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764BF8">
      <w:pPr>
        <w:pStyle w:val="92"/>
        <w:spacing w:after="48"/>
        <w:ind w:firstLine="440"/>
        <w:rPr>
          <w:color w:val="auto"/>
          <w:highlight w:val="none"/>
        </w:rPr>
      </w:pPr>
      <w:bookmarkStart w:id="129" w:name="_GoBack"/>
    </w:p>
    <w:p w14:paraId="4BE60968">
      <w:pPr>
        <w:widowControl/>
        <w:snapToGrid w:val="0"/>
        <w:spacing w:line="360" w:lineRule="auto"/>
        <w:ind w:firstLine="720"/>
        <w:jc w:val="center"/>
        <w:rPr>
          <w:rFonts w:cs="宋体" w:asciiTheme="minorEastAsia" w:hAnsiTheme="minorEastAsia"/>
          <w:b/>
          <w:bCs/>
          <w:color w:val="auto"/>
          <w:kern w:val="0"/>
          <w:sz w:val="36"/>
          <w:szCs w:val="36"/>
          <w:highlight w:val="none"/>
        </w:rPr>
      </w:pPr>
    </w:p>
    <w:p w14:paraId="6BE47239">
      <w:pPr>
        <w:widowControl/>
        <w:snapToGrid w:val="0"/>
        <w:spacing w:line="360" w:lineRule="auto"/>
        <w:jc w:val="center"/>
        <w:rPr>
          <w:rFonts w:eastAsia="宋体" w:cs="宋体" w:asciiTheme="minorEastAsia" w:hAnsiTheme="minorEastAsia"/>
          <w:b/>
          <w:bCs/>
          <w:color w:val="auto"/>
          <w:kern w:val="0"/>
          <w:sz w:val="44"/>
          <w:szCs w:val="44"/>
          <w:highlight w:val="none"/>
        </w:rPr>
      </w:pPr>
      <w:bookmarkStart w:id="0" w:name="OLE_LINK1"/>
      <w:bookmarkStart w:id="1" w:name="OLE_LINK2"/>
      <w:r>
        <w:rPr>
          <w:rFonts w:hint="eastAsia" w:eastAsia="宋体" w:cs="宋体" w:asciiTheme="minorEastAsia" w:hAnsiTheme="minorEastAsia"/>
          <w:b/>
          <w:bCs/>
          <w:color w:val="auto"/>
          <w:kern w:val="0"/>
          <w:sz w:val="44"/>
          <w:szCs w:val="44"/>
          <w:highlight w:val="none"/>
        </w:rPr>
        <w:t>南通市市政设施管理处</w:t>
      </w:r>
    </w:p>
    <w:p w14:paraId="130C38D8">
      <w:pPr>
        <w:widowControl/>
        <w:snapToGrid w:val="0"/>
        <w:spacing w:line="360" w:lineRule="auto"/>
        <w:ind w:firstLine="800"/>
        <w:jc w:val="center"/>
        <w:rPr>
          <w:rFonts w:eastAsia="宋体" w:cs="宋体" w:asciiTheme="minorEastAsia" w:hAnsiTheme="minorEastAsia"/>
          <w:b/>
          <w:bCs/>
          <w:color w:val="auto"/>
          <w:kern w:val="0"/>
          <w:sz w:val="44"/>
          <w:szCs w:val="44"/>
          <w:highlight w:val="none"/>
        </w:rPr>
      </w:pPr>
      <w:r>
        <w:rPr>
          <w:rFonts w:hint="eastAsia" w:eastAsia="宋体" w:cs="宋体" w:asciiTheme="minorEastAsia" w:hAnsiTheme="minorEastAsia"/>
          <w:b/>
          <w:bCs/>
          <w:color w:val="auto"/>
          <w:kern w:val="0"/>
          <w:sz w:val="44"/>
          <w:szCs w:val="44"/>
          <w:highlight w:val="none"/>
          <w:lang w:val="en-US" w:eastAsia="zh-CN"/>
        </w:rPr>
        <w:t>2026</w:t>
      </w:r>
      <w:r>
        <w:rPr>
          <w:rFonts w:hint="eastAsia" w:eastAsia="宋体" w:cs="宋体" w:asciiTheme="minorEastAsia" w:hAnsiTheme="minorEastAsia"/>
          <w:b/>
          <w:bCs/>
          <w:color w:val="auto"/>
          <w:kern w:val="0"/>
          <w:sz w:val="44"/>
          <w:szCs w:val="44"/>
          <w:highlight w:val="none"/>
        </w:rPr>
        <w:t>年度改</w:t>
      </w:r>
      <w:r>
        <w:rPr>
          <w:rFonts w:hint="eastAsia" w:eastAsia="宋体" w:cs="宋体" w:asciiTheme="minorEastAsia" w:hAnsiTheme="minorEastAsia"/>
          <w:b/>
          <w:bCs/>
          <w:color w:val="auto"/>
          <w:kern w:val="0"/>
          <w:sz w:val="44"/>
          <w:szCs w:val="44"/>
          <w:highlight w:val="none"/>
        </w:rPr>
        <w:t>性地聚合物注浆加固采购项目</w:t>
      </w:r>
    </w:p>
    <w:bookmarkEnd w:id="0"/>
    <w:bookmarkEnd w:id="1"/>
    <w:p w14:paraId="46EFCB47">
      <w:pPr>
        <w:pStyle w:val="10"/>
        <w:spacing w:after="48" w:line="360" w:lineRule="auto"/>
        <w:rPr>
          <w:color w:val="auto"/>
          <w:highlight w:val="none"/>
        </w:rPr>
      </w:pPr>
    </w:p>
    <w:p w14:paraId="0B5803E3">
      <w:pPr>
        <w:pStyle w:val="11"/>
        <w:spacing w:before="48" w:after="48"/>
        <w:rPr>
          <w:color w:val="auto"/>
          <w:highlight w:val="none"/>
        </w:rPr>
      </w:pPr>
    </w:p>
    <w:p w14:paraId="0BC38D04">
      <w:pPr>
        <w:pStyle w:val="12"/>
        <w:rPr>
          <w:color w:val="auto"/>
          <w:highlight w:val="none"/>
        </w:rPr>
      </w:pPr>
    </w:p>
    <w:p w14:paraId="07638E35">
      <w:pPr>
        <w:rPr>
          <w:color w:val="auto"/>
          <w:highlight w:val="none"/>
        </w:rPr>
      </w:pPr>
    </w:p>
    <w:p w14:paraId="5A0C2908">
      <w:pPr>
        <w:pStyle w:val="12"/>
        <w:rPr>
          <w:color w:val="auto"/>
          <w:highlight w:val="none"/>
        </w:rPr>
      </w:pPr>
    </w:p>
    <w:p w14:paraId="410D8C1E">
      <w:pPr>
        <w:rPr>
          <w:color w:val="auto"/>
          <w:highlight w:val="none"/>
        </w:rPr>
      </w:pPr>
    </w:p>
    <w:p w14:paraId="0801E77B">
      <w:pPr>
        <w:pStyle w:val="21"/>
        <w:spacing w:after="48"/>
        <w:ind w:firstLine="0" w:firstLineChars="0"/>
        <w:rPr>
          <w:color w:val="auto"/>
          <w:highlight w:val="none"/>
        </w:rPr>
      </w:pPr>
    </w:p>
    <w:p w14:paraId="1BD5E828">
      <w:pPr>
        <w:widowControl/>
        <w:snapToGrid w:val="0"/>
        <w:spacing w:line="360" w:lineRule="auto"/>
        <w:ind w:firstLine="960"/>
        <w:jc w:val="center"/>
        <w:rPr>
          <w:rFonts w:asciiTheme="minorEastAsia" w:hAnsiTheme="minorEastAsia"/>
          <w:b/>
          <w:bCs/>
          <w:color w:val="auto"/>
          <w:sz w:val="52"/>
          <w:szCs w:val="52"/>
          <w:highlight w:val="none"/>
        </w:rPr>
      </w:pPr>
      <w:r>
        <w:rPr>
          <w:rFonts w:hint="eastAsia" w:asciiTheme="minorEastAsia" w:hAnsiTheme="minorEastAsia"/>
          <w:b/>
          <w:bCs/>
          <w:color w:val="auto"/>
          <w:sz w:val="52"/>
          <w:szCs w:val="52"/>
          <w:highlight w:val="none"/>
        </w:rPr>
        <w:t>竞争性磋商文件</w:t>
      </w:r>
    </w:p>
    <w:p w14:paraId="25EE9F97">
      <w:pPr>
        <w:spacing w:line="360" w:lineRule="auto"/>
        <w:ind w:firstLine="602"/>
        <w:jc w:val="center"/>
        <w:rPr>
          <w:rFonts w:asciiTheme="minorEastAsia" w:hAnsiTheme="minorEastAsia"/>
          <w:color w:val="auto"/>
          <w:sz w:val="30"/>
          <w:szCs w:val="30"/>
          <w:highlight w:val="none"/>
        </w:rPr>
      </w:pPr>
      <w:r>
        <w:rPr>
          <w:rFonts w:asciiTheme="minorEastAsia" w:hAnsiTheme="minorEastAsia"/>
          <w:color w:val="auto"/>
          <w:sz w:val="30"/>
          <w:szCs w:val="30"/>
          <w:highlight w:val="none"/>
        </w:rPr>
        <w:t>项目编号：JSZC-320600-NTCJ-C2026-0008</w:t>
      </w:r>
    </w:p>
    <w:p w14:paraId="773A4057">
      <w:pPr>
        <w:tabs>
          <w:tab w:val="left" w:pos="6300"/>
        </w:tabs>
        <w:spacing w:line="360" w:lineRule="auto"/>
        <w:rPr>
          <w:rFonts w:asciiTheme="minorEastAsia" w:hAnsiTheme="minorEastAsia"/>
          <w:b/>
          <w:bCs/>
          <w:color w:val="auto"/>
          <w:sz w:val="36"/>
          <w:szCs w:val="36"/>
          <w:highlight w:val="none"/>
        </w:rPr>
      </w:pPr>
    </w:p>
    <w:p w14:paraId="0D39B2C3">
      <w:pPr>
        <w:pStyle w:val="21"/>
        <w:spacing w:after="48"/>
        <w:ind w:firstLine="0" w:firstLineChars="0"/>
        <w:rPr>
          <w:color w:val="auto"/>
          <w:highlight w:val="none"/>
        </w:rPr>
      </w:pPr>
    </w:p>
    <w:p w14:paraId="157C7F17">
      <w:pPr>
        <w:pStyle w:val="22"/>
        <w:spacing w:after="48"/>
        <w:ind w:left="0" w:leftChars="0" w:firstLine="0" w:firstLineChars="0"/>
        <w:rPr>
          <w:rFonts w:asciiTheme="minorEastAsia" w:hAnsiTheme="minorEastAsia"/>
          <w:b/>
          <w:bCs/>
          <w:color w:val="auto"/>
          <w:sz w:val="36"/>
          <w:szCs w:val="36"/>
          <w:highlight w:val="none"/>
        </w:rPr>
      </w:pPr>
    </w:p>
    <w:p w14:paraId="1691C3D1">
      <w:pPr>
        <w:rPr>
          <w:rFonts w:asciiTheme="minorEastAsia" w:hAnsiTheme="minorEastAsia"/>
          <w:b/>
          <w:bCs/>
          <w:color w:val="auto"/>
          <w:sz w:val="36"/>
          <w:szCs w:val="36"/>
          <w:highlight w:val="none"/>
        </w:rPr>
      </w:pPr>
    </w:p>
    <w:p w14:paraId="000BACA2">
      <w:pPr>
        <w:pStyle w:val="21"/>
        <w:spacing w:after="48"/>
        <w:ind w:firstLine="0" w:firstLineChars="0"/>
        <w:rPr>
          <w:color w:val="auto"/>
          <w:highlight w:val="none"/>
        </w:rPr>
      </w:pPr>
    </w:p>
    <w:p w14:paraId="6149C86D">
      <w:pPr>
        <w:pStyle w:val="22"/>
        <w:spacing w:after="48"/>
        <w:ind w:left="0" w:leftChars="0" w:firstLine="0" w:firstLineChars="0"/>
        <w:rPr>
          <w:color w:val="auto"/>
          <w:highlight w:val="none"/>
        </w:rPr>
      </w:pPr>
    </w:p>
    <w:p w14:paraId="15BE1F9C">
      <w:pPr>
        <w:tabs>
          <w:tab w:val="left" w:pos="2020"/>
          <w:tab w:val="center" w:pos="4535"/>
        </w:tabs>
        <w:spacing w:line="360" w:lineRule="auto"/>
        <w:rPr>
          <w:rFonts w:asciiTheme="minorEastAsia" w:hAnsiTheme="minorEastAsia"/>
          <w:bCs/>
          <w:color w:val="auto"/>
          <w:sz w:val="28"/>
          <w:highlight w:val="none"/>
        </w:rPr>
      </w:pPr>
    </w:p>
    <w:p w14:paraId="46CE58BE">
      <w:pPr>
        <w:tabs>
          <w:tab w:val="left" w:pos="2020"/>
          <w:tab w:val="center" w:pos="4535"/>
        </w:tabs>
        <w:spacing w:line="360" w:lineRule="auto"/>
        <w:rPr>
          <w:rFonts w:asciiTheme="minorEastAsia" w:hAnsiTheme="minorEastAsia"/>
          <w:bCs/>
          <w:color w:val="auto"/>
          <w:sz w:val="28"/>
          <w:highlight w:val="none"/>
        </w:rPr>
      </w:pPr>
    </w:p>
    <w:p w14:paraId="51174DEE">
      <w:pPr>
        <w:spacing w:line="360" w:lineRule="auto"/>
        <w:ind w:firstLine="2088" w:firstLineChars="650"/>
        <w:rPr>
          <w:rFonts w:asciiTheme="minorEastAsia" w:hAnsiTheme="minorEastAsia"/>
          <w:b/>
          <w:color w:val="auto"/>
          <w:sz w:val="32"/>
          <w:szCs w:val="32"/>
          <w:highlight w:val="none"/>
          <w:u w:val="single"/>
        </w:rPr>
      </w:pPr>
      <w:r>
        <w:rPr>
          <w:rFonts w:hint="eastAsia" w:asciiTheme="minorEastAsia" w:hAnsiTheme="minorEastAsia"/>
          <w:b/>
          <w:color w:val="auto"/>
          <w:sz w:val="32"/>
          <w:szCs w:val="32"/>
          <w:highlight w:val="none"/>
        </w:rPr>
        <w:t>采 购 人：</w:t>
      </w:r>
      <w:r>
        <w:rPr>
          <w:rFonts w:hint="eastAsia" w:asciiTheme="minorEastAsia" w:hAnsiTheme="minorEastAsia"/>
          <w:b/>
          <w:color w:val="auto"/>
          <w:sz w:val="32"/>
          <w:szCs w:val="32"/>
          <w:highlight w:val="none"/>
          <w:u w:val="single"/>
        </w:rPr>
        <w:t>南通市市政设施管理处</w:t>
      </w:r>
    </w:p>
    <w:p w14:paraId="0957C15D">
      <w:pPr>
        <w:spacing w:line="360" w:lineRule="auto"/>
        <w:ind w:firstLine="2088" w:firstLineChars="650"/>
        <w:rPr>
          <w:rFonts w:asciiTheme="minorEastAsia" w:hAnsiTheme="minorEastAsia"/>
          <w:b/>
          <w:color w:val="auto"/>
          <w:spacing w:val="-8"/>
          <w:sz w:val="32"/>
          <w:szCs w:val="32"/>
          <w:highlight w:val="none"/>
        </w:rPr>
      </w:pPr>
      <w:r>
        <w:rPr>
          <w:rFonts w:hint="eastAsia" w:asciiTheme="minorEastAsia" w:hAnsiTheme="minorEastAsia"/>
          <w:b/>
          <w:color w:val="auto"/>
          <w:sz w:val="32"/>
          <w:szCs w:val="32"/>
          <w:highlight w:val="none"/>
        </w:rPr>
        <w:t>代理机构：</w:t>
      </w:r>
      <w:r>
        <w:rPr>
          <w:rFonts w:hint="eastAsia" w:asciiTheme="minorEastAsia" w:hAnsiTheme="minorEastAsia"/>
          <w:b/>
          <w:color w:val="auto"/>
          <w:sz w:val="32"/>
          <w:szCs w:val="32"/>
          <w:highlight w:val="none"/>
          <w:u w:val="single"/>
        </w:rPr>
        <w:t>南通城建工程项目管理有限公司</w:t>
      </w:r>
    </w:p>
    <w:p w14:paraId="720F7C9B">
      <w:pPr>
        <w:spacing w:line="360" w:lineRule="auto"/>
        <w:ind w:firstLine="3975" w:firstLineChars="1100"/>
        <w:jc w:val="both"/>
        <w:rPr>
          <w:rFonts w:asciiTheme="minorEastAsia" w:hAnsiTheme="minorEastAsia"/>
          <w:color w:val="auto"/>
          <w:sz w:val="30"/>
          <w:szCs w:val="30"/>
          <w:highlight w:val="none"/>
        </w:rPr>
      </w:pPr>
      <w:r>
        <w:rPr>
          <w:rFonts w:hint="eastAsia" w:ascii="宋体" w:hAnsi="宋体" w:cs="宋体"/>
          <w:b/>
          <w:color w:val="auto"/>
          <w:sz w:val="36"/>
          <w:szCs w:val="36"/>
          <w:highlight w:val="none"/>
        </w:rPr>
        <w:t>二〇二</w:t>
      </w:r>
      <w:r>
        <w:rPr>
          <w:rFonts w:hint="eastAsia" w:ascii="宋体" w:hAnsi="宋体" w:cs="宋体"/>
          <w:b/>
          <w:color w:val="auto"/>
          <w:sz w:val="36"/>
          <w:szCs w:val="36"/>
          <w:highlight w:val="none"/>
          <w:lang w:val="en-US" w:eastAsia="zh-CN"/>
        </w:rPr>
        <w:t>六</w:t>
      </w:r>
      <w:r>
        <w:rPr>
          <w:rFonts w:hint="eastAsia" w:ascii="宋体" w:hAnsi="宋体" w:cs="宋体"/>
          <w:b/>
          <w:color w:val="auto"/>
          <w:sz w:val="36"/>
          <w:szCs w:val="36"/>
          <w:highlight w:val="none"/>
        </w:rPr>
        <w:t>年</w:t>
      </w:r>
      <w:r>
        <w:rPr>
          <w:rFonts w:hint="eastAsia" w:ascii="宋体" w:hAnsi="宋体" w:cs="宋体"/>
          <w:b/>
          <w:color w:val="auto"/>
          <w:sz w:val="36"/>
          <w:szCs w:val="36"/>
          <w:highlight w:val="none"/>
          <w:lang w:val="en-US" w:eastAsia="zh-CN"/>
        </w:rPr>
        <w:t>四</w:t>
      </w:r>
      <w:r>
        <w:rPr>
          <w:rFonts w:hint="eastAsia" w:ascii="宋体" w:hAnsi="宋体" w:cs="宋体"/>
          <w:b/>
          <w:color w:val="auto"/>
          <w:sz w:val="36"/>
          <w:szCs w:val="36"/>
          <w:highlight w:val="none"/>
        </w:rPr>
        <w:t>月</w:t>
      </w:r>
    </w:p>
    <w:p w14:paraId="72FCD23F">
      <w:pPr>
        <w:autoSpaceDE w:val="0"/>
        <w:autoSpaceDN w:val="0"/>
        <w:adjustRightInd w:val="0"/>
        <w:snapToGrid w:val="0"/>
        <w:spacing w:line="360" w:lineRule="auto"/>
        <w:ind w:firstLine="883"/>
        <w:jc w:val="center"/>
        <w:rPr>
          <w:rFonts w:asciiTheme="minorEastAsia" w:hAnsiTheme="minorEastAsia"/>
          <w:color w:val="auto"/>
          <w:sz w:val="44"/>
          <w:szCs w:val="44"/>
          <w:highlight w:val="none"/>
          <w:lang w:val="zh-CN"/>
        </w:rPr>
        <w:sectPr>
          <w:headerReference r:id="rId3" w:type="default"/>
          <w:pgSz w:w="11907" w:h="16839"/>
          <w:pgMar w:top="1440" w:right="1080" w:bottom="1440" w:left="1080" w:header="720" w:footer="720" w:gutter="0"/>
          <w:cols w:space="720" w:num="1"/>
          <w:docGrid w:linePitch="286" w:charSpace="0"/>
        </w:sectPr>
      </w:pPr>
    </w:p>
    <w:p w14:paraId="0E9A49CA">
      <w:pPr>
        <w:autoSpaceDE w:val="0"/>
        <w:autoSpaceDN w:val="0"/>
        <w:adjustRightInd w:val="0"/>
        <w:snapToGrid w:val="0"/>
        <w:spacing w:line="360" w:lineRule="auto"/>
        <w:ind w:firstLine="883"/>
        <w:jc w:val="center"/>
        <w:rPr>
          <w:rFonts w:asciiTheme="minorEastAsia" w:hAnsiTheme="minorEastAsia"/>
          <w:color w:val="auto"/>
          <w:sz w:val="44"/>
          <w:szCs w:val="44"/>
          <w:highlight w:val="none"/>
          <w:lang w:val="zh-CN"/>
        </w:rPr>
      </w:pPr>
    </w:p>
    <w:p w14:paraId="7AAC8361">
      <w:pPr>
        <w:autoSpaceDE w:val="0"/>
        <w:autoSpaceDN w:val="0"/>
        <w:adjustRightInd w:val="0"/>
        <w:snapToGrid w:val="0"/>
        <w:spacing w:line="360" w:lineRule="auto"/>
        <w:jc w:val="center"/>
        <w:rPr>
          <w:rFonts w:ascii="黑体" w:hAnsi="黑体" w:eastAsia="黑体"/>
          <w:color w:val="auto"/>
          <w:sz w:val="44"/>
          <w:szCs w:val="44"/>
          <w:highlight w:val="none"/>
        </w:rPr>
      </w:pPr>
      <w:r>
        <w:rPr>
          <w:rFonts w:hint="eastAsia" w:ascii="黑体" w:hAnsi="黑体" w:eastAsia="黑体"/>
          <w:color w:val="auto"/>
          <w:sz w:val="44"/>
          <w:szCs w:val="44"/>
          <w:highlight w:val="none"/>
          <w:lang w:val="zh-CN"/>
        </w:rPr>
        <w:t>目  录</w:t>
      </w:r>
    </w:p>
    <w:p w14:paraId="353DD751">
      <w:pPr>
        <w:autoSpaceDE w:val="0"/>
        <w:autoSpaceDN w:val="0"/>
        <w:adjustRightInd w:val="0"/>
        <w:snapToGrid w:val="0"/>
        <w:spacing w:line="480" w:lineRule="auto"/>
        <w:ind w:firstLine="643"/>
        <w:rPr>
          <w:rFonts w:asciiTheme="minorEastAsia" w:hAnsiTheme="minorEastAsia"/>
          <w:color w:val="auto"/>
          <w:sz w:val="32"/>
          <w:szCs w:val="32"/>
          <w:highlight w:val="none"/>
        </w:rPr>
      </w:pPr>
    </w:p>
    <w:p w14:paraId="418C4A34">
      <w:pPr>
        <w:autoSpaceDE w:val="0"/>
        <w:autoSpaceDN w:val="0"/>
        <w:adjustRightInd w:val="0"/>
        <w:snapToGrid w:val="0"/>
        <w:spacing w:line="480" w:lineRule="auto"/>
        <w:ind w:firstLine="723"/>
        <w:rPr>
          <w:rFonts w:ascii="黑体" w:hAnsi="黑体" w:eastAsia="黑体"/>
          <w:color w:val="auto"/>
          <w:sz w:val="36"/>
          <w:szCs w:val="36"/>
          <w:highlight w:val="none"/>
        </w:rPr>
      </w:pPr>
      <w:r>
        <w:rPr>
          <w:rFonts w:hint="eastAsia" w:ascii="黑体" w:hAnsi="黑体" w:eastAsia="黑体"/>
          <w:color w:val="auto"/>
          <w:sz w:val="36"/>
          <w:szCs w:val="36"/>
          <w:highlight w:val="none"/>
        </w:rPr>
        <w:t>第一章 竞争性磋商公告</w:t>
      </w:r>
    </w:p>
    <w:p w14:paraId="3AF7D241">
      <w:pPr>
        <w:autoSpaceDE w:val="0"/>
        <w:autoSpaceDN w:val="0"/>
        <w:adjustRightInd w:val="0"/>
        <w:snapToGrid w:val="0"/>
        <w:spacing w:line="480" w:lineRule="auto"/>
        <w:ind w:firstLine="723"/>
        <w:rPr>
          <w:rFonts w:ascii="黑体" w:hAnsi="黑体" w:eastAsia="黑体"/>
          <w:color w:val="auto"/>
          <w:sz w:val="36"/>
          <w:szCs w:val="36"/>
          <w:highlight w:val="none"/>
        </w:rPr>
      </w:pPr>
      <w:r>
        <w:rPr>
          <w:rFonts w:hint="eastAsia" w:ascii="黑体" w:hAnsi="黑体" w:eastAsia="黑体"/>
          <w:color w:val="auto"/>
          <w:sz w:val="36"/>
          <w:szCs w:val="36"/>
          <w:highlight w:val="none"/>
        </w:rPr>
        <w:t>第二章 磋商须知</w:t>
      </w:r>
    </w:p>
    <w:p w14:paraId="05F4BC38">
      <w:pPr>
        <w:autoSpaceDE w:val="0"/>
        <w:autoSpaceDN w:val="0"/>
        <w:adjustRightInd w:val="0"/>
        <w:snapToGrid w:val="0"/>
        <w:spacing w:line="480" w:lineRule="auto"/>
        <w:ind w:firstLine="723"/>
        <w:rPr>
          <w:rFonts w:ascii="黑体" w:hAnsi="黑体" w:eastAsia="黑体"/>
          <w:color w:val="auto"/>
          <w:sz w:val="36"/>
          <w:szCs w:val="36"/>
          <w:highlight w:val="none"/>
        </w:rPr>
      </w:pPr>
      <w:r>
        <w:rPr>
          <w:rFonts w:hint="eastAsia" w:ascii="黑体" w:hAnsi="黑体" w:eastAsia="黑体"/>
          <w:color w:val="auto"/>
          <w:sz w:val="36"/>
          <w:szCs w:val="36"/>
          <w:highlight w:val="none"/>
        </w:rPr>
        <w:t>第三章 项目需求</w:t>
      </w:r>
    </w:p>
    <w:p w14:paraId="342E38A6">
      <w:pPr>
        <w:autoSpaceDE w:val="0"/>
        <w:autoSpaceDN w:val="0"/>
        <w:adjustRightInd w:val="0"/>
        <w:snapToGrid w:val="0"/>
        <w:spacing w:line="480" w:lineRule="auto"/>
        <w:ind w:firstLine="723"/>
        <w:rPr>
          <w:rFonts w:ascii="黑体" w:hAnsi="黑体" w:eastAsia="黑体"/>
          <w:color w:val="auto"/>
          <w:sz w:val="36"/>
          <w:szCs w:val="36"/>
          <w:highlight w:val="none"/>
        </w:rPr>
      </w:pPr>
      <w:r>
        <w:rPr>
          <w:rFonts w:hint="eastAsia" w:ascii="黑体" w:hAnsi="黑体" w:eastAsia="黑体"/>
          <w:color w:val="auto"/>
          <w:sz w:val="36"/>
          <w:szCs w:val="36"/>
          <w:highlight w:val="none"/>
        </w:rPr>
        <w:t>第四章 评审方法和评审标准</w:t>
      </w:r>
    </w:p>
    <w:p w14:paraId="4B7E55F1">
      <w:pPr>
        <w:autoSpaceDE w:val="0"/>
        <w:autoSpaceDN w:val="0"/>
        <w:adjustRightInd w:val="0"/>
        <w:snapToGrid w:val="0"/>
        <w:spacing w:line="480" w:lineRule="auto"/>
        <w:ind w:firstLine="723"/>
        <w:rPr>
          <w:rFonts w:ascii="黑体" w:hAnsi="黑体" w:eastAsia="黑体"/>
          <w:color w:val="auto"/>
          <w:sz w:val="36"/>
          <w:szCs w:val="36"/>
          <w:highlight w:val="none"/>
        </w:rPr>
      </w:pPr>
      <w:r>
        <w:rPr>
          <w:rFonts w:hint="eastAsia" w:ascii="黑体" w:hAnsi="黑体" w:eastAsia="黑体"/>
          <w:color w:val="auto"/>
          <w:sz w:val="36"/>
          <w:szCs w:val="36"/>
          <w:highlight w:val="none"/>
        </w:rPr>
        <w:t>第五章 合同及履约保证</w:t>
      </w:r>
    </w:p>
    <w:p w14:paraId="729F8695">
      <w:pPr>
        <w:autoSpaceDE w:val="0"/>
        <w:autoSpaceDN w:val="0"/>
        <w:adjustRightInd w:val="0"/>
        <w:snapToGrid w:val="0"/>
        <w:spacing w:line="480" w:lineRule="auto"/>
        <w:ind w:firstLine="723"/>
        <w:rPr>
          <w:rFonts w:ascii="黑体" w:hAnsi="黑体" w:eastAsia="黑体"/>
          <w:color w:val="auto"/>
          <w:sz w:val="36"/>
          <w:szCs w:val="36"/>
          <w:highlight w:val="none"/>
        </w:rPr>
      </w:pPr>
      <w:r>
        <w:rPr>
          <w:rFonts w:hint="eastAsia" w:ascii="黑体" w:hAnsi="黑体" w:eastAsia="黑体"/>
          <w:color w:val="auto"/>
          <w:sz w:val="36"/>
          <w:szCs w:val="36"/>
          <w:highlight w:val="none"/>
        </w:rPr>
        <w:t>第六章 响应文件组成</w:t>
      </w:r>
    </w:p>
    <w:p w14:paraId="7550D139">
      <w:pPr>
        <w:autoSpaceDE w:val="0"/>
        <w:autoSpaceDN w:val="0"/>
        <w:adjustRightInd w:val="0"/>
        <w:snapToGrid w:val="0"/>
        <w:spacing w:line="360" w:lineRule="auto"/>
        <w:ind w:firstLine="723"/>
        <w:jc w:val="center"/>
        <w:outlineLvl w:val="0"/>
        <w:rPr>
          <w:rFonts w:asciiTheme="minorEastAsia" w:hAnsiTheme="minorEastAsia"/>
          <w:color w:val="auto"/>
          <w:sz w:val="36"/>
          <w:szCs w:val="36"/>
          <w:highlight w:val="none"/>
          <w:lang w:val="zh-CN"/>
        </w:rPr>
        <w:sectPr>
          <w:footerReference r:id="rId4" w:type="default"/>
          <w:pgSz w:w="11907" w:h="16839"/>
          <w:pgMar w:top="1440" w:right="1080" w:bottom="1440" w:left="1080" w:header="720" w:footer="720" w:gutter="0"/>
          <w:pgNumType w:start="1"/>
          <w:cols w:space="720" w:num="1"/>
          <w:docGrid w:linePitch="286" w:charSpace="0"/>
        </w:sectPr>
      </w:pPr>
    </w:p>
    <w:p w14:paraId="4106F869">
      <w:pPr>
        <w:rPr>
          <w:color w:val="auto"/>
          <w:highlight w:val="none"/>
        </w:rPr>
      </w:pPr>
    </w:p>
    <w:p w14:paraId="12EAAA6A">
      <w:pPr>
        <w:pStyle w:val="2"/>
        <w:spacing w:before="48" w:after="48"/>
        <w:ind w:firstLine="880"/>
        <w:rPr>
          <w:color w:val="auto"/>
          <w:highlight w:val="none"/>
        </w:rPr>
      </w:pPr>
      <w:r>
        <w:rPr>
          <w:rFonts w:hint="eastAsia"/>
          <w:color w:val="auto"/>
          <w:highlight w:val="none"/>
        </w:rPr>
        <w:t>第一章  竞争性磋商公告</w:t>
      </w:r>
    </w:p>
    <w:p w14:paraId="378BD128">
      <w:pPr>
        <w:tabs>
          <w:tab w:val="left" w:pos="2020"/>
          <w:tab w:val="center" w:pos="4535"/>
        </w:tabs>
        <w:spacing w:line="360" w:lineRule="auto"/>
        <w:ind w:firstLine="480" w:firstLineChars="200"/>
        <w:jc w:val="left"/>
        <w:rPr>
          <w:rFonts w:asciiTheme="minorEastAsia" w:hAnsiTheme="minorEastAsia"/>
          <w:color w:val="auto"/>
          <w:sz w:val="24"/>
          <w:highlight w:val="none"/>
        </w:rPr>
      </w:pPr>
      <w:bookmarkStart w:id="2" w:name="_Hlk154413741"/>
      <w:r>
        <w:rPr>
          <w:rFonts w:asciiTheme="minorEastAsia" w:hAnsiTheme="minorEastAsia"/>
          <w:color w:val="auto"/>
          <w:sz w:val="24"/>
          <w:highlight w:val="none"/>
        </w:rPr>
        <w:t>受[</w:t>
      </w:r>
      <w:r>
        <w:rPr>
          <w:rFonts w:hint="eastAsia" w:asciiTheme="minorEastAsia" w:hAnsiTheme="minorEastAsia"/>
          <w:color w:val="auto"/>
          <w:sz w:val="24"/>
          <w:highlight w:val="none"/>
        </w:rPr>
        <w:t>南通市市政设施管理处</w:t>
      </w:r>
      <w:r>
        <w:rPr>
          <w:rFonts w:asciiTheme="minorEastAsia" w:hAnsiTheme="minorEastAsia"/>
          <w:color w:val="auto"/>
          <w:sz w:val="24"/>
          <w:highlight w:val="none"/>
        </w:rPr>
        <w:t>]的委托，[</w:t>
      </w:r>
      <w:r>
        <w:rPr>
          <w:rFonts w:hint="eastAsia" w:asciiTheme="minorEastAsia" w:hAnsiTheme="minorEastAsia"/>
          <w:color w:val="auto"/>
          <w:sz w:val="24"/>
          <w:highlight w:val="none"/>
        </w:rPr>
        <w:t>南通城建工程项目管理有限公司</w:t>
      </w:r>
      <w:r>
        <w:rPr>
          <w:rFonts w:asciiTheme="minorEastAsia" w:hAnsiTheme="minorEastAsia"/>
          <w:color w:val="auto"/>
          <w:sz w:val="24"/>
          <w:highlight w:val="none"/>
        </w:rPr>
        <w:t>]就</w:t>
      </w:r>
      <w:r>
        <w:rPr>
          <w:rFonts w:hint="eastAsia" w:asciiTheme="minorEastAsia" w:hAnsiTheme="minorEastAsia"/>
          <w:color w:val="auto"/>
          <w:sz w:val="24"/>
          <w:highlight w:val="none"/>
          <w:u w:val="single"/>
          <w:lang w:eastAsia="zh-CN"/>
        </w:rPr>
        <w:t>南通市市政设施管理处2026年度改性地聚合物注浆加固采购项目</w:t>
      </w:r>
      <w:r>
        <w:rPr>
          <w:rFonts w:asciiTheme="minorEastAsia" w:hAnsiTheme="minorEastAsia"/>
          <w:color w:val="auto"/>
          <w:sz w:val="24"/>
          <w:highlight w:val="none"/>
        </w:rPr>
        <w:t>(项目编号:</w:t>
      </w:r>
      <w:r>
        <w:rPr>
          <w:color w:val="auto"/>
          <w:highlight w:val="none"/>
        </w:rPr>
        <w:t xml:space="preserve"> </w:t>
      </w:r>
      <w:r>
        <w:rPr>
          <w:rFonts w:ascii="宋体" w:hAnsi="宋体" w:eastAsia="宋体" w:cs="宋体"/>
          <w:color w:val="auto"/>
          <w:sz w:val="24"/>
          <w:szCs w:val="24"/>
          <w:highlight w:val="none"/>
        </w:rPr>
        <w:t>JSZC-320600-NTCJ-C2026-0008</w:t>
      </w:r>
      <w:r>
        <w:rPr>
          <w:rFonts w:asciiTheme="minorEastAsia" w:hAnsiTheme="minorEastAsia"/>
          <w:color w:val="auto"/>
          <w:sz w:val="24"/>
          <w:highlight w:val="none"/>
        </w:rPr>
        <w:t>)进行竞争性磋商采购，欢迎符合条件的供应商参加磋商。</w:t>
      </w:r>
    </w:p>
    <w:p w14:paraId="352659EB">
      <w:pPr>
        <w:widowControl/>
        <w:shd w:val="clear" w:color="auto" w:fill="FFFFFF"/>
        <w:adjustRightInd w:val="0"/>
        <w:snapToGrid w:val="0"/>
        <w:spacing w:line="360" w:lineRule="auto"/>
        <w:ind w:firstLine="590" w:firstLineChars="200"/>
        <w:rPr>
          <w:rFonts w:asciiTheme="minorEastAsia" w:hAnsiTheme="minorEastAsia"/>
          <w:b/>
          <w:color w:val="auto"/>
          <w:spacing w:val="7"/>
          <w:kern w:val="0"/>
          <w:sz w:val="28"/>
          <w:szCs w:val="28"/>
          <w:highlight w:val="none"/>
        </w:rPr>
      </w:pPr>
      <w:r>
        <w:rPr>
          <w:rFonts w:asciiTheme="minorEastAsia" w:hAnsiTheme="minorEastAsia"/>
          <w:b/>
          <w:color w:val="auto"/>
          <w:spacing w:val="7"/>
          <w:kern w:val="0"/>
          <w:sz w:val="28"/>
          <w:szCs w:val="28"/>
          <w:highlight w:val="none"/>
        </w:rPr>
        <w:t>项目概况</w:t>
      </w:r>
    </w:p>
    <w:p w14:paraId="5802B153">
      <w:pPr>
        <w:pBdr>
          <w:top w:val="single" w:color="auto" w:sz="4" w:space="1"/>
          <w:left w:val="single" w:color="auto" w:sz="4" w:space="1"/>
          <w:bottom w:val="single" w:color="auto" w:sz="4" w:space="1"/>
          <w:right w:val="single" w:color="auto" w:sz="4" w:space="12"/>
        </w:pBd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u w:val="single"/>
          <w:lang w:eastAsia="zh-CN"/>
        </w:rPr>
        <w:t>南通市市政设施管理处2026年度改性地聚合物注浆加固采购项目</w:t>
      </w:r>
      <w:r>
        <w:rPr>
          <w:rFonts w:asciiTheme="minorEastAsia" w:hAnsiTheme="minorEastAsia"/>
          <w:color w:val="auto"/>
          <w:sz w:val="24"/>
          <w:highlight w:val="none"/>
        </w:rPr>
        <w:t>的潜在供应商应在</w:t>
      </w:r>
      <w:r>
        <w:rPr>
          <w:rFonts w:hint="eastAsia" w:asciiTheme="minorEastAsia" w:hAnsiTheme="minorEastAsia"/>
          <w:color w:val="auto"/>
          <w:sz w:val="24"/>
          <w:highlight w:val="none"/>
          <w:u w:val="single"/>
        </w:rPr>
        <w:t xml:space="preserve">苏采云系统内免费 </w:t>
      </w:r>
      <w:r>
        <w:rPr>
          <w:rFonts w:asciiTheme="minorEastAsia" w:hAnsiTheme="minorEastAsia"/>
          <w:color w:val="auto"/>
          <w:sz w:val="24"/>
          <w:highlight w:val="none"/>
        </w:rPr>
        <w:t>获取采购文件，并于</w:t>
      </w:r>
      <w:r>
        <w:rPr>
          <w:rFonts w:hint="eastAsia" w:asciiTheme="minorEastAsia" w:hAnsiTheme="minorEastAsia"/>
          <w:color w:val="auto"/>
          <w:sz w:val="24"/>
          <w:highlight w:val="none"/>
          <w:u w:val="single"/>
        </w:rPr>
        <w:t>202</w:t>
      </w:r>
      <w:r>
        <w:rPr>
          <w:rFonts w:hint="eastAsia" w:asciiTheme="minorEastAsia" w:hAnsiTheme="minorEastAsia"/>
          <w:color w:val="auto"/>
          <w:sz w:val="24"/>
          <w:highlight w:val="none"/>
          <w:u w:val="single"/>
          <w:lang w:val="en-US" w:eastAsia="zh-CN"/>
        </w:rPr>
        <w:t>6</w:t>
      </w:r>
      <w:r>
        <w:rPr>
          <w:rFonts w:asciiTheme="minorEastAsia" w:hAnsiTheme="minorEastAsia"/>
          <w:color w:val="auto"/>
          <w:sz w:val="24"/>
          <w:highlight w:val="none"/>
          <w:u w:val="single"/>
        </w:rPr>
        <w:t>年</w:t>
      </w:r>
      <w:r>
        <w:rPr>
          <w:rFonts w:hint="eastAsia" w:asciiTheme="minorEastAsia" w:hAnsiTheme="minorEastAsia"/>
          <w:color w:val="auto"/>
          <w:sz w:val="24"/>
          <w:highlight w:val="none"/>
          <w:u w:val="single"/>
          <w:lang w:val="en-US" w:eastAsia="zh-CN"/>
        </w:rPr>
        <w:t>4</w:t>
      </w:r>
      <w:r>
        <w:rPr>
          <w:rFonts w:asciiTheme="minorEastAsia" w:hAnsiTheme="minorEastAsia"/>
          <w:color w:val="auto"/>
          <w:sz w:val="24"/>
          <w:highlight w:val="none"/>
          <w:u w:val="single"/>
        </w:rPr>
        <w:t>月</w:t>
      </w:r>
      <w:r>
        <w:rPr>
          <w:rFonts w:hint="eastAsia" w:asciiTheme="minorEastAsia" w:hAnsiTheme="minorEastAsia"/>
          <w:color w:val="auto"/>
          <w:sz w:val="24"/>
          <w:highlight w:val="none"/>
          <w:u w:val="single"/>
          <w:lang w:val="en-US" w:eastAsia="zh-CN"/>
        </w:rPr>
        <w:t xml:space="preserve">27 </w:t>
      </w:r>
      <w:r>
        <w:rPr>
          <w:rFonts w:asciiTheme="minorEastAsia" w:hAnsiTheme="minorEastAsia"/>
          <w:color w:val="auto"/>
          <w:sz w:val="24"/>
          <w:highlight w:val="none"/>
          <w:u w:val="single"/>
        </w:rPr>
        <w:t>日14</w:t>
      </w:r>
      <w:r>
        <w:rPr>
          <w:rFonts w:hint="eastAsia" w:asciiTheme="minorEastAsia" w:hAnsiTheme="minorEastAsia"/>
          <w:color w:val="auto"/>
          <w:sz w:val="24"/>
          <w:highlight w:val="none"/>
          <w:u w:val="single"/>
        </w:rPr>
        <w:t>时</w:t>
      </w:r>
      <w:r>
        <w:rPr>
          <w:rFonts w:asciiTheme="minorEastAsia" w:hAnsiTheme="minorEastAsia"/>
          <w:color w:val="auto"/>
          <w:sz w:val="24"/>
          <w:highlight w:val="none"/>
          <w:u w:val="single"/>
        </w:rPr>
        <w:t>00分</w:t>
      </w:r>
      <w:r>
        <w:rPr>
          <w:rFonts w:asciiTheme="minorEastAsia" w:hAnsiTheme="minorEastAsia"/>
          <w:color w:val="auto"/>
          <w:sz w:val="24"/>
          <w:highlight w:val="none"/>
        </w:rPr>
        <w:t>（北京时间）前提交响应文件。</w:t>
      </w:r>
    </w:p>
    <w:p w14:paraId="1361589D">
      <w:pPr>
        <w:pStyle w:val="4"/>
        <w:rPr>
          <w:color w:val="auto"/>
          <w:kern w:val="0"/>
          <w:highlight w:val="none"/>
        </w:rPr>
      </w:pPr>
      <w:r>
        <w:rPr>
          <w:color w:val="auto"/>
          <w:kern w:val="0"/>
          <w:highlight w:val="none"/>
        </w:rPr>
        <w:t>一、项目基本情况</w:t>
      </w:r>
    </w:p>
    <w:p w14:paraId="11B43D2A">
      <w:pPr>
        <w:widowControl/>
        <w:spacing w:line="360" w:lineRule="auto"/>
        <w:ind w:firstLine="480" w:firstLineChars="200"/>
        <w:rPr>
          <w:rFonts w:cs="宋体" w:asciiTheme="minorEastAsia" w:hAnsiTheme="minorEastAsia"/>
          <w:bCs/>
          <w:color w:val="auto"/>
          <w:kern w:val="0"/>
          <w:sz w:val="24"/>
          <w:highlight w:val="none"/>
        </w:rPr>
      </w:pPr>
      <w:r>
        <w:rPr>
          <w:rFonts w:hint="eastAsia" w:cs="宋体" w:asciiTheme="minorEastAsia" w:hAnsiTheme="minorEastAsia"/>
          <w:bCs/>
          <w:color w:val="auto"/>
          <w:kern w:val="0"/>
          <w:sz w:val="24"/>
          <w:highlight w:val="none"/>
        </w:rPr>
        <w:t>1.项目编号：</w:t>
      </w:r>
      <w:r>
        <w:rPr>
          <w:rFonts w:ascii="宋体" w:hAnsi="宋体" w:eastAsia="宋体" w:cs="宋体"/>
          <w:color w:val="auto"/>
          <w:sz w:val="24"/>
          <w:szCs w:val="24"/>
          <w:highlight w:val="none"/>
        </w:rPr>
        <w:t>JSZC-320600-NTCJ-C</w:t>
      </w:r>
      <w:r>
        <w:rPr>
          <w:rFonts w:ascii="宋体" w:hAnsi="宋体" w:eastAsia="宋体" w:cs="宋体"/>
          <w:color w:val="auto"/>
          <w:sz w:val="24"/>
          <w:szCs w:val="24"/>
          <w:highlight w:val="none"/>
        </w:rPr>
        <w:t>2026-0008</w:t>
      </w:r>
      <w:r>
        <w:rPr>
          <w:rFonts w:hint="eastAsia" w:cs="宋体" w:asciiTheme="minorEastAsia" w:hAnsiTheme="minorEastAsia"/>
          <w:bCs/>
          <w:color w:val="auto"/>
          <w:kern w:val="0"/>
          <w:sz w:val="24"/>
          <w:highlight w:val="none"/>
        </w:rPr>
        <w:t>；</w:t>
      </w:r>
    </w:p>
    <w:p w14:paraId="3DA491BF">
      <w:pPr>
        <w:widowControl/>
        <w:spacing w:line="360" w:lineRule="auto"/>
        <w:ind w:firstLine="482"/>
        <w:rPr>
          <w:rFonts w:cs="宋体" w:asciiTheme="minorEastAsia" w:hAnsiTheme="minorEastAsia"/>
          <w:bCs/>
          <w:color w:val="auto"/>
          <w:kern w:val="0"/>
          <w:sz w:val="24"/>
          <w:highlight w:val="none"/>
        </w:rPr>
      </w:pPr>
      <w:r>
        <w:rPr>
          <w:rFonts w:hint="eastAsia" w:cs="宋体" w:asciiTheme="minorEastAsia" w:hAnsiTheme="minorEastAsia"/>
          <w:bCs/>
          <w:color w:val="auto"/>
          <w:kern w:val="0"/>
          <w:sz w:val="24"/>
          <w:highlight w:val="none"/>
        </w:rPr>
        <w:t>2.项目名称：</w:t>
      </w:r>
      <w:r>
        <w:rPr>
          <w:rFonts w:hint="eastAsia" w:cs="宋体" w:asciiTheme="minorEastAsia" w:hAnsiTheme="minorEastAsia"/>
          <w:bCs/>
          <w:color w:val="auto"/>
          <w:kern w:val="0"/>
          <w:sz w:val="24"/>
          <w:highlight w:val="none"/>
          <w:lang w:eastAsia="zh-CN"/>
        </w:rPr>
        <w:t>南通市市政设施管理处2026年度改性地聚合物注浆加固采购项目</w:t>
      </w:r>
      <w:r>
        <w:rPr>
          <w:rFonts w:hint="eastAsia" w:cs="宋体" w:asciiTheme="minorEastAsia" w:hAnsiTheme="minorEastAsia"/>
          <w:bCs/>
          <w:color w:val="auto"/>
          <w:kern w:val="0"/>
          <w:sz w:val="24"/>
          <w:highlight w:val="none"/>
        </w:rPr>
        <w:t>；</w:t>
      </w:r>
    </w:p>
    <w:p w14:paraId="1F3F9796">
      <w:pPr>
        <w:widowControl/>
        <w:spacing w:line="360" w:lineRule="auto"/>
        <w:ind w:firstLine="482"/>
        <w:rPr>
          <w:rFonts w:cs="宋体" w:asciiTheme="minorEastAsia" w:hAnsiTheme="minorEastAsia"/>
          <w:bCs/>
          <w:color w:val="auto"/>
          <w:kern w:val="0"/>
          <w:sz w:val="24"/>
          <w:highlight w:val="none"/>
        </w:rPr>
      </w:pPr>
      <w:r>
        <w:rPr>
          <w:rFonts w:hint="eastAsia" w:cs="宋体" w:asciiTheme="minorEastAsia" w:hAnsiTheme="minorEastAsia"/>
          <w:bCs/>
          <w:color w:val="auto"/>
          <w:kern w:val="0"/>
          <w:sz w:val="24"/>
          <w:highlight w:val="none"/>
        </w:rPr>
        <w:t>3.项目类型：工程；</w:t>
      </w:r>
    </w:p>
    <w:p w14:paraId="184B8BA2">
      <w:pPr>
        <w:widowControl/>
        <w:spacing w:line="360" w:lineRule="auto"/>
        <w:ind w:firstLine="482"/>
        <w:rPr>
          <w:rFonts w:cs="宋体" w:asciiTheme="minorEastAsia" w:hAnsiTheme="minorEastAsia"/>
          <w:bCs/>
          <w:color w:val="auto"/>
          <w:kern w:val="0"/>
          <w:sz w:val="24"/>
          <w:highlight w:val="none"/>
        </w:rPr>
      </w:pPr>
      <w:r>
        <w:rPr>
          <w:rFonts w:hint="eastAsia" w:cs="宋体" w:asciiTheme="minorEastAsia" w:hAnsiTheme="minorEastAsia"/>
          <w:bCs/>
          <w:color w:val="auto"/>
          <w:kern w:val="0"/>
          <w:sz w:val="24"/>
          <w:highlight w:val="none"/>
        </w:rPr>
        <w:t>4.所属行业：建筑业</w:t>
      </w:r>
    </w:p>
    <w:p w14:paraId="58868020">
      <w:pPr>
        <w:widowControl/>
        <w:spacing w:line="360" w:lineRule="auto"/>
        <w:ind w:firstLine="482"/>
        <w:rPr>
          <w:rFonts w:cs="宋体" w:asciiTheme="minorEastAsia" w:hAnsiTheme="minorEastAsia"/>
          <w:bCs/>
          <w:color w:val="auto"/>
          <w:kern w:val="0"/>
          <w:sz w:val="24"/>
          <w:highlight w:val="none"/>
        </w:rPr>
      </w:pPr>
      <w:r>
        <w:rPr>
          <w:rFonts w:cs="宋体" w:asciiTheme="minorEastAsia" w:hAnsiTheme="minorEastAsia"/>
          <w:bCs/>
          <w:color w:val="auto"/>
          <w:kern w:val="0"/>
          <w:sz w:val="24"/>
          <w:highlight w:val="none"/>
        </w:rPr>
        <w:t>5</w:t>
      </w:r>
      <w:r>
        <w:rPr>
          <w:rFonts w:hint="eastAsia" w:cs="宋体" w:asciiTheme="minorEastAsia" w:hAnsiTheme="minorEastAsia"/>
          <w:bCs/>
          <w:color w:val="auto"/>
          <w:kern w:val="0"/>
          <w:sz w:val="24"/>
          <w:highlight w:val="none"/>
        </w:rPr>
        <w:t>.预算金额：280万元；</w:t>
      </w:r>
    </w:p>
    <w:p w14:paraId="6C1C57AD">
      <w:pPr>
        <w:widowControl/>
        <w:spacing w:line="360" w:lineRule="auto"/>
        <w:ind w:firstLine="482"/>
        <w:rPr>
          <w:rFonts w:cs="宋体" w:asciiTheme="minorEastAsia" w:hAnsiTheme="minorEastAsia"/>
          <w:bCs/>
          <w:color w:val="auto"/>
          <w:kern w:val="0"/>
          <w:sz w:val="24"/>
          <w:highlight w:val="none"/>
        </w:rPr>
      </w:pPr>
      <w:r>
        <w:rPr>
          <w:rFonts w:cs="宋体" w:asciiTheme="minorEastAsia" w:hAnsiTheme="minorEastAsia"/>
          <w:bCs/>
          <w:color w:val="auto"/>
          <w:kern w:val="0"/>
          <w:sz w:val="24"/>
          <w:highlight w:val="none"/>
        </w:rPr>
        <w:t>6</w:t>
      </w:r>
      <w:r>
        <w:rPr>
          <w:rFonts w:hint="eastAsia" w:cs="宋体" w:asciiTheme="minorEastAsia" w:hAnsiTheme="minorEastAsia"/>
          <w:bCs/>
          <w:color w:val="auto"/>
          <w:kern w:val="0"/>
          <w:sz w:val="24"/>
          <w:highlight w:val="none"/>
        </w:rPr>
        <w:t>.最高限价：</w:t>
      </w:r>
      <w:r>
        <w:rPr>
          <w:rFonts w:hint="eastAsia" w:cs="宋体" w:asciiTheme="minorEastAsia" w:hAnsiTheme="minorEastAsia"/>
          <w:bCs/>
          <w:color w:val="auto"/>
          <w:kern w:val="0"/>
          <w:sz w:val="24"/>
          <w:highlight w:val="none"/>
          <w:lang w:val="en-US" w:eastAsia="zh-CN"/>
        </w:rPr>
        <w:t>2359790.91元</w:t>
      </w:r>
      <w:r>
        <w:rPr>
          <w:rFonts w:hint="eastAsia" w:cs="宋体" w:asciiTheme="minorEastAsia" w:hAnsiTheme="minorEastAsia"/>
          <w:bCs/>
          <w:color w:val="auto"/>
          <w:kern w:val="0"/>
          <w:sz w:val="24"/>
          <w:highlight w:val="none"/>
        </w:rPr>
        <w:t>；</w:t>
      </w:r>
    </w:p>
    <w:p w14:paraId="5A862D3C">
      <w:pPr>
        <w:widowControl/>
        <w:spacing w:line="360" w:lineRule="auto"/>
        <w:ind w:firstLine="482"/>
        <w:rPr>
          <w:rFonts w:cs="宋体" w:asciiTheme="minorEastAsia" w:hAnsiTheme="minorEastAsia"/>
          <w:bCs/>
          <w:color w:val="auto"/>
          <w:kern w:val="0"/>
          <w:sz w:val="24"/>
          <w:highlight w:val="none"/>
        </w:rPr>
      </w:pPr>
      <w:r>
        <w:rPr>
          <w:rFonts w:cs="宋体" w:asciiTheme="minorEastAsia" w:hAnsiTheme="minorEastAsia"/>
          <w:bCs/>
          <w:color w:val="auto"/>
          <w:kern w:val="0"/>
          <w:sz w:val="24"/>
          <w:highlight w:val="none"/>
        </w:rPr>
        <w:t>7</w:t>
      </w:r>
      <w:r>
        <w:rPr>
          <w:rFonts w:hint="eastAsia" w:cs="宋体" w:asciiTheme="minorEastAsia" w:hAnsiTheme="minorEastAsia"/>
          <w:bCs/>
          <w:color w:val="auto"/>
          <w:kern w:val="0"/>
          <w:sz w:val="24"/>
          <w:highlight w:val="none"/>
        </w:rPr>
        <w:t>.采购需求：详见第三部分</w:t>
      </w:r>
      <w:r>
        <w:rPr>
          <w:rFonts w:hint="eastAsia" w:cs="宋体" w:asciiTheme="minorEastAsia" w:hAnsiTheme="minorEastAsia"/>
          <w:bCs/>
          <w:color w:val="auto"/>
          <w:kern w:val="0"/>
          <w:sz w:val="24"/>
          <w:highlight w:val="none"/>
        </w:rPr>
        <w:t>；</w:t>
      </w:r>
    </w:p>
    <w:p w14:paraId="7BDCA04B">
      <w:pPr>
        <w:widowControl/>
        <w:spacing w:line="360" w:lineRule="auto"/>
        <w:ind w:firstLine="482"/>
        <w:rPr>
          <w:rFonts w:cs="宋体" w:asciiTheme="minorEastAsia" w:hAnsiTheme="minorEastAsia"/>
          <w:bCs/>
          <w:color w:val="auto"/>
          <w:kern w:val="0"/>
          <w:sz w:val="24"/>
          <w:highlight w:val="none"/>
        </w:rPr>
      </w:pPr>
      <w:r>
        <w:rPr>
          <w:rFonts w:cs="宋体" w:asciiTheme="minorEastAsia" w:hAnsiTheme="minorEastAsia"/>
          <w:bCs/>
          <w:color w:val="auto"/>
          <w:kern w:val="0"/>
          <w:sz w:val="24"/>
          <w:highlight w:val="none"/>
        </w:rPr>
        <w:t>8</w:t>
      </w:r>
      <w:r>
        <w:rPr>
          <w:rFonts w:hint="eastAsia" w:cs="宋体" w:asciiTheme="minorEastAsia" w:hAnsiTheme="minorEastAsia"/>
          <w:bCs/>
          <w:color w:val="auto"/>
          <w:kern w:val="0"/>
          <w:sz w:val="24"/>
          <w:highlight w:val="none"/>
        </w:rPr>
        <w:t>.合同履行期限：合同自签订之日起1年或服务期1年内合同结算费用达到</w:t>
      </w:r>
      <w:r>
        <w:rPr>
          <w:rFonts w:cs="宋体" w:asciiTheme="minorEastAsia" w:hAnsiTheme="minorEastAsia"/>
          <w:bCs/>
          <w:color w:val="auto"/>
          <w:kern w:val="0"/>
          <w:sz w:val="24"/>
          <w:highlight w:val="none"/>
        </w:rPr>
        <w:t>2</w:t>
      </w:r>
      <w:r>
        <w:rPr>
          <w:rFonts w:hint="eastAsia" w:cs="宋体" w:asciiTheme="minorEastAsia" w:hAnsiTheme="minorEastAsia"/>
          <w:bCs/>
          <w:color w:val="auto"/>
          <w:kern w:val="0"/>
          <w:sz w:val="24"/>
          <w:highlight w:val="none"/>
        </w:rPr>
        <w:t>8</w:t>
      </w:r>
      <w:r>
        <w:rPr>
          <w:rFonts w:cs="宋体" w:asciiTheme="minorEastAsia" w:hAnsiTheme="minorEastAsia"/>
          <w:bCs/>
          <w:color w:val="auto"/>
          <w:kern w:val="0"/>
          <w:sz w:val="24"/>
          <w:highlight w:val="none"/>
        </w:rPr>
        <w:t>0</w:t>
      </w:r>
      <w:r>
        <w:rPr>
          <w:rFonts w:hint="eastAsia" w:cs="宋体" w:asciiTheme="minorEastAsia" w:hAnsiTheme="minorEastAsia"/>
          <w:bCs/>
          <w:color w:val="auto"/>
          <w:kern w:val="0"/>
          <w:sz w:val="24"/>
          <w:highlight w:val="none"/>
        </w:rPr>
        <w:t>万元，则合同终止。</w:t>
      </w:r>
    </w:p>
    <w:p w14:paraId="35B10170">
      <w:pPr>
        <w:widowControl/>
        <w:spacing w:line="360" w:lineRule="auto"/>
        <w:ind w:firstLine="482"/>
        <w:rPr>
          <w:rFonts w:cs="宋体" w:asciiTheme="minorEastAsia" w:hAnsiTheme="minorEastAsia"/>
          <w:bCs/>
          <w:color w:val="auto"/>
          <w:kern w:val="0"/>
          <w:sz w:val="24"/>
          <w:highlight w:val="none"/>
        </w:rPr>
      </w:pPr>
      <w:r>
        <w:rPr>
          <w:rFonts w:hint="eastAsia" w:cs="宋体" w:asciiTheme="minorEastAsia" w:hAnsiTheme="minorEastAsia"/>
          <w:bCs/>
          <w:color w:val="auto"/>
          <w:kern w:val="0"/>
          <w:sz w:val="24"/>
          <w:highlight w:val="none"/>
        </w:rPr>
        <w:t>9</w:t>
      </w:r>
      <w:r>
        <w:rPr>
          <w:rFonts w:cs="宋体" w:asciiTheme="minorEastAsia" w:hAnsiTheme="minorEastAsia"/>
          <w:bCs/>
          <w:color w:val="auto"/>
          <w:kern w:val="0"/>
          <w:sz w:val="24"/>
          <w:highlight w:val="none"/>
        </w:rPr>
        <w:t>.</w:t>
      </w:r>
      <w:r>
        <w:rPr>
          <w:rFonts w:hint="eastAsia" w:cs="宋体" w:asciiTheme="minorEastAsia" w:hAnsiTheme="minorEastAsia"/>
          <w:bCs/>
          <w:color w:val="auto"/>
          <w:kern w:val="0"/>
          <w:sz w:val="24"/>
          <w:highlight w:val="none"/>
        </w:rPr>
        <w:t>本项目不接受联合体投标。</w:t>
      </w:r>
    </w:p>
    <w:p w14:paraId="21402AA4">
      <w:pPr>
        <w:pStyle w:val="4"/>
        <w:rPr>
          <w:color w:val="auto"/>
          <w:kern w:val="0"/>
          <w:highlight w:val="none"/>
        </w:rPr>
      </w:pPr>
      <w:bookmarkStart w:id="3" w:name="_Hlk169616745"/>
      <w:r>
        <w:rPr>
          <w:color w:val="auto"/>
          <w:kern w:val="0"/>
          <w:highlight w:val="none"/>
        </w:rPr>
        <w:t>二、供应商的资格要求：</w:t>
      </w:r>
    </w:p>
    <w:p w14:paraId="43F84145">
      <w:pPr>
        <w:widowControl/>
        <w:snapToGrid w:val="0"/>
        <w:spacing w:line="360" w:lineRule="auto"/>
        <w:ind w:firstLine="480" w:firstLineChars="200"/>
        <w:jc w:val="left"/>
        <w:rPr>
          <w:rFonts w:cs="宋体" w:asciiTheme="minorEastAsia" w:hAnsiTheme="minorEastAsia"/>
          <w:bCs/>
          <w:color w:val="auto"/>
          <w:kern w:val="0"/>
          <w:sz w:val="24"/>
          <w:szCs w:val="24"/>
          <w:highlight w:val="none"/>
        </w:rPr>
      </w:pPr>
      <w:r>
        <w:rPr>
          <w:rFonts w:hint="eastAsia" w:cs="宋体" w:asciiTheme="minorEastAsia" w:hAnsiTheme="minorEastAsia"/>
          <w:bCs/>
          <w:color w:val="auto"/>
          <w:kern w:val="0"/>
          <w:sz w:val="24"/>
          <w:szCs w:val="24"/>
          <w:highlight w:val="none"/>
        </w:rPr>
        <w:t>1.满足《中华人民共和国政府采购法》第二十二条规定；</w:t>
      </w:r>
    </w:p>
    <w:p w14:paraId="4F2B6747">
      <w:pPr>
        <w:widowControl/>
        <w:snapToGrid w:val="0"/>
        <w:spacing w:line="360" w:lineRule="auto"/>
        <w:ind w:firstLine="480" w:firstLineChars="200"/>
        <w:jc w:val="left"/>
        <w:rPr>
          <w:rFonts w:cs="宋体" w:asciiTheme="minorEastAsia" w:hAnsiTheme="minorEastAsia"/>
          <w:bCs/>
          <w:color w:val="auto"/>
          <w:kern w:val="0"/>
          <w:sz w:val="24"/>
          <w:szCs w:val="24"/>
          <w:highlight w:val="none"/>
        </w:rPr>
      </w:pPr>
      <w:r>
        <w:rPr>
          <w:rFonts w:cs="宋体" w:asciiTheme="minorEastAsia" w:hAnsiTheme="minorEastAsia"/>
          <w:bCs/>
          <w:color w:val="auto"/>
          <w:kern w:val="0"/>
          <w:sz w:val="24"/>
          <w:szCs w:val="24"/>
          <w:highlight w:val="none"/>
        </w:rPr>
        <w:t>2</w:t>
      </w:r>
      <w:r>
        <w:rPr>
          <w:rFonts w:hint="eastAsia" w:cs="宋体" w:asciiTheme="minorEastAsia" w:hAnsiTheme="minorEastAsia"/>
          <w:bCs/>
          <w:color w:val="auto"/>
          <w:kern w:val="0"/>
          <w:sz w:val="24"/>
          <w:szCs w:val="24"/>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14CA183B">
      <w:pPr>
        <w:widowControl/>
        <w:snapToGrid w:val="0"/>
        <w:spacing w:line="360" w:lineRule="auto"/>
        <w:ind w:firstLine="480" w:firstLineChars="200"/>
        <w:jc w:val="left"/>
        <w:rPr>
          <w:rFonts w:cs="宋体" w:asciiTheme="minorEastAsia" w:hAnsiTheme="minorEastAsia"/>
          <w:bCs/>
          <w:color w:val="auto"/>
          <w:kern w:val="0"/>
          <w:sz w:val="24"/>
          <w:szCs w:val="24"/>
          <w:highlight w:val="none"/>
        </w:rPr>
      </w:pPr>
      <w:r>
        <w:rPr>
          <w:rFonts w:cs="宋体" w:asciiTheme="minorEastAsia" w:hAnsiTheme="minorEastAsia"/>
          <w:bCs/>
          <w:color w:val="auto"/>
          <w:kern w:val="0"/>
          <w:sz w:val="24"/>
          <w:szCs w:val="24"/>
          <w:highlight w:val="none"/>
        </w:rPr>
        <w:t>3</w:t>
      </w:r>
      <w:r>
        <w:rPr>
          <w:rFonts w:hint="eastAsia" w:cs="宋体" w:asciiTheme="minorEastAsia" w:hAnsiTheme="minorEastAsia"/>
          <w:bCs/>
          <w:color w:val="auto"/>
          <w:kern w:val="0"/>
          <w:sz w:val="24"/>
          <w:szCs w:val="24"/>
          <w:highlight w:val="none"/>
        </w:rPr>
        <w:t>.落实政府采购政策需满足的资格要求：本项目</w:t>
      </w:r>
      <w:r>
        <w:rPr>
          <w:rFonts w:hint="eastAsia" w:cs="宋体" w:asciiTheme="minorEastAsia" w:hAnsiTheme="minorEastAsia"/>
          <w:b/>
          <w:bCs/>
          <w:color w:val="auto"/>
          <w:kern w:val="0"/>
          <w:sz w:val="24"/>
          <w:szCs w:val="24"/>
          <w:highlight w:val="none"/>
          <w:u w:val="single"/>
        </w:rPr>
        <w:t>专门面向中小企业采购</w:t>
      </w:r>
      <w:r>
        <w:rPr>
          <w:rFonts w:hint="eastAsia" w:cs="宋体" w:asciiTheme="minorEastAsia" w:hAnsiTheme="minorEastAsia"/>
          <w:bCs/>
          <w:color w:val="auto"/>
          <w:kern w:val="0"/>
          <w:sz w:val="24"/>
          <w:szCs w:val="24"/>
          <w:highlight w:val="none"/>
        </w:rPr>
        <w:t>，供应商应为中小微企业、监狱企业、残疾人福利性单位，并按照采购文件要求提供《中小企业声明函》、《残疾人福利性单位声明函》或监狱和戒毒企业证明材料。</w:t>
      </w:r>
    </w:p>
    <w:p w14:paraId="4ECAF986">
      <w:pPr>
        <w:widowControl/>
        <w:snapToGrid w:val="0"/>
        <w:spacing w:line="360" w:lineRule="auto"/>
        <w:ind w:firstLine="480" w:firstLineChars="200"/>
        <w:jc w:val="left"/>
        <w:rPr>
          <w:rFonts w:cs="宋体" w:asciiTheme="minorEastAsia" w:hAnsiTheme="minorEastAsia"/>
          <w:bCs/>
          <w:color w:val="auto"/>
          <w:kern w:val="0"/>
          <w:sz w:val="24"/>
          <w:szCs w:val="24"/>
          <w:highlight w:val="none"/>
        </w:rPr>
      </w:pPr>
      <w:r>
        <w:rPr>
          <w:rFonts w:cs="宋体" w:asciiTheme="minorEastAsia" w:hAnsiTheme="minorEastAsia"/>
          <w:bCs/>
          <w:color w:val="auto"/>
          <w:kern w:val="0"/>
          <w:sz w:val="24"/>
          <w:szCs w:val="24"/>
          <w:highlight w:val="none"/>
        </w:rPr>
        <w:t>4</w:t>
      </w:r>
      <w:r>
        <w:rPr>
          <w:rFonts w:hint="eastAsia" w:cs="宋体" w:asciiTheme="minorEastAsia" w:hAnsiTheme="minorEastAsia"/>
          <w:bCs/>
          <w:color w:val="auto"/>
          <w:kern w:val="0"/>
          <w:sz w:val="24"/>
          <w:szCs w:val="24"/>
          <w:highlight w:val="none"/>
        </w:rPr>
        <w:t>.本项目的特定资格要求：</w:t>
      </w:r>
    </w:p>
    <w:p w14:paraId="47B3C864">
      <w:pPr>
        <w:widowControl/>
        <w:snapToGrid w:val="0"/>
        <w:spacing w:line="360" w:lineRule="auto"/>
        <w:ind w:firstLine="480" w:firstLineChars="200"/>
        <w:jc w:val="left"/>
        <w:rPr>
          <w:rFonts w:cs="宋体" w:asciiTheme="minorEastAsia" w:hAnsiTheme="minorEastAsia"/>
          <w:bCs/>
          <w:color w:val="auto"/>
          <w:kern w:val="0"/>
          <w:sz w:val="24"/>
          <w:szCs w:val="24"/>
          <w:highlight w:val="none"/>
        </w:rPr>
      </w:pPr>
      <w:bookmarkStart w:id="4" w:name="_Hlk137645398"/>
      <w:r>
        <w:rPr>
          <w:rFonts w:hint="eastAsia" w:cs="宋体" w:asciiTheme="minorEastAsia" w:hAnsiTheme="minorEastAsia"/>
          <w:bCs/>
          <w:color w:val="auto"/>
          <w:kern w:val="0"/>
          <w:sz w:val="24"/>
          <w:szCs w:val="24"/>
          <w:highlight w:val="none"/>
        </w:rPr>
        <w:t>（</w:t>
      </w:r>
      <w:r>
        <w:rPr>
          <w:rFonts w:cs="宋体" w:asciiTheme="minorEastAsia" w:hAnsiTheme="minorEastAsia"/>
          <w:bCs/>
          <w:color w:val="auto"/>
          <w:kern w:val="0"/>
          <w:sz w:val="24"/>
          <w:szCs w:val="24"/>
          <w:highlight w:val="none"/>
        </w:rPr>
        <w:t>1</w:t>
      </w:r>
      <w:r>
        <w:rPr>
          <w:rFonts w:hint="eastAsia" w:cs="宋体" w:asciiTheme="minorEastAsia" w:hAnsiTheme="minorEastAsia"/>
          <w:bCs/>
          <w:color w:val="auto"/>
          <w:kern w:val="0"/>
          <w:sz w:val="24"/>
          <w:szCs w:val="24"/>
          <w:highlight w:val="none"/>
        </w:rPr>
        <w:t>）投标单位须具有市政公用工程施工总承包叁级及以上资质或地基基础工程专业承包叁级及以上资质或特种工程（结构补强）专业承包资质（资质须在有效期内）。</w:t>
      </w:r>
    </w:p>
    <w:p w14:paraId="00C3C03D">
      <w:pPr>
        <w:widowControl/>
        <w:snapToGrid w:val="0"/>
        <w:spacing w:line="360" w:lineRule="auto"/>
        <w:ind w:firstLine="480" w:firstLineChars="200"/>
        <w:jc w:val="left"/>
        <w:rPr>
          <w:rFonts w:cs="宋体" w:asciiTheme="minorEastAsia" w:hAnsiTheme="minorEastAsia"/>
          <w:bCs/>
          <w:color w:val="auto"/>
          <w:kern w:val="0"/>
          <w:sz w:val="24"/>
          <w:szCs w:val="24"/>
          <w:highlight w:val="none"/>
        </w:rPr>
      </w:pPr>
      <w:r>
        <w:rPr>
          <w:rFonts w:hint="eastAsia" w:cs="宋体" w:asciiTheme="minorEastAsia" w:hAnsiTheme="minorEastAsia"/>
          <w:bCs/>
          <w:color w:val="auto"/>
          <w:kern w:val="0"/>
          <w:sz w:val="24"/>
          <w:szCs w:val="24"/>
          <w:highlight w:val="none"/>
        </w:rPr>
        <w:t>（</w:t>
      </w:r>
      <w:r>
        <w:rPr>
          <w:rFonts w:cs="宋体" w:asciiTheme="minorEastAsia" w:hAnsiTheme="minorEastAsia"/>
          <w:bCs/>
          <w:color w:val="auto"/>
          <w:kern w:val="0"/>
          <w:sz w:val="24"/>
          <w:szCs w:val="24"/>
          <w:highlight w:val="none"/>
        </w:rPr>
        <w:t>2</w:t>
      </w:r>
      <w:r>
        <w:rPr>
          <w:rFonts w:hint="eastAsia" w:cs="宋体" w:asciiTheme="minorEastAsia" w:hAnsiTheme="minorEastAsia"/>
          <w:bCs/>
          <w:color w:val="auto"/>
          <w:kern w:val="0"/>
          <w:sz w:val="24"/>
          <w:szCs w:val="24"/>
          <w:highlight w:val="none"/>
        </w:rPr>
        <w:t>）投标人须具有由行政主管部门颁发的有效期内的安全生产许可证（</w:t>
      </w:r>
      <w:r>
        <w:rPr>
          <w:rFonts w:hint="eastAsia" w:cs="宋体" w:asciiTheme="minorEastAsia" w:hAnsiTheme="minorEastAsia"/>
          <w:bCs/>
          <w:color w:val="auto"/>
          <w:kern w:val="0"/>
          <w:sz w:val="24"/>
          <w:szCs w:val="24"/>
          <w:highlight w:val="none"/>
          <w:lang w:val="en-US" w:eastAsia="zh-CN"/>
        </w:rPr>
        <w:t>证书</w:t>
      </w:r>
      <w:r>
        <w:rPr>
          <w:rFonts w:hint="eastAsia" w:cs="宋体" w:asciiTheme="minorEastAsia" w:hAnsiTheme="minorEastAsia"/>
          <w:bCs/>
          <w:color w:val="auto"/>
          <w:kern w:val="0"/>
          <w:sz w:val="24"/>
          <w:szCs w:val="24"/>
          <w:highlight w:val="none"/>
        </w:rPr>
        <w:t>须在有效期内）。</w:t>
      </w:r>
      <w:bookmarkEnd w:id="4"/>
    </w:p>
    <w:bookmarkEnd w:id="3"/>
    <w:p w14:paraId="64EB92E8">
      <w:pPr>
        <w:widowControl/>
        <w:snapToGrid w:val="0"/>
        <w:spacing w:line="360" w:lineRule="auto"/>
        <w:ind w:firstLine="480" w:firstLineChars="200"/>
        <w:jc w:val="left"/>
        <w:rPr>
          <w:rFonts w:cs="宋体" w:asciiTheme="minorEastAsia" w:hAnsiTheme="minorEastAsia"/>
          <w:bCs/>
          <w:color w:val="auto"/>
          <w:kern w:val="0"/>
          <w:sz w:val="24"/>
          <w:szCs w:val="24"/>
          <w:highlight w:val="none"/>
        </w:rPr>
      </w:pPr>
      <w:r>
        <w:rPr>
          <w:rFonts w:hint="eastAsia" w:cs="宋体" w:asciiTheme="minorEastAsia" w:hAnsiTheme="minorEastAsia"/>
          <w:bCs/>
          <w:color w:val="auto"/>
          <w:kern w:val="0"/>
          <w:sz w:val="24"/>
          <w:szCs w:val="24"/>
          <w:highlight w:val="none"/>
        </w:rPr>
        <w:t>5.符合相关法律、法规规定的其他要求。</w:t>
      </w:r>
    </w:p>
    <w:p w14:paraId="7C1D4DFC">
      <w:pPr>
        <w:widowControl/>
        <w:snapToGrid w:val="0"/>
        <w:spacing w:line="360" w:lineRule="auto"/>
        <w:ind w:firstLine="482" w:firstLineChars="200"/>
        <w:jc w:val="left"/>
        <w:rPr>
          <w:rFonts w:cs="宋体" w:asciiTheme="minorEastAsia" w:hAnsiTheme="minorEastAsia"/>
          <w:b/>
          <w:color w:val="auto"/>
          <w:kern w:val="0"/>
          <w:sz w:val="24"/>
          <w:szCs w:val="24"/>
          <w:highlight w:val="none"/>
        </w:rPr>
      </w:pPr>
      <w:r>
        <w:rPr>
          <w:rFonts w:hint="eastAsia" w:cs="宋体" w:asciiTheme="minorEastAsia" w:hAnsiTheme="minorEastAsia"/>
          <w:b/>
          <w:color w:val="auto"/>
          <w:kern w:val="0"/>
          <w:sz w:val="24"/>
          <w:szCs w:val="24"/>
          <w:highlight w:val="none"/>
        </w:rPr>
        <w:t>具体资格要求详见第五部分资格审查证明材料。</w:t>
      </w:r>
    </w:p>
    <w:p w14:paraId="43D015E6">
      <w:pPr>
        <w:widowControl/>
        <w:spacing w:line="360" w:lineRule="auto"/>
        <w:ind w:firstLine="480"/>
        <w:rPr>
          <w:rFonts w:cs="宋体" w:asciiTheme="minorEastAsia" w:hAnsiTheme="minorEastAsia"/>
          <w:b/>
          <w:bCs/>
          <w:color w:val="auto"/>
          <w:kern w:val="0"/>
          <w:sz w:val="24"/>
          <w:szCs w:val="24"/>
          <w:highlight w:val="none"/>
        </w:rPr>
      </w:pPr>
      <w:r>
        <w:rPr>
          <w:rFonts w:hint="eastAsia" w:cs="宋体" w:asciiTheme="minorEastAsia" w:hAnsiTheme="minorEastAsia"/>
          <w:b/>
          <w:bCs/>
          <w:color w:val="auto"/>
          <w:kern w:val="0"/>
          <w:sz w:val="24"/>
          <w:szCs w:val="24"/>
          <w:highlight w:val="none"/>
        </w:rPr>
        <w:t>【特别提醒】单位负责人为同一人或者存在直接控股、管理关系的不同供应商，不得同时参与同一采购项目相同标段的政府采购活动；为采购项目提供整体设计、规范编制或者项目管理、监理、检测等服务的供应商，不得再参加该采购项目的其他采购活动；如发现供应商递交的资格后审材料有弄虚作假行为，该供应商将记入不良记录，并上报有关部门，如已成交，采购人有权取消其成交资格，并由该供应商承担由此带来可能的一切责任和损失。</w:t>
      </w:r>
    </w:p>
    <w:p w14:paraId="4B8DEEF8">
      <w:pPr>
        <w:adjustRightInd w:val="0"/>
        <w:snapToGrid w:val="0"/>
        <w:spacing w:line="360" w:lineRule="auto"/>
        <w:rPr>
          <w:rFonts w:asciiTheme="minorEastAsia" w:hAnsiTheme="minorEastAsia"/>
          <w:b/>
          <w:bCs/>
          <w:color w:val="auto"/>
          <w:kern w:val="0"/>
          <w:sz w:val="32"/>
          <w:szCs w:val="32"/>
          <w:highlight w:val="none"/>
        </w:rPr>
      </w:pPr>
      <w:bookmarkStart w:id="5" w:name="_Hlk191480469"/>
      <w:r>
        <w:rPr>
          <w:rFonts w:hint="eastAsia" w:asciiTheme="minorEastAsia" w:hAnsiTheme="minorEastAsia"/>
          <w:b/>
          <w:bCs/>
          <w:color w:val="auto"/>
          <w:kern w:val="0"/>
          <w:sz w:val="32"/>
          <w:szCs w:val="32"/>
          <w:highlight w:val="none"/>
        </w:rPr>
        <w:t>三、获取采购文件</w:t>
      </w:r>
    </w:p>
    <w:p w14:paraId="4641F9BD">
      <w:pPr>
        <w:widowControl/>
        <w:shd w:val="clear" w:color="auto" w:fill="FFFFFF"/>
        <w:adjustRightInd w:val="0"/>
        <w:snapToGrid w:val="0"/>
        <w:spacing w:line="360" w:lineRule="auto"/>
        <w:ind w:firstLine="480" w:firstLineChars="200"/>
        <w:rPr>
          <w:rFonts w:cs="宋体" w:asciiTheme="minorEastAsia" w:hAnsiTheme="minorEastAsia"/>
          <w:bCs/>
          <w:color w:val="auto"/>
          <w:kern w:val="0"/>
          <w:sz w:val="24"/>
          <w:highlight w:val="none"/>
        </w:rPr>
      </w:pPr>
      <w:r>
        <w:rPr>
          <w:rFonts w:hint="eastAsia" w:cs="宋体" w:asciiTheme="minorEastAsia" w:hAnsiTheme="minorEastAsia"/>
          <w:bCs/>
          <w:color w:val="auto"/>
          <w:kern w:val="0"/>
          <w:sz w:val="24"/>
          <w:highlight w:val="none"/>
        </w:rPr>
        <w:t>1.时间：自采购文件公告发布之日起5个工作日</w:t>
      </w:r>
    </w:p>
    <w:p w14:paraId="714E5158">
      <w:pPr>
        <w:widowControl/>
        <w:shd w:val="clear" w:color="auto" w:fill="FFFFFF"/>
        <w:adjustRightInd w:val="0"/>
        <w:snapToGrid w:val="0"/>
        <w:spacing w:line="360" w:lineRule="auto"/>
        <w:ind w:firstLine="480" w:firstLineChars="200"/>
        <w:rPr>
          <w:rFonts w:cs="宋体" w:asciiTheme="minorEastAsia" w:hAnsiTheme="minorEastAsia"/>
          <w:bCs/>
          <w:color w:val="auto"/>
          <w:kern w:val="0"/>
          <w:sz w:val="24"/>
          <w:highlight w:val="none"/>
        </w:rPr>
      </w:pPr>
      <w:r>
        <w:rPr>
          <w:rFonts w:hint="eastAsia" w:cs="宋体" w:asciiTheme="minorEastAsia" w:hAnsiTheme="minorEastAsia"/>
          <w:bCs/>
          <w:color w:val="auto"/>
          <w:kern w:val="0"/>
          <w:sz w:val="24"/>
          <w:highlight w:val="none"/>
        </w:rPr>
        <w:t>2.地点：江苏省政府采购网</w:t>
      </w:r>
    </w:p>
    <w:p w14:paraId="098308FD">
      <w:pPr>
        <w:widowControl/>
        <w:shd w:val="clear" w:color="auto" w:fill="FFFFFF"/>
        <w:adjustRightInd w:val="0"/>
        <w:snapToGrid w:val="0"/>
        <w:spacing w:line="360" w:lineRule="auto"/>
        <w:ind w:firstLine="480" w:firstLineChars="200"/>
        <w:rPr>
          <w:rFonts w:cs="宋体" w:asciiTheme="minorEastAsia" w:hAnsiTheme="minorEastAsia"/>
          <w:bCs/>
          <w:color w:val="auto"/>
          <w:kern w:val="0"/>
          <w:sz w:val="24"/>
          <w:highlight w:val="none"/>
        </w:rPr>
      </w:pPr>
      <w:r>
        <w:rPr>
          <w:rFonts w:hint="eastAsia" w:cs="宋体" w:asciiTheme="minorEastAsia" w:hAnsiTheme="minorEastAsia"/>
          <w:bCs/>
          <w:color w:val="auto"/>
          <w:kern w:val="0"/>
          <w:sz w:val="24"/>
          <w:highlight w:val="none"/>
        </w:rPr>
        <w:t>3.方式：网上注册登记成功后系统免费下载</w:t>
      </w:r>
    </w:p>
    <w:p w14:paraId="4BB096CD">
      <w:pPr>
        <w:widowControl/>
        <w:shd w:val="clear" w:color="auto" w:fill="FFFFFF"/>
        <w:adjustRightInd w:val="0"/>
        <w:snapToGrid w:val="0"/>
        <w:spacing w:line="360" w:lineRule="auto"/>
        <w:ind w:firstLine="480" w:firstLineChars="200"/>
        <w:rPr>
          <w:rFonts w:cs="宋体" w:asciiTheme="minorEastAsia" w:hAnsiTheme="minorEastAsia"/>
          <w:bCs/>
          <w:color w:val="auto"/>
          <w:kern w:val="0"/>
          <w:sz w:val="24"/>
          <w:highlight w:val="none"/>
        </w:rPr>
      </w:pPr>
      <w:r>
        <w:rPr>
          <w:rFonts w:hint="eastAsia" w:cs="宋体" w:asciiTheme="minorEastAsia" w:hAnsiTheme="minorEastAsia"/>
          <w:bCs/>
          <w:color w:val="auto"/>
          <w:kern w:val="0"/>
          <w:sz w:val="24"/>
          <w:highlight w:val="none"/>
        </w:rPr>
        <w:t>4.售价：0.00元</w:t>
      </w:r>
    </w:p>
    <w:p w14:paraId="28ED0AF7">
      <w:pPr>
        <w:widowControl/>
        <w:spacing w:line="360" w:lineRule="auto"/>
        <w:jc w:val="left"/>
        <w:rPr>
          <w:rFonts w:asciiTheme="minorEastAsia" w:hAnsiTheme="minorEastAsia"/>
          <w:b/>
          <w:bCs/>
          <w:color w:val="auto"/>
          <w:kern w:val="0"/>
          <w:sz w:val="32"/>
          <w:szCs w:val="32"/>
          <w:highlight w:val="none"/>
        </w:rPr>
      </w:pPr>
      <w:r>
        <w:rPr>
          <w:rFonts w:asciiTheme="minorEastAsia" w:hAnsiTheme="minorEastAsia"/>
          <w:b/>
          <w:bCs/>
          <w:color w:val="auto"/>
          <w:kern w:val="0"/>
          <w:sz w:val="32"/>
          <w:szCs w:val="32"/>
          <w:highlight w:val="none"/>
        </w:rPr>
        <w:t>四、响应文件提交</w:t>
      </w:r>
    </w:p>
    <w:p w14:paraId="130D865C">
      <w:pPr>
        <w:widowControl/>
        <w:spacing w:line="360" w:lineRule="auto"/>
        <w:ind w:firstLine="482"/>
        <w:jc w:val="left"/>
        <w:rPr>
          <w:rFonts w:cs="宋体" w:asciiTheme="minorEastAsia" w:hAnsiTheme="minorEastAsia"/>
          <w:color w:val="auto"/>
          <w:kern w:val="0"/>
          <w:sz w:val="24"/>
          <w:highlight w:val="none"/>
        </w:rPr>
      </w:pPr>
      <w:r>
        <w:rPr>
          <w:rFonts w:hint="eastAsia" w:cs="宋体" w:asciiTheme="minorEastAsia" w:hAnsiTheme="minorEastAsia"/>
          <w:bCs/>
          <w:color w:val="auto"/>
          <w:kern w:val="0"/>
          <w:sz w:val="24"/>
          <w:highlight w:val="none"/>
        </w:rPr>
        <w:t>1.截止时间</w:t>
      </w:r>
      <w:r>
        <w:rPr>
          <w:rFonts w:hint="eastAsia" w:cs="宋体" w:asciiTheme="minorEastAsia" w:hAnsiTheme="minorEastAsia"/>
          <w:color w:val="auto"/>
          <w:kern w:val="0"/>
          <w:sz w:val="24"/>
          <w:highlight w:val="none"/>
        </w:rPr>
        <w:t>：</w:t>
      </w:r>
      <w:r>
        <w:rPr>
          <w:rFonts w:hint="eastAsia" w:cs="宋体" w:asciiTheme="minorEastAsia" w:hAnsiTheme="minorEastAsia"/>
          <w:b/>
          <w:bCs/>
          <w:color w:val="auto"/>
          <w:kern w:val="0"/>
          <w:sz w:val="24"/>
          <w:highlight w:val="none"/>
        </w:rPr>
        <w:t>202</w:t>
      </w:r>
      <w:r>
        <w:rPr>
          <w:rFonts w:hint="eastAsia" w:cs="宋体" w:asciiTheme="minorEastAsia" w:hAnsiTheme="minorEastAsia"/>
          <w:b/>
          <w:bCs/>
          <w:color w:val="auto"/>
          <w:kern w:val="0"/>
          <w:sz w:val="24"/>
          <w:highlight w:val="none"/>
          <w:lang w:val="en-US" w:eastAsia="zh-CN"/>
        </w:rPr>
        <w:t>6</w:t>
      </w:r>
      <w:r>
        <w:rPr>
          <w:rFonts w:hint="eastAsia" w:cs="宋体" w:asciiTheme="minorEastAsia" w:hAnsiTheme="minorEastAsia"/>
          <w:b/>
          <w:bCs/>
          <w:color w:val="auto"/>
          <w:kern w:val="0"/>
          <w:sz w:val="24"/>
          <w:highlight w:val="none"/>
        </w:rPr>
        <w:t>年</w:t>
      </w:r>
      <w:r>
        <w:rPr>
          <w:rFonts w:hint="eastAsia" w:cs="宋体" w:asciiTheme="minorEastAsia" w:hAnsiTheme="minorEastAsia"/>
          <w:b/>
          <w:bCs/>
          <w:color w:val="auto"/>
          <w:kern w:val="0"/>
          <w:sz w:val="24"/>
          <w:highlight w:val="none"/>
          <w:lang w:val="en-US" w:eastAsia="zh-CN"/>
        </w:rPr>
        <w:t>4</w:t>
      </w:r>
      <w:r>
        <w:rPr>
          <w:rFonts w:hint="eastAsia" w:cs="宋体" w:asciiTheme="minorEastAsia" w:hAnsiTheme="minorEastAsia"/>
          <w:b/>
          <w:bCs/>
          <w:color w:val="auto"/>
          <w:kern w:val="0"/>
          <w:sz w:val="24"/>
          <w:highlight w:val="none"/>
        </w:rPr>
        <w:t>月</w:t>
      </w:r>
      <w:r>
        <w:rPr>
          <w:rFonts w:hint="eastAsia" w:cs="宋体" w:asciiTheme="minorEastAsia" w:hAnsiTheme="minorEastAsia"/>
          <w:b/>
          <w:bCs/>
          <w:color w:val="auto"/>
          <w:kern w:val="0"/>
          <w:sz w:val="24"/>
          <w:highlight w:val="none"/>
          <w:lang w:val="en-US" w:eastAsia="zh-CN"/>
        </w:rPr>
        <w:t>27</w:t>
      </w:r>
      <w:r>
        <w:rPr>
          <w:rFonts w:hint="eastAsia" w:cs="宋体" w:asciiTheme="minorEastAsia" w:hAnsiTheme="minorEastAsia"/>
          <w:b/>
          <w:bCs/>
          <w:color w:val="auto"/>
          <w:kern w:val="0"/>
          <w:sz w:val="24"/>
          <w:highlight w:val="none"/>
        </w:rPr>
        <w:t>日14时</w:t>
      </w:r>
      <w:r>
        <w:rPr>
          <w:rFonts w:cs="宋体" w:asciiTheme="minorEastAsia" w:hAnsiTheme="minorEastAsia"/>
          <w:b/>
          <w:bCs/>
          <w:color w:val="auto"/>
          <w:kern w:val="0"/>
          <w:sz w:val="24"/>
          <w:highlight w:val="none"/>
        </w:rPr>
        <w:t>00</w:t>
      </w:r>
      <w:r>
        <w:rPr>
          <w:rFonts w:hint="eastAsia" w:cs="宋体" w:asciiTheme="minorEastAsia" w:hAnsiTheme="minorEastAsia"/>
          <w:b/>
          <w:bCs/>
          <w:color w:val="auto"/>
          <w:kern w:val="0"/>
          <w:sz w:val="24"/>
          <w:highlight w:val="none"/>
        </w:rPr>
        <w:t>分（北京时间）</w:t>
      </w:r>
      <w:r>
        <w:rPr>
          <w:rFonts w:hint="eastAsia" w:cs="宋体" w:asciiTheme="minorEastAsia" w:hAnsiTheme="minorEastAsia"/>
          <w:color w:val="auto"/>
          <w:kern w:val="0"/>
          <w:sz w:val="24"/>
          <w:highlight w:val="none"/>
        </w:rPr>
        <w:t>。</w:t>
      </w:r>
    </w:p>
    <w:p w14:paraId="04BBDE08">
      <w:pPr>
        <w:spacing w:line="360" w:lineRule="auto"/>
        <w:ind w:firstLine="482"/>
        <w:rPr>
          <w:rFonts w:cs="宋体" w:asciiTheme="minorEastAsia" w:hAnsiTheme="minorEastAsia"/>
          <w:color w:val="auto"/>
          <w:kern w:val="0"/>
          <w:sz w:val="24"/>
          <w:highlight w:val="none"/>
          <w:lang w:eastAsia="en-US"/>
        </w:rPr>
      </w:pPr>
      <w:r>
        <w:rPr>
          <w:rFonts w:hint="eastAsia" w:cs="宋体" w:asciiTheme="minorEastAsia" w:hAnsiTheme="minorEastAsia"/>
          <w:color w:val="auto"/>
          <w:kern w:val="0"/>
          <w:sz w:val="24"/>
          <w:highlight w:val="none"/>
        </w:rPr>
        <w:t>2.</w:t>
      </w:r>
      <w:r>
        <w:rPr>
          <w:rFonts w:hint="eastAsia" w:cs="宋体" w:asciiTheme="minorEastAsia" w:hAnsiTheme="minorEastAsia"/>
          <w:color w:val="auto"/>
          <w:kern w:val="0"/>
          <w:sz w:val="24"/>
          <w:highlight w:val="none"/>
          <w:lang w:eastAsia="en-US"/>
        </w:rPr>
        <w:t>地点：“苏采云”系统（网址：http://jszfcg.jsczt.cn/）</w:t>
      </w:r>
    </w:p>
    <w:p w14:paraId="44E982F1">
      <w:pPr>
        <w:spacing w:line="360" w:lineRule="auto"/>
        <w:rPr>
          <w:rFonts w:asciiTheme="minorEastAsia" w:hAnsiTheme="minorEastAsia"/>
          <w:b/>
          <w:bCs/>
          <w:color w:val="auto"/>
          <w:kern w:val="0"/>
          <w:sz w:val="32"/>
          <w:szCs w:val="32"/>
          <w:highlight w:val="none"/>
        </w:rPr>
      </w:pPr>
      <w:r>
        <w:rPr>
          <w:rFonts w:hint="eastAsia" w:asciiTheme="minorEastAsia" w:hAnsiTheme="minorEastAsia"/>
          <w:b/>
          <w:bCs/>
          <w:color w:val="auto"/>
          <w:kern w:val="0"/>
          <w:sz w:val="32"/>
          <w:szCs w:val="32"/>
          <w:highlight w:val="none"/>
        </w:rPr>
        <w:t>五、开启</w:t>
      </w:r>
    </w:p>
    <w:p w14:paraId="4AD4154F">
      <w:pPr>
        <w:spacing w:line="360" w:lineRule="auto"/>
        <w:ind w:firstLine="480" w:firstLineChars="200"/>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1.时间：</w:t>
      </w:r>
      <w:r>
        <w:rPr>
          <w:rFonts w:hint="eastAsia" w:cs="宋体" w:asciiTheme="minorEastAsia" w:hAnsiTheme="minorEastAsia"/>
          <w:b/>
          <w:bCs/>
          <w:color w:val="auto"/>
          <w:kern w:val="0"/>
          <w:sz w:val="24"/>
          <w:highlight w:val="none"/>
        </w:rPr>
        <w:t>202</w:t>
      </w:r>
      <w:r>
        <w:rPr>
          <w:rFonts w:hint="eastAsia" w:cs="宋体" w:asciiTheme="minorEastAsia" w:hAnsiTheme="minorEastAsia"/>
          <w:b/>
          <w:bCs/>
          <w:color w:val="auto"/>
          <w:kern w:val="0"/>
          <w:sz w:val="24"/>
          <w:highlight w:val="none"/>
          <w:lang w:val="en-US" w:eastAsia="zh-CN"/>
        </w:rPr>
        <w:t>6</w:t>
      </w:r>
      <w:r>
        <w:rPr>
          <w:rFonts w:hint="eastAsia" w:cs="宋体" w:asciiTheme="minorEastAsia" w:hAnsiTheme="minorEastAsia"/>
          <w:b/>
          <w:bCs/>
          <w:color w:val="auto"/>
          <w:kern w:val="0"/>
          <w:sz w:val="24"/>
          <w:highlight w:val="none"/>
        </w:rPr>
        <w:t>年</w:t>
      </w:r>
      <w:r>
        <w:rPr>
          <w:rFonts w:hint="eastAsia" w:cs="宋体" w:asciiTheme="minorEastAsia" w:hAnsiTheme="minorEastAsia"/>
          <w:b/>
          <w:bCs/>
          <w:color w:val="auto"/>
          <w:kern w:val="0"/>
          <w:sz w:val="24"/>
          <w:highlight w:val="none"/>
          <w:lang w:val="en-US" w:eastAsia="zh-CN"/>
        </w:rPr>
        <w:t xml:space="preserve"> 4</w:t>
      </w:r>
      <w:r>
        <w:rPr>
          <w:rFonts w:hint="eastAsia" w:cs="宋体" w:asciiTheme="minorEastAsia" w:hAnsiTheme="minorEastAsia"/>
          <w:b/>
          <w:bCs/>
          <w:color w:val="auto"/>
          <w:kern w:val="0"/>
          <w:sz w:val="24"/>
          <w:highlight w:val="none"/>
        </w:rPr>
        <w:t>月</w:t>
      </w:r>
      <w:r>
        <w:rPr>
          <w:rFonts w:hint="eastAsia" w:cs="宋体" w:asciiTheme="minorEastAsia" w:hAnsiTheme="minorEastAsia"/>
          <w:b/>
          <w:bCs/>
          <w:color w:val="auto"/>
          <w:kern w:val="0"/>
          <w:sz w:val="24"/>
          <w:highlight w:val="none"/>
          <w:lang w:val="en-US" w:eastAsia="zh-CN"/>
        </w:rPr>
        <w:t xml:space="preserve"> 27</w:t>
      </w:r>
      <w:r>
        <w:rPr>
          <w:rFonts w:hint="eastAsia" w:cs="宋体" w:asciiTheme="minorEastAsia" w:hAnsiTheme="minorEastAsia"/>
          <w:b/>
          <w:bCs/>
          <w:color w:val="auto"/>
          <w:kern w:val="0"/>
          <w:sz w:val="24"/>
          <w:highlight w:val="none"/>
        </w:rPr>
        <w:t>日14时</w:t>
      </w:r>
      <w:r>
        <w:rPr>
          <w:rFonts w:cs="宋体" w:asciiTheme="minorEastAsia" w:hAnsiTheme="minorEastAsia"/>
          <w:b/>
          <w:bCs/>
          <w:color w:val="auto"/>
          <w:kern w:val="0"/>
          <w:sz w:val="24"/>
          <w:highlight w:val="none"/>
        </w:rPr>
        <w:t>00</w:t>
      </w:r>
      <w:r>
        <w:rPr>
          <w:rFonts w:hint="eastAsia" w:cs="宋体" w:asciiTheme="minorEastAsia" w:hAnsiTheme="minorEastAsia"/>
          <w:b/>
          <w:bCs/>
          <w:color w:val="auto"/>
          <w:kern w:val="0"/>
          <w:sz w:val="24"/>
          <w:highlight w:val="none"/>
        </w:rPr>
        <w:t>分（北京时间）</w:t>
      </w:r>
    </w:p>
    <w:p w14:paraId="535FB24B">
      <w:pPr>
        <w:spacing w:line="360" w:lineRule="auto"/>
        <w:ind w:firstLine="480" w:firstLineChars="200"/>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2.地点：</w:t>
      </w:r>
      <w:r>
        <w:rPr>
          <w:rFonts w:hint="eastAsia" w:cs="宋体" w:asciiTheme="minorEastAsia" w:hAnsiTheme="minorEastAsia"/>
          <w:color w:val="auto"/>
          <w:kern w:val="0"/>
          <w:sz w:val="24"/>
          <w:highlight w:val="none"/>
          <w:lang w:eastAsia="en-US"/>
        </w:rPr>
        <w:t>“苏采云”系统（网址：http://jszfcg.jsczt.cn/）“开标大厅”</w:t>
      </w:r>
    </w:p>
    <w:bookmarkEnd w:id="5"/>
    <w:p w14:paraId="765A076A">
      <w:pPr>
        <w:spacing w:line="360" w:lineRule="auto"/>
        <w:outlineLvl w:val="1"/>
        <w:rPr>
          <w:rFonts w:asciiTheme="minorEastAsia" w:hAnsiTheme="minorEastAsia"/>
          <w:b/>
          <w:bCs/>
          <w:color w:val="auto"/>
          <w:kern w:val="0"/>
          <w:sz w:val="32"/>
          <w:szCs w:val="32"/>
          <w:highlight w:val="none"/>
        </w:rPr>
      </w:pPr>
      <w:r>
        <w:rPr>
          <w:rFonts w:hint="eastAsia" w:asciiTheme="minorEastAsia" w:hAnsiTheme="minorEastAsia"/>
          <w:b/>
          <w:bCs/>
          <w:color w:val="auto"/>
          <w:kern w:val="0"/>
          <w:sz w:val="32"/>
          <w:szCs w:val="32"/>
          <w:highlight w:val="none"/>
        </w:rPr>
        <w:t>六、公告期限</w:t>
      </w:r>
    </w:p>
    <w:p w14:paraId="4451CB40">
      <w:pPr>
        <w:spacing w:line="360" w:lineRule="auto"/>
        <w:ind w:firstLine="480" w:firstLineChars="200"/>
        <w:outlineLvl w:val="1"/>
        <w:rPr>
          <w:rFonts w:cs="宋体" w:asciiTheme="minorEastAsia" w:hAnsiTheme="minorEastAsia"/>
          <w:bCs/>
          <w:color w:val="auto"/>
          <w:kern w:val="0"/>
          <w:sz w:val="24"/>
          <w:highlight w:val="none"/>
        </w:rPr>
      </w:pPr>
      <w:r>
        <w:rPr>
          <w:rFonts w:hint="eastAsia" w:cs="宋体" w:asciiTheme="minorEastAsia" w:hAnsiTheme="minorEastAsia"/>
          <w:color w:val="auto"/>
          <w:kern w:val="0"/>
          <w:sz w:val="24"/>
          <w:highlight w:val="none"/>
        </w:rPr>
        <w:t>自</w:t>
      </w:r>
      <w:r>
        <w:rPr>
          <w:rFonts w:hint="eastAsia" w:cs="宋体" w:asciiTheme="minorEastAsia" w:hAnsiTheme="minorEastAsia"/>
          <w:bCs/>
          <w:color w:val="auto"/>
          <w:kern w:val="0"/>
          <w:sz w:val="24"/>
          <w:highlight w:val="none"/>
        </w:rPr>
        <w:t>本公告发布之日起3个工作日。</w:t>
      </w:r>
      <w:bookmarkStart w:id="6" w:name="_Toc35393804"/>
      <w:bookmarkEnd w:id="6"/>
      <w:bookmarkStart w:id="7" w:name="_Toc35393635"/>
      <w:bookmarkEnd w:id="7"/>
    </w:p>
    <w:p w14:paraId="4A87162C">
      <w:pPr>
        <w:spacing w:line="360" w:lineRule="auto"/>
        <w:outlineLvl w:val="1"/>
        <w:rPr>
          <w:rFonts w:asciiTheme="minorEastAsia" w:hAnsiTheme="minorEastAsia"/>
          <w:b/>
          <w:bCs/>
          <w:color w:val="auto"/>
          <w:kern w:val="0"/>
          <w:sz w:val="32"/>
          <w:szCs w:val="32"/>
          <w:highlight w:val="none"/>
        </w:rPr>
      </w:pPr>
      <w:r>
        <w:rPr>
          <w:rFonts w:hint="eastAsia" w:asciiTheme="minorEastAsia" w:hAnsiTheme="minorEastAsia"/>
          <w:b/>
          <w:bCs/>
          <w:color w:val="auto"/>
          <w:kern w:val="0"/>
          <w:sz w:val="32"/>
          <w:szCs w:val="32"/>
          <w:highlight w:val="none"/>
        </w:rPr>
        <w:t>七、其他补充事宜</w:t>
      </w:r>
    </w:p>
    <w:p w14:paraId="3D6A0C6C">
      <w:pPr>
        <w:spacing w:line="360" w:lineRule="auto"/>
        <w:ind w:firstLine="482"/>
        <w:rPr>
          <w:rFonts w:cs="宋体" w:asciiTheme="minorEastAsia" w:hAnsiTheme="minorEastAsia"/>
          <w:color w:val="auto"/>
          <w:kern w:val="0"/>
          <w:sz w:val="24"/>
          <w:highlight w:val="none"/>
        </w:rPr>
      </w:pPr>
      <w:bookmarkStart w:id="8" w:name="_Hlk191481650"/>
      <w:r>
        <w:rPr>
          <w:rFonts w:hint="eastAsia" w:cs="宋体" w:asciiTheme="minorEastAsia" w:hAnsiTheme="minorEastAsia"/>
          <w:color w:val="auto"/>
          <w:kern w:val="0"/>
          <w:sz w:val="24"/>
          <w:highlight w:val="none"/>
        </w:rPr>
        <w:t>1.磋商保证金：免收。</w:t>
      </w:r>
    </w:p>
    <w:p w14:paraId="2E840E9B">
      <w:pPr>
        <w:spacing w:line="360" w:lineRule="auto"/>
        <w:ind w:firstLine="482"/>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 xml:space="preserve">2.项目磋商活动模式：不见面远程磋商模式，供应商在各自地点通过不见面交易系统参加开标会。 </w:t>
      </w:r>
    </w:p>
    <w:p w14:paraId="5208E593">
      <w:pPr>
        <w:spacing w:line="360" w:lineRule="auto"/>
        <w:ind w:firstLine="482"/>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3.项目演示、样品、答辩等（如有请描述）：无；</w:t>
      </w:r>
    </w:p>
    <w:p w14:paraId="61E3E67E">
      <w:pPr>
        <w:spacing w:line="360" w:lineRule="auto"/>
        <w:ind w:firstLine="482"/>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4.采购文件获取方式：网上注册登记成功后系统免费下载；</w:t>
      </w:r>
    </w:p>
    <w:p w14:paraId="364D3BFF">
      <w:pPr>
        <w:spacing w:line="360" w:lineRule="auto"/>
        <w:ind w:firstLine="482"/>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4.1潜在投标人访问电子招标响应交易平台的网络地址和方法：</w:t>
      </w:r>
    </w:p>
    <w:p w14:paraId="7FDC2855">
      <w:pPr>
        <w:spacing w:line="360" w:lineRule="auto"/>
        <w:ind w:firstLine="482"/>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苏采云”系统用户注册--获取“CA数字证书”--CA绑定与登录--网上报名--下载磋商文件（后缀名为“.kedt”）--将后缀名为“.kedt”的磋商文件导入政府采购客户端工具--制作投标文件--导出加密的投标文件（后缀名为zip）--通过“苏采云”系统上传投标文件。具体见《江苏省政府采购管理交易系统（苏采云）供应商操作手册》。</w:t>
      </w:r>
    </w:p>
    <w:p w14:paraId="7D8B6CCE">
      <w:pPr>
        <w:spacing w:line="360" w:lineRule="auto"/>
        <w:ind w:firstLine="482"/>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4.2潜在投标人访问“苏采云”系统的网络地址和方法：“苏采云”系统的网址：http://jszfcg.jsczt.cn/。</w:t>
      </w:r>
    </w:p>
    <w:p w14:paraId="6828C2E8">
      <w:pPr>
        <w:spacing w:line="360" w:lineRule="auto"/>
        <w:ind w:firstLine="482"/>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4.3“CA数字证书”的获取：</w:t>
      </w:r>
    </w:p>
    <w:p w14:paraId="4744BF1D">
      <w:pPr>
        <w:spacing w:line="360" w:lineRule="auto"/>
        <w:ind w:firstLine="482"/>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投标人需办理“CA 数字证书”。“CA 数字证书”办理指南及“苏采云”操作手册可至江苏省政府采购网―办事指南-资料下载中心下载。</w:t>
      </w:r>
    </w:p>
    <w:p w14:paraId="2F043CB2">
      <w:pPr>
        <w:spacing w:line="360" w:lineRule="auto"/>
        <w:ind w:firstLine="482"/>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通过苏采云系统首页（http://jszfcg.jscz.gov.cn/）的“苏采云控件驱动下载”，选择“政务CA、方正签章控件驱动安装包及安装说明”下载安装，具体安装方法详见下载文件内的《安装说明》。</w:t>
      </w:r>
    </w:p>
    <w:p w14:paraId="17EB7D65">
      <w:pPr>
        <w:spacing w:line="360" w:lineRule="auto"/>
        <w:ind w:firstLine="482"/>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4.4磋商文件（后缀名为“.kedt”）、供应商操作手册及政府采购客户端工具可通过“苏采云”系统--已报名项目--报名详情页面内相应链接进行下载。</w:t>
      </w:r>
    </w:p>
    <w:p w14:paraId="1BCA8989">
      <w:pPr>
        <w:spacing w:line="360" w:lineRule="auto"/>
        <w:ind w:firstLine="482"/>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4.5采购单位或采购代理机构将数据电文形式的磋商文件加载至“苏采云”系统，供潜在投标人下载或者查阅。</w:t>
      </w:r>
    </w:p>
    <w:p w14:paraId="5E70F587">
      <w:pPr>
        <w:spacing w:line="360" w:lineRule="auto"/>
        <w:ind w:firstLine="482"/>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4.6请潜在投标人提前安装相应的控件（详见《江苏省政府采购管理交易系统（苏采云）供应商操作手册》）并使用谷歌浏览器登录“苏采云”系统参与不见面开评标。</w:t>
      </w:r>
    </w:p>
    <w:p w14:paraId="09A895AF">
      <w:pPr>
        <w:spacing w:line="360" w:lineRule="auto"/>
        <w:ind w:firstLine="482"/>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4.7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p>
    <w:p w14:paraId="438735DC">
      <w:pPr>
        <w:spacing w:line="360" w:lineRule="auto"/>
        <w:ind w:firstLine="480"/>
        <w:rPr>
          <w:rFonts w:cs="宋体" w:asciiTheme="minorEastAsia" w:hAnsiTheme="minorEastAsia"/>
          <w:b/>
          <w:bCs/>
          <w:color w:val="auto"/>
          <w:kern w:val="0"/>
          <w:sz w:val="24"/>
          <w:highlight w:val="none"/>
        </w:rPr>
      </w:pPr>
      <w:r>
        <w:rPr>
          <w:rFonts w:hint="eastAsia" w:cs="宋体" w:asciiTheme="minorEastAsia" w:hAnsiTheme="minorEastAsia"/>
          <w:b/>
          <w:bCs/>
          <w:color w:val="auto"/>
          <w:kern w:val="0"/>
          <w:sz w:val="24"/>
          <w:highlight w:val="none"/>
        </w:rPr>
        <w:t>注：如潜在投标人未按上述要求操作，将自行承担所产生的风险。</w:t>
      </w:r>
    </w:p>
    <w:p w14:paraId="73AD18A1">
      <w:pPr>
        <w:spacing w:line="360" w:lineRule="auto"/>
        <w:ind w:firstLine="480" w:firstLineChars="200"/>
        <w:rPr>
          <w:rFonts w:cs="Times New Roman" w:asciiTheme="minorEastAsia" w:hAnsiTheme="minorEastAsia"/>
          <w:bCs/>
          <w:color w:val="auto"/>
          <w:sz w:val="24"/>
          <w:szCs w:val="24"/>
          <w:highlight w:val="none"/>
        </w:rPr>
      </w:pPr>
      <w:r>
        <w:rPr>
          <w:rFonts w:hint="eastAsia" w:cs="宋体" w:asciiTheme="minorEastAsia" w:hAnsiTheme="minorEastAsia"/>
          <w:color w:val="auto"/>
          <w:kern w:val="0"/>
          <w:sz w:val="24"/>
          <w:highlight w:val="none"/>
        </w:rPr>
        <w:t>5.</w:t>
      </w:r>
      <w:r>
        <w:rPr>
          <w:rFonts w:hint="eastAsia" w:cs="Times New Roman" w:asciiTheme="minorEastAsia" w:hAnsiTheme="minorEastAsia"/>
          <w:bCs/>
          <w:color w:val="auto"/>
          <w:sz w:val="24"/>
          <w:szCs w:val="24"/>
          <w:highlight w:val="none"/>
        </w:rPr>
        <w:t>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cs="Times New Roman" w:asciiTheme="minorEastAsia" w:hAnsiTheme="minorEastAsia"/>
          <w:b/>
          <w:color w:val="auto"/>
          <w:sz w:val="24"/>
          <w:szCs w:val="24"/>
          <w:highlight w:val="none"/>
        </w:rPr>
        <w:t>投标供应商解密限定在开标后30分钟之内完成。</w:t>
      </w:r>
      <w:r>
        <w:rPr>
          <w:rFonts w:hint="eastAsia" w:cs="Times New Roman" w:asciiTheme="minorEastAsia" w:hAnsiTheme="minorEastAsia"/>
          <w:bCs/>
          <w:color w:val="auto"/>
          <w:sz w:val="24"/>
          <w:szCs w:val="24"/>
          <w:highlight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采购平台发生故障，导致无法按时完成响应文件解密或开、评标工作无法进行的，可根据实际情况相应延迟解密时间或调整开、评标时间。</w:t>
      </w:r>
    </w:p>
    <w:p w14:paraId="1C2A8E92">
      <w:pPr>
        <w:spacing w:line="360" w:lineRule="auto"/>
        <w:ind w:firstLine="482" w:firstLineChars="200"/>
        <w:rPr>
          <w:rFonts w:cs="宋体" w:asciiTheme="minorEastAsia" w:hAnsiTheme="minorEastAsia"/>
          <w:b/>
          <w:color w:val="auto"/>
          <w:kern w:val="0"/>
          <w:sz w:val="24"/>
          <w:highlight w:val="none"/>
        </w:rPr>
      </w:pPr>
      <w:r>
        <w:rPr>
          <w:rFonts w:hint="eastAsia" w:cs="Times New Roman" w:asciiTheme="minorEastAsia" w:hAnsiTheme="minorEastAsia"/>
          <w:b/>
          <w:color w:val="auto"/>
          <w:sz w:val="24"/>
          <w:szCs w:val="24"/>
          <w:highlight w:val="none"/>
        </w:rPr>
        <w:t>注:各供应商请关注开标大厅交流区，在开标结束后，请勿离开开标大厅。</w:t>
      </w:r>
    </w:p>
    <w:p w14:paraId="16DB93AA">
      <w:pPr>
        <w:spacing w:line="360" w:lineRule="auto"/>
        <w:ind w:firstLine="480" w:firstLineChars="200"/>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6.供应商应依照规定提交各类声明函、承诺函，不再同时提供原件备查或提供有关部门出具的相关证明文件。但成交供应商应做好提交声明函、承诺函、业绩、认证相应原件的核查准备；核查后发现虚假或违背承诺的，依照相关法律法规规定处理。</w:t>
      </w:r>
    </w:p>
    <w:bookmarkEnd w:id="8"/>
    <w:p w14:paraId="7201EE25">
      <w:pPr>
        <w:spacing w:line="360" w:lineRule="auto"/>
        <w:rPr>
          <w:rFonts w:cs="Times New Roman" w:asciiTheme="minorEastAsia" w:hAnsiTheme="minorEastAsia"/>
          <w:b/>
          <w:bCs/>
          <w:color w:val="auto"/>
          <w:kern w:val="0"/>
          <w:sz w:val="32"/>
          <w:szCs w:val="32"/>
          <w:highlight w:val="none"/>
        </w:rPr>
      </w:pPr>
      <w:r>
        <w:rPr>
          <w:rFonts w:hint="eastAsia" w:cs="Times New Roman" w:asciiTheme="minorEastAsia" w:hAnsiTheme="minorEastAsia"/>
          <w:b/>
          <w:bCs/>
          <w:color w:val="auto"/>
          <w:kern w:val="0"/>
          <w:sz w:val="32"/>
          <w:szCs w:val="32"/>
          <w:highlight w:val="none"/>
        </w:rPr>
        <w:t>八</w:t>
      </w:r>
      <w:r>
        <w:rPr>
          <w:rFonts w:cs="Times New Roman" w:asciiTheme="minorEastAsia" w:hAnsiTheme="minorEastAsia"/>
          <w:b/>
          <w:bCs/>
          <w:color w:val="auto"/>
          <w:kern w:val="0"/>
          <w:sz w:val="32"/>
          <w:szCs w:val="32"/>
          <w:highlight w:val="none"/>
        </w:rPr>
        <w:t>、凡对本次采购提出询问，请按以下方式联系。</w:t>
      </w:r>
    </w:p>
    <w:p w14:paraId="7FF6C54E">
      <w:pPr>
        <w:spacing w:line="360" w:lineRule="auto"/>
        <w:ind w:firstLine="480" w:firstLineChars="200"/>
        <w:rPr>
          <w:rFonts w:cs="宋体" w:asciiTheme="minorEastAsia" w:hAnsiTheme="minorEastAsia"/>
          <w:color w:val="auto"/>
          <w:kern w:val="0"/>
          <w:sz w:val="24"/>
          <w:highlight w:val="none"/>
        </w:rPr>
      </w:pPr>
      <w:r>
        <w:rPr>
          <w:rFonts w:cs="宋体" w:asciiTheme="minorEastAsia" w:hAnsiTheme="minorEastAsia"/>
          <w:color w:val="auto"/>
          <w:kern w:val="0"/>
          <w:sz w:val="24"/>
          <w:highlight w:val="none"/>
        </w:rPr>
        <w:t>1</w:t>
      </w:r>
      <w:r>
        <w:rPr>
          <w:rFonts w:hint="eastAsia" w:cs="宋体" w:asciiTheme="minorEastAsia" w:hAnsiTheme="minorEastAsia"/>
          <w:color w:val="auto"/>
          <w:kern w:val="0"/>
          <w:sz w:val="24"/>
          <w:highlight w:val="none"/>
        </w:rPr>
        <w:t>.</w:t>
      </w:r>
      <w:r>
        <w:rPr>
          <w:rFonts w:cs="宋体" w:asciiTheme="minorEastAsia" w:hAnsiTheme="minorEastAsia"/>
          <w:color w:val="auto"/>
          <w:kern w:val="0"/>
          <w:sz w:val="24"/>
          <w:highlight w:val="none"/>
        </w:rPr>
        <w:t>采购人信息</w:t>
      </w:r>
    </w:p>
    <w:p w14:paraId="7E4D7585">
      <w:pPr>
        <w:spacing w:line="360" w:lineRule="auto"/>
        <w:ind w:firstLine="480" w:firstLineChars="200"/>
        <w:rPr>
          <w:rFonts w:cs="宋体" w:asciiTheme="minorEastAsia" w:hAnsiTheme="minorEastAsia"/>
          <w:color w:val="auto"/>
          <w:kern w:val="0"/>
          <w:sz w:val="24"/>
          <w:highlight w:val="none"/>
        </w:rPr>
      </w:pPr>
      <w:r>
        <w:rPr>
          <w:rFonts w:cs="宋体" w:asciiTheme="minorEastAsia" w:hAnsiTheme="minorEastAsia"/>
          <w:color w:val="auto"/>
          <w:kern w:val="0"/>
          <w:sz w:val="24"/>
          <w:highlight w:val="none"/>
        </w:rPr>
        <w:t>名</w:t>
      </w:r>
      <w:r>
        <w:rPr>
          <w:rFonts w:hint="eastAsia" w:cs="宋体" w:asciiTheme="minorEastAsia" w:hAnsiTheme="minorEastAsia"/>
          <w:color w:val="auto"/>
          <w:kern w:val="0"/>
          <w:sz w:val="24"/>
          <w:highlight w:val="none"/>
        </w:rPr>
        <w:t>称：南通市市政设施管理处　　　　　　　　　　　　</w:t>
      </w:r>
    </w:p>
    <w:p w14:paraId="1120425B">
      <w:pPr>
        <w:spacing w:line="360" w:lineRule="auto"/>
        <w:ind w:firstLine="480" w:firstLineChars="200"/>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地址：江苏省南通市崇川区人民西路428号</w:t>
      </w:r>
    </w:p>
    <w:p w14:paraId="5BEC539F">
      <w:pPr>
        <w:spacing w:line="360" w:lineRule="auto"/>
        <w:ind w:firstLine="480" w:firstLineChars="200"/>
        <w:rPr>
          <w:rFonts w:hint="eastAsia"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联系人：</w:t>
      </w:r>
      <w:r>
        <w:rPr>
          <w:rFonts w:hint="eastAsia" w:cs="宋体" w:asciiTheme="minorEastAsia" w:hAnsiTheme="minorEastAsia"/>
          <w:color w:val="auto"/>
          <w:kern w:val="0"/>
          <w:sz w:val="24"/>
          <w:highlight w:val="none"/>
          <w:lang w:val="en-US" w:eastAsia="zh-CN"/>
        </w:rPr>
        <w:t>王女士</w:t>
      </w:r>
      <w:r>
        <w:rPr>
          <w:rFonts w:hint="eastAsia" w:cs="宋体" w:asciiTheme="minorEastAsia" w:hAnsiTheme="minorEastAsia"/>
          <w:color w:val="auto"/>
          <w:kern w:val="0"/>
          <w:sz w:val="24"/>
          <w:highlight w:val="none"/>
        </w:rPr>
        <w:t xml:space="preserve"> 　　　　　　　　　　</w:t>
      </w:r>
    </w:p>
    <w:p w14:paraId="42778381">
      <w:pPr>
        <w:spacing w:line="360" w:lineRule="auto"/>
        <w:ind w:firstLine="480" w:firstLineChars="200"/>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联系方式：0513-81169511</w:t>
      </w:r>
      <w:r>
        <w:rPr>
          <w:rFonts w:hint="eastAsia" w:cs="宋体" w:asciiTheme="minorEastAsia" w:hAnsiTheme="minorEastAsia"/>
          <w:color w:val="auto"/>
          <w:kern w:val="0"/>
          <w:sz w:val="24"/>
          <w:highlight w:val="none"/>
        </w:rPr>
        <w:t>　　　　　　　　　　</w:t>
      </w:r>
    </w:p>
    <w:p w14:paraId="73501085">
      <w:pPr>
        <w:spacing w:line="360" w:lineRule="auto"/>
        <w:ind w:firstLine="480" w:firstLineChars="200"/>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2.采购代理机构信息</w:t>
      </w:r>
    </w:p>
    <w:p w14:paraId="7E3C4224">
      <w:pPr>
        <w:spacing w:line="360" w:lineRule="auto"/>
        <w:ind w:firstLine="480" w:firstLineChars="200"/>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名 称：南通城建工程项目管理有限公司</w:t>
      </w:r>
    </w:p>
    <w:p w14:paraId="33E45EA8">
      <w:pPr>
        <w:spacing w:line="360" w:lineRule="auto"/>
        <w:ind w:firstLine="480" w:firstLineChars="200"/>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地 址：南通市世纪大道18号兴业大厦801A</w:t>
      </w:r>
    </w:p>
    <w:p w14:paraId="304C91AA">
      <w:pPr>
        <w:spacing w:line="360" w:lineRule="auto"/>
        <w:ind w:firstLine="480" w:firstLineChars="200"/>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 xml:space="preserve">联系人：包敏 </w:t>
      </w:r>
      <w:r>
        <w:rPr>
          <w:rFonts w:hint="eastAsia" w:cs="宋体" w:asciiTheme="minorEastAsia" w:hAnsiTheme="minorEastAsia"/>
          <w:color w:val="auto"/>
          <w:kern w:val="0"/>
          <w:sz w:val="24"/>
          <w:highlight w:val="none"/>
          <w:lang w:val="en-US" w:eastAsia="zh-CN"/>
        </w:rPr>
        <w:t xml:space="preserve"> </w:t>
      </w:r>
      <w:r>
        <w:rPr>
          <w:rFonts w:hint="eastAsia" w:ascii="宋体" w:hAnsi="宋体"/>
          <w:color w:val="auto"/>
          <w:kern w:val="0"/>
          <w:sz w:val="24"/>
          <w:szCs w:val="24"/>
          <w:highlight w:val="none"/>
        </w:rPr>
        <w:t>0513-85502599</w:t>
      </w:r>
      <w:r>
        <w:rPr>
          <w:rFonts w:hint="eastAsia" w:ascii="宋体" w:hAnsi="宋体"/>
          <w:color w:val="auto"/>
          <w:kern w:val="0"/>
          <w:sz w:val="24"/>
          <w:szCs w:val="24"/>
          <w:highlight w:val="none"/>
          <w:lang w:eastAsia="zh-CN"/>
        </w:rPr>
        <w:t>、</w:t>
      </w:r>
      <w:r>
        <w:rPr>
          <w:rFonts w:hint="eastAsia" w:cs="宋体" w:asciiTheme="minorEastAsia" w:hAnsiTheme="minorEastAsia"/>
          <w:color w:val="auto"/>
          <w:kern w:val="0"/>
          <w:sz w:val="24"/>
          <w:highlight w:val="none"/>
        </w:rPr>
        <w:t>18912268973</w:t>
      </w:r>
    </w:p>
    <w:p w14:paraId="0D80F751">
      <w:pPr>
        <w:spacing w:line="360" w:lineRule="auto"/>
        <w:ind w:firstLine="480" w:firstLineChars="200"/>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邮箱：</w:t>
      </w:r>
      <w:r>
        <w:rPr>
          <w:color w:val="auto"/>
          <w:highlight w:val="none"/>
        </w:rPr>
        <w:fldChar w:fldCharType="begin"/>
      </w:r>
      <w:r>
        <w:rPr>
          <w:color w:val="auto"/>
          <w:highlight w:val="none"/>
        </w:rPr>
        <w:instrText xml:space="preserve"> HYPERLINK "mailto:49963200@qq.com" </w:instrText>
      </w:r>
      <w:r>
        <w:rPr>
          <w:color w:val="auto"/>
          <w:highlight w:val="none"/>
        </w:rPr>
        <w:fldChar w:fldCharType="separate"/>
      </w:r>
      <w:r>
        <w:rPr>
          <w:rFonts w:hint="eastAsia" w:cs="宋体" w:asciiTheme="minorEastAsia" w:hAnsiTheme="minorEastAsia"/>
          <w:color w:val="auto"/>
          <w:kern w:val="0"/>
          <w:sz w:val="24"/>
          <w:highlight w:val="none"/>
        </w:rPr>
        <w:t>81395315@qq.com</w:t>
      </w:r>
      <w:r>
        <w:rPr>
          <w:rFonts w:hint="eastAsia" w:cs="宋体" w:asciiTheme="minorEastAsia" w:hAnsiTheme="minorEastAsia"/>
          <w:color w:val="auto"/>
          <w:kern w:val="0"/>
          <w:sz w:val="24"/>
          <w:highlight w:val="none"/>
        </w:rPr>
        <w:fldChar w:fldCharType="end"/>
      </w:r>
    </w:p>
    <w:p w14:paraId="26663959">
      <w:pPr>
        <w:pStyle w:val="39"/>
        <w:spacing w:line="360" w:lineRule="auto"/>
        <w:ind w:firstLine="480"/>
        <w:rPr>
          <w:rFonts w:cs="宋体" w:asciiTheme="minorEastAsia" w:hAnsiTheme="minorEastAsia" w:eastAsiaTheme="minorEastAsia"/>
          <w:color w:val="auto"/>
          <w:sz w:val="24"/>
          <w:szCs w:val="22"/>
          <w:highlight w:val="none"/>
        </w:rPr>
      </w:pPr>
      <w:r>
        <w:rPr>
          <w:rFonts w:hint="eastAsia" w:cs="宋体" w:asciiTheme="minorEastAsia" w:hAnsiTheme="minorEastAsia" w:eastAsiaTheme="minorEastAsia"/>
          <w:color w:val="auto"/>
          <w:sz w:val="24"/>
          <w:szCs w:val="22"/>
          <w:highlight w:val="none"/>
        </w:rPr>
        <w:t>3.软件技术支持：0519-86722801/051359001950</w:t>
      </w:r>
    </w:p>
    <w:p w14:paraId="39399557">
      <w:pPr>
        <w:spacing w:line="360" w:lineRule="auto"/>
        <w:ind w:firstLine="482" w:firstLineChars="200"/>
        <w:rPr>
          <w:rFonts w:cs="宋体" w:asciiTheme="minorEastAsia" w:hAnsiTheme="minorEastAsia"/>
          <w:b/>
          <w:bCs/>
          <w:color w:val="auto"/>
          <w:sz w:val="24"/>
          <w:highlight w:val="none"/>
        </w:rPr>
      </w:pPr>
    </w:p>
    <w:p w14:paraId="2C772C97">
      <w:pPr>
        <w:spacing w:line="360" w:lineRule="auto"/>
        <w:ind w:firstLine="482" w:firstLineChars="200"/>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附件:</w:t>
      </w:r>
    </w:p>
    <w:p w14:paraId="2A239B2A">
      <w:pPr>
        <w:spacing w:line="360" w:lineRule="auto"/>
        <w:ind w:firstLine="482" w:firstLineChars="200"/>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1.竞争性磋商文件</w:t>
      </w:r>
    </w:p>
    <w:p w14:paraId="354E7943">
      <w:pPr>
        <w:spacing w:line="360" w:lineRule="auto"/>
        <w:ind w:firstLine="482" w:firstLineChars="200"/>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2.采购人信用承诺书</w:t>
      </w:r>
    </w:p>
    <w:p w14:paraId="15B5EC83">
      <w:pPr>
        <w:spacing w:line="360" w:lineRule="auto"/>
        <w:ind w:firstLine="482" w:firstLineChars="200"/>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3.公平竞争审查</w:t>
      </w:r>
    </w:p>
    <w:p w14:paraId="0A5335BC">
      <w:pPr>
        <w:spacing w:line="360" w:lineRule="auto"/>
        <w:ind w:firstLine="482" w:firstLineChars="200"/>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4.“苏采云”系统供应商操作手册</w:t>
      </w:r>
    </w:p>
    <w:bookmarkEnd w:id="2"/>
    <w:p w14:paraId="1887C8EC">
      <w:pPr>
        <w:spacing w:line="360" w:lineRule="auto"/>
        <w:ind w:firstLine="482" w:firstLineChars="200"/>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5．</w:t>
      </w:r>
      <w:bookmarkStart w:id="9" w:name="_Hlk167032578"/>
      <w:r>
        <w:rPr>
          <w:rFonts w:hint="eastAsia" w:cs="宋体" w:asciiTheme="minorEastAsia" w:hAnsiTheme="minorEastAsia"/>
          <w:b/>
          <w:bCs/>
          <w:color w:val="auto"/>
          <w:sz w:val="24"/>
          <w:highlight w:val="none"/>
        </w:rPr>
        <w:t>办理政采贷和履约保函（保险）告知函</w:t>
      </w:r>
      <w:bookmarkEnd w:id="9"/>
    </w:p>
    <w:p w14:paraId="65E41A5A">
      <w:pPr>
        <w:spacing w:line="360" w:lineRule="auto"/>
        <w:ind w:firstLine="482"/>
        <w:rPr>
          <w:rFonts w:ascii="宋体" w:hAnsi="宋体" w:cs="宋体"/>
          <w:bCs/>
          <w:color w:val="auto"/>
          <w:kern w:val="0"/>
          <w:szCs w:val="21"/>
          <w:highlight w:val="none"/>
        </w:rPr>
      </w:pPr>
    </w:p>
    <w:p w14:paraId="7B9FBF13">
      <w:pPr>
        <w:ind w:firstLine="482"/>
        <w:rPr>
          <w:color w:val="auto"/>
          <w:highlight w:val="none"/>
          <w:lang w:val="zh-CN"/>
        </w:rPr>
      </w:pPr>
    </w:p>
    <w:p w14:paraId="10F25F15">
      <w:pPr>
        <w:rPr>
          <w:color w:val="auto"/>
          <w:highlight w:val="none"/>
        </w:rPr>
      </w:pPr>
    </w:p>
    <w:p w14:paraId="57C57018">
      <w:pPr>
        <w:pageBreakBefore/>
        <w:spacing w:line="360" w:lineRule="auto"/>
        <w:ind w:firstLine="883"/>
        <w:jc w:val="center"/>
        <w:rPr>
          <w:rFonts w:ascii="黑体" w:hAnsi="Times New Roman" w:eastAsia="黑体" w:cs="Times New Roman"/>
          <w:color w:val="auto"/>
          <w:kern w:val="0"/>
          <w:sz w:val="44"/>
          <w:szCs w:val="44"/>
          <w:highlight w:val="none"/>
        </w:rPr>
      </w:pPr>
      <w:r>
        <w:rPr>
          <w:rFonts w:hint="eastAsia" w:ascii="黑体" w:hAnsi="Times New Roman" w:eastAsia="黑体" w:cs="Times New Roman"/>
          <w:color w:val="auto"/>
          <w:kern w:val="0"/>
          <w:sz w:val="44"/>
          <w:szCs w:val="44"/>
          <w:highlight w:val="none"/>
        </w:rPr>
        <w:t>第二章  磋商须知</w:t>
      </w:r>
    </w:p>
    <w:p w14:paraId="1CC88682">
      <w:pPr>
        <w:pStyle w:val="4"/>
        <w:rPr>
          <w:color w:val="auto"/>
          <w:kern w:val="0"/>
          <w:highlight w:val="none"/>
        </w:rPr>
      </w:pPr>
      <w:bookmarkStart w:id="10" w:name="_Toc120614214"/>
      <w:bookmarkStart w:id="11" w:name="_Toc20823275"/>
      <w:bookmarkStart w:id="12" w:name="_Toc16938519"/>
      <w:bookmarkStart w:id="13" w:name="_Toc513029203"/>
      <w:bookmarkStart w:id="14" w:name="_Toc16938553"/>
      <w:bookmarkStart w:id="15" w:name="_Toc513029237"/>
      <w:bookmarkStart w:id="16" w:name="_Toc20823309"/>
      <w:r>
        <w:rPr>
          <w:rFonts w:hint="eastAsia"/>
          <w:color w:val="auto"/>
          <w:kern w:val="0"/>
          <w:highlight w:val="none"/>
        </w:rPr>
        <w:t>一、</w:t>
      </w:r>
      <w:r>
        <w:rPr>
          <w:color w:val="auto"/>
          <w:kern w:val="0"/>
          <w:highlight w:val="none"/>
        </w:rPr>
        <w:t>总则</w:t>
      </w:r>
      <w:bookmarkEnd w:id="10"/>
      <w:bookmarkEnd w:id="11"/>
      <w:bookmarkEnd w:id="12"/>
      <w:bookmarkEnd w:id="13"/>
    </w:p>
    <w:p w14:paraId="56DDEC46">
      <w:pPr>
        <w:pStyle w:val="5"/>
        <w:keepLines/>
        <w:spacing w:line="360" w:lineRule="auto"/>
        <w:jc w:val="both"/>
        <w:rPr>
          <w:rFonts w:ascii="Arial" w:hAnsi="Arial" w:eastAsia="黑体" w:cs="Times New Roman"/>
          <w:color w:val="auto"/>
          <w:kern w:val="0"/>
          <w:sz w:val="28"/>
          <w:szCs w:val="28"/>
          <w:highlight w:val="none"/>
        </w:rPr>
      </w:pPr>
      <w:bookmarkStart w:id="17" w:name="_Hlt16619475"/>
      <w:bookmarkEnd w:id="17"/>
      <w:bookmarkStart w:id="18" w:name="_Toc458694821"/>
      <w:bookmarkStart w:id="19" w:name="_Toc20823276"/>
      <w:bookmarkStart w:id="20" w:name="_Toc513029204"/>
      <w:bookmarkStart w:id="21" w:name="_Toc16938520"/>
      <w:r>
        <w:rPr>
          <w:rFonts w:ascii="Arial" w:hAnsi="Arial" w:eastAsia="黑体" w:cs="Times New Roman"/>
          <w:color w:val="auto"/>
          <w:kern w:val="0"/>
          <w:sz w:val="28"/>
          <w:szCs w:val="28"/>
          <w:highlight w:val="none"/>
        </w:rPr>
        <w:t>1</w:t>
      </w:r>
      <w:bookmarkEnd w:id="18"/>
      <w:r>
        <w:rPr>
          <w:rFonts w:hint="eastAsia" w:ascii="Arial" w:hAnsi="Arial" w:eastAsia="黑体" w:cs="Times New Roman"/>
          <w:color w:val="auto"/>
          <w:kern w:val="0"/>
          <w:sz w:val="28"/>
          <w:szCs w:val="28"/>
          <w:highlight w:val="none"/>
        </w:rPr>
        <w:t>、</w:t>
      </w:r>
      <w:r>
        <w:rPr>
          <w:rFonts w:ascii="Arial" w:hAnsi="Arial" w:eastAsia="黑体" w:cs="Times New Roman"/>
          <w:color w:val="auto"/>
          <w:kern w:val="0"/>
          <w:sz w:val="28"/>
          <w:szCs w:val="28"/>
          <w:highlight w:val="none"/>
        </w:rPr>
        <w:t>采购方式</w:t>
      </w:r>
      <w:bookmarkEnd w:id="19"/>
      <w:bookmarkEnd w:id="20"/>
      <w:bookmarkEnd w:id="21"/>
    </w:p>
    <w:p w14:paraId="0B38817A">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1.1本次采取竞争性磋商方式，本磋商文件仅适用于磋商公告中所述项目。</w:t>
      </w:r>
    </w:p>
    <w:p w14:paraId="4559711D">
      <w:pPr>
        <w:adjustRightInd w:val="0"/>
        <w:snapToGrid w:val="0"/>
        <w:spacing w:line="360" w:lineRule="auto"/>
        <w:jc w:val="left"/>
        <w:rPr>
          <w:rFonts w:ascii="Arial" w:hAnsi="Arial" w:eastAsia="黑体" w:cs="Times New Roman"/>
          <w:color w:val="auto"/>
          <w:kern w:val="0"/>
          <w:sz w:val="28"/>
          <w:szCs w:val="28"/>
          <w:highlight w:val="none"/>
        </w:rPr>
      </w:pPr>
      <w:bookmarkStart w:id="22" w:name="_Toc513029205"/>
      <w:bookmarkStart w:id="23" w:name="_Toc20823277"/>
      <w:bookmarkStart w:id="24" w:name="_Toc16938521"/>
      <w:r>
        <w:rPr>
          <w:rFonts w:ascii="Arial" w:hAnsi="Arial" w:eastAsia="黑体" w:cs="Times New Roman"/>
          <w:color w:val="auto"/>
          <w:kern w:val="0"/>
          <w:sz w:val="28"/>
          <w:szCs w:val="28"/>
          <w:highlight w:val="none"/>
        </w:rPr>
        <w:t>2</w:t>
      </w:r>
      <w:r>
        <w:rPr>
          <w:rFonts w:hint="eastAsia" w:ascii="Arial" w:hAnsi="Arial" w:eastAsia="黑体" w:cs="Times New Roman"/>
          <w:color w:val="auto"/>
          <w:kern w:val="0"/>
          <w:sz w:val="28"/>
          <w:szCs w:val="28"/>
          <w:highlight w:val="none"/>
        </w:rPr>
        <w:t>、</w:t>
      </w:r>
      <w:r>
        <w:rPr>
          <w:rFonts w:ascii="Arial" w:hAnsi="Arial" w:eastAsia="黑体" w:cs="Times New Roman"/>
          <w:color w:val="auto"/>
          <w:kern w:val="0"/>
          <w:sz w:val="28"/>
          <w:szCs w:val="28"/>
          <w:highlight w:val="none"/>
        </w:rPr>
        <w:t>合格的</w:t>
      </w:r>
      <w:bookmarkEnd w:id="22"/>
      <w:bookmarkEnd w:id="23"/>
      <w:bookmarkEnd w:id="24"/>
      <w:r>
        <w:rPr>
          <w:rFonts w:ascii="Arial" w:hAnsi="Arial" w:eastAsia="黑体" w:cs="Times New Roman"/>
          <w:color w:val="auto"/>
          <w:kern w:val="0"/>
          <w:sz w:val="28"/>
          <w:szCs w:val="28"/>
          <w:highlight w:val="none"/>
        </w:rPr>
        <w:t>供应商</w:t>
      </w:r>
    </w:p>
    <w:p w14:paraId="09BB192D">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2.1满足磋商公告中供应商的资格要求的规定。</w:t>
      </w:r>
    </w:p>
    <w:p w14:paraId="17329136">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2.2满足本文件实质性条款的规定。</w:t>
      </w:r>
    </w:p>
    <w:p w14:paraId="11CF6609">
      <w:pPr>
        <w:adjustRightInd w:val="0"/>
        <w:snapToGrid w:val="0"/>
        <w:spacing w:line="360" w:lineRule="auto"/>
        <w:jc w:val="left"/>
        <w:rPr>
          <w:rFonts w:ascii="Arial" w:hAnsi="Arial" w:eastAsia="黑体" w:cs="Times New Roman"/>
          <w:color w:val="auto"/>
          <w:kern w:val="0"/>
          <w:sz w:val="28"/>
          <w:szCs w:val="28"/>
          <w:highlight w:val="none"/>
        </w:rPr>
      </w:pPr>
      <w:bookmarkStart w:id="25" w:name="_Toc20823278"/>
      <w:bookmarkStart w:id="26" w:name="_Toc513029206"/>
      <w:bookmarkStart w:id="27" w:name="_Toc16938522"/>
      <w:r>
        <w:rPr>
          <w:rFonts w:ascii="Arial" w:hAnsi="Arial" w:eastAsia="黑体" w:cs="Times New Roman"/>
          <w:color w:val="auto"/>
          <w:kern w:val="0"/>
          <w:sz w:val="28"/>
          <w:szCs w:val="28"/>
          <w:highlight w:val="none"/>
        </w:rPr>
        <w:t>3</w:t>
      </w:r>
      <w:r>
        <w:rPr>
          <w:rFonts w:hint="eastAsia" w:ascii="Arial" w:hAnsi="Arial" w:eastAsia="黑体" w:cs="Times New Roman"/>
          <w:color w:val="auto"/>
          <w:kern w:val="0"/>
          <w:sz w:val="28"/>
          <w:szCs w:val="28"/>
          <w:highlight w:val="none"/>
        </w:rPr>
        <w:t>、</w:t>
      </w:r>
      <w:r>
        <w:rPr>
          <w:rFonts w:ascii="Arial" w:hAnsi="Arial" w:eastAsia="黑体" w:cs="Times New Roman"/>
          <w:color w:val="auto"/>
          <w:kern w:val="0"/>
          <w:sz w:val="28"/>
          <w:szCs w:val="28"/>
          <w:highlight w:val="none"/>
        </w:rPr>
        <w:t>适用法律</w:t>
      </w:r>
      <w:bookmarkEnd w:id="25"/>
      <w:bookmarkEnd w:id="26"/>
      <w:bookmarkEnd w:id="27"/>
    </w:p>
    <w:p w14:paraId="3DC9F0EE">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3.1本次采购及由此产生的合同受中华人民共和国有关的法律法规制约和保护。</w:t>
      </w:r>
    </w:p>
    <w:p w14:paraId="3F752233">
      <w:pPr>
        <w:adjustRightInd w:val="0"/>
        <w:snapToGrid w:val="0"/>
        <w:spacing w:line="360" w:lineRule="auto"/>
        <w:rPr>
          <w:rFonts w:ascii="Arial" w:hAnsi="Arial" w:eastAsia="黑体" w:cs="Times New Roman"/>
          <w:color w:val="auto"/>
          <w:kern w:val="0"/>
          <w:sz w:val="28"/>
          <w:szCs w:val="28"/>
          <w:highlight w:val="none"/>
        </w:rPr>
      </w:pPr>
      <w:bookmarkStart w:id="28" w:name="_Toc16938523"/>
      <w:bookmarkStart w:id="29" w:name="_Toc462564067"/>
      <w:bookmarkStart w:id="30" w:name="_Toc20823279"/>
      <w:bookmarkStart w:id="31" w:name="_Toc513029207"/>
      <w:r>
        <w:rPr>
          <w:rFonts w:ascii="Arial" w:hAnsi="Arial" w:eastAsia="黑体" w:cs="Times New Roman"/>
          <w:color w:val="auto"/>
          <w:kern w:val="0"/>
          <w:sz w:val="28"/>
          <w:szCs w:val="28"/>
          <w:highlight w:val="none"/>
        </w:rPr>
        <w:t>4</w:t>
      </w:r>
      <w:r>
        <w:rPr>
          <w:rFonts w:hint="eastAsia" w:ascii="Arial" w:hAnsi="Arial" w:eastAsia="黑体" w:cs="Times New Roman"/>
          <w:color w:val="auto"/>
          <w:kern w:val="0"/>
          <w:sz w:val="28"/>
          <w:szCs w:val="28"/>
          <w:highlight w:val="none"/>
        </w:rPr>
        <w:t>、</w:t>
      </w:r>
      <w:r>
        <w:rPr>
          <w:rFonts w:ascii="Arial" w:hAnsi="Arial" w:eastAsia="黑体" w:cs="Times New Roman"/>
          <w:color w:val="auto"/>
          <w:kern w:val="0"/>
          <w:sz w:val="28"/>
          <w:szCs w:val="28"/>
          <w:highlight w:val="none"/>
        </w:rPr>
        <w:t>磋商费用</w:t>
      </w:r>
      <w:bookmarkEnd w:id="28"/>
      <w:bookmarkEnd w:id="29"/>
      <w:bookmarkEnd w:id="30"/>
      <w:bookmarkEnd w:id="31"/>
    </w:p>
    <w:p w14:paraId="4534BA02">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4.1供应商应自行承担所有与参加磋商有关的费用，无论磋商过程中的做法和结果如何，</w:t>
      </w:r>
      <w:r>
        <w:rPr>
          <w:rFonts w:hint="eastAsia" w:asciiTheme="minorEastAsia" w:hAnsiTheme="minorEastAsia"/>
          <w:color w:val="auto"/>
          <w:sz w:val="24"/>
          <w:highlight w:val="none"/>
        </w:rPr>
        <w:t>南通城建工程项目管理有限公司</w:t>
      </w:r>
      <w:r>
        <w:rPr>
          <w:rFonts w:asciiTheme="minorEastAsia" w:hAnsiTheme="minorEastAsia"/>
          <w:color w:val="auto"/>
          <w:sz w:val="24"/>
          <w:highlight w:val="none"/>
        </w:rPr>
        <w:t>（以下简称采购</w:t>
      </w:r>
      <w:r>
        <w:rPr>
          <w:rFonts w:hint="eastAsia" w:asciiTheme="minorEastAsia" w:hAnsiTheme="minorEastAsia"/>
          <w:color w:val="auto"/>
          <w:sz w:val="24"/>
          <w:highlight w:val="none"/>
        </w:rPr>
        <w:t>代理机构</w:t>
      </w:r>
      <w:r>
        <w:rPr>
          <w:rFonts w:asciiTheme="minorEastAsia" w:hAnsiTheme="minorEastAsia"/>
          <w:color w:val="auto"/>
          <w:sz w:val="24"/>
          <w:highlight w:val="none"/>
        </w:rPr>
        <w:t>）在任何情况下均无义务和责任承担这些费用。</w:t>
      </w:r>
    </w:p>
    <w:p w14:paraId="2065E154">
      <w:pPr>
        <w:adjustRightInd w:val="0"/>
        <w:snapToGrid w:val="0"/>
        <w:spacing w:line="360" w:lineRule="auto"/>
        <w:ind w:firstLine="480" w:firstLineChars="200"/>
        <w:rPr>
          <w:rFonts w:asciiTheme="minorEastAsia" w:hAnsiTheme="minorEastAsia"/>
          <w:color w:val="auto"/>
          <w:sz w:val="24"/>
          <w:highlight w:val="none"/>
        </w:rPr>
      </w:pPr>
      <w:r>
        <w:rPr>
          <w:rFonts w:hint="eastAsia" w:ascii="宋体" w:hAnsi="宋体" w:eastAsia="宋体" w:cs="Times New Roman"/>
          <w:color w:val="auto"/>
          <w:sz w:val="24"/>
          <w:szCs w:val="21"/>
          <w:highlight w:val="none"/>
        </w:rPr>
        <w:t>4.2本次磋商采购代理机构和采购人不收取标书工本费与代理服务费。</w:t>
      </w:r>
    </w:p>
    <w:p w14:paraId="02DC7829">
      <w:pPr>
        <w:adjustRightInd w:val="0"/>
        <w:snapToGrid w:val="0"/>
        <w:spacing w:line="360" w:lineRule="auto"/>
        <w:ind w:firstLine="480" w:firstLineChars="200"/>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4.3本项目代理服务费30</w:t>
      </w:r>
      <w:r>
        <w:rPr>
          <w:rFonts w:hint="eastAsia" w:ascii="宋体" w:hAnsi="宋体" w:eastAsia="宋体" w:cs="Times New Roman"/>
          <w:color w:val="auto"/>
          <w:sz w:val="24"/>
          <w:szCs w:val="21"/>
          <w:highlight w:val="none"/>
          <w:lang w:val="en-US" w:eastAsia="zh-CN"/>
        </w:rPr>
        <w:t>40</w:t>
      </w:r>
      <w:r>
        <w:rPr>
          <w:rFonts w:hint="eastAsia" w:ascii="宋体" w:hAnsi="宋体" w:eastAsia="宋体" w:cs="Times New Roman"/>
          <w:color w:val="auto"/>
          <w:sz w:val="24"/>
          <w:szCs w:val="21"/>
          <w:highlight w:val="none"/>
        </w:rPr>
        <w:t>元，由采购人支付。</w:t>
      </w:r>
    </w:p>
    <w:p w14:paraId="6E5D869C">
      <w:pPr>
        <w:adjustRightInd w:val="0"/>
        <w:snapToGrid w:val="0"/>
        <w:spacing w:line="360" w:lineRule="auto"/>
        <w:rPr>
          <w:rFonts w:ascii="Arial" w:hAnsi="Arial" w:eastAsia="黑体" w:cs="Times New Roman"/>
          <w:color w:val="auto"/>
          <w:kern w:val="0"/>
          <w:sz w:val="28"/>
          <w:szCs w:val="28"/>
          <w:highlight w:val="none"/>
        </w:rPr>
      </w:pPr>
      <w:r>
        <w:rPr>
          <w:rFonts w:ascii="Arial" w:hAnsi="Arial" w:eastAsia="黑体" w:cs="Times New Roman"/>
          <w:color w:val="auto"/>
          <w:kern w:val="0"/>
          <w:sz w:val="28"/>
          <w:szCs w:val="28"/>
          <w:highlight w:val="none"/>
        </w:rPr>
        <w:t>5</w:t>
      </w:r>
      <w:r>
        <w:rPr>
          <w:rFonts w:hint="eastAsia" w:ascii="Arial" w:hAnsi="Arial" w:eastAsia="黑体" w:cs="Times New Roman"/>
          <w:color w:val="auto"/>
          <w:kern w:val="0"/>
          <w:sz w:val="28"/>
          <w:szCs w:val="28"/>
          <w:highlight w:val="none"/>
        </w:rPr>
        <w:t>、</w:t>
      </w:r>
      <w:r>
        <w:rPr>
          <w:rFonts w:ascii="Arial" w:hAnsi="Arial" w:eastAsia="黑体" w:cs="Times New Roman"/>
          <w:color w:val="auto"/>
          <w:kern w:val="0"/>
          <w:sz w:val="28"/>
          <w:szCs w:val="28"/>
          <w:highlight w:val="none"/>
        </w:rPr>
        <w:t>磋商文件的约束力</w:t>
      </w:r>
    </w:p>
    <w:p w14:paraId="7DF8C577">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5.1供应商一旦参加本项目采购活动，即被认为接受了本磋商文件的规定和约束。</w:t>
      </w:r>
    </w:p>
    <w:p w14:paraId="004D8644">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5</w:t>
      </w:r>
      <w:r>
        <w:rPr>
          <w:rFonts w:asciiTheme="minorEastAsia" w:hAnsiTheme="minorEastAsia"/>
          <w:color w:val="auto"/>
          <w:sz w:val="24"/>
          <w:highlight w:val="none"/>
        </w:rPr>
        <w:t>.</w:t>
      </w:r>
      <w:r>
        <w:rPr>
          <w:rFonts w:hint="eastAsia" w:asciiTheme="minorEastAsia" w:hAnsiTheme="minorEastAsia"/>
          <w:color w:val="auto"/>
          <w:sz w:val="24"/>
          <w:highlight w:val="none"/>
        </w:rPr>
        <w:t>2</w:t>
      </w:r>
      <w:r>
        <w:rPr>
          <w:rFonts w:asciiTheme="minorEastAsia" w:hAnsiTheme="minorEastAsia"/>
          <w:color w:val="auto"/>
          <w:sz w:val="24"/>
          <w:highlight w:val="none"/>
        </w:rPr>
        <w:t>磋商文件需求部分（供应商资格要求、项目需求、商务技术评分标准）由采购人解释，其它部分由</w:t>
      </w:r>
      <w:r>
        <w:rPr>
          <w:rFonts w:hint="eastAsia" w:asciiTheme="minorEastAsia" w:hAnsiTheme="minorEastAsia"/>
          <w:color w:val="auto"/>
          <w:sz w:val="24"/>
          <w:highlight w:val="none"/>
        </w:rPr>
        <w:t>采购代理机构</w:t>
      </w:r>
      <w:r>
        <w:rPr>
          <w:rFonts w:asciiTheme="minorEastAsia" w:hAnsiTheme="minorEastAsia"/>
          <w:color w:val="auto"/>
          <w:sz w:val="24"/>
          <w:highlight w:val="none"/>
        </w:rPr>
        <w:t>解释。</w:t>
      </w:r>
    </w:p>
    <w:p w14:paraId="287A158C">
      <w:pPr>
        <w:pStyle w:val="4"/>
        <w:rPr>
          <w:color w:val="auto"/>
          <w:kern w:val="0"/>
          <w:highlight w:val="none"/>
        </w:rPr>
      </w:pPr>
      <w:bookmarkStart w:id="32" w:name="_Toc120614215"/>
      <w:bookmarkStart w:id="33" w:name="_Toc16938525"/>
      <w:bookmarkStart w:id="34" w:name="_Toc20823281"/>
      <w:bookmarkStart w:id="35" w:name="_Toc513029209"/>
      <w:r>
        <w:rPr>
          <w:color w:val="auto"/>
          <w:kern w:val="0"/>
          <w:highlight w:val="none"/>
        </w:rPr>
        <w:t>二</w:t>
      </w:r>
      <w:r>
        <w:rPr>
          <w:rFonts w:hint="eastAsia"/>
          <w:color w:val="auto"/>
          <w:kern w:val="0"/>
          <w:highlight w:val="none"/>
        </w:rPr>
        <w:t>、</w:t>
      </w:r>
      <w:r>
        <w:rPr>
          <w:color w:val="auto"/>
          <w:kern w:val="0"/>
          <w:highlight w:val="none"/>
        </w:rPr>
        <w:t>磋商文件</w:t>
      </w:r>
      <w:bookmarkEnd w:id="32"/>
      <w:bookmarkEnd w:id="33"/>
      <w:bookmarkEnd w:id="34"/>
      <w:bookmarkEnd w:id="35"/>
    </w:p>
    <w:p w14:paraId="1551F9B2">
      <w:pPr>
        <w:adjustRightInd w:val="0"/>
        <w:snapToGrid w:val="0"/>
        <w:spacing w:line="360" w:lineRule="auto"/>
        <w:rPr>
          <w:rFonts w:ascii="Arial" w:hAnsi="Arial" w:eastAsia="黑体" w:cs="Times New Roman"/>
          <w:color w:val="auto"/>
          <w:kern w:val="0"/>
          <w:sz w:val="28"/>
          <w:szCs w:val="28"/>
          <w:highlight w:val="none"/>
        </w:rPr>
      </w:pPr>
      <w:bookmarkStart w:id="36" w:name="_Toc20823282"/>
      <w:bookmarkStart w:id="37" w:name="_Toc16938526"/>
      <w:bookmarkStart w:id="38" w:name="_Toc513029210"/>
      <w:r>
        <w:rPr>
          <w:rFonts w:hint="eastAsia" w:ascii="Arial" w:hAnsi="Arial" w:eastAsia="黑体" w:cs="Times New Roman"/>
          <w:color w:val="auto"/>
          <w:kern w:val="0"/>
          <w:sz w:val="28"/>
          <w:szCs w:val="28"/>
          <w:highlight w:val="none"/>
        </w:rPr>
        <w:t>6、</w:t>
      </w:r>
      <w:r>
        <w:rPr>
          <w:rFonts w:ascii="Arial" w:hAnsi="Arial" w:eastAsia="黑体" w:cs="Times New Roman"/>
          <w:color w:val="auto"/>
          <w:kern w:val="0"/>
          <w:sz w:val="28"/>
          <w:szCs w:val="28"/>
          <w:highlight w:val="none"/>
        </w:rPr>
        <w:t>磋商文件构成</w:t>
      </w:r>
      <w:bookmarkEnd w:id="36"/>
      <w:bookmarkEnd w:id="37"/>
      <w:bookmarkEnd w:id="38"/>
    </w:p>
    <w:p w14:paraId="2BDDA7CC">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6</w:t>
      </w:r>
      <w:r>
        <w:rPr>
          <w:rFonts w:asciiTheme="minorEastAsia" w:hAnsiTheme="minorEastAsia"/>
          <w:color w:val="auto"/>
          <w:sz w:val="24"/>
          <w:highlight w:val="none"/>
        </w:rPr>
        <w:t>.1磋商文件由以下部分组成：</w:t>
      </w:r>
    </w:p>
    <w:p w14:paraId="7AEE24D2">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（1）竞争性磋商公告</w:t>
      </w:r>
    </w:p>
    <w:p w14:paraId="49BD0AA1">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（2）磋商须知</w:t>
      </w:r>
    </w:p>
    <w:p w14:paraId="73B520ED">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（3）</w:t>
      </w:r>
      <w:r>
        <w:rPr>
          <w:rFonts w:hint="eastAsia" w:asciiTheme="minorEastAsia" w:hAnsiTheme="minorEastAsia"/>
          <w:color w:val="auto"/>
          <w:sz w:val="24"/>
          <w:highlight w:val="none"/>
        </w:rPr>
        <w:t>合同文本</w:t>
      </w:r>
    </w:p>
    <w:p w14:paraId="43202011">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（4）</w:t>
      </w:r>
      <w:r>
        <w:rPr>
          <w:rFonts w:asciiTheme="minorEastAsia" w:hAnsiTheme="minorEastAsia"/>
          <w:color w:val="auto"/>
          <w:sz w:val="24"/>
          <w:highlight w:val="none"/>
        </w:rPr>
        <w:t>项目需求</w:t>
      </w:r>
    </w:p>
    <w:p w14:paraId="4E64D9A0">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w:t>
      </w:r>
      <w:r>
        <w:rPr>
          <w:rFonts w:hint="eastAsia" w:asciiTheme="minorEastAsia" w:hAnsiTheme="minorEastAsia"/>
          <w:color w:val="auto"/>
          <w:sz w:val="24"/>
          <w:highlight w:val="none"/>
        </w:rPr>
        <w:t>5</w:t>
      </w:r>
      <w:r>
        <w:rPr>
          <w:rFonts w:asciiTheme="minorEastAsia" w:hAnsiTheme="minorEastAsia"/>
          <w:color w:val="auto"/>
          <w:sz w:val="24"/>
          <w:highlight w:val="none"/>
        </w:rPr>
        <w:t>）评审方法和评审标准</w:t>
      </w:r>
    </w:p>
    <w:p w14:paraId="4A373050">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w:t>
      </w:r>
      <w:r>
        <w:rPr>
          <w:rFonts w:hint="eastAsia" w:asciiTheme="minorEastAsia" w:hAnsiTheme="minorEastAsia"/>
          <w:color w:val="auto"/>
          <w:sz w:val="24"/>
          <w:highlight w:val="none"/>
        </w:rPr>
        <w:t>6</w:t>
      </w:r>
      <w:r>
        <w:rPr>
          <w:rFonts w:asciiTheme="minorEastAsia" w:hAnsiTheme="minorEastAsia"/>
          <w:color w:val="auto"/>
          <w:sz w:val="24"/>
          <w:highlight w:val="none"/>
        </w:rPr>
        <w:t>）响应文件组成</w:t>
      </w:r>
    </w:p>
    <w:p w14:paraId="6657A264">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w:t>
      </w:r>
      <w:r>
        <w:rPr>
          <w:rFonts w:hint="eastAsia" w:asciiTheme="minorEastAsia" w:hAnsiTheme="minorEastAsia"/>
          <w:color w:val="auto"/>
          <w:sz w:val="24"/>
          <w:highlight w:val="none"/>
        </w:rPr>
        <w:t>7</w:t>
      </w:r>
      <w:r>
        <w:rPr>
          <w:rFonts w:asciiTheme="minorEastAsia" w:hAnsiTheme="minorEastAsia"/>
          <w:color w:val="auto"/>
          <w:sz w:val="24"/>
          <w:highlight w:val="none"/>
        </w:rPr>
        <w:t>）附件</w:t>
      </w:r>
    </w:p>
    <w:p w14:paraId="42C6E782">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请仔细检查磋商文件是否齐全，如有缺漏请立即与</w:t>
      </w:r>
      <w:r>
        <w:rPr>
          <w:rFonts w:hint="eastAsia" w:asciiTheme="minorEastAsia" w:hAnsiTheme="minorEastAsia"/>
          <w:color w:val="auto"/>
          <w:sz w:val="24"/>
          <w:highlight w:val="none"/>
        </w:rPr>
        <w:t>采购代理机构</w:t>
      </w:r>
      <w:r>
        <w:rPr>
          <w:rFonts w:asciiTheme="minorEastAsia" w:hAnsiTheme="minorEastAsia"/>
          <w:color w:val="auto"/>
          <w:sz w:val="24"/>
          <w:highlight w:val="none"/>
        </w:rPr>
        <w:t>联系解决。</w:t>
      </w:r>
    </w:p>
    <w:p w14:paraId="21190628">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bCs/>
          <w:color w:val="auto"/>
          <w:sz w:val="24"/>
          <w:highlight w:val="none"/>
        </w:rPr>
        <w:t>6</w:t>
      </w:r>
      <w:r>
        <w:rPr>
          <w:rFonts w:asciiTheme="minorEastAsia" w:hAnsiTheme="minorEastAsia"/>
          <w:bCs/>
          <w:color w:val="auto"/>
          <w:sz w:val="24"/>
          <w:highlight w:val="none"/>
        </w:rPr>
        <w:t>.2</w:t>
      </w:r>
      <w:r>
        <w:rPr>
          <w:rFonts w:asciiTheme="minorEastAsia" w:hAnsiTheme="minorEastAsia"/>
          <w:color w:val="auto"/>
          <w:sz w:val="24"/>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04CF993">
      <w:pPr>
        <w:adjustRightInd w:val="0"/>
        <w:snapToGrid w:val="0"/>
        <w:spacing w:line="360" w:lineRule="auto"/>
        <w:rPr>
          <w:rFonts w:ascii="Arial" w:hAnsi="Arial" w:eastAsia="黑体" w:cs="Times New Roman"/>
          <w:color w:val="auto"/>
          <w:kern w:val="0"/>
          <w:sz w:val="28"/>
          <w:szCs w:val="28"/>
          <w:highlight w:val="none"/>
        </w:rPr>
      </w:pPr>
      <w:bookmarkStart w:id="39" w:name="_Toc20823283"/>
      <w:bookmarkStart w:id="40" w:name="_Toc513029211"/>
      <w:bookmarkStart w:id="41" w:name="_Toc16938527"/>
      <w:bookmarkStart w:id="42" w:name="_Toc462564070"/>
      <w:r>
        <w:rPr>
          <w:rFonts w:hint="eastAsia" w:ascii="Arial" w:hAnsi="Arial" w:eastAsia="黑体" w:cs="Times New Roman"/>
          <w:color w:val="auto"/>
          <w:kern w:val="0"/>
          <w:sz w:val="28"/>
          <w:szCs w:val="28"/>
          <w:highlight w:val="none"/>
        </w:rPr>
        <w:t>7、</w:t>
      </w:r>
      <w:r>
        <w:rPr>
          <w:rFonts w:ascii="Arial" w:hAnsi="Arial" w:eastAsia="黑体" w:cs="Times New Roman"/>
          <w:color w:val="auto"/>
          <w:kern w:val="0"/>
          <w:sz w:val="28"/>
          <w:szCs w:val="28"/>
          <w:highlight w:val="none"/>
        </w:rPr>
        <w:t>磋商文件的澄清</w:t>
      </w:r>
      <w:bookmarkEnd w:id="39"/>
      <w:bookmarkEnd w:id="40"/>
      <w:bookmarkEnd w:id="41"/>
      <w:bookmarkEnd w:id="42"/>
    </w:p>
    <w:p w14:paraId="5AFAB32E">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7</w:t>
      </w:r>
      <w:r>
        <w:rPr>
          <w:rFonts w:asciiTheme="minorEastAsia" w:hAnsiTheme="minorEastAsia"/>
          <w:color w:val="auto"/>
          <w:sz w:val="24"/>
          <w:highlight w:val="none"/>
        </w:rPr>
        <w:t>.1任何要求对磋商文件进行澄清的供应商，应在提交首次响应文件截止时间五日前按磋商公告中的通讯地址，以书面形式通知采购人。采购人有权对发出的磋商文件进行必要的澄清或修改。</w:t>
      </w:r>
    </w:p>
    <w:p w14:paraId="502DBCFA">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7</w:t>
      </w:r>
      <w:r>
        <w:rPr>
          <w:rFonts w:asciiTheme="minorEastAsia" w:hAnsiTheme="minorEastAsia"/>
          <w:color w:val="auto"/>
          <w:sz w:val="24"/>
          <w:highlight w:val="none"/>
        </w:rPr>
        <w:t>.2采购人视情组织答疑会</w:t>
      </w:r>
    </w:p>
    <w:p w14:paraId="27CA489B">
      <w:pPr>
        <w:adjustRightInd w:val="0"/>
        <w:snapToGrid w:val="0"/>
        <w:spacing w:line="360" w:lineRule="auto"/>
        <w:rPr>
          <w:rFonts w:ascii="Arial" w:hAnsi="Arial" w:eastAsia="黑体" w:cs="Times New Roman"/>
          <w:color w:val="auto"/>
          <w:kern w:val="0"/>
          <w:sz w:val="28"/>
          <w:szCs w:val="28"/>
          <w:highlight w:val="none"/>
        </w:rPr>
      </w:pPr>
      <w:bookmarkStart w:id="43" w:name="_Toc462564071"/>
      <w:bookmarkStart w:id="44" w:name="_Toc20823284"/>
      <w:bookmarkStart w:id="45" w:name="_Toc16938528"/>
      <w:bookmarkStart w:id="46" w:name="_Toc513029212"/>
      <w:r>
        <w:rPr>
          <w:rFonts w:hint="eastAsia" w:ascii="Arial" w:hAnsi="Arial" w:eastAsia="黑体" w:cs="Times New Roman"/>
          <w:color w:val="auto"/>
          <w:kern w:val="0"/>
          <w:sz w:val="28"/>
          <w:szCs w:val="28"/>
          <w:highlight w:val="none"/>
        </w:rPr>
        <w:t>8、</w:t>
      </w:r>
      <w:r>
        <w:rPr>
          <w:rFonts w:ascii="Arial" w:hAnsi="Arial" w:eastAsia="黑体" w:cs="Times New Roman"/>
          <w:color w:val="auto"/>
          <w:kern w:val="0"/>
          <w:sz w:val="28"/>
          <w:szCs w:val="28"/>
          <w:highlight w:val="none"/>
        </w:rPr>
        <w:t>磋商文件的修改</w:t>
      </w:r>
      <w:bookmarkEnd w:id="43"/>
      <w:bookmarkEnd w:id="44"/>
      <w:bookmarkEnd w:id="45"/>
      <w:bookmarkEnd w:id="46"/>
    </w:p>
    <w:p w14:paraId="63EE040D">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8</w:t>
      </w:r>
      <w:r>
        <w:rPr>
          <w:rFonts w:asciiTheme="minorEastAsia" w:hAnsiTheme="minorEastAsia"/>
          <w:color w:val="auto"/>
          <w:sz w:val="24"/>
          <w:highlight w:val="none"/>
        </w:rPr>
        <w:t>.1在响应文件提交截止时间前，</w:t>
      </w:r>
      <w:r>
        <w:rPr>
          <w:rFonts w:hint="eastAsia" w:asciiTheme="minorEastAsia" w:hAnsiTheme="minorEastAsia"/>
          <w:color w:val="auto"/>
          <w:sz w:val="24"/>
          <w:highlight w:val="none"/>
        </w:rPr>
        <w:t>采购代理机构</w:t>
      </w:r>
      <w:r>
        <w:rPr>
          <w:rFonts w:asciiTheme="minorEastAsia" w:hAnsiTheme="minorEastAsia"/>
          <w:color w:val="auto"/>
          <w:sz w:val="24"/>
          <w:highlight w:val="none"/>
        </w:rPr>
        <w:t>可以对磋商文件进行修改。</w:t>
      </w:r>
    </w:p>
    <w:p w14:paraId="1EB8C147">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8</w:t>
      </w:r>
      <w:r>
        <w:rPr>
          <w:rFonts w:asciiTheme="minorEastAsia" w:hAnsiTheme="minorEastAsia"/>
          <w:color w:val="auto"/>
          <w:sz w:val="24"/>
          <w:highlight w:val="none"/>
        </w:rPr>
        <w:t>.2</w:t>
      </w:r>
      <w:r>
        <w:rPr>
          <w:rFonts w:hint="eastAsia" w:asciiTheme="minorEastAsia" w:hAnsiTheme="minorEastAsia"/>
          <w:color w:val="auto"/>
          <w:sz w:val="24"/>
          <w:highlight w:val="none"/>
        </w:rPr>
        <w:t>采购代理机构</w:t>
      </w:r>
      <w:r>
        <w:rPr>
          <w:rFonts w:asciiTheme="minorEastAsia" w:hAnsiTheme="minorEastAsia"/>
          <w:color w:val="auto"/>
          <w:sz w:val="24"/>
          <w:highlight w:val="none"/>
        </w:rPr>
        <w:t>有权按照法定的要求推迟响应文件提交截止日期和磋商日期。</w:t>
      </w:r>
    </w:p>
    <w:p w14:paraId="0E8D0E61">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8</w:t>
      </w:r>
      <w:r>
        <w:rPr>
          <w:rFonts w:asciiTheme="minorEastAsia" w:hAnsiTheme="minorEastAsia"/>
          <w:color w:val="auto"/>
          <w:sz w:val="24"/>
          <w:highlight w:val="none"/>
        </w:rPr>
        <w:t>.3磋商文件的修改将在</w:t>
      </w:r>
      <w:r>
        <w:rPr>
          <w:rFonts w:hint="eastAsia" w:asciiTheme="minorEastAsia" w:hAnsiTheme="minorEastAsia"/>
          <w:color w:val="auto"/>
          <w:sz w:val="24"/>
          <w:highlight w:val="none"/>
        </w:rPr>
        <w:t>江苏省</w:t>
      </w:r>
      <w:r>
        <w:rPr>
          <w:rFonts w:asciiTheme="minorEastAsia" w:hAnsiTheme="minorEastAsia"/>
          <w:color w:val="auto"/>
          <w:sz w:val="24"/>
          <w:highlight w:val="none"/>
        </w:rPr>
        <w:t>政府采购网公布，补充文件将作为磋商文件的组成部分，并对供应商具有约束力。</w:t>
      </w:r>
    </w:p>
    <w:p w14:paraId="1501B96F">
      <w:pPr>
        <w:spacing w:line="360" w:lineRule="auto"/>
        <w:ind w:firstLine="482" w:firstLineChars="200"/>
        <w:rPr>
          <w:rFonts w:ascii="宋体" w:hAnsi="宋体" w:cs="宋体"/>
          <w:b/>
          <w:bCs/>
          <w:color w:val="auto"/>
          <w:kern w:val="0"/>
          <w:sz w:val="24"/>
          <w:highlight w:val="none"/>
          <w:u w:val="single"/>
        </w:rPr>
      </w:pPr>
      <w:r>
        <w:rPr>
          <w:rFonts w:hint="eastAsia" w:ascii="宋体" w:hAnsi="宋体" w:cs="宋体"/>
          <w:b/>
          <w:bCs/>
          <w:color w:val="auto"/>
          <w:kern w:val="0"/>
          <w:sz w:val="24"/>
          <w:highlight w:val="none"/>
          <w:u w:val="single"/>
        </w:rPr>
        <w:t>8.4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45CE229A">
      <w:pPr>
        <w:spacing w:line="360" w:lineRule="auto"/>
        <w:ind w:firstLine="480" w:firstLineChars="200"/>
        <w:rPr>
          <w:rFonts w:ascii="宋体" w:hAnsi="宋体" w:cs="宋体"/>
          <w:b/>
          <w:bCs/>
          <w:color w:val="auto"/>
          <w:kern w:val="0"/>
          <w:sz w:val="24"/>
          <w:highlight w:val="none"/>
          <w:u w:val="single"/>
        </w:rPr>
      </w:pPr>
      <w:r>
        <w:rPr>
          <w:rFonts w:hint="eastAsia" w:ascii="宋体" w:hAnsi="宋体" w:cs="宋体"/>
          <w:color w:val="auto"/>
          <w:kern w:val="0"/>
          <w:sz w:val="24"/>
          <w:highlight w:val="none"/>
        </w:rPr>
        <w:t>8.5供应商对采购人提供的采购文件所做出的推论、解释和结论，采购人概不负责。供应商由于对采购文件的任何推论和误解以及采购人对有关问题的口头解释所造成的后果，均由各潜在供应商自负。</w:t>
      </w:r>
    </w:p>
    <w:p w14:paraId="08E65BC1">
      <w:pPr>
        <w:keepNext/>
        <w:keepLines/>
        <w:adjustRightInd w:val="0"/>
        <w:snapToGrid w:val="0"/>
        <w:spacing w:line="360" w:lineRule="auto"/>
        <w:jc w:val="left"/>
        <w:outlineLvl w:val="2"/>
        <w:rPr>
          <w:rFonts w:ascii="Times New Roman" w:hAnsi="Times New Roman" w:eastAsia="宋体" w:cs="Times New Roman"/>
          <w:b/>
          <w:bCs/>
          <w:color w:val="auto"/>
          <w:kern w:val="0"/>
          <w:sz w:val="32"/>
          <w:szCs w:val="32"/>
          <w:highlight w:val="none"/>
        </w:rPr>
      </w:pPr>
      <w:bookmarkStart w:id="47" w:name="_Toc462564072"/>
      <w:bookmarkStart w:id="48" w:name="_Toc120614216"/>
      <w:bookmarkStart w:id="49" w:name="_Toc20823285"/>
      <w:bookmarkStart w:id="50" w:name="_Toc513029213"/>
      <w:bookmarkStart w:id="51" w:name="_Toc16938529"/>
      <w:r>
        <w:rPr>
          <w:rFonts w:ascii="Times New Roman" w:hAnsi="Times New Roman" w:eastAsia="宋体" w:cs="Times New Roman"/>
          <w:b/>
          <w:bCs/>
          <w:color w:val="auto"/>
          <w:kern w:val="0"/>
          <w:sz w:val="32"/>
          <w:szCs w:val="32"/>
          <w:highlight w:val="none"/>
        </w:rPr>
        <w:t>三</w:t>
      </w:r>
      <w:r>
        <w:rPr>
          <w:rFonts w:hint="eastAsia" w:ascii="Times New Roman" w:hAnsi="Times New Roman" w:eastAsia="宋体" w:cs="Times New Roman"/>
          <w:b/>
          <w:bCs/>
          <w:color w:val="auto"/>
          <w:kern w:val="0"/>
          <w:sz w:val="32"/>
          <w:szCs w:val="32"/>
          <w:highlight w:val="none"/>
        </w:rPr>
        <w:t>、</w:t>
      </w:r>
      <w:r>
        <w:rPr>
          <w:rFonts w:ascii="Times New Roman" w:hAnsi="Times New Roman" w:eastAsia="宋体" w:cs="Times New Roman"/>
          <w:b/>
          <w:bCs/>
          <w:color w:val="auto"/>
          <w:kern w:val="0"/>
          <w:sz w:val="32"/>
          <w:szCs w:val="32"/>
          <w:highlight w:val="none"/>
        </w:rPr>
        <w:t>响应文件的编制</w:t>
      </w:r>
      <w:bookmarkEnd w:id="47"/>
      <w:bookmarkEnd w:id="48"/>
      <w:bookmarkEnd w:id="49"/>
      <w:bookmarkEnd w:id="50"/>
      <w:bookmarkEnd w:id="51"/>
    </w:p>
    <w:p w14:paraId="3B71F5B8">
      <w:pPr>
        <w:adjustRightInd w:val="0"/>
        <w:snapToGrid w:val="0"/>
        <w:spacing w:line="360" w:lineRule="auto"/>
        <w:rPr>
          <w:rFonts w:ascii="Arial" w:hAnsi="Arial" w:eastAsia="黑体" w:cs="Times New Roman"/>
          <w:color w:val="auto"/>
          <w:kern w:val="0"/>
          <w:sz w:val="28"/>
          <w:szCs w:val="28"/>
          <w:highlight w:val="none"/>
        </w:rPr>
      </w:pPr>
      <w:bookmarkStart w:id="52" w:name="_Toc20823286"/>
      <w:bookmarkStart w:id="53" w:name="_Toc462564073"/>
      <w:bookmarkStart w:id="54" w:name="_Toc16938530"/>
      <w:bookmarkStart w:id="55" w:name="_Toc513029214"/>
      <w:r>
        <w:rPr>
          <w:rFonts w:hint="eastAsia" w:ascii="Arial" w:hAnsi="Arial" w:eastAsia="黑体" w:cs="Times New Roman"/>
          <w:color w:val="auto"/>
          <w:kern w:val="0"/>
          <w:sz w:val="28"/>
          <w:szCs w:val="28"/>
          <w:highlight w:val="none"/>
        </w:rPr>
        <w:t>9、</w:t>
      </w:r>
      <w:r>
        <w:rPr>
          <w:rFonts w:ascii="Arial" w:hAnsi="Arial" w:eastAsia="黑体" w:cs="Times New Roman"/>
          <w:color w:val="auto"/>
          <w:kern w:val="0"/>
          <w:sz w:val="28"/>
          <w:szCs w:val="28"/>
          <w:highlight w:val="none"/>
        </w:rPr>
        <w:t>响应文件的语言及度量衡单位</w:t>
      </w:r>
      <w:bookmarkEnd w:id="52"/>
      <w:bookmarkEnd w:id="53"/>
      <w:bookmarkEnd w:id="54"/>
      <w:bookmarkEnd w:id="55"/>
    </w:p>
    <w:p w14:paraId="20E77B06">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9</w:t>
      </w:r>
      <w:r>
        <w:rPr>
          <w:rFonts w:asciiTheme="minorEastAsia" w:hAnsiTheme="minorEastAsia"/>
          <w:color w:val="auto"/>
          <w:sz w:val="24"/>
          <w:highlight w:val="none"/>
        </w:rPr>
        <w:t>.1供应商提交的响应文件以及供应商与</w:t>
      </w:r>
      <w:r>
        <w:rPr>
          <w:rFonts w:hint="eastAsia" w:asciiTheme="minorEastAsia" w:hAnsiTheme="minorEastAsia"/>
          <w:color w:val="auto"/>
          <w:sz w:val="24"/>
          <w:highlight w:val="none"/>
        </w:rPr>
        <w:t>采购代理机构</w:t>
      </w:r>
      <w:r>
        <w:rPr>
          <w:rFonts w:asciiTheme="minorEastAsia" w:hAnsiTheme="minorEastAsia"/>
          <w:color w:val="auto"/>
          <w:sz w:val="24"/>
          <w:highlight w:val="none"/>
        </w:rPr>
        <w:t>及采购人就有关磋商的所有来往通知、函件和文件均应使用简体中文。</w:t>
      </w:r>
    </w:p>
    <w:p w14:paraId="20056FCD">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9</w:t>
      </w:r>
      <w:r>
        <w:rPr>
          <w:rFonts w:asciiTheme="minorEastAsia" w:hAnsiTheme="minorEastAsia"/>
          <w:color w:val="auto"/>
          <w:sz w:val="24"/>
          <w:highlight w:val="none"/>
        </w:rPr>
        <w:t>.2除技术性能另有规定外，响应文件所使用的度量衡单位，均须采用国家法定计量单位。</w:t>
      </w:r>
    </w:p>
    <w:p w14:paraId="6428307E">
      <w:pPr>
        <w:adjustRightInd w:val="0"/>
        <w:snapToGrid w:val="0"/>
        <w:spacing w:line="360" w:lineRule="auto"/>
        <w:rPr>
          <w:rFonts w:ascii="Arial" w:hAnsi="Arial" w:eastAsia="黑体" w:cs="Times New Roman"/>
          <w:color w:val="auto"/>
          <w:kern w:val="0"/>
          <w:sz w:val="28"/>
          <w:szCs w:val="28"/>
          <w:highlight w:val="none"/>
        </w:rPr>
      </w:pPr>
      <w:bookmarkStart w:id="56" w:name="_Toc16938531"/>
      <w:bookmarkStart w:id="57" w:name="_Toc20823287"/>
      <w:bookmarkStart w:id="58" w:name="_Toc513029215"/>
      <w:bookmarkStart w:id="59" w:name="_Toc462564074"/>
      <w:r>
        <w:rPr>
          <w:rFonts w:hint="eastAsia" w:ascii="Arial" w:hAnsi="Arial" w:eastAsia="黑体" w:cs="Times New Roman"/>
          <w:color w:val="auto"/>
          <w:kern w:val="0"/>
          <w:sz w:val="28"/>
          <w:szCs w:val="28"/>
          <w:highlight w:val="none"/>
        </w:rPr>
        <w:t>10、</w:t>
      </w:r>
      <w:r>
        <w:rPr>
          <w:rFonts w:ascii="Arial" w:hAnsi="Arial" w:eastAsia="黑体" w:cs="Times New Roman"/>
          <w:color w:val="auto"/>
          <w:kern w:val="0"/>
          <w:sz w:val="28"/>
          <w:szCs w:val="28"/>
          <w:highlight w:val="none"/>
        </w:rPr>
        <w:t>响应文件构成</w:t>
      </w:r>
      <w:bookmarkEnd w:id="56"/>
      <w:bookmarkEnd w:id="57"/>
      <w:bookmarkEnd w:id="58"/>
      <w:bookmarkEnd w:id="59"/>
    </w:p>
    <w:p w14:paraId="47DB6D2C">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10</w:t>
      </w:r>
      <w:r>
        <w:rPr>
          <w:rFonts w:asciiTheme="minorEastAsia" w:hAnsiTheme="minorEastAsia"/>
          <w:color w:val="auto"/>
          <w:sz w:val="24"/>
          <w:highlight w:val="none"/>
        </w:rPr>
        <w:t>.1</w:t>
      </w:r>
      <w:r>
        <w:rPr>
          <w:rFonts w:hint="eastAsia" w:asciiTheme="minorEastAsia" w:hAnsiTheme="minorEastAsia"/>
          <w:color w:val="auto"/>
          <w:sz w:val="24"/>
          <w:highlight w:val="none"/>
        </w:rPr>
        <w:t>供应商编写的响应文件应包括资格证明文件、实质性要求响应及偏离表、分项报价表、技术要求响应及偏离表、商务要求响应及偏离表、其他证明文件、磋商响应函等部分。</w:t>
      </w:r>
    </w:p>
    <w:p w14:paraId="16105215">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10.2 如标书制作工具中格式和内容与“江苏政府采购网”发布的磋商文件不一致，请以“江苏政府采购网”发布的磋商文件为准。</w:t>
      </w:r>
    </w:p>
    <w:p w14:paraId="121F7B9B">
      <w:pPr>
        <w:adjustRightInd w:val="0"/>
        <w:snapToGrid w:val="0"/>
        <w:spacing w:line="360" w:lineRule="auto"/>
        <w:rPr>
          <w:rFonts w:ascii="Arial" w:hAnsi="Arial" w:eastAsia="黑体" w:cs="Times New Roman"/>
          <w:color w:val="auto"/>
          <w:kern w:val="0"/>
          <w:sz w:val="28"/>
          <w:szCs w:val="28"/>
          <w:highlight w:val="none"/>
        </w:rPr>
      </w:pPr>
      <w:r>
        <w:rPr>
          <w:rFonts w:hint="eastAsia" w:ascii="Arial" w:hAnsi="Arial" w:eastAsia="黑体" w:cs="Times New Roman"/>
          <w:color w:val="auto"/>
          <w:kern w:val="0"/>
          <w:sz w:val="28"/>
          <w:szCs w:val="28"/>
          <w:highlight w:val="none"/>
        </w:rPr>
        <w:t>11、证明磋商响应标的符合磋商文件规定的文件</w:t>
      </w:r>
    </w:p>
    <w:p w14:paraId="49EAD12E">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11.1供应商应按照磋商文件要求提交证明文件，证明其及磋商响应标的符合磋商文件规定。</w:t>
      </w:r>
    </w:p>
    <w:p w14:paraId="2902EBC2">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11.2磋商文件对证明文件无明确形式要求的，证明文件可以以文字资料、图纸和数据等形式提交。</w:t>
      </w:r>
    </w:p>
    <w:p w14:paraId="0167BD32">
      <w:pPr>
        <w:adjustRightInd w:val="0"/>
        <w:snapToGrid w:val="0"/>
        <w:spacing w:line="360" w:lineRule="auto"/>
        <w:rPr>
          <w:rFonts w:ascii="Arial" w:hAnsi="Arial" w:eastAsia="黑体" w:cs="Times New Roman"/>
          <w:color w:val="auto"/>
          <w:kern w:val="0"/>
          <w:sz w:val="28"/>
          <w:szCs w:val="28"/>
          <w:highlight w:val="none"/>
        </w:rPr>
      </w:pPr>
      <w:r>
        <w:rPr>
          <w:rFonts w:hint="eastAsia" w:ascii="Arial" w:hAnsi="Arial" w:eastAsia="黑体" w:cs="Times New Roman"/>
          <w:color w:val="auto"/>
          <w:kern w:val="0"/>
          <w:sz w:val="28"/>
          <w:szCs w:val="28"/>
          <w:highlight w:val="none"/>
        </w:rPr>
        <w:t>12、分项报价表</w:t>
      </w:r>
    </w:p>
    <w:p w14:paraId="149E1831">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12.1供应商应按照磋商文件规定格式填报分项报价表。</w:t>
      </w:r>
    </w:p>
    <w:p w14:paraId="008A7A16">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12.2磋商货币。响应文件中的单价和总价无特殊规定的采用人民币报价，以元为单位标注。磋商文件中另有规定的按规定执行。</w:t>
      </w:r>
    </w:p>
    <w:p w14:paraId="4A943EBC">
      <w:pPr>
        <w:adjustRightInd w:val="0"/>
        <w:snapToGrid w:val="0"/>
        <w:spacing w:line="360" w:lineRule="auto"/>
        <w:rPr>
          <w:rFonts w:ascii="Arial" w:hAnsi="Arial" w:eastAsia="黑体" w:cs="Times New Roman"/>
          <w:color w:val="auto"/>
          <w:kern w:val="0"/>
          <w:sz w:val="28"/>
          <w:szCs w:val="28"/>
          <w:highlight w:val="none"/>
        </w:rPr>
      </w:pPr>
      <w:bookmarkStart w:id="60" w:name="_Hlt26954848"/>
      <w:bookmarkEnd w:id="60"/>
      <w:bookmarkStart w:id="61" w:name="_Hlt26954846"/>
      <w:bookmarkEnd w:id="61"/>
      <w:bookmarkStart w:id="62" w:name="_Hlt26954731"/>
      <w:bookmarkEnd w:id="62"/>
      <w:bookmarkStart w:id="63" w:name="_Hlt26670486"/>
      <w:bookmarkEnd w:id="63"/>
      <w:bookmarkStart w:id="64" w:name="_Hlt26670482"/>
      <w:bookmarkEnd w:id="64"/>
      <w:r>
        <w:rPr>
          <w:rFonts w:hint="eastAsia" w:ascii="Arial" w:hAnsi="Arial" w:eastAsia="黑体" w:cs="Times New Roman"/>
          <w:color w:val="auto"/>
          <w:kern w:val="0"/>
          <w:sz w:val="28"/>
          <w:szCs w:val="28"/>
          <w:highlight w:val="none"/>
        </w:rPr>
        <w:t>13、技术要求响应及偏离表、商务要求响应及偏离表</w:t>
      </w:r>
    </w:p>
    <w:p w14:paraId="32CF441B">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13.1供应商需对磋商文件中的技术要求与商务要求逐项作出响应或偏离，并说明原因。</w:t>
      </w:r>
    </w:p>
    <w:p w14:paraId="69CF0318">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13.2供应商需按照磋商文件要求，在响应文件中提供与技术要求和商务要求相关的证明材料。</w:t>
      </w:r>
    </w:p>
    <w:p w14:paraId="180AFE94">
      <w:pPr>
        <w:adjustRightInd w:val="0"/>
        <w:snapToGrid w:val="0"/>
        <w:spacing w:line="360" w:lineRule="auto"/>
        <w:rPr>
          <w:rFonts w:ascii="Arial" w:hAnsi="Arial" w:eastAsia="黑体" w:cs="Times New Roman"/>
          <w:color w:val="auto"/>
          <w:kern w:val="0"/>
          <w:sz w:val="28"/>
          <w:szCs w:val="28"/>
          <w:highlight w:val="none"/>
        </w:rPr>
      </w:pPr>
      <w:r>
        <w:rPr>
          <w:rFonts w:hint="eastAsia" w:ascii="Arial" w:hAnsi="Arial" w:eastAsia="黑体" w:cs="Times New Roman"/>
          <w:color w:val="auto"/>
          <w:kern w:val="0"/>
          <w:sz w:val="28"/>
          <w:szCs w:val="28"/>
          <w:highlight w:val="none"/>
        </w:rPr>
        <w:t>14、</w:t>
      </w:r>
      <w:r>
        <w:rPr>
          <w:rFonts w:ascii="Arial" w:hAnsi="Arial" w:eastAsia="黑体" w:cs="Times New Roman"/>
          <w:color w:val="auto"/>
          <w:kern w:val="0"/>
          <w:sz w:val="28"/>
          <w:szCs w:val="28"/>
          <w:highlight w:val="none"/>
        </w:rPr>
        <w:t>磋商响应有效期</w:t>
      </w:r>
    </w:p>
    <w:p w14:paraId="7ABCD373">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14</w:t>
      </w:r>
      <w:r>
        <w:rPr>
          <w:rFonts w:asciiTheme="minorEastAsia" w:hAnsiTheme="minorEastAsia"/>
          <w:color w:val="auto"/>
          <w:sz w:val="24"/>
          <w:highlight w:val="none"/>
        </w:rPr>
        <w:t>.1磋商响应有效期为</w:t>
      </w:r>
      <w:r>
        <w:rPr>
          <w:rFonts w:hint="eastAsia" w:asciiTheme="minorEastAsia" w:hAnsiTheme="minorEastAsia"/>
          <w:color w:val="auto"/>
          <w:sz w:val="24"/>
          <w:highlight w:val="none"/>
        </w:rPr>
        <w:t>采购代理机构</w:t>
      </w:r>
      <w:r>
        <w:rPr>
          <w:rFonts w:asciiTheme="minorEastAsia" w:hAnsiTheme="minorEastAsia"/>
          <w:color w:val="auto"/>
          <w:sz w:val="24"/>
          <w:highlight w:val="none"/>
        </w:rPr>
        <w:t>规定的响应文件提交截止时间后六十（60）天。磋商响应有效期比规定短的将被视为非实质性响应而予以拒绝。</w:t>
      </w:r>
    </w:p>
    <w:p w14:paraId="7AD1A60C">
      <w:pPr>
        <w:adjustRightInd w:val="0"/>
        <w:snapToGrid w:val="0"/>
        <w:spacing w:line="360" w:lineRule="auto"/>
        <w:rPr>
          <w:rFonts w:ascii="Arial" w:hAnsi="Arial" w:eastAsia="黑体" w:cs="Times New Roman"/>
          <w:color w:val="auto"/>
          <w:kern w:val="0"/>
          <w:sz w:val="28"/>
          <w:szCs w:val="28"/>
          <w:highlight w:val="none"/>
        </w:rPr>
      </w:pPr>
      <w:r>
        <w:rPr>
          <w:rFonts w:hint="eastAsia" w:ascii="Arial" w:hAnsi="Arial" w:eastAsia="黑体" w:cs="Times New Roman"/>
          <w:color w:val="auto"/>
          <w:kern w:val="0"/>
          <w:sz w:val="28"/>
          <w:szCs w:val="28"/>
          <w:highlight w:val="none"/>
        </w:rPr>
        <w:t>15、</w:t>
      </w:r>
      <w:r>
        <w:rPr>
          <w:rFonts w:ascii="Arial" w:hAnsi="Arial" w:eastAsia="黑体" w:cs="Times New Roman"/>
          <w:color w:val="auto"/>
          <w:kern w:val="0"/>
          <w:sz w:val="28"/>
          <w:szCs w:val="28"/>
          <w:highlight w:val="none"/>
        </w:rPr>
        <w:t>磋商响应有效期的延长</w:t>
      </w:r>
    </w:p>
    <w:p w14:paraId="1E51DAAE">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15</w:t>
      </w:r>
      <w:r>
        <w:rPr>
          <w:rFonts w:asciiTheme="minorEastAsia" w:hAnsiTheme="minorEastAsia"/>
          <w:color w:val="auto"/>
          <w:sz w:val="24"/>
          <w:highlight w:val="none"/>
        </w:rPr>
        <w:t>.1在特殊情况下，</w:t>
      </w:r>
      <w:r>
        <w:rPr>
          <w:rFonts w:hint="eastAsia" w:asciiTheme="minorEastAsia" w:hAnsiTheme="minorEastAsia"/>
          <w:color w:val="auto"/>
          <w:sz w:val="24"/>
          <w:highlight w:val="none"/>
        </w:rPr>
        <w:t>采购代理机构</w:t>
      </w:r>
      <w:r>
        <w:rPr>
          <w:rFonts w:asciiTheme="minorEastAsia" w:hAnsiTheme="minorEastAsia"/>
          <w:color w:val="auto"/>
          <w:sz w:val="24"/>
          <w:highlight w:val="none"/>
        </w:rPr>
        <w:t>于原磋商响应有效期满之前，可向磋商供应商提出延长磋商响应有效期的要求。这种要求与答复均应采用书面形式。供应商可以拒绝</w:t>
      </w:r>
      <w:r>
        <w:rPr>
          <w:rFonts w:hint="eastAsia" w:asciiTheme="minorEastAsia" w:hAnsiTheme="minorEastAsia"/>
          <w:color w:val="auto"/>
          <w:sz w:val="24"/>
          <w:highlight w:val="none"/>
        </w:rPr>
        <w:t>采购代理机构</w:t>
      </w:r>
      <w:r>
        <w:rPr>
          <w:rFonts w:asciiTheme="minorEastAsia" w:hAnsiTheme="minorEastAsia"/>
          <w:color w:val="auto"/>
          <w:sz w:val="24"/>
          <w:highlight w:val="none"/>
        </w:rPr>
        <w:t>的这一要求而放弃磋商响应，同意延长磋商响应有效期的供应商既不能要求也不允许修改其响应文件。受磋商响应有效期约束的所有权利与义务均延长至新的有效期。</w:t>
      </w:r>
    </w:p>
    <w:p w14:paraId="2BE68F5A">
      <w:pPr>
        <w:keepNext/>
        <w:keepLines/>
        <w:adjustRightInd w:val="0"/>
        <w:snapToGrid w:val="0"/>
        <w:spacing w:line="360" w:lineRule="auto"/>
        <w:outlineLvl w:val="2"/>
        <w:rPr>
          <w:rFonts w:ascii="Times New Roman" w:hAnsi="Times New Roman" w:eastAsia="宋体" w:cs="Times New Roman"/>
          <w:b/>
          <w:bCs/>
          <w:color w:val="auto"/>
          <w:kern w:val="0"/>
          <w:sz w:val="32"/>
          <w:szCs w:val="32"/>
          <w:highlight w:val="none"/>
        </w:rPr>
      </w:pPr>
      <w:bookmarkStart w:id="65" w:name="_Hlt26954852"/>
      <w:bookmarkEnd w:id="65"/>
      <w:bookmarkStart w:id="66" w:name="_Hlt26954739"/>
      <w:bookmarkEnd w:id="66"/>
      <w:bookmarkStart w:id="67" w:name="_Toc16938540"/>
      <w:bookmarkStart w:id="68" w:name="_Toc513029224"/>
      <w:bookmarkStart w:id="69" w:name="_Toc20823296"/>
      <w:bookmarkStart w:id="70" w:name="_Toc120614217"/>
      <w:r>
        <w:rPr>
          <w:rFonts w:ascii="Times New Roman" w:hAnsi="Times New Roman" w:eastAsia="宋体" w:cs="Times New Roman"/>
          <w:b/>
          <w:bCs/>
          <w:color w:val="auto"/>
          <w:kern w:val="0"/>
          <w:sz w:val="32"/>
          <w:szCs w:val="32"/>
          <w:highlight w:val="none"/>
        </w:rPr>
        <w:t>四</w:t>
      </w:r>
      <w:r>
        <w:rPr>
          <w:rFonts w:hint="eastAsia" w:ascii="Times New Roman" w:hAnsi="Times New Roman" w:eastAsia="宋体" w:cs="Times New Roman"/>
          <w:b/>
          <w:bCs/>
          <w:color w:val="auto"/>
          <w:kern w:val="0"/>
          <w:sz w:val="32"/>
          <w:szCs w:val="32"/>
          <w:highlight w:val="none"/>
        </w:rPr>
        <w:t>、</w:t>
      </w:r>
      <w:r>
        <w:rPr>
          <w:rFonts w:ascii="Times New Roman" w:hAnsi="Times New Roman" w:eastAsia="宋体" w:cs="Times New Roman"/>
          <w:b/>
          <w:bCs/>
          <w:color w:val="auto"/>
          <w:kern w:val="0"/>
          <w:sz w:val="32"/>
          <w:szCs w:val="32"/>
          <w:highlight w:val="none"/>
        </w:rPr>
        <w:t>响应文件的提交</w:t>
      </w:r>
      <w:bookmarkEnd w:id="67"/>
      <w:bookmarkEnd w:id="68"/>
      <w:bookmarkEnd w:id="69"/>
      <w:bookmarkEnd w:id="70"/>
    </w:p>
    <w:p w14:paraId="0CE24A50">
      <w:pPr>
        <w:adjustRightInd w:val="0"/>
        <w:snapToGrid w:val="0"/>
        <w:spacing w:line="360" w:lineRule="auto"/>
        <w:rPr>
          <w:rFonts w:ascii="Arial" w:hAnsi="Arial" w:eastAsia="黑体" w:cs="Times New Roman"/>
          <w:color w:val="auto"/>
          <w:kern w:val="0"/>
          <w:sz w:val="28"/>
          <w:szCs w:val="28"/>
          <w:highlight w:val="none"/>
        </w:rPr>
      </w:pPr>
      <w:bookmarkStart w:id="71" w:name="_Toc513029225"/>
      <w:bookmarkStart w:id="72" w:name="_Toc462564084"/>
      <w:bookmarkStart w:id="73" w:name="_Toc20823297"/>
      <w:bookmarkStart w:id="74" w:name="_Toc16938541"/>
      <w:bookmarkStart w:id="75" w:name="_Toc120614218"/>
      <w:bookmarkStart w:id="76" w:name="_Toc20823301"/>
      <w:bookmarkStart w:id="77" w:name="_Toc513029229"/>
      <w:bookmarkStart w:id="78" w:name="_Toc16938545"/>
      <w:r>
        <w:rPr>
          <w:rFonts w:hint="eastAsia" w:ascii="Arial" w:hAnsi="Arial" w:eastAsia="黑体" w:cs="Times New Roman"/>
          <w:color w:val="auto"/>
          <w:kern w:val="0"/>
          <w:sz w:val="28"/>
          <w:szCs w:val="28"/>
          <w:highlight w:val="none"/>
        </w:rPr>
        <w:t>16、电子磋商</w:t>
      </w:r>
      <w:bookmarkEnd w:id="71"/>
      <w:bookmarkEnd w:id="72"/>
      <w:bookmarkEnd w:id="73"/>
      <w:bookmarkEnd w:id="74"/>
      <w:r>
        <w:rPr>
          <w:rFonts w:hint="eastAsia" w:ascii="Arial" w:hAnsi="Arial" w:eastAsia="黑体" w:cs="Times New Roman"/>
          <w:color w:val="auto"/>
          <w:kern w:val="0"/>
          <w:sz w:val="28"/>
          <w:szCs w:val="28"/>
          <w:highlight w:val="none"/>
        </w:rPr>
        <w:t>响应文件的递交</w:t>
      </w:r>
    </w:p>
    <w:p w14:paraId="257ED9A3">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16.1供应商应当按照《操作手册》规定，在提交响应文件截止时间前制作并上传电子响应文件。</w:t>
      </w:r>
      <w:bookmarkStart w:id="79" w:name="_Toc20823298"/>
      <w:bookmarkStart w:id="80" w:name="_Toc16938542"/>
      <w:bookmarkStart w:id="81" w:name="_Toc513029226"/>
    </w:p>
    <w:p w14:paraId="498FF594">
      <w:pPr>
        <w:adjustRightInd w:val="0"/>
        <w:snapToGrid w:val="0"/>
        <w:spacing w:line="360" w:lineRule="auto"/>
        <w:rPr>
          <w:rFonts w:ascii="Arial" w:hAnsi="Arial" w:eastAsia="黑体" w:cs="Times New Roman"/>
          <w:color w:val="auto"/>
          <w:kern w:val="0"/>
          <w:sz w:val="28"/>
          <w:szCs w:val="28"/>
          <w:highlight w:val="none"/>
        </w:rPr>
      </w:pPr>
      <w:r>
        <w:rPr>
          <w:rFonts w:ascii="Arial" w:hAnsi="Arial" w:eastAsia="黑体" w:cs="Times New Roman"/>
          <w:color w:val="auto"/>
          <w:kern w:val="0"/>
          <w:sz w:val="28"/>
          <w:szCs w:val="28"/>
          <w:highlight w:val="none"/>
        </w:rPr>
        <w:t>1</w:t>
      </w:r>
      <w:r>
        <w:rPr>
          <w:rFonts w:hint="eastAsia" w:ascii="Arial" w:hAnsi="Arial" w:eastAsia="黑体" w:cs="Times New Roman"/>
          <w:color w:val="auto"/>
          <w:kern w:val="0"/>
          <w:sz w:val="28"/>
          <w:szCs w:val="28"/>
          <w:highlight w:val="none"/>
        </w:rPr>
        <w:t>7、提交响应文件截止时间</w:t>
      </w:r>
      <w:bookmarkEnd w:id="79"/>
      <w:bookmarkEnd w:id="80"/>
      <w:bookmarkEnd w:id="81"/>
    </w:p>
    <w:p w14:paraId="72777F0A">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17.1供应商上传电子响应文件的时间不得迟于磋商公告中规定的提交响应文件截止时间。</w:t>
      </w:r>
    </w:p>
    <w:p w14:paraId="5A2DD97B">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供应商应充分考虑到网络环境、网络带宽等风险因素，如因供应商自身原因造成的电子响应文件上传不成功的按照本磋商文件第二章第26.3.2条规定做无效响应处理。</w:t>
      </w:r>
    </w:p>
    <w:p w14:paraId="78EBBA9E">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17.2采购代理机构可以按照规定，通过修改磋商文件酌情延长提交响应文件截止日期，在此情况下，供应商的所有权利和义务以及供应商受制的截止日期均应以延长后新的截止日期为准。</w:t>
      </w:r>
    </w:p>
    <w:p w14:paraId="1DE7D8F0">
      <w:pPr>
        <w:adjustRightInd w:val="0"/>
        <w:snapToGrid w:val="0"/>
        <w:spacing w:line="360" w:lineRule="auto"/>
        <w:rPr>
          <w:rFonts w:ascii="Arial" w:hAnsi="Arial" w:eastAsia="黑体" w:cs="Times New Roman"/>
          <w:color w:val="auto"/>
          <w:kern w:val="0"/>
          <w:sz w:val="28"/>
          <w:szCs w:val="28"/>
          <w:highlight w:val="none"/>
        </w:rPr>
      </w:pPr>
      <w:bookmarkStart w:id="82" w:name="_Toc20823299"/>
      <w:bookmarkStart w:id="83" w:name="_Toc16938543"/>
      <w:bookmarkStart w:id="84" w:name="_Toc513029227"/>
      <w:r>
        <w:rPr>
          <w:rFonts w:hint="eastAsia" w:ascii="Arial" w:hAnsi="Arial" w:eastAsia="黑体" w:cs="Times New Roman"/>
          <w:color w:val="auto"/>
          <w:kern w:val="0"/>
          <w:sz w:val="28"/>
          <w:szCs w:val="28"/>
          <w:highlight w:val="none"/>
        </w:rPr>
        <w:t>18、响应文件</w:t>
      </w:r>
      <w:bookmarkEnd w:id="82"/>
      <w:bookmarkEnd w:id="83"/>
      <w:bookmarkEnd w:id="84"/>
      <w:r>
        <w:rPr>
          <w:rFonts w:hint="eastAsia" w:ascii="Arial" w:hAnsi="Arial" w:eastAsia="黑体" w:cs="Times New Roman"/>
          <w:color w:val="auto"/>
          <w:kern w:val="0"/>
          <w:sz w:val="28"/>
          <w:szCs w:val="28"/>
          <w:highlight w:val="none"/>
        </w:rPr>
        <w:t>的拒收</w:t>
      </w:r>
    </w:p>
    <w:p w14:paraId="7D0E3F5A">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18.1采购代理机构拒绝接收在其规定的提交响应文件截止时间后上传的任何电子响应文件。</w:t>
      </w:r>
    </w:p>
    <w:p w14:paraId="24406936">
      <w:pPr>
        <w:adjustRightInd w:val="0"/>
        <w:snapToGrid w:val="0"/>
        <w:spacing w:line="360" w:lineRule="auto"/>
        <w:rPr>
          <w:rFonts w:ascii="Arial" w:hAnsi="Arial" w:eastAsia="黑体" w:cs="Times New Roman"/>
          <w:color w:val="auto"/>
          <w:kern w:val="0"/>
          <w:sz w:val="28"/>
          <w:szCs w:val="28"/>
          <w:highlight w:val="none"/>
        </w:rPr>
      </w:pPr>
      <w:bookmarkStart w:id="85" w:name="_Toc513029228"/>
      <w:bookmarkStart w:id="86" w:name="_Toc16938544"/>
      <w:bookmarkStart w:id="87" w:name="_Toc20823300"/>
      <w:r>
        <w:rPr>
          <w:rFonts w:hint="eastAsia" w:ascii="Arial" w:hAnsi="Arial" w:eastAsia="黑体" w:cs="Times New Roman"/>
          <w:color w:val="auto"/>
          <w:kern w:val="0"/>
          <w:sz w:val="28"/>
          <w:szCs w:val="28"/>
          <w:highlight w:val="none"/>
        </w:rPr>
        <w:t>19、响应文件的撤回和修改</w:t>
      </w:r>
      <w:bookmarkEnd w:id="85"/>
      <w:bookmarkEnd w:id="86"/>
      <w:bookmarkEnd w:id="87"/>
    </w:p>
    <w:p w14:paraId="38D9B608">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19.1响应文件的撤回</w:t>
      </w:r>
    </w:p>
    <w:p w14:paraId="6F009BC4">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19.1.1 电子响应文件的撤回</w:t>
      </w:r>
    </w:p>
    <w:p w14:paraId="464B8BB3">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供应商可在提交响应文件截止时间前，撤回其电子响应文件，具体操作方法见《操作手册》。</w:t>
      </w:r>
    </w:p>
    <w:p w14:paraId="094329DA">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19.1.2供应商撤回电子响应文件，则认为其不再参与本项目磋商活动。</w:t>
      </w:r>
    </w:p>
    <w:p w14:paraId="0A3AED07">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19.2响应文件的修改</w:t>
      </w:r>
    </w:p>
    <w:p w14:paraId="39A27785">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19.2.1供应商可在提交响应文件截止时间前，对其电子响应文件进行修改，具体操作方法见《操作手册》。</w:t>
      </w:r>
    </w:p>
    <w:p w14:paraId="12A092F6">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19.2.2在提交响应文件截止时间之后，供应商不得对其电子响应文件作任何修改。</w:t>
      </w:r>
    </w:p>
    <w:p w14:paraId="4B54E481">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19.3 在提交响应文件截止时间至磋商文件中规定的磋商有效期满之间的这段时间内，供应商不得撤回其响应文件。</w:t>
      </w:r>
    </w:p>
    <w:p w14:paraId="26B73039">
      <w:pPr>
        <w:keepNext/>
        <w:keepLines/>
        <w:spacing w:line="360" w:lineRule="auto"/>
        <w:outlineLvl w:val="2"/>
        <w:rPr>
          <w:rFonts w:ascii="Times New Roman" w:hAnsi="Times New Roman" w:eastAsia="宋体" w:cs="Times New Roman"/>
          <w:b/>
          <w:bCs/>
          <w:color w:val="auto"/>
          <w:kern w:val="0"/>
          <w:sz w:val="32"/>
          <w:szCs w:val="32"/>
          <w:highlight w:val="none"/>
        </w:rPr>
      </w:pPr>
      <w:r>
        <w:rPr>
          <w:rFonts w:ascii="Times New Roman" w:hAnsi="Times New Roman" w:eastAsia="宋体" w:cs="Times New Roman"/>
          <w:b/>
          <w:bCs/>
          <w:color w:val="auto"/>
          <w:kern w:val="0"/>
          <w:sz w:val="32"/>
          <w:szCs w:val="32"/>
          <w:highlight w:val="none"/>
        </w:rPr>
        <w:t>五</w:t>
      </w:r>
      <w:bookmarkEnd w:id="75"/>
      <w:bookmarkEnd w:id="76"/>
      <w:bookmarkEnd w:id="77"/>
      <w:bookmarkEnd w:id="78"/>
      <w:bookmarkStart w:id="88" w:name="_Toc20823302"/>
      <w:bookmarkStart w:id="89" w:name="_Toc513029230"/>
      <w:bookmarkStart w:id="90" w:name="_Toc16938546"/>
      <w:r>
        <w:rPr>
          <w:rFonts w:hint="eastAsia" w:ascii="Times New Roman" w:hAnsi="Times New Roman" w:eastAsia="宋体" w:cs="Times New Roman"/>
          <w:b/>
          <w:bCs/>
          <w:color w:val="auto"/>
          <w:kern w:val="0"/>
          <w:sz w:val="32"/>
          <w:szCs w:val="32"/>
          <w:highlight w:val="none"/>
        </w:rPr>
        <w:t>、响应文件的解密与评审</w:t>
      </w:r>
    </w:p>
    <w:bookmarkEnd w:id="88"/>
    <w:bookmarkEnd w:id="89"/>
    <w:bookmarkEnd w:id="90"/>
    <w:p w14:paraId="14A23508">
      <w:pPr>
        <w:adjustRightInd w:val="0"/>
        <w:snapToGrid w:val="0"/>
        <w:spacing w:line="360" w:lineRule="auto"/>
        <w:rPr>
          <w:rFonts w:ascii="Arial" w:hAnsi="Arial" w:eastAsia="黑体" w:cs="Times New Roman"/>
          <w:color w:val="auto"/>
          <w:kern w:val="0"/>
          <w:sz w:val="28"/>
          <w:szCs w:val="28"/>
          <w:highlight w:val="none"/>
        </w:rPr>
      </w:pPr>
      <w:r>
        <w:rPr>
          <w:rFonts w:hint="eastAsia" w:ascii="Arial" w:hAnsi="Arial" w:eastAsia="黑体" w:cs="Times New Roman"/>
          <w:color w:val="auto"/>
          <w:kern w:val="0"/>
          <w:sz w:val="28"/>
          <w:szCs w:val="28"/>
          <w:highlight w:val="none"/>
        </w:rPr>
        <w:t>20、响应文件解密</w:t>
      </w:r>
    </w:p>
    <w:p w14:paraId="283A5EA6">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20.1供应商应当按照《操作手册》规定，在苏采云系统规定的时间内对磋商响应文件进行解密。</w:t>
      </w:r>
    </w:p>
    <w:p w14:paraId="2CA03D25">
      <w:pPr>
        <w:adjustRightInd w:val="0"/>
        <w:snapToGrid w:val="0"/>
        <w:spacing w:line="360" w:lineRule="auto"/>
        <w:rPr>
          <w:rFonts w:ascii="Arial" w:hAnsi="Arial" w:eastAsia="黑体" w:cs="Times New Roman"/>
          <w:color w:val="auto"/>
          <w:kern w:val="0"/>
          <w:sz w:val="28"/>
          <w:szCs w:val="28"/>
          <w:highlight w:val="none"/>
        </w:rPr>
      </w:pPr>
      <w:bookmarkStart w:id="91" w:name="_Toc20823303"/>
      <w:bookmarkStart w:id="92" w:name="_Toc513029231"/>
      <w:bookmarkStart w:id="93" w:name="_Toc16938547"/>
      <w:r>
        <w:rPr>
          <w:rFonts w:hint="eastAsia" w:ascii="Arial" w:hAnsi="Arial" w:eastAsia="黑体" w:cs="Times New Roman"/>
          <w:color w:val="auto"/>
          <w:kern w:val="0"/>
          <w:sz w:val="28"/>
          <w:szCs w:val="28"/>
          <w:highlight w:val="none"/>
        </w:rPr>
        <w:t>21、磋商小组</w:t>
      </w:r>
    </w:p>
    <w:p w14:paraId="6C319BE8">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21.1采购代理机构将组织磋商小组对响应文件进行评审。磋商小组由采购人代表和有关技术、经济等方面的专家组成，且人员构成符合政府采购有关规定。</w:t>
      </w:r>
    </w:p>
    <w:p w14:paraId="3AF4DFAD">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21.2磋商小组独立工作，负责评审所有响应文件并确定成交侯选人。</w:t>
      </w:r>
    </w:p>
    <w:p w14:paraId="18424276">
      <w:pPr>
        <w:adjustRightInd w:val="0"/>
        <w:snapToGrid w:val="0"/>
        <w:spacing w:line="360" w:lineRule="auto"/>
        <w:rPr>
          <w:rFonts w:ascii="Arial" w:hAnsi="Arial" w:eastAsia="黑体" w:cs="Times New Roman"/>
          <w:color w:val="auto"/>
          <w:kern w:val="0"/>
          <w:sz w:val="28"/>
          <w:szCs w:val="28"/>
          <w:highlight w:val="none"/>
        </w:rPr>
      </w:pPr>
      <w:r>
        <w:rPr>
          <w:rFonts w:hint="eastAsia" w:ascii="Arial" w:hAnsi="Arial" w:eastAsia="黑体" w:cs="Times New Roman"/>
          <w:color w:val="auto"/>
          <w:kern w:val="0"/>
          <w:sz w:val="28"/>
          <w:szCs w:val="28"/>
          <w:highlight w:val="none"/>
        </w:rPr>
        <w:t>22、评审过程的保密与公正</w:t>
      </w:r>
      <w:bookmarkEnd w:id="91"/>
      <w:bookmarkEnd w:id="92"/>
      <w:bookmarkEnd w:id="93"/>
    </w:p>
    <w:p w14:paraId="139AE587">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22.1磋商小组、采购人和采购代理机构工作人员、相关监督人员等与评审工作有关的人员，对评审情况以及在评审过程中获悉的国家秘密、商业秘密负有保密责任。</w:t>
      </w:r>
    </w:p>
    <w:p w14:paraId="522260AC">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22.2在评审过程中，供应商不得以任何行为影响磋商评审过程，否则其响应文件将被作为无效响应文件。</w:t>
      </w:r>
    </w:p>
    <w:p w14:paraId="265C62A5">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22.3采购代理机构和磋商小组不向未成交的供应商解释未成交原因，也不公布评审过程中的相关细节。</w:t>
      </w:r>
    </w:p>
    <w:p w14:paraId="4F543530">
      <w:pPr>
        <w:adjustRightInd w:val="0"/>
        <w:snapToGrid w:val="0"/>
        <w:spacing w:line="360" w:lineRule="auto"/>
        <w:rPr>
          <w:rFonts w:ascii="Arial" w:hAnsi="Arial" w:eastAsia="黑体" w:cs="Times New Roman"/>
          <w:color w:val="auto"/>
          <w:kern w:val="0"/>
          <w:sz w:val="28"/>
          <w:szCs w:val="28"/>
          <w:highlight w:val="none"/>
        </w:rPr>
      </w:pPr>
      <w:bookmarkStart w:id="94" w:name="_Toc16938548"/>
      <w:bookmarkStart w:id="95" w:name="_Toc20823304"/>
      <w:bookmarkStart w:id="96" w:name="_Toc513029232"/>
      <w:r>
        <w:rPr>
          <w:rFonts w:hint="eastAsia" w:ascii="Arial" w:hAnsi="Arial" w:eastAsia="黑体" w:cs="Times New Roman"/>
          <w:color w:val="auto"/>
          <w:kern w:val="0"/>
          <w:sz w:val="28"/>
          <w:szCs w:val="28"/>
          <w:highlight w:val="none"/>
        </w:rPr>
        <w:t>23、评审过程中的的澄清</w:t>
      </w:r>
      <w:bookmarkEnd w:id="94"/>
      <w:bookmarkEnd w:id="95"/>
      <w:bookmarkEnd w:id="96"/>
    </w:p>
    <w:p w14:paraId="5C23D923">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23.1项目评审期间，磋商</w:t>
      </w:r>
      <w:r>
        <w:rPr>
          <w:rFonts w:hint="eastAsia" w:ascii="宋体" w:hAnsi="宋体" w:eastAsia="宋体" w:cs="Times New Roman"/>
          <w:color w:val="auto"/>
          <w:kern w:val="0"/>
          <w:sz w:val="24"/>
          <w:szCs w:val="24"/>
          <w:highlight w:val="none"/>
        </w:rPr>
        <w:t>小组有权要求供应商对响应文件中含义不明确、同类问题表述不一</w:t>
      </w:r>
      <w:r>
        <w:rPr>
          <w:rFonts w:hint="eastAsia" w:asciiTheme="minorEastAsia" w:hAnsiTheme="minorEastAsia"/>
          <w:bCs/>
          <w:color w:val="auto"/>
          <w:sz w:val="24"/>
          <w:highlight w:val="none"/>
        </w:rPr>
        <w:t>致或者有明显文字和计算错误的内容等作出必要的澄清、说明或者更正。供应商的澄清、说明或者更正不得超出响应文件的范围或者改变响应文件的实质性内容。</w:t>
      </w:r>
    </w:p>
    <w:p w14:paraId="6187248B">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磋商小组并非对每个供应商都作澄清要求。</w:t>
      </w:r>
    </w:p>
    <w:p w14:paraId="10A82B46">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23.2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4AE8CDF7">
      <w:pPr>
        <w:adjustRightInd w:val="0"/>
        <w:snapToGrid w:val="0"/>
        <w:spacing w:line="360" w:lineRule="auto"/>
        <w:ind w:firstLine="480" w:firstLineChars="200"/>
        <w:rPr>
          <w:rFonts w:ascii="宋体" w:hAnsi="宋体" w:eastAsia="宋体" w:cs="Times New Roman"/>
          <w:color w:val="auto"/>
          <w:kern w:val="0"/>
          <w:sz w:val="24"/>
          <w:szCs w:val="24"/>
          <w:highlight w:val="none"/>
        </w:rPr>
      </w:pPr>
      <w:r>
        <w:rPr>
          <w:rFonts w:hint="eastAsia" w:asciiTheme="minorEastAsia" w:hAnsiTheme="minorEastAsia"/>
          <w:bCs/>
          <w:color w:val="auto"/>
          <w:sz w:val="24"/>
          <w:highlight w:val="none"/>
        </w:rPr>
        <w:t>23.3接到磋商小组澄清、说明和</w:t>
      </w:r>
      <w:r>
        <w:rPr>
          <w:rFonts w:hint="eastAsia" w:ascii="宋体" w:hAnsi="宋体" w:eastAsia="宋体" w:cs="Times New Roman"/>
          <w:color w:val="auto"/>
          <w:kern w:val="0"/>
          <w:sz w:val="24"/>
          <w:szCs w:val="24"/>
          <w:highlight w:val="none"/>
        </w:rPr>
        <w:t>更正要求的供应商如未按规定做出澄清、说明和 更正，其风险由供应商自行承担。</w:t>
      </w:r>
    </w:p>
    <w:p w14:paraId="326662D8">
      <w:pPr>
        <w:adjustRightInd w:val="0"/>
        <w:snapToGrid w:val="0"/>
        <w:spacing w:line="360" w:lineRule="auto"/>
        <w:rPr>
          <w:rFonts w:ascii="Arial" w:hAnsi="Arial" w:eastAsia="黑体" w:cs="Times New Roman"/>
          <w:color w:val="auto"/>
          <w:kern w:val="0"/>
          <w:sz w:val="28"/>
          <w:szCs w:val="28"/>
          <w:highlight w:val="none"/>
        </w:rPr>
      </w:pPr>
      <w:bookmarkStart w:id="97" w:name="_Toc16938549"/>
      <w:bookmarkStart w:id="98" w:name="_Toc513029233"/>
      <w:bookmarkStart w:id="99" w:name="_Toc20823305"/>
      <w:r>
        <w:rPr>
          <w:rFonts w:hint="eastAsia" w:ascii="Arial" w:hAnsi="Arial" w:eastAsia="黑体" w:cs="Times New Roman"/>
          <w:color w:val="auto"/>
          <w:kern w:val="0"/>
          <w:sz w:val="28"/>
          <w:szCs w:val="28"/>
          <w:highlight w:val="none"/>
        </w:rPr>
        <w:t>24、对响应文件的审</w:t>
      </w:r>
      <w:bookmarkEnd w:id="97"/>
      <w:bookmarkEnd w:id="98"/>
      <w:bookmarkEnd w:id="99"/>
      <w:r>
        <w:rPr>
          <w:rFonts w:hint="eastAsia" w:ascii="Arial" w:hAnsi="Arial" w:eastAsia="黑体" w:cs="Times New Roman"/>
          <w:color w:val="auto"/>
          <w:kern w:val="0"/>
          <w:sz w:val="28"/>
          <w:szCs w:val="28"/>
          <w:highlight w:val="none"/>
        </w:rPr>
        <w:t>查</w:t>
      </w:r>
    </w:p>
    <w:p w14:paraId="06253D87">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24.1响应文件审查分为资格审查和符合性审查。</w:t>
      </w:r>
    </w:p>
    <w:p w14:paraId="26382D46">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24.1.1资格审查：由磋商小组依据法律法规和磋商文件的规定，对响应文件中的资格证明文件进行审查，以确定供应商是否具备参加磋商的资格。</w:t>
      </w:r>
    </w:p>
    <w:p w14:paraId="6D5B153E">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磋商小组在进行资格审查的同时，将在“信用中国”网站（www.creditchina.gov.cn）查询供应商的信用记录，以确定供应商是否具备磋商资格,查询结果留存并归档。</w:t>
      </w:r>
    </w:p>
    <w:p w14:paraId="455D779F">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08662058">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24.1.2 符合性审查：依据磋商文件的规定，由磋商小组从响应文件的有效性、完整性和对磋商文件的响应程度进行审查，以确定是否对磋商文件的实质性要求作出响应。</w:t>
      </w:r>
    </w:p>
    <w:p w14:paraId="1A6CF406">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24.1.3 未通过资格审查或符合性审查的供应商，磋商小组将在苏采云系统中告知未通过资格审查或符合性审查的原因，评审结束后，磋商小组将不再告知未通过资格审</w:t>
      </w:r>
      <w:r>
        <w:rPr>
          <w:rFonts w:hint="eastAsia" w:ascii="宋体" w:hAnsi="宋体" w:eastAsia="宋体" w:cs="Times New Roman"/>
          <w:color w:val="auto"/>
          <w:kern w:val="0"/>
          <w:sz w:val="24"/>
          <w:szCs w:val="24"/>
          <w:highlight w:val="none"/>
        </w:rPr>
        <w:t>查或符合</w:t>
      </w:r>
      <w:r>
        <w:rPr>
          <w:rFonts w:hint="eastAsia" w:asciiTheme="minorEastAsia" w:hAnsiTheme="minorEastAsia"/>
          <w:bCs/>
          <w:color w:val="auto"/>
          <w:sz w:val="24"/>
          <w:highlight w:val="none"/>
        </w:rPr>
        <w:t>性审查的原因。</w:t>
      </w:r>
    </w:p>
    <w:p w14:paraId="31E9B676">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bCs/>
          <w:color w:val="auto"/>
          <w:sz w:val="24"/>
          <w:highlight w:val="none"/>
        </w:rPr>
        <w:t>24.2在详细评审之前，磋商小组将首先审查每份响应文件是否实质性响应了磋商文件的要求。实质性响应的响应文件应该是与磋商文件要求的条款、条件和规格相符，没有重大偏离或保留。</w:t>
      </w:r>
    </w:p>
    <w:p w14:paraId="216CF428">
      <w:pPr>
        <w:adjustRightInd w:val="0"/>
        <w:snapToGrid w:val="0"/>
        <w:spacing w:line="360" w:lineRule="auto"/>
        <w:ind w:firstLine="480" w:firstLineChars="200"/>
        <w:rPr>
          <w:rFonts w:ascii="宋体" w:hAnsi="宋体" w:eastAsia="宋体" w:cs="Times New Roman"/>
          <w:color w:val="auto"/>
          <w:kern w:val="0"/>
          <w:sz w:val="24"/>
          <w:szCs w:val="24"/>
          <w:highlight w:val="none"/>
        </w:rPr>
      </w:pPr>
      <w:r>
        <w:rPr>
          <w:rFonts w:hint="eastAsia" w:asciiTheme="minorEastAsia" w:hAnsiTheme="minorEastAsia"/>
          <w:bCs/>
          <w:color w:val="auto"/>
          <w:sz w:val="24"/>
          <w:highlight w:val="none"/>
        </w:rPr>
        <w:t>所谓重大偏离或保留</w:t>
      </w:r>
      <w:r>
        <w:rPr>
          <w:rFonts w:hint="eastAsia" w:ascii="宋体" w:hAnsi="宋体" w:eastAsia="宋体" w:cs="Times New Roman"/>
          <w:color w:val="auto"/>
          <w:kern w:val="0"/>
          <w:sz w:val="24"/>
          <w:szCs w:val="24"/>
          <w:highlight w:val="none"/>
        </w:rPr>
        <w:t>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366B41F">
      <w:pPr>
        <w:adjustRightInd w:val="0"/>
        <w:snapToGrid w:val="0"/>
        <w:spacing w:line="360" w:lineRule="auto"/>
        <w:ind w:firstLine="480" w:firstLineChars="200"/>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24.3未实质性响应磋商文件的情形</w:t>
      </w:r>
    </w:p>
    <w:p w14:paraId="1CC3AB0A">
      <w:pPr>
        <w:adjustRightInd w:val="0"/>
        <w:snapToGrid w:val="0"/>
        <w:spacing w:line="360" w:lineRule="auto"/>
        <w:ind w:firstLine="480" w:firstLineChars="200"/>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24.3.1供应商在苏采云系统规定的时间内未成功解密电子响应文件。</w:t>
      </w:r>
    </w:p>
    <w:p w14:paraId="3FA5FB3C">
      <w:pPr>
        <w:adjustRightInd w:val="0"/>
        <w:snapToGrid w:val="0"/>
        <w:spacing w:line="360" w:lineRule="auto"/>
        <w:ind w:firstLine="480" w:firstLineChars="200"/>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24.3.2供应商未按照磋商文件要求上传电子响应文件的。</w:t>
      </w:r>
    </w:p>
    <w:p w14:paraId="110DBC06">
      <w:pPr>
        <w:adjustRightInd w:val="0"/>
        <w:snapToGrid w:val="0"/>
        <w:spacing w:line="360" w:lineRule="auto"/>
        <w:ind w:firstLine="480" w:firstLineChars="200"/>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24.3.3供应商同一分包提交两个（含两个）以上不同的响应文件或者最后报价的。</w:t>
      </w:r>
    </w:p>
    <w:p w14:paraId="663B6FDE">
      <w:pPr>
        <w:adjustRightInd w:val="0"/>
        <w:snapToGrid w:val="0"/>
        <w:spacing w:line="360" w:lineRule="auto"/>
        <w:ind w:firstLine="480" w:firstLineChars="200"/>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24.3.4供应商不具备磋商文件中规定资格要求的。</w:t>
      </w:r>
    </w:p>
    <w:p w14:paraId="788682CD">
      <w:pPr>
        <w:adjustRightInd w:val="0"/>
        <w:snapToGrid w:val="0"/>
        <w:spacing w:line="360" w:lineRule="auto"/>
        <w:ind w:firstLine="480" w:firstLineChars="200"/>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24.3.5</w:t>
      </w:r>
      <w:r>
        <w:rPr>
          <w:rFonts w:hint="eastAsia" w:ascii="宋体" w:hAnsi="宋体" w:cs="宋体"/>
          <w:bCs/>
          <w:color w:val="auto"/>
          <w:kern w:val="0"/>
          <w:sz w:val="24"/>
          <w:highlight w:val="none"/>
        </w:rPr>
        <w:t>响应报价超过了采购预算或最高限价的</w:t>
      </w:r>
      <w:r>
        <w:rPr>
          <w:rFonts w:hint="eastAsia" w:ascii="宋体" w:hAnsi="宋体" w:eastAsia="宋体" w:cs="Times New Roman"/>
          <w:color w:val="auto"/>
          <w:kern w:val="0"/>
          <w:sz w:val="24"/>
          <w:szCs w:val="24"/>
          <w:highlight w:val="none"/>
        </w:rPr>
        <w:t>。</w:t>
      </w:r>
    </w:p>
    <w:p w14:paraId="144C9652">
      <w:pPr>
        <w:adjustRightInd w:val="0"/>
        <w:snapToGrid w:val="0"/>
        <w:spacing w:line="360" w:lineRule="auto"/>
        <w:ind w:firstLine="480" w:firstLineChars="200"/>
        <w:rPr>
          <w:rFonts w:ascii="宋体" w:hAnsi="宋体" w:eastAsia="宋体" w:cs="Times New Roman"/>
          <w:i/>
          <w:iCs/>
          <w:color w:val="auto"/>
          <w:kern w:val="0"/>
          <w:sz w:val="24"/>
          <w:szCs w:val="24"/>
          <w:highlight w:val="none"/>
          <w:u w:val="single"/>
        </w:rPr>
      </w:pPr>
      <w:r>
        <w:rPr>
          <w:rFonts w:hint="eastAsia" w:ascii="宋体" w:hAnsi="宋体" w:eastAsia="宋体" w:cs="Times New Roman"/>
          <w:color w:val="auto"/>
          <w:kern w:val="0"/>
          <w:sz w:val="24"/>
          <w:szCs w:val="24"/>
          <w:highlight w:val="none"/>
        </w:rPr>
        <w:t>24.3.6不符合磋商文件中规定的实质性要求的</w:t>
      </w:r>
      <w:r>
        <w:rPr>
          <w:rFonts w:hint="eastAsia" w:ascii="宋体" w:hAnsi="宋体" w:eastAsia="宋体" w:cs="Times New Roman"/>
          <w:i/>
          <w:iCs/>
          <w:color w:val="auto"/>
          <w:kern w:val="0"/>
          <w:sz w:val="24"/>
          <w:szCs w:val="24"/>
          <w:highlight w:val="none"/>
          <w:u w:val="single"/>
        </w:rPr>
        <w:t>（本磋商文件中斜体且有下划线部分为实质性要求）。</w:t>
      </w:r>
    </w:p>
    <w:p w14:paraId="12F08786">
      <w:pPr>
        <w:adjustRightInd w:val="0"/>
        <w:snapToGrid w:val="0"/>
        <w:spacing w:line="360" w:lineRule="auto"/>
        <w:ind w:firstLine="480" w:firstLineChars="200"/>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24.3.7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4B069598">
      <w:pPr>
        <w:adjustRightInd w:val="0"/>
        <w:snapToGrid w:val="0"/>
        <w:spacing w:line="360" w:lineRule="auto"/>
        <w:ind w:firstLine="480" w:firstLineChars="200"/>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24.3.8响应文件含有采购人不能接受的附加条件的。</w:t>
      </w:r>
    </w:p>
    <w:p w14:paraId="00B6C8EC">
      <w:pPr>
        <w:adjustRightInd w:val="0"/>
        <w:snapToGrid w:val="0"/>
        <w:spacing w:line="360" w:lineRule="auto"/>
        <w:ind w:firstLine="480" w:firstLineChars="200"/>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24.3.9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676BE9AD">
      <w:pPr>
        <w:adjustRightInd w:val="0"/>
        <w:snapToGrid w:val="0"/>
        <w:spacing w:line="360" w:lineRule="auto"/>
        <w:ind w:firstLine="480" w:firstLineChars="200"/>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24.3.10磋商小组认为投标人的报价明显低于其他通过符合性审查投标人的报价，有可能影响产品质量或者不能诚信履约的，将通过苏采云系统要求其在规定的时间内提供说明，必要时提交相关证明材料；投标人不能证明其报价合理性的，评标委员会应当将其作为无效投标处理。</w:t>
      </w:r>
    </w:p>
    <w:p w14:paraId="0EDC17E6">
      <w:pPr>
        <w:spacing w:line="360" w:lineRule="auto"/>
        <w:ind w:firstLine="482"/>
        <w:rPr>
          <w:rFonts w:ascii="宋体" w:hAnsi="宋体" w:cs="宋体"/>
          <w:bCs/>
          <w:color w:val="auto"/>
          <w:kern w:val="0"/>
          <w:sz w:val="24"/>
          <w:highlight w:val="none"/>
        </w:rPr>
      </w:pPr>
      <w:r>
        <w:rPr>
          <w:rFonts w:hint="eastAsia" w:ascii="宋体" w:hAnsi="宋体" w:eastAsia="宋体" w:cs="Times New Roman"/>
          <w:color w:val="auto"/>
          <w:kern w:val="0"/>
          <w:sz w:val="24"/>
          <w:szCs w:val="24"/>
          <w:highlight w:val="none"/>
        </w:rPr>
        <w:t>24.3.11响应文件未按照磋商文件要求加盖CA</w:t>
      </w:r>
      <w:r>
        <w:rPr>
          <w:rFonts w:hint="eastAsia" w:ascii="宋体" w:hAnsi="宋体" w:cs="宋体"/>
          <w:bCs/>
          <w:color w:val="auto"/>
          <w:kern w:val="0"/>
          <w:sz w:val="24"/>
          <w:highlight w:val="none"/>
        </w:rPr>
        <w:t>电子公章的。</w:t>
      </w:r>
    </w:p>
    <w:p w14:paraId="7F6A0E3F">
      <w:pPr>
        <w:spacing w:line="360" w:lineRule="auto"/>
        <w:ind w:firstLine="482"/>
        <w:rPr>
          <w:rFonts w:ascii="宋体" w:hAnsi="宋体" w:cs="宋体"/>
          <w:bCs/>
          <w:color w:val="auto"/>
          <w:kern w:val="0"/>
          <w:sz w:val="24"/>
          <w:highlight w:val="none"/>
        </w:rPr>
      </w:pPr>
      <w:r>
        <w:rPr>
          <w:rFonts w:hint="eastAsia" w:ascii="宋体" w:hAnsi="宋体" w:cs="宋体"/>
          <w:bCs/>
          <w:color w:val="auto"/>
          <w:kern w:val="0"/>
          <w:sz w:val="24"/>
          <w:highlight w:val="none"/>
        </w:rPr>
        <w:t>24.3.12供应商的商务技术部分得分相差悬殊，磋商小组一致认为得分畸低者有可能影响产品质量或者不能诚信履约的。</w:t>
      </w:r>
    </w:p>
    <w:p w14:paraId="757B5121">
      <w:pPr>
        <w:spacing w:line="360" w:lineRule="auto"/>
        <w:ind w:firstLine="482"/>
        <w:rPr>
          <w:rFonts w:ascii="宋体" w:hAnsi="宋体" w:cs="宋体"/>
          <w:bCs/>
          <w:color w:val="auto"/>
          <w:kern w:val="0"/>
          <w:sz w:val="24"/>
          <w:highlight w:val="none"/>
        </w:rPr>
      </w:pPr>
      <w:r>
        <w:rPr>
          <w:rFonts w:hint="eastAsia" w:ascii="宋体" w:hAnsi="宋体" w:cs="宋体"/>
          <w:bCs/>
          <w:color w:val="auto"/>
          <w:kern w:val="0"/>
          <w:sz w:val="24"/>
          <w:highlight w:val="none"/>
        </w:rPr>
        <w:t>24.3.13供应商在规定的时间内未提交最终报价的。</w:t>
      </w:r>
    </w:p>
    <w:p w14:paraId="3FE82902">
      <w:pPr>
        <w:spacing w:line="360" w:lineRule="auto"/>
        <w:ind w:firstLine="482"/>
        <w:rPr>
          <w:rFonts w:ascii="宋体" w:hAnsi="宋体" w:cs="宋体"/>
          <w:bCs/>
          <w:color w:val="auto"/>
          <w:kern w:val="0"/>
          <w:sz w:val="24"/>
          <w:highlight w:val="none"/>
        </w:rPr>
      </w:pPr>
      <w:r>
        <w:rPr>
          <w:rFonts w:hint="eastAsia" w:ascii="宋体" w:hAnsi="宋体" w:cs="宋体"/>
          <w:bCs/>
          <w:color w:val="auto"/>
          <w:kern w:val="0"/>
          <w:sz w:val="24"/>
          <w:highlight w:val="none"/>
        </w:rPr>
        <w:t>24.3.14未完整上传响应文件电子文档的,或上传的文件打不开的。</w:t>
      </w:r>
    </w:p>
    <w:p w14:paraId="44FD83E6">
      <w:pPr>
        <w:spacing w:line="360" w:lineRule="auto"/>
        <w:ind w:firstLine="482"/>
        <w:rPr>
          <w:rFonts w:ascii="宋体" w:hAnsi="宋体" w:cs="宋体"/>
          <w:bCs/>
          <w:color w:val="auto"/>
          <w:kern w:val="0"/>
          <w:sz w:val="24"/>
          <w:highlight w:val="none"/>
        </w:rPr>
      </w:pPr>
      <w:r>
        <w:rPr>
          <w:rFonts w:hint="eastAsia" w:ascii="宋体" w:hAnsi="宋体" w:cs="宋体"/>
          <w:bCs/>
          <w:color w:val="auto"/>
          <w:kern w:val="0"/>
          <w:sz w:val="24"/>
          <w:highlight w:val="none"/>
        </w:rPr>
        <w:t>24.3.15不同的供应商响应文件制作机器码、文件创建标识码一致的。</w:t>
      </w:r>
    </w:p>
    <w:p w14:paraId="014CF12D">
      <w:pPr>
        <w:adjustRightInd w:val="0"/>
        <w:snapToGrid w:val="0"/>
        <w:spacing w:line="360" w:lineRule="auto"/>
        <w:ind w:firstLine="480" w:firstLineChars="200"/>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24.4未实质性响应磋商文件的响应文件按无效响应处理。</w:t>
      </w:r>
    </w:p>
    <w:p w14:paraId="2095E94D">
      <w:pPr>
        <w:adjustRightInd w:val="0"/>
        <w:snapToGrid w:val="0"/>
        <w:spacing w:line="360" w:lineRule="auto"/>
        <w:ind w:firstLine="480" w:firstLineChars="200"/>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24.5如果响应文件实质上没有响应磋商文件的要求，磋商小组将予以拒绝，供应商不得通过修改或撤销不合要求的偏离或保留而使其成为实质性响应的文件。</w:t>
      </w:r>
    </w:p>
    <w:p w14:paraId="174B7259">
      <w:pPr>
        <w:adjustRightInd w:val="0"/>
        <w:snapToGrid w:val="0"/>
        <w:spacing w:line="360" w:lineRule="auto"/>
        <w:ind w:firstLine="480" w:firstLineChars="200"/>
        <w:rPr>
          <w:rFonts w:ascii="宋体" w:hAnsi="宋体" w:eastAsia="宋体" w:cs="Times New Roman"/>
          <w:color w:val="auto"/>
          <w:kern w:val="0"/>
          <w:sz w:val="24"/>
          <w:szCs w:val="24"/>
          <w:highlight w:val="none"/>
        </w:rPr>
      </w:pPr>
      <w:bookmarkStart w:id="100" w:name="_Toc20823306"/>
      <w:bookmarkStart w:id="101" w:name="_Toc16938550"/>
      <w:bookmarkStart w:id="102" w:name="_Toc513029234"/>
      <w:r>
        <w:rPr>
          <w:rFonts w:hint="eastAsia" w:ascii="宋体" w:hAnsi="宋体" w:eastAsia="宋体" w:cs="Times New Roman"/>
          <w:color w:val="auto"/>
          <w:kern w:val="0"/>
          <w:sz w:val="24"/>
          <w:szCs w:val="24"/>
          <w:highlight w:val="none"/>
        </w:rPr>
        <w:t>24.6供应商在项目评审全过程中应保持通讯畅通，并安排专人与采购代理机构及磋商小组联系。</w:t>
      </w:r>
    </w:p>
    <w:p w14:paraId="586225BF">
      <w:pPr>
        <w:adjustRightInd w:val="0"/>
        <w:snapToGrid w:val="0"/>
        <w:spacing w:line="360" w:lineRule="auto"/>
        <w:rPr>
          <w:rFonts w:ascii="黑体" w:hAnsi="黑体" w:eastAsia="黑体"/>
          <w:color w:val="auto"/>
          <w:sz w:val="28"/>
          <w:szCs w:val="28"/>
          <w:highlight w:val="none"/>
        </w:rPr>
      </w:pPr>
      <w:r>
        <w:rPr>
          <w:rFonts w:hint="eastAsia" w:ascii="黑体" w:hAnsi="黑体" w:eastAsia="黑体"/>
          <w:color w:val="auto"/>
          <w:sz w:val="28"/>
          <w:szCs w:val="28"/>
          <w:highlight w:val="none"/>
        </w:rPr>
        <w:t>25、</w:t>
      </w:r>
      <w:bookmarkEnd w:id="100"/>
      <w:bookmarkEnd w:id="101"/>
      <w:bookmarkEnd w:id="102"/>
      <w:r>
        <w:rPr>
          <w:rFonts w:hint="eastAsia" w:ascii="黑体" w:hAnsi="黑体" w:eastAsia="黑体"/>
          <w:color w:val="auto"/>
          <w:sz w:val="28"/>
          <w:szCs w:val="28"/>
          <w:highlight w:val="none"/>
        </w:rPr>
        <w:t>磋商程序及评审方法和评审标准</w:t>
      </w:r>
    </w:p>
    <w:p w14:paraId="2D85B727">
      <w:pPr>
        <w:adjustRightInd w:val="0"/>
        <w:snapToGrid w:val="0"/>
        <w:spacing w:line="360" w:lineRule="auto"/>
        <w:ind w:firstLine="480" w:firstLineChars="200"/>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25.1磋商程序</w:t>
      </w:r>
    </w:p>
    <w:p w14:paraId="275C8287">
      <w:pPr>
        <w:adjustRightInd w:val="0"/>
        <w:snapToGrid w:val="0"/>
        <w:spacing w:line="360" w:lineRule="auto"/>
        <w:ind w:firstLine="480" w:firstLineChars="200"/>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25.1.1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2F608A4">
      <w:pPr>
        <w:adjustRightInd w:val="0"/>
        <w:snapToGrid w:val="0"/>
        <w:spacing w:line="360" w:lineRule="auto"/>
        <w:ind w:firstLine="480" w:firstLineChars="200"/>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84284D7">
      <w:pPr>
        <w:adjustRightInd w:val="0"/>
        <w:snapToGrid w:val="0"/>
        <w:spacing w:line="360" w:lineRule="auto"/>
        <w:ind w:firstLine="480" w:firstLineChars="200"/>
        <w:rPr>
          <w:rFonts w:ascii="宋体" w:hAnsi="宋体" w:eastAsia="宋体" w:cs="Times New Roman"/>
          <w:b/>
          <w:bCs/>
          <w:color w:val="auto"/>
          <w:kern w:val="0"/>
          <w:sz w:val="24"/>
          <w:szCs w:val="24"/>
          <w:highlight w:val="none"/>
        </w:rPr>
      </w:pPr>
      <w:r>
        <w:rPr>
          <w:rFonts w:hint="eastAsia" w:ascii="宋体" w:hAnsi="宋体" w:eastAsia="宋体" w:cs="Times New Roman"/>
          <w:color w:val="auto"/>
          <w:kern w:val="0"/>
          <w:sz w:val="24"/>
          <w:szCs w:val="24"/>
          <w:highlight w:val="none"/>
        </w:rPr>
        <w:t>25.1.2</w:t>
      </w:r>
      <w:r>
        <w:rPr>
          <w:rFonts w:hint="eastAsia" w:ascii="宋体" w:hAnsi="宋体" w:eastAsia="宋体" w:cs="Times New Roman"/>
          <w:b/>
          <w:bCs/>
          <w:color w:val="auto"/>
          <w:kern w:val="0"/>
          <w:sz w:val="24"/>
          <w:szCs w:val="24"/>
          <w:highlight w:val="none"/>
        </w:rPr>
        <w:t>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3666C4BC">
      <w:pPr>
        <w:tabs>
          <w:tab w:val="left" w:pos="900"/>
        </w:tabs>
        <w:spacing w:line="360" w:lineRule="auto"/>
        <w:ind w:firstLine="480" w:firstLineChars="200"/>
        <w:rPr>
          <w:rFonts w:ascii="宋体" w:hAnsi="宋体" w:cs="宋体"/>
          <w:color w:val="auto"/>
          <w:kern w:val="0"/>
          <w:sz w:val="24"/>
          <w:highlight w:val="none"/>
        </w:rPr>
      </w:pPr>
      <w:r>
        <w:rPr>
          <w:rFonts w:hint="eastAsia" w:ascii="宋体" w:hAnsi="宋体" w:eastAsia="宋体" w:cs="Times New Roman"/>
          <w:color w:val="auto"/>
          <w:kern w:val="0"/>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cs="宋体"/>
          <w:b/>
          <w:color w:val="auto"/>
          <w:kern w:val="0"/>
          <w:sz w:val="24"/>
          <w:highlight w:val="none"/>
        </w:rPr>
        <w:t>15分钟内</w:t>
      </w:r>
      <w:r>
        <w:rPr>
          <w:rFonts w:hint="eastAsia" w:ascii="宋体" w:hAnsi="宋体" w:cs="宋体"/>
          <w:color w:val="auto"/>
          <w:kern w:val="0"/>
          <w:sz w:val="24"/>
          <w:highlight w:val="none"/>
        </w:rPr>
        <w:t>提交最后报价。</w:t>
      </w:r>
    </w:p>
    <w:p w14:paraId="234CC091">
      <w:pPr>
        <w:adjustRightInd w:val="0"/>
        <w:snapToGrid w:val="0"/>
        <w:spacing w:line="360" w:lineRule="auto"/>
        <w:ind w:firstLine="480" w:firstLineChars="200"/>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4A47E7D4">
      <w:pPr>
        <w:spacing w:line="360" w:lineRule="auto"/>
        <w:ind w:firstLine="482"/>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25.1.3</w:t>
      </w:r>
      <w:r>
        <w:rPr>
          <w:rFonts w:hint="eastAsia" w:ascii="宋体" w:hAnsi="宋体" w:eastAsia="宋体" w:cs="Times New Roman"/>
          <w:b/>
          <w:bCs/>
          <w:color w:val="auto"/>
          <w:kern w:val="0"/>
          <w:sz w:val="24"/>
          <w:szCs w:val="24"/>
          <w:highlight w:val="none"/>
        </w:rPr>
        <w:t>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Times New Roman"/>
          <w:color w:val="auto"/>
          <w:kern w:val="0"/>
          <w:sz w:val="24"/>
          <w:szCs w:val="24"/>
          <w:highlight w:val="none"/>
        </w:rPr>
        <w:t>已提交响应文件的供应商，在提交最后报价之前，可以根据磋商情况退出磋商，并在苏采云系统中提交“退出磋商函”并加盖CA电子公章。</w:t>
      </w:r>
    </w:p>
    <w:p w14:paraId="60F8370C">
      <w:pPr>
        <w:spacing w:line="360" w:lineRule="auto"/>
        <w:ind w:firstLine="480" w:firstLineChars="200"/>
        <w:rPr>
          <w:rFonts w:ascii="宋体" w:hAnsi="宋体" w:cs="宋体"/>
          <w:color w:val="auto"/>
          <w:kern w:val="0"/>
          <w:sz w:val="24"/>
          <w:highlight w:val="none"/>
        </w:rPr>
      </w:pPr>
      <w:r>
        <w:rPr>
          <w:rFonts w:hint="eastAsia" w:ascii="宋体" w:hAnsi="宋体" w:eastAsia="宋体" w:cs="Times New Roman"/>
          <w:color w:val="auto"/>
          <w:kern w:val="0"/>
          <w:sz w:val="24"/>
          <w:szCs w:val="24"/>
          <w:highlight w:val="none"/>
        </w:rPr>
        <w:t>25.1.4</w:t>
      </w:r>
      <w:r>
        <w:rPr>
          <w:rFonts w:hint="eastAsia" w:ascii="宋体" w:hAnsi="宋体" w:cs="宋体"/>
          <w:color w:val="auto"/>
          <w:kern w:val="0"/>
          <w:sz w:val="24"/>
          <w:highlight w:val="none"/>
        </w:rPr>
        <w:t>除非在磋商中磋商小组对采购需求中的技术、服务要求以及合同草案条款作了实质性变更，否则</w:t>
      </w:r>
      <w:r>
        <w:rPr>
          <w:rFonts w:hint="eastAsia" w:ascii="宋体" w:hAnsi="宋体" w:cs="宋体"/>
          <w:b/>
          <w:color w:val="auto"/>
          <w:kern w:val="0"/>
          <w:sz w:val="24"/>
          <w:highlight w:val="none"/>
        </w:rPr>
        <w:t>采购单位不接受供应商高于</w:t>
      </w:r>
      <w:r>
        <w:rPr>
          <w:rFonts w:hint="eastAsia" w:asciiTheme="minorEastAsia" w:hAnsiTheme="minorEastAsia"/>
          <w:b/>
          <w:color w:val="auto"/>
          <w:sz w:val="24"/>
          <w:highlight w:val="none"/>
          <w:u w:val="thick" w:color="FF0000"/>
        </w:rPr>
        <w:t>或等于</w:t>
      </w:r>
      <w:r>
        <w:rPr>
          <w:rFonts w:hint="eastAsia" w:ascii="宋体" w:hAnsi="宋体" w:cs="宋体"/>
          <w:b/>
          <w:color w:val="auto"/>
          <w:kern w:val="0"/>
          <w:sz w:val="24"/>
          <w:highlight w:val="none"/>
        </w:rPr>
        <w:t>自己前一轮的磋商报价</w:t>
      </w:r>
      <w:r>
        <w:rPr>
          <w:rFonts w:hint="eastAsia" w:ascii="宋体" w:hAnsi="宋体" w:cs="宋体"/>
          <w:color w:val="auto"/>
          <w:kern w:val="0"/>
          <w:sz w:val="24"/>
          <w:highlight w:val="none"/>
        </w:rPr>
        <w:t>。</w:t>
      </w:r>
    </w:p>
    <w:p w14:paraId="55EE7F57">
      <w:pPr>
        <w:spacing w:line="360" w:lineRule="auto"/>
        <w:ind w:firstLine="482"/>
        <w:rPr>
          <w:rFonts w:hint="eastAsia" w:ascii="宋体" w:hAnsi="宋体" w:eastAsia="宋体" w:cs="Times New Roman"/>
          <w:color w:val="auto"/>
          <w:kern w:val="0"/>
          <w:sz w:val="24"/>
          <w:szCs w:val="24"/>
          <w:highlight w:val="none"/>
          <w:shd w:val="clear" w:color="auto" w:fill="auto"/>
        </w:rPr>
      </w:pPr>
      <w:r>
        <w:rPr>
          <w:rFonts w:hint="eastAsia" w:ascii="宋体" w:hAnsi="宋体" w:eastAsia="宋体" w:cs="Times New Roman"/>
          <w:color w:val="auto"/>
          <w:kern w:val="0"/>
          <w:sz w:val="24"/>
          <w:szCs w:val="24"/>
          <w:highlight w:val="none"/>
          <w:shd w:val="clear" w:color="auto" w:fill="auto"/>
        </w:rPr>
        <w:t>25.1.5 供应商不能证明其报价合理性的，磋商小组应当将其作为无效响应处理。</w:t>
      </w:r>
    </w:p>
    <w:p w14:paraId="273FED49">
      <w:pPr>
        <w:spacing w:line="360" w:lineRule="auto"/>
        <w:ind w:firstLine="480" w:firstLineChars="200"/>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（一）</w:t>
      </w:r>
      <w:r>
        <w:rPr>
          <w:rFonts w:hint="eastAsia" w:ascii="宋体" w:hAnsi="宋体" w:cs="宋体"/>
          <w:b w:val="0"/>
          <w:bCs/>
          <w:color w:val="auto"/>
          <w:sz w:val="24"/>
          <w:szCs w:val="24"/>
          <w:highlight w:val="none"/>
          <w:shd w:val="clear" w:color="auto" w:fill="auto"/>
        </w:rPr>
        <w:t>根据</w:t>
      </w:r>
      <w:r>
        <w:rPr>
          <w:rFonts w:hint="eastAsia" w:ascii="宋体" w:hAnsi="宋体" w:cs="宋体"/>
          <w:b w:val="0"/>
          <w:bCs/>
          <w:color w:val="auto"/>
          <w:sz w:val="24"/>
          <w:szCs w:val="24"/>
          <w:highlight w:val="none"/>
          <w:shd w:val="clear" w:color="auto" w:fill="auto"/>
          <w:lang w:eastAsia="zh-CN"/>
        </w:rPr>
        <w:t>《</w:t>
      </w:r>
      <w:r>
        <w:rPr>
          <w:rFonts w:hint="eastAsia" w:ascii="宋体" w:hAnsi="宋体" w:cs="宋体"/>
          <w:b w:val="0"/>
          <w:bCs/>
          <w:color w:val="auto"/>
          <w:sz w:val="24"/>
          <w:szCs w:val="24"/>
          <w:highlight w:val="none"/>
          <w:shd w:val="clear" w:color="auto" w:fill="auto"/>
          <w:lang w:val="en-US" w:eastAsia="zh-CN"/>
        </w:rPr>
        <w:t>财政部关于推动解决政府采购异常低价问题的通知</w:t>
      </w:r>
      <w:r>
        <w:rPr>
          <w:rFonts w:hint="eastAsia" w:ascii="宋体" w:hAnsi="宋体" w:cs="宋体"/>
          <w:b w:val="0"/>
          <w:bCs/>
          <w:color w:val="auto"/>
          <w:sz w:val="24"/>
          <w:szCs w:val="24"/>
          <w:highlight w:val="none"/>
          <w:shd w:val="clear" w:color="auto" w:fill="auto"/>
          <w:lang w:eastAsia="zh-CN"/>
        </w:rPr>
        <w:t>》（</w:t>
      </w:r>
      <w:r>
        <w:rPr>
          <w:rFonts w:hint="eastAsia" w:ascii="宋体" w:hAnsi="宋体" w:cs="宋体"/>
          <w:b w:val="0"/>
          <w:bCs/>
          <w:color w:val="auto"/>
          <w:sz w:val="24"/>
          <w:szCs w:val="24"/>
          <w:highlight w:val="none"/>
          <w:shd w:val="clear" w:color="auto" w:fill="auto"/>
        </w:rPr>
        <w:t>财库〔2026〕2号</w:t>
      </w:r>
      <w:r>
        <w:rPr>
          <w:rFonts w:hint="eastAsia" w:ascii="宋体" w:hAnsi="宋体" w:cs="宋体"/>
          <w:b w:val="0"/>
          <w:bCs/>
          <w:color w:val="auto"/>
          <w:sz w:val="24"/>
          <w:szCs w:val="24"/>
          <w:highlight w:val="none"/>
          <w:shd w:val="clear" w:color="auto" w:fill="auto"/>
          <w:lang w:eastAsia="zh-CN"/>
        </w:rPr>
        <w:t>）</w:t>
      </w:r>
      <w:r>
        <w:rPr>
          <w:rFonts w:hint="eastAsia" w:ascii="宋体" w:hAnsi="宋体" w:cs="宋体"/>
          <w:b w:val="0"/>
          <w:bCs/>
          <w:color w:val="auto"/>
          <w:sz w:val="24"/>
          <w:szCs w:val="24"/>
          <w:highlight w:val="none"/>
          <w:shd w:val="clear" w:color="auto" w:fill="auto"/>
        </w:rPr>
        <w:t>文件要求，</w:t>
      </w:r>
      <w:r>
        <w:rPr>
          <w:rFonts w:hint="eastAsia" w:ascii="宋体" w:hAnsi="宋体" w:cs="宋体"/>
          <w:color w:val="auto"/>
          <w:kern w:val="0"/>
          <w:sz w:val="24"/>
          <w:highlight w:val="none"/>
          <w:shd w:val="clear" w:color="auto" w:fill="auto"/>
        </w:rPr>
        <w:t>评审过程中出现下列情形之一的，磋商小组应当启动异常低价响应审查程序：</w:t>
      </w:r>
    </w:p>
    <w:p w14:paraId="5DA6D447">
      <w:pPr>
        <w:spacing w:line="360" w:lineRule="auto"/>
        <w:ind w:firstLine="480" w:firstLineChars="200"/>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①投标（响应）报价低于全部通过符合性审查</w:t>
      </w:r>
      <w:r>
        <w:rPr>
          <w:rFonts w:hint="eastAsia" w:ascii="宋体" w:hAnsi="宋体" w:cs="宋体"/>
          <w:color w:val="auto"/>
          <w:kern w:val="0"/>
          <w:sz w:val="24"/>
          <w:highlight w:val="none"/>
          <w:shd w:val="clear" w:color="auto" w:fill="auto"/>
          <w:lang w:eastAsia="zh-CN"/>
        </w:rPr>
        <w:t>供应商</w:t>
      </w:r>
      <w:r>
        <w:rPr>
          <w:rFonts w:hint="eastAsia" w:ascii="宋体" w:hAnsi="宋体" w:cs="宋体"/>
          <w:color w:val="auto"/>
          <w:kern w:val="0"/>
          <w:sz w:val="24"/>
          <w:highlight w:val="none"/>
          <w:shd w:val="clear" w:color="auto" w:fill="auto"/>
        </w:rPr>
        <w:t>投标（响应）报价平均值50%的，即投标（响应）报价&lt;全部通过符合性审查投标人投标（响应）报价平均值×50%；</w:t>
      </w:r>
    </w:p>
    <w:p w14:paraId="12CFDDD2">
      <w:pPr>
        <w:spacing w:line="360" w:lineRule="auto"/>
        <w:ind w:firstLine="480" w:firstLineChars="200"/>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②投标（响应）报价低于通过符合性审查的次低报价</w:t>
      </w:r>
      <w:r>
        <w:rPr>
          <w:rFonts w:hint="eastAsia" w:ascii="宋体" w:hAnsi="宋体" w:cs="宋体"/>
          <w:color w:val="auto"/>
          <w:kern w:val="0"/>
          <w:sz w:val="24"/>
          <w:highlight w:val="none"/>
          <w:shd w:val="clear" w:color="auto" w:fill="auto"/>
          <w:lang w:eastAsia="zh-CN"/>
        </w:rPr>
        <w:t>供应商</w:t>
      </w:r>
      <w:r>
        <w:rPr>
          <w:rFonts w:hint="eastAsia" w:ascii="宋体" w:hAnsi="宋体" w:cs="宋体"/>
          <w:color w:val="auto"/>
          <w:kern w:val="0"/>
          <w:sz w:val="24"/>
          <w:highlight w:val="none"/>
          <w:shd w:val="clear" w:color="auto" w:fill="auto"/>
        </w:rPr>
        <w:t>投标（响应）报价50%的，即投标（响应）报价&lt;通过符合性审查的次低报价投标人投标（响应）报价×50%；</w:t>
      </w:r>
    </w:p>
    <w:p w14:paraId="627A65EF">
      <w:pPr>
        <w:spacing w:line="360" w:lineRule="auto"/>
        <w:ind w:firstLine="480" w:firstLineChars="200"/>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③投标（响应）报价低于采购项目最高限价45%的，即投标（响应）报价&lt;采购项目最高限价×45%；</w:t>
      </w:r>
    </w:p>
    <w:p w14:paraId="60A6C0C4">
      <w:pPr>
        <w:spacing w:line="360" w:lineRule="auto"/>
        <w:ind w:firstLine="480" w:firstLineChars="200"/>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④评审委员会基于专业判断，认为</w:t>
      </w:r>
      <w:r>
        <w:rPr>
          <w:rFonts w:hint="eastAsia" w:ascii="宋体" w:hAnsi="宋体" w:cs="宋体"/>
          <w:color w:val="auto"/>
          <w:kern w:val="0"/>
          <w:sz w:val="24"/>
          <w:highlight w:val="none"/>
          <w:shd w:val="clear" w:color="auto" w:fill="auto"/>
          <w:lang w:eastAsia="zh-CN"/>
        </w:rPr>
        <w:t>供应商</w:t>
      </w:r>
      <w:r>
        <w:rPr>
          <w:rFonts w:hint="eastAsia" w:ascii="宋体" w:hAnsi="宋体" w:cs="宋体"/>
          <w:color w:val="auto"/>
          <w:kern w:val="0"/>
          <w:sz w:val="24"/>
          <w:highlight w:val="none"/>
          <w:shd w:val="clear" w:color="auto" w:fill="auto"/>
        </w:rPr>
        <w:t>报价过低，有可能影响产品质量或者不能诚信履约的其他情形。</w:t>
      </w:r>
    </w:p>
    <w:p w14:paraId="46C246A4">
      <w:pPr>
        <w:spacing w:line="360" w:lineRule="auto"/>
        <w:ind w:firstLine="480" w:firstLineChars="200"/>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lang w:eastAsia="zh-CN"/>
        </w:rPr>
        <w:t>（二）</w:t>
      </w:r>
      <w:r>
        <w:rPr>
          <w:rFonts w:hint="eastAsia" w:ascii="宋体" w:hAnsi="宋体" w:cs="宋体"/>
          <w:color w:val="auto"/>
          <w:kern w:val="0"/>
          <w:sz w:val="24"/>
          <w:highlight w:val="none"/>
          <w:shd w:val="clear" w:color="auto" w:fill="auto"/>
        </w:rPr>
        <w:t>评审委员会启动异常低价投标（响应）审查后，属于前述第1项至第4项情形的，应当要求相关</w:t>
      </w:r>
      <w:r>
        <w:rPr>
          <w:rFonts w:hint="eastAsia" w:ascii="宋体" w:hAnsi="宋体" w:cs="宋体"/>
          <w:color w:val="auto"/>
          <w:kern w:val="0"/>
          <w:sz w:val="24"/>
          <w:highlight w:val="none"/>
          <w:shd w:val="clear" w:color="auto" w:fill="auto"/>
          <w:lang w:eastAsia="zh-CN"/>
        </w:rPr>
        <w:t>供应商</w:t>
      </w:r>
      <w:r>
        <w:rPr>
          <w:rFonts w:hint="eastAsia" w:ascii="宋体" w:hAnsi="宋体" w:cs="宋体"/>
          <w:color w:val="auto"/>
          <w:kern w:val="0"/>
          <w:sz w:val="24"/>
          <w:highlight w:val="none"/>
          <w:shd w:val="clear" w:color="auto" w:fill="auto"/>
        </w:rPr>
        <w:t>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color w:val="auto"/>
          <w:kern w:val="0"/>
          <w:sz w:val="24"/>
          <w:highlight w:val="none"/>
          <w:shd w:val="clear" w:color="auto" w:fill="auto"/>
          <w:lang w:eastAsia="zh-CN"/>
        </w:rPr>
        <w:t>供应商</w:t>
      </w:r>
      <w:r>
        <w:rPr>
          <w:rFonts w:hint="eastAsia" w:ascii="宋体" w:hAnsi="宋体" w:cs="宋体"/>
          <w:color w:val="auto"/>
          <w:kern w:val="0"/>
          <w:sz w:val="24"/>
          <w:highlight w:val="none"/>
          <w:shd w:val="clear" w:color="auto" w:fill="auto"/>
        </w:rPr>
        <w:t>30分钟。其中，属于第3项情形，</w:t>
      </w:r>
      <w:r>
        <w:rPr>
          <w:rFonts w:hint="eastAsia" w:ascii="宋体" w:hAnsi="宋体" w:cs="宋体"/>
          <w:color w:val="auto"/>
          <w:kern w:val="0"/>
          <w:sz w:val="24"/>
          <w:highlight w:val="none"/>
          <w:shd w:val="clear" w:color="auto" w:fill="auto"/>
          <w:lang w:eastAsia="zh-CN"/>
        </w:rPr>
        <w:t>供应商</w:t>
      </w:r>
      <w:r>
        <w:rPr>
          <w:rFonts w:hint="eastAsia" w:ascii="宋体" w:hAnsi="宋体" w:cs="宋体"/>
          <w:color w:val="auto"/>
          <w:kern w:val="0"/>
          <w:sz w:val="24"/>
          <w:highlight w:val="none"/>
          <w:shd w:val="clear" w:color="auto" w:fill="auto"/>
        </w:rPr>
        <w:t>已随投标（响应）文件一并提交相关书面说明及必要的证明材料的，在评审现场可不再重复提交。评审委员会结合同类产品在主要电商平台的价格、该行业当地薪资水平等情况，依据专业经验对</w:t>
      </w:r>
      <w:r>
        <w:rPr>
          <w:rFonts w:hint="eastAsia" w:ascii="宋体" w:hAnsi="宋体" w:cs="宋体"/>
          <w:color w:val="auto"/>
          <w:kern w:val="0"/>
          <w:sz w:val="24"/>
          <w:highlight w:val="none"/>
          <w:shd w:val="clear" w:color="auto" w:fill="auto"/>
          <w:lang w:eastAsia="zh-CN"/>
        </w:rPr>
        <w:t>供应商</w:t>
      </w:r>
      <w:r>
        <w:rPr>
          <w:rFonts w:hint="eastAsia" w:ascii="宋体" w:hAnsi="宋体" w:cs="宋体"/>
          <w:color w:val="auto"/>
          <w:kern w:val="0"/>
          <w:sz w:val="24"/>
          <w:highlight w:val="none"/>
          <w:shd w:val="clear" w:color="auto" w:fill="auto"/>
        </w:rPr>
        <w:t>报价合理性进行判断。</w:t>
      </w:r>
      <w:r>
        <w:rPr>
          <w:rFonts w:hint="eastAsia" w:ascii="宋体" w:hAnsi="宋体" w:cs="宋体"/>
          <w:color w:val="auto"/>
          <w:kern w:val="0"/>
          <w:sz w:val="24"/>
          <w:highlight w:val="none"/>
          <w:shd w:val="clear" w:color="auto" w:fill="auto"/>
          <w:lang w:eastAsia="zh-CN"/>
        </w:rPr>
        <w:t>供应商</w:t>
      </w:r>
      <w:r>
        <w:rPr>
          <w:rFonts w:hint="eastAsia" w:ascii="宋体" w:hAnsi="宋体" w:cs="宋体"/>
          <w:color w:val="auto"/>
          <w:kern w:val="0"/>
          <w:sz w:val="24"/>
          <w:highlight w:val="none"/>
          <w:shd w:val="clear" w:color="auto" w:fill="auto"/>
        </w:rPr>
        <w:t>不提供书面说明、证明材料，或者提供的书面说明、证明材料不能证明其报价合理性的，评审委员会应当将其作为无效投标（响应）处理。审查相关情况应当在评审报告中进行记录。</w:t>
      </w:r>
    </w:p>
    <w:p w14:paraId="61BCF814">
      <w:pPr>
        <w:spacing w:line="360" w:lineRule="auto"/>
        <w:ind w:firstLine="482"/>
        <w:rPr>
          <w:rFonts w:ascii="宋体" w:hAnsi="宋体" w:eastAsia="宋体" w:cs="Times New Roman"/>
          <w:color w:val="auto"/>
          <w:kern w:val="0"/>
          <w:sz w:val="24"/>
          <w:szCs w:val="24"/>
          <w:highlight w:val="none"/>
          <w:shd w:val="clear" w:color="auto" w:fill="auto"/>
        </w:rPr>
      </w:pPr>
      <w:r>
        <w:rPr>
          <w:rFonts w:hint="eastAsia" w:ascii="宋体" w:hAnsi="宋体" w:eastAsia="宋体" w:cs="Times New Roman"/>
          <w:color w:val="auto"/>
          <w:kern w:val="0"/>
          <w:sz w:val="24"/>
          <w:szCs w:val="24"/>
          <w:highlight w:val="none"/>
          <w:shd w:val="clear" w:color="auto" w:fill="auto"/>
        </w:rPr>
        <w:t>25.2评审方法和评审标准</w:t>
      </w:r>
    </w:p>
    <w:p w14:paraId="2698BEB7">
      <w:pPr>
        <w:spacing w:line="360" w:lineRule="auto"/>
        <w:ind w:firstLine="482"/>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shd w:val="clear" w:color="auto" w:fill="auto"/>
        </w:rPr>
        <w:t>25.2.1评审方法。经磋商确定最终采购需求和提交最后报价的供应商后，由磋商小组采用综合评分法对提交最后报价的供应</w:t>
      </w:r>
      <w:r>
        <w:rPr>
          <w:rFonts w:hint="eastAsia" w:ascii="宋体" w:hAnsi="宋体" w:eastAsia="宋体" w:cs="Times New Roman"/>
          <w:color w:val="auto"/>
          <w:kern w:val="0"/>
          <w:sz w:val="24"/>
          <w:szCs w:val="24"/>
          <w:highlight w:val="none"/>
        </w:rPr>
        <w:t>商的响应文件和最后报价进行综合评分。</w:t>
      </w:r>
    </w:p>
    <w:p w14:paraId="54026D42">
      <w:pPr>
        <w:spacing w:line="360" w:lineRule="auto"/>
        <w:ind w:firstLine="482"/>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5891361">
      <w:pPr>
        <w:spacing w:line="360" w:lineRule="auto"/>
        <w:ind w:firstLine="482"/>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25.2.2评审标准</w:t>
      </w:r>
    </w:p>
    <w:p w14:paraId="20F2D101">
      <w:pPr>
        <w:spacing w:line="360" w:lineRule="auto"/>
        <w:ind w:firstLine="482"/>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见本磋商文件第五章规定。</w:t>
      </w:r>
    </w:p>
    <w:p w14:paraId="5A31F250">
      <w:pPr>
        <w:spacing w:line="360" w:lineRule="auto"/>
        <w:ind w:firstLine="482"/>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25.3采购活动终止的情况</w:t>
      </w:r>
    </w:p>
    <w:p w14:paraId="364543B1">
      <w:pPr>
        <w:spacing w:line="360" w:lineRule="auto"/>
        <w:ind w:firstLine="482"/>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出现下列情形之一的，本次竞争性磋商采购活动将被终止：</w:t>
      </w:r>
    </w:p>
    <w:p w14:paraId="0BE31B34">
      <w:pPr>
        <w:spacing w:line="360" w:lineRule="auto"/>
        <w:ind w:firstLine="482"/>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25.3.1因情况变化，不再符合规定的竞争性磋商采购方式适用情形的。</w:t>
      </w:r>
    </w:p>
    <w:p w14:paraId="1A5BC96F">
      <w:pPr>
        <w:spacing w:line="360" w:lineRule="auto"/>
        <w:ind w:firstLine="482"/>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25.3.2出现影响采购公正的违法、违规行为的。</w:t>
      </w:r>
    </w:p>
    <w:p w14:paraId="61839A42">
      <w:pPr>
        <w:spacing w:line="360" w:lineRule="auto"/>
        <w:ind w:firstLine="482"/>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25.3.3除本磋商文件第二章第25.1.2条第三款规定的情形外，在采购过程中符合要求的供应商或者最后报价未超过采购预算的供应商不足3家的。</w:t>
      </w:r>
    </w:p>
    <w:p w14:paraId="5E29E553">
      <w:pPr>
        <w:spacing w:line="360" w:lineRule="auto"/>
        <w:ind w:firstLine="482"/>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25.3.4在苏采云系</w:t>
      </w:r>
      <w:r>
        <w:rPr>
          <w:rFonts w:hint="eastAsia" w:ascii="宋体" w:hAnsi="宋体" w:eastAsia="宋体"/>
          <w:bCs/>
          <w:color w:val="auto"/>
          <w:sz w:val="24"/>
          <w:szCs w:val="24"/>
          <w:highlight w:val="none"/>
        </w:rPr>
        <w:t>统规定时间内成功解密电</w:t>
      </w:r>
      <w:r>
        <w:rPr>
          <w:rFonts w:hint="eastAsia" w:ascii="宋体" w:hAnsi="宋体" w:eastAsia="宋体" w:cs="Times New Roman"/>
          <w:color w:val="auto"/>
          <w:kern w:val="0"/>
          <w:sz w:val="24"/>
          <w:szCs w:val="24"/>
          <w:highlight w:val="none"/>
        </w:rPr>
        <w:t>子响应文件的供应商不足3家的。</w:t>
      </w:r>
    </w:p>
    <w:p w14:paraId="77492A72">
      <w:pPr>
        <w:keepNext/>
        <w:keepLines/>
        <w:spacing w:line="360" w:lineRule="auto"/>
        <w:jc w:val="left"/>
        <w:outlineLvl w:val="2"/>
        <w:rPr>
          <w:rFonts w:ascii="Times New Roman" w:hAnsi="Times New Roman" w:eastAsia="宋体" w:cs="Times New Roman"/>
          <w:b/>
          <w:bCs/>
          <w:color w:val="auto"/>
          <w:kern w:val="0"/>
          <w:sz w:val="32"/>
          <w:szCs w:val="32"/>
          <w:highlight w:val="none"/>
        </w:rPr>
      </w:pPr>
      <w:r>
        <w:rPr>
          <w:rFonts w:hint="eastAsia" w:ascii="Times New Roman" w:hAnsi="Times New Roman" w:eastAsia="宋体" w:cs="Times New Roman"/>
          <w:b/>
          <w:bCs/>
          <w:color w:val="auto"/>
          <w:kern w:val="0"/>
          <w:sz w:val="32"/>
          <w:szCs w:val="32"/>
          <w:highlight w:val="none"/>
        </w:rPr>
        <w:t>六、</w:t>
      </w:r>
      <w:r>
        <w:rPr>
          <w:rFonts w:ascii="Times New Roman" w:hAnsi="Times New Roman" w:eastAsia="宋体" w:cs="Times New Roman"/>
          <w:b/>
          <w:bCs/>
          <w:color w:val="auto"/>
          <w:kern w:val="0"/>
          <w:sz w:val="32"/>
          <w:szCs w:val="32"/>
          <w:highlight w:val="none"/>
        </w:rPr>
        <w:t>成交</w:t>
      </w:r>
    </w:p>
    <w:p w14:paraId="781B758C">
      <w:pPr>
        <w:adjustRightInd w:val="0"/>
        <w:snapToGrid w:val="0"/>
        <w:spacing w:line="360" w:lineRule="auto"/>
        <w:rPr>
          <w:rFonts w:ascii="黑体" w:hAnsi="黑体" w:eastAsia="黑体"/>
          <w:color w:val="auto"/>
          <w:sz w:val="28"/>
          <w:szCs w:val="28"/>
          <w:highlight w:val="none"/>
        </w:rPr>
      </w:pPr>
      <w:bookmarkStart w:id="103" w:name="_Toc20823310"/>
      <w:bookmarkStart w:id="104" w:name="_Toc16938554"/>
      <w:r>
        <w:rPr>
          <w:rFonts w:hint="eastAsia" w:ascii="黑体" w:hAnsi="黑体" w:eastAsia="黑体"/>
          <w:color w:val="auto"/>
          <w:sz w:val="28"/>
          <w:szCs w:val="28"/>
          <w:highlight w:val="none"/>
        </w:rPr>
        <w:t>26、</w:t>
      </w:r>
      <w:r>
        <w:rPr>
          <w:rFonts w:ascii="黑体" w:hAnsi="黑体" w:eastAsia="黑体"/>
          <w:color w:val="auto"/>
          <w:sz w:val="28"/>
          <w:szCs w:val="28"/>
          <w:highlight w:val="none"/>
        </w:rPr>
        <w:t>确定</w:t>
      </w:r>
      <w:bookmarkEnd w:id="103"/>
      <w:bookmarkEnd w:id="104"/>
      <w:r>
        <w:rPr>
          <w:rFonts w:ascii="黑体" w:hAnsi="黑体" w:eastAsia="黑体"/>
          <w:color w:val="auto"/>
          <w:sz w:val="28"/>
          <w:szCs w:val="28"/>
          <w:highlight w:val="none"/>
        </w:rPr>
        <w:t>成交单位</w:t>
      </w:r>
    </w:p>
    <w:p w14:paraId="0C447A01">
      <w:pPr>
        <w:spacing w:line="360" w:lineRule="auto"/>
        <w:ind w:firstLine="482"/>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26</w:t>
      </w:r>
      <w:r>
        <w:rPr>
          <w:rFonts w:ascii="宋体" w:hAnsi="宋体" w:eastAsia="宋体" w:cs="Times New Roman"/>
          <w:color w:val="auto"/>
          <w:kern w:val="0"/>
          <w:sz w:val="24"/>
          <w:szCs w:val="24"/>
          <w:highlight w:val="none"/>
        </w:rPr>
        <w:t>.1成交候选供应商的选取原则和数量见磋商文件第四部分规定。</w:t>
      </w:r>
    </w:p>
    <w:p w14:paraId="6C9FDEFE">
      <w:pPr>
        <w:widowControl/>
        <w:shd w:val="clear" w:color="auto" w:fill="FFFFFF"/>
        <w:spacing w:line="360" w:lineRule="auto"/>
        <w:ind w:firstLine="480"/>
        <w:jc w:val="lef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26</w:t>
      </w:r>
      <w:r>
        <w:rPr>
          <w:rFonts w:ascii="宋体" w:hAnsi="宋体" w:eastAsia="宋体" w:cs="Times New Roman"/>
          <w:color w:val="auto"/>
          <w:kern w:val="0"/>
          <w:sz w:val="24"/>
          <w:szCs w:val="24"/>
          <w:highlight w:val="none"/>
        </w:rPr>
        <w:t>.2</w:t>
      </w:r>
      <w:r>
        <w:rPr>
          <w:rFonts w:hint="eastAsia" w:asciiTheme="minorEastAsia" w:hAnsiTheme="minorEastAsia" w:eastAsiaTheme="minorEastAsia" w:cstheme="minorEastAsia"/>
          <w:bCs/>
          <w:color w:val="auto"/>
          <w:sz w:val="24"/>
          <w:szCs w:val="24"/>
          <w:highlight w:val="none"/>
        </w:rPr>
        <w:t>采购人委托磋商小组直接确定排名第一的成交候选人为成交供应商。</w:t>
      </w:r>
    </w:p>
    <w:p w14:paraId="2FC11ED3">
      <w:pPr>
        <w:spacing w:line="360" w:lineRule="auto"/>
        <w:ind w:firstLine="482"/>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26</w:t>
      </w:r>
      <w:r>
        <w:rPr>
          <w:rFonts w:ascii="宋体" w:hAnsi="宋体" w:eastAsia="宋体" w:cs="Times New Roman"/>
          <w:color w:val="auto"/>
          <w:kern w:val="0"/>
          <w:sz w:val="24"/>
          <w:szCs w:val="24"/>
          <w:highlight w:val="none"/>
        </w:rPr>
        <w:t>.3</w:t>
      </w:r>
      <w:r>
        <w:rPr>
          <w:rFonts w:hint="eastAsia" w:ascii="宋体" w:hAnsi="宋体" w:eastAsia="宋体" w:cs="Times New Roman"/>
          <w:color w:val="auto"/>
          <w:kern w:val="0"/>
          <w:sz w:val="24"/>
          <w:szCs w:val="24"/>
          <w:highlight w:val="none"/>
        </w:rPr>
        <w:t>采购代理机构</w:t>
      </w:r>
      <w:r>
        <w:rPr>
          <w:rFonts w:ascii="宋体" w:hAnsi="宋体" w:eastAsia="宋体" w:cs="Times New Roman"/>
          <w:color w:val="auto"/>
          <w:kern w:val="0"/>
          <w:sz w:val="24"/>
          <w:szCs w:val="24"/>
          <w:highlight w:val="none"/>
        </w:rPr>
        <w:t>将在“</w:t>
      </w:r>
      <w:r>
        <w:rPr>
          <w:rFonts w:hint="eastAsia" w:ascii="宋体" w:hAnsi="宋体" w:eastAsia="宋体" w:cs="Times New Roman"/>
          <w:color w:val="auto"/>
          <w:kern w:val="0"/>
          <w:sz w:val="24"/>
          <w:szCs w:val="24"/>
          <w:highlight w:val="none"/>
        </w:rPr>
        <w:t>江苏省</w:t>
      </w:r>
      <w:r>
        <w:rPr>
          <w:rFonts w:ascii="宋体" w:hAnsi="宋体" w:eastAsia="宋体" w:cs="Times New Roman"/>
          <w:color w:val="auto"/>
          <w:kern w:val="0"/>
          <w:sz w:val="24"/>
          <w:szCs w:val="24"/>
          <w:highlight w:val="none"/>
        </w:rPr>
        <w:t>政府采购网”发布成交结果公告，公告期限为1个工作日。</w:t>
      </w:r>
    </w:p>
    <w:p w14:paraId="71A8EAF0">
      <w:pPr>
        <w:spacing w:line="360" w:lineRule="auto"/>
        <w:ind w:firstLine="482"/>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26</w:t>
      </w:r>
      <w:r>
        <w:rPr>
          <w:rFonts w:ascii="宋体" w:hAnsi="宋体" w:eastAsia="宋体" w:cs="Times New Roman"/>
          <w:color w:val="auto"/>
          <w:kern w:val="0"/>
          <w:sz w:val="24"/>
          <w:szCs w:val="24"/>
          <w:highlight w:val="none"/>
        </w:rPr>
        <w:t>.</w:t>
      </w:r>
      <w:r>
        <w:rPr>
          <w:rFonts w:hint="eastAsia" w:ascii="宋体" w:hAnsi="宋体" w:eastAsia="宋体" w:cs="Times New Roman"/>
          <w:color w:val="auto"/>
          <w:kern w:val="0"/>
          <w:sz w:val="24"/>
          <w:szCs w:val="24"/>
          <w:highlight w:val="none"/>
        </w:rPr>
        <w:t>4</w:t>
      </w:r>
      <w:r>
        <w:rPr>
          <w:rFonts w:ascii="宋体" w:hAnsi="宋体" w:eastAsia="宋体" w:cs="Times New Roman"/>
          <w:color w:val="auto"/>
          <w:kern w:val="0"/>
          <w:sz w:val="24"/>
          <w:szCs w:val="24"/>
          <w:highlight w:val="none"/>
        </w:rPr>
        <w:t>若有充分证据证明，成交供应商出现下列情况之一的，一经查实，将被取消成交资格：</w:t>
      </w:r>
    </w:p>
    <w:p w14:paraId="7A178E55">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26</w:t>
      </w:r>
      <w:r>
        <w:rPr>
          <w:rFonts w:asciiTheme="minorEastAsia" w:hAnsiTheme="minorEastAsia"/>
          <w:color w:val="auto"/>
          <w:sz w:val="24"/>
          <w:highlight w:val="none"/>
        </w:rPr>
        <w:t>.4.1提供虚假材料谋取成交的。</w:t>
      </w:r>
    </w:p>
    <w:p w14:paraId="77D4B8A6">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26</w:t>
      </w:r>
      <w:r>
        <w:rPr>
          <w:rFonts w:asciiTheme="minorEastAsia" w:hAnsiTheme="minorEastAsia"/>
          <w:color w:val="auto"/>
          <w:sz w:val="24"/>
          <w:highlight w:val="none"/>
        </w:rPr>
        <w:t>.4.2向采购人、</w:t>
      </w:r>
      <w:r>
        <w:rPr>
          <w:rFonts w:hint="eastAsia" w:asciiTheme="minorEastAsia" w:hAnsiTheme="minorEastAsia"/>
          <w:color w:val="auto"/>
          <w:sz w:val="24"/>
          <w:highlight w:val="none"/>
        </w:rPr>
        <w:t>采购代理机构</w:t>
      </w:r>
      <w:r>
        <w:rPr>
          <w:rFonts w:asciiTheme="minorEastAsia" w:hAnsiTheme="minorEastAsia"/>
          <w:color w:val="auto"/>
          <w:sz w:val="24"/>
          <w:highlight w:val="none"/>
        </w:rPr>
        <w:t>行贿或者评审专家提供其他不正当利益的。</w:t>
      </w:r>
    </w:p>
    <w:p w14:paraId="4E612750">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26</w:t>
      </w:r>
      <w:r>
        <w:rPr>
          <w:rFonts w:asciiTheme="minorEastAsia" w:hAnsiTheme="minorEastAsia"/>
          <w:color w:val="auto"/>
          <w:sz w:val="24"/>
          <w:highlight w:val="none"/>
        </w:rPr>
        <w:t>.4.3恶意竞争，最终总报价明显低于其自身合理成本且又无法提供证明的。</w:t>
      </w:r>
    </w:p>
    <w:p w14:paraId="09B8DBBF">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26</w:t>
      </w:r>
      <w:r>
        <w:rPr>
          <w:rFonts w:asciiTheme="minorEastAsia" w:hAnsiTheme="minorEastAsia"/>
          <w:color w:val="auto"/>
          <w:sz w:val="24"/>
          <w:highlight w:val="none"/>
        </w:rPr>
        <w:t>.4.4属于本文件规定的无效条件，但在评审过程中又未被磋商小组发现的。</w:t>
      </w:r>
    </w:p>
    <w:p w14:paraId="41D346CE">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26</w:t>
      </w:r>
      <w:r>
        <w:rPr>
          <w:rFonts w:asciiTheme="minorEastAsia" w:hAnsiTheme="minorEastAsia"/>
          <w:color w:val="auto"/>
          <w:sz w:val="24"/>
          <w:highlight w:val="none"/>
        </w:rPr>
        <w:t>.4.5与采购人或者其他供应商恶意串通的。</w:t>
      </w:r>
    </w:p>
    <w:p w14:paraId="3DD62EFB">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26</w:t>
      </w:r>
      <w:r>
        <w:rPr>
          <w:rFonts w:asciiTheme="minorEastAsia" w:hAnsiTheme="minorEastAsia"/>
          <w:color w:val="auto"/>
          <w:sz w:val="24"/>
          <w:highlight w:val="none"/>
        </w:rPr>
        <w:t>.4.6采取不正当手段诋毁、排挤其他供应商的。</w:t>
      </w:r>
    </w:p>
    <w:p w14:paraId="490B7A3D">
      <w:pPr>
        <w:adjustRightInd w:val="0"/>
        <w:snapToGrid w:val="0"/>
        <w:spacing w:line="360" w:lineRule="auto"/>
        <w:ind w:firstLine="480" w:firstLineChars="200"/>
        <w:rPr>
          <w:rFonts w:asciiTheme="minorEastAsia" w:hAnsiTheme="minorEastAsia"/>
          <w:color w:val="auto"/>
          <w:sz w:val="24"/>
          <w:highlight w:val="none"/>
        </w:rPr>
      </w:pPr>
      <w:bookmarkStart w:id="105" w:name="_Toc200451960"/>
      <w:r>
        <w:rPr>
          <w:rFonts w:hint="eastAsia" w:asciiTheme="minorEastAsia" w:hAnsiTheme="minorEastAsia"/>
          <w:color w:val="auto"/>
          <w:sz w:val="24"/>
          <w:highlight w:val="none"/>
        </w:rPr>
        <w:t>26</w:t>
      </w:r>
      <w:r>
        <w:rPr>
          <w:rFonts w:asciiTheme="minorEastAsia" w:hAnsiTheme="minorEastAsia"/>
          <w:color w:val="auto"/>
          <w:sz w:val="24"/>
          <w:highlight w:val="none"/>
        </w:rPr>
        <w:t>.5</w:t>
      </w:r>
      <w:r>
        <w:rPr>
          <w:rFonts w:asciiTheme="minorEastAsia" w:hAnsiTheme="minorEastAsia"/>
          <w:color w:val="auto"/>
          <w:kern w:val="0"/>
          <w:sz w:val="24"/>
          <w:highlight w:val="none"/>
        </w:rPr>
        <w:t>有下列情形之一的，视为供应商串通参与磋商，响应无效：</w:t>
      </w:r>
    </w:p>
    <w:p w14:paraId="6EF1AF34">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26</w:t>
      </w:r>
      <w:r>
        <w:rPr>
          <w:rFonts w:asciiTheme="minorEastAsia" w:hAnsiTheme="minorEastAsia"/>
          <w:color w:val="auto"/>
          <w:sz w:val="24"/>
          <w:highlight w:val="none"/>
        </w:rPr>
        <w:t>.5.1不同供应商的响应文件由同一单位或者个人编制；</w:t>
      </w:r>
    </w:p>
    <w:p w14:paraId="3634E600">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26</w:t>
      </w:r>
      <w:r>
        <w:rPr>
          <w:rFonts w:asciiTheme="minorEastAsia" w:hAnsiTheme="minorEastAsia"/>
          <w:color w:val="auto"/>
          <w:sz w:val="24"/>
          <w:highlight w:val="none"/>
        </w:rPr>
        <w:t>.5.2不同供应商委托同一单位或者个人办理磋商事宜；</w:t>
      </w:r>
    </w:p>
    <w:p w14:paraId="7914BF15">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26</w:t>
      </w:r>
      <w:r>
        <w:rPr>
          <w:rFonts w:asciiTheme="minorEastAsia" w:hAnsiTheme="minorEastAsia"/>
          <w:color w:val="auto"/>
          <w:sz w:val="24"/>
          <w:highlight w:val="none"/>
        </w:rPr>
        <w:t>.5.3不同供应商的响应文件载明的项目管理成员或者联系人员为同一人；</w:t>
      </w:r>
    </w:p>
    <w:p w14:paraId="2BE52CD7">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26</w:t>
      </w:r>
      <w:r>
        <w:rPr>
          <w:rFonts w:asciiTheme="minorEastAsia" w:hAnsiTheme="minorEastAsia"/>
          <w:color w:val="auto"/>
          <w:sz w:val="24"/>
          <w:highlight w:val="none"/>
        </w:rPr>
        <w:t>.5.4不同供应商的响应文件异常一致或者响应报价呈规律性差异。</w:t>
      </w:r>
    </w:p>
    <w:p w14:paraId="1BCEB5EF">
      <w:pPr>
        <w:adjustRightInd w:val="0"/>
        <w:snapToGrid w:val="0"/>
        <w:spacing w:line="360" w:lineRule="auto"/>
        <w:rPr>
          <w:rFonts w:ascii="黑体" w:hAnsi="宋体" w:eastAsia="黑体" w:cs="Times New Roman"/>
          <w:bCs/>
          <w:color w:val="auto"/>
          <w:kern w:val="0"/>
          <w:sz w:val="30"/>
          <w:szCs w:val="30"/>
          <w:highlight w:val="none"/>
        </w:rPr>
      </w:pPr>
      <w:r>
        <w:rPr>
          <w:rFonts w:ascii="黑体" w:hAnsi="宋体" w:eastAsia="黑体" w:cs="Times New Roman"/>
          <w:bCs/>
          <w:color w:val="auto"/>
          <w:kern w:val="0"/>
          <w:sz w:val="30"/>
          <w:szCs w:val="30"/>
          <w:highlight w:val="none"/>
        </w:rPr>
        <w:t>2</w:t>
      </w:r>
      <w:r>
        <w:rPr>
          <w:rFonts w:hint="eastAsia" w:ascii="黑体" w:hAnsi="宋体" w:eastAsia="黑体" w:cs="Times New Roman"/>
          <w:bCs/>
          <w:color w:val="auto"/>
          <w:kern w:val="0"/>
          <w:sz w:val="30"/>
          <w:szCs w:val="30"/>
          <w:highlight w:val="none"/>
        </w:rPr>
        <w:t>7、</w:t>
      </w:r>
      <w:r>
        <w:rPr>
          <w:rFonts w:ascii="黑体" w:hAnsi="宋体" w:eastAsia="黑体" w:cs="Times New Roman"/>
          <w:bCs/>
          <w:color w:val="auto"/>
          <w:kern w:val="0"/>
          <w:sz w:val="30"/>
          <w:szCs w:val="30"/>
          <w:highlight w:val="none"/>
        </w:rPr>
        <w:t>质疑处理</w:t>
      </w:r>
      <w:bookmarkEnd w:id="105"/>
    </w:p>
    <w:p w14:paraId="522CEC7E">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2</w:t>
      </w:r>
      <w:r>
        <w:rPr>
          <w:rFonts w:hint="eastAsia" w:asciiTheme="minorEastAsia" w:hAnsiTheme="minorEastAsia"/>
          <w:color w:val="auto"/>
          <w:sz w:val="24"/>
          <w:highlight w:val="none"/>
        </w:rPr>
        <w:t>7</w:t>
      </w:r>
      <w:r>
        <w:rPr>
          <w:rFonts w:asciiTheme="minorEastAsia" w:hAnsiTheme="minorEastAsia"/>
          <w:color w:val="auto"/>
          <w:sz w:val="24"/>
          <w:highlight w:val="none"/>
        </w:rPr>
        <w:t>.1提出质疑的供应商应当是参与所质疑项目采购活动的供应商。潜在供应商依法获取其可质疑的磋商文件的，可以对磋商文件提出质疑。</w:t>
      </w:r>
    </w:p>
    <w:p w14:paraId="352E3EE6">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2</w:t>
      </w:r>
      <w:r>
        <w:rPr>
          <w:rFonts w:hint="eastAsia" w:asciiTheme="minorEastAsia" w:hAnsiTheme="minorEastAsia"/>
          <w:color w:val="auto"/>
          <w:sz w:val="24"/>
          <w:highlight w:val="none"/>
        </w:rPr>
        <w:t>7</w:t>
      </w:r>
      <w:r>
        <w:rPr>
          <w:rFonts w:asciiTheme="minorEastAsia" w:hAnsiTheme="minorEastAsia"/>
          <w:color w:val="auto"/>
          <w:sz w:val="24"/>
          <w:highlight w:val="none"/>
        </w:rPr>
        <w:t>.2供应商认为磋商文件、采购过程和采购结果使自己的权益受到损害的，可以在知道或应知其权益受到损害之日起七个工作日内，以书面形式向</w:t>
      </w:r>
      <w:r>
        <w:rPr>
          <w:rFonts w:hint="eastAsia" w:asciiTheme="minorEastAsia" w:hAnsiTheme="minorEastAsia"/>
          <w:color w:val="auto"/>
          <w:sz w:val="24"/>
          <w:highlight w:val="none"/>
        </w:rPr>
        <w:t>采购代理机构</w:t>
      </w:r>
      <w:r>
        <w:rPr>
          <w:rFonts w:asciiTheme="minorEastAsia" w:hAnsiTheme="minorEastAsia"/>
          <w:color w:val="auto"/>
          <w:sz w:val="24"/>
          <w:highlight w:val="none"/>
        </w:rPr>
        <w:t>或采购人提出质疑。上述应知其权益受到损害之日，是指：</w:t>
      </w:r>
    </w:p>
    <w:p w14:paraId="5656BA00">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2</w:t>
      </w:r>
      <w:r>
        <w:rPr>
          <w:rFonts w:hint="eastAsia" w:asciiTheme="minorEastAsia" w:hAnsiTheme="minorEastAsia"/>
          <w:color w:val="auto"/>
          <w:sz w:val="24"/>
          <w:highlight w:val="none"/>
        </w:rPr>
        <w:t>7</w:t>
      </w:r>
      <w:r>
        <w:rPr>
          <w:rFonts w:asciiTheme="minorEastAsia" w:hAnsiTheme="minorEastAsia"/>
          <w:color w:val="auto"/>
          <w:sz w:val="24"/>
          <w:highlight w:val="none"/>
        </w:rPr>
        <w:t>.2.1对可以质疑的磋商文件提出质疑的，为收到磋商文件之日或者磋商文件公告期限届满之日；</w:t>
      </w:r>
    </w:p>
    <w:p w14:paraId="0278D38B">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2</w:t>
      </w:r>
      <w:r>
        <w:rPr>
          <w:rFonts w:hint="eastAsia" w:asciiTheme="minorEastAsia" w:hAnsiTheme="minorEastAsia"/>
          <w:color w:val="auto"/>
          <w:sz w:val="24"/>
          <w:highlight w:val="none"/>
        </w:rPr>
        <w:t>7</w:t>
      </w:r>
      <w:r>
        <w:rPr>
          <w:rFonts w:asciiTheme="minorEastAsia" w:hAnsiTheme="minorEastAsia"/>
          <w:color w:val="auto"/>
          <w:sz w:val="24"/>
          <w:highlight w:val="none"/>
        </w:rPr>
        <w:t>.2.2对采购过程提出质疑的，为各采购程序环节结束之日；</w:t>
      </w:r>
    </w:p>
    <w:p w14:paraId="29706610">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2</w:t>
      </w:r>
      <w:r>
        <w:rPr>
          <w:rFonts w:hint="eastAsia" w:asciiTheme="minorEastAsia" w:hAnsiTheme="minorEastAsia"/>
          <w:color w:val="auto"/>
          <w:sz w:val="24"/>
          <w:highlight w:val="none"/>
        </w:rPr>
        <w:t>7</w:t>
      </w:r>
      <w:r>
        <w:rPr>
          <w:rFonts w:asciiTheme="minorEastAsia" w:hAnsiTheme="minorEastAsia"/>
          <w:color w:val="auto"/>
          <w:sz w:val="24"/>
          <w:highlight w:val="none"/>
        </w:rPr>
        <w:t>.2.3对成交结果提出质疑的，为成交结果公告期限届满之日。</w:t>
      </w:r>
    </w:p>
    <w:p w14:paraId="14BA58DD">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供应商应当在法定质疑期内一次性提出针对同一采购程序环节的质疑。</w:t>
      </w:r>
    </w:p>
    <w:p w14:paraId="5B6A9162">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2</w:t>
      </w:r>
      <w:r>
        <w:rPr>
          <w:rFonts w:hint="eastAsia" w:asciiTheme="minorEastAsia" w:hAnsiTheme="minorEastAsia"/>
          <w:color w:val="auto"/>
          <w:sz w:val="24"/>
          <w:highlight w:val="none"/>
        </w:rPr>
        <w:t>7</w:t>
      </w:r>
      <w:r>
        <w:rPr>
          <w:rFonts w:asciiTheme="minorEastAsia" w:hAnsiTheme="minorEastAsia"/>
          <w:color w:val="auto"/>
          <w:sz w:val="24"/>
          <w:highlight w:val="none"/>
        </w:rPr>
        <w:t>.3质疑函必须按照本磋商文件中《质疑函范本》要求的格式和内容进行填写。供应商如组成联合体参加磋商，则《质疑函范本》中要求签字、盖章、加盖公章之处，联合体各方均须按要求签字、盖章、加盖公章。</w:t>
      </w:r>
    </w:p>
    <w:p w14:paraId="119A82F0">
      <w:pPr>
        <w:adjustRightInd w:val="0"/>
        <w:snapToGrid w:val="0"/>
        <w:spacing w:line="360" w:lineRule="auto"/>
        <w:ind w:firstLine="480" w:firstLineChars="200"/>
        <w:rPr>
          <w:rFonts w:asciiTheme="minorEastAsia" w:hAnsiTheme="minorEastAsia"/>
          <w:b/>
          <w:color w:val="auto"/>
          <w:sz w:val="24"/>
          <w:highlight w:val="none"/>
        </w:rPr>
      </w:pPr>
      <w:r>
        <w:rPr>
          <w:rFonts w:asciiTheme="minorEastAsia" w:hAnsiTheme="minorEastAsia"/>
          <w:color w:val="auto"/>
          <w:sz w:val="24"/>
          <w:highlight w:val="none"/>
        </w:rPr>
        <w:t>2</w:t>
      </w:r>
      <w:r>
        <w:rPr>
          <w:rFonts w:hint="eastAsia" w:asciiTheme="minorEastAsia" w:hAnsiTheme="minorEastAsia"/>
          <w:color w:val="auto"/>
          <w:sz w:val="24"/>
          <w:highlight w:val="none"/>
        </w:rPr>
        <w:t>7</w:t>
      </w:r>
      <w:r>
        <w:rPr>
          <w:rFonts w:asciiTheme="minorEastAsia" w:hAnsiTheme="minorEastAsia"/>
          <w:color w:val="auto"/>
          <w:sz w:val="24"/>
          <w:highlight w:val="none"/>
        </w:rPr>
        <w:t>.4对采购方式、磋商文件中项目需求、供应商资格条件、评审方法和评审标准、资格审查结果等应当由采购人答复的质疑，请向采购人提出，由采购人负责答复。供应商对其他事项的质疑，请向</w:t>
      </w:r>
      <w:r>
        <w:rPr>
          <w:rFonts w:hint="eastAsia" w:asciiTheme="minorEastAsia" w:hAnsiTheme="minorEastAsia"/>
          <w:color w:val="auto"/>
          <w:sz w:val="24"/>
          <w:highlight w:val="none"/>
        </w:rPr>
        <w:t>采购代理机构</w:t>
      </w:r>
      <w:r>
        <w:rPr>
          <w:rFonts w:asciiTheme="minorEastAsia" w:hAnsiTheme="minorEastAsia"/>
          <w:color w:val="auto"/>
          <w:sz w:val="24"/>
          <w:highlight w:val="none"/>
        </w:rPr>
        <w:t>提出，由</w:t>
      </w:r>
      <w:r>
        <w:rPr>
          <w:rFonts w:hint="eastAsia" w:asciiTheme="minorEastAsia" w:hAnsiTheme="minorEastAsia"/>
          <w:color w:val="auto"/>
          <w:sz w:val="24"/>
          <w:highlight w:val="none"/>
        </w:rPr>
        <w:t>采购代理机构</w:t>
      </w:r>
      <w:r>
        <w:rPr>
          <w:rFonts w:asciiTheme="minorEastAsia" w:hAnsiTheme="minorEastAsia"/>
          <w:color w:val="auto"/>
          <w:sz w:val="24"/>
          <w:highlight w:val="none"/>
        </w:rPr>
        <w:t>负责答复。</w:t>
      </w:r>
    </w:p>
    <w:p w14:paraId="246A268E">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供应商提起质疑</w:t>
      </w:r>
      <w:r>
        <w:rPr>
          <w:rFonts w:hint="eastAsia" w:asciiTheme="minorEastAsia" w:hAnsiTheme="minorEastAsia"/>
          <w:color w:val="auto"/>
          <w:sz w:val="24"/>
          <w:highlight w:val="none"/>
        </w:rPr>
        <w:t>采取书面形式，可以现场送达，也可以邮寄。</w:t>
      </w:r>
    </w:p>
    <w:p w14:paraId="44260D93">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质疑受理联系地址：</w:t>
      </w:r>
      <w:r>
        <w:rPr>
          <w:rFonts w:hint="eastAsia" w:ascii="宋体" w:hAnsi="宋体" w:cs="宋体"/>
          <w:color w:val="auto"/>
          <w:sz w:val="24"/>
          <w:highlight w:val="none"/>
          <w:lang w:val="en-US" w:eastAsia="zh-CN"/>
        </w:rPr>
        <w:t>南通市崇川区世纪大道18号兴业大厦801A</w:t>
      </w:r>
      <w:r>
        <w:rPr>
          <w:rFonts w:asciiTheme="minorEastAsia" w:hAnsiTheme="minorEastAsia"/>
          <w:color w:val="auto"/>
          <w:sz w:val="24"/>
          <w:highlight w:val="none"/>
        </w:rPr>
        <w:t>，联系电话：</w:t>
      </w:r>
      <w:r>
        <w:rPr>
          <w:rFonts w:hint="eastAsia" w:asciiTheme="minorEastAsia" w:hAnsiTheme="minorEastAsia"/>
          <w:color w:val="auto"/>
          <w:sz w:val="24"/>
          <w:highlight w:val="none"/>
          <w:lang w:val="en-US" w:eastAsia="zh-CN"/>
        </w:rPr>
        <w:t>18912268973</w:t>
      </w:r>
      <w:r>
        <w:rPr>
          <w:rFonts w:asciiTheme="minorEastAsia" w:hAnsiTheme="minorEastAsia"/>
          <w:color w:val="auto"/>
          <w:sz w:val="24"/>
          <w:highlight w:val="none"/>
        </w:rPr>
        <w:t>。</w:t>
      </w:r>
    </w:p>
    <w:p w14:paraId="3682F23D">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采购人质疑接收人及联系方式，见磋商文件第一部分。</w:t>
      </w:r>
    </w:p>
    <w:p w14:paraId="5DC937A6">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2</w:t>
      </w:r>
      <w:r>
        <w:rPr>
          <w:rFonts w:hint="eastAsia" w:asciiTheme="minorEastAsia" w:hAnsiTheme="minorEastAsia"/>
          <w:color w:val="auto"/>
          <w:sz w:val="24"/>
          <w:highlight w:val="none"/>
        </w:rPr>
        <w:t>7</w:t>
      </w:r>
      <w:r>
        <w:rPr>
          <w:rFonts w:asciiTheme="minorEastAsia" w:hAnsiTheme="minorEastAsia"/>
          <w:color w:val="auto"/>
          <w:sz w:val="24"/>
          <w:highlight w:val="none"/>
        </w:rPr>
        <w:t>.5以下情形的质疑不予受理</w:t>
      </w:r>
    </w:p>
    <w:p w14:paraId="31DF6D8C">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2</w:t>
      </w:r>
      <w:r>
        <w:rPr>
          <w:rFonts w:hint="eastAsia" w:asciiTheme="minorEastAsia" w:hAnsiTheme="minorEastAsia"/>
          <w:color w:val="auto"/>
          <w:sz w:val="24"/>
          <w:highlight w:val="none"/>
        </w:rPr>
        <w:t>7</w:t>
      </w:r>
      <w:r>
        <w:rPr>
          <w:rFonts w:asciiTheme="minorEastAsia" w:hAnsiTheme="minorEastAsia"/>
          <w:color w:val="auto"/>
          <w:sz w:val="24"/>
          <w:highlight w:val="none"/>
        </w:rPr>
        <w:t>.5.1内容不符合《政府采购质疑和投诉办法》第十二条规定的质疑。</w:t>
      </w:r>
    </w:p>
    <w:p w14:paraId="2E598136">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2</w:t>
      </w:r>
      <w:r>
        <w:rPr>
          <w:rFonts w:hint="eastAsia" w:asciiTheme="minorEastAsia" w:hAnsiTheme="minorEastAsia"/>
          <w:color w:val="auto"/>
          <w:sz w:val="24"/>
          <w:highlight w:val="none"/>
        </w:rPr>
        <w:t>7</w:t>
      </w:r>
      <w:r>
        <w:rPr>
          <w:rFonts w:asciiTheme="minorEastAsia" w:hAnsiTheme="minorEastAsia"/>
          <w:color w:val="auto"/>
          <w:sz w:val="24"/>
          <w:highlight w:val="none"/>
        </w:rPr>
        <w:t>.5.2超出政府采购法定期限的质疑。</w:t>
      </w:r>
    </w:p>
    <w:p w14:paraId="7F6B2431">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2</w:t>
      </w:r>
      <w:r>
        <w:rPr>
          <w:rFonts w:hint="eastAsia" w:asciiTheme="minorEastAsia" w:hAnsiTheme="minorEastAsia"/>
          <w:color w:val="auto"/>
          <w:sz w:val="24"/>
          <w:highlight w:val="none"/>
        </w:rPr>
        <w:t>7</w:t>
      </w:r>
      <w:r>
        <w:rPr>
          <w:rFonts w:asciiTheme="minorEastAsia" w:hAnsiTheme="minorEastAsia"/>
          <w:color w:val="auto"/>
          <w:sz w:val="24"/>
          <w:highlight w:val="none"/>
        </w:rPr>
        <w:t>.5.3未参加磋商活动的供应商或在磋商活动中自身权益未受到损害的供应商所提出的质疑。</w:t>
      </w:r>
    </w:p>
    <w:p w14:paraId="5F8D879B">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2</w:t>
      </w:r>
      <w:r>
        <w:rPr>
          <w:rFonts w:hint="eastAsia" w:asciiTheme="minorEastAsia" w:hAnsiTheme="minorEastAsia"/>
          <w:color w:val="auto"/>
          <w:sz w:val="24"/>
          <w:highlight w:val="none"/>
        </w:rPr>
        <w:t>7</w:t>
      </w:r>
      <w:r>
        <w:rPr>
          <w:rFonts w:asciiTheme="minorEastAsia" w:hAnsiTheme="minorEastAsia"/>
          <w:color w:val="auto"/>
          <w:sz w:val="24"/>
          <w:highlight w:val="none"/>
        </w:rPr>
        <w:t>.5.4供应商组成联合体参加磋商，联合体中任何一方或多方未按要求签字、盖章、加盖公章的质疑。</w:t>
      </w:r>
    </w:p>
    <w:p w14:paraId="6D8E9EBC">
      <w:pPr>
        <w:adjustRightInd w:val="0"/>
        <w:snapToGrid w:val="0"/>
        <w:spacing w:line="360" w:lineRule="auto"/>
        <w:ind w:firstLine="480" w:firstLineChars="200"/>
        <w:rPr>
          <w:rFonts w:asciiTheme="minorEastAsia" w:hAnsiTheme="minorEastAsia"/>
          <w:color w:val="auto"/>
          <w:sz w:val="24"/>
          <w:highlight w:val="none"/>
        </w:rPr>
      </w:pPr>
      <w:r>
        <w:rPr>
          <w:rFonts w:asciiTheme="minorEastAsia" w:hAnsiTheme="minorEastAsia"/>
          <w:color w:val="auto"/>
          <w:sz w:val="24"/>
          <w:highlight w:val="none"/>
        </w:rPr>
        <w:t>2</w:t>
      </w:r>
      <w:r>
        <w:rPr>
          <w:rFonts w:hint="eastAsia" w:asciiTheme="minorEastAsia" w:hAnsiTheme="minorEastAsia"/>
          <w:color w:val="auto"/>
          <w:sz w:val="24"/>
          <w:highlight w:val="none"/>
        </w:rPr>
        <w:t>7</w:t>
      </w:r>
      <w:r>
        <w:rPr>
          <w:rFonts w:asciiTheme="minorEastAsia" w:hAnsiTheme="minorEastAsia"/>
          <w:color w:val="auto"/>
          <w:sz w:val="24"/>
          <w:highlight w:val="none"/>
        </w:rPr>
        <w:t>.6供应商提出书面质疑必须有理、有据，不得捏造事实、提供虚假材料进行恶意质疑。否则，一经查实，</w:t>
      </w:r>
      <w:r>
        <w:rPr>
          <w:rFonts w:hint="eastAsia" w:asciiTheme="minorEastAsia" w:hAnsiTheme="minorEastAsia"/>
          <w:color w:val="auto"/>
          <w:sz w:val="24"/>
          <w:highlight w:val="none"/>
        </w:rPr>
        <w:t>采购代理机构</w:t>
      </w:r>
      <w:r>
        <w:rPr>
          <w:rFonts w:asciiTheme="minorEastAsia" w:hAnsiTheme="minorEastAsia"/>
          <w:color w:val="auto"/>
          <w:sz w:val="24"/>
          <w:highlight w:val="none"/>
        </w:rPr>
        <w:t>有权依据政府采购的有关规定，报请政府采购监管部门对该供应商进行相应的行政处罚和记录该供应商的失信信息。</w:t>
      </w:r>
    </w:p>
    <w:p w14:paraId="24DB3257">
      <w:pPr>
        <w:adjustRightInd w:val="0"/>
        <w:snapToGrid w:val="0"/>
        <w:spacing w:line="360" w:lineRule="auto"/>
        <w:rPr>
          <w:rFonts w:ascii="黑体" w:hAnsi="宋体" w:eastAsia="黑体" w:cs="Times New Roman"/>
          <w:bCs/>
          <w:color w:val="auto"/>
          <w:kern w:val="0"/>
          <w:sz w:val="30"/>
          <w:szCs w:val="30"/>
          <w:highlight w:val="none"/>
        </w:rPr>
      </w:pPr>
      <w:r>
        <w:rPr>
          <w:rFonts w:hint="eastAsia" w:ascii="黑体" w:hAnsi="宋体" w:eastAsia="黑体" w:cs="Times New Roman"/>
          <w:bCs/>
          <w:color w:val="auto"/>
          <w:kern w:val="0"/>
          <w:sz w:val="30"/>
          <w:szCs w:val="30"/>
          <w:highlight w:val="none"/>
        </w:rPr>
        <w:t>28、</w:t>
      </w:r>
      <w:r>
        <w:rPr>
          <w:rFonts w:ascii="黑体" w:hAnsi="宋体" w:eastAsia="黑体" w:cs="Times New Roman"/>
          <w:bCs/>
          <w:color w:val="auto"/>
          <w:kern w:val="0"/>
          <w:sz w:val="30"/>
          <w:szCs w:val="30"/>
          <w:highlight w:val="none"/>
        </w:rPr>
        <w:t>成交通知书</w:t>
      </w:r>
    </w:p>
    <w:p w14:paraId="47B88D2B">
      <w:pPr>
        <w:adjustRightInd w:val="0"/>
        <w:snapToGrid w:val="0"/>
        <w:spacing w:line="360" w:lineRule="auto"/>
        <w:ind w:firstLine="480" w:firstLineChars="200"/>
        <w:rPr>
          <w:rFonts w:asciiTheme="minorEastAsia" w:hAnsiTheme="minorEastAsia"/>
          <w:bCs/>
          <w:color w:val="auto"/>
          <w:sz w:val="24"/>
          <w:highlight w:val="none"/>
        </w:rPr>
      </w:pPr>
      <w:r>
        <w:rPr>
          <w:rFonts w:hint="eastAsia" w:asciiTheme="minorEastAsia" w:hAnsiTheme="minorEastAsia"/>
          <w:color w:val="auto"/>
          <w:sz w:val="24"/>
          <w:highlight w:val="none"/>
        </w:rPr>
        <w:t>28</w:t>
      </w:r>
      <w:r>
        <w:rPr>
          <w:rFonts w:asciiTheme="minorEastAsia" w:hAnsiTheme="minorEastAsia"/>
          <w:color w:val="auto"/>
          <w:sz w:val="24"/>
          <w:highlight w:val="none"/>
        </w:rPr>
        <w:t>.l公告成交结果的同时，</w:t>
      </w:r>
      <w:r>
        <w:rPr>
          <w:rFonts w:hint="eastAsia" w:asciiTheme="minorEastAsia" w:hAnsiTheme="minorEastAsia"/>
          <w:color w:val="auto"/>
          <w:sz w:val="24"/>
          <w:highlight w:val="none"/>
        </w:rPr>
        <w:t>采购代理机构</w:t>
      </w:r>
      <w:r>
        <w:rPr>
          <w:rFonts w:asciiTheme="minorEastAsia" w:hAnsiTheme="minorEastAsia"/>
          <w:bCs/>
          <w:color w:val="auto"/>
          <w:sz w:val="24"/>
          <w:highlight w:val="none"/>
        </w:rPr>
        <w:t>向成交供应商发放成交通知书。联系电话：</w:t>
      </w:r>
      <w:r>
        <w:rPr>
          <w:rFonts w:hint="eastAsia" w:asciiTheme="minorEastAsia" w:hAnsiTheme="minorEastAsia"/>
          <w:bCs/>
          <w:color w:val="auto"/>
          <w:sz w:val="24"/>
          <w:highlight w:val="none"/>
        </w:rPr>
        <w:t>18912268973</w:t>
      </w:r>
    </w:p>
    <w:p w14:paraId="420F1311">
      <w:pPr>
        <w:adjustRightInd w:val="0"/>
        <w:snapToGrid w:val="0"/>
        <w:spacing w:line="360" w:lineRule="auto"/>
        <w:ind w:firstLine="482"/>
        <w:rPr>
          <w:rFonts w:asciiTheme="minorEastAsia" w:hAnsiTheme="minorEastAsia"/>
          <w:color w:val="auto"/>
          <w:sz w:val="24"/>
          <w:highlight w:val="none"/>
        </w:rPr>
      </w:pPr>
      <w:r>
        <w:rPr>
          <w:rFonts w:asciiTheme="minorEastAsia" w:hAnsiTheme="minorEastAsia"/>
          <w:color w:val="auto"/>
          <w:sz w:val="24"/>
          <w:highlight w:val="none"/>
        </w:rPr>
        <w:t>成交通知书发出后，采购人不得违法改变成交结果，成交供应商无正当理由不得放弃成交。</w:t>
      </w:r>
    </w:p>
    <w:p w14:paraId="5EF0589B">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28</w:t>
      </w:r>
      <w:r>
        <w:rPr>
          <w:rFonts w:asciiTheme="minorEastAsia" w:hAnsiTheme="minorEastAsia"/>
          <w:color w:val="auto"/>
          <w:sz w:val="24"/>
          <w:highlight w:val="none"/>
        </w:rPr>
        <w:t>.2成交通知书将是合同的一个组成部分</w:t>
      </w:r>
      <w:r>
        <w:rPr>
          <w:rFonts w:hint="eastAsia" w:asciiTheme="minorEastAsia" w:hAnsiTheme="minorEastAsia"/>
          <w:color w:val="auto"/>
          <w:sz w:val="24"/>
          <w:highlight w:val="none"/>
        </w:rPr>
        <w:t>，</w:t>
      </w:r>
      <w:r>
        <w:rPr>
          <w:rFonts w:asciiTheme="minorEastAsia" w:hAnsiTheme="minorEastAsia"/>
          <w:color w:val="auto"/>
          <w:sz w:val="24"/>
          <w:highlight w:val="none"/>
        </w:rPr>
        <w:t>对采购人和成交供应商均具有法律效力。成交通知书发出后，采购人改变成交结果的，或者成交供应商放弃磋商项目的，应当依法承担法律责任。</w:t>
      </w:r>
    </w:p>
    <w:p w14:paraId="0A7BEDEF">
      <w:pPr>
        <w:keepNext/>
        <w:keepLines/>
        <w:adjustRightInd w:val="0"/>
        <w:snapToGrid w:val="0"/>
        <w:spacing w:line="360" w:lineRule="auto"/>
        <w:jc w:val="left"/>
        <w:outlineLvl w:val="2"/>
        <w:rPr>
          <w:rFonts w:ascii="Times New Roman" w:hAnsi="Times New Roman" w:eastAsia="宋体" w:cs="Times New Roman"/>
          <w:b/>
          <w:bCs/>
          <w:color w:val="auto"/>
          <w:kern w:val="0"/>
          <w:sz w:val="32"/>
          <w:szCs w:val="32"/>
          <w:highlight w:val="none"/>
        </w:rPr>
      </w:pPr>
      <w:bookmarkStart w:id="106" w:name="_Toc120614220"/>
      <w:bookmarkStart w:id="107" w:name="_Toc513029236"/>
      <w:bookmarkStart w:id="108" w:name="_Toc16938552"/>
      <w:bookmarkStart w:id="109" w:name="_Toc20823308"/>
      <w:r>
        <w:rPr>
          <w:rFonts w:hint="eastAsia" w:ascii="Times New Roman" w:hAnsi="Times New Roman" w:eastAsia="宋体" w:cs="Times New Roman"/>
          <w:b/>
          <w:bCs/>
          <w:color w:val="auto"/>
          <w:kern w:val="0"/>
          <w:sz w:val="32"/>
          <w:szCs w:val="32"/>
          <w:highlight w:val="none"/>
        </w:rPr>
        <w:t>七、</w:t>
      </w:r>
      <w:r>
        <w:rPr>
          <w:rFonts w:ascii="Times New Roman" w:hAnsi="Times New Roman" w:eastAsia="宋体" w:cs="Times New Roman"/>
          <w:b/>
          <w:bCs/>
          <w:color w:val="auto"/>
          <w:kern w:val="0"/>
          <w:sz w:val="32"/>
          <w:szCs w:val="32"/>
          <w:highlight w:val="none"/>
        </w:rPr>
        <w:t>授予合同</w:t>
      </w:r>
      <w:bookmarkEnd w:id="106"/>
    </w:p>
    <w:bookmarkEnd w:id="107"/>
    <w:bookmarkEnd w:id="108"/>
    <w:bookmarkEnd w:id="109"/>
    <w:p w14:paraId="4451020F">
      <w:pPr>
        <w:adjustRightInd w:val="0"/>
        <w:snapToGrid w:val="0"/>
        <w:spacing w:line="360" w:lineRule="auto"/>
        <w:rPr>
          <w:rFonts w:ascii="黑体" w:hAnsi="宋体" w:eastAsia="黑体" w:cs="Times New Roman"/>
          <w:bCs/>
          <w:color w:val="auto"/>
          <w:kern w:val="0"/>
          <w:sz w:val="30"/>
          <w:szCs w:val="30"/>
          <w:highlight w:val="none"/>
        </w:rPr>
      </w:pPr>
      <w:r>
        <w:rPr>
          <w:rFonts w:hint="eastAsia" w:ascii="黑体" w:hAnsi="宋体" w:eastAsia="黑体" w:cs="Times New Roman"/>
          <w:bCs/>
          <w:color w:val="auto"/>
          <w:kern w:val="0"/>
          <w:sz w:val="30"/>
          <w:szCs w:val="30"/>
          <w:highlight w:val="none"/>
        </w:rPr>
        <w:t>29、</w:t>
      </w:r>
      <w:r>
        <w:rPr>
          <w:rFonts w:ascii="黑体" w:hAnsi="宋体" w:eastAsia="黑体" w:cs="Times New Roman"/>
          <w:bCs/>
          <w:color w:val="auto"/>
          <w:kern w:val="0"/>
          <w:sz w:val="30"/>
          <w:szCs w:val="30"/>
          <w:highlight w:val="none"/>
        </w:rPr>
        <w:t>签订合同</w:t>
      </w:r>
    </w:p>
    <w:p w14:paraId="5EF4187A">
      <w:pPr>
        <w:adjustRightInd w:val="0"/>
        <w:snapToGrid w:val="0"/>
        <w:spacing w:line="360" w:lineRule="auto"/>
        <w:ind w:firstLine="480" w:firstLineChars="200"/>
        <w:rPr>
          <w:rFonts w:asciiTheme="minorEastAsia" w:hAnsiTheme="minorEastAsia"/>
          <w:color w:val="auto"/>
          <w:sz w:val="24"/>
          <w:highlight w:val="none"/>
        </w:rPr>
      </w:pPr>
      <w:r>
        <w:rPr>
          <w:rFonts w:hint="eastAsia" w:cs="宋体" w:asciiTheme="minorEastAsia" w:hAnsiTheme="minorEastAsia"/>
          <w:color w:val="auto"/>
          <w:kern w:val="0"/>
          <w:sz w:val="24"/>
          <w:highlight w:val="none"/>
        </w:rPr>
        <w:t>29</w:t>
      </w:r>
      <w:r>
        <w:rPr>
          <w:rFonts w:cs="宋体" w:asciiTheme="minorEastAsia" w:hAnsiTheme="minorEastAsia"/>
          <w:color w:val="auto"/>
          <w:kern w:val="0"/>
          <w:sz w:val="24"/>
          <w:highlight w:val="none"/>
        </w:rPr>
        <w:t>.l成交供应商应当在成交通知书发出之日起三十日内</w:t>
      </w:r>
      <w:r>
        <w:rPr>
          <w:rFonts w:hint="eastAsia" w:cs="宋体" w:asciiTheme="minorEastAsia" w:hAnsiTheme="minorEastAsia"/>
          <w:color w:val="auto"/>
          <w:kern w:val="0"/>
          <w:sz w:val="24"/>
          <w:highlight w:val="none"/>
        </w:rPr>
        <w:t>，</w:t>
      </w:r>
      <w:r>
        <w:rPr>
          <w:rFonts w:cs="宋体" w:asciiTheme="minorEastAsia" w:hAnsiTheme="minorEastAsia"/>
          <w:color w:val="auto"/>
          <w:kern w:val="0"/>
          <w:sz w:val="24"/>
          <w:highlight w:val="none"/>
        </w:rPr>
        <w:t>按照磋商文件确定的事项与采购人签订政府采购</w:t>
      </w:r>
      <w:r>
        <w:rPr>
          <w:rFonts w:asciiTheme="minorEastAsia" w:hAnsiTheme="minorEastAsia"/>
          <w:color w:val="auto"/>
          <w:sz w:val="24"/>
          <w:highlight w:val="none"/>
        </w:rPr>
        <w:t>合同。</w:t>
      </w:r>
    </w:p>
    <w:p w14:paraId="7C996747">
      <w:pPr>
        <w:pStyle w:val="20"/>
        <w:widowControl w:val="0"/>
        <w:adjustRightInd w:val="0"/>
        <w:spacing w:before="0" w:beforeAutospacing="0" w:after="0" w:afterAutospacing="0" w:line="360" w:lineRule="auto"/>
        <w:ind w:firstLine="360" w:firstLineChars="150"/>
        <w:rPr>
          <w:b/>
          <w:bCs/>
          <w:color w:val="auto"/>
          <w:highlight w:val="none"/>
        </w:rPr>
      </w:pPr>
      <w:r>
        <w:rPr>
          <w:rFonts w:hint="eastAsia"/>
          <w:color w:val="auto"/>
          <w:highlight w:val="none"/>
        </w:rPr>
        <w:t>★</w:t>
      </w:r>
      <w:r>
        <w:rPr>
          <w:rFonts w:hint="eastAsia"/>
          <w:b/>
          <w:bCs/>
          <w:color w:val="auto"/>
          <w:highlight w:val="none"/>
        </w:rPr>
        <w:t>签订合同时需做好提交各类声明函、承诺函、业绩证明、资质、职称证书等相应原件的核查准备；核查后发现虚假或违背承诺的，依照相关法律法规规定处理。</w:t>
      </w:r>
    </w:p>
    <w:p w14:paraId="2FBDA077">
      <w:pPr>
        <w:pStyle w:val="20"/>
        <w:widowControl w:val="0"/>
        <w:adjustRightInd w:val="0"/>
        <w:spacing w:before="0" w:beforeAutospacing="0" w:after="0" w:afterAutospacing="0" w:line="360" w:lineRule="auto"/>
        <w:ind w:firstLine="360" w:firstLineChars="150"/>
        <w:rPr>
          <w:rFonts w:asciiTheme="minorEastAsia" w:hAnsiTheme="minorEastAsia"/>
          <w:color w:val="auto"/>
          <w:highlight w:val="none"/>
        </w:rPr>
      </w:pPr>
      <w:r>
        <w:rPr>
          <w:rFonts w:hint="eastAsia" w:asciiTheme="minorEastAsia" w:hAnsiTheme="minorEastAsia"/>
          <w:color w:val="auto"/>
          <w:highlight w:val="none"/>
        </w:rPr>
        <w:t>29</w:t>
      </w:r>
      <w:r>
        <w:rPr>
          <w:rFonts w:asciiTheme="minorEastAsia" w:hAnsiTheme="minorEastAsia"/>
          <w:color w:val="auto"/>
          <w:highlight w:val="none"/>
        </w:rPr>
        <w:t>.2磋商文件、成交供应商的响应文件及磋商过程中有关澄清、承诺文件均应作为合同附件。</w:t>
      </w:r>
    </w:p>
    <w:p w14:paraId="56AE3770">
      <w:pPr>
        <w:pStyle w:val="20"/>
        <w:widowControl w:val="0"/>
        <w:adjustRightInd w:val="0"/>
        <w:spacing w:before="0" w:beforeAutospacing="0" w:after="0" w:afterAutospacing="0" w:line="360" w:lineRule="auto"/>
        <w:ind w:firstLine="360" w:firstLineChars="150"/>
        <w:rPr>
          <w:b/>
          <w:bCs/>
          <w:color w:val="auto"/>
          <w:highlight w:val="none"/>
        </w:rPr>
      </w:pPr>
      <w:r>
        <w:rPr>
          <w:rFonts w:hint="eastAsia" w:asciiTheme="minorEastAsia" w:hAnsiTheme="minorEastAsia"/>
          <w:color w:val="auto"/>
          <w:highlight w:val="none"/>
        </w:rPr>
        <w:t>29</w:t>
      </w:r>
      <w:r>
        <w:rPr>
          <w:rFonts w:asciiTheme="minorEastAsia" w:hAnsiTheme="minorEastAsia"/>
          <w:color w:val="auto"/>
          <w:highlight w:val="none"/>
        </w:rPr>
        <w:t>.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14D4650E">
      <w:pPr>
        <w:adjustRightInd w:val="0"/>
        <w:snapToGrid w:val="0"/>
        <w:spacing w:line="360" w:lineRule="auto"/>
        <w:rPr>
          <w:rFonts w:ascii="黑体" w:hAnsi="宋体" w:eastAsia="黑体" w:cs="Times New Roman"/>
          <w:bCs/>
          <w:color w:val="auto"/>
          <w:kern w:val="0"/>
          <w:sz w:val="30"/>
          <w:szCs w:val="30"/>
          <w:highlight w:val="none"/>
        </w:rPr>
      </w:pPr>
      <w:r>
        <w:rPr>
          <w:rFonts w:hint="eastAsia" w:ascii="黑体" w:hAnsi="宋体" w:eastAsia="黑体" w:cs="Times New Roman"/>
          <w:bCs/>
          <w:color w:val="auto"/>
          <w:kern w:val="0"/>
          <w:sz w:val="30"/>
          <w:szCs w:val="30"/>
          <w:highlight w:val="none"/>
        </w:rPr>
        <w:t>30、</w:t>
      </w:r>
      <w:r>
        <w:rPr>
          <w:rFonts w:ascii="黑体" w:hAnsi="宋体" w:eastAsia="黑体" w:cs="Times New Roman"/>
          <w:bCs/>
          <w:color w:val="auto"/>
          <w:kern w:val="0"/>
          <w:sz w:val="30"/>
          <w:szCs w:val="30"/>
          <w:highlight w:val="none"/>
        </w:rPr>
        <w:t>货物和服务的追加、减少和添购。</w:t>
      </w:r>
    </w:p>
    <w:p w14:paraId="020CA1A2">
      <w:pPr>
        <w:adjustRightInd w:val="0"/>
        <w:snapToGrid w:val="0"/>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30</w:t>
      </w:r>
      <w:r>
        <w:rPr>
          <w:rFonts w:asciiTheme="minorEastAsia" w:hAnsiTheme="minorEastAsia"/>
          <w:color w:val="auto"/>
          <w:sz w:val="24"/>
          <w:highlight w:val="none"/>
        </w:rPr>
        <w:t>.1政府采购合同履行中，采购人需追加与合同标的相同的货物和服务的，在不改变合同其他条款的前提下，可以与成交供应商协商签订补充合同，但所有补充合同的采购金额不超过原合同金额10%。</w:t>
      </w:r>
    </w:p>
    <w:p w14:paraId="399EFE6B">
      <w:pPr>
        <w:adjustRightInd w:val="0"/>
        <w:snapToGrid w:val="0"/>
        <w:spacing w:line="360" w:lineRule="auto"/>
        <w:ind w:firstLine="480" w:firstLineChars="200"/>
        <w:outlineLvl w:val="3"/>
        <w:rPr>
          <w:rFonts w:asciiTheme="minorEastAsia" w:hAnsiTheme="minorEastAsia"/>
          <w:color w:val="auto"/>
          <w:sz w:val="24"/>
          <w:highlight w:val="none"/>
        </w:rPr>
      </w:pPr>
      <w:r>
        <w:rPr>
          <w:rFonts w:hint="eastAsia" w:asciiTheme="minorEastAsia" w:hAnsiTheme="minorEastAsia"/>
          <w:color w:val="auto"/>
          <w:sz w:val="24"/>
          <w:highlight w:val="none"/>
        </w:rPr>
        <w:t>30</w:t>
      </w:r>
      <w:r>
        <w:rPr>
          <w:rFonts w:asciiTheme="minorEastAsia" w:hAnsiTheme="minorEastAsia"/>
          <w:color w:val="auto"/>
          <w:sz w:val="24"/>
          <w:highlight w:val="none"/>
        </w:rPr>
        <w:t>.2采购结束后，采购人若由于各种客观原因，必须对采购项目所牵涉的货物和服务进行适当的减少时，在双方协商一致的前提下，可以按照采购时的价格水平做相应的调减，并据此签订补充合同。</w:t>
      </w:r>
    </w:p>
    <w:p w14:paraId="2C8DFB50">
      <w:pPr>
        <w:adjustRightInd w:val="0"/>
        <w:snapToGrid w:val="0"/>
        <w:spacing w:line="360" w:lineRule="auto"/>
        <w:rPr>
          <w:rFonts w:ascii="黑体" w:hAnsi="宋体" w:eastAsia="黑体" w:cs="Times New Roman"/>
          <w:bCs/>
          <w:color w:val="auto"/>
          <w:kern w:val="0"/>
          <w:sz w:val="30"/>
          <w:szCs w:val="30"/>
          <w:highlight w:val="none"/>
        </w:rPr>
      </w:pPr>
      <w:r>
        <w:rPr>
          <w:rFonts w:hint="eastAsia" w:ascii="黑体" w:hAnsi="宋体" w:eastAsia="黑体" w:cs="Times New Roman"/>
          <w:bCs/>
          <w:color w:val="auto"/>
          <w:kern w:val="0"/>
          <w:sz w:val="30"/>
          <w:szCs w:val="30"/>
          <w:highlight w:val="none"/>
        </w:rPr>
        <w:t>31、政府采购合同信用融资扶持政策</w:t>
      </w:r>
    </w:p>
    <w:p w14:paraId="2E111B9F">
      <w:pPr>
        <w:adjustRightInd w:val="0"/>
        <w:snapToGrid w:val="0"/>
        <w:spacing w:line="360" w:lineRule="auto"/>
        <w:ind w:firstLine="480" w:firstLineChars="200"/>
        <w:rPr>
          <w:rFonts w:cs="宋体" w:asciiTheme="minorEastAsia" w:hAnsiTheme="minorEastAsia"/>
          <w:color w:val="auto"/>
          <w:kern w:val="0"/>
          <w:sz w:val="24"/>
          <w:highlight w:val="none"/>
        </w:rPr>
      </w:pPr>
      <w:r>
        <w:rPr>
          <w:rFonts w:hint="eastAsia" w:asciiTheme="minorEastAsia" w:hAnsiTheme="minorEastAsia"/>
          <w:color w:val="auto"/>
          <w:sz w:val="24"/>
          <w:highlight w:val="none"/>
        </w:rPr>
        <w:t>31.</w:t>
      </w:r>
      <w:r>
        <w:rPr>
          <w:rFonts w:hint="eastAsia" w:cs="宋体" w:asciiTheme="minorEastAsia" w:hAnsiTheme="minorEastAsia"/>
          <w:color w:val="auto"/>
          <w:kern w:val="0"/>
          <w:sz w:val="24"/>
          <w:highlight w:val="none"/>
        </w:rPr>
        <w:t>1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p>
    <w:p w14:paraId="33B7ECC8">
      <w:pPr>
        <w:adjustRightInd w:val="0"/>
        <w:snapToGrid w:val="0"/>
        <w:spacing w:line="360" w:lineRule="auto"/>
        <w:ind w:firstLine="480" w:firstLineChars="200"/>
        <w:rPr>
          <w:rFonts w:asciiTheme="minorEastAsia" w:hAnsiTheme="minorEastAsia"/>
          <w:color w:val="auto"/>
          <w:sz w:val="24"/>
          <w:highlight w:val="none"/>
        </w:rPr>
      </w:pPr>
      <w:r>
        <w:rPr>
          <w:rFonts w:hint="eastAsia" w:cs="宋体" w:asciiTheme="minorEastAsia" w:hAnsiTheme="minorEastAsia"/>
          <w:color w:val="auto"/>
          <w:kern w:val="0"/>
          <w:sz w:val="24"/>
          <w:highlight w:val="none"/>
        </w:rPr>
        <w:t>31.2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p>
    <w:p w14:paraId="33440672">
      <w:pPr>
        <w:adjustRightInd w:val="0"/>
        <w:snapToGrid w:val="0"/>
        <w:spacing w:line="360" w:lineRule="auto"/>
        <w:rPr>
          <w:rFonts w:hint="eastAsia" w:ascii="黑体" w:hAnsi="宋体" w:eastAsia="黑体" w:cs="Times New Roman"/>
          <w:bCs/>
          <w:color w:val="auto"/>
          <w:kern w:val="0"/>
          <w:sz w:val="30"/>
          <w:szCs w:val="30"/>
          <w:highlight w:val="none"/>
          <w:lang w:val="en-US" w:eastAsia="zh-CN"/>
        </w:rPr>
      </w:pPr>
      <w:r>
        <w:rPr>
          <w:rFonts w:hint="eastAsia" w:ascii="黑体" w:hAnsi="宋体" w:eastAsia="黑体" w:cs="Times New Roman"/>
          <w:bCs/>
          <w:color w:val="auto"/>
          <w:kern w:val="0"/>
          <w:sz w:val="30"/>
          <w:szCs w:val="30"/>
          <w:highlight w:val="none"/>
          <w:lang w:val="en-US" w:eastAsia="zh-CN"/>
        </w:rPr>
        <w:t>32、电子投标文件要求</w:t>
      </w:r>
    </w:p>
    <w:p w14:paraId="4DD6084E">
      <w:pPr>
        <w:adjustRightInd w:val="0"/>
        <w:snapToGrid w:val="0"/>
        <w:spacing w:line="360" w:lineRule="auto"/>
        <w:ind w:firstLine="480" w:firstLineChars="200"/>
        <w:rPr>
          <w:rFonts w:hint="eastAsia"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3</w:t>
      </w:r>
      <w:r>
        <w:rPr>
          <w:rFonts w:hint="eastAsia" w:cs="宋体" w:asciiTheme="minorEastAsia" w:hAnsiTheme="minorEastAsia"/>
          <w:color w:val="auto"/>
          <w:kern w:val="0"/>
          <w:sz w:val="24"/>
          <w:highlight w:val="none"/>
          <w:lang w:val="en-US" w:eastAsia="zh-CN"/>
        </w:rPr>
        <w:t>2</w:t>
      </w:r>
      <w:r>
        <w:rPr>
          <w:rFonts w:hint="eastAsia" w:cs="宋体" w:asciiTheme="minorEastAsia" w:hAnsiTheme="minorEastAsia"/>
          <w:color w:val="auto"/>
          <w:kern w:val="0"/>
          <w:sz w:val="24"/>
          <w:highlight w:val="none"/>
        </w:rPr>
        <w:t>.1电子招标投标交易平台（即“苏采云”系统，网址：http://jszfcg.jsczt.cn/）相关要求是本招标文件的组成部分。</w:t>
      </w:r>
    </w:p>
    <w:p w14:paraId="2BE6C18C">
      <w:pPr>
        <w:adjustRightInd w:val="0"/>
        <w:snapToGrid w:val="0"/>
        <w:spacing w:line="360" w:lineRule="auto"/>
        <w:ind w:firstLine="480" w:firstLineChars="200"/>
        <w:rPr>
          <w:rFonts w:hint="eastAsia"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3</w:t>
      </w:r>
      <w:r>
        <w:rPr>
          <w:rFonts w:hint="eastAsia" w:cs="宋体" w:asciiTheme="minorEastAsia" w:hAnsiTheme="minorEastAsia"/>
          <w:color w:val="auto"/>
          <w:kern w:val="0"/>
          <w:sz w:val="24"/>
          <w:highlight w:val="none"/>
          <w:lang w:val="en-US" w:eastAsia="zh-CN"/>
        </w:rPr>
        <w:t>2</w:t>
      </w:r>
      <w:r>
        <w:rPr>
          <w:rFonts w:hint="eastAsia" w:cs="宋体" w:asciiTheme="minorEastAsia" w:hAnsiTheme="minorEastAsia"/>
          <w:color w:val="auto"/>
          <w:kern w:val="0"/>
          <w:sz w:val="24"/>
          <w:highlight w:val="none"/>
        </w:rPr>
        <w:t>.2投标人应对 CA 证书妥善保管，如被他人盗用投标，因此带来的结果均由投标人自行承担。</w:t>
      </w:r>
    </w:p>
    <w:p w14:paraId="43FFB7D6">
      <w:pPr>
        <w:adjustRightInd w:val="0"/>
        <w:snapToGrid w:val="0"/>
        <w:spacing w:line="360" w:lineRule="auto"/>
        <w:ind w:firstLine="480" w:firstLineChars="200"/>
        <w:rPr>
          <w:rFonts w:hint="eastAsia"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3</w:t>
      </w:r>
      <w:r>
        <w:rPr>
          <w:rFonts w:hint="eastAsia" w:cs="宋体" w:asciiTheme="minorEastAsia" w:hAnsiTheme="minorEastAsia"/>
          <w:color w:val="auto"/>
          <w:kern w:val="0"/>
          <w:sz w:val="24"/>
          <w:highlight w:val="none"/>
          <w:lang w:val="en-US" w:eastAsia="zh-CN"/>
        </w:rPr>
        <w:t>2</w:t>
      </w:r>
      <w:r>
        <w:rPr>
          <w:rFonts w:hint="eastAsia" w:cs="宋体" w:asciiTheme="minorEastAsia" w:hAnsiTheme="minorEastAsia"/>
          <w:color w:val="auto"/>
          <w:kern w:val="0"/>
          <w:sz w:val="24"/>
          <w:highlight w:val="none"/>
        </w:rPr>
        <w:t>.3投标人应当对招标文件提出的要求和条件作出实质性响应，并在电子投标系统逐条应答。</w:t>
      </w:r>
    </w:p>
    <w:p w14:paraId="7537EA34">
      <w:pPr>
        <w:adjustRightInd w:val="0"/>
        <w:snapToGrid w:val="0"/>
        <w:spacing w:line="360" w:lineRule="auto"/>
        <w:ind w:firstLine="480" w:firstLineChars="200"/>
        <w:rPr>
          <w:rFonts w:hint="eastAsia"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3</w:t>
      </w:r>
      <w:r>
        <w:rPr>
          <w:rFonts w:hint="eastAsia" w:cs="宋体" w:asciiTheme="minorEastAsia" w:hAnsiTheme="minorEastAsia"/>
          <w:color w:val="auto"/>
          <w:kern w:val="0"/>
          <w:sz w:val="24"/>
          <w:highlight w:val="none"/>
          <w:lang w:val="en-US" w:eastAsia="zh-CN"/>
        </w:rPr>
        <w:t>2</w:t>
      </w:r>
      <w:r>
        <w:rPr>
          <w:rFonts w:hint="eastAsia" w:cs="宋体" w:asciiTheme="minorEastAsia" w:hAnsiTheme="minorEastAsia"/>
          <w:color w:val="auto"/>
          <w:kern w:val="0"/>
          <w:sz w:val="24"/>
          <w:highlight w:val="none"/>
        </w:rPr>
        <w:t>.4投标人应对要求提供的资格证明文件（如资质证书、资格证书）、技术资料（如白皮书、彩页、手册等）扫描上传至投标系统。</w:t>
      </w:r>
    </w:p>
    <w:p w14:paraId="18D9ADB5">
      <w:pPr>
        <w:adjustRightInd w:val="0"/>
        <w:snapToGrid w:val="0"/>
        <w:spacing w:line="360" w:lineRule="auto"/>
        <w:ind w:firstLine="480" w:firstLineChars="200"/>
        <w:outlineLvl w:val="3"/>
        <w:rPr>
          <w:rFonts w:asciiTheme="minorEastAsia" w:hAnsiTheme="minorEastAsia"/>
          <w:color w:val="auto"/>
          <w:sz w:val="24"/>
          <w:highlight w:val="none"/>
        </w:rPr>
      </w:pPr>
    </w:p>
    <w:bookmarkEnd w:id="14"/>
    <w:bookmarkEnd w:id="15"/>
    <w:bookmarkEnd w:id="16"/>
    <w:p w14:paraId="52DFFE8D">
      <w:pPr>
        <w:keepNext/>
        <w:pageBreakBefore/>
        <w:spacing w:before="48" w:after="48" w:line="360" w:lineRule="auto"/>
        <w:ind w:firstLine="883"/>
        <w:jc w:val="center"/>
        <w:outlineLvl w:val="0"/>
        <w:rPr>
          <w:rFonts w:ascii="黑体" w:hAnsi="Courier New" w:eastAsia="黑体" w:cs="Times New Roman"/>
          <w:bCs/>
          <w:color w:val="auto"/>
          <w:kern w:val="0"/>
          <w:sz w:val="44"/>
          <w:szCs w:val="21"/>
          <w:highlight w:val="none"/>
        </w:rPr>
      </w:pPr>
      <w:r>
        <w:rPr>
          <w:rFonts w:hint="eastAsia" w:ascii="黑体" w:hAnsi="Courier New" w:eastAsia="黑体" w:cs="Times New Roman"/>
          <w:bCs/>
          <w:color w:val="auto"/>
          <w:kern w:val="0"/>
          <w:sz w:val="44"/>
          <w:szCs w:val="21"/>
          <w:highlight w:val="none"/>
        </w:rPr>
        <w:t xml:space="preserve">第三章  </w:t>
      </w:r>
      <w:r>
        <w:rPr>
          <w:rFonts w:ascii="黑体" w:hAnsi="Courier New" w:eastAsia="黑体" w:cs="Times New Roman"/>
          <w:bCs/>
          <w:color w:val="auto"/>
          <w:kern w:val="0"/>
          <w:sz w:val="44"/>
          <w:szCs w:val="21"/>
          <w:highlight w:val="none"/>
        </w:rPr>
        <w:t>项目需求</w:t>
      </w:r>
    </w:p>
    <w:p w14:paraId="1E2CEFBF">
      <w:pPr>
        <w:adjustRightInd w:val="0"/>
        <w:snapToGrid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一、采购标的清单</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2"/>
        <w:gridCol w:w="4079"/>
        <w:gridCol w:w="3902"/>
      </w:tblGrid>
      <w:tr w14:paraId="08C21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2" w:type="dxa"/>
            <w:vAlign w:val="center"/>
          </w:tcPr>
          <w:p w14:paraId="2B340053">
            <w:pPr>
              <w:spacing w:line="360"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分包</w:t>
            </w:r>
          </w:p>
        </w:tc>
        <w:tc>
          <w:tcPr>
            <w:tcW w:w="4079" w:type="dxa"/>
            <w:vAlign w:val="center"/>
          </w:tcPr>
          <w:p w14:paraId="3BDF1B36">
            <w:pPr>
              <w:spacing w:line="360"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采购标的</w:t>
            </w:r>
          </w:p>
        </w:tc>
        <w:tc>
          <w:tcPr>
            <w:tcW w:w="3902" w:type="dxa"/>
            <w:vAlign w:val="center"/>
          </w:tcPr>
          <w:p w14:paraId="7F8DEEEC">
            <w:pPr>
              <w:spacing w:line="360"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对应中小企业划分标准所属行业</w:t>
            </w:r>
          </w:p>
        </w:tc>
      </w:tr>
      <w:tr w14:paraId="65794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2" w:type="dxa"/>
            <w:vAlign w:val="center"/>
          </w:tcPr>
          <w:p w14:paraId="4116001D">
            <w:pPr>
              <w:spacing w:line="360"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w:t>
            </w:r>
          </w:p>
        </w:tc>
        <w:tc>
          <w:tcPr>
            <w:tcW w:w="4079" w:type="dxa"/>
            <w:vAlign w:val="center"/>
          </w:tcPr>
          <w:p w14:paraId="5081A1EA">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color w:val="auto"/>
                <w:sz w:val="24"/>
                <w:szCs w:val="24"/>
                <w:highlight w:val="none"/>
                <w:lang w:eastAsia="zh-CN"/>
              </w:rPr>
              <w:t>南通市市政设施管理处2026年度改性地聚合物注浆加固采购项目</w:t>
            </w:r>
          </w:p>
        </w:tc>
        <w:tc>
          <w:tcPr>
            <w:tcW w:w="3902" w:type="dxa"/>
            <w:vAlign w:val="center"/>
          </w:tcPr>
          <w:p w14:paraId="59219DF4">
            <w:pPr>
              <w:spacing w:line="360" w:lineRule="auto"/>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建筑业</w:t>
            </w:r>
          </w:p>
        </w:tc>
      </w:tr>
    </w:tbl>
    <w:p w14:paraId="6F13C156">
      <w:pPr>
        <w:snapToGrid w:val="0"/>
        <w:spacing w:before="48" w:after="48" w:line="360" w:lineRule="auto"/>
        <w:rPr>
          <w:rFonts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二、技术要求</w:t>
      </w:r>
    </w:p>
    <w:p w14:paraId="61BFC6D1">
      <w:pPr>
        <w:pBdr>
          <w:top w:val="none" w:color="000000" w:sz="0" w:space="0"/>
          <w:left w:val="none" w:color="000000" w:sz="0" w:space="0"/>
          <w:bottom w:val="none" w:color="000000" w:sz="0" w:space="0"/>
          <w:right w:val="none" w:color="000000" w:sz="0" w:space="0"/>
        </w:pBdr>
        <w:spacing w:line="360" w:lineRule="auto"/>
        <w:contextualSpacing/>
        <w:rPr>
          <w:rFonts w:ascii="宋体" w:hAnsi="宋体" w:eastAsia="宋体" w:cs="Times New Roman"/>
          <w:color w:val="auto"/>
          <w:szCs w:val="24"/>
          <w:highlight w:val="none"/>
        </w:rPr>
      </w:pPr>
      <w:r>
        <w:rPr>
          <w:rFonts w:hint="eastAsia" w:ascii="宋体" w:hAnsi="宋体" w:eastAsia="宋体" w:cs="宋体"/>
          <w:b/>
          <w:color w:val="auto"/>
          <w:sz w:val="24"/>
          <w:szCs w:val="24"/>
          <w:highlight w:val="none"/>
        </w:rPr>
        <w:t>（一）</w:t>
      </w:r>
      <w:r>
        <w:rPr>
          <w:rFonts w:ascii="宋体" w:hAnsi="宋体" w:eastAsia="宋体" w:cs="宋体"/>
          <w:b/>
          <w:color w:val="auto"/>
          <w:sz w:val="24"/>
          <w:szCs w:val="24"/>
          <w:highlight w:val="none"/>
        </w:rPr>
        <w:t>采购标的需实现的功能或者目标, 以及为落实政府采购政策需满足的要求</w:t>
      </w:r>
    </w:p>
    <w:p w14:paraId="1A93E7E2">
      <w:pPr>
        <w:widowControl/>
        <w:spacing w:before="48" w:after="48" w:line="360" w:lineRule="auto"/>
        <w:ind w:firstLine="480" w:firstLineChars="200"/>
        <w:contextualSpacing/>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1、通过实施南通市市政设施管理处改性地聚合物注浆加固专业工程，满足采购单位工作需要。</w:t>
      </w:r>
    </w:p>
    <w:p w14:paraId="3105AE61">
      <w:pPr>
        <w:widowControl/>
        <w:spacing w:before="48" w:after="48" w:line="360" w:lineRule="auto"/>
        <w:ind w:firstLine="480" w:firstLineChars="200"/>
        <w:contextualSpacing/>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2、特别提醒作为老城区重要交通道路改造项目，中标（成交）单位在实施工程中必须服从采购人的要求，及时组织施工，并充分考虑施工过程中的交通组织、夜间施工等因素。</w:t>
      </w:r>
    </w:p>
    <w:p w14:paraId="5E251F5B">
      <w:pPr>
        <w:pBdr>
          <w:top w:val="none" w:color="000000" w:sz="0" w:space="0"/>
          <w:left w:val="none" w:color="000000" w:sz="0" w:space="0"/>
          <w:bottom w:val="none" w:color="000000" w:sz="0" w:space="0"/>
          <w:right w:val="none" w:color="000000" w:sz="0" w:space="0"/>
        </w:pBdr>
        <w:spacing w:before="48" w:after="48" w:line="360" w:lineRule="auto"/>
        <w:ind w:left="105"/>
        <w:contextualSpacing/>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（二）采购标的需执行的国家相关标准、行业标准、地方标准或者其他标准、规范</w:t>
      </w:r>
    </w:p>
    <w:p w14:paraId="1EF7B163">
      <w:pPr>
        <w:spacing w:line="360" w:lineRule="auto"/>
        <w:ind w:firstLine="540" w:firstLineChars="225"/>
        <w:contextualSpacing/>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成交供应商所提供的</w:t>
      </w:r>
      <w:r>
        <w:rPr>
          <w:rFonts w:ascii="宋体" w:hAnsi="宋体" w:eastAsia="宋体" w:cs="Times New Roman"/>
          <w:color w:val="auto"/>
          <w:sz w:val="24"/>
          <w:szCs w:val="24"/>
          <w:highlight w:val="none"/>
        </w:rPr>
        <w:t>改性地聚合物材料</w:t>
      </w:r>
      <w:r>
        <w:rPr>
          <w:rFonts w:hint="eastAsia" w:ascii="宋体" w:hAnsi="宋体" w:eastAsia="宋体" w:cs="Times New Roman"/>
          <w:color w:val="auto"/>
          <w:sz w:val="24"/>
          <w:szCs w:val="24"/>
          <w:highlight w:val="none"/>
        </w:rPr>
        <w:t>必须符合《城镇道路改性地聚物注浆加固技术规程》（DGJ32/TJ225-2017）相关要求、施工须符合《城镇道路工程施工与质量验收规范》（CJJ 1-2008）相关要求。</w:t>
      </w:r>
    </w:p>
    <w:p w14:paraId="7F1D2AEB">
      <w:pPr>
        <w:pBdr>
          <w:top w:val="none" w:color="000000" w:sz="0" w:space="0"/>
          <w:left w:val="none" w:color="000000" w:sz="0" w:space="0"/>
          <w:bottom w:val="none" w:color="000000" w:sz="0" w:space="0"/>
          <w:right w:val="none" w:color="000000" w:sz="0" w:space="0"/>
        </w:pBdr>
        <w:spacing w:before="48" w:after="48" w:line="360" w:lineRule="auto"/>
        <w:contextualSpacing/>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（三）采购标的需满足的质量、安全、技术规格、物理特性等要求</w:t>
      </w:r>
    </w:p>
    <w:p w14:paraId="197DE297">
      <w:pPr>
        <w:spacing w:line="360" w:lineRule="auto"/>
        <w:ind w:firstLine="480"/>
        <w:contextualSpacing/>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1、</w:t>
      </w:r>
      <w:r>
        <w:rPr>
          <w:rFonts w:ascii="宋体" w:hAnsi="宋体" w:eastAsia="宋体" w:cs="宋体"/>
          <w:b/>
          <w:bCs/>
          <w:color w:val="auto"/>
          <w:kern w:val="0"/>
          <w:sz w:val="24"/>
          <w:highlight w:val="none"/>
        </w:rPr>
        <w:t>改性地聚合物注浆材料主要技术性能指标应符合下表</w:t>
      </w:r>
      <w:r>
        <w:rPr>
          <w:rFonts w:hint="eastAsia" w:ascii="宋体" w:hAnsi="宋体" w:eastAsia="宋体" w:cs="宋体"/>
          <w:b/>
          <w:bCs/>
          <w:color w:val="auto"/>
          <w:kern w:val="0"/>
          <w:sz w:val="24"/>
          <w:highlight w:val="none"/>
          <w:lang w:val="en-US" w:eastAsia="zh-CN"/>
        </w:rPr>
        <w:t>3.1</w:t>
      </w:r>
      <w:r>
        <w:rPr>
          <w:rFonts w:ascii="宋体" w:hAnsi="宋体" w:eastAsia="宋体" w:cs="宋体"/>
          <w:b/>
          <w:bCs/>
          <w:color w:val="auto"/>
          <w:kern w:val="0"/>
          <w:sz w:val="24"/>
          <w:highlight w:val="none"/>
        </w:rPr>
        <w:t>的规定</w:t>
      </w:r>
    </w:p>
    <w:tbl>
      <w:tblPr>
        <w:tblStyle w:val="23"/>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814"/>
        <w:gridCol w:w="2752"/>
        <w:gridCol w:w="666"/>
        <w:gridCol w:w="2025"/>
        <w:gridCol w:w="1815"/>
      </w:tblGrid>
      <w:tr w14:paraId="1C3750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4566" w:type="dxa"/>
            <w:gridSpan w:val="2"/>
            <w:vMerge w:val="restart"/>
            <w:vAlign w:val="center"/>
          </w:tcPr>
          <w:p w14:paraId="468BC18B">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项目</w:t>
            </w:r>
          </w:p>
        </w:tc>
        <w:tc>
          <w:tcPr>
            <w:tcW w:w="666" w:type="dxa"/>
            <w:vMerge w:val="restart"/>
            <w:vAlign w:val="center"/>
          </w:tcPr>
          <w:p w14:paraId="687E905A">
            <w:pPr>
              <w:rPr>
                <w:rFonts w:ascii="宋体" w:hAnsi="宋体" w:eastAsia="等线" w:cs="宋体"/>
                <w:color w:val="auto"/>
                <w:kern w:val="0"/>
                <w:szCs w:val="21"/>
                <w:highlight w:val="none"/>
              </w:rPr>
            </w:pPr>
            <w:r>
              <w:rPr>
                <w:rFonts w:ascii="宋体" w:hAnsi="宋体" w:eastAsia="等线" w:cs="宋体"/>
                <w:color w:val="auto"/>
                <w:kern w:val="0"/>
                <w:szCs w:val="21"/>
                <w:highlight w:val="none"/>
              </w:rPr>
              <w:t>单位</w:t>
            </w:r>
          </w:p>
        </w:tc>
        <w:tc>
          <w:tcPr>
            <w:tcW w:w="3840" w:type="dxa"/>
            <w:gridSpan w:val="2"/>
            <w:vAlign w:val="center"/>
          </w:tcPr>
          <w:p w14:paraId="14D3E7EF">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性能指标</w:t>
            </w:r>
          </w:p>
        </w:tc>
      </w:tr>
      <w:tr w14:paraId="50D9B9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66" w:type="dxa"/>
            <w:gridSpan w:val="2"/>
            <w:vMerge w:val="continue"/>
            <w:vAlign w:val="center"/>
          </w:tcPr>
          <w:p w14:paraId="279390E6">
            <w:pPr>
              <w:ind w:firstLine="480"/>
              <w:rPr>
                <w:rFonts w:ascii="宋体" w:hAnsi="宋体" w:eastAsia="等线" w:cs="宋体"/>
                <w:color w:val="auto"/>
                <w:kern w:val="0"/>
                <w:szCs w:val="21"/>
                <w:highlight w:val="none"/>
              </w:rPr>
            </w:pPr>
          </w:p>
        </w:tc>
        <w:tc>
          <w:tcPr>
            <w:tcW w:w="666" w:type="dxa"/>
            <w:vMerge w:val="continue"/>
            <w:vAlign w:val="center"/>
          </w:tcPr>
          <w:p w14:paraId="2B17A5A6">
            <w:pPr>
              <w:ind w:firstLine="480"/>
              <w:rPr>
                <w:rFonts w:ascii="宋体" w:hAnsi="宋体" w:eastAsia="等线" w:cs="宋体"/>
                <w:color w:val="auto"/>
                <w:kern w:val="0"/>
                <w:szCs w:val="21"/>
                <w:highlight w:val="none"/>
              </w:rPr>
            </w:pPr>
          </w:p>
        </w:tc>
        <w:tc>
          <w:tcPr>
            <w:tcW w:w="2025" w:type="dxa"/>
            <w:vAlign w:val="center"/>
          </w:tcPr>
          <w:p w14:paraId="1EFCFFAA">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普通型</w:t>
            </w:r>
          </w:p>
        </w:tc>
        <w:tc>
          <w:tcPr>
            <w:tcW w:w="1815" w:type="dxa"/>
            <w:vAlign w:val="center"/>
          </w:tcPr>
          <w:p w14:paraId="412E7532">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早强型</w:t>
            </w:r>
          </w:p>
        </w:tc>
      </w:tr>
      <w:tr w14:paraId="26C192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814" w:type="dxa"/>
            <w:vMerge w:val="restart"/>
            <w:vAlign w:val="center"/>
          </w:tcPr>
          <w:p w14:paraId="43C20036">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流动度</w:t>
            </w:r>
          </w:p>
        </w:tc>
        <w:tc>
          <w:tcPr>
            <w:tcW w:w="2752" w:type="dxa"/>
            <w:vAlign w:val="center"/>
          </w:tcPr>
          <w:p w14:paraId="3C07A4D5">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初始</w:t>
            </w:r>
          </w:p>
        </w:tc>
        <w:tc>
          <w:tcPr>
            <w:tcW w:w="666" w:type="dxa"/>
            <w:vMerge w:val="restart"/>
            <w:vAlign w:val="center"/>
          </w:tcPr>
          <w:p w14:paraId="28DF2622">
            <w:pPr>
              <w:jc w:val="center"/>
              <w:rPr>
                <w:rFonts w:ascii="宋体" w:hAnsi="宋体" w:eastAsia="等线" w:cs="宋体"/>
                <w:color w:val="auto"/>
                <w:kern w:val="0"/>
                <w:szCs w:val="21"/>
                <w:highlight w:val="none"/>
              </w:rPr>
            </w:pPr>
            <w:r>
              <w:rPr>
                <w:rFonts w:ascii="宋体" w:hAnsi="宋体" w:eastAsia="等线" w:cs="宋体"/>
                <w:color w:val="auto"/>
                <w:kern w:val="0"/>
                <w:szCs w:val="21"/>
                <w:highlight w:val="none"/>
              </w:rPr>
              <w:t>s</w:t>
            </w:r>
          </w:p>
        </w:tc>
        <w:tc>
          <w:tcPr>
            <w:tcW w:w="3840" w:type="dxa"/>
            <w:gridSpan w:val="2"/>
            <w:vAlign w:val="center"/>
          </w:tcPr>
          <w:p w14:paraId="22700990">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18土4</w:t>
            </w:r>
          </w:p>
        </w:tc>
      </w:tr>
      <w:tr w14:paraId="38E591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814" w:type="dxa"/>
            <w:vMerge w:val="continue"/>
            <w:vAlign w:val="center"/>
          </w:tcPr>
          <w:p w14:paraId="59CB8212">
            <w:pPr>
              <w:ind w:firstLine="480"/>
              <w:rPr>
                <w:rFonts w:ascii="宋体" w:hAnsi="宋体" w:eastAsia="等线" w:cs="宋体"/>
                <w:color w:val="auto"/>
                <w:kern w:val="0"/>
                <w:szCs w:val="21"/>
                <w:highlight w:val="none"/>
              </w:rPr>
            </w:pPr>
          </w:p>
        </w:tc>
        <w:tc>
          <w:tcPr>
            <w:tcW w:w="2752" w:type="dxa"/>
            <w:vAlign w:val="center"/>
          </w:tcPr>
          <w:p w14:paraId="09A1E156">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15min</w:t>
            </w:r>
          </w:p>
        </w:tc>
        <w:tc>
          <w:tcPr>
            <w:tcW w:w="666" w:type="dxa"/>
            <w:vMerge w:val="continue"/>
            <w:vAlign w:val="center"/>
          </w:tcPr>
          <w:p w14:paraId="3A0C64CE">
            <w:pPr>
              <w:ind w:firstLine="480"/>
              <w:jc w:val="center"/>
              <w:rPr>
                <w:rFonts w:ascii="宋体" w:hAnsi="宋体" w:eastAsia="等线" w:cs="宋体"/>
                <w:color w:val="auto"/>
                <w:kern w:val="0"/>
                <w:szCs w:val="21"/>
                <w:highlight w:val="none"/>
              </w:rPr>
            </w:pPr>
          </w:p>
        </w:tc>
        <w:tc>
          <w:tcPr>
            <w:tcW w:w="2025" w:type="dxa"/>
            <w:vAlign w:val="center"/>
          </w:tcPr>
          <w:p w14:paraId="5A7AC6FA">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w:t>
            </w:r>
          </w:p>
        </w:tc>
        <w:tc>
          <w:tcPr>
            <w:tcW w:w="1815" w:type="dxa"/>
            <w:vAlign w:val="center"/>
          </w:tcPr>
          <w:p w14:paraId="7ADFCA69">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≤30</w:t>
            </w:r>
          </w:p>
        </w:tc>
      </w:tr>
      <w:tr w14:paraId="758D27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814" w:type="dxa"/>
            <w:vMerge w:val="continue"/>
            <w:vAlign w:val="center"/>
          </w:tcPr>
          <w:p w14:paraId="6476E7C6">
            <w:pPr>
              <w:ind w:firstLine="480"/>
              <w:rPr>
                <w:rFonts w:ascii="宋体" w:hAnsi="宋体" w:eastAsia="等线" w:cs="宋体"/>
                <w:color w:val="auto"/>
                <w:kern w:val="0"/>
                <w:szCs w:val="21"/>
                <w:highlight w:val="none"/>
              </w:rPr>
            </w:pPr>
          </w:p>
        </w:tc>
        <w:tc>
          <w:tcPr>
            <w:tcW w:w="2752" w:type="dxa"/>
            <w:vAlign w:val="center"/>
          </w:tcPr>
          <w:p w14:paraId="1DE1C7C5">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30min</w:t>
            </w:r>
          </w:p>
        </w:tc>
        <w:tc>
          <w:tcPr>
            <w:tcW w:w="666" w:type="dxa"/>
            <w:vMerge w:val="continue"/>
            <w:vAlign w:val="center"/>
          </w:tcPr>
          <w:p w14:paraId="74F7F6F3">
            <w:pPr>
              <w:ind w:firstLine="480"/>
              <w:jc w:val="center"/>
              <w:rPr>
                <w:rFonts w:ascii="宋体" w:hAnsi="宋体" w:eastAsia="等线" w:cs="宋体"/>
                <w:color w:val="auto"/>
                <w:kern w:val="0"/>
                <w:szCs w:val="21"/>
                <w:highlight w:val="none"/>
              </w:rPr>
            </w:pPr>
          </w:p>
        </w:tc>
        <w:tc>
          <w:tcPr>
            <w:tcW w:w="2025" w:type="dxa"/>
            <w:vAlign w:val="center"/>
          </w:tcPr>
          <w:p w14:paraId="23B05DD1">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≤30</w:t>
            </w:r>
          </w:p>
        </w:tc>
        <w:tc>
          <w:tcPr>
            <w:tcW w:w="1815" w:type="dxa"/>
            <w:vAlign w:val="center"/>
          </w:tcPr>
          <w:p w14:paraId="7F47F709">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w:t>
            </w:r>
          </w:p>
        </w:tc>
      </w:tr>
      <w:tr w14:paraId="48E94E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814" w:type="dxa"/>
            <w:vMerge w:val="restart"/>
            <w:vAlign w:val="center"/>
          </w:tcPr>
          <w:p w14:paraId="61ED1339">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凝结时间</w:t>
            </w:r>
          </w:p>
        </w:tc>
        <w:tc>
          <w:tcPr>
            <w:tcW w:w="2752" w:type="dxa"/>
            <w:vAlign w:val="center"/>
          </w:tcPr>
          <w:p w14:paraId="12261217">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初凝</w:t>
            </w:r>
          </w:p>
        </w:tc>
        <w:tc>
          <w:tcPr>
            <w:tcW w:w="666" w:type="dxa"/>
            <w:vMerge w:val="restart"/>
            <w:vAlign w:val="center"/>
          </w:tcPr>
          <w:p w14:paraId="4A141A8F">
            <w:pPr>
              <w:jc w:val="center"/>
              <w:rPr>
                <w:rFonts w:ascii="宋体" w:hAnsi="宋体" w:eastAsia="等线" w:cs="宋体"/>
                <w:color w:val="auto"/>
                <w:kern w:val="0"/>
                <w:szCs w:val="21"/>
                <w:highlight w:val="none"/>
              </w:rPr>
            </w:pPr>
            <w:r>
              <w:rPr>
                <w:rFonts w:ascii="宋体" w:hAnsi="宋体" w:eastAsia="等线" w:cs="宋体"/>
                <w:color w:val="auto"/>
                <w:kern w:val="0"/>
                <w:szCs w:val="21"/>
                <w:highlight w:val="none"/>
              </w:rPr>
              <w:t>min</w:t>
            </w:r>
          </w:p>
        </w:tc>
        <w:tc>
          <w:tcPr>
            <w:tcW w:w="2025" w:type="dxa"/>
            <w:vAlign w:val="center"/>
          </w:tcPr>
          <w:p w14:paraId="3F83A0A4">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≥60</w:t>
            </w:r>
          </w:p>
        </w:tc>
        <w:tc>
          <w:tcPr>
            <w:tcW w:w="1815" w:type="dxa"/>
            <w:vAlign w:val="center"/>
          </w:tcPr>
          <w:p w14:paraId="49E2BE8A">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≥40</w:t>
            </w:r>
          </w:p>
        </w:tc>
      </w:tr>
      <w:tr w14:paraId="22F615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814" w:type="dxa"/>
            <w:vMerge w:val="continue"/>
            <w:vAlign w:val="center"/>
          </w:tcPr>
          <w:p w14:paraId="6B437162">
            <w:pPr>
              <w:ind w:firstLine="480"/>
              <w:rPr>
                <w:rFonts w:ascii="宋体" w:hAnsi="宋体" w:eastAsia="等线" w:cs="宋体"/>
                <w:color w:val="auto"/>
                <w:kern w:val="0"/>
                <w:szCs w:val="21"/>
                <w:highlight w:val="none"/>
              </w:rPr>
            </w:pPr>
          </w:p>
        </w:tc>
        <w:tc>
          <w:tcPr>
            <w:tcW w:w="2752" w:type="dxa"/>
            <w:vAlign w:val="center"/>
          </w:tcPr>
          <w:p w14:paraId="4AA8EF8A">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终凝</w:t>
            </w:r>
          </w:p>
        </w:tc>
        <w:tc>
          <w:tcPr>
            <w:tcW w:w="666" w:type="dxa"/>
            <w:vMerge w:val="continue"/>
            <w:vAlign w:val="center"/>
          </w:tcPr>
          <w:p w14:paraId="64E87541">
            <w:pPr>
              <w:ind w:firstLine="480"/>
              <w:jc w:val="center"/>
              <w:rPr>
                <w:rFonts w:ascii="宋体" w:hAnsi="宋体" w:eastAsia="等线" w:cs="宋体"/>
                <w:color w:val="auto"/>
                <w:kern w:val="0"/>
                <w:szCs w:val="21"/>
                <w:highlight w:val="none"/>
              </w:rPr>
            </w:pPr>
          </w:p>
        </w:tc>
        <w:tc>
          <w:tcPr>
            <w:tcW w:w="2025" w:type="dxa"/>
            <w:vAlign w:val="center"/>
          </w:tcPr>
          <w:p w14:paraId="72AD5407">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≤400</w:t>
            </w:r>
          </w:p>
        </w:tc>
        <w:tc>
          <w:tcPr>
            <w:tcW w:w="1815" w:type="dxa"/>
            <w:vAlign w:val="center"/>
          </w:tcPr>
          <w:p w14:paraId="67639F84">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≤120</w:t>
            </w:r>
          </w:p>
        </w:tc>
      </w:tr>
      <w:tr w14:paraId="725FD4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814" w:type="dxa"/>
            <w:vMerge w:val="restart"/>
            <w:vAlign w:val="center"/>
          </w:tcPr>
          <w:p w14:paraId="0FF87A55">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泌水率</w:t>
            </w:r>
          </w:p>
        </w:tc>
        <w:tc>
          <w:tcPr>
            <w:tcW w:w="2752" w:type="dxa"/>
            <w:vAlign w:val="center"/>
          </w:tcPr>
          <w:p w14:paraId="056BEE83">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自由泌水率</w:t>
            </w:r>
          </w:p>
        </w:tc>
        <w:tc>
          <w:tcPr>
            <w:tcW w:w="666" w:type="dxa"/>
            <w:vMerge w:val="restart"/>
            <w:vAlign w:val="center"/>
          </w:tcPr>
          <w:p w14:paraId="125682C8">
            <w:pPr>
              <w:jc w:val="center"/>
              <w:rPr>
                <w:rFonts w:ascii="宋体" w:hAnsi="宋体" w:eastAsia="等线" w:cs="宋体"/>
                <w:color w:val="auto"/>
                <w:kern w:val="0"/>
                <w:szCs w:val="21"/>
                <w:highlight w:val="none"/>
              </w:rPr>
            </w:pPr>
            <w:r>
              <w:rPr>
                <w:rFonts w:ascii="宋体" w:hAnsi="宋体" w:eastAsia="等线" w:cs="宋体"/>
                <w:color w:val="auto"/>
                <w:kern w:val="0"/>
                <w:szCs w:val="21"/>
                <w:highlight w:val="none"/>
              </w:rPr>
              <w:t>%</w:t>
            </w:r>
          </w:p>
        </w:tc>
        <w:tc>
          <w:tcPr>
            <w:tcW w:w="3840" w:type="dxa"/>
            <w:gridSpan w:val="2"/>
            <w:vAlign w:val="center"/>
          </w:tcPr>
          <w:p w14:paraId="06042388">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≤0.4</w:t>
            </w:r>
          </w:p>
        </w:tc>
      </w:tr>
      <w:tr w14:paraId="03C9D8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814" w:type="dxa"/>
            <w:vMerge w:val="continue"/>
            <w:vAlign w:val="center"/>
          </w:tcPr>
          <w:p w14:paraId="123F2414">
            <w:pPr>
              <w:ind w:firstLine="480"/>
              <w:rPr>
                <w:rFonts w:ascii="宋体" w:hAnsi="宋体" w:eastAsia="等线" w:cs="宋体"/>
                <w:color w:val="auto"/>
                <w:kern w:val="0"/>
                <w:szCs w:val="21"/>
                <w:highlight w:val="none"/>
              </w:rPr>
            </w:pPr>
          </w:p>
        </w:tc>
        <w:tc>
          <w:tcPr>
            <w:tcW w:w="2752" w:type="dxa"/>
            <w:vAlign w:val="center"/>
          </w:tcPr>
          <w:p w14:paraId="3DDE78A3">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压力泌水率(0.36MPa)</w:t>
            </w:r>
          </w:p>
        </w:tc>
        <w:tc>
          <w:tcPr>
            <w:tcW w:w="666" w:type="dxa"/>
            <w:vMerge w:val="continue"/>
            <w:vAlign w:val="center"/>
          </w:tcPr>
          <w:p w14:paraId="138398D7">
            <w:pPr>
              <w:ind w:firstLine="480"/>
              <w:jc w:val="center"/>
              <w:rPr>
                <w:rFonts w:ascii="宋体" w:hAnsi="宋体" w:eastAsia="等线" w:cs="宋体"/>
                <w:color w:val="auto"/>
                <w:kern w:val="0"/>
                <w:szCs w:val="21"/>
                <w:highlight w:val="none"/>
              </w:rPr>
            </w:pPr>
          </w:p>
        </w:tc>
        <w:tc>
          <w:tcPr>
            <w:tcW w:w="3840" w:type="dxa"/>
            <w:gridSpan w:val="2"/>
            <w:vAlign w:val="center"/>
          </w:tcPr>
          <w:p w14:paraId="22C377F0">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≤3.5</w:t>
            </w:r>
          </w:p>
        </w:tc>
      </w:tr>
      <w:tr w14:paraId="762D77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1814" w:type="dxa"/>
            <w:vMerge w:val="restart"/>
            <w:vAlign w:val="center"/>
          </w:tcPr>
          <w:p w14:paraId="0F24B8A0">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抗压强度</w:t>
            </w:r>
          </w:p>
        </w:tc>
        <w:tc>
          <w:tcPr>
            <w:tcW w:w="2752" w:type="dxa"/>
            <w:vAlign w:val="center"/>
          </w:tcPr>
          <w:p w14:paraId="65CC3B56">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6h</w:t>
            </w:r>
          </w:p>
        </w:tc>
        <w:tc>
          <w:tcPr>
            <w:tcW w:w="666" w:type="dxa"/>
            <w:vMerge w:val="restart"/>
            <w:vAlign w:val="center"/>
          </w:tcPr>
          <w:p w14:paraId="27CB76EA">
            <w:pPr>
              <w:jc w:val="center"/>
              <w:rPr>
                <w:rFonts w:ascii="宋体" w:hAnsi="宋体" w:eastAsia="等线" w:cs="宋体"/>
                <w:color w:val="auto"/>
                <w:kern w:val="0"/>
                <w:szCs w:val="21"/>
                <w:highlight w:val="none"/>
              </w:rPr>
            </w:pPr>
            <w:r>
              <w:rPr>
                <w:rFonts w:ascii="宋体" w:hAnsi="宋体" w:eastAsia="等线" w:cs="宋体"/>
                <w:color w:val="auto"/>
                <w:kern w:val="0"/>
                <w:szCs w:val="21"/>
                <w:highlight w:val="none"/>
              </w:rPr>
              <w:t>MPa</w:t>
            </w:r>
          </w:p>
        </w:tc>
        <w:tc>
          <w:tcPr>
            <w:tcW w:w="2025" w:type="dxa"/>
            <w:vAlign w:val="center"/>
          </w:tcPr>
          <w:p w14:paraId="2FA2600E">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w:t>
            </w:r>
          </w:p>
        </w:tc>
        <w:tc>
          <w:tcPr>
            <w:tcW w:w="1815" w:type="dxa"/>
            <w:vAlign w:val="center"/>
          </w:tcPr>
          <w:p w14:paraId="5355D4A1">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≥20.0</w:t>
            </w:r>
          </w:p>
        </w:tc>
      </w:tr>
      <w:tr w14:paraId="6C3D37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814" w:type="dxa"/>
            <w:vMerge w:val="continue"/>
            <w:vAlign w:val="center"/>
          </w:tcPr>
          <w:p w14:paraId="17CCB56E">
            <w:pPr>
              <w:ind w:firstLine="480"/>
              <w:rPr>
                <w:rFonts w:ascii="宋体" w:hAnsi="宋体" w:eastAsia="等线" w:cs="宋体"/>
                <w:color w:val="auto"/>
                <w:kern w:val="0"/>
                <w:szCs w:val="21"/>
                <w:highlight w:val="none"/>
              </w:rPr>
            </w:pPr>
          </w:p>
        </w:tc>
        <w:tc>
          <w:tcPr>
            <w:tcW w:w="2752" w:type="dxa"/>
            <w:vAlign w:val="center"/>
          </w:tcPr>
          <w:p w14:paraId="71346723">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1d</w:t>
            </w:r>
          </w:p>
        </w:tc>
        <w:tc>
          <w:tcPr>
            <w:tcW w:w="666" w:type="dxa"/>
            <w:vMerge w:val="continue"/>
            <w:vAlign w:val="center"/>
          </w:tcPr>
          <w:p w14:paraId="0A7F342A">
            <w:pPr>
              <w:ind w:firstLine="480"/>
              <w:jc w:val="center"/>
              <w:rPr>
                <w:rFonts w:ascii="宋体" w:hAnsi="宋体" w:eastAsia="等线" w:cs="宋体"/>
                <w:color w:val="auto"/>
                <w:kern w:val="0"/>
                <w:szCs w:val="21"/>
                <w:highlight w:val="none"/>
              </w:rPr>
            </w:pPr>
          </w:p>
        </w:tc>
        <w:tc>
          <w:tcPr>
            <w:tcW w:w="2025" w:type="dxa"/>
            <w:vAlign w:val="center"/>
          </w:tcPr>
          <w:p w14:paraId="3F5B87EC">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≥5.0</w:t>
            </w:r>
          </w:p>
        </w:tc>
        <w:tc>
          <w:tcPr>
            <w:tcW w:w="1815" w:type="dxa"/>
            <w:vAlign w:val="center"/>
          </w:tcPr>
          <w:p w14:paraId="0C6165D2">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≥30.0</w:t>
            </w:r>
          </w:p>
        </w:tc>
      </w:tr>
      <w:tr w14:paraId="68B2DB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814" w:type="dxa"/>
            <w:vMerge w:val="continue"/>
            <w:vAlign w:val="center"/>
          </w:tcPr>
          <w:p w14:paraId="719D2793">
            <w:pPr>
              <w:ind w:firstLine="480"/>
              <w:rPr>
                <w:rFonts w:ascii="宋体" w:hAnsi="宋体" w:eastAsia="等线" w:cs="宋体"/>
                <w:color w:val="auto"/>
                <w:kern w:val="0"/>
                <w:szCs w:val="21"/>
                <w:highlight w:val="none"/>
              </w:rPr>
            </w:pPr>
          </w:p>
        </w:tc>
        <w:tc>
          <w:tcPr>
            <w:tcW w:w="2752" w:type="dxa"/>
            <w:vAlign w:val="center"/>
          </w:tcPr>
          <w:p w14:paraId="6EE7D820">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3d</w:t>
            </w:r>
          </w:p>
        </w:tc>
        <w:tc>
          <w:tcPr>
            <w:tcW w:w="666" w:type="dxa"/>
            <w:vMerge w:val="continue"/>
            <w:vAlign w:val="center"/>
          </w:tcPr>
          <w:p w14:paraId="1520AF24">
            <w:pPr>
              <w:ind w:firstLine="480"/>
              <w:jc w:val="center"/>
              <w:rPr>
                <w:rFonts w:ascii="宋体" w:hAnsi="宋体" w:eastAsia="等线" w:cs="宋体"/>
                <w:color w:val="auto"/>
                <w:kern w:val="0"/>
                <w:szCs w:val="21"/>
                <w:highlight w:val="none"/>
              </w:rPr>
            </w:pPr>
          </w:p>
        </w:tc>
        <w:tc>
          <w:tcPr>
            <w:tcW w:w="2025" w:type="dxa"/>
            <w:vAlign w:val="center"/>
          </w:tcPr>
          <w:p w14:paraId="1D3125CF">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≥20.0</w:t>
            </w:r>
          </w:p>
        </w:tc>
        <w:tc>
          <w:tcPr>
            <w:tcW w:w="1815" w:type="dxa"/>
            <w:vAlign w:val="center"/>
          </w:tcPr>
          <w:p w14:paraId="1582D88E">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w:t>
            </w:r>
          </w:p>
        </w:tc>
      </w:tr>
      <w:tr w14:paraId="56EBAC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4" w:hRule="atLeast"/>
          <w:jc w:val="center"/>
        </w:trPr>
        <w:tc>
          <w:tcPr>
            <w:tcW w:w="1814" w:type="dxa"/>
            <w:vMerge w:val="continue"/>
            <w:vAlign w:val="center"/>
          </w:tcPr>
          <w:p w14:paraId="6DF12479">
            <w:pPr>
              <w:ind w:firstLine="480"/>
              <w:rPr>
                <w:rFonts w:ascii="宋体" w:hAnsi="宋体" w:eastAsia="等线" w:cs="宋体"/>
                <w:color w:val="auto"/>
                <w:kern w:val="0"/>
                <w:szCs w:val="21"/>
                <w:highlight w:val="none"/>
              </w:rPr>
            </w:pPr>
          </w:p>
        </w:tc>
        <w:tc>
          <w:tcPr>
            <w:tcW w:w="2752" w:type="dxa"/>
            <w:vAlign w:val="center"/>
          </w:tcPr>
          <w:p w14:paraId="1B6D2C6D">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28d</w:t>
            </w:r>
          </w:p>
        </w:tc>
        <w:tc>
          <w:tcPr>
            <w:tcW w:w="666" w:type="dxa"/>
            <w:vMerge w:val="continue"/>
            <w:vAlign w:val="center"/>
          </w:tcPr>
          <w:p w14:paraId="14A9423C">
            <w:pPr>
              <w:ind w:firstLine="480"/>
              <w:jc w:val="center"/>
              <w:rPr>
                <w:rFonts w:ascii="宋体" w:hAnsi="宋体" w:eastAsia="等线" w:cs="宋体"/>
                <w:color w:val="auto"/>
                <w:kern w:val="0"/>
                <w:szCs w:val="21"/>
                <w:highlight w:val="none"/>
              </w:rPr>
            </w:pPr>
          </w:p>
        </w:tc>
        <w:tc>
          <w:tcPr>
            <w:tcW w:w="2025" w:type="dxa"/>
            <w:vAlign w:val="center"/>
          </w:tcPr>
          <w:p w14:paraId="10391821">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≥40.0</w:t>
            </w:r>
          </w:p>
        </w:tc>
        <w:tc>
          <w:tcPr>
            <w:tcW w:w="1815" w:type="dxa"/>
            <w:vAlign w:val="center"/>
          </w:tcPr>
          <w:p w14:paraId="151D5AB0">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≥40.0</w:t>
            </w:r>
          </w:p>
        </w:tc>
      </w:tr>
      <w:tr w14:paraId="4A9185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4566" w:type="dxa"/>
            <w:gridSpan w:val="2"/>
            <w:vAlign w:val="center"/>
          </w:tcPr>
          <w:p w14:paraId="5A3A80E2">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24h自由膨胀率</w:t>
            </w:r>
          </w:p>
        </w:tc>
        <w:tc>
          <w:tcPr>
            <w:tcW w:w="666" w:type="dxa"/>
            <w:vAlign w:val="center"/>
          </w:tcPr>
          <w:p w14:paraId="4C89EBF5">
            <w:pPr>
              <w:jc w:val="center"/>
              <w:rPr>
                <w:rFonts w:ascii="宋体" w:hAnsi="宋体" w:eastAsia="等线" w:cs="宋体"/>
                <w:color w:val="auto"/>
                <w:kern w:val="0"/>
                <w:szCs w:val="21"/>
                <w:highlight w:val="none"/>
              </w:rPr>
            </w:pPr>
            <w:r>
              <w:rPr>
                <w:rFonts w:ascii="宋体" w:hAnsi="宋体" w:eastAsia="等线" w:cs="宋体"/>
                <w:color w:val="auto"/>
                <w:kern w:val="0"/>
                <w:szCs w:val="21"/>
                <w:highlight w:val="none"/>
              </w:rPr>
              <w:t>%</w:t>
            </w:r>
          </w:p>
        </w:tc>
        <w:tc>
          <w:tcPr>
            <w:tcW w:w="3840" w:type="dxa"/>
            <w:gridSpan w:val="2"/>
            <w:vAlign w:val="center"/>
          </w:tcPr>
          <w:p w14:paraId="4B6DB3F0">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0~1.0</w:t>
            </w:r>
          </w:p>
        </w:tc>
      </w:tr>
      <w:tr w14:paraId="630648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4566" w:type="dxa"/>
            <w:gridSpan w:val="2"/>
            <w:vAlign w:val="center"/>
          </w:tcPr>
          <w:p w14:paraId="6F6DE3F5">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耐水性</w:t>
            </w:r>
          </w:p>
        </w:tc>
        <w:tc>
          <w:tcPr>
            <w:tcW w:w="666" w:type="dxa"/>
            <w:vAlign w:val="center"/>
          </w:tcPr>
          <w:p w14:paraId="3E925AD4">
            <w:pPr>
              <w:jc w:val="center"/>
              <w:rPr>
                <w:rFonts w:ascii="宋体" w:hAnsi="宋体" w:eastAsia="等线" w:cs="宋体"/>
                <w:color w:val="auto"/>
                <w:kern w:val="0"/>
                <w:szCs w:val="21"/>
                <w:highlight w:val="none"/>
              </w:rPr>
            </w:pPr>
            <w:r>
              <w:rPr>
                <w:rFonts w:ascii="宋体" w:hAnsi="宋体" w:eastAsia="等线" w:cs="宋体"/>
                <w:color w:val="auto"/>
                <w:kern w:val="0"/>
                <w:szCs w:val="21"/>
                <w:highlight w:val="none"/>
              </w:rPr>
              <w:t>%</w:t>
            </w:r>
          </w:p>
        </w:tc>
        <w:tc>
          <w:tcPr>
            <w:tcW w:w="3840" w:type="dxa"/>
            <w:gridSpan w:val="2"/>
            <w:vAlign w:val="center"/>
          </w:tcPr>
          <w:p w14:paraId="55B6A27D">
            <w:pPr>
              <w:ind w:firstLine="480"/>
              <w:rPr>
                <w:rFonts w:ascii="宋体" w:hAnsi="宋体" w:eastAsia="等线" w:cs="宋体"/>
                <w:color w:val="auto"/>
                <w:kern w:val="0"/>
                <w:szCs w:val="21"/>
                <w:highlight w:val="none"/>
              </w:rPr>
            </w:pPr>
            <w:r>
              <w:rPr>
                <w:rFonts w:ascii="宋体" w:hAnsi="宋体" w:eastAsia="等线" w:cs="宋体"/>
                <w:color w:val="auto"/>
                <w:kern w:val="0"/>
                <w:szCs w:val="21"/>
                <w:highlight w:val="none"/>
              </w:rPr>
              <w:t>≥95</w:t>
            </w:r>
          </w:p>
        </w:tc>
      </w:tr>
    </w:tbl>
    <w:p w14:paraId="03CE7FBE">
      <w:pPr>
        <w:spacing w:line="360" w:lineRule="auto"/>
        <w:ind w:firstLine="480"/>
        <w:contextualSpacing/>
        <w:rPr>
          <w:rFonts w:cs="Times New Roman" w:asciiTheme="minorEastAsia" w:hAnsiTheme="minorEastAsia"/>
          <w:color w:val="auto"/>
          <w:highlight w:val="none"/>
        </w:rPr>
      </w:pPr>
      <w:r>
        <w:rPr>
          <w:rFonts w:hint="eastAsia" w:cs="宋体" w:asciiTheme="minorEastAsia" w:hAnsiTheme="minorEastAsia"/>
          <w:b/>
          <w:bCs/>
          <w:color w:val="auto"/>
          <w:kern w:val="0"/>
          <w:sz w:val="24"/>
          <w:highlight w:val="none"/>
        </w:rPr>
        <w:t>2、</w:t>
      </w:r>
      <w:r>
        <w:rPr>
          <w:rFonts w:cs="宋体" w:asciiTheme="minorEastAsia" w:hAnsiTheme="minorEastAsia"/>
          <w:b/>
          <w:bCs/>
          <w:color w:val="auto"/>
          <w:kern w:val="0"/>
          <w:sz w:val="24"/>
          <w:highlight w:val="none"/>
        </w:rPr>
        <w:t>压浆施工要求</w:t>
      </w:r>
      <w:r>
        <w:rPr>
          <w:rFonts w:hint="eastAsia" w:cs="宋体" w:asciiTheme="minorEastAsia" w:hAnsiTheme="minorEastAsia"/>
          <w:b/>
          <w:bCs/>
          <w:color w:val="auto"/>
          <w:kern w:val="0"/>
          <w:sz w:val="24"/>
          <w:highlight w:val="none"/>
        </w:rPr>
        <w:t>：《城镇道路改性地聚合物注浆加固技术规程》DGJ32/TJ225-2017</w:t>
      </w:r>
    </w:p>
    <w:p w14:paraId="535A326C">
      <w:pPr>
        <w:spacing w:line="360" w:lineRule="auto"/>
        <w:ind w:firstLine="482"/>
        <w:contextualSpacing/>
        <w:rPr>
          <w:rFonts w:cs="宋体" w:asciiTheme="minorEastAsia" w:hAnsiTheme="minorEastAsia"/>
          <w:color w:val="auto"/>
          <w:kern w:val="0"/>
          <w:sz w:val="24"/>
          <w:highlight w:val="none"/>
        </w:rPr>
      </w:pPr>
      <w:r>
        <w:rPr>
          <w:rFonts w:cs="宋体" w:asciiTheme="minorEastAsia" w:hAnsiTheme="minorEastAsia"/>
          <w:color w:val="auto"/>
          <w:kern w:val="0"/>
          <w:sz w:val="24"/>
          <w:highlight w:val="none"/>
        </w:rPr>
        <w:t>①施工前，应对施工区域内的周围建筑、道路结构现状及地下管线进行勘察了解，并对照道路定报告、加固设计图纸和施工专项方案进行详细核查，制定相应保护措施。若发现与设计严重不符，应在变更设计后方可组织实施。</w:t>
      </w:r>
    </w:p>
    <w:p w14:paraId="107AF663">
      <w:pPr>
        <w:spacing w:line="360" w:lineRule="auto"/>
        <w:ind w:firstLine="482"/>
        <w:contextualSpacing/>
        <w:rPr>
          <w:rFonts w:cs="宋体" w:asciiTheme="minorEastAsia" w:hAnsiTheme="minorEastAsia"/>
          <w:color w:val="auto"/>
          <w:kern w:val="0"/>
          <w:sz w:val="24"/>
          <w:highlight w:val="none"/>
        </w:rPr>
      </w:pPr>
      <w:r>
        <w:rPr>
          <w:rFonts w:cs="宋体" w:asciiTheme="minorEastAsia" w:hAnsiTheme="minorEastAsia"/>
          <w:color w:val="auto"/>
          <w:kern w:val="0"/>
          <w:sz w:val="24"/>
          <w:highlight w:val="none"/>
        </w:rPr>
        <w:t>②注浆过程采用慢速注浆，注浆过程中应控制压力。注浆过程中应对注浆区域周边范围的道路设施进行监测，防止路面抬升起拱或浆液流失，过程中应控制路面抬升高度，</w:t>
      </w:r>
      <w:r>
        <w:rPr>
          <w:rFonts w:cs="宋体" w:asciiTheme="minorEastAsia" w:hAnsiTheme="minorEastAsia"/>
          <w:color w:val="auto"/>
          <w:kern w:val="0"/>
          <w:sz w:val="24"/>
          <w:highlight w:val="none"/>
        </w:rPr>
        <w:t>路面抬升宜不大于</w:t>
      </w:r>
      <w:r>
        <w:rPr>
          <w:rFonts w:hint="eastAsia" w:cs="宋体" w:asciiTheme="minorEastAsia" w:hAnsiTheme="minorEastAsia"/>
          <w:color w:val="auto"/>
          <w:kern w:val="0"/>
          <w:sz w:val="24"/>
          <w:highlight w:val="none"/>
        </w:rPr>
        <w:t>1.5</w:t>
      </w:r>
      <w:r>
        <w:rPr>
          <w:rFonts w:cs="宋体" w:asciiTheme="minorEastAsia" w:hAnsiTheme="minorEastAsia"/>
          <w:color w:val="auto"/>
          <w:kern w:val="0"/>
          <w:sz w:val="24"/>
          <w:highlight w:val="none"/>
        </w:rPr>
        <w:t>cm，超出该控</w:t>
      </w:r>
      <w:r>
        <w:rPr>
          <w:rFonts w:cs="宋体" w:asciiTheme="minorEastAsia" w:hAnsiTheme="minorEastAsia"/>
          <w:color w:val="auto"/>
          <w:kern w:val="0"/>
          <w:sz w:val="24"/>
          <w:highlight w:val="none"/>
        </w:rPr>
        <w:t>制时，应立即停止注浆，过大时采用反压式恢复。</w:t>
      </w:r>
    </w:p>
    <w:p w14:paraId="2E33902F">
      <w:pPr>
        <w:spacing w:line="360" w:lineRule="auto"/>
        <w:ind w:firstLine="482"/>
        <w:contextualSpacing/>
        <w:rPr>
          <w:rFonts w:cs="宋体" w:asciiTheme="minorEastAsia" w:hAnsiTheme="minorEastAsia"/>
          <w:color w:val="auto"/>
          <w:kern w:val="0"/>
          <w:sz w:val="24"/>
          <w:highlight w:val="none"/>
        </w:rPr>
      </w:pPr>
      <w:r>
        <w:rPr>
          <w:rFonts w:cs="宋体" w:asciiTheme="minorEastAsia" w:hAnsiTheme="minorEastAsia"/>
          <w:color w:val="auto"/>
          <w:kern w:val="0"/>
          <w:sz w:val="24"/>
          <w:highlight w:val="none"/>
        </w:rPr>
        <w:t>③城镇道路改性地聚合物注浆施工应符合下列规定：</w:t>
      </w:r>
    </w:p>
    <w:p w14:paraId="6E0EA70F">
      <w:pPr>
        <w:spacing w:line="360" w:lineRule="auto"/>
        <w:ind w:firstLine="482"/>
        <w:contextualSpacing/>
        <w:rPr>
          <w:rFonts w:cs="宋体" w:asciiTheme="minorEastAsia" w:hAnsiTheme="minorEastAsia"/>
          <w:color w:val="auto"/>
          <w:kern w:val="0"/>
          <w:sz w:val="24"/>
          <w:highlight w:val="none"/>
        </w:rPr>
      </w:pPr>
      <w:r>
        <w:rPr>
          <w:rFonts w:cs="宋体" w:asciiTheme="minorEastAsia" w:hAnsiTheme="minorEastAsia"/>
          <w:color w:val="auto"/>
          <w:kern w:val="0"/>
          <w:sz w:val="24"/>
          <w:highlight w:val="none"/>
        </w:rPr>
        <w:t>a、注浆应由外向内，并宜分序进行，隔孔跳注。</w:t>
      </w:r>
    </w:p>
    <w:p w14:paraId="1FE044EE">
      <w:pPr>
        <w:spacing w:line="360" w:lineRule="auto"/>
        <w:ind w:firstLine="482"/>
        <w:contextualSpacing/>
        <w:rPr>
          <w:rFonts w:cs="宋体" w:asciiTheme="minorEastAsia" w:hAnsiTheme="minorEastAsia"/>
          <w:color w:val="auto"/>
          <w:kern w:val="0"/>
          <w:sz w:val="24"/>
          <w:highlight w:val="none"/>
        </w:rPr>
      </w:pPr>
      <w:r>
        <w:rPr>
          <w:rFonts w:cs="宋体" w:asciiTheme="minorEastAsia" w:hAnsiTheme="minorEastAsia"/>
          <w:color w:val="auto"/>
          <w:kern w:val="0"/>
          <w:sz w:val="24"/>
          <w:highlight w:val="none"/>
        </w:rPr>
        <w:t>b、当道路面层和基层存在裂缝、松散、破损等情况，宜采用先上部基层低压后下部路基较高压注浆，下部注浆应在上部注浆材料同条件养护试块强度达5MPa以后进行。</w:t>
      </w:r>
    </w:p>
    <w:p w14:paraId="3C7CBFF6">
      <w:pPr>
        <w:spacing w:line="440" w:lineRule="exact"/>
        <w:ind w:firstLine="480"/>
        <w:jc w:val="center"/>
        <w:rPr>
          <w:rFonts w:ascii="宋体" w:hAnsi="宋体" w:eastAsia="宋体" w:cs="宋体"/>
          <w:b/>
          <w:bCs/>
          <w:color w:val="auto"/>
          <w:kern w:val="0"/>
          <w:sz w:val="24"/>
          <w:highlight w:val="none"/>
        </w:rPr>
      </w:pPr>
      <w:r>
        <w:rPr>
          <w:rFonts w:ascii="宋体" w:hAnsi="宋体" w:eastAsia="宋体" w:cs="宋体"/>
          <w:b/>
          <w:bCs/>
          <w:color w:val="auto"/>
          <w:kern w:val="0"/>
          <w:sz w:val="24"/>
          <w:highlight w:val="none"/>
        </w:rPr>
        <w:t>质量检验标准</w:t>
      </w:r>
    </w:p>
    <w:tbl>
      <w:tblPr>
        <w:tblStyle w:val="23"/>
        <w:tblW w:w="997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091"/>
        <w:gridCol w:w="2231"/>
        <w:gridCol w:w="2209"/>
        <w:gridCol w:w="1963"/>
        <w:gridCol w:w="2479"/>
      </w:tblGrid>
      <w:tr w14:paraId="5824AB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091" w:type="dxa"/>
            <w:vAlign w:val="center"/>
          </w:tcPr>
          <w:p w14:paraId="3AFEE2E5">
            <w:pPr>
              <w:ind w:left="105"/>
              <w:jc w:val="center"/>
              <w:rPr>
                <w:rFonts w:ascii="宋体" w:hAnsi="宋体" w:eastAsia="宋体" w:cs="宋体"/>
                <w:b/>
                <w:bCs/>
                <w:color w:val="auto"/>
                <w:kern w:val="0"/>
                <w:szCs w:val="21"/>
                <w:highlight w:val="none"/>
              </w:rPr>
            </w:pPr>
            <w:r>
              <w:rPr>
                <w:rFonts w:ascii="宋体" w:hAnsi="宋体" w:eastAsia="宋体" w:cs="宋体"/>
                <w:b/>
                <w:bCs/>
                <w:color w:val="auto"/>
                <w:kern w:val="0"/>
                <w:szCs w:val="21"/>
                <w:highlight w:val="none"/>
              </w:rPr>
              <w:t>项目</w:t>
            </w:r>
          </w:p>
        </w:tc>
        <w:tc>
          <w:tcPr>
            <w:tcW w:w="2231" w:type="dxa"/>
            <w:vAlign w:val="center"/>
          </w:tcPr>
          <w:p w14:paraId="30CF656B">
            <w:pPr>
              <w:ind w:firstLine="480"/>
              <w:jc w:val="center"/>
              <w:rPr>
                <w:rFonts w:ascii="宋体" w:hAnsi="宋体" w:eastAsia="宋体" w:cs="宋体"/>
                <w:b/>
                <w:bCs/>
                <w:color w:val="auto"/>
                <w:kern w:val="0"/>
                <w:szCs w:val="21"/>
                <w:highlight w:val="none"/>
              </w:rPr>
            </w:pPr>
            <w:r>
              <w:rPr>
                <w:rFonts w:ascii="宋体" w:hAnsi="宋体" w:eastAsia="宋体" w:cs="宋体"/>
                <w:b/>
                <w:bCs/>
                <w:color w:val="auto"/>
                <w:kern w:val="0"/>
                <w:szCs w:val="21"/>
                <w:highlight w:val="none"/>
              </w:rPr>
              <w:t>检验项目</w:t>
            </w:r>
          </w:p>
        </w:tc>
        <w:tc>
          <w:tcPr>
            <w:tcW w:w="2209" w:type="dxa"/>
            <w:vAlign w:val="center"/>
          </w:tcPr>
          <w:p w14:paraId="328E2637">
            <w:pPr>
              <w:jc w:val="center"/>
              <w:rPr>
                <w:rFonts w:ascii="宋体" w:hAnsi="宋体" w:eastAsia="宋体" w:cs="宋体"/>
                <w:b/>
                <w:bCs/>
                <w:color w:val="auto"/>
                <w:kern w:val="0"/>
                <w:szCs w:val="21"/>
                <w:highlight w:val="none"/>
              </w:rPr>
            </w:pPr>
            <w:r>
              <w:rPr>
                <w:rFonts w:ascii="宋体" w:hAnsi="宋体" w:eastAsia="宋体" w:cs="宋体"/>
                <w:b/>
                <w:bCs/>
                <w:color w:val="auto"/>
                <w:kern w:val="0"/>
                <w:szCs w:val="21"/>
                <w:highlight w:val="none"/>
              </w:rPr>
              <w:t>规定值及其允许偏差</w:t>
            </w:r>
          </w:p>
        </w:tc>
        <w:tc>
          <w:tcPr>
            <w:tcW w:w="1963" w:type="dxa"/>
            <w:vAlign w:val="center"/>
          </w:tcPr>
          <w:p w14:paraId="19F9AF23">
            <w:pPr>
              <w:jc w:val="center"/>
              <w:rPr>
                <w:rFonts w:ascii="宋体" w:hAnsi="宋体" w:eastAsia="宋体" w:cs="宋体"/>
                <w:b/>
                <w:bCs/>
                <w:color w:val="auto"/>
                <w:kern w:val="0"/>
                <w:szCs w:val="21"/>
                <w:highlight w:val="none"/>
              </w:rPr>
            </w:pPr>
            <w:r>
              <w:rPr>
                <w:rFonts w:ascii="宋体" w:hAnsi="宋体" w:eastAsia="宋体" w:cs="宋体"/>
                <w:b/>
                <w:bCs/>
                <w:color w:val="auto"/>
                <w:kern w:val="0"/>
                <w:szCs w:val="21"/>
                <w:highlight w:val="none"/>
              </w:rPr>
              <w:t>检验频率</w:t>
            </w:r>
          </w:p>
        </w:tc>
        <w:tc>
          <w:tcPr>
            <w:tcW w:w="2479" w:type="dxa"/>
            <w:vAlign w:val="center"/>
          </w:tcPr>
          <w:p w14:paraId="6A6E5DDB">
            <w:pPr>
              <w:jc w:val="center"/>
              <w:rPr>
                <w:rFonts w:ascii="宋体" w:hAnsi="宋体" w:eastAsia="宋体" w:cs="宋体"/>
                <w:b/>
                <w:bCs/>
                <w:color w:val="auto"/>
                <w:kern w:val="0"/>
                <w:szCs w:val="21"/>
                <w:highlight w:val="none"/>
              </w:rPr>
            </w:pPr>
            <w:r>
              <w:rPr>
                <w:rFonts w:ascii="宋体" w:hAnsi="宋体" w:eastAsia="宋体" w:cs="宋体"/>
                <w:b/>
                <w:bCs/>
                <w:color w:val="auto"/>
                <w:kern w:val="0"/>
                <w:szCs w:val="21"/>
                <w:highlight w:val="none"/>
              </w:rPr>
              <w:t>检验方法</w:t>
            </w:r>
          </w:p>
        </w:tc>
      </w:tr>
      <w:tr w14:paraId="5B86F6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91" w:type="dxa"/>
            <w:vMerge w:val="restart"/>
            <w:vAlign w:val="center"/>
          </w:tcPr>
          <w:p w14:paraId="6DCE67B3">
            <w:pPr>
              <w:rPr>
                <w:rFonts w:ascii="宋体" w:hAnsi="宋体" w:eastAsia="宋体" w:cs="宋体"/>
                <w:color w:val="auto"/>
                <w:kern w:val="0"/>
                <w:szCs w:val="21"/>
                <w:highlight w:val="none"/>
              </w:rPr>
            </w:pPr>
            <w:r>
              <w:rPr>
                <w:rFonts w:ascii="宋体" w:hAnsi="宋体" w:eastAsia="宋体" w:cs="宋体"/>
                <w:color w:val="auto"/>
                <w:kern w:val="0"/>
                <w:szCs w:val="21"/>
                <w:highlight w:val="none"/>
              </w:rPr>
              <w:t>主控项目</w:t>
            </w:r>
          </w:p>
        </w:tc>
        <w:tc>
          <w:tcPr>
            <w:tcW w:w="2231" w:type="dxa"/>
            <w:vAlign w:val="center"/>
          </w:tcPr>
          <w:p w14:paraId="4854B294">
            <w:pPr>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改性地聚合物注浆材料进场检验</w:t>
            </w:r>
          </w:p>
        </w:tc>
        <w:tc>
          <w:tcPr>
            <w:tcW w:w="2209" w:type="dxa"/>
            <w:vAlign w:val="center"/>
          </w:tcPr>
          <w:p w14:paraId="628FB9FA">
            <w:pPr>
              <w:ind w:firstLine="482"/>
              <w:rPr>
                <w:rFonts w:ascii="宋体" w:hAnsi="宋体" w:eastAsia="宋体" w:cs="宋体"/>
                <w:color w:val="auto"/>
                <w:kern w:val="0"/>
                <w:szCs w:val="21"/>
                <w:highlight w:val="none"/>
              </w:rPr>
            </w:pPr>
            <w:r>
              <w:rPr>
                <w:rFonts w:ascii="宋体" w:hAnsi="宋体" w:eastAsia="宋体" w:cs="宋体"/>
                <w:color w:val="auto"/>
                <w:kern w:val="0"/>
                <w:szCs w:val="21"/>
                <w:highlight w:val="none"/>
              </w:rPr>
              <w:t>符合设计要求</w:t>
            </w:r>
          </w:p>
        </w:tc>
        <w:tc>
          <w:tcPr>
            <w:tcW w:w="4442" w:type="dxa"/>
            <w:gridSpan w:val="2"/>
            <w:vAlign w:val="center"/>
          </w:tcPr>
          <w:p w14:paraId="24FF1F48">
            <w:pPr>
              <w:ind w:firstLine="482"/>
              <w:rPr>
                <w:rFonts w:ascii="宋体" w:hAnsi="宋体" w:eastAsia="宋体" w:cs="宋体"/>
                <w:color w:val="auto"/>
                <w:kern w:val="0"/>
                <w:szCs w:val="21"/>
                <w:highlight w:val="none"/>
              </w:rPr>
            </w:pPr>
            <w:r>
              <w:rPr>
                <w:rFonts w:ascii="宋体" w:hAnsi="宋体" w:eastAsia="宋体" w:cs="宋体"/>
                <w:color w:val="auto"/>
                <w:kern w:val="0"/>
                <w:szCs w:val="21"/>
                <w:highlight w:val="none"/>
              </w:rPr>
              <w:t>DGJ 32/TJ 225第7.1.2条第1款</w:t>
            </w:r>
          </w:p>
        </w:tc>
      </w:tr>
      <w:tr w14:paraId="75919F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91" w:type="dxa"/>
            <w:vMerge w:val="continue"/>
            <w:vAlign w:val="center"/>
          </w:tcPr>
          <w:p w14:paraId="0F333922">
            <w:pPr>
              <w:ind w:firstLine="482"/>
              <w:jc w:val="center"/>
              <w:rPr>
                <w:rFonts w:ascii="宋体" w:hAnsi="宋体" w:eastAsia="宋体" w:cs="宋体"/>
                <w:color w:val="auto"/>
                <w:kern w:val="0"/>
                <w:szCs w:val="21"/>
                <w:highlight w:val="none"/>
              </w:rPr>
            </w:pPr>
          </w:p>
        </w:tc>
        <w:tc>
          <w:tcPr>
            <w:tcW w:w="2231" w:type="dxa"/>
            <w:vAlign w:val="center"/>
          </w:tcPr>
          <w:p w14:paraId="651BD092">
            <w:pPr>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注浆试块强度</w:t>
            </w:r>
          </w:p>
        </w:tc>
        <w:tc>
          <w:tcPr>
            <w:tcW w:w="2209" w:type="dxa"/>
            <w:vAlign w:val="center"/>
          </w:tcPr>
          <w:p w14:paraId="7DC22FCE">
            <w:pPr>
              <w:ind w:firstLine="482"/>
              <w:rPr>
                <w:rFonts w:ascii="宋体" w:hAnsi="宋体" w:eastAsia="宋体" w:cs="宋体"/>
                <w:color w:val="auto"/>
                <w:kern w:val="0"/>
                <w:szCs w:val="21"/>
                <w:highlight w:val="none"/>
              </w:rPr>
            </w:pPr>
            <w:r>
              <w:rPr>
                <w:rFonts w:ascii="宋体" w:hAnsi="宋体" w:eastAsia="宋体" w:cs="宋体"/>
                <w:color w:val="auto"/>
                <w:kern w:val="0"/>
                <w:szCs w:val="21"/>
                <w:highlight w:val="none"/>
              </w:rPr>
              <w:t>符合设计要求</w:t>
            </w:r>
          </w:p>
        </w:tc>
        <w:tc>
          <w:tcPr>
            <w:tcW w:w="1963" w:type="dxa"/>
            <w:vAlign w:val="center"/>
          </w:tcPr>
          <w:p w14:paraId="3F462772">
            <w:pPr>
              <w:ind w:firstLine="482"/>
              <w:rPr>
                <w:rFonts w:ascii="宋体" w:hAnsi="宋体" w:eastAsia="宋体" w:cs="宋体"/>
                <w:color w:val="auto"/>
                <w:kern w:val="0"/>
                <w:szCs w:val="21"/>
                <w:highlight w:val="none"/>
              </w:rPr>
            </w:pPr>
            <w:r>
              <w:rPr>
                <w:rFonts w:ascii="宋体" w:hAnsi="宋体" w:eastAsia="宋体" w:cs="宋体"/>
                <w:color w:val="auto"/>
                <w:kern w:val="0"/>
                <w:szCs w:val="21"/>
                <w:highlight w:val="none"/>
              </w:rPr>
              <w:t>符合规定</w:t>
            </w:r>
          </w:p>
        </w:tc>
        <w:tc>
          <w:tcPr>
            <w:tcW w:w="2479" w:type="dxa"/>
            <w:vAlign w:val="center"/>
          </w:tcPr>
          <w:p w14:paraId="5EA4F774">
            <w:pPr>
              <w:rPr>
                <w:rFonts w:ascii="宋体" w:hAnsi="宋体" w:eastAsia="宋体" w:cs="宋体"/>
                <w:color w:val="auto"/>
                <w:kern w:val="0"/>
                <w:szCs w:val="21"/>
                <w:highlight w:val="none"/>
              </w:rPr>
            </w:pPr>
            <w:r>
              <w:rPr>
                <w:rFonts w:ascii="宋体" w:hAnsi="宋体" w:eastAsia="宋体" w:cs="宋体"/>
                <w:color w:val="auto"/>
                <w:kern w:val="0"/>
                <w:szCs w:val="21"/>
                <w:highlight w:val="none"/>
              </w:rPr>
              <w:t>DGJ32/TJ22</w:t>
            </w:r>
            <w:r>
              <w:rPr>
                <w:rFonts w:hint="eastAsia" w:ascii="宋体" w:hAnsi="宋体" w:eastAsia="宋体" w:cs="宋体"/>
                <w:color w:val="auto"/>
                <w:kern w:val="0"/>
                <w:szCs w:val="21"/>
                <w:highlight w:val="none"/>
                <w:lang w:val="en-US" w:eastAsia="zh-CN"/>
              </w:rPr>
              <w:t>5</w:t>
            </w:r>
            <w:r>
              <w:rPr>
                <w:rFonts w:ascii="宋体" w:hAnsi="宋体" w:eastAsia="宋体" w:cs="宋体"/>
                <w:color w:val="auto"/>
                <w:kern w:val="0"/>
                <w:szCs w:val="21"/>
                <w:highlight w:val="none"/>
              </w:rPr>
              <w:t>第</w:t>
            </w:r>
            <w:r>
              <w:rPr>
                <w:rFonts w:ascii="宋体" w:hAnsi="宋体" w:eastAsia="宋体" w:cs="宋体"/>
                <w:color w:val="auto"/>
                <w:kern w:val="0"/>
                <w:szCs w:val="21"/>
                <w:highlight w:val="none"/>
              </w:rPr>
              <w:t>4.2.4条</w:t>
            </w:r>
          </w:p>
        </w:tc>
      </w:tr>
      <w:tr w14:paraId="5DBC00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091" w:type="dxa"/>
            <w:vMerge w:val="continue"/>
            <w:vAlign w:val="center"/>
          </w:tcPr>
          <w:p w14:paraId="6CB8C353">
            <w:pPr>
              <w:ind w:firstLine="482"/>
              <w:jc w:val="center"/>
              <w:rPr>
                <w:rFonts w:ascii="宋体" w:hAnsi="宋体" w:eastAsia="宋体" w:cs="宋体"/>
                <w:color w:val="auto"/>
                <w:kern w:val="0"/>
                <w:szCs w:val="21"/>
                <w:highlight w:val="none"/>
              </w:rPr>
            </w:pPr>
          </w:p>
        </w:tc>
        <w:tc>
          <w:tcPr>
            <w:tcW w:w="2231" w:type="dxa"/>
            <w:vAlign w:val="center"/>
          </w:tcPr>
          <w:p w14:paraId="71003C5E">
            <w:pPr>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弯沉值(0.01mm)或弯沉降低率</w:t>
            </w:r>
          </w:p>
        </w:tc>
        <w:tc>
          <w:tcPr>
            <w:tcW w:w="2209" w:type="dxa"/>
            <w:vAlign w:val="center"/>
          </w:tcPr>
          <w:p w14:paraId="3538283A">
            <w:pPr>
              <w:ind w:firstLine="482"/>
              <w:rPr>
                <w:rFonts w:ascii="宋体" w:hAnsi="宋体" w:eastAsia="宋体" w:cs="宋体"/>
                <w:color w:val="auto"/>
                <w:kern w:val="0"/>
                <w:szCs w:val="21"/>
                <w:highlight w:val="none"/>
              </w:rPr>
            </w:pPr>
            <w:r>
              <w:rPr>
                <w:rFonts w:ascii="宋体" w:hAnsi="宋体" w:eastAsia="宋体" w:cs="宋体"/>
                <w:color w:val="auto"/>
                <w:kern w:val="0"/>
                <w:szCs w:val="21"/>
                <w:highlight w:val="none"/>
              </w:rPr>
              <w:t>符合设计要求</w:t>
            </w:r>
            <w:r>
              <w:rPr>
                <w:rFonts w:hint="eastAsia" w:ascii="宋体" w:hAnsi="宋体" w:eastAsia="宋体" w:cs="宋体"/>
                <w:color w:val="auto"/>
                <w:kern w:val="0"/>
                <w:szCs w:val="21"/>
                <w:highlight w:val="none"/>
              </w:rPr>
              <w:t>（无设计要求的符合发包人相关要求）</w:t>
            </w:r>
          </w:p>
        </w:tc>
        <w:tc>
          <w:tcPr>
            <w:tcW w:w="1963" w:type="dxa"/>
            <w:vAlign w:val="center"/>
          </w:tcPr>
          <w:p w14:paraId="3B12F331">
            <w:pPr>
              <w:rPr>
                <w:rFonts w:ascii="宋体" w:hAnsi="宋体" w:eastAsia="宋体" w:cs="宋体"/>
                <w:color w:val="auto"/>
                <w:kern w:val="0"/>
                <w:szCs w:val="21"/>
                <w:highlight w:val="none"/>
              </w:rPr>
            </w:pPr>
            <w:r>
              <w:rPr>
                <w:rFonts w:ascii="宋体" w:hAnsi="宋体" w:eastAsia="宋体" w:cs="宋体"/>
                <w:color w:val="auto"/>
                <w:kern w:val="0"/>
                <w:szCs w:val="21"/>
                <w:highlight w:val="none"/>
              </w:rPr>
              <w:t>符合设计要求</w:t>
            </w:r>
            <w:r>
              <w:rPr>
                <w:rFonts w:hint="eastAsia" w:ascii="宋体" w:hAnsi="宋体" w:eastAsia="宋体" w:cs="宋体"/>
                <w:color w:val="auto"/>
                <w:kern w:val="0"/>
                <w:szCs w:val="21"/>
                <w:highlight w:val="none"/>
              </w:rPr>
              <w:t>（无设计要求的符合发包人相关要求）</w:t>
            </w:r>
          </w:p>
        </w:tc>
        <w:tc>
          <w:tcPr>
            <w:tcW w:w="2479" w:type="dxa"/>
            <w:vAlign w:val="center"/>
          </w:tcPr>
          <w:p w14:paraId="3CF71CF3">
            <w:pPr>
              <w:ind w:firstLine="482"/>
              <w:rPr>
                <w:rFonts w:ascii="宋体" w:hAnsi="宋体" w:eastAsia="宋体" w:cs="宋体"/>
                <w:color w:val="auto"/>
                <w:kern w:val="0"/>
                <w:szCs w:val="21"/>
                <w:highlight w:val="none"/>
              </w:rPr>
            </w:pPr>
            <w:r>
              <w:rPr>
                <w:rFonts w:ascii="宋体" w:hAnsi="宋体" w:eastAsia="宋体" w:cs="宋体"/>
                <w:color w:val="auto"/>
                <w:kern w:val="0"/>
                <w:szCs w:val="21"/>
                <w:highlight w:val="none"/>
              </w:rPr>
              <w:t>JTG E60</w:t>
            </w:r>
          </w:p>
        </w:tc>
      </w:tr>
      <w:tr w14:paraId="55760D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91" w:type="dxa"/>
            <w:vMerge w:val="restart"/>
            <w:vAlign w:val="center"/>
          </w:tcPr>
          <w:p w14:paraId="6B81B051">
            <w:pPr>
              <w:rPr>
                <w:rFonts w:ascii="宋体" w:hAnsi="宋体" w:eastAsia="宋体" w:cs="宋体"/>
                <w:color w:val="auto"/>
                <w:kern w:val="0"/>
                <w:szCs w:val="21"/>
                <w:highlight w:val="none"/>
              </w:rPr>
            </w:pPr>
            <w:r>
              <w:rPr>
                <w:rFonts w:ascii="宋体" w:hAnsi="宋体" w:eastAsia="宋体" w:cs="宋体"/>
                <w:color w:val="auto"/>
                <w:kern w:val="0"/>
                <w:szCs w:val="21"/>
                <w:highlight w:val="none"/>
              </w:rPr>
              <w:t>一般项目</w:t>
            </w:r>
          </w:p>
        </w:tc>
        <w:tc>
          <w:tcPr>
            <w:tcW w:w="2231" w:type="dxa"/>
            <w:vAlign w:val="center"/>
          </w:tcPr>
          <w:p w14:paraId="4DAA8D44">
            <w:pPr>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注浆孔数量</w:t>
            </w:r>
          </w:p>
        </w:tc>
        <w:tc>
          <w:tcPr>
            <w:tcW w:w="2209" w:type="dxa"/>
            <w:vAlign w:val="center"/>
          </w:tcPr>
          <w:p w14:paraId="7C3D6040">
            <w:pPr>
              <w:ind w:firstLine="482"/>
              <w:rPr>
                <w:rFonts w:ascii="宋体" w:hAnsi="宋体" w:eastAsia="宋体" w:cs="宋体"/>
                <w:color w:val="auto"/>
                <w:kern w:val="0"/>
                <w:szCs w:val="21"/>
                <w:highlight w:val="none"/>
              </w:rPr>
            </w:pPr>
            <w:r>
              <w:rPr>
                <w:rFonts w:ascii="宋体" w:hAnsi="宋体" w:eastAsia="宋体" w:cs="宋体"/>
                <w:color w:val="auto"/>
                <w:kern w:val="0"/>
                <w:szCs w:val="21"/>
                <w:highlight w:val="none"/>
              </w:rPr>
              <w:t>符合设计要求</w:t>
            </w:r>
          </w:p>
        </w:tc>
        <w:tc>
          <w:tcPr>
            <w:tcW w:w="1963" w:type="dxa"/>
            <w:vAlign w:val="center"/>
          </w:tcPr>
          <w:p w14:paraId="13221EAC">
            <w:pPr>
              <w:ind w:firstLine="482"/>
              <w:rPr>
                <w:rFonts w:ascii="宋体" w:hAnsi="宋体" w:eastAsia="宋体" w:cs="宋体"/>
                <w:color w:val="auto"/>
                <w:kern w:val="0"/>
                <w:szCs w:val="21"/>
                <w:highlight w:val="none"/>
              </w:rPr>
            </w:pPr>
            <w:r>
              <w:rPr>
                <w:rFonts w:ascii="宋体" w:hAnsi="宋体" w:eastAsia="宋体" w:cs="宋体"/>
                <w:color w:val="auto"/>
                <w:kern w:val="0"/>
                <w:szCs w:val="21"/>
                <w:highlight w:val="none"/>
              </w:rPr>
              <w:t>抽检30%</w:t>
            </w:r>
          </w:p>
        </w:tc>
        <w:tc>
          <w:tcPr>
            <w:tcW w:w="2479" w:type="dxa"/>
            <w:vAlign w:val="center"/>
          </w:tcPr>
          <w:p w14:paraId="6FCC4C86">
            <w:pPr>
              <w:ind w:firstLine="482"/>
              <w:rPr>
                <w:rFonts w:ascii="宋体" w:hAnsi="宋体" w:eastAsia="宋体" w:cs="宋体"/>
                <w:color w:val="auto"/>
                <w:kern w:val="0"/>
                <w:szCs w:val="21"/>
                <w:highlight w:val="none"/>
              </w:rPr>
            </w:pPr>
            <w:r>
              <w:rPr>
                <w:rFonts w:ascii="宋体" w:hAnsi="宋体" w:eastAsia="宋体" w:cs="宋体"/>
                <w:color w:val="auto"/>
                <w:kern w:val="0"/>
                <w:szCs w:val="21"/>
                <w:highlight w:val="none"/>
              </w:rPr>
              <w:t>现场检查</w:t>
            </w:r>
          </w:p>
        </w:tc>
      </w:tr>
      <w:tr w14:paraId="0EDE7F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91" w:type="dxa"/>
            <w:vMerge w:val="continue"/>
            <w:vAlign w:val="center"/>
          </w:tcPr>
          <w:p w14:paraId="6FCF594E">
            <w:pPr>
              <w:ind w:firstLine="482"/>
              <w:rPr>
                <w:rFonts w:ascii="宋体" w:hAnsi="宋体" w:eastAsia="宋体" w:cs="宋体"/>
                <w:color w:val="auto"/>
                <w:kern w:val="0"/>
                <w:szCs w:val="21"/>
                <w:highlight w:val="none"/>
              </w:rPr>
            </w:pPr>
          </w:p>
        </w:tc>
        <w:tc>
          <w:tcPr>
            <w:tcW w:w="2231" w:type="dxa"/>
            <w:vAlign w:val="center"/>
          </w:tcPr>
          <w:p w14:paraId="4D7E2B5E">
            <w:pPr>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注浆孔位偏差</w:t>
            </w:r>
          </w:p>
        </w:tc>
        <w:tc>
          <w:tcPr>
            <w:tcW w:w="2209" w:type="dxa"/>
            <w:vAlign w:val="center"/>
          </w:tcPr>
          <w:p w14:paraId="77621ABE">
            <w:pPr>
              <w:ind w:firstLine="482"/>
              <w:rPr>
                <w:rFonts w:ascii="宋体" w:hAnsi="宋体" w:eastAsia="宋体" w:cs="宋体"/>
                <w:color w:val="auto"/>
                <w:kern w:val="0"/>
                <w:szCs w:val="21"/>
                <w:highlight w:val="none"/>
              </w:rPr>
            </w:pPr>
            <w:r>
              <w:rPr>
                <w:rFonts w:ascii="宋体" w:hAnsi="宋体" w:eastAsia="宋体" w:cs="宋体"/>
                <w:color w:val="auto"/>
                <w:kern w:val="0"/>
                <w:szCs w:val="21"/>
                <w:highlight w:val="none"/>
              </w:rPr>
              <w:t>士30mm</w:t>
            </w:r>
          </w:p>
        </w:tc>
        <w:tc>
          <w:tcPr>
            <w:tcW w:w="1963" w:type="dxa"/>
            <w:vAlign w:val="center"/>
          </w:tcPr>
          <w:p w14:paraId="4B881EF4">
            <w:pPr>
              <w:ind w:firstLine="482"/>
              <w:rPr>
                <w:rFonts w:ascii="宋体" w:hAnsi="宋体" w:eastAsia="宋体" w:cs="宋体"/>
                <w:color w:val="auto"/>
                <w:kern w:val="0"/>
                <w:szCs w:val="21"/>
                <w:highlight w:val="none"/>
              </w:rPr>
            </w:pPr>
            <w:r>
              <w:rPr>
                <w:rFonts w:ascii="宋体" w:hAnsi="宋体" w:eastAsia="宋体" w:cs="宋体"/>
                <w:color w:val="auto"/>
                <w:kern w:val="0"/>
                <w:szCs w:val="21"/>
                <w:highlight w:val="none"/>
              </w:rPr>
              <w:t>抽查20%</w:t>
            </w:r>
          </w:p>
        </w:tc>
        <w:tc>
          <w:tcPr>
            <w:tcW w:w="2479" w:type="dxa"/>
            <w:vAlign w:val="center"/>
          </w:tcPr>
          <w:p w14:paraId="2DFCD557">
            <w:pPr>
              <w:ind w:firstLine="482"/>
              <w:rPr>
                <w:rFonts w:ascii="宋体" w:hAnsi="宋体" w:eastAsia="宋体" w:cs="宋体"/>
                <w:color w:val="auto"/>
                <w:kern w:val="0"/>
                <w:szCs w:val="21"/>
                <w:highlight w:val="none"/>
              </w:rPr>
            </w:pPr>
            <w:r>
              <w:rPr>
                <w:rFonts w:ascii="宋体" w:hAnsi="宋体" w:eastAsia="宋体" w:cs="宋体"/>
                <w:color w:val="auto"/>
                <w:kern w:val="0"/>
                <w:szCs w:val="21"/>
                <w:highlight w:val="none"/>
              </w:rPr>
              <w:t>钢卷尺量测</w:t>
            </w:r>
          </w:p>
        </w:tc>
      </w:tr>
      <w:tr w14:paraId="4C8B3E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91" w:type="dxa"/>
            <w:vMerge w:val="continue"/>
            <w:vAlign w:val="center"/>
          </w:tcPr>
          <w:p w14:paraId="366D83EC">
            <w:pPr>
              <w:ind w:firstLine="482"/>
              <w:rPr>
                <w:rFonts w:ascii="宋体" w:hAnsi="宋体" w:eastAsia="宋体" w:cs="宋体"/>
                <w:color w:val="auto"/>
                <w:kern w:val="0"/>
                <w:szCs w:val="21"/>
                <w:highlight w:val="none"/>
              </w:rPr>
            </w:pPr>
          </w:p>
        </w:tc>
        <w:tc>
          <w:tcPr>
            <w:tcW w:w="2231" w:type="dxa"/>
            <w:vAlign w:val="center"/>
          </w:tcPr>
          <w:p w14:paraId="18A9A905">
            <w:pPr>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注浆孔深</w:t>
            </w:r>
          </w:p>
        </w:tc>
        <w:tc>
          <w:tcPr>
            <w:tcW w:w="2209" w:type="dxa"/>
            <w:vAlign w:val="center"/>
          </w:tcPr>
          <w:p w14:paraId="1004662A">
            <w:pPr>
              <w:ind w:firstLine="482"/>
              <w:rPr>
                <w:rFonts w:ascii="宋体" w:hAnsi="宋体" w:eastAsia="宋体" w:cs="宋体"/>
                <w:color w:val="auto"/>
                <w:kern w:val="0"/>
                <w:szCs w:val="21"/>
                <w:highlight w:val="none"/>
              </w:rPr>
            </w:pPr>
            <w:r>
              <w:rPr>
                <w:rFonts w:ascii="宋体" w:hAnsi="宋体" w:eastAsia="宋体" w:cs="宋体"/>
                <w:color w:val="auto"/>
                <w:kern w:val="0"/>
                <w:szCs w:val="21"/>
                <w:highlight w:val="none"/>
              </w:rPr>
              <w:t>符合设计要求</w:t>
            </w:r>
          </w:p>
        </w:tc>
        <w:tc>
          <w:tcPr>
            <w:tcW w:w="1963" w:type="dxa"/>
            <w:vAlign w:val="center"/>
          </w:tcPr>
          <w:p w14:paraId="3BBAFE66">
            <w:pPr>
              <w:ind w:firstLine="482"/>
              <w:rPr>
                <w:rFonts w:ascii="宋体" w:hAnsi="宋体" w:eastAsia="宋体" w:cs="宋体"/>
                <w:color w:val="auto"/>
                <w:kern w:val="0"/>
                <w:szCs w:val="21"/>
                <w:highlight w:val="none"/>
              </w:rPr>
            </w:pPr>
            <w:r>
              <w:rPr>
                <w:rFonts w:ascii="宋体" w:hAnsi="宋体" w:eastAsia="宋体" w:cs="宋体"/>
                <w:color w:val="auto"/>
                <w:kern w:val="0"/>
                <w:szCs w:val="21"/>
                <w:highlight w:val="none"/>
              </w:rPr>
              <w:t>抽查20%</w:t>
            </w:r>
          </w:p>
        </w:tc>
        <w:tc>
          <w:tcPr>
            <w:tcW w:w="2479" w:type="dxa"/>
            <w:vAlign w:val="center"/>
          </w:tcPr>
          <w:p w14:paraId="21D45068">
            <w:pPr>
              <w:ind w:firstLine="482"/>
              <w:rPr>
                <w:rFonts w:ascii="宋体" w:hAnsi="宋体" w:eastAsia="宋体" w:cs="宋体"/>
                <w:color w:val="auto"/>
                <w:kern w:val="0"/>
                <w:szCs w:val="21"/>
                <w:highlight w:val="none"/>
              </w:rPr>
            </w:pPr>
            <w:r>
              <w:rPr>
                <w:rFonts w:ascii="宋体" w:hAnsi="宋体" w:eastAsia="宋体" w:cs="宋体"/>
                <w:color w:val="auto"/>
                <w:kern w:val="0"/>
                <w:szCs w:val="21"/>
                <w:highlight w:val="none"/>
              </w:rPr>
              <w:t>钢卷尺量测</w:t>
            </w:r>
          </w:p>
        </w:tc>
      </w:tr>
      <w:tr w14:paraId="641382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91" w:type="dxa"/>
            <w:vMerge w:val="continue"/>
            <w:vAlign w:val="center"/>
          </w:tcPr>
          <w:p w14:paraId="2188DD71">
            <w:pPr>
              <w:ind w:firstLine="482"/>
              <w:rPr>
                <w:rFonts w:ascii="宋体" w:hAnsi="宋体" w:eastAsia="宋体" w:cs="宋体"/>
                <w:color w:val="auto"/>
                <w:kern w:val="0"/>
                <w:szCs w:val="21"/>
                <w:highlight w:val="none"/>
              </w:rPr>
            </w:pPr>
          </w:p>
        </w:tc>
        <w:tc>
          <w:tcPr>
            <w:tcW w:w="2231" w:type="dxa"/>
            <w:vAlign w:val="center"/>
          </w:tcPr>
          <w:p w14:paraId="235F2FE1">
            <w:pPr>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注浆压力(与设计参数比)</w:t>
            </w:r>
          </w:p>
        </w:tc>
        <w:tc>
          <w:tcPr>
            <w:tcW w:w="2209" w:type="dxa"/>
            <w:vAlign w:val="center"/>
          </w:tcPr>
          <w:p w14:paraId="314A46D3">
            <w:pPr>
              <w:ind w:firstLine="482"/>
              <w:rPr>
                <w:rFonts w:ascii="宋体" w:hAnsi="宋体" w:eastAsia="宋体" w:cs="宋体"/>
                <w:color w:val="auto"/>
                <w:kern w:val="0"/>
                <w:szCs w:val="21"/>
                <w:highlight w:val="none"/>
              </w:rPr>
            </w:pPr>
            <w:r>
              <w:rPr>
                <w:rFonts w:ascii="宋体" w:hAnsi="宋体" w:eastAsia="宋体" w:cs="宋体"/>
                <w:color w:val="auto"/>
                <w:kern w:val="0"/>
                <w:szCs w:val="21"/>
                <w:highlight w:val="none"/>
              </w:rPr>
              <w:t>±10%</w:t>
            </w:r>
          </w:p>
        </w:tc>
        <w:tc>
          <w:tcPr>
            <w:tcW w:w="1963" w:type="dxa"/>
            <w:vAlign w:val="center"/>
          </w:tcPr>
          <w:p w14:paraId="774B17F2">
            <w:pPr>
              <w:ind w:firstLine="482"/>
              <w:rPr>
                <w:rFonts w:ascii="宋体" w:hAnsi="宋体" w:eastAsia="宋体" w:cs="宋体"/>
                <w:color w:val="auto"/>
                <w:kern w:val="0"/>
                <w:szCs w:val="21"/>
                <w:highlight w:val="none"/>
              </w:rPr>
            </w:pPr>
            <w:r>
              <w:rPr>
                <w:rFonts w:ascii="宋体" w:hAnsi="宋体" w:eastAsia="宋体" w:cs="宋体"/>
                <w:color w:val="auto"/>
                <w:kern w:val="0"/>
                <w:szCs w:val="21"/>
                <w:highlight w:val="none"/>
              </w:rPr>
              <w:t>检査100%</w:t>
            </w:r>
          </w:p>
        </w:tc>
        <w:tc>
          <w:tcPr>
            <w:tcW w:w="2479" w:type="dxa"/>
            <w:vAlign w:val="center"/>
          </w:tcPr>
          <w:p w14:paraId="3DEB352D">
            <w:pPr>
              <w:ind w:firstLine="482"/>
              <w:rPr>
                <w:rFonts w:ascii="宋体" w:hAnsi="宋体" w:eastAsia="宋体" w:cs="宋体"/>
                <w:color w:val="auto"/>
                <w:kern w:val="0"/>
                <w:szCs w:val="21"/>
                <w:highlight w:val="none"/>
              </w:rPr>
            </w:pPr>
            <w:r>
              <w:rPr>
                <w:rFonts w:ascii="宋体" w:hAnsi="宋体" w:eastAsia="宋体" w:cs="宋体"/>
                <w:color w:val="auto"/>
                <w:kern w:val="0"/>
                <w:szCs w:val="21"/>
                <w:highlight w:val="none"/>
              </w:rPr>
              <w:t>查记录表</w:t>
            </w:r>
          </w:p>
        </w:tc>
      </w:tr>
      <w:tr w14:paraId="68CE54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91" w:type="dxa"/>
            <w:vMerge w:val="continue"/>
            <w:vAlign w:val="center"/>
          </w:tcPr>
          <w:p w14:paraId="53F66162">
            <w:pPr>
              <w:ind w:firstLine="482"/>
              <w:rPr>
                <w:rFonts w:ascii="宋体" w:hAnsi="宋体" w:eastAsia="宋体" w:cs="宋体"/>
                <w:color w:val="auto"/>
                <w:kern w:val="0"/>
                <w:szCs w:val="21"/>
                <w:highlight w:val="none"/>
              </w:rPr>
            </w:pPr>
          </w:p>
        </w:tc>
        <w:tc>
          <w:tcPr>
            <w:tcW w:w="2231" w:type="dxa"/>
            <w:vAlign w:val="center"/>
          </w:tcPr>
          <w:p w14:paraId="17C9D44E">
            <w:pPr>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道路表面抬升</w:t>
            </w:r>
          </w:p>
        </w:tc>
        <w:tc>
          <w:tcPr>
            <w:tcW w:w="2209" w:type="dxa"/>
            <w:vAlign w:val="center"/>
          </w:tcPr>
          <w:p w14:paraId="1FCC0251">
            <w:pPr>
              <w:ind w:firstLine="482"/>
              <w:rPr>
                <w:rFonts w:ascii="宋体" w:hAnsi="宋体" w:eastAsia="宋体" w:cs="宋体"/>
                <w:color w:val="auto"/>
                <w:kern w:val="0"/>
                <w:szCs w:val="21"/>
                <w:highlight w:val="none"/>
              </w:rPr>
            </w:pPr>
            <w:r>
              <w:rPr>
                <w:rFonts w:ascii="宋体" w:hAnsi="宋体" w:eastAsia="宋体" w:cs="宋体"/>
                <w:color w:val="auto"/>
                <w:kern w:val="0"/>
                <w:szCs w:val="21"/>
                <w:highlight w:val="none"/>
              </w:rPr>
              <w:t>≤15mm</w:t>
            </w:r>
          </w:p>
        </w:tc>
        <w:tc>
          <w:tcPr>
            <w:tcW w:w="1963" w:type="dxa"/>
            <w:vAlign w:val="center"/>
          </w:tcPr>
          <w:p w14:paraId="6D88D14F">
            <w:pPr>
              <w:ind w:firstLine="482"/>
              <w:rPr>
                <w:rFonts w:ascii="宋体" w:hAnsi="宋体" w:eastAsia="宋体" w:cs="宋体"/>
                <w:color w:val="auto"/>
                <w:kern w:val="0"/>
                <w:szCs w:val="21"/>
                <w:highlight w:val="none"/>
              </w:rPr>
            </w:pPr>
            <w:r>
              <w:rPr>
                <w:rFonts w:ascii="宋体" w:hAnsi="宋体" w:eastAsia="宋体" w:cs="宋体"/>
                <w:color w:val="auto"/>
                <w:kern w:val="0"/>
                <w:szCs w:val="21"/>
                <w:highlight w:val="none"/>
              </w:rPr>
              <w:t>检査100%</w:t>
            </w:r>
          </w:p>
        </w:tc>
        <w:tc>
          <w:tcPr>
            <w:tcW w:w="2479" w:type="dxa"/>
            <w:vAlign w:val="center"/>
          </w:tcPr>
          <w:p w14:paraId="78B0EB38">
            <w:pPr>
              <w:ind w:firstLine="482"/>
              <w:rPr>
                <w:rFonts w:ascii="宋体" w:hAnsi="宋体" w:eastAsia="宋体" w:cs="宋体"/>
                <w:color w:val="auto"/>
                <w:kern w:val="0"/>
                <w:szCs w:val="21"/>
                <w:highlight w:val="none"/>
              </w:rPr>
            </w:pPr>
            <w:r>
              <w:rPr>
                <w:rFonts w:ascii="宋体" w:hAnsi="宋体" w:eastAsia="宋体" w:cs="宋体"/>
                <w:color w:val="auto"/>
                <w:kern w:val="0"/>
                <w:szCs w:val="21"/>
                <w:highlight w:val="none"/>
              </w:rPr>
              <w:t>水准仪</w:t>
            </w:r>
          </w:p>
        </w:tc>
      </w:tr>
    </w:tbl>
    <w:p w14:paraId="15B04045">
      <w:pPr>
        <w:spacing w:line="360" w:lineRule="auto"/>
        <w:ind w:firstLine="482"/>
        <w:contextualSpacing/>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注：主控项目中用于检査注浆材料强度的试块，在改性地聚合物注浆拌地点随机抽取。取样与留置试块应符合下列规定：</w:t>
      </w:r>
    </w:p>
    <w:p w14:paraId="0E8541D7">
      <w:pPr>
        <w:spacing w:line="360" w:lineRule="auto"/>
        <w:ind w:firstLine="480" w:firstLineChars="200"/>
        <w:contextualSpacing/>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①每拌制100盘(不足100盘，按100盘计)，取样不得少于一次。</w:t>
      </w:r>
    </w:p>
    <w:p w14:paraId="1DC06035">
      <w:pPr>
        <w:spacing w:line="360" w:lineRule="auto"/>
        <w:ind w:firstLine="480" w:firstLineChars="200"/>
        <w:contextualSpacing/>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②每次取样应至少留置一组标准养护试块。同条件养护试块的留置组数应根据改性地聚合物注浆加固工程量确定，且不应小于3组。</w:t>
      </w:r>
    </w:p>
    <w:p w14:paraId="60622138">
      <w:pPr>
        <w:spacing w:line="360" w:lineRule="auto"/>
        <w:ind w:firstLine="482" w:firstLineChars="200"/>
        <w:contextualSpacing/>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u w:val="single"/>
        </w:rPr>
        <w:t>说明：具体技术要求及验收标准，以图纸要求为准，如上述各项要求有调整，结算单价不作调整。</w:t>
      </w:r>
    </w:p>
    <w:p w14:paraId="0424BDA8">
      <w:pPr>
        <w:spacing w:line="360" w:lineRule="auto"/>
        <w:contextualSpacing/>
        <w:jc w:val="left"/>
        <w:rPr>
          <w:rFonts w:ascii="宋体" w:hAnsi="宋体" w:eastAsia="宋体" w:cs="宋体"/>
          <w:b/>
          <w:bCs/>
          <w:color w:val="auto"/>
          <w:kern w:val="0"/>
          <w:sz w:val="24"/>
          <w:szCs w:val="24"/>
          <w:highlight w:val="none"/>
          <w:u w:val="single"/>
        </w:rPr>
      </w:pPr>
      <w:r>
        <w:rPr>
          <w:rFonts w:hint="eastAsia" w:ascii="宋体" w:hAnsi="宋体" w:eastAsia="宋体" w:cs="宋体"/>
          <w:b/>
          <w:bCs/>
          <w:color w:val="auto"/>
          <w:kern w:val="0"/>
          <w:sz w:val="24"/>
          <w:szCs w:val="24"/>
          <w:highlight w:val="none"/>
        </w:rPr>
        <w:t>（四）采购标的验收标准及考核要求</w:t>
      </w:r>
    </w:p>
    <w:p w14:paraId="461B0B06">
      <w:pPr>
        <w:spacing w:line="360" w:lineRule="auto"/>
        <w:ind w:firstLine="480" w:firstLineChars="200"/>
        <w:contextualSpacing/>
        <w:rPr>
          <w:rFonts w:ascii="宋体" w:hAnsi="宋体" w:eastAsia="宋体" w:cs="宋体"/>
          <w:color w:val="auto"/>
          <w:kern w:val="0"/>
          <w:sz w:val="24"/>
          <w:szCs w:val="24"/>
          <w:highlight w:val="none"/>
        </w:rPr>
      </w:pPr>
      <w:bookmarkStart w:id="110" w:name="_Hlk102484700"/>
      <w:r>
        <w:rPr>
          <w:rFonts w:hint="eastAsia" w:ascii="宋体" w:hAnsi="宋体" w:eastAsia="宋体" w:cs="宋体"/>
          <w:color w:val="auto"/>
          <w:kern w:val="0"/>
          <w:sz w:val="24"/>
          <w:szCs w:val="24"/>
          <w:highlight w:val="none"/>
        </w:rPr>
        <w:t>1、验收标准</w:t>
      </w:r>
    </w:p>
    <w:p w14:paraId="1E8CB6C7">
      <w:pPr>
        <w:spacing w:line="360" w:lineRule="auto"/>
        <w:ind w:firstLine="480" w:firstLineChars="200"/>
        <w:contextualSpacing/>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按照《城镇道路改性地聚物注浆加固技术规程》（DGJ32/TJ225-2017）、《城镇道路工程施工与质量验收规范》（CJJ 1-2008）相关要求相关要求进行验收。</w:t>
      </w:r>
    </w:p>
    <w:p w14:paraId="47F96CC5">
      <w:pPr>
        <w:numPr>
          <w:ilvl w:val="0"/>
          <w:numId w:val="0"/>
        </w:numPr>
        <w:spacing w:line="360" w:lineRule="auto"/>
        <w:ind w:firstLine="480" w:firstLineChars="200"/>
        <w:contextualSpacing/>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考核要求</w:t>
      </w:r>
    </w:p>
    <w:bookmarkEnd w:id="110"/>
    <w:p w14:paraId="4C305793">
      <w:pPr>
        <w:spacing w:line="360" w:lineRule="auto"/>
        <w:ind w:firstLine="480" w:firstLineChars="200"/>
        <w:contextualSpacing/>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（1）服务供应商接受南通市市政设施管理处的日常考核和管理。</w:t>
      </w:r>
    </w:p>
    <w:p w14:paraId="70B6B1B9">
      <w:pPr>
        <w:spacing w:line="360" w:lineRule="auto"/>
        <w:ind w:firstLine="480" w:firstLineChars="200"/>
        <w:contextualSpacing/>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（2）采购人从</w:t>
      </w:r>
      <w:r>
        <w:rPr>
          <w:rFonts w:hint="eastAsia" w:ascii="宋体" w:hAnsi="宋体" w:eastAsia="宋体" w:cs="宋体"/>
          <w:color w:val="auto"/>
          <w:kern w:val="0"/>
          <w:sz w:val="24"/>
          <w:szCs w:val="24"/>
          <w:highlight w:val="none"/>
          <w:lang w:val="en-US" w:eastAsia="zh-CN"/>
        </w:rPr>
        <w:t>服务态度</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质量管理</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资料管理</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服务效率、其他</w:t>
      </w:r>
      <w:r>
        <w:rPr>
          <w:rFonts w:hint="eastAsia" w:ascii="宋体" w:hAnsi="宋体" w:eastAsia="宋体" w:cs="宋体"/>
          <w:color w:val="auto"/>
          <w:kern w:val="0"/>
          <w:sz w:val="24"/>
          <w:szCs w:val="24"/>
          <w:highlight w:val="none"/>
        </w:rPr>
        <w:t>等方面进行考核。在合同履约期限内，采购人可定期组织开展履约考核工作，考</w:t>
      </w:r>
      <w:r>
        <w:rPr>
          <w:rFonts w:hint="eastAsia" w:ascii="宋体" w:hAnsi="宋体" w:eastAsia="宋体" w:cs="宋体"/>
          <w:color w:val="auto"/>
          <w:kern w:val="0"/>
          <w:sz w:val="24"/>
          <w:szCs w:val="24"/>
          <w:highlight w:val="none"/>
        </w:rPr>
        <w:t>核频次不低于每月一次（施工期间）。考核结果一式贰份，采购人和服务供应商各持壹份。</w:t>
      </w:r>
      <w:r>
        <w:rPr>
          <w:rFonts w:hint="eastAsia" w:ascii="宋体" w:hAnsi="宋体" w:eastAsia="宋体" w:cs="宋体"/>
          <w:color w:val="auto"/>
          <w:kern w:val="0"/>
          <w:sz w:val="24"/>
          <w:szCs w:val="24"/>
          <w:highlight w:val="none"/>
        </w:rPr>
        <w:t>具体内容如下：</w:t>
      </w:r>
    </w:p>
    <w:p w14:paraId="339D0D97">
      <w:pPr>
        <w:spacing w:line="520" w:lineRule="exact"/>
        <w:ind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南通市市政市政设施管理处</w:t>
      </w:r>
      <w:r>
        <w:rPr>
          <w:rFonts w:hint="eastAsia" w:ascii="宋体" w:hAnsi="宋体" w:eastAsia="宋体" w:cs="宋体"/>
          <w:color w:val="auto"/>
          <w:sz w:val="24"/>
          <w:szCs w:val="24"/>
          <w:highlight w:val="none"/>
          <w:lang w:val="en-US" w:eastAsia="zh-CN"/>
        </w:rPr>
        <w:t>2026年度</w:t>
      </w:r>
      <w:r>
        <w:rPr>
          <w:rFonts w:hint="eastAsia" w:ascii="宋体" w:hAnsi="宋体" w:eastAsia="宋体" w:cs="宋体"/>
          <w:color w:val="auto"/>
          <w:sz w:val="24"/>
          <w:szCs w:val="24"/>
          <w:highlight w:val="none"/>
        </w:rPr>
        <w:t>改性地聚合物注浆加固专业工程</w:t>
      </w:r>
    </w:p>
    <w:p w14:paraId="7AADAA30">
      <w:pPr>
        <w:spacing w:line="520" w:lineRule="exact"/>
        <w:ind w:firstLine="480" w:firstLineChars="20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履约考核评分表</w:t>
      </w:r>
    </w:p>
    <w:p w14:paraId="2F116C5D">
      <w:pPr>
        <w:spacing w:line="520" w:lineRule="exact"/>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服务单位名称：</w:t>
      </w:r>
    </w:p>
    <w:p w14:paraId="630EC974">
      <w:pPr>
        <w:spacing w:line="520" w:lineRule="exact"/>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合同编号：                              考核日期：   年   月    日</w:t>
      </w:r>
    </w:p>
    <w:tbl>
      <w:tblPr>
        <w:tblStyle w:val="23"/>
        <w:tblW w:w="9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40"/>
        <w:gridCol w:w="7145"/>
        <w:gridCol w:w="1003"/>
      </w:tblGrid>
      <w:tr w14:paraId="7DCD3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40" w:type="dxa"/>
            <w:tcBorders>
              <w:top w:val="single" w:color="auto" w:sz="4" w:space="0"/>
              <w:left w:val="single" w:color="auto" w:sz="4" w:space="0"/>
              <w:bottom w:val="single" w:color="auto" w:sz="4" w:space="0"/>
              <w:right w:val="single" w:color="auto" w:sz="4" w:space="0"/>
            </w:tcBorders>
            <w:noWrap/>
            <w:vAlign w:val="center"/>
          </w:tcPr>
          <w:p w14:paraId="004CD633">
            <w:pPr>
              <w:autoSpaceDE w:val="0"/>
              <w:spacing w:beforeLines="20" w:afterLines="20" w:line="360" w:lineRule="auto"/>
              <w:ind w:right="105" w:rightChars="50"/>
              <w:jc w:val="center"/>
              <w:rPr>
                <w:rFonts w:ascii="宋体" w:hAnsi="宋体" w:eastAsia="宋体" w:cs="宋体"/>
                <w:b/>
                <w:color w:val="auto"/>
                <w:sz w:val="22"/>
                <w:highlight w:val="none"/>
              </w:rPr>
            </w:pPr>
            <w:r>
              <w:rPr>
                <w:rFonts w:hint="eastAsia" w:ascii="宋体" w:hAnsi="宋体" w:eastAsia="宋体" w:cs="宋体"/>
                <w:b/>
                <w:color w:val="auto"/>
                <w:sz w:val="22"/>
                <w:highlight w:val="none"/>
              </w:rPr>
              <w:t>评分内容</w:t>
            </w:r>
          </w:p>
        </w:tc>
        <w:tc>
          <w:tcPr>
            <w:tcW w:w="7145" w:type="dxa"/>
            <w:tcBorders>
              <w:top w:val="single" w:color="auto" w:sz="4" w:space="0"/>
              <w:left w:val="nil"/>
              <w:bottom w:val="single" w:color="auto" w:sz="4" w:space="0"/>
              <w:right w:val="single" w:color="auto" w:sz="4" w:space="0"/>
            </w:tcBorders>
            <w:noWrap/>
            <w:vAlign w:val="center"/>
          </w:tcPr>
          <w:p w14:paraId="7FA7DCA3">
            <w:pPr>
              <w:autoSpaceDE w:val="0"/>
              <w:spacing w:beforeLines="20" w:afterLines="20" w:line="360" w:lineRule="auto"/>
              <w:ind w:right="105" w:rightChars="50"/>
              <w:jc w:val="center"/>
              <w:rPr>
                <w:rFonts w:ascii="宋体" w:hAnsi="宋体" w:eastAsia="宋体" w:cs="宋体"/>
                <w:b/>
                <w:color w:val="auto"/>
                <w:sz w:val="22"/>
                <w:highlight w:val="none"/>
              </w:rPr>
            </w:pPr>
            <w:r>
              <w:rPr>
                <w:rFonts w:hint="eastAsia" w:ascii="宋体" w:hAnsi="宋体" w:eastAsia="宋体" w:cs="宋体"/>
                <w:b/>
                <w:color w:val="auto"/>
                <w:sz w:val="22"/>
                <w:highlight w:val="none"/>
              </w:rPr>
              <w:t>考 核 内 容</w:t>
            </w:r>
          </w:p>
        </w:tc>
        <w:tc>
          <w:tcPr>
            <w:tcW w:w="1003" w:type="dxa"/>
            <w:tcBorders>
              <w:top w:val="single" w:color="auto" w:sz="4" w:space="0"/>
              <w:left w:val="nil"/>
              <w:bottom w:val="single" w:color="auto" w:sz="4" w:space="0"/>
              <w:right w:val="single" w:color="auto" w:sz="4" w:space="0"/>
            </w:tcBorders>
            <w:noWrap/>
            <w:vAlign w:val="center"/>
          </w:tcPr>
          <w:p w14:paraId="09467CD4">
            <w:pPr>
              <w:autoSpaceDE w:val="0"/>
              <w:spacing w:beforeLines="20" w:afterLines="20" w:line="360" w:lineRule="auto"/>
              <w:ind w:left="105" w:leftChars="50" w:right="105" w:rightChars="50"/>
              <w:jc w:val="center"/>
              <w:rPr>
                <w:rFonts w:ascii="宋体" w:hAnsi="宋体" w:eastAsia="宋体" w:cs="宋体"/>
                <w:b/>
                <w:color w:val="auto"/>
                <w:sz w:val="22"/>
                <w:highlight w:val="none"/>
              </w:rPr>
            </w:pPr>
            <w:r>
              <w:rPr>
                <w:rFonts w:hint="eastAsia" w:ascii="宋体" w:hAnsi="宋体" w:eastAsia="宋体" w:cs="宋体"/>
                <w:b/>
                <w:color w:val="auto"/>
                <w:sz w:val="22"/>
                <w:highlight w:val="none"/>
              </w:rPr>
              <w:t>考核分</w:t>
            </w:r>
          </w:p>
        </w:tc>
      </w:tr>
      <w:tr w14:paraId="71C9A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tcBorders>
              <w:top w:val="single" w:color="auto" w:sz="4" w:space="0"/>
              <w:left w:val="single" w:color="auto" w:sz="4" w:space="0"/>
              <w:right w:val="single" w:color="auto" w:sz="4" w:space="0"/>
            </w:tcBorders>
            <w:noWrap/>
            <w:vAlign w:val="center"/>
          </w:tcPr>
          <w:p w14:paraId="59182E1A">
            <w:pPr>
              <w:spacing w:beforeLines="20" w:afterLines="20" w:line="360" w:lineRule="auto"/>
              <w:ind w:left="105"/>
              <w:jc w:val="center"/>
              <w:rPr>
                <w:rFonts w:ascii="宋体" w:hAnsi="宋体" w:eastAsia="宋体" w:cs="宋体"/>
                <w:b/>
                <w:bCs/>
                <w:color w:val="auto"/>
                <w:sz w:val="22"/>
                <w:highlight w:val="none"/>
              </w:rPr>
            </w:pPr>
            <w:r>
              <w:rPr>
                <w:rFonts w:hint="eastAsia" w:ascii="宋体" w:hAnsi="宋体" w:eastAsia="宋体" w:cs="宋体"/>
                <w:b/>
                <w:bCs/>
                <w:color w:val="auto"/>
                <w:sz w:val="22"/>
                <w:highlight w:val="none"/>
              </w:rPr>
              <w:t>服务态度</w:t>
            </w:r>
          </w:p>
        </w:tc>
        <w:tc>
          <w:tcPr>
            <w:tcW w:w="7145" w:type="dxa"/>
            <w:tcBorders>
              <w:top w:val="single" w:color="auto" w:sz="4" w:space="0"/>
              <w:left w:val="nil"/>
              <w:bottom w:val="single" w:color="auto" w:sz="4" w:space="0"/>
              <w:right w:val="single" w:color="auto" w:sz="4" w:space="0"/>
            </w:tcBorders>
            <w:noWrap/>
            <w:vAlign w:val="center"/>
          </w:tcPr>
          <w:p w14:paraId="36255758">
            <w:pPr>
              <w:spacing w:beforeLines="50" w:afterLines="50"/>
              <w:jc w:val="left"/>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1、对采购人在合同约定范围内发出的合理指令不及时反馈、不及时落实、沟通态度欠佳的，每次扣5分。</w:t>
            </w:r>
          </w:p>
        </w:tc>
        <w:tc>
          <w:tcPr>
            <w:tcW w:w="1003" w:type="dxa"/>
            <w:tcBorders>
              <w:top w:val="single" w:color="auto" w:sz="4" w:space="0"/>
              <w:left w:val="nil"/>
              <w:bottom w:val="single" w:color="auto" w:sz="4" w:space="0"/>
              <w:right w:val="single" w:color="auto" w:sz="4" w:space="0"/>
            </w:tcBorders>
            <w:noWrap/>
            <w:vAlign w:val="center"/>
          </w:tcPr>
          <w:p w14:paraId="0C256B92">
            <w:pPr>
              <w:autoSpaceDE w:val="0"/>
              <w:spacing w:beforeLines="20" w:afterLines="20" w:line="360" w:lineRule="auto"/>
              <w:ind w:left="105" w:leftChars="50" w:right="105" w:rightChars="50" w:firstLine="442"/>
              <w:rPr>
                <w:rFonts w:ascii="宋体" w:hAnsi="宋体" w:eastAsia="宋体" w:cs="宋体"/>
                <w:color w:val="auto"/>
                <w:sz w:val="22"/>
                <w:highlight w:val="none"/>
              </w:rPr>
            </w:pPr>
          </w:p>
        </w:tc>
      </w:tr>
      <w:tr w14:paraId="73016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restart"/>
            <w:tcBorders>
              <w:left w:val="single" w:color="auto" w:sz="4" w:space="0"/>
              <w:right w:val="single" w:color="auto" w:sz="4" w:space="0"/>
            </w:tcBorders>
            <w:noWrap/>
            <w:vAlign w:val="center"/>
          </w:tcPr>
          <w:p w14:paraId="2E0BA561">
            <w:pPr>
              <w:spacing w:beforeLines="20" w:afterLines="20" w:line="360" w:lineRule="auto"/>
              <w:ind w:right="105" w:rightChars="50"/>
              <w:jc w:val="center"/>
              <w:rPr>
                <w:rFonts w:hint="default" w:ascii="宋体" w:hAnsi="宋体" w:eastAsia="宋体" w:cs="宋体"/>
                <w:b/>
                <w:bCs/>
                <w:color w:val="auto"/>
                <w:sz w:val="22"/>
                <w:highlight w:val="none"/>
                <w:lang w:val="en-US" w:eastAsia="zh-CN"/>
              </w:rPr>
            </w:pPr>
            <w:r>
              <w:rPr>
                <w:rFonts w:hint="eastAsia" w:ascii="宋体" w:hAnsi="宋体" w:eastAsia="宋体" w:cs="宋体"/>
                <w:b/>
                <w:bCs/>
                <w:color w:val="auto"/>
                <w:sz w:val="22"/>
                <w:highlight w:val="none"/>
                <w:lang w:val="en-US" w:eastAsia="zh-CN"/>
              </w:rPr>
              <w:t>质量管理</w:t>
            </w:r>
          </w:p>
        </w:tc>
        <w:tc>
          <w:tcPr>
            <w:tcW w:w="7145" w:type="dxa"/>
            <w:tcBorders>
              <w:top w:val="single" w:color="auto" w:sz="4" w:space="0"/>
              <w:left w:val="nil"/>
              <w:bottom w:val="single" w:color="auto" w:sz="4" w:space="0"/>
              <w:right w:val="single" w:color="auto" w:sz="4" w:space="0"/>
            </w:tcBorders>
            <w:noWrap/>
            <w:vAlign w:val="center"/>
          </w:tcPr>
          <w:p w14:paraId="3A6470BA">
            <w:pPr>
              <w:spacing w:beforeLines="50" w:afterLines="50"/>
              <w:jc w:val="left"/>
              <w:rPr>
                <w:rFonts w:hint="eastAsia" w:ascii="宋体" w:hAnsi="宋体" w:eastAsia="宋体" w:cs="宋体"/>
                <w:color w:val="auto"/>
                <w:kern w:val="0"/>
                <w:sz w:val="22"/>
                <w:highlight w:val="none"/>
                <w:lang w:val="en-US" w:eastAsia="zh-CN"/>
              </w:rPr>
            </w:pPr>
            <w:r>
              <w:rPr>
                <w:rFonts w:hint="eastAsia" w:ascii="宋体" w:hAnsi="宋体" w:eastAsia="宋体" w:cs="宋体"/>
                <w:color w:val="auto"/>
                <w:kern w:val="0"/>
                <w:sz w:val="22"/>
                <w:highlight w:val="none"/>
                <w:lang w:val="en-US" w:eastAsia="zh-CN"/>
              </w:rPr>
              <w:t>1、注浆材料不合格的，每次扣5分。</w:t>
            </w:r>
          </w:p>
        </w:tc>
        <w:tc>
          <w:tcPr>
            <w:tcW w:w="1003" w:type="dxa"/>
            <w:tcBorders>
              <w:top w:val="single" w:color="auto" w:sz="4" w:space="0"/>
              <w:left w:val="nil"/>
              <w:bottom w:val="single" w:color="auto" w:sz="4" w:space="0"/>
              <w:right w:val="single" w:color="auto" w:sz="4" w:space="0"/>
            </w:tcBorders>
            <w:noWrap/>
            <w:vAlign w:val="center"/>
          </w:tcPr>
          <w:p w14:paraId="5F23A7C4">
            <w:pPr>
              <w:autoSpaceDE w:val="0"/>
              <w:spacing w:beforeLines="20" w:afterLines="20" w:line="360" w:lineRule="auto"/>
              <w:ind w:left="105" w:leftChars="50" w:right="105" w:rightChars="50" w:firstLine="442"/>
              <w:rPr>
                <w:rFonts w:ascii="宋体" w:hAnsi="宋体" w:eastAsia="宋体" w:cs="宋体"/>
                <w:color w:val="auto"/>
                <w:sz w:val="22"/>
                <w:highlight w:val="none"/>
              </w:rPr>
            </w:pPr>
          </w:p>
        </w:tc>
      </w:tr>
      <w:tr w14:paraId="5C17D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ign w:val="center"/>
          </w:tcPr>
          <w:p w14:paraId="7BA90C23">
            <w:pPr>
              <w:spacing w:beforeLines="20" w:afterLines="20" w:line="360" w:lineRule="auto"/>
              <w:ind w:right="105" w:rightChars="50"/>
              <w:jc w:val="center"/>
              <w:rPr>
                <w:rFonts w:hint="eastAsia" w:ascii="宋体" w:hAnsi="宋体" w:eastAsia="宋体" w:cs="宋体"/>
                <w:b/>
                <w:bCs/>
                <w:color w:val="auto"/>
                <w:sz w:val="22"/>
                <w:highlight w:val="none"/>
                <w:lang w:val="en-US" w:eastAsia="zh-CN"/>
              </w:rPr>
            </w:pPr>
          </w:p>
        </w:tc>
        <w:tc>
          <w:tcPr>
            <w:tcW w:w="7145" w:type="dxa"/>
            <w:tcBorders>
              <w:top w:val="single" w:color="auto" w:sz="4" w:space="0"/>
              <w:left w:val="nil"/>
              <w:bottom w:val="single" w:color="auto" w:sz="4" w:space="0"/>
              <w:right w:val="single" w:color="auto" w:sz="4" w:space="0"/>
            </w:tcBorders>
            <w:noWrap/>
            <w:vAlign w:val="center"/>
          </w:tcPr>
          <w:p w14:paraId="2ECB5AC3">
            <w:pPr>
              <w:spacing w:beforeLines="50" w:afterLines="50"/>
              <w:jc w:val="left"/>
              <w:rPr>
                <w:rFonts w:hint="eastAsia"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2、工程存在质量缺陷或安全隐患的，每次扣10分。</w:t>
            </w:r>
          </w:p>
        </w:tc>
        <w:tc>
          <w:tcPr>
            <w:tcW w:w="1003" w:type="dxa"/>
            <w:tcBorders>
              <w:top w:val="single" w:color="auto" w:sz="4" w:space="0"/>
              <w:left w:val="nil"/>
              <w:bottom w:val="single" w:color="auto" w:sz="4" w:space="0"/>
              <w:right w:val="single" w:color="auto" w:sz="4" w:space="0"/>
            </w:tcBorders>
            <w:noWrap/>
            <w:vAlign w:val="center"/>
          </w:tcPr>
          <w:p w14:paraId="73673F3B">
            <w:pPr>
              <w:autoSpaceDE w:val="0"/>
              <w:spacing w:beforeLines="20" w:afterLines="20" w:line="360" w:lineRule="auto"/>
              <w:ind w:left="105" w:leftChars="50" w:right="105" w:rightChars="50" w:firstLine="442"/>
              <w:rPr>
                <w:rFonts w:ascii="宋体" w:hAnsi="宋体" w:eastAsia="宋体" w:cs="宋体"/>
                <w:color w:val="auto"/>
                <w:sz w:val="22"/>
                <w:highlight w:val="none"/>
              </w:rPr>
            </w:pPr>
          </w:p>
        </w:tc>
      </w:tr>
      <w:tr w14:paraId="76599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ign w:val="center"/>
          </w:tcPr>
          <w:p w14:paraId="51BFBF6E">
            <w:pPr>
              <w:spacing w:beforeLines="20" w:afterLines="20" w:line="360" w:lineRule="auto"/>
              <w:ind w:right="105" w:rightChars="50"/>
              <w:jc w:val="center"/>
              <w:rPr>
                <w:rFonts w:hint="default" w:ascii="宋体" w:hAnsi="宋体" w:eastAsia="宋体" w:cs="宋体"/>
                <w:b/>
                <w:bCs/>
                <w:color w:val="auto"/>
                <w:sz w:val="22"/>
                <w:highlight w:val="none"/>
                <w:lang w:val="en-US" w:eastAsia="zh-CN"/>
              </w:rPr>
            </w:pPr>
          </w:p>
        </w:tc>
        <w:tc>
          <w:tcPr>
            <w:tcW w:w="7145" w:type="dxa"/>
            <w:tcBorders>
              <w:top w:val="single" w:color="auto" w:sz="4" w:space="0"/>
              <w:left w:val="nil"/>
              <w:bottom w:val="single" w:color="auto" w:sz="4" w:space="0"/>
              <w:right w:val="single" w:color="auto" w:sz="4" w:space="0"/>
            </w:tcBorders>
            <w:noWrap/>
            <w:vAlign w:val="center"/>
          </w:tcPr>
          <w:p w14:paraId="23A3F322">
            <w:pPr>
              <w:spacing w:beforeLines="50" w:afterLines="50"/>
              <w:jc w:val="left"/>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3</w:t>
            </w:r>
            <w:r>
              <w:rPr>
                <w:rFonts w:hint="eastAsia" w:ascii="宋体" w:hAnsi="宋体" w:eastAsia="宋体" w:cs="宋体"/>
                <w:color w:val="auto"/>
                <w:kern w:val="0"/>
                <w:sz w:val="22"/>
                <w:highlight w:val="none"/>
              </w:rPr>
              <w:t>、工程进度不符合合同约定的，每次扣</w:t>
            </w:r>
            <w:r>
              <w:rPr>
                <w:rFonts w:hint="eastAsia" w:ascii="宋体" w:hAnsi="宋体" w:eastAsia="宋体" w:cs="宋体"/>
                <w:color w:val="auto"/>
                <w:kern w:val="0"/>
                <w:sz w:val="22"/>
                <w:highlight w:val="none"/>
                <w:lang w:val="en-US" w:eastAsia="zh-CN"/>
              </w:rPr>
              <w:t>2</w:t>
            </w:r>
            <w:r>
              <w:rPr>
                <w:rFonts w:hint="eastAsia" w:ascii="宋体" w:hAnsi="宋体" w:eastAsia="宋体" w:cs="宋体"/>
                <w:color w:val="auto"/>
                <w:kern w:val="0"/>
                <w:sz w:val="22"/>
                <w:highlight w:val="none"/>
              </w:rPr>
              <w:t>分。每多延误一天，扣</w:t>
            </w:r>
            <w:r>
              <w:rPr>
                <w:rFonts w:hint="eastAsia" w:ascii="宋体" w:hAnsi="宋体" w:eastAsia="宋体" w:cs="宋体"/>
                <w:color w:val="auto"/>
                <w:kern w:val="0"/>
                <w:sz w:val="22"/>
                <w:highlight w:val="none"/>
                <w:lang w:val="en-US" w:eastAsia="zh-CN"/>
              </w:rPr>
              <w:t>2</w:t>
            </w:r>
            <w:r>
              <w:rPr>
                <w:rFonts w:hint="eastAsia" w:ascii="宋体" w:hAnsi="宋体" w:eastAsia="宋体" w:cs="宋体"/>
                <w:color w:val="auto"/>
                <w:kern w:val="0"/>
                <w:sz w:val="22"/>
                <w:highlight w:val="none"/>
              </w:rPr>
              <w:t>分/天。</w:t>
            </w:r>
          </w:p>
        </w:tc>
        <w:tc>
          <w:tcPr>
            <w:tcW w:w="1003" w:type="dxa"/>
            <w:tcBorders>
              <w:top w:val="single" w:color="auto" w:sz="4" w:space="0"/>
              <w:left w:val="nil"/>
              <w:bottom w:val="single" w:color="auto" w:sz="4" w:space="0"/>
              <w:right w:val="single" w:color="auto" w:sz="4" w:space="0"/>
            </w:tcBorders>
            <w:noWrap/>
            <w:vAlign w:val="center"/>
          </w:tcPr>
          <w:p w14:paraId="2BFCD840">
            <w:pPr>
              <w:autoSpaceDE w:val="0"/>
              <w:spacing w:beforeLines="20" w:afterLines="20" w:line="360" w:lineRule="auto"/>
              <w:ind w:left="105" w:leftChars="50" w:right="105" w:rightChars="50" w:firstLine="442"/>
              <w:rPr>
                <w:rFonts w:ascii="宋体" w:hAnsi="宋体" w:eastAsia="宋体" w:cs="宋体"/>
                <w:color w:val="auto"/>
                <w:sz w:val="22"/>
                <w:highlight w:val="none"/>
              </w:rPr>
            </w:pPr>
          </w:p>
        </w:tc>
      </w:tr>
      <w:tr w14:paraId="252BE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ign w:val="center"/>
          </w:tcPr>
          <w:p w14:paraId="4D43C54C">
            <w:pPr>
              <w:spacing w:beforeLines="20" w:afterLines="20" w:line="360" w:lineRule="auto"/>
              <w:ind w:left="105" w:leftChars="50" w:right="105" w:rightChars="50" w:firstLine="440"/>
              <w:jc w:val="center"/>
              <w:rPr>
                <w:rFonts w:ascii="宋体" w:hAnsi="宋体" w:eastAsia="宋体" w:cs="宋体"/>
                <w:b/>
                <w:bCs/>
                <w:color w:val="auto"/>
                <w:sz w:val="22"/>
                <w:highlight w:val="none"/>
              </w:rPr>
            </w:pPr>
          </w:p>
        </w:tc>
        <w:tc>
          <w:tcPr>
            <w:tcW w:w="7145" w:type="dxa"/>
            <w:tcBorders>
              <w:top w:val="single" w:color="auto" w:sz="4" w:space="0"/>
              <w:left w:val="nil"/>
              <w:bottom w:val="single" w:color="auto" w:sz="4" w:space="0"/>
              <w:right w:val="single" w:color="auto" w:sz="4" w:space="0"/>
            </w:tcBorders>
            <w:noWrap/>
            <w:vAlign w:val="center"/>
          </w:tcPr>
          <w:p w14:paraId="7F5A6300">
            <w:pPr>
              <w:spacing w:beforeLines="50" w:afterLines="50"/>
              <w:jc w:val="left"/>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4</w:t>
            </w:r>
            <w:r>
              <w:rPr>
                <w:rFonts w:hint="eastAsia" w:ascii="宋体" w:hAnsi="宋体" w:eastAsia="宋体" w:cs="宋体"/>
                <w:color w:val="auto"/>
                <w:kern w:val="0"/>
                <w:sz w:val="22"/>
                <w:highlight w:val="none"/>
              </w:rPr>
              <w:t>、实际施工与合同要求、设计图纸不符的，每次扣10分。</w:t>
            </w:r>
          </w:p>
        </w:tc>
        <w:tc>
          <w:tcPr>
            <w:tcW w:w="1003" w:type="dxa"/>
            <w:tcBorders>
              <w:top w:val="single" w:color="auto" w:sz="4" w:space="0"/>
              <w:left w:val="nil"/>
              <w:bottom w:val="single" w:color="auto" w:sz="4" w:space="0"/>
              <w:right w:val="single" w:color="auto" w:sz="4" w:space="0"/>
            </w:tcBorders>
            <w:noWrap/>
            <w:vAlign w:val="center"/>
          </w:tcPr>
          <w:p w14:paraId="76BB3E28">
            <w:pPr>
              <w:autoSpaceDE w:val="0"/>
              <w:spacing w:beforeLines="20" w:afterLines="20" w:line="360" w:lineRule="auto"/>
              <w:ind w:left="105" w:leftChars="50" w:right="105" w:rightChars="50" w:firstLine="442"/>
              <w:rPr>
                <w:rFonts w:ascii="宋体" w:hAnsi="宋体" w:eastAsia="宋体" w:cs="宋体"/>
                <w:color w:val="auto"/>
                <w:sz w:val="22"/>
                <w:highlight w:val="none"/>
              </w:rPr>
            </w:pPr>
          </w:p>
        </w:tc>
      </w:tr>
      <w:tr w14:paraId="152BC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ign w:val="center"/>
          </w:tcPr>
          <w:p w14:paraId="6622C4A5">
            <w:pPr>
              <w:spacing w:beforeLines="20" w:afterLines="20" w:line="360" w:lineRule="auto"/>
              <w:ind w:left="105" w:leftChars="50" w:right="105" w:rightChars="50" w:firstLine="440"/>
              <w:jc w:val="center"/>
              <w:rPr>
                <w:rFonts w:ascii="宋体" w:hAnsi="宋体" w:eastAsia="宋体" w:cs="宋体"/>
                <w:b/>
                <w:bCs/>
                <w:color w:val="auto"/>
                <w:sz w:val="22"/>
                <w:highlight w:val="none"/>
              </w:rPr>
            </w:pPr>
          </w:p>
        </w:tc>
        <w:tc>
          <w:tcPr>
            <w:tcW w:w="7145" w:type="dxa"/>
            <w:tcBorders>
              <w:top w:val="single" w:color="auto" w:sz="4" w:space="0"/>
              <w:left w:val="nil"/>
              <w:bottom w:val="single" w:color="auto" w:sz="4" w:space="0"/>
              <w:right w:val="single" w:color="auto" w:sz="4" w:space="0"/>
            </w:tcBorders>
            <w:noWrap/>
            <w:vAlign w:val="center"/>
          </w:tcPr>
          <w:p w14:paraId="77D28415">
            <w:pPr>
              <w:spacing w:beforeLines="50" w:afterLines="50"/>
              <w:jc w:val="left"/>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5</w:t>
            </w:r>
            <w:r>
              <w:rPr>
                <w:rFonts w:hint="eastAsia" w:ascii="宋体" w:hAnsi="宋体" w:eastAsia="宋体" w:cs="宋体"/>
                <w:color w:val="auto"/>
                <w:kern w:val="0"/>
                <w:sz w:val="22"/>
                <w:highlight w:val="none"/>
              </w:rPr>
              <w:t>、不符合安全文明施工要求的，每次扣10分。</w:t>
            </w:r>
          </w:p>
        </w:tc>
        <w:tc>
          <w:tcPr>
            <w:tcW w:w="1003" w:type="dxa"/>
            <w:tcBorders>
              <w:top w:val="single" w:color="auto" w:sz="4" w:space="0"/>
              <w:left w:val="nil"/>
              <w:bottom w:val="single" w:color="auto" w:sz="4" w:space="0"/>
              <w:right w:val="single" w:color="auto" w:sz="4" w:space="0"/>
            </w:tcBorders>
            <w:noWrap/>
            <w:vAlign w:val="center"/>
          </w:tcPr>
          <w:p w14:paraId="34CF7EF9">
            <w:pPr>
              <w:autoSpaceDE w:val="0"/>
              <w:spacing w:beforeLines="20" w:afterLines="20" w:line="360" w:lineRule="auto"/>
              <w:ind w:left="105" w:leftChars="50" w:right="105" w:rightChars="50" w:firstLine="442"/>
              <w:rPr>
                <w:rFonts w:ascii="宋体" w:hAnsi="宋体" w:eastAsia="宋体" w:cs="宋体"/>
                <w:color w:val="auto"/>
                <w:sz w:val="22"/>
                <w:highlight w:val="none"/>
              </w:rPr>
            </w:pPr>
          </w:p>
        </w:tc>
      </w:tr>
      <w:tr w14:paraId="1D4C0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ign w:val="center"/>
          </w:tcPr>
          <w:p w14:paraId="36916A58">
            <w:pPr>
              <w:spacing w:beforeLines="20" w:afterLines="20" w:line="360" w:lineRule="auto"/>
              <w:ind w:left="105" w:leftChars="50" w:right="105" w:rightChars="50" w:firstLine="440"/>
              <w:jc w:val="center"/>
              <w:rPr>
                <w:rFonts w:ascii="宋体" w:hAnsi="宋体" w:eastAsia="宋体" w:cs="宋体"/>
                <w:b/>
                <w:bCs/>
                <w:color w:val="auto"/>
                <w:sz w:val="22"/>
                <w:highlight w:val="none"/>
              </w:rPr>
            </w:pPr>
          </w:p>
        </w:tc>
        <w:tc>
          <w:tcPr>
            <w:tcW w:w="7145" w:type="dxa"/>
            <w:tcBorders>
              <w:top w:val="single" w:color="auto" w:sz="4" w:space="0"/>
              <w:left w:val="nil"/>
              <w:bottom w:val="single" w:color="auto" w:sz="4" w:space="0"/>
              <w:right w:val="single" w:color="auto" w:sz="4" w:space="0"/>
            </w:tcBorders>
            <w:noWrap/>
            <w:vAlign w:val="center"/>
          </w:tcPr>
          <w:p w14:paraId="348C6644">
            <w:pPr>
              <w:spacing w:beforeLines="50" w:afterLines="50"/>
              <w:jc w:val="left"/>
              <w:rPr>
                <w:rFonts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6</w:t>
            </w:r>
            <w:r>
              <w:rPr>
                <w:rFonts w:hint="eastAsia" w:ascii="宋体" w:hAnsi="宋体" w:eastAsia="宋体" w:cs="宋体"/>
                <w:color w:val="auto"/>
                <w:kern w:val="0"/>
                <w:sz w:val="22"/>
                <w:highlight w:val="none"/>
              </w:rPr>
              <w:t>、对验收中发现的问题未按要求整改或整改不彻底的 ，每次扣</w:t>
            </w:r>
            <w:r>
              <w:rPr>
                <w:rFonts w:hint="eastAsia" w:ascii="宋体" w:hAnsi="宋体" w:eastAsia="宋体" w:cs="宋体"/>
                <w:color w:val="auto"/>
                <w:kern w:val="0"/>
                <w:sz w:val="22"/>
                <w:highlight w:val="none"/>
                <w:lang w:val="en-US" w:eastAsia="zh-CN"/>
              </w:rPr>
              <w:t>5</w:t>
            </w:r>
            <w:r>
              <w:rPr>
                <w:rFonts w:hint="eastAsia" w:ascii="宋体" w:hAnsi="宋体" w:eastAsia="宋体" w:cs="宋体"/>
                <w:color w:val="auto"/>
                <w:kern w:val="0"/>
                <w:sz w:val="22"/>
                <w:highlight w:val="none"/>
              </w:rPr>
              <w:t>分。</w:t>
            </w:r>
          </w:p>
        </w:tc>
        <w:tc>
          <w:tcPr>
            <w:tcW w:w="1003" w:type="dxa"/>
            <w:tcBorders>
              <w:top w:val="single" w:color="auto" w:sz="4" w:space="0"/>
              <w:left w:val="nil"/>
              <w:bottom w:val="single" w:color="auto" w:sz="4" w:space="0"/>
              <w:right w:val="single" w:color="auto" w:sz="4" w:space="0"/>
            </w:tcBorders>
            <w:noWrap/>
            <w:vAlign w:val="center"/>
          </w:tcPr>
          <w:p w14:paraId="2349B696">
            <w:pPr>
              <w:autoSpaceDE w:val="0"/>
              <w:spacing w:beforeLines="20" w:afterLines="20" w:line="360" w:lineRule="auto"/>
              <w:ind w:left="105" w:leftChars="50" w:right="105" w:rightChars="50" w:firstLine="442"/>
              <w:rPr>
                <w:rFonts w:ascii="宋体" w:hAnsi="宋体" w:eastAsia="宋体" w:cs="宋体"/>
                <w:color w:val="auto"/>
                <w:sz w:val="22"/>
                <w:highlight w:val="none"/>
              </w:rPr>
            </w:pPr>
          </w:p>
        </w:tc>
      </w:tr>
      <w:tr w14:paraId="22FB3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tcBorders>
              <w:left w:val="single" w:color="auto" w:sz="4" w:space="0"/>
              <w:right w:val="single" w:color="auto" w:sz="4" w:space="0"/>
            </w:tcBorders>
            <w:noWrap/>
            <w:vAlign w:val="center"/>
          </w:tcPr>
          <w:p w14:paraId="4D8B5981">
            <w:pPr>
              <w:autoSpaceDE w:val="0"/>
              <w:spacing w:beforeLines="20" w:afterLines="20" w:line="360" w:lineRule="auto"/>
              <w:ind w:right="105" w:rightChars="50"/>
              <w:jc w:val="center"/>
              <w:rPr>
                <w:rFonts w:ascii="宋体" w:hAnsi="宋体" w:eastAsia="宋体" w:cs="宋体"/>
                <w:b/>
                <w:bCs/>
                <w:color w:val="auto"/>
                <w:sz w:val="22"/>
                <w:highlight w:val="none"/>
              </w:rPr>
            </w:pPr>
            <w:r>
              <w:rPr>
                <w:rFonts w:hint="eastAsia" w:ascii="宋体" w:hAnsi="宋体" w:eastAsia="宋体" w:cs="宋体"/>
                <w:b/>
                <w:bCs/>
                <w:color w:val="auto"/>
                <w:sz w:val="22"/>
                <w:highlight w:val="none"/>
              </w:rPr>
              <w:t>资料管理</w:t>
            </w:r>
          </w:p>
        </w:tc>
        <w:tc>
          <w:tcPr>
            <w:tcW w:w="7145" w:type="dxa"/>
            <w:tcBorders>
              <w:top w:val="single" w:color="auto" w:sz="4" w:space="0"/>
              <w:left w:val="nil"/>
              <w:bottom w:val="single" w:color="auto" w:sz="4" w:space="0"/>
              <w:right w:val="single" w:color="auto" w:sz="4" w:space="0"/>
            </w:tcBorders>
            <w:noWrap/>
            <w:vAlign w:val="center"/>
          </w:tcPr>
          <w:p w14:paraId="341377D8">
            <w:pPr>
              <w:spacing w:beforeLines="50" w:afterLines="50"/>
              <w:jc w:val="left"/>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1、验收资料、验收单记录不完整或未按要求提供的，每次扣2分。经采购人提醒后任未整改到位的，每次扣</w:t>
            </w:r>
            <w:r>
              <w:rPr>
                <w:rFonts w:hint="eastAsia" w:ascii="宋体" w:hAnsi="宋体" w:eastAsia="宋体" w:cs="宋体"/>
                <w:color w:val="auto"/>
                <w:kern w:val="0"/>
                <w:sz w:val="22"/>
                <w:highlight w:val="none"/>
                <w:lang w:val="en-US" w:eastAsia="zh-CN"/>
              </w:rPr>
              <w:t>5</w:t>
            </w:r>
            <w:r>
              <w:rPr>
                <w:rFonts w:hint="eastAsia" w:ascii="宋体" w:hAnsi="宋体" w:eastAsia="宋体" w:cs="宋体"/>
                <w:color w:val="auto"/>
                <w:kern w:val="0"/>
                <w:sz w:val="22"/>
                <w:highlight w:val="none"/>
              </w:rPr>
              <w:t>分。</w:t>
            </w:r>
          </w:p>
        </w:tc>
        <w:tc>
          <w:tcPr>
            <w:tcW w:w="1003" w:type="dxa"/>
            <w:tcBorders>
              <w:top w:val="single" w:color="auto" w:sz="4" w:space="0"/>
              <w:left w:val="nil"/>
              <w:bottom w:val="single" w:color="auto" w:sz="4" w:space="0"/>
              <w:right w:val="single" w:color="auto" w:sz="4" w:space="0"/>
            </w:tcBorders>
            <w:noWrap/>
            <w:vAlign w:val="center"/>
          </w:tcPr>
          <w:p w14:paraId="3F3F42FF">
            <w:pPr>
              <w:autoSpaceDE w:val="0"/>
              <w:spacing w:beforeLines="20" w:afterLines="20" w:line="360" w:lineRule="auto"/>
              <w:ind w:left="105" w:leftChars="50" w:right="105" w:rightChars="50" w:firstLine="442"/>
              <w:rPr>
                <w:rFonts w:ascii="宋体" w:hAnsi="宋体" w:eastAsia="宋体" w:cs="宋体"/>
                <w:color w:val="auto"/>
                <w:sz w:val="22"/>
                <w:highlight w:val="none"/>
              </w:rPr>
            </w:pPr>
          </w:p>
        </w:tc>
      </w:tr>
      <w:tr w14:paraId="1E81C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restart"/>
            <w:tcBorders>
              <w:left w:val="single" w:color="auto" w:sz="4" w:space="0"/>
              <w:right w:val="single" w:color="auto" w:sz="4" w:space="0"/>
            </w:tcBorders>
            <w:noWrap/>
            <w:vAlign w:val="center"/>
          </w:tcPr>
          <w:p w14:paraId="433FDBDD">
            <w:pPr>
              <w:keepNext w:val="0"/>
              <w:keepLines w:val="0"/>
              <w:pageBreakBefore w:val="0"/>
              <w:widowControl w:val="0"/>
              <w:kinsoku/>
              <w:wordWrap/>
              <w:overflowPunct/>
              <w:topLinePunct w:val="0"/>
              <w:autoSpaceDN/>
              <w:bidi w:val="0"/>
              <w:adjustRightInd/>
              <w:snapToGrid/>
              <w:spacing w:before="58" w:beforeLines="20" w:after="58" w:afterLines="20" w:line="240" w:lineRule="auto"/>
              <w:ind w:left="0" w:leftChars="0" w:right="0" w:rightChars="0" w:firstLine="0" w:firstLineChars="0"/>
              <w:jc w:val="center"/>
              <w:textAlignment w:val="auto"/>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lang w:val="en-US" w:eastAsia="zh-CN"/>
              </w:rPr>
              <w:t>服务效率</w:t>
            </w:r>
          </w:p>
        </w:tc>
        <w:tc>
          <w:tcPr>
            <w:tcW w:w="7145" w:type="dxa"/>
            <w:tcBorders>
              <w:top w:val="single" w:color="auto" w:sz="4" w:space="0"/>
              <w:left w:val="nil"/>
              <w:bottom w:val="single" w:color="auto" w:sz="4" w:space="0"/>
              <w:right w:val="single" w:color="auto" w:sz="4" w:space="0"/>
            </w:tcBorders>
            <w:noWrap/>
            <w:vAlign w:val="center"/>
          </w:tcPr>
          <w:p w14:paraId="311DB6A0">
            <w:pPr>
              <w:spacing w:beforeLines="50" w:afterLines="50"/>
              <w:jc w:val="left"/>
              <w:rPr>
                <w:rFonts w:hint="eastAsia"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1、未按业主要求进场，每次扣5分。每延误一天，扣2分/天。</w:t>
            </w:r>
          </w:p>
        </w:tc>
        <w:tc>
          <w:tcPr>
            <w:tcW w:w="1003" w:type="dxa"/>
            <w:tcBorders>
              <w:top w:val="single" w:color="auto" w:sz="4" w:space="0"/>
              <w:left w:val="nil"/>
              <w:bottom w:val="single" w:color="auto" w:sz="4" w:space="0"/>
              <w:right w:val="single" w:color="auto" w:sz="4" w:space="0"/>
            </w:tcBorders>
            <w:noWrap/>
            <w:vAlign w:val="center"/>
          </w:tcPr>
          <w:p w14:paraId="2EB6EF22">
            <w:pPr>
              <w:autoSpaceDE w:val="0"/>
              <w:spacing w:beforeLines="20" w:afterLines="20" w:line="360" w:lineRule="auto"/>
              <w:ind w:left="105" w:leftChars="50" w:right="105" w:rightChars="50" w:firstLine="442"/>
              <w:rPr>
                <w:rFonts w:ascii="宋体" w:hAnsi="宋体" w:eastAsia="宋体" w:cs="宋体"/>
                <w:color w:val="auto"/>
                <w:sz w:val="22"/>
                <w:highlight w:val="none"/>
              </w:rPr>
            </w:pPr>
          </w:p>
        </w:tc>
      </w:tr>
      <w:tr w14:paraId="00F2F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ign w:val="center"/>
          </w:tcPr>
          <w:p w14:paraId="25C6796F">
            <w:pPr>
              <w:keepNext w:val="0"/>
              <w:keepLines w:val="0"/>
              <w:pageBreakBefore w:val="0"/>
              <w:widowControl w:val="0"/>
              <w:kinsoku/>
              <w:wordWrap/>
              <w:overflowPunct/>
              <w:topLinePunct w:val="0"/>
              <w:autoSpaceDN/>
              <w:bidi w:val="0"/>
              <w:adjustRightInd/>
              <w:snapToGrid/>
              <w:spacing w:before="58" w:beforeLines="20" w:after="58" w:afterLines="20" w:line="240" w:lineRule="auto"/>
              <w:ind w:left="0" w:leftChars="0" w:right="0" w:rightChars="0" w:firstLine="0" w:firstLineChars="0"/>
              <w:jc w:val="center"/>
              <w:textAlignment w:val="auto"/>
              <w:rPr>
                <w:rFonts w:hint="eastAsia" w:ascii="宋体" w:hAnsi="宋体" w:eastAsia="宋体" w:cs="宋体"/>
                <w:b/>
                <w:bCs/>
                <w:color w:val="auto"/>
                <w:sz w:val="22"/>
                <w:highlight w:val="none"/>
                <w:lang w:val="en-US" w:eastAsia="zh-CN"/>
              </w:rPr>
            </w:pPr>
          </w:p>
        </w:tc>
        <w:tc>
          <w:tcPr>
            <w:tcW w:w="7145" w:type="dxa"/>
            <w:tcBorders>
              <w:top w:val="single" w:color="auto" w:sz="4" w:space="0"/>
              <w:left w:val="nil"/>
              <w:bottom w:val="single" w:color="auto" w:sz="4" w:space="0"/>
              <w:right w:val="single" w:color="auto" w:sz="4" w:space="0"/>
            </w:tcBorders>
            <w:noWrap/>
            <w:vAlign w:val="center"/>
          </w:tcPr>
          <w:p w14:paraId="3B2384F3">
            <w:pPr>
              <w:spacing w:beforeLines="50" w:afterLines="50"/>
              <w:jc w:val="left"/>
              <w:rPr>
                <w:rFonts w:hint="eastAsia" w:ascii="宋体" w:hAnsi="宋体" w:eastAsia="宋体" w:cs="宋体"/>
                <w:color w:val="auto"/>
                <w:kern w:val="0"/>
                <w:sz w:val="22"/>
                <w:highlight w:val="none"/>
              </w:rPr>
            </w:pPr>
            <w:r>
              <w:rPr>
                <w:rFonts w:hint="eastAsia" w:ascii="宋体" w:hAnsi="宋体" w:eastAsia="宋体" w:cs="宋体"/>
                <w:color w:val="auto"/>
                <w:kern w:val="0"/>
                <w:sz w:val="22"/>
                <w:highlight w:val="none"/>
                <w:lang w:val="en-US" w:eastAsia="zh-CN"/>
              </w:rPr>
              <w:t>2、投入人员、设备数量不足影响施工的，每次扣5分。</w:t>
            </w:r>
          </w:p>
        </w:tc>
        <w:tc>
          <w:tcPr>
            <w:tcW w:w="1003" w:type="dxa"/>
            <w:tcBorders>
              <w:top w:val="single" w:color="auto" w:sz="4" w:space="0"/>
              <w:left w:val="nil"/>
              <w:bottom w:val="single" w:color="auto" w:sz="4" w:space="0"/>
              <w:right w:val="single" w:color="auto" w:sz="4" w:space="0"/>
            </w:tcBorders>
            <w:noWrap/>
            <w:vAlign w:val="center"/>
          </w:tcPr>
          <w:p w14:paraId="5E34F559">
            <w:pPr>
              <w:autoSpaceDE w:val="0"/>
              <w:spacing w:beforeLines="20" w:afterLines="20" w:line="360" w:lineRule="auto"/>
              <w:ind w:left="105" w:leftChars="50" w:right="105" w:rightChars="50" w:firstLine="442"/>
              <w:rPr>
                <w:rFonts w:ascii="宋体" w:hAnsi="宋体" w:eastAsia="宋体" w:cs="宋体"/>
                <w:color w:val="auto"/>
                <w:sz w:val="22"/>
                <w:highlight w:val="none"/>
              </w:rPr>
            </w:pPr>
          </w:p>
        </w:tc>
      </w:tr>
      <w:tr w14:paraId="68E90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tcBorders>
              <w:left w:val="single" w:color="auto" w:sz="4" w:space="0"/>
              <w:bottom w:val="single" w:color="auto" w:sz="4" w:space="0"/>
              <w:right w:val="single" w:color="auto" w:sz="4" w:space="0"/>
            </w:tcBorders>
            <w:noWrap/>
            <w:vAlign w:val="center"/>
          </w:tcPr>
          <w:p w14:paraId="0435D46F">
            <w:pPr>
              <w:autoSpaceDE w:val="0"/>
              <w:spacing w:beforeLines="20" w:afterLines="20" w:line="360" w:lineRule="auto"/>
              <w:ind w:right="105" w:rightChars="50"/>
              <w:jc w:val="center"/>
              <w:rPr>
                <w:rFonts w:ascii="宋体" w:hAnsi="宋体" w:eastAsia="宋体" w:cs="宋体"/>
                <w:b/>
                <w:bCs/>
                <w:color w:val="auto"/>
                <w:sz w:val="22"/>
                <w:highlight w:val="none"/>
              </w:rPr>
            </w:pPr>
            <w:r>
              <w:rPr>
                <w:rFonts w:hint="eastAsia" w:ascii="宋体" w:hAnsi="宋体" w:eastAsia="宋体" w:cs="宋体"/>
                <w:b/>
                <w:bCs/>
                <w:color w:val="auto"/>
                <w:sz w:val="22"/>
                <w:highlight w:val="none"/>
              </w:rPr>
              <w:t>其他</w:t>
            </w:r>
          </w:p>
        </w:tc>
        <w:tc>
          <w:tcPr>
            <w:tcW w:w="7145" w:type="dxa"/>
            <w:tcBorders>
              <w:top w:val="single" w:color="auto" w:sz="4" w:space="0"/>
              <w:left w:val="nil"/>
              <w:bottom w:val="single" w:color="auto" w:sz="4" w:space="0"/>
              <w:right w:val="single" w:color="auto" w:sz="4" w:space="0"/>
            </w:tcBorders>
            <w:noWrap/>
            <w:vAlign w:val="center"/>
          </w:tcPr>
          <w:p w14:paraId="04141267">
            <w:pPr>
              <w:spacing w:beforeLines="50" w:afterLines="50"/>
              <w:jc w:val="left"/>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在上级检查过程中，因供应商自身原因产生不良后果的，扣40分。</w:t>
            </w:r>
          </w:p>
        </w:tc>
        <w:tc>
          <w:tcPr>
            <w:tcW w:w="1003" w:type="dxa"/>
            <w:tcBorders>
              <w:top w:val="single" w:color="auto" w:sz="4" w:space="0"/>
              <w:left w:val="nil"/>
              <w:bottom w:val="single" w:color="auto" w:sz="4" w:space="0"/>
              <w:right w:val="single" w:color="auto" w:sz="4" w:space="0"/>
            </w:tcBorders>
            <w:noWrap/>
            <w:vAlign w:val="center"/>
          </w:tcPr>
          <w:p w14:paraId="46227B4C">
            <w:pPr>
              <w:autoSpaceDE w:val="0"/>
              <w:spacing w:beforeLines="20" w:afterLines="20" w:line="360" w:lineRule="auto"/>
              <w:ind w:left="105" w:leftChars="50" w:right="105" w:rightChars="50" w:firstLine="442"/>
              <w:rPr>
                <w:rFonts w:ascii="宋体" w:hAnsi="宋体" w:eastAsia="宋体" w:cs="宋体"/>
                <w:color w:val="auto"/>
                <w:sz w:val="22"/>
                <w:highlight w:val="none"/>
              </w:rPr>
            </w:pPr>
          </w:p>
        </w:tc>
      </w:tr>
      <w:tr w14:paraId="4CE5A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tcBorders>
              <w:top w:val="single" w:color="auto" w:sz="4" w:space="0"/>
              <w:left w:val="single" w:color="auto" w:sz="4" w:space="0"/>
              <w:bottom w:val="single" w:color="auto" w:sz="4" w:space="0"/>
              <w:right w:val="single" w:color="auto" w:sz="4" w:space="0"/>
            </w:tcBorders>
            <w:noWrap/>
            <w:vAlign w:val="center"/>
          </w:tcPr>
          <w:p w14:paraId="6648AC03">
            <w:pPr>
              <w:autoSpaceDE w:val="0"/>
              <w:spacing w:beforeLines="20" w:afterLines="20" w:line="360" w:lineRule="auto"/>
              <w:ind w:right="105" w:rightChars="50"/>
              <w:jc w:val="center"/>
              <w:rPr>
                <w:rFonts w:ascii="宋体" w:hAnsi="宋体" w:eastAsia="宋体" w:cs="宋体"/>
                <w:b/>
                <w:color w:val="auto"/>
                <w:sz w:val="22"/>
                <w:highlight w:val="none"/>
              </w:rPr>
            </w:pPr>
            <w:r>
              <w:rPr>
                <w:rFonts w:hint="eastAsia" w:ascii="宋体" w:hAnsi="宋体" w:eastAsia="宋体" w:cs="宋体"/>
                <w:b/>
                <w:color w:val="auto"/>
                <w:sz w:val="22"/>
                <w:highlight w:val="none"/>
              </w:rPr>
              <w:t>考核得分</w:t>
            </w:r>
          </w:p>
        </w:tc>
        <w:tc>
          <w:tcPr>
            <w:tcW w:w="8148" w:type="dxa"/>
            <w:gridSpan w:val="2"/>
            <w:tcBorders>
              <w:top w:val="single" w:color="auto" w:sz="4" w:space="0"/>
              <w:left w:val="single" w:color="auto" w:sz="4" w:space="0"/>
              <w:bottom w:val="single" w:color="auto" w:sz="4" w:space="0"/>
              <w:right w:val="single" w:color="auto" w:sz="4" w:space="0"/>
            </w:tcBorders>
            <w:noWrap/>
            <w:vAlign w:val="center"/>
          </w:tcPr>
          <w:p w14:paraId="04965CF3">
            <w:pPr>
              <w:autoSpaceDE w:val="0"/>
              <w:spacing w:beforeLines="20" w:afterLines="20" w:line="360" w:lineRule="auto"/>
              <w:ind w:right="105" w:rightChars="50" w:firstLine="440"/>
              <w:jc w:val="left"/>
              <w:rPr>
                <w:rFonts w:ascii="宋体" w:hAnsi="宋体" w:eastAsia="宋体" w:cs="宋体"/>
                <w:b/>
                <w:bCs/>
                <w:color w:val="auto"/>
                <w:sz w:val="22"/>
                <w:highlight w:val="none"/>
              </w:rPr>
            </w:pPr>
            <w:r>
              <w:rPr>
                <w:rFonts w:hint="eastAsia" w:ascii="宋体" w:hAnsi="宋体" w:eastAsia="宋体" w:cs="宋体"/>
                <w:b/>
                <w:bCs/>
                <w:color w:val="auto"/>
                <w:sz w:val="22"/>
                <w:highlight w:val="none"/>
              </w:rPr>
              <w:t>总扣分：                               总得分：</w:t>
            </w:r>
          </w:p>
        </w:tc>
      </w:tr>
    </w:tbl>
    <w:p w14:paraId="66C75614">
      <w:pPr>
        <w:spacing w:line="360" w:lineRule="auto"/>
        <w:ind w:firstLine="48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说明：考核得分=100分－扣分项</w:t>
      </w:r>
    </w:p>
    <w:p w14:paraId="6DF26095">
      <w:pPr>
        <w:spacing w:line="360" w:lineRule="auto"/>
        <w:ind w:firstLine="480" w:firstLineChars="200"/>
        <w:contextualSpacing/>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（3）考核结果应用</w:t>
      </w:r>
    </w:p>
    <w:p w14:paraId="16CD6DD9">
      <w:pPr>
        <w:spacing w:line="360" w:lineRule="auto"/>
        <w:ind w:firstLine="480" w:firstLineChars="200"/>
        <w:contextualSpacing/>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1）单次考核总分值100分：</w:t>
      </w:r>
    </w:p>
    <w:p w14:paraId="05E78E30">
      <w:pPr>
        <w:spacing w:line="360" w:lineRule="auto"/>
        <w:ind w:firstLine="480" w:firstLineChars="200"/>
        <w:contextualSpacing/>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①得分90分（含）以上的不扣罚；</w:t>
      </w:r>
    </w:p>
    <w:p w14:paraId="2D651AF2">
      <w:pPr>
        <w:spacing w:line="360" w:lineRule="auto"/>
        <w:ind w:firstLine="480" w:firstLineChars="200"/>
        <w:contextualSpacing/>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②得分在90-70分（含）之间的扣罚5000元/次；</w:t>
      </w:r>
    </w:p>
    <w:p w14:paraId="007DEADA">
      <w:pPr>
        <w:spacing w:line="360" w:lineRule="auto"/>
        <w:ind w:firstLine="480" w:firstLineChars="200"/>
        <w:contextualSpacing/>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③得分低于70分的扣罚10000元，并且直接解除合同。</w:t>
      </w:r>
    </w:p>
    <w:p w14:paraId="525A99EA">
      <w:pPr>
        <w:spacing w:line="360" w:lineRule="auto"/>
        <w:ind w:firstLine="480" w:firstLineChars="200"/>
        <w:contextualSpacing/>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2）最终考核等次依据为历次考核得分平均分，考核等次纳入采购人的供应商信用评价体系：</w:t>
      </w:r>
    </w:p>
    <w:p w14:paraId="7F71072C">
      <w:pPr>
        <w:spacing w:line="360" w:lineRule="auto"/>
        <w:ind w:firstLine="480" w:firstLineChars="200"/>
        <w:contextualSpacing/>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①得分90分（含）以上的为优秀；</w:t>
      </w:r>
    </w:p>
    <w:p w14:paraId="4CDCF98B">
      <w:pPr>
        <w:spacing w:line="360" w:lineRule="auto"/>
        <w:ind w:firstLine="480" w:firstLineChars="200"/>
        <w:contextualSpacing/>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②得分在90-70分（含）之间的为合格；</w:t>
      </w:r>
    </w:p>
    <w:p w14:paraId="2B54E26B">
      <w:pPr>
        <w:spacing w:line="360" w:lineRule="auto"/>
        <w:ind w:firstLine="480" w:firstLineChars="200"/>
        <w:contextualSpacing/>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③得分低于70分为不合格。</w:t>
      </w:r>
    </w:p>
    <w:p w14:paraId="0067A8D1">
      <w:pPr>
        <w:spacing w:line="360" w:lineRule="auto"/>
        <w:contextualSpacing/>
        <w:rPr>
          <w:rFonts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rPr>
        <w:t>（五）采购标的其他技术、服务等要求</w:t>
      </w:r>
    </w:p>
    <w:p w14:paraId="5086EE18">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1、投标供应商在中标后充分响应招标文件“项目需求”中各项要求，保质、保量、按时向招标人提供优质服务；</w:t>
      </w:r>
    </w:p>
    <w:p w14:paraId="2F757491">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供应商应充分考虑货物生产（运输）、原材料价格、市内施工、疫情等因素，在合同期内如因上述原因不能履行投标承诺，招标人按违约处理并立即终止合同。如因不可抗拒力导致无法履约的，投标供应商应以书面形式向招标人作出说明并征得招标人认可，否则作违约处理；</w:t>
      </w:r>
    </w:p>
    <w:p w14:paraId="24AC6332">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供应商在合同期内无条件配合招标人在数量、质量、服务等方面的各项检查、抽查工作，并承担由此产生的费用。如在检查过程中发现不符合的情况，投标供应商须接受相应处罚，并无条件承担由此造成的一切损失及一切后果。</w:t>
      </w:r>
    </w:p>
    <w:p w14:paraId="7E820C35">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4、投标供应商在项目实施期间需提供</w:t>
      </w:r>
      <w:r>
        <w:rPr>
          <w:rFonts w:hint="eastAsia" w:ascii="宋体" w:hAnsi="宋体" w:eastAsia="宋体" w:cs="宋体"/>
          <w:color w:val="auto"/>
          <w:sz w:val="24"/>
          <w:szCs w:val="24"/>
          <w:highlight w:val="none"/>
          <w:lang w:eastAsia="zh-Hans"/>
        </w:rPr>
        <w:t>改性地聚合物</w:t>
      </w:r>
      <w:r>
        <w:rPr>
          <w:rFonts w:hint="eastAsia" w:ascii="宋体" w:hAnsi="宋体" w:eastAsia="宋体" w:cs="宋体"/>
          <w:color w:val="auto"/>
          <w:sz w:val="24"/>
          <w:szCs w:val="24"/>
          <w:highlight w:val="none"/>
        </w:rPr>
        <w:t>材料相关检测报告，</w:t>
      </w:r>
      <w:r>
        <w:rPr>
          <w:rFonts w:hint="eastAsia" w:ascii="宋体" w:hAnsi="宋体" w:eastAsia="宋体" w:cs="宋体"/>
          <w:color w:val="auto"/>
          <w:sz w:val="24"/>
          <w:szCs w:val="24"/>
          <w:highlight w:val="none"/>
          <w:lang w:eastAsia="zh-Hans"/>
        </w:rPr>
        <w:t>施工</w:t>
      </w:r>
      <w:r>
        <w:rPr>
          <w:rFonts w:hint="eastAsia" w:ascii="宋体" w:hAnsi="宋体" w:eastAsia="宋体" w:cs="宋体"/>
          <w:color w:val="auto"/>
          <w:sz w:val="24"/>
          <w:szCs w:val="24"/>
          <w:highlight w:val="none"/>
        </w:rPr>
        <w:t>完成后按有关规范要求提供标准试验段等相关数据。</w:t>
      </w:r>
    </w:p>
    <w:p w14:paraId="51980492">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5、成交供应商在质保期内无偿负责由自身原因导致的</w:t>
      </w:r>
      <w:r>
        <w:rPr>
          <w:rFonts w:hint="eastAsia" w:ascii="宋体" w:hAnsi="宋体" w:eastAsia="宋体" w:cs="宋体"/>
          <w:color w:val="auto"/>
          <w:sz w:val="24"/>
          <w:szCs w:val="24"/>
          <w:highlight w:val="none"/>
          <w:lang w:eastAsia="zh-Hans"/>
        </w:rPr>
        <w:t>路基</w:t>
      </w:r>
      <w:r>
        <w:rPr>
          <w:rFonts w:hint="eastAsia" w:ascii="宋体" w:hAnsi="宋体" w:eastAsia="宋体" w:cs="宋体"/>
          <w:color w:val="auto"/>
          <w:sz w:val="24"/>
          <w:szCs w:val="24"/>
          <w:highlight w:val="none"/>
        </w:rPr>
        <w:t>病害的消除。如成交供应商拒绝消除病害或无法达到修复标准的，招标人有权通知第三方实施病害消除，所发生的费用在余款内扣除，超出部分由成交供应商承担。</w:t>
      </w:r>
    </w:p>
    <w:p w14:paraId="08F46610">
      <w:pPr>
        <w:spacing w:line="440" w:lineRule="exact"/>
        <w:contextualSpacing/>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三、商务要求</w:t>
      </w:r>
    </w:p>
    <w:p w14:paraId="72371B43">
      <w:pPr>
        <w:spacing w:before="48" w:after="48" w:line="440" w:lineRule="exact"/>
        <w:contextualSpacing/>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（一）采购标的数量、采购项目交付或者实施的时间和地点</w:t>
      </w:r>
    </w:p>
    <w:p w14:paraId="634DD457">
      <w:pPr>
        <w:spacing w:before="48" w:after="48" w:line="440" w:lineRule="exact"/>
        <w:ind w:firstLine="480" w:firstLineChars="200"/>
        <w:contextualSpacing/>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1、采购标的数量</w:t>
      </w:r>
    </w:p>
    <w:tbl>
      <w:tblPr>
        <w:tblStyle w:val="23"/>
        <w:tblW w:w="8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043"/>
        <w:gridCol w:w="1118"/>
        <w:gridCol w:w="1187"/>
        <w:gridCol w:w="2917"/>
        <w:gridCol w:w="723"/>
        <w:gridCol w:w="859"/>
      </w:tblGrid>
      <w:tr w14:paraId="4ACEE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540" w:type="dxa"/>
            <w:noWrap/>
            <w:vAlign w:val="center"/>
          </w:tcPr>
          <w:p w14:paraId="23A49629">
            <w:pPr>
              <w:jc w:val="center"/>
              <w:rPr>
                <w:rFonts w:ascii="宋体"/>
                <w:b/>
                <w:color w:val="auto"/>
                <w:sz w:val="18"/>
                <w:szCs w:val="18"/>
                <w:highlight w:val="none"/>
              </w:rPr>
            </w:pPr>
            <w:r>
              <w:rPr>
                <w:rFonts w:hint="eastAsia" w:ascii="宋体" w:hAnsi="宋体"/>
                <w:b/>
                <w:color w:val="auto"/>
                <w:sz w:val="18"/>
                <w:szCs w:val="18"/>
                <w:highlight w:val="none"/>
              </w:rPr>
              <w:t>序号</w:t>
            </w:r>
          </w:p>
        </w:tc>
        <w:tc>
          <w:tcPr>
            <w:tcW w:w="1043" w:type="dxa"/>
            <w:noWrap/>
            <w:vAlign w:val="center"/>
          </w:tcPr>
          <w:p w14:paraId="19023DFF">
            <w:pPr>
              <w:jc w:val="center"/>
              <w:rPr>
                <w:rFonts w:ascii="宋体"/>
                <w:b/>
                <w:color w:val="auto"/>
                <w:sz w:val="18"/>
                <w:szCs w:val="18"/>
                <w:highlight w:val="none"/>
              </w:rPr>
            </w:pPr>
            <w:r>
              <w:rPr>
                <w:rFonts w:hint="eastAsia" w:ascii="宋体" w:hAnsi="宋体"/>
                <w:b/>
                <w:color w:val="auto"/>
                <w:sz w:val="18"/>
                <w:szCs w:val="18"/>
                <w:highlight w:val="none"/>
              </w:rPr>
              <w:t>项目名称</w:t>
            </w:r>
          </w:p>
        </w:tc>
        <w:tc>
          <w:tcPr>
            <w:tcW w:w="1118" w:type="dxa"/>
            <w:noWrap/>
            <w:vAlign w:val="center"/>
          </w:tcPr>
          <w:p w14:paraId="0C2A98D8">
            <w:pPr>
              <w:jc w:val="center"/>
              <w:rPr>
                <w:rFonts w:ascii="宋体" w:hAnsi="宋体"/>
                <w:b/>
                <w:color w:val="auto"/>
                <w:sz w:val="18"/>
                <w:szCs w:val="18"/>
                <w:highlight w:val="none"/>
              </w:rPr>
            </w:pPr>
            <w:r>
              <w:rPr>
                <w:rFonts w:hint="eastAsia" w:ascii="宋体" w:hAnsi="宋体"/>
                <w:b/>
                <w:color w:val="auto"/>
                <w:sz w:val="18"/>
                <w:szCs w:val="18"/>
                <w:highlight w:val="none"/>
              </w:rPr>
              <w:t>工作步骤</w:t>
            </w:r>
          </w:p>
        </w:tc>
        <w:tc>
          <w:tcPr>
            <w:tcW w:w="4104" w:type="dxa"/>
            <w:gridSpan w:val="2"/>
            <w:noWrap/>
            <w:vAlign w:val="center"/>
          </w:tcPr>
          <w:p w14:paraId="3672C545">
            <w:pPr>
              <w:jc w:val="center"/>
              <w:rPr>
                <w:rFonts w:ascii="宋体" w:hAnsi="宋体"/>
                <w:b/>
                <w:color w:val="auto"/>
                <w:sz w:val="18"/>
                <w:szCs w:val="18"/>
                <w:highlight w:val="none"/>
              </w:rPr>
            </w:pPr>
            <w:r>
              <w:rPr>
                <w:rFonts w:hint="eastAsia" w:ascii="宋体" w:hAnsi="宋体"/>
                <w:b/>
                <w:color w:val="auto"/>
                <w:sz w:val="18"/>
                <w:szCs w:val="18"/>
                <w:highlight w:val="none"/>
              </w:rPr>
              <w:t>具体工作要求</w:t>
            </w:r>
          </w:p>
        </w:tc>
        <w:tc>
          <w:tcPr>
            <w:tcW w:w="723" w:type="dxa"/>
            <w:noWrap/>
            <w:vAlign w:val="center"/>
          </w:tcPr>
          <w:p w14:paraId="59861407">
            <w:pPr>
              <w:jc w:val="center"/>
              <w:rPr>
                <w:rFonts w:ascii="宋体" w:hAnsi="宋体"/>
                <w:b/>
                <w:color w:val="auto"/>
                <w:sz w:val="18"/>
                <w:szCs w:val="18"/>
                <w:highlight w:val="none"/>
              </w:rPr>
            </w:pPr>
            <w:r>
              <w:rPr>
                <w:rFonts w:hint="eastAsia" w:ascii="宋体" w:hAnsi="宋体"/>
                <w:b/>
                <w:color w:val="auto"/>
                <w:sz w:val="18"/>
                <w:szCs w:val="18"/>
                <w:highlight w:val="none"/>
              </w:rPr>
              <w:t>单位</w:t>
            </w:r>
          </w:p>
        </w:tc>
        <w:tc>
          <w:tcPr>
            <w:tcW w:w="859" w:type="dxa"/>
            <w:noWrap/>
            <w:vAlign w:val="center"/>
          </w:tcPr>
          <w:p w14:paraId="608450A6">
            <w:pPr>
              <w:jc w:val="center"/>
              <w:rPr>
                <w:rFonts w:ascii="宋体" w:hAnsi="宋体"/>
                <w:b/>
                <w:color w:val="auto"/>
                <w:sz w:val="18"/>
                <w:szCs w:val="18"/>
                <w:highlight w:val="none"/>
              </w:rPr>
            </w:pPr>
            <w:r>
              <w:rPr>
                <w:rFonts w:hint="eastAsia" w:ascii="宋体" w:hAnsi="宋体"/>
                <w:b/>
                <w:color w:val="auto"/>
                <w:sz w:val="18"/>
                <w:szCs w:val="18"/>
                <w:highlight w:val="none"/>
              </w:rPr>
              <w:t>工程量（暂估）</w:t>
            </w:r>
          </w:p>
        </w:tc>
      </w:tr>
      <w:tr w14:paraId="059A1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540" w:type="dxa"/>
            <w:noWrap/>
            <w:vAlign w:val="center"/>
          </w:tcPr>
          <w:p w14:paraId="630C174A">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1043" w:type="dxa"/>
            <w:noWrap/>
            <w:vAlign w:val="center"/>
          </w:tcPr>
          <w:p w14:paraId="1CD0AB67">
            <w:pPr>
              <w:jc w:val="left"/>
              <w:rPr>
                <w:rFonts w:ascii="宋体"/>
                <w:color w:val="auto"/>
                <w:sz w:val="18"/>
                <w:szCs w:val="18"/>
                <w:highlight w:val="none"/>
              </w:rPr>
            </w:pPr>
            <w:r>
              <w:rPr>
                <w:rFonts w:ascii="宋体"/>
                <w:color w:val="auto"/>
                <w:sz w:val="18"/>
                <w:szCs w:val="18"/>
                <w:highlight w:val="none"/>
              </w:rPr>
              <w:t>改性地聚合物注浆加固</w:t>
            </w:r>
            <w:r>
              <w:rPr>
                <w:rFonts w:hint="eastAsia" w:ascii="宋体"/>
                <w:color w:val="auto"/>
                <w:sz w:val="18"/>
                <w:szCs w:val="18"/>
                <w:highlight w:val="none"/>
              </w:rPr>
              <w:t>（早强型）</w:t>
            </w:r>
          </w:p>
        </w:tc>
        <w:tc>
          <w:tcPr>
            <w:tcW w:w="1118" w:type="dxa"/>
            <w:vMerge w:val="restart"/>
            <w:noWrap/>
            <w:vAlign w:val="center"/>
          </w:tcPr>
          <w:p w14:paraId="1C8BE00C">
            <w:pPr>
              <w:jc w:val="center"/>
              <w:rPr>
                <w:rFonts w:ascii="宋体" w:hAnsi="宋体"/>
                <w:color w:val="auto"/>
                <w:sz w:val="18"/>
                <w:szCs w:val="18"/>
                <w:highlight w:val="none"/>
              </w:rPr>
            </w:pPr>
            <w:r>
              <w:rPr>
                <w:rFonts w:hint="eastAsia" w:ascii="宋体" w:hAnsi="宋体"/>
                <w:color w:val="auto"/>
                <w:sz w:val="18"/>
                <w:szCs w:val="18"/>
                <w:highlight w:val="none"/>
              </w:rPr>
              <w:t>交通维护，布孔，钻孔，除尘，注浆，养护，现场清理</w:t>
            </w:r>
          </w:p>
        </w:tc>
        <w:tc>
          <w:tcPr>
            <w:tcW w:w="4104" w:type="dxa"/>
            <w:gridSpan w:val="2"/>
            <w:noWrap/>
            <w:vAlign w:val="center"/>
          </w:tcPr>
          <w:p w14:paraId="2B173E5C">
            <w:pPr>
              <w:numPr>
                <w:ilvl w:val="0"/>
                <w:numId w:val="1"/>
              </w:numPr>
              <w:jc w:val="left"/>
              <w:rPr>
                <w:color w:val="auto"/>
                <w:sz w:val="18"/>
                <w:szCs w:val="18"/>
                <w:highlight w:val="none"/>
              </w:rPr>
            </w:pPr>
            <w:r>
              <w:rPr>
                <w:rFonts w:hint="eastAsia"/>
                <w:color w:val="auto"/>
                <w:sz w:val="18"/>
                <w:szCs w:val="18"/>
                <w:highlight w:val="none"/>
              </w:rPr>
              <w:t>间距:孔距1.5m，可根据现场实际情况微调，宜为1.5-2.0m</w:t>
            </w:r>
          </w:p>
          <w:p w14:paraId="7607ABAC">
            <w:pPr>
              <w:numPr>
                <w:ilvl w:val="0"/>
                <w:numId w:val="1"/>
              </w:numPr>
              <w:jc w:val="left"/>
              <w:rPr>
                <w:color w:val="auto"/>
                <w:sz w:val="18"/>
                <w:szCs w:val="18"/>
                <w:highlight w:val="none"/>
              </w:rPr>
            </w:pPr>
            <w:r>
              <w:rPr>
                <w:rFonts w:hint="eastAsia"/>
                <w:color w:val="auto"/>
                <w:sz w:val="18"/>
                <w:szCs w:val="18"/>
                <w:highlight w:val="none"/>
              </w:rPr>
              <w:t>孔径：满足现场实际情况，综合考虑</w:t>
            </w:r>
          </w:p>
          <w:p w14:paraId="27281279">
            <w:pPr>
              <w:jc w:val="left"/>
              <w:rPr>
                <w:color w:val="auto"/>
                <w:sz w:val="18"/>
                <w:szCs w:val="18"/>
                <w:highlight w:val="none"/>
              </w:rPr>
            </w:pPr>
            <w:r>
              <w:rPr>
                <w:rFonts w:hint="eastAsia"/>
                <w:color w:val="auto"/>
                <w:sz w:val="18"/>
                <w:szCs w:val="18"/>
                <w:highlight w:val="none"/>
              </w:rPr>
              <w:t>3、孔深：0.8-1m,如有障碍物可适当缩减.</w:t>
            </w:r>
          </w:p>
          <w:p w14:paraId="0F643652">
            <w:pPr>
              <w:jc w:val="left"/>
              <w:rPr>
                <w:color w:val="auto"/>
                <w:sz w:val="18"/>
                <w:szCs w:val="18"/>
                <w:highlight w:val="none"/>
              </w:rPr>
            </w:pPr>
            <w:r>
              <w:rPr>
                <w:rFonts w:hint="eastAsia"/>
                <w:color w:val="auto"/>
                <w:sz w:val="18"/>
                <w:szCs w:val="18"/>
                <w:highlight w:val="none"/>
              </w:rPr>
              <w:t>4、浆液参数:早强型地聚物注浆加固，配比、流动度、凝结时间、泌水率、抗压强度等满足《城镇道路改性地聚合物注浆加固技术规程》（DGJ32TJ225-2017）要求.</w:t>
            </w:r>
          </w:p>
          <w:p w14:paraId="3820AFA8">
            <w:pPr>
              <w:rPr>
                <w:color w:val="auto"/>
                <w:sz w:val="18"/>
                <w:szCs w:val="18"/>
                <w:highlight w:val="none"/>
              </w:rPr>
            </w:pPr>
            <w:r>
              <w:rPr>
                <w:rFonts w:hint="eastAsia"/>
                <w:color w:val="auto"/>
                <w:sz w:val="18"/>
                <w:szCs w:val="18"/>
                <w:highlight w:val="none"/>
              </w:rPr>
              <w:t>5、注浆结束后根据要求进行路面弯沉检测，符合相关要求</w:t>
            </w:r>
          </w:p>
          <w:p w14:paraId="78977C9B">
            <w:pPr>
              <w:jc w:val="left"/>
              <w:rPr>
                <w:color w:val="auto"/>
                <w:sz w:val="18"/>
                <w:szCs w:val="18"/>
                <w:highlight w:val="none"/>
              </w:rPr>
            </w:pPr>
            <w:r>
              <w:rPr>
                <w:rFonts w:hint="eastAsia"/>
                <w:color w:val="auto"/>
                <w:sz w:val="18"/>
                <w:szCs w:val="18"/>
                <w:highlight w:val="none"/>
              </w:rPr>
              <w:t>6、机械使用费、发电机、交通组织、施工护栏等综合考虑在报价中</w:t>
            </w:r>
          </w:p>
          <w:p w14:paraId="136004F9">
            <w:pPr>
              <w:jc w:val="left"/>
              <w:rPr>
                <w:color w:val="auto"/>
                <w:sz w:val="18"/>
                <w:szCs w:val="18"/>
                <w:highlight w:val="none"/>
              </w:rPr>
            </w:pPr>
            <w:r>
              <w:rPr>
                <w:rFonts w:hint="eastAsia"/>
                <w:color w:val="auto"/>
                <w:sz w:val="18"/>
                <w:szCs w:val="18"/>
                <w:highlight w:val="none"/>
              </w:rPr>
              <w:t>7、适用范围：路基、路面</w:t>
            </w:r>
          </w:p>
          <w:p w14:paraId="1E3376B5">
            <w:pPr>
              <w:jc w:val="left"/>
              <w:rPr>
                <w:color w:val="auto"/>
                <w:sz w:val="18"/>
                <w:szCs w:val="18"/>
                <w:highlight w:val="none"/>
              </w:rPr>
            </w:pPr>
            <w:r>
              <w:rPr>
                <w:rFonts w:hint="eastAsia"/>
                <w:color w:val="auto"/>
                <w:sz w:val="18"/>
                <w:szCs w:val="18"/>
                <w:highlight w:val="none"/>
              </w:rPr>
              <w:t>8、满足技术和质量要求</w:t>
            </w:r>
          </w:p>
        </w:tc>
        <w:tc>
          <w:tcPr>
            <w:tcW w:w="723" w:type="dxa"/>
            <w:noWrap/>
            <w:vAlign w:val="center"/>
          </w:tcPr>
          <w:p w14:paraId="4D96CF46">
            <w:pPr>
              <w:jc w:val="center"/>
              <w:rPr>
                <w:rFonts w:ascii="宋体"/>
                <w:color w:val="auto"/>
                <w:sz w:val="18"/>
                <w:szCs w:val="18"/>
                <w:highlight w:val="none"/>
              </w:rPr>
            </w:pPr>
            <w:r>
              <w:rPr>
                <w:rFonts w:hint="eastAsia" w:ascii="宋体" w:hAnsi="宋体"/>
                <w:color w:val="auto"/>
                <w:sz w:val="18"/>
                <w:szCs w:val="18"/>
                <w:highlight w:val="none"/>
              </w:rPr>
              <w:t>㎡</w:t>
            </w:r>
          </w:p>
        </w:tc>
        <w:tc>
          <w:tcPr>
            <w:tcW w:w="859" w:type="dxa"/>
            <w:noWrap/>
            <w:vAlign w:val="center"/>
          </w:tcPr>
          <w:p w14:paraId="7DECEB21">
            <w:pPr>
              <w:jc w:val="center"/>
              <w:rPr>
                <w:rFonts w:hint="default" w:ascii="宋体" w:eastAsia="等线"/>
                <w:b/>
                <w:bCs/>
                <w:color w:val="auto"/>
                <w:sz w:val="18"/>
                <w:szCs w:val="18"/>
                <w:highlight w:val="none"/>
                <w:lang w:val="en-US" w:eastAsia="zh-CN"/>
              </w:rPr>
            </w:pPr>
            <w:r>
              <w:rPr>
                <w:rFonts w:hint="eastAsia" w:ascii="宋体"/>
                <w:b/>
                <w:bCs/>
                <w:color w:val="auto"/>
                <w:sz w:val="18"/>
                <w:szCs w:val="18"/>
                <w:highlight w:val="none"/>
                <w:lang w:val="en-US" w:eastAsia="zh-CN"/>
              </w:rPr>
              <w:t>18500</w:t>
            </w:r>
          </w:p>
        </w:tc>
      </w:tr>
      <w:tr w14:paraId="0FF5D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540" w:type="dxa"/>
            <w:noWrap/>
            <w:vAlign w:val="center"/>
          </w:tcPr>
          <w:p w14:paraId="16CBFD34">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1043" w:type="dxa"/>
            <w:noWrap/>
            <w:vAlign w:val="center"/>
          </w:tcPr>
          <w:p w14:paraId="0F8B856A">
            <w:pPr>
              <w:jc w:val="left"/>
              <w:rPr>
                <w:rFonts w:ascii="宋体"/>
                <w:color w:val="auto"/>
                <w:sz w:val="18"/>
                <w:szCs w:val="18"/>
                <w:highlight w:val="none"/>
              </w:rPr>
            </w:pPr>
            <w:r>
              <w:rPr>
                <w:rFonts w:ascii="宋体"/>
                <w:color w:val="auto"/>
                <w:sz w:val="18"/>
                <w:szCs w:val="18"/>
                <w:highlight w:val="none"/>
              </w:rPr>
              <w:t>改性地聚合物注浆加固</w:t>
            </w:r>
            <w:r>
              <w:rPr>
                <w:rFonts w:hint="eastAsia" w:ascii="宋体"/>
                <w:color w:val="auto"/>
                <w:sz w:val="18"/>
                <w:szCs w:val="18"/>
                <w:highlight w:val="none"/>
              </w:rPr>
              <w:t>（普通型）</w:t>
            </w:r>
          </w:p>
        </w:tc>
        <w:tc>
          <w:tcPr>
            <w:tcW w:w="1118" w:type="dxa"/>
            <w:vMerge w:val="continue"/>
            <w:noWrap/>
            <w:vAlign w:val="center"/>
          </w:tcPr>
          <w:p w14:paraId="79528CDD">
            <w:pPr>
              <w:jc w:val="center"/>
              <w:rPr>
                <w:rFonts w:ascii="宋体" w:hAnsi="宋体"/>
                <w:color w:val="auto"/>
                <w:sz w:val="18"/>
                <w:szCs w:val="18"/>
                <w:highlight w:val="none"/>
              </w:rPr>
            </w:pPr>
          </w:p>
        </w:tc>
        <w:tc>
          <w:tcPr>
            <w:tcW w:w="4104" w:type="dxa"/>
            <w:gridSpan w:val="2"/>
            <w:noWrap/>
            <w:vAlign w:val="center"/>
          </w:tcPr>
          <w:p w14:paraId="2E9FC0EC">
            <w:pPr>
              <w:numPr>
                <w:ilvl w:val="0"/>
                <w:numId w:val="2"/>
              </w:numPr>
              <w:jc w:val="left"/>
              <w:rPr>
                <w:color w:val="auto"/>
                <w:sz w:val="18"/>
                <w:szCs w:val="18"/>
                <w:highlight w:val="none"/>
              </w:rPr>
            </w:pPr>
            <w:r>
              <w:rPr>
                <w:rFonts w:hint="eastAsia"/>
                <w:color w:val="auto"/>
                <w:sz w:val="18"/>
                <w:szCs w:val="18"/>
                <w:highlight w:val="none"/>
              </w:rPr>
              <w:t>间距:孔距1.5m，可根据现场实际情况微调，宜为1.5-2.0m</w:t>
            </w:r>
          </w:p>
          <w:p w14:paraId="7A28E6B5">
            <w:pPr>
              <w:jc w:val="left"/>
              <w:rPr>
                <w:color w:val="auto"/>
                <w:sz w:val="18"/>
                <w:szCs w:val="18"/>
                <w:highlight w:val="none"/>
              </w:rPr>
            </w:pPr>
            <w:r>
              <w:rPr>
                <w:rFonts w:hint="eastAsia"/>
                <w:color w:val="auto"/>
                <w:sz w:val="18"/>
                <w:szCs w:val="18"/>
                <w:highlight w:val="none"/>
              </w:rPr>
              <w:t>2、孔径：满足现场实际情况，综合考虑</w:t>
            </w:r>
          </w:p>
          <w:p w14:paraId="3A3D3D65">
            <w:pPr>
              <w:jc w:val="left"/>
              <w:rPr>
                <w:color w:val="auto"/>
                <w:sz w:val="18"/>
                <w:szCs w:val="18"/>
                <w:highlight w:val="none"/>
              </w:rPr>
            </w:pPr>
            <w:r>
              <w:rPr>
                <w:rFonts w:hint="eastAsia"/>
                <w:color w:val="auto"/>
                <w:sz w:val="18"/>
                <w:szCs w:val="18"/>
                <w:highlight w:val="none"/>
              </w:rPr>
              <w:t>3、孔深：0.8-1m,如有障碍物可适当缩减.</w:t>
            </w:r>
          </w:p>
          <w:p w14:paraId="0B60FA8C">
            <w:pPr>
              <w:jc w:val="left"/>
              <w:rPr>
                <w:color w:val="auto"/>
                <w:sz w:val="18"/>
                <w:szCs w:val="18"/>
                <w:highlight w:val="none"/>
              </w:rPr>
            </w:pPr>
            <w:r>
              <w:rPr>
                <w:rFonts w:hint="eastAsia"/>
                <w:color w:val="auto"/>
                <w:sz w:val="18"/>
                <w:szCs w:val="18"/>
                <w:highlight w:val="none"/>
              </w:rPr>
              <w:t>4、浆液参数:普通型地聚物注浆加固，配比、流动度、凝结时间、泌水率、抗压强度等满足《城镇道路改性地聚合物注浆加固技术规程》（DGJ32TJ225-2017）要求.</w:t>
            </w:r>
          </w:p>
          <w:p w14:paraId="71DA9BF1">
            <w:pPr>
              <w:rPr>
                <w:color w:val="auto"/>
                <w:sz w:val="18"/>
                <w:szCs w:val="18"/>
                <w:highlight w:val="none"/>
              </w:rPr>
            </w:pPr>
            <w:r>
              <w:rPr>
                <w:rFonts w:hint="eastAsia"/>
                <w:color w:val="auto"/>
                <w:sz w:val="18"/>
                <w:szCs w:val="18"/>
                <w:highlight w:val="none"/>
              </w:rPr>
              <w:t>5、注浆结束后根据要求进行路面弯沉检测，符合相关要求</w:t>
            </w:r>
          </w:p>
          <w:p w14:paraId="05914F37">
            <w:pPr>
              <w:jc w:val="left"/>
              <w:rPr>
                <w:color w:val="auto"/>
                <w:sz w:val="18"/>
                <w:szCs w:val="18"/>
                <w:highlight w:val="none"/>
              </w:rPr>
            </w:pPr>
            <w:r>
              <w:rPr>
                <w:rFonts w:hint="eastAsia"/>
                <w:color w:val="auto"/>
                <w:sz w:val="18"/>
                <w:szCs w:val="18"/>
                <w:highlight w:val="none"/>
              </w:rPr>
              <w:t>6、</w:t>
            </w:r>
            <w:r>
              <w:rPr>
                <w:color w:val="auto"/>
                <w:sz w:val="18"/>
                <w:szCs w:val="18"/>
                <w:highlight w:val="none"/>
              </w:rPr>
              <w:t>机械使用费、发电机、交通组织、施工护栏等综合考虑在报价中，报价为完成此项工作的所有费用</w:t>
            </w:r>
          </w:p>
          <w:p w14:paraId="6943CE87">
            <w:pPr>
              <w:jc w:val="left"/>
              <w:rPr>
                <w:color w:val="auto"/>
                <w:sz w:val="18"/>
                <w:szCs w:val="18"/>
                <w:highlight w:val="none"/>
              </w:rPr>
            </w:pPr>
            <w:r>
              <w:rPr>
                <w:rFonts w:hint="eastAsia"/>
                <w:color w:val="auto"/>
                <w:sz w:val="18"/>
                <w:szCs w:val="18"/>
                <w:highlight w:val="none"/>
              </w:rPr>
              <w:t>7、适用范围：路基、路面</w:t>
            </w:r>
          </w:p>
          <w:p w14:paraId="61F61AEB">
            <w:pPr>
              <w:jc w:val="left"/>
              <w:rPr>
                <w:color w:val="auto"/>
                <w:sz w:val="18"/>
                <w:szCs w:val="18"/>
                <w:highlight w:val="none"/>
              </w:rPr>
            </w:pPr>
            <w:r>
              <w:rPr>
                <w:rFonts w:hint="eastAsia"/>
                <w:color w:val="auto"/>
                <w:sz w:val="18"/>
                <w:szCs w:val="18"/>
                <w:highlight w:val="none"/>
              </w:rPr>
              <w:t>8、满足技术和质量要求</w:t>
            </w:r>
          </w:p>
        </w:tc>
        <w:tc>
          <w:tcPr>
            <w:tcW w:w="723" w:type="dxa"/>
            <w:noWrap/>
            <w:vAlign w:val="center"/>
          </w:tcPr>
          <w:p w14:paraId="555742DE">
            <w:pPr>
              <w:jc w:val="center"/>
              <w:rPr>
                <w:rFonts w:ascii="宋体"/>
                <w:color w:val="auto"/>
                <w:sz w:val="18"/>
                <w:szCs w:val="18"/>
                <w:highlight w:val="none"/>
              </w:rPr>
            </w:pPr>
            <w:r>
              <w:rPr>
                <w:rFonts w:hint="eastAsia" w:ascii="宋体" w:hAnsi="宋体"/>
                <w:color w:val="auto"/>
                <w:sz w:val="18"/>
                <w:szCs w:val="18"/>
                <w:highlight w:val="none"/>
              </w:rPr>
              <w:t>㎡</w:t>
            </w:r>
          </w:p>
        </w:tc>
        <w:tc>
          <w:tcPr>
            <w:tcW w:w="859" w:type="dxa"/>
            <w:noWrap/>
            <w:vAlign w:val="center"/>
          </w:tcPr>
          <w:p w14:paraId="53F5D57E">
            <w:pPr>
              <w:jc w:val="center"/>
              <w:rPr>
                <w:rFonts w:hint="default" w:ascii="宋体"/>
                <w:b/>
                <w:bCs/>
                <w:color w:val="auto"/>
                <w:sz w:val="18"/>
                <w:szCs w:val="18"/>
                <w:highlight w:val="none"/>
                <w:lang w:val="en-US"/>
              </w:rPr>
            </w:pPr>
            <w:r>
              <w:rPr>
                <w:rFonts w:hint="eastAsia" w:ascii="宋体"/>
                <w:b/>
                <w:bCs/>
                <w:color w:val="auto"/>
                <w:sz w:val="18"/>
                <w:szCs w:val="18"/>
                <w:highlight w:val="none"/>
                <w:lang w:val="en-US" w:eastAsia="zh-CN"/>
              </w:rPr>
              <w:t>3200</w:t>
            </w:r>
          </w:p>
        </w:tc>
      </w:tr>
      <w:tr w14:paraId="24B8D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5" w:hRule="atLeast"/>
          <w:jc w:val="center"/>
        </w:trPr>
        <w:tc>
          <w:tcPr>
            <w:tcW w:w="540" w:type="dxa"/>
            <w:vMerge w:val="restart"/>
            <w:noWrap/>
            <w:vAlign w:val="center"/>
          </w:tcPr>
          <w:p w14:paraId="741B841D">
            <w:pPr>
              <w:jc w:val="center"/>
              <w:rPr>
                <w:rFonts w:ascii="宋体" w:hAnsi="宋体"/>
                <w:color w:val="auto"/>
                <w:sz w:val="18"/>
                <w:szCs w:val="18"/>
                <w:highlight w:val="none"/>
              </w:rPr>
            </w:pPr>
            <w:r>
              <w:rPr>
                <w:rFonts w:hint="eastAsia" w:ascii="宋体" w:hAnsi="宋体"/>
                <w:color w:val="auto"/>
                <w:sz w:val="18"/>
                <w:szCs w:val="18"/>
                <w:highlight w:val="none"/>
              </w:rPr>
              <w:t>3</w:t>
            </w:r>
          </w:p>
        </w:tc>
        <w:tc>
          <w:tcPr>
            <w:tcW w:w="1043" w:type="dxa"/>
            <w:vMerge w:val="restart"/>
            <w:noWrap/>
            <w:vAlign w:val="center"/>
          </w:tcPr>
          <w:p w14:paraId="47765B57">
            <w:pPr>
              <w:jc w:val="left"/>
              <w:rPr>
                <w:rFonts w:ascii="宋体"/>
                <w:color w:val="auto"/>
                <w:sz w:val="18"/>
                <w:szCs w:val="18"/>
                <w:highlight w:val="none"/>
              </w:rPr>
            </w:pPr>
            <w:r>
              <w:rPr>
                <w:rFonts w:ascii="宋体"/>
                <w:color w:val="auto"/>
                <w:sz w:val="18"/>
                <w:szCs w:val="18"/>
                <w:highlight w:val="none"/>
              </w:rPr>
              <w:t>改性地聚合物注浆加固</w:t>
            </w:r>
            <w:r>
              <w:rPr>
                <w:rFonts w:hint="eastAsia" w:ascii="宋体"/>
                <w:color w:val="auto"/>
                <w:sz w:val="18"/>
                <w:szCs w:val="18"/>
                <w:highlight w:val="none"/>
              </w:rPr>
              <w:t>地下空洞（或疏松）（早强型）</w:t>
            </w:r>
          </w:p>
        </w:tc>
        <w:tc>
          <w:tcPr>
            <w:tcW w:w="1118" w:type="dxa"/>
            <w:vMerge w:val="continue"/>
            <w:noWrap/>
            <w:vAlign w:val="center"/>
          </w:tcPr>
          <w:p w14:paraId="3E9673EF">
            <w:pPr>
              <w:jc w:val="center"/>
              <w:rPr>
                <w:rFonts w:ascii="宋体" w:hAnsi="宋体"/>
                <w:color w:val="auto"/>
                <w:sz w:val="18"/>
                <w:szCs w:val="18"/>
                <w:highlight w:val="none"/>
              </w:rPr>
            </w:pPr>
          </w:p>
        </w:tc>
        <w:tc>
          <w:tcPr>
            <w:tcW w:w="1187" w:type="dxa"/>
            <w:noWrap/>
            <w:vAlign w:val="center"/>
          </w:tcPr>
          <w:p w14:paraId="3867B06D">
            <w:pPr>
              <w:jc w:val="left"/>
              <w:rPr>
                <w:rFonts w:ascii="宋体" w:hAnsi="宋体"/>
                <w:color w:val="auto"/>
                <w:sz w:val="18"/>
                <w:szCs w:val="18"/>
                <w:highlight w:val="none"/>
              </w:rPr>
            </w:pPr>
            <w:r>
              <w:rPr>
                <w:rFonts w:hint="eastAsia" w:ascii="宋体" w:hAnsi="宋体"/>
                <w:color w:val="auto"/>
                <w:sz w:val="18"/>
                <w:szCs w:val="18"/>
                <w:highlight w:val="none"/>
              </w:rPr>
              <w:t>深层</w:t>
            </w:r>
            <w:r>
              <w:rPr>
                <w:rFonts w:ascii="宋体" w:hAnsi="宋体"/>
                <w:color w:val="auto"/>
                <w:sz w:val="18"/>
                <w:szCs w:val="18"/>
                <w:highlight w:val="none"/>
              </w:rPr>
              <w:t>注浆</w:t>
            </w:r>
            <w:r>
              <w:rPr>
                <w:rFonts w:hint="eastAsia" w:ascii="宋体" w:hAnsi="宋体"/>
                <w:color w:val="auto"/>
                <w:sz w:val="18"/>
                <w:szCs w:val="18"/>
                <w:highlight w:val="none"/>
              </w:rPr>
              <w:t>钻孔</w:t>
            </w:r>
          </w:p>
        </w:tc>
        <w:tc>
          <w:tcPr>
            <w:tcW w:w="2917" w:type="dxa"/>
            <w:noWrap/>
            <w:vAlign w:val="center"/>
          </w:tcPr>
          <w:p w14:paraId="1590B39A">
            <w:pPr>
              <w:jc w:val="left"/>
              <w:rPr>
                <w:color w:val="auto"/>
                <w:sz w:val="18"/>
                <w:szCs w:val="18"/>
                <w:highlight w:val="none"/>
              </w:rPr>
            </w:pPr>
            <w:r>
              <w:rPr>
                <w:rFonts w:hint="eastAsia"/>
                <w:color w:val="auto"/>
                <w:sz w:val="18"/>
                <w:szCs w:val="18"/>
                <w:highlight w:val="none"/>
              </w:rPr>
              <w:t>1、钻孔直径：满足规范要求，综合考虑</w:t>
            </w:r>
          </w:p>
          <w:p w14:paraId="6B3DD0AC">
            <w:pPr>
              <w:jc w:val="left"/>
              <w:rPr>
                <w:color w:val="auto"/>
                <w:sz w:val="18"/>
                <w:szCs w:val="18"/>
                <w:highlight w:val="none"/>
              </w:rPr>
            </w:pPr>
            <w:r>
              <w:rPr>
                <w:rFonts w:hint="eastAsia"/>
                <w:color w:val="auto"/>
                <w:sz w:val="18"/>
                <w:szCs w:val="18"/>
                <w:highlight w:val="none"/>
              </w:rPr>
              <w:t>2、布孔间距：自行考虑</w:t>
            </w:r>
          </w:p>
          <w:p w14:paraId="0F0F2922">
            <w:pPr>
              <w:jc w:val="left"/>
              <w:rPr>
                <w:color w:val="auto"/>
                <w:sz w:val="18"/>
                <w:szCs w:val="18"/>
                <w:highlight w:val="none"/>
              </w:rPr>
            </w:pPr>
            <w:r>
              <w:rPr>
                <w:rFonts w:hint="eastAsia"/>
                <w:color w:val="auto"/>
                <w:sz w:val="18"/>
                <w:szCs w:val="18"/>
                <w:highlight w:val="none"/>
              </w:rPr>
              <w:t>3、钻孔深度：综合考虑</w:t>
            </w:r>
          </w:p>
          <w:p w14:paraId="4D1C48F3">
            <w:pPr>
              <w:rPr>
                <w:color w:val="auto"/>
                <w:sz w:val="18"/>
                <w:szCs w:val="18"/>
                <w:highlight w:val="none"/>
              </w:rPr>
            </w:pPr>
            <w:r>
              <w:rPr>
                <w:rFonts w:hint="eastAsia"/>
                <w:color w:val="auto"/>
                <w:sz w:val="18"/>
                <w:szCs w:val="18"/>
                <w:highlight w:val="none"/>
              </w:rPr>
              <w:t>4、交通组织、施工护栏等综合考虑在报价中</w:t>
            </w:r>
          </w:p>
          <w:p w14:paraId="48421081">
            <w:pPr>
              <w:spacing w:after="120"/>
              <w:rPr>
                <w:color w:val="auto"/>
                <w:kern w:val="0"/>
                <w:sz w:val="18"/>
                <w:szCs w:val="18"/>
                <w:highlight w:val="none"/>
              </w:rPr>
            </w:pPr>
            <w:r>
              <w:rPr>
                <w:rFonts w:hint="eastAsia"/>
                <w:color w:val="auto"/>
                <w:sz w:val="18"/>
                <w:szCs w:val="18"/>
                <w:highlight w:val="none"/>
              </w:rPr>
              <w:t>5、满足技术和质量要求</w:t>
            </w:r>
          </w:p>
        </w:tc>
        <w:tc>
          <w:tcPr>
            <w:tcW w:w="723" w:type="dxa"/>
            <w:noWrap/>
            <w:vAlign w:val="center"/>
          </w:tcPr>
          <w:p w14:paraId="4489C5B4">
            <w:pPr>
              <w:jc w:val="center"/>
              <w:rPr>
                <w:rFonts w:ascii="宋体"/>
                <w:color w:val="auto"/>
                <w:sz w:val="18"/>
                <w:szCs w:val="18"/>
                <w:highlight w:val="none"/>
              </w:rPr>
            </w:pPr>
            <w:r>
              <w:rPr>
                <w:rFonts w:hint="eastAsia" w:ascii="宋体"/>
                <w:color w:val="auto"/>
                <w:sz w:val="18"/>
                <w:szCs w:val="18"/>
                <w:highlight w:val="none"/>
              </w:rPr>
              <w:t>m</w:t>
            </w:r>
          </w:p>
        </w:tc>
        <w:tc>
          <w:tcPr>
            <w:tcW w:w="859" w:type="dxa"/>
            <w:noWrap/>
            <w:vAlign w:val="center"/>
          </w:tcPr>
          <w:p w14:paraId="5A635AD0">
            <w:pPr>
              <w:jc w:val="center"/>
              <w:rPr>
                <w:rFonts w:hint="default" w:ascii="宋体" w:eastAsia="等线"/>
                <w:b/>
                <w:bCs/>
                <w:color w:val="auto"/>
                <w:sz w:val="18"/>
                <w:szCs w:val="18"/>
                <w:highlight w:val="none"/>
                <w:lang w:val="en-US" w:eastAsia="zh-CN"/>
              </w:rPr>
            </w:pPr>
            <w:r>
              <w:rPr>
                <w:rFonts w:hint="eastAsia" w:ascii="宋体"/>
                <w:b/>
                <w:bCs/>
                <w:color w:val="auto"/>
                <w:sz w:val="18"/>
                <w:szCs w:val="18"/>
                <w:highlight w:val="none"/>
                <w:lang w:val="en-US" w:eastAsia="zh-CN"/>
              </w:rPr>
              <w:t>40</w:t>
            </w:r>
          </w:p>
        </w:tc>
      </w:tr>
      <w:tr w14:paraId="6942E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9" w:hRule="atLeast"/>
          <w:jc w:val="center"/>
        </w:trPr>
        <w:tc>
          <w:tcPr>
            <w:tcW w:w="540" w:type="dxa"/>
            <w:vMerge w:val="continue"/>
            <w:noWrap/>
            <w:vAlign w:val="center"/>
          </w:tcPr>
          <w:p w14:paraId="5D69C34C">
            <w:pPr>
              <w:jc w:val="center"/>
              <w:rPr>
                <w:rFonts w:ascii="宋体" w:hAnsi="宋体"/>
                <w:color w:val="auto"/>
                <w:sz w:val="18"/>
                <w:szCs w:val="18"/>
                <w:highlight w:val="none"/>
              </w:rPr>
            </w:pPr>
          </w:p>
        </w:tc>
        <w:tc>
          <w:tcPr>
            <w:tcW w:w="1043" w:type="dxa"/>
            <w:vMerge w:val="continue"/>
            <w:noWrap/>
            <w:vAlign w:val="center"/>
          </w:tcPr>
          <w:p w14:paraId="44F9A862">
            <w:pPr>
              <w:jc w:val="left"/>
              <w:rPr>
                <w:rFonts w:ascii="宋体"/>
                <w:color w:val="auto"/>
                <w:sz w:val="18"/>
                <w:szCs w:val="18"/>
                <w:highlight w:val="none"/>
              </w:rPr>
            </w:pPr>
          </w:p>
        </w:tc>
        <w:tc>
          <w:tcPr>
            <w:tcW w:w="1118" w:type="dxa"/>
            <w:vMerge w:val="continue"/>
            <w:noWrap/>
            <w:vAlign w:val="center"/>
          </w:tcPr>
          <w:p w14:paraId="41BC1799">
            <w:pPr>
              <w:jc w:val="center"/>
              <w:rPr>
                <w:rFonts w:ascii="宋体" w:hAnsi="宋体"/>
                <w:color w:val="auto"/>
                <w:sz w:val="18"/>
                <w:szCs w:val="18"/>
                <w:highlight w:val="none"/>
              </w:rPr>
            </w:pPr>
          </w:p>
        </w:tc>
        <w:tc>
          <w:tcPr>
            <w:tcW w:w="1187" w:type="dxa"/>
            <w:noWrap/>
            <w:vAlign w:val="center"/>
          </w:tcPr>
          <w:p w14:paraId="4A3D64CF">
            <w:pPr>
              <w:jc w:val="left"/>
              <w:rPr>
                <w:rFonts w:ascii="宋体" w:hAnsi="宋体"/>
                <w:color w:val="auto"/>
                <w:sz w:val="18"/>
                <w:szCs w:val="18"/>
                <w:highlight w:val="none"/>
              </w:rPr>
            </w:pPr>
            <w:r>
              <w:rPr>
                <w:rFonts w:hint="eastAsia" w:ascii="宋体" w:hAnsi="宋体"/>
                <w:color w:val="auto"/>
                <w:sz w:val="18"/>
                <w:szCs w:val="18"/>
                <w:highlight w:val="none"/>
              </w:rPr>
              <w:t>深层注浆设备使用费（含人工）</w:t>
            </w:r>
          </w:p>
        </w:tc>
        <w:tc>
          <w:tcPr>
            <w:tcW w:w="2917" w:type="dxa"/>
            <w:noWrap/>
            <w:vAlign w:val="center"/>
          </w:tcPr>
          <w:p w14:paraId="400A8FE9">
            <w:pPr>
              <w:jc w:val="left"/>
              <w:rPr>
                <w:color w:val="auto"/>
                <w:sz w:val="18"/>
                <w:szCs w:val="18"/>
                <w:highlight w:val="none"/>
              </w:rPr>
            </w:pPr>
            <w:r>
              <w:rPr>
                <w:rFonts w:hint="eastAsia"/>
                <w:color w:val="auto"/>
                <w:sz w:val="18"/>
                <w:szCs w:val="18"/>
                <w:highlight w:val="none"/>
              </w:rPr>
              <w:t>1、按使用时间计</w:t>
            </w:r>
          </w:p>
          <w:p w14:paraId="2149959F">
            <w:pPr>
              <w:jc w:val="left"/>
              <w:rPr>
                <w:color w:val="auto"/>
                <w:sz w:val="18"/>
                <w:szCs w:val="18"/>
                <w:highlight w:val="none"/>
              </w:rPr>
            </w:pPr>
            <w:r>
              <w:rPr>
                <w:rFonts w:hint="eastAsia"/>
                <w:color w:val="auto"/>
                <w:sz w:val="18"/>
                <w:szCs w:val="18"/>
                <w:highlight w:val="none"/>
              </w:rPr>
              <w:t>2、机械短驳、转场、进退场产生的费用不另计</w:t>
            </w:r>
          </w:p>
          <w:p w14:paraId="32784644">
            <w:pPr>
              <w:rPr>
                <w:rFonts w:ascii="仿宋_GB2312" w:eastAsia="仿宋_GB2312"/>
                <w:color w:val="auto"/>
                <w:kern w:val="0"/>
                <w:sz w:val="18"/>
                <w:szCs w:val="18"/>
                <w:highlight w:val="none"/>
              </w:rPr>
            </w:pPr>
            <w:r>
              <w:rPr>
                <w:rFonts w:hint="eastAsia"/>
                <w:color w:val="auto"/>
                <w:sz w:val="18"/>
                <w:szCs w:val="18"/>
                <w:highlight w:val="none"/>
              </w:rPr>
              <w:t>3、注浆设备为完成此项工作用到的所有机械（含发电机）</w:t>
            </w:r>
          </w:p>
        </w:tc>
        <w:tc>
          <w:tcPr>
            <w:tcW w:w="723" w:type="dxa"/>
            <w:noWrap/>
            <w:vAlign w:val="center"/>
          </w:tcPr>
          <w:p w14:paraId="31568A39">
            <w:pPr>
              <w:jc w:val="center"/>
              <w:rPr>
                <w:rFonts w:ascii="宋体"/>
                <w:color w:val="auto"/>
                <w:sz w:val="18"/>
                <w:szCs w:val="18"/>
                <w:highlight w:val="none"/>
              </w:rPr>
            </w:pPr>
            <w:r>
              <w:rPr>
                <w:rFonts w:hint="eastAsia" w:ascii="宋体"/>
                <w:color w:val="auto"/>
                <w:sz w:val="18"/>
                <w:szCs w:val="18"/>
                <w:highlight w:val="none"/>
              </w:rPr>
              <w:t>台班</w:t>
            </w:r>
          </w:p>
        </w:tc>
        <w:tc>
          <w:tcPr>
            <w:tcW w:w="859" w:type="dxa"/>
            <w:noWrap/>
            <w:vAlign w:val="center"/>
          </w:tcPr>
          <w:p w14:paraId="44382C53">
            <w:pPr>
              <w:jc w:val="center"/>
              <w:rPr>
                <w:rFonts w:hint="default" w:ascii="宋体" w:eastAsia="等线"/>
                <w:b/>
                <w:bCs/>
                <w:color w:val="auto"/>
                <w:sz w:val="18"/>
                <w:szCs w:val="18"/>
                <w:highlight w:val="none"/>
                <w:lang w:val="en-US" w:eastAsia="zh-CN"/>
              </w:rPr>
            </w:pPr>
            <w:r>
              <w:rPr>
                <w:rFonts w:hint="eastAsia" w:ascii="宋体"/>
                <w:b/>
                <w:bCs/>
                <w:color w:val="auto"/>
                <w:sz w:val="18"/>
                <w:szCs w:val="18"/>
                <w:highlight w:val="none"/>
                <w:lang w:val="en-US" w:eastAsia="zh-CN"/>
              </w:rPr>
              <w:t>4</w:t>
            </w:r>
          </w:p>
        </w:tc>
      </w:tr>
      <w:tr w14:paraId="74DA2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4" w:hRule="atLeast"/>
          <w:jc w:val="center"/>
        </w:trPr>
        <w:tc>
          <w:tcPr>
            <w:tcW w:w="540" w:type="dxa"/>
            <w:vMerge w:val="continue"/>
            <w:noWrap/>
            <w:vAlign w:val="center"/>
          </w:tcPr>
          <w:p w14:paraId="77785B37">
            <w:pPr>
              <w:jc w:val="center"/>
              <w:rPr>
                <w:rFonts w:ascii="宋体" w:hAnsi="宋体"/>
                <w:color w:val="auto"/>
                <w:sz w:val="18"/>
                <w:szCs w:val="18"/>
                <w:highlight w:val="none"/>
              </w:rPr>
            </w:pPr>
          </w:p>
        </w:tc>
        <w:tc>
          <w:tcPr>
            <w:tcW w:w="1043" w:type="dxa"/>
            <w:vMerge w:val="continue"/>
            <w:noWrap/>
            <w:vAlign w:val="center"/>
          </w:tcPr>
          <w:p w14:paraId="7EF52A91">
            <w:pPr>
              <w:jc w:val="left"/>
              <w:rPr>
                <w:rFonts w:ascii="宋体"/>
                <w:color w:val="auto"/>
                <w:sz w:val="18"/>
                <w:szCs w:val="18"/>
                <w:highlight w:val="none"/>
              </w:rPr>
            </w:pPr>
          </w:p>
        </w:tc>
        <w:tc>
          <w:tcPr>
            <w:tcW w:w="1118" w:type="dxa"/>
            <w:vMerge w:val="continue"/>
            <w:noWrap/>
            <w:vAlign w:val="center"/>
          </w:tcPr>
          <w:p w14:paraId="38B380DC">
            <w:pPr>
              <w:jc w:val="center"/>
              <w:rPr>
                <w:rFonts w:ascii="宋体" w:hAnsi="宋体"/>
                <w:color w:val="auto"/>
                <w:sz w:val="18"/>
                <w:szCs w:val="18"/>
                <w:highlight w:val="none"/>
              </w:rPr>
            </w:pPr>
          </w:p>
        </w:tc>
        <w:tc>
          <w:tcPr>
            <w:tcW w:w="1187" w:type="dxa"/>
            <w:noWrap/>
            <w:vAlign w:val="center"/>
          </w:tcPr>
          <w:p w14:paraId="48590FC3">
            <w:pPr>
              <w:jc w:val="left"/>
              <w:rPr>
                <w:rFonts w:ascii="宋体" w:hAnsi="宋体"/>
                <w:color w:val="auto"/>
                <w:sz w:val="18"/>
                <w:szCs w:val="18"/>
                <w:highlight w:val="none"/>
              </w:rPr>
            </w:pPr>
            <w:r>
              <w:rPr>
                <w:rFonts w:hint="eastAsia" w:ascii="宋体" w:hAnsi="宋体"/>
                <w:color w:val="auto"/>
                <w:sz w:val="18"/>
                <w:szCs w:val="18"/>
                <w:highlight w:val="none"/>
              </w:rPr>
              <w:t>地聚合物（早强型）</w:t>
            </w:r>
          </w:p>
        </w:tc>
        <w:tc>
          <w:tcPr>
            <w:tcW w:w="2917" w:type="dxa"/>
            <w:noWrap/>
            <w:vAlign w:val="center"/>
          </w:tcPr>
          <w:p w14:paraId="652A8157">
            <w:pPr>
              <w:jc w:val="left"/>
              <w:rPr>
                <w:color w:val="auto"/>
                <w:sz w:val="18"/>
                <w:szCs w:val="18"/>
                <w:highlight w:val="none"/>
              </w:rPr>
            </w:pPr>
            <w:r>
              <w:rPr>
                <w:rFonts w:hint="eastAsia"/>
                <w:color w:val="auto"/>
                <w:sz w:val="18"/>
                <w:szCs w:val="18"/>
                <w:highlight w:val="none"/>
              </w:rPr>
              <w:t>1、注浆压力：满足规范要求，自行考虑</w:t>
            </w:r>
          </w:p>
          <w:p w14:paraId="0815E003">
            <w:pPr>
              <w:jc w:val="left"/>
              <w:rPr>
                <w:color w:val="auto"/>
                <w:sz w:val="18"/>
                <w:szCs w:val="18"/>
                <w:highlight w:val="none"/>
              </w:rPr>
            </w:pPr>
            <w:r>
              <w:rPr>
                <w:rFonts w:hint="eastAsia"/>
                <w:color w:val="auto"/>
                <w:sz w:val="18"/>
                <w:szCs w:val="18"/>
                <w:highlight w:val="none"/>
              </w:rPr>
              <w:t>2、布孔间距：自行考虑</w:t>
            </w:r>
          </w:p>
          <w:p w14:paraId="291D56F3">
            <w:pPr>
              <w:jc w:val="left"/>
              <w:rPr>
                <w:color w:val="auto"/>
                <w:sz w:val="18"/>
                <w:szCs w:val="18"/>
                <w:highlight w:val="none"/>
              </w:rPr>
            </w:pPr>
            <w:r>
              <w:rPr>
                <w:rFonts w:hint="eastAsia"/>
                <w:color w:val="auto"/>
                <w:sz w:val="18"/>
                <w:szCs w:val="18"/>
                <w:highlight w:val="none"/>
              </w:rPr>
              <w:t>3、</w:t>
            </w:r>
            <w:r>
              <w:rPr>
                <w:color w:val="auto"/>
                <w:sz w:val="18"/>
                <w:szCs w:val="18"/>
                <w:highlight w:val="none"/>
              </w:rPr>
              <w:t>注浆材料：</w:t>
            </w:r>
            <w:r>
              <w:rPr>
                <w:rFonts w:hint="eastAsia"/>
                <w:color w:val="auto"/>
                <w:sz w:val="18"/>
                <w:szCs w:val="18"/>
                <w:highlight w:val="none"/>
              </w:rPr>
              <w:t>地聚合物（早强型），材料满足施工及规范要求</w:t>
            </w:r>
          </w:p>
          <w:p w14:paraId="05DFB792">
            <w:pPr>
              <w:jc w:val="left"/>
              <w:rPr>
                <w:color w:val="auto"/>
                <w:sz w:val="18"/>
                <w:szCs w:val="18"/>
                <w:highlight w:val="none"/>
              </w:rPr>
            </w:pPr>
            <w:r>
              <w:rPr>
                <w:rFonts w:hint="eastAsia"/>
                <w:color w:val="auto"/>
                <w:sz w:val="18"/>
                <w:szCs w:val="18"/>
                <w:highlight w:val="none"/>
              </w:rPr>
              <w:t>4、计量方式：吨位现场计量</w:t>
            </w:r>
          </w:p>
          <w:p w14:paraId="05B8CFA1">
            <w:pPr>
              <w:rPr>
                <w:color w:val="auto"/>
                <w:sz w:val="18"/>
                <w:szCs w:val="18"/>
                <w:highlight w:val="none"/>
              </w:rPr>
            </w:pPr>
            <w:r>
              <w:rPr>
                <w:rFonts w:hint="eastAsia"/>
                <w:color w:val="auto"/>
                <w:sz w:val="18"/>
                <w:szCs w:val="18"/>
                <w:highlight w:val="none"/>
              </w:rPr>
              <w:t>5、注浆结束后根据要求进行路面弯沉检测，符合相关要求</w:t>
            </w:r>
          </w:p>
          <w:p w14:paraId="3CD72B3F">
            <w:pPr>
              <w:jc w:val="left"/>
              <w:rPr>
                <w:color w:val="auto"/>
                <w:sz w:val="18"/>
                <w:szCs w:val="18"/>
                <w:highlight w:val="none"/>
              </w:rPr>
            </w:pPr>
            <w:r>
              <w:rPr>
                <w:rFonts w:hint="eastAsia"/>
                <w:color w:val="auto"/>
                <w:sz w:val="18"/>
                <w:szCs w:val="18"/>
                <w:highlight w:val="none"/>
              </w:rPr>
              <w:t>6、满足技术和质量要求</w:t>
            </w:r>
          </w:p>
        </w:tc>
        <w:tc>
          <w:tcPr>
            <w:tcW w:w="723" w:type="dxa"/>
            <w:noWrap/>
            <w:vAlign w:val="center"/>
          </w:tcPr>
          <w:p w14:paraId="5877DF41">
            <w:pPr>
              <w:jc w:val="center"/>
              <w:rPr>
                <w:rFonts w:ascii="宋体"/>
                <w:color w:val="auto"/>
                <w:sz w:val="18"/>
                <w:szCs w:val="18"/>
                <w:highlight w:val="none"/>
              </w:rPr>
            </w:pPr>
            <w:r>
              <w:rPr>
                <w:rFonts w:hint="eastAsia" w:ascii="宋体"/>
                <w:color w:val="auto"/>
                <w:sz w:val="18"/>
                <w:szCs w:val="18"/>
                <w:highlight w:val="none"/>
              </w:rPr>
              <w:t>t</w:t>
            </w:r>
          </w:p>
        </w:tc>
        <w:tc>
          <w:tcPr>
            <w:tcW w:w="859" w:type="dxa"/>
            <w:noWrap/>
            <w:vAlign w:val="center"/>
          </w:tcPr>
          <w:p w14:paraId="3F5EB828">
            <w:pPr>
              <w:jc w:val="center"/>
              <w:rPr>
                <w:rFonts w:hint="default" w:ascii="宋体" w:eastAsia="等线"/>
                <w:b/>
                <w:bCs/>
                <w:color w:val="auto"/>
                <w:sz w:val="18"/>
                <w:szCs w:val="18"/>
                <w:highlight w:val="none"/>
                <w:lang w:val="en-US" w:eastAsia="zh-CN"/>
              </w:rPr>
            </w:pPr>
            <w:r>
              <w:rPr>
                <w:rFonts w:hint="eastAsia" w:ascii="宋体"/>
                <w:b/>
                <w:bCs/>
                <w:color w:val="auto"/>
                <w:sz w:val="18"/>
                <w:szCs w:val="18"/>
                <w:highlight w:val="none"/>
                <w:lang w:val="en-US" w:eastAsia="zh-CN"/>
              </w:rPr>
              <w:t>35</w:t>
            </w:r>
          </w:p>
        </w:tc>
      </w:tr>
      <w:tr w14:paraId="593FB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540" w:type="dxa"/>
            <w:vMerge w:val="restart"/>
            <w:noWrap/>
            <w:vAlign w:val="center"/>
          </w:tcPr>
          <w:p w14:paraId="42BC6FDC">
            <w:pPr>
              <w:jc w:val="center"/>
              <w:rPr>
                <w:rFonts w:ascii="宋体" w:hAnsi="宋体"/>
                <w:color w:val="auto"/>
                <w:sz w:val="18"/>
                <w:szCs w:val="18"/>
                <w:highlight w:val="none"/>
              </w:rPr>
            </w:pPr>
            <w:r>
              <w:rPr>
                <w:rFonts w:hint="eastAsia" w:ascii="宋体" w:hAnsi="宋体"/>
                <w:color w:val="auto"/>
                <w:sz w:val="18"/>
                <w:szCs w:val="18"/>
                <w:highlight w:val="none"/>
              </w:rPr>
              <w:t>4</w:t>
            </w:r>
          </w:p>
        </w:tc>
        <w:tc>
          <w:tcPr>
            <w:tcW w:w="1043" w:type="dxa"/>
            <w:vMerge w:val="restart"/>
            <w:noWrap/>
            <w:vAlign w:val="center"/>
          </w:tcPr>
          <w:p w14:paraId="4598E2EB">
            <w:pPr>
              <w:jc w:val="left"/>
              <w:rPr>
                <w:rFonts w:ascii="宋体"/>
                <w:color w:val="auto"/>
                <w:sz w:val="18"/>
                <w:szCs w:val="18"/>
                <w:highlight w:val="none"/>
              </w:rPr>
            </w:pPr>
            <w:r>
              <w:rPr>
                <w:rFonts w:ascii="宋体"/>
                <w:color w:val="auto"/>
                <w:sz w:val="18"/>
                <w:szCs w:val="18"/>
                <w:highlight w:val="none"/>
              </w:rPr>
              <w:t>改性地聚合物注浆加固</w:t>
            </w:r>
            <w:r>
              <w:rPr>
                <w:rFonts w:hint="eastAsia" w:ascii="宋体"/>
                <w:color w:val="auto"/>
                <w:sz w:val="18"/>
                <w:szCs w:val="18"/>
                <w:highlight w:val="none"/>
              </w:rPr>
              <w:t>地下空洞（或疏松）（普通型）</w:t>
            </w:r>
          </w:p>
        </w:tc>
        <w:tc>
          <w:tcPr>
            <w:tcW w:w="1118" w:type="dxa"/>
            <w:vMerge w:val="continue"/>
            <w:noWrap/>
            <w:vAlign w:val="center"/>
          </w:tcPr>
          <w:p w14:paraId="58641E26">
            <w:pPr>
              <w:jc w:val="center"/>
              <w:rPr>
                <w:rFonts w:ascii="宋体" w:hAnsi="宋体"/>
                <w:color w:val="auto"/>
                <w:sz w:val="18"/>
                <w:szCs w:val="18"/>
                <w:highlight w:val="none"/>
              </w:rPr>
            </w:pPr>
          </w:p>
        </w:tc>
        <w:tc>
          <w:tcPr>
            <w:tcW w:w="1187" w:type="dxa"/>
            <w:noWrap/>
            <w:vAlign w:val="center"/>
          </w:tcPr>
          <w:p w14:paraId="694D760D">
            <w:pPr>
              <w:jc w:val="left"/>
              <w:rPr>
                <w:rFonts w:ascii="宋体" w:hAnsi="宋体"/>
                <w:color w:val="auto"/>
                <w:sz w:val="18"/>
                <w:szCs w:val="18"/>
                <w:highlight w:val="none"/>
              </w:rPr>
            </w:pPr>
            <w:r>
              <w:rPr>
                <w:rFonts w:hint="eastAsia" w:ascii="宋体" w:hAnsi="宋体"/>
                <w:color w:val="auto"/>
                <w:sz w:val="18"/>
                <w:szCs w:val="18"/>
                <w:highlight w:val="none"/>
              </w:rPr>
              <w:t>深层</w:t>
            </w:r>
            <w:r>
              <w:rPr>
                <w:rFonts w:ascii="宋体" w:hAnsi="宋体"/>
                <w:color w:val="auto"/>
                <w:sz w:val="18"/>
                <w:szCs w:val="18"/>
                <w:highlight w:val="none"/>
              </w:rPr>
              <w:t>注浆</w:t>
            </w:r>
            <w:r>
              <w:rPr>
                <w:rFonts w:hint="eastAsia" w:ascii="宋体" w:hAnsi="宋体"/>
                <w:color w:val="auto"/>
                <w:sz w:val="18"/>
                <w:szCs w:val="18"/>
                <w:highlight w:val="none"/>
              </w:rPr>
              <w:t>钻孔</w:t>
            </w:r>
          </w:p>
        </w:tc>
        <w:tc>
          <w:tcPr>
            <w:tcW w:w="2917" w:type="dxa"/>
            <w:noWrap/>
            <w:vAlign w:val="center"/>
          </w:tcPr>
          <w:p w14:paraId="26D97746">
            <w:pPr>
              <w:jc w:val="left"/>
              <w:rPr>
                <w:color w:val="auto"/>
                <w:sz w:val="18"/>
                <w:szCs w:val="18"/>
                <w:highlight w:val="none"/>
              </w:rPr>
            </w:pPr>
            <w:r>
              <w:rPr>
                <w:rFonts w:hint="eastAsia"/>
                <w:color w:val="auto"/>
                <w:sz w:val="18"/>
                <w:szCs w:val="18"/>
                <w:highlight w:val="none"/>
              </w:rPr>
              <w:t>1、钻孔直径：满足规范要求，综合考虑</w:t>
            </w:r>
          </w:p>
          <w:p w14:paraId="7B97E530">
            <w:pPr>
              <w:jc w:val="left"/>
              <w:rPr>
                <w:color w:val="auto"/>
                <w:sz w:val="18"/>
                <w:szCs w:val="18"/>
                <w:highlight w:val="none"/>
              </w:rPr>
            </w:pPr>
            <w:r>
              <w:rPr>
                <w:rFonts w:hint="eastAsia"/>
                <w:color w:val="auto"/>
                <w:sz w:val="18"/>
                <w:szCs w:val="18"/>
                <w:highlight w:val="none"/>
              </w:rPr>
              <w:t>2、布孔间距：自行考虑</w:t>
            </w:r>
          </w:p>
          <w:p w14:paraId="65A1B6C1">
            <w:pPr>
              <w:jc w:val="left"/>
              <w:rPr>
                <w:color w:val="auto"/>
                <w:sz w:val="18"/>
                <w:szCs w:val="18"/>
                <w:highlight w:val="none"/>
              </w:rPr>
            </w:pPr>
            <w:r>
              <w:rPr>
                <w:rFonts w:hint="eastAsia"/>
                <w:color w:val="auto"/>
                <w:sz w:val="18"/>
                <w:szCs w:val="18"/>
                <w:highlight w:val="none"/>
              </w:rPr>
              <w:t>3、钻孔深度：综合考虑</w:t>
            </w:r>
          </w:p>
          <w:p w14:paraId="63D7E049">
            <w:pPr>
              <w:rPr>
                <w:color w:val="auto"/>
                <w:sz w:val="18"/>
                <w:szCs w:val="18"/>
                <w:highlight w:val="none"/>
              </w:rPr>
            </w:pPr>
            <w:r>
              <w:rPr>
                <w:rFonts w:hint="eastAsia"/>
                <w:color w:val="auto"/>
                <w:sz w:val="18"/>
                <w:szCs w:val="18"/>
                <w:highlight w:val="none"/>
              </w:rPr>
              <w:t>4、交通组织、施工护栏等综合考虑在报价中</w:t>
            </w:r>
          </w:p>
          <w:p w14:paraId="7A99BB3A">
            <w:pPr>
              <w:spacing w:after="120"/>
              <w:rPr>
                <w:color w:val="auto"/>
                <w:kern w:val="0"/>
                <w:sz w:val="18"/>
                <w:szCs w:val="18"/>
                <w:highlight w:val="none"/>
              </w:rPr>
            </w:pPr>
            <w:r>
              <w:rPr>
                <w:rFonts w:hint="eastAsia"/>
                <w:color w:val="auto"/>
                <w:sz w:val="18"/>
                <w:szCs w:val="18"/>
                <w:highlight w:val="none"/>
              </w:rPr>
              <w:t>5、满足技术和质量要求</w:t>
            </w:r>
          </w:p>
        </w:tc>
        <w:tc>
          <w:tcPr>
            <w:tcW w:w="723" w:type="dxa"/>
            <w:noWrap/>
            <w:vAlign w:val="center"/>
          </w:tcPr>
          <w:p w14:paraId="70CD7BCF">
            <w:pPr>
              <w:jc w:val="center"/>
              <w:rPr>
                <w:rFonts w:ascii="宋体"/>
                <w:color w:val="auto"/>
                <w:sz w:val="18"/>
                <w:szCs w:val="18"/>
                <w:highlight w:val="none"/>
              </w:rPr>
            </w:pPr>
            <w:r>
              <w:rPr>
                <w:rFonts w:hint="eastAsia" w:ascii="宋体"/>
                <w:color w:val="auto"/>
                <w:sz w:val="18"/>
                <w:szCs w:val="18"/>
                <w:highlight w:val="none"/>
              </w:rPr>
              <w:t>m</w:t>
            </w:r>
          </w:p>
        </w:tc>
        <w:tc>
          <w:tcPr>
            <w:tcW w:w="859" w:type="dxa"/>
            <w:noWrap/>
            <w:vAlign w:val="center"/>
          </w:tcPr>
          <w:p w14:paraId="50506A0F">
            <w:pPr>
              <w:jc w:val="center"/>
              <w:rPr>
                <w:rFonts w:hint="default" w:ascii="宋体" w:eastAsia="等线"/>
                <w:b/>
                <w:bCs/>
                <w:color w:val="auto"/>
                <w:sz w:val="18"/>
                <w:szCs w:val="18"/>
                <w:highlight w:val="none"/>
                <w:lang w:val="en-US" w:eastAsia="zh-CN"/>
              </w:rPr>
            </w:pPr>
            <w:r>
              <w:rPr>
                <w:rFonts w:hint="eastAsia" w:ascii="宋体"/>
                <w:b/>
                <w:bCs/>
                <w:color w:val="auto"/>
                <w:sz w:val="18"/>
                <w:szCs w:val="18"/>
                <w:highlight w:val="none"/>
                <w:lang w:val="en-US" w:eastAsia="zh-CN"/>
              </w:rPr>
              <w:t>40</w:t>
            </w:r>
          </w:p>
        </w:tc>
      </w:tr>
      <w:tr w14:paraId="5ADAF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540" w:type="dxa"/>
            <w:vMerge w:val="continue"/>
            <w:noWrap/>
            <w:vAlign w:val="center"/>
          </w:tcPr>
          <w:p w14:paraId="5346B96A">
            <w:pPr>
              <w:jc w:val="center"/>
              <w:rPr>
                <w:rFonts w:hint="eastAsia" w:ascii="宋体" w:hAnsi="宋体" w:eastAsia="等线"/>
                <w:color w:val="auto"/>
                <w:sz w:val="18"/>
                <w:szCs w:val="18"/>
                <w:highlight w:val="none"/>
                <w:lang w:eastAsia="zh-CN"/>
              </w:rPr>
            </w:pPr>
            <w:r>
              <w:rPr>
                <w:rFonts w:hint="eastAsia" w:ascii="宋体" w:hAnsi="宋体"/>
                <w:color w:val="auto"/>
                <w:sz w:val="18"/>
                <w:szCs w:val="18"/>
                <w:highlight w:val="none"/>
                <w:lang w:eastAsia="zh-CN"/>
              </w:rPr>
              <w:t>0</w:t>
            </w:r>
          </w:p>
        </w:tc>
        <w:tc>
          <w:tcPr>
            <w:tcW w:w="1043" w:type="dxa"/>
            <w:vMerge w:val="continue"/>
            <w:noWrap/>
            <w:vAlign w:val="center"/>
          </w:tcPr>
          <w:p w14:paraId="28FE37BB">
            <w:pPr>
              <w:jc w:val="left"/>
              <w:rPr>
                <w:rFonts w:ascii="宋体"/>
                <w:color w:val="auto"/>
                <w:sz w:val="18"/>
                <w:szCs w:val="18"/>
                <w:highlight w:val="none"/>
              </w:rPr>
            </w:pPr>
          </w:p>
        </w:tc>
        <w:tc>
          <w:tcPr>
            <w:tcW w:w="1118" w:type="dxa"/>
            <w:vMerge w:val="continue"/>
            <w:noWrap/>
            <w:vAlign w:val="center"/>
          </w:tcPr>
          <w:p w14:paraId="3C5E9631">
            <w:pPr>
              <w:jc w:val="center"/>
              <w:rPr>
                <w:rFonts w:ascii="宋体" w:hAnsi="宋体"/>
                <w:color w:val="auto"/>
                <w:sz w:val="18"/>
                <w:szCs w:val="18"/>
                <w:highlight w:val="none"/>
              </w:rPr>
            </w:pPr>
          </w:p>
        </w:tc>
        <w:tc>
          <w:tcPr>
            <w:tcW w:w="1187" w:type="dxa"/>
            <w:noWrap/>
            <w:vAlign w:val="center"/>
          </w:tcPr>
          <w:p w14:paraId="03A2E50C">
            <w:pPr>
              <w:jc w:val="left"/>
              <w:rPr>
                <w:rFonts w:ascii="宋体" w:hAnsi="宋体"/>
                <w:color w:val="auto"/>
                <w:sz w:val="18"/>
                <w:szCs w:val="18"/>
                <w:highlight w:val="none"/>
              </w:rPr>
            </w:pPr>
            <w:r>
              <w:rPr>
                <w:rFonts w:hint="eastAsia" w:ascii="宋体" w:hAnsi="宋体"/>
                <w:color w:val="auto"/>
                <w:sz w:val="18"/>
                <w:szCs w:val="18"/>
                <w:highlight w:val="none"/>
              </w:rPr>
              <w:t>深层注浆设备使用费（含人工）</w:t>
            </w:r>
          </w:p>
        </w:tc>
        <w:tc>
          <w:tcPr>
            <w:tcW w:w="2917" w:type="dxa"/>
            <w:noWrap/>
            <w:vAlign w:val="center"/>
          </w:tcPr>
          <w:p w14:paraId="705EBAB3">
            <w:pPr>
              <w:jc w:val="left"/>
              <w:rPr>
                <w:color w:val="auto"/>
                <w:sz w:val="18"/>
                <w:szCs w:val="18"/>
                <w:highlight w:val="none"/>
              </w:rPr>
            </w:pPr>
            <w:r>
              <w:rPr>
                <w:rFonts w:hint="eastAsia"/>
                <w:color w:val="auto"/>
                <w:sz w:val="18"/>
                <w:szCs w:val="18"/>
                <w:highlight w:val="none"/>
              </w:rPr>
              <w:t>1、按使用时间计</w:t>
            </w:r>
          </w:p>
          <w:p w14:paraId="44162086">
            <w:pPr>
              <w:jc w:val="left"/>
              <w:rPr>
                <w:color w:val="auto"/>
                <w:sz w:val="18"/>
                <w:szCs w:val="18"/>
                <w:highlight w:val="none"/>
              </w:rPr>
            </w:pPr>
            <w:r>
              <w:rPr>
                <w:rFonts w:hint="eastAsia"/>
                <w:color w:val="auto"/>
                <w:sz w:val="18"/>
                <w:szCs w:val="18"/>
                <w:highlight w:val="none"/>
              </w:rPr>
              <w:t>2、机械短驳、转场、进退场产生的费用不另计</w:t>
            </w:r>
          </w:p>
          <w:p w14:paraId="7F7D0487">
            <w:pPr>
              <w:rPr>
                <w:rFonts w:ascii="仿宋_GB2312" w:eastAsia="仿宋_GB2312"/>
                <w:color w:val="auto"/>
                <w:kern w:val="0"/>
                <w:sz w:val="18"/>
                <w:szCs w:val="18"/>
                <w:highlight w:val="none"/>
              </w:rPr>
            </w:pPr>
            <w:r>
              <w:rPr>
                <w:rFonts w:hint="eastAsia"/>
                <w:color w:val="auto"/>
                <w:sz w:val="18"/>
                <w:szCs w:val="18"/>
                <w:highlight w:val="none"/>
              </w:rPr>
              <w:t>3、注浆设备为完成此项工作用到的所有机械（含发电机）</w:t>
            </w:r>
          </w:p>
        </w:tc>
        <w:tc>
          <w:tcPr>
            <w:tcW w:w="723" w:type="dxa"/>
            <w:noWrap/>
            <w:vAlign w:val="center"/>
          </w:tcPr>
          <w:p w14:paraId="0F8FCF95">
            <w:pPr>
              <w:jc w:val="center"/>
              <w:rPr>
                <w:rFonts w:ascii="宋体"/>
                <w:color w:val="auto"/>
                <w:sz w:val="18"/>
                <w:szCs w:val="18"/>
                <w:highlight w:val="none"/>
              </w:rPr>
            </w:pPr>
            <w:r>
              <w:rPr>
                <w:rFonts w:hint="eastAsia" w:ascii="宋体"/>
                <w:color w:val="auto"/>
                <w:sz w:val="18"/>
                <w:szCs w:val="18"/>
                <w:highlight w:val="none"/>
              </w:rPr>
              <w:t>台班</w:t>
            </w:r>
          </w:p>
        </w:tc>
        <w:tc>
          <w:tcPr>
            <w:tcW w:w="859" w:type="dxa"/>
            <w:noWrap/>
            <w:vAlign w:val="center"/>
          </w:tcPr>
          <w:p w14:paraId="025F84D1">
            <w:pPr>
              <w:jc w:val="center"/>
              <w:rPr>
                <w:rFonts w:hint="default" w:ascii="宋体" w:eastAsia="等线"/>
                <w:b/>
                <w:bCs/>
                <w:color w:val="auto"/>
                <w:sz w:val="18"/>
                <w:szCs w:val="18"/>
                <w:highlight w:val="none"/>
                <w:lang w:val="en-US" w:eastAsia="zh-CN"/>
              </w:rPr>
            </w:pPr>
            <w:r>
              <w:rPr>
                <w:rFonts w:hint="eastAsia" w:ascii="宋体"/>
                <w:b/>
                <w:bCs/>
                <w:color w:val="auto"/>
                <w:sz w:val="18"/>
                <w:szCs w:val="18"/>
                <w:highlight w:val="none"/>
                <w:lang w:val="en-US" w:eastAsia="zh-CN"/>
              </w:rPr>
              <w:t>4</w:t>
            </w:r>
          </w:p>
        </w:tc>
      </w:tr>
      <w:tr w14:paraId="20B13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540" w:type="dxa"/>
            <w:vMerge w:val="continue"/>
            <w:noWrap/>
            <w:vAlign w:val="center"/>
          </w:tcPr>
          <w:p w14:paraId="05BE0DAB">
            <w:pPr>
              <w:jc w:val="center"/>
              <w:rPr>
                <w:rFonts w:ascii="宋体" w:hAnsi="宋体"/>
                <w:color w:val="auto"/>
                <w:sz w:val="18"/>
                <w:szCs w:val="18"/>
                <w:highlight w:val="none"/>
              </w:rPr>
            </w:pPr>
          </w:p>
        </w:tc>
        <w:tc>
          <w:tcPr>
            <w:tcW w:w="1043" w:type="dxa"/>
            <w:vMerge w:val="continue"/>
            <w:noWrap/>
            <w:vAlign w:val="center"/>
          </w:tcPr>
          <w:p w14:paraId="530882A0">
            <w:pPr>
              <w:jc w:val="left"/>
              <w:rPr>
                <w:rFonts w:ascii="宋体"/>
                <w:color w:val="auto"/>
                <w:sz w:val="18"/>
                <w:szCs w:val="18"/>
                <w:highlight w:val="none"/>
              </w:rPr>
            </w:pPr>
          </w:p>
        </w:tc>
        <w:tc>
          <w:tcPr>
            <w:tcW w:w="1118" w:type="dxa"/>
            <w:vMerge w:val="continue"/>
            <w:noWrap/>
            <w:vAlign w:val="center"/>
          </w:tcPr>
          <w:p w14:paraId="2A58FEAC">
            <w:pPr>
              <w:jc w:val="center"/>
              <w:rPr>
                <w:rFonts w:ascii="宋体" w:hAnsi="宋体"/>
                <w:color w:val="auto"/>
                <w:sz w:val="18"/>
                <w:szCs w:val="18"/>
                <w:highlight w:val="none"/>
              </w:rPr>
            </w:pPr>
          </w:p>
        </w:tc>
        <w:tc>
          <w:tcPr>
            <w:tcW w:w="1187" w:type="dxa"/>
            <w:noWrap/>
            <w:vAlign w:val="center"/>
          </w:tcPr>
          <w:p w14:paraId="139F2965">
            <w:pPr>
              <w:jc w:val="left"/>
              <w:rPr>
                <w:rFonts w:ascii="宋体" w:hAnsi="宋体"/>
                <w:color w:val="auto"/>
                <w:sz w:val="18"/>
                <w:szCs w:val="18"/>
                <w:highlight w:val="none"/>
              </w:rPr>
            </w:pPr>
            <w:r>
              <w:rPr>
                <w:rFonts w:hint="eastAsia" w:ascii="宋体" w:hAnsi="宋体"/>
                <w:color w:val="auto"/>
                <w:sz w:val="18"/>
                <w:szCs w:val="18"/>
                <w:highlight w:val="none"/>
              </w:rPr>
              <w:t>地聚合物（</w:t>
            </w:r>
            <w:r>
              <w:rPr>
                <w:rFonts w:hint="eastAsia" w:ascii="宋体"/>
                <w:color w:val="auto"/>
                <w:sz w:val="18"/>
                <w:szCs w:val="18"/>
                <w:highlight w:val="none"/>
              </w:rPr>
              <w:t>普通型</w:t>
            </w:r>
            <w:r>
              <w:rPr>
                <w:rFonts w:hint="eastAsia" w:ascii="宋体" w:hAnsi="宋体"/>
                <w:color w:val="auto"/>
                <w:sz w:val="18"/>
                <w:szCs w:val="18"/>
                <w:highlight w:val="none"/>
              </w:rPr>
              <w:t>）</w:t>
            </w:r>
          </w:p>
        </w:tc>
        <w:tc>
          <w:tcPr>
            <w:tcW w:w="2917" w:type="dxa"/>
            <w:noWrap/>
            <w:vAlign w:val="center"/>
          </w:tcPr>
          <w:p w14:paraId="1CF18F31">
            <w:pPr>
              <w:jc w:val="left"/>
              <w:rPr>
                <w:color w:val="auto"/>
                <w:sz w:val="18"/>
                <w:szCs w:val="18"/>
                <w:highlight w:val="none"/>
              </w:rPr>
            </w:pPr>
            <w:r>
              <w:rPr>
                <w:rFonts w:hint="eastAsia"/>
                <w:color w:val="auto"/>
                <w:sz w:val="18"/>
                <w:szCs w:val="18"/>
                <w:highlight w:val="none"/>
              </w:rPr>
              <w:t>1、注浆压力：满足规范要求，自行考虑</w:t>
            </w:r>
          </w:p>
          <w:p w14:paraId="067F9663">
            <w:pPr>
              <w:jc w:val="left"/>
              <w:rPr>
                <w:color w:val="auto"/>
                <w:sz w:val="18"/>
                <w:szCs w:val="18"/>
                <w:highlight w:val="none"/>
              </w:rPr>
            </w:pPr>
            <w:r>
              <w:rPr>
                <w:rFonts w:hint="eastAsia"/>
                <w:color w:val="auto"/>
                <w:sz w:val="18"/>
                <w:szCs w:val="18"/>
                <w:highlight w:val="none"/>
              </w:rPr>
              <w:t>2、布孔间距：自行考虑</w:t>
            </w:r>
          </w:p>
          <w:p w14:paraId="5C8E7E14">
            <w:pPr>
              <w:jc w:val="left"/>
              <w:rPr>
                <w:color w:val="auto"/>
                <w:sz w:val="18"/>
                <w:szCs w:val="18"/>
                <w:highlight w:val="none"/>
              </w:rPr>
            </w:pPr>
            <w:r>
              <w:rPr>
                <w:rFonts w:hint="eastAsia"/>
                <w:color w:val="auto"/>
                <w:sz w:val="18"/>
                <w:szCs w:val="18"/>
                <w:highlight w:val="none"/>
              </w:rPr>
              <w:t>3、</w:t>
            </w:r>
            <w:r>
              <w:rPr>
                <w:color w:val="auto"/>
                <w:sz w:val="18"/>
                <w:szCs w:val="18"/>
                <w:highlight w:val="none"/>
              </w:rPr>
              <w:t>注浆材料：</w:t>
            </w:r>
            <w:r>
              <w:rPr>
                <w:rFonts w:hint="eastAsia"/>
                <w:color w:val="auto"/>
                <w:sz w:val="18"/>
                <w:szCs w:val="18"/>
                <w:highlight w:val="none"/>
              </w:rPr>
              <w:t>地聚合物（普通型），材料满足施工及规范要求</w:t>
            </w:r>
          </w:p>
          <w:p w14:paraId="317F0A81">
            <w:pPr>
              <w:jc w:val="left"/>
              <w:rPr>
                <w:color w:val="auto"/>
                <w:sz w:val="18"/>
                <w:szCs w:val="18"/>
                <w:highlight w:val="none"/>
              </w:rPr>
            </w:pPr>
            <w:r>
              <w:rPr>
                <w:rFonts w:hint="eastAsia"/>
                <w:color w:val="auto"/>
                <w:sz w:val="18"/>
                <w:szCs w:val="18"/>
                <w:highlight w:val="none"/>
              </w:rPr>
              <w:t>4、计量方式：吨位现场计量</w:t>
            </w:r>
          </w:p>
          <w:p w14:paraId="29509A21">
            <w:pPr>
              <w:rPr>
                <w:color w:val="auto"/>
                <w:sz w:val="18"/>
                <w:szCs w:val="18"/>
                <w:highlight w:val="none"/>
              </w:rPr>
            </w:pPr>
            <w:r>
              <w:rPr>
                <w:rFonts w:hint="eastAsia"/>
                <w:color w:val="auto"/>
                <w:sz w:val="18"/>
                <w:szCs w:val="18"/>
                <w:highlight w:val="none"/>
              </w:rPr>
              <w:t>5、注浆结束后根据要求进行路面弯沉检测，符合相关要求</w:t>
            </w:r>
          </w:p>
          <w:p w14:paraId="7902B5E1">
            <w:pPr>
              <w:rPr>
                <w:rFonts w:ascii="仿宋_GB2312" w:eastAsia="仿宋_GB2312"/>
                <w:color w:val="auto"/>
                <w:kern w:val="0"/>
                <w:sz w:val="18"/>
                <w:szCs w:val="18"/>
                <w:highlight w:val="none"/>
              </w:rPr>
            </w:pPr>
            <w:r>
              <w:rPr>
                <w:rFonts w:hint="eastAsia" w:ascii="仿宋_GB2312" w:eastAsia="仿宋_GB2312"/>
                <w:color w:val="auto"/>
                <w:sz w:val="18"/>
                <w:szCs w:val="18"/>
                <w:highlight w:val="none"/>
              </w:rPr>
              <w:t>6</w:t>
            </w:r>
            <w:r>
              <w:rPr>
                <w:rFonts w:hint="eastAsia"/>
                <w:color w:val="auto"/>
                <w:sz w:val="18"/>
                <w:szCs w:val="18"/>
                <w:highlight w:val="none"/>
              </w:rPr>
              <w:t>、满足技术和质量要求</w:t>
            </w:r>
          </w:p>
        </w:tc>
        <w:tc>
          <w:tcPr>
            <w:tcW w:w="723" w:type="dxa"/>
            <w:noWrap/>
            <w:vAlign w:val="center"/>
          </w:tcPr>
          <w:p w14:paraId="5DD5BDF5">
            <w:pPr>
              <w:jc w:val="center"/>
              <w:rPr>
                <w:rFonts w:ascii="宋体"/>
                <w:color w:val="auto"/>
                <w:sz w:val="18"/>
                <w:szCs w:val="18"/>
                <w:highlight w:val="none"/>
              </w:rPr>
            </w:pPr>
            <w:r>
              <w:rPr>
                <w:rFonts w:hint="eastAsia" w:ascii="宋体"/>
                <w:color w:val="auto"/>
                <w:sz w:val="18"/>
                <w:szCs w:val="18"/>
                <w:highlight w:val="none"/>
              </w:rPr>
              <w:t>t</w:t>
            </w:r>
          </w:p>
        </w:tc>
        <w:tc>
          <w:tcPr>
            <w:tcW w:w="859" w:type="dxa"/>
            <w:noWrap/>
            <w:vAlign w:val="center"/>
          </w:tcPr>
          <w:p w14:paraId="1604D349">
            <w:pPr>
              <w:jc w:val="center"/>
              <w:rPr>
                <w:rFonts w:hint="default" w:ascii="宋体" w:eastAsia="等线"/>
                <w:b/>
                <w:bCs/>
                <w:color w:val="auto"/>
                <w:sz w:val="18"/>
                <w:szCs w:val="18"/>
                <w:highlight w:val="none"/>
                <w:lang w:val="en-US" w:eastAsia="zh-CN"/>
              </w:rPr>
            </w:pPr>
            <w:r>
              <w:rPr>
                <w:rFonts w:hint="eastAsia" w:ascii="宋体"/>
                <w:b/>
                <w:bCs/>
                <w:color w:val="auto"/>
                <w:sz w:val="18"/>
                <w:szCs w:val="18"/>
                <w:highlight w:val="none"/>
                <w:lang w:val="en-US" w:eastAsia="zh-CN"/>
              </w:rPr>
              <w:t>35</w:t>
            </w:r>
          </w:p>
        </w:tc>
      </w:tr>
    </w:tbl>
    <w:p w14:paraId="26457514">
      <w:pPr>
        <w:numPr>
          <w:ilvl w:val="0"/>
          <w:numId w:val="0"/>
        </w:numPr>
        <w:adjustRightInd w:val="0"/>
        <w:spacing w:line="360" w:lineRule="auto"/>
        <w:ind w:leftChars="0" w:firstLine="480" w:firstLineChars="200"/>
        <w:contextualSpacing/>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交付（实施）时间：</w:t>
      </w:r>
      <w:r>
        <w:rPr>
          <w:rFonts w:hint="eastAsia" w:ascii="宋体" w:hAnsi="宋体" w:eastAsia="宋体" w:cs="宋体"/>
          <w:color w:val="auto"/>
          <w:kern w:val="0"/>
          <w:sz w:val="24"/>
          <w:szCs w:val="24"/>
          <w:highlight w:val="none"/>
          <w:lang w:val="en-US" w:eastAsia="zh-CN" w:bidi="ar-SA"/>
        </w:rPr>
        <w:t>根据采购人要求及时供货施工。</w:t>
      </w:r>
    </w:p>
    <w:p w14:paraId="36BCA64C">
      <w:pPr>
        <w:adjustRightInd w:val="0"/>
        <w:spacing w:line="360" w:lineRule="auto"/>
        <w:ind w:firstLine="480" w:firstLineChars="200"/>
        <w:contextualSpacing/>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、交付（实施）地点：采购人管辖范围。</w:t>
      </w:r>
    </w:p>
    <w:p w14:paraId="6BE04701">
      <w:pPr>
        <w:spacing w:before="48" w:after="48" w:line="360" w:lineRule="auto"/>
        <w:contextualSpacing/>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（二）采购标的需满足的服务标准、期限、效率等要求</w:t>
      </w:r>
    </w:p>
    <w:p w14:paraId="3C4928C0">
      <w:pPr>
        <w:adjustRightInd w:val="0"/>
        <w:spacing w:line="360" w:lineRule="auto"/>
        <w:ind w:firstLine="480" w:firstLineChars="200"/>
        <w:contextualSpacing/>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1、服务标准：根据采购标的需执行的国家相关标准、行业标准、地方标准或者其他标准、规范以及采购人的要求，完成相应的工作。</w:t>
      </w:r>
    </w:p>
    <w:p w14:paraId="3E68D570">
      <w:pPr>
        <w:adjustRightInd w:val="0"/>
        <w:spacing w:before="48" w:after="48" w:line="360" w:lineRule="auto"/>
        <w:ind w:firstLine="480" w:firstLineChars="200"/>
        <w:contextualSpacing/>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2、服务期限：合同自签订之日1年或服务期1年内合同结算费用达到</w:t>
      </w:r>
      <w:r>
        <w:rPr>
          <w:rFonts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rPr>
        <w:t>8</w:t>
      </w:r>
      <w:r>
        <w:rPr>
          <w:rFonts w:ascii="宋体" w:hAnsi="宋体" w:eastAsia="宋体" w:cs="宋体"/>
          <w:color w:val="auto"/>
          <w:kern w:val="0"/>
          <w:sz w:val="24"/>
          <w:szCs w:val="24"/>
          <w:highlight w:val="none"/>
        </w:rPr>
        <w:t>0</w:t>
      </w:r>
      <w:r>
        <w:rPr>
          <w:rFonts w:hint="eastAsia" w:ascii="宋体" w:hAnsi="宋体" w:eastAsia="宋体" w:cs="宋体"/>
          <w:color w:val="auto"/>
          <w:kern w:val="0"/>
          <w:sz w:val="24"/>
          <w:szCs w:val="24"/>
          <w:highlight w:val="none"/>
        </w:rPr>
        <w:t>万元，则合同终止。</w:t>
      </w:r>
    </w:p>
    <w:p w14:paraId="576DD19F">
      <w:pPr>
        <w:adjustRightInd w:val="0"/>
        <w:spacing w:line="360" w:lineRule="auto"/>
        <w:ind w:firstLine="480" w:firstLineChars="200"/>
        <w:contextualSpacing/>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3、服务效率：符合采购人要求。</w:t>
      </w:r>
    </w:p>
    <w:p w14:paraId="2F3AB86B">
      <w:pPr>
        <w:adjustRightInd w:val="0"/>
        <w:spacing w:line="360" w:lineRule="auto"/>
        <w:ind w:firstLine="480" w:firstLineChars="200"/>
        <w:contextualSpacing/>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4、质保期：两年，工程完工2年内施工区域出现质量问题均由施工单位负责无偿修复。</w:t>
      </w:r>
    </w:p>
    <w:p w14:paraId="4DD5A27B">
      <w:pPr>
        <w:spacing w:before="48" w:after="48" w:line="360" w:lineRule="auto"/>
        <w:contextualSpacing/>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（三）投标报价及结算原则</w:t>
      </w:r>
    </w:p>
    <w:p w14:paraId="4E70C1A8">
      <w:pPr>
        <w:snapToGrid w:val="0"/>
        <w:spacing w:line="360" w:lineRule="auto"/>
        <w:ind w:firstLine="482" w:firstLineChars="200"/>
        <w:contextualSpacing/>
        <w:jc w:val="left"/>
        <w:rPr>
          <w:rFonts w:ascii="宋体" w:hAnsi="宋体" w:eastAsia="宋体" w:cs="仿宋"/>
          <w:b/>
          <w:color w:val="auto"/>
          <w:kern w:val="0"/>
          <w:sz w:val="24"/>
          <w:szCs w:val="24"/>
          <w:highlight w:val="none"/>
        </w:rPr>
      </w:pPr>
      <w:r>
        <w:rPr>
          <w:rFonts w:hint="eastAsia" w:ascii="宋体" w:hAnsi="宋体" w:eastAsia="宋体" w:cs="仿宋"/>
          <w:b/>
          <w:color w:val="auto"/>
          <w:kern w:val="0"/>
          <w:sz w:val="24"/>
          <w:szCs w:val="24"/>
          <w:highlight w:val="none"/>
        </w:rPr>
        <w:t>1、投标报价</w:t>
      </w:r>
    </w:p>
    <w:p w14:paraId="6C18B5E2">
      <w:pPr>
        <w:adjustRightInd w:val="0"/>
        <w:spacing w:line="360" w:lineRule="auto"/>
        <w:ind w:firstLine="480" w:firstLineChars="200"/>
        <w:contextualSpacing/>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w:t>
      </w:r>
      <w:bookmarkStart w:id="111" w:name="_Hlk179915252"/>
      <w:r>
        <w:rPr>
          <w:rFonts w:hint="eastAsia" w:ascii="宋体" w:hAnsi="宋体"/>
          <w:bCs/>
          <w:color w:val="auto"/>
          <w:sz w:val="24"/>
          <w:highlight w:val="none"/>
        </w:rPr>
        <w:t>本项目报价采用全费用综合单价*暂定工程量进行报价。质量标准按最新国家标准、行业标准和本文件要求规定。报价内容包括招标文件规定的人、材、机费用以及本项目涉及的安全文明施工措施费、管理费、利润以及开具9%增值税发票的税费等为完成本项目所需的一切相关费用。最高限价如下</w:t>
      </w:r>
      <w:r>
        <w:rPr>
          <w:rFonts w:hint="eastAsia" w:ascii="宋体" w:hAnsi="宋体" w:eastAsia="宋体" w:cs="宋体"/>
          <w:color w:val="auto"/>
          <w:kern w:val="0"/>
          <w:sz w:val="24"/>
          <w:szCs w:val="24"/>
          <w:highlight w:val="none"/>
        </w:rPr>
        <w:t>：</w:t>
      </w:r>
    </w:p>
    <w:tbl>
      <w:tblPr>
        <w:tblStyle w:val="23"/>
        <w:tblW w:w="10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043"/>
        <w:gridCol w:w="1118"/>
        <w:gridCol w:w="1136"/>
        <w:gridCol w:w="2794"/>
        <w:gridCol w:w="585"/>
        <w:gridCol w:w="855"/>
        <w:gridCol w:w="945"/>
        <w:gridCol w:w="1005"/>
      </w:tblGrid>
      <w:tr w14:paraId="0DE0C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540" w:type="dxa"/>
            <w:noWrap/>
            <w:vAlign w:val="center"/>
          </w:tcPr>
          <w:p w14:paraId="19CB3A47">
            <w:pPr>
              <w:jc w:val="center"/>
              <w:rPr>
                <w:rFonts w:asciiTheme="minorEastAsia" w:hAnsiTheme="minorEastAsia"/>
                <w:b/>
                <w:color w:val="auto"/>
                <w:sz w:val="18"/>
                <w:szCs w:val="18"/>
                <w:highlight w:val="none"/>
              </w:rPr>
            </w:pPr>
            <w:r>
              <w:rPr>
                <w:rFonts w:hint="eastAsia" w:ascii="宋体" w:hAnsi="宋体"/>
                <w:b/>
                <w:color w:val="auto"/>
                <w:sz w:val="18"/>
                <w:szCs w:val="18"/>
                <w:highlight w:val="none"/>
              </w:rPr>
              <w:t>序号</w:t>
            </w:r>
          </w:p>
        </w:tc>
        <w:tc>
          <w:tcPr>
            <w:tcW w:w="1043" w:type="dxa"/>
            <w:noWrap/>
            <w:vAlign w:val="center"/>
          </w:tcPr>
          <w:p w14:paraId="445B4DA6">
            <w:pPr>
              <w:jc w:val="center"/>
              <w:rPr>
                <w:rFonts w:asciiTheme="minorEastAsia" w:hAnsiTheme="minorEastAsia"/>
                <w:b/>
                <w:color w:val="auto"/>
                <w:sz w:val="18"/>
                <w:szCs w:val="18"/>
                <w:highlight w:val="none"/>
              </w:rPr>
            </w:pPr>
            <w:r>
              <w:rPr>
                <w:rFonts w:hint="eastAsia" w:ascii="宋体" w:hAnsi="宋体"/>
                <w:b/>
                <w:color w:val="auto"/>
                <w:sz w:val="18"/>
                <w:szCs w:val="18"/>
                <w:highlight w:val="none"/>
              </w:rPr>
              <w:t>项目名称</w:t>
            </w:r>
          </w:p>
        </w:tc>
        <w:tc>
          <w:tcPr>
            <w:tcW w:w="1118" w:type="dxa"/>
            <w:noWrap/>
            <w:vAlign w:val="center"/>
          </w:tcPr>
          <w:p w14:paraId="238B8521">
            <w:pPr>
              <w:jc w:val="center"/>
              <w:rPr>
                <w:rFonts w:asciiTheme="minorEastAsia" w:hAnsiTheme="minorEastAsia"/>
                <w:b/>
                <w:color w:val="auto"/>
                <w:sz w:val="18"/>
                <w:szCs w:val="18"/>
                <w:highlight w:val="none"/>
              </w:rPr>
            </w:pPr>
            <w:r>
              <w:rPr>
                <w:rFonts w:hint="eastAsia" w:ascii="宋体" w:hAnsi="宋体"/>
                <w:b/>
                <w:color w:val="auto"/>
                <w:sz w:val="18"/>
                <w:szCs w:val="18"/>
                <w:highlight w:val="none"/>
              </w:rPr>
              <w:t>工作步骤</w:t>
            </w:r>
          </w:p>
        </w:tc>
        <w:tc>
          <w:tcPr>
            <w:tcW w:w="3930" w:type="dxa"/>
            <w:gridSpan w:val="2"/>
            <w:noWrap/>
            <w:vAlign w:val="center"/>
          </w:tcPr>
          <w:p w14:paraId="21AAA20A">
            <w:pPr>
              <w:jc w:val="center"/>
              <w:rPr>
                <w:rFonts w:asciiTheme="minorEastAsia" w:hAnsiTheme="minorEastAsia"/>
                <w:b/>
                <w:color w:val="auto"/>
                <w:sz w:val="18"/>
                <w:szCs w:val="18"/>
                <w:highlight w:val="none"/>
              </w:rPr>
            </w:pPr>
            <w:r>
              <w:rPr>
                <w:rFonts w:hint="eastAsia" w:ascii="宋体" w:hAnsi="宋体"/>
                <w:b/>
                <w:color w:val="auto"/>
                <w:sz w:val="18"/>
                <w:szCs w:val="18"/>
                <w:highlight w:val="none"/>
              </w:rPr>
              <w:t>具体工作要求</w:t>
            </w:r>
          </w:p>
        </w:tc>
        <w:tc>
          <w:tcPr>
            <w:tcW w:w="585" w:type="dxa"/>
            <w:noWrap/>
            <w:vAlign w:val="center"/>
          </w:tcPr>
          <w:p w14:paraId="4D5ECE10">
            <w:pPr>
              <w:jc w:val="center"/>
              <w:rPr>
                <w:rFonts w:asciiTheme="minorEastAsia" w:hAnsiTheme="minorEastAsia"/>
                <w:b/>
                <w:color w:val="auto"/>
                <w:sz w:val="18"/>
                <w:szCs w:val="18"/>
                <w:highlight w:val="none"/>
              </w:rPr>
            </w:pPr>
            <w:r>
              <w:rPr>
                <w:rFonts w:hint="eastAsia" w:ascii="宋体" w:hAnsi="宋体"/>
                <w:b/>
                <w:color w:val="auto"/>
                <w:sz w:val="18"/>
                <w:szCs w:val="18"/>
                <w:highlight w:val="none"/>
              </w:rPr>
              <w:t>单位</w:t>
            </w:r>
          </w:p>
        </w:tc>
        <w:tc>
          <w:tcPr>
            <w:tcW w:w="855" w:type="dxa"/>
            <w:noWrap/>
            <w:vAlign w:val="center"/>
          </w:tcPr>
          <w:p w14:paraId="42492C10">
            <w:pPr>
              <w:jc w:val="center"/>
              <w:rPr>
                <w:rFonts w:asciiTheme="minorEastAsia" w:hAnsiTheme="minorEastAsia"/>
                <w:b/>
                <w:color w:val="auto"/>
                <w:sz w:val="18"/>
                <w:szCs w:val="18"/>
                <w:highlight w:val="none"/>
              </w:rPr>
            </w:pPr>
            <w:r>
              <w:rPr>
                <w:rFonts w:hint="eastAsia" w:ascii="宋体" w:hAnsi="宋体"/>
                <w:b/>
                <w:color w:val="auto"/>
                <w:sz w:val="18"/>
                <w:szCs w:val="18"/>
                <w:highlight w:val="none"/>
              </w:rPr>
              <w:t>工程量（暂估）</w:t>
            </w:r>
          </w:p>
        </w:tc>
        <w:tc>
          <w:tcPr>
            <w:tcW w:w="945" w:type="dxa"/>
            <w:vAlign w:val="center"/>
          </w:tcPr>
          <w:p w14:paraId="0EFDFFD6">
            <w:pPr>
              <w:jc w:val="center"/>
              <w:rPr>
                <w:rFonts w:asciiTheme="minorEastAsia" w:hAnsiTheme="minorEastAsia"/>
                <w:b/>
                <w:color w:val="auto"/>
                <w:sz w:val="18"/>
                <w:szCs w:val="18"/>
                <w:highlight w:val="none"/>
              </w:rPr>
            </w:pPr>
            <w:r>
              <w:rPr>
                <w:rFonts w:hint="eastAsia" w:asciiTheme="minorEastAsia" w:hAnsiTheme="minorEastAsia"/>
                <w:b/>
                <w:color w:val="auto"/>
                <w:sz w:val="18"/>
                <w:szCs w:val="18"/>
                <w:highlight w:val="none"/>
              </w:rPr>
              <w:t>全费用综合单价最高限价（元）</w:t>
            </w:r>
          </w:p>
        </w:tc>
        <w:tc>
          <w:tcPr>
            <w:tcW w:w="1005" w:type="dxa"/>
            <w:vAlign w:val="center"/>
          </w:tcPr>
          <w:p w14:paraId="00941FB9">
            <w:pPr>
              <w:jc w:val="center"/>
              <w:rPr>
                <w:rFonts w:asciiTheme="minorEastAsia" w:hAnsiTheme="minorEastAsia"/>
                <w:b/>
                <w:color w:val="auto"/>
                <w:sz w:val="18"/>
                <w:szCs w:val="18"/>
                <w:highlight w:val="none"/>
              </w:rPr>
            </w:pPr>
            <w:r>
              <w:rPr>
                <w:rFonts w:hint="eastAsia" w:asciiTheme="minorEastAsia" w:hAnsiTheme="minorEastAsia"/>
                <w:b/>
                <w:color w:val="auto"/>
                <w:sz w:val="18"/>
                <w:szCs w:val="18"/>
                <w:highlight w:val="none"/>
              </w:rPr>
              <w:t>全费用综合单价合价（元）</w:t>
            </w:r>
          </w:p>
        </w:tc>
      </w:tr>
      <w:tr w14:paraId="172B4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540" w:type="dxa"/>
            <w:noWrap/>
            <w:vAlign w:val="center"/>
          </w:tcPr>
          <w:p w14:paraId="4B5F2A9D">
            <w:pPr>
              <w:jc w:val="center"/>
              <w:rPr>
                <w:rFonts w:asciiTheme="minorEastAsia" w:hAnsiTheme="minorEastAsia"/>
                <w:color w:val="auto"/>
                <w:sz w:val="18"/>
                <w:szCs w:val="18"/>
                <w:highlight w:val="none"/>
              </w:rPr>
            </w:pPr>
            <w:r>
              <w:rPr>
                <w:rFonts w:hint="eastAsia" w:ascii="宋体" w:hAnsi="宋体"/>
                <w:color w:val="auto"/>
                <w:sz w:val="18"/>
                <w:szCs w:val="18"/>
                <w:highlight w:val="none"/>
              </w:rPr>
              <w:t>1</w:t>
            </w:r>
          </w:p>
        </w:tc>
        <w:tc>
          <w:tcPr>
            <w:tcW w:w="1043" w:type="dxa"/>
            <w:noWrap/>
            <w:vAlign w:val="center"/>
          </w:tcPr>
          <w:p w14:paraId="684031E9">
            <w:pPr>
              <w:jc w:val="left"/>
              <w:rPr>
                <w:rFonts w:asciiTheme="minorEastAsia" w:hAnsiTheme="minorEastAsia"/>
                <w:color w:val="auto"/>
                <w:sz w:val="18"/>
                <w:szCs w:val="18"/>
                <w:highlight w:val="none"/>
              </w:rPr>
            </w:pPr>
            <w:r>
              <w:rPr>
                <w:rFonts w:ascii="宋体"/>
                <w:color w:val="auto"/>
                <w:sz w:val="18"/>
                <w:szCs w:val="18"/>
                <w:highlight w:val="none"/>
              </w:rPr>
              <w:t>改性地聚合物注浆加固</w:t>
            </w:r>
            <w:r>
              <w:rPr>
                <w:rFonts w:hint="eastAsia" w:ascii="宋体"/>
                <w:color w:val="auto"/>
                <w:sz w:val="18"/>
                <w:szCs w:val="18"/>
                <w:highlight w:val="none"/>
              </w:rPr>
              <w:t>（早强型）</w:t>
            </w:r>
          </w:p>
        </w:tc>
        <w:tc>
          <w:tcPr>
            <w:tcW w:w="1118" w:type="dxa"/>
            <w:vMerge w:val="restart"/>
            <w:noWrap/>
            <w:vAlign w:val="center"/>
          </w:tcPr>
          <w:p w14:paraId="1A266DE6">
            <w:pPr>
              <w:jc w:val="center"/>
              <w:rPr>
                <w:rFonts w:asciiTheme="minorEastAsia" w:hAnsiTheme="minorEastAsia"/>
                <w:color w:val="auto"/>
                <w:sz w:val="18"/>
                <w:szCs w:val="18"/>
                <w:highlight w:val="none"/>
              </w:rPr>
            </w:pPr>
            <w:r>
              <w:rPr>
                <w:rFonts w:hint="eastAsia" w:ascii="宋体" w:hAnsi="宋体"/>
                <w:color w:val="auto"/>
                <w:sz w:val="18"/>
                <w:szCs w:val="18"/>
                <w:highlight w:val="none"/>
              </w:rPr>
              <w:t>交通维护，布孔，钻孔，除尘，注浆，养护，现场清理</w:t>
            </w:r>
          </w:p>
        </w:tc>
        <w:tc>
          <w:tcPr>
            <w:tcW w:w="3930" w:type="dxa"/>
            <w:gridSpan w:val="2"/>
            <w:shd w:val="clear" w:color="auto" w:fill="auto"/>
            <w:noWrap/>
            <w:vAlign w:val="center"/>
          </w:tcPr>
          <w:p w14:paraId="3C99B5C8">
            <w:pPr>
              <w:numPr>
                <w:ilvl w:val="0"/>
                <w:numId w:val="3"/>
              </w:numPr>
              <w:jc w:val="left"/>
              <w:rPr>
                <w:color w:val="auto"/>
                <w:sz w:val="18"/>
                <w:szCs w:val="18"/>
                <w:highlight w:val="none"/>
              </w:rPr>
            </w:pPr>
            <w:r>
              <w:rPr>
                <w:rFonts w:hint="eastAsia"/>
                <w:color w:val="auto"/>
                <w:sz w:val="18"/>
                <w:szCs w:val="18"/>
                <w:highlight w:val="none"/>
              </w:rPr>
              <w:t>间距:孔距1.5m，可根据现场实际情况微调，宜为1.5-2.0m</w:t>
            </w:r>
          </w:p>
          <w:p w14:paraId="68D0497C">
            <w:pPr>
              <w:numPr>
                <w:ilvl w:val="0"/>
                <w:numId w:val="3"/>
              </w:numPr>
              <w:jc w:val="left"/>
              <w:rPr>
                <w:color w:val="auto"/>
                <w:sz w:val="18"/>
                <w:szCs w:val="18"/>
                <w:highlight w:val="none"/>
              </w:rPr>
            </w:pPr>
            <w:r>
              <w:rPr>
                <w:rFonts w:hint="eastAsia"/>
                <w:color w:val="auto"/>
                <w:sz w:val="18"/>
                <w:szCs w:val="18"/>
                <w:highlight w:val="none"/>
              </w:rPr>
              <w:t>孔径：满足现场实际情况，综合考虑</w:t>
            </w:r>
          </w:p>
          <w:p w14:paraId="066344BD">
            <w:pPr>
              <w:jc w:val="left"/>
              <w:rPr>
                <w:color w:val="auto"/>
                <w:sz w:val="18"/>
                <w:szCs w:val="18"/>
                <w:highlight w:val="none"/>
              </w:rPr>
            </w:pPr>
            <w:r>
              <w:rPr>
                <w:rFonts w:hint="eastAsia"/>
                <w:color w:val="auto"/>
                <w:sz w:val="18"/>
                <w:szCs w:val="18"/>
                <w:highlight w:val="none"/>
              </w:rPr>
              <w:t>3、孔深：0.8-1m,如有障碍物可适当缩减.</w:t>
            </w:r>
          </w:p>
          <w:p w14:paraId="50BEE048">
            <w:pPr>
              <w:jc w:val="left"/>
              <w:rPr>
                <w:color w:val="auto"/>
                <w:sz w:val="18"/>
                <w:szCs w:val="18"/>
                <w:highlight w:val="none"/>
              </w:rPr>
            </w:pPr>
            <w:r>
              <w:rPr>
                <w:rFonts w:hint="eastAsia"/>
                <w:color w:val="auto"/>
                <w:sz w:val="18"/>
                <w:szCs w:val="18"/>
                <w:highlight w:val="none"/>
              </w:rPr>
              <w:t>4、浆液参数:早强型地聚物注浆加固，配比、流动度、凝结时间、泌水率、抗压强度等满足《城镇道路改性地聚合物注浆加固技术规程》（DGJ32TJ225-2017）要求.</w:t>
            </w:r>
          </w:p>
          <w:p w14:paraId="22C7E609">
            <w:pPr>
              <w:rPr>
                <w:color w:val="auto"/>
                <w:sz w:val="18"/>
                <w:szCs w:val="18"/>
                <w:highlight w:val="none"/>
              </w:rPr>
            </w:pPr>
            <w:r>
              <w:rPr>
                <w:rFonts w:hint="eastAsia"/>
                <w:color w:val="auto"/>
                <w:sz w:val="18"/>
                <w:szCs w:val="18"/>
                <w:highlight w:val="none"/>
              </w:rPr>
              <w:t>5、注浆结束后根据要求进行路面弯沉检测，符合相关要求</w:t>
            </w:r>
          </w:p>
          <w:p w14:paraId="5D86FC64">
            <w:pPr>
              <w:jc w:val="left"/>
              <w:rPr>
                <w:color w:val="auto"/>
                <w:sz w:val="18"/>
                <w:szCs w:val="18"/>
                <w:highlight w:val="none"/>
              </w:rPr>
            </w:pPr>
            <w:r>
              <w:rPr>
                <w:rFonts w:hint="eastAsia"/>
                <w:color w:val="auto"/>
                <w:sz w:val="18"/>
                <w:szCs w:val="18"/>
                <w:highlight w:val="none"/>
              </w:rPr>
              <w:t>6、机械使用费、发电机、交通组织、施工护栏等综合考虑在报价中</w:t>
            </w:r>
          </w:p>
          <w:p w14:paraId="1ACA014A">
            <w:pPr>
              <w:jc w:val="left"/>
              <w:rPr>
                <w:color w:val="auto"/>
                <w:sz w:val="18"/>
                <w:szCs w:val="18"/>
                <w:highlight w:val="none"/>
              </w:rPr>
            </w:pPr>
            <w:r>
              <w:rPr>
                <w:rFonts w:hint="eastAsia"/>
                <w:color w:val="auto"/>
                <w:sz w:val="18"/>
                <w:szCs w:val="18"/>
                <w:highlight w:val="none"/>
              </w:rPr>
              <w:t>7、适用范围：路基、路面</w:t>
            </w:r>
          </w:p>
          <w:p w14:paraId="60D936BA">
            <w:pPr>
              <w:jc w:val="left"/>
              <w:rPr>
                <w:rFonts w:asciiTheme="minorHAnsi" w:hAnsiTheme="minorHAnsi" w:eastAsiaTheme="minorEastAsia" w:cstheme="minorBidi"/>
                <w:color w:val="auto"/>
                <w:kern w:val="2"/>
                <w:sz w:val="18"/>
                <w:szCs w:val="18"/>
                <w:highlight w:val="none"/>
                <w:lang w:val="en-US" w:eastAsia="zh-CN" w:bidi="ar-SA"/>
              </w:rPr>
            </w:pPr>
            <w:r>
              <w:rPr>
                <w:rFonts w:hint="eastAsia"/>
                <w:color w:val="auto"/>
                <w:sz w:val="18"/>
                <w:szCs w:val="18"/>
                <w:highlight w:val="none"/>
              </w:rPr>
              <w:t>8、满足技术和质量要求</w:t>
            </w:r>
          </w:p>
        </w:tc>
        <w:tc>
          <w:tcPr>
            <w:tcW w:w="585" w:type="dxa"/>
            <w:noWrap/>
            <w:vAlign w:val="center"/>
          </w:tcPr>
          <w:p w14:paraId="40EB5BB6">
            <w:pPr>
              <w:jc w:val="center"/>
              <w:rPr>
                <w:rFonts w:asciiTheme="minorEastAsia" w:hAnsiTheme="minorEastAsia"/>
                <w:color w:val="auto"/>
                <w:sz w:val="18"/>
                <w:szCs w:val="18"/>
                <w:highlight w:val="none"/>
              </w:rPr>
            </w:pPr>
            <w:r>
              <w:rPr>
                <w:rFonts w:hint="eastAsia" w:ascii="宋体" w:hAnsi="宋体"/>
                <w:color w:val="auto"/>
                <w:sz w:val="18"/>
                <w:szCs w:val="18"/>
                <w:highlight w:val="none"/>
              </w:rPr>
              <w:t>㎡</w:t>
            </w:r>
          </w:p>
        </w:tc>
        <w:tc>
          <w:tcPr>
            <w:tcW w:w="855" w:type="dxa"/>
            <w:noWrap/>
            <w:vAlign w:val="center"/>
          </w:tcPr>
          <w:p w14:paraId="52867EEF">
            <w:pPr>
              <w:jc w:val="center"/>
              <w:rPr>
                <w:rFonts w:asciiTheme="minorEastAsia" w:hAnsiTheme="minorEastAsia"/>
                <w:color w:val="auto"/>
                <w:sz w:val="18"/>
                <w:szCs w:val="18"/>
                <w:highlight w:val="none"/>
              </w:rPr>
            </w:pPr>
            <w:r>
              <w:rPr>
                <w:rFonts w:hint="eastAsia" w:ascii="宋体"/>
                <w:b/>
                <w:bCs/>
                <w:color w:val="auto"/>
                <w:sz w:val="18"/>
                <w:szCs w:val="18"/>
                <w:highlight w:val="none"/>
                <w:lang w:val="en-US" w:eastAsia="zh-CN"/>
              </w:rPr>
              <w:t>18500</w:t>
            </w:r>
          </w:p>
        </w:tc>
        <w:tc>
          <w:tcPr>
            <w:tcW w:w="945" w:type="dxa"/>
            <w:vAlign w:val="center"/>
          </w:tcPr>
          <w:p w14:paraId="326894AD">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105.54</w:t>
            </w:r>
          </w:p>
        </w:tc>
        <w:tc>
          <w:tcPr>
            <w:tcW w:w="1005" w:type="dxa"/>
            <w:vAlign w:val="center"/>
          </w:tcPr>
          <w:p w14:paraId="53079EE0">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1952490</w:t>
            </w:r>
          </w:p>
        </w:tc>
      </w:tr>
      <w:tr w14:paraId="5762F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540" w:type="dxa"/>
            <w:noWrap/>
            <w:vAlign w:val="center"/>
          </w:tcPr>
          <w:p w14:paraId="03C9BDC6">
            <w:pPr>
              <w:jc w:val="center"/>
              <w:rPr>
                <w:rFonts w:asciiTheme="minorEastAsia" w:hAnsiTheme="minorEastAsia"/>
                <w:color w:val="auto"/>
                <w:sz w:val="18"/>
                <w:szCs w:val="18"/>
                <w:highlight w:val="none"/>
              </w:rPr>
            </w:pPr>
            <w:r>
              <w:rPr>
                <w:rFonts w:hint="eastAsia" w:ascii="宋体" w:hAnsi="宋体"/>
                <w:color w:val="auto"/>
                <w:sz w:val="18"/>
                <w:szCs w:val="18"/>
                <w:highlight w:val="none"/>
              </w:rPr>
              <w:t>2</w:t>
            </w:r>
          </w:p>
        </w:tc>
        <w:tc>
          <w:tcPr>
            <w:tcW w:w="1043" w:type="dxa"/>
            <w:noWrap/>
            <w:vAlign w:val="center"/>
          </w:tcPr>
          <w:p w14:paraId="2E4456A5">
            <w:pPr>
              <w:jc w:val="left"/>
              <w:rPr>
                <w:rFonts w:asciiTheme="minorEastAsia" w:hAnsiTheme="minorEastAsia"/>
                <w:color w:val="auto"/>
                <w:sz w:val="18"/>
                <w:szCs w:val="18"/>
                <w:highlight w:val="none"/>
              </w:rPr>
            </w:pPr>
            <w:r>
              <w:rPr>
                <w:rFonts w:ascii="宋体"/>
                <w:color w:val="auto"/>
                <w:sz w:val="18"/>
                <w:szCs w:val="18"/>
                <w:highlight w:val="none"/>
              </w:rPr>
              <w:t>改性地聚合物注浆加固</w:t>
            </w:r>
            <w:r>
              <w:rPr>
                <w:rFonts w:hint="eastAsia" w:ascii="宋体"/>
                <w:color w:val="auto"/>
                <w:sz w:val="18"/>
                <w:szCs w:val="18"/>
                <w:highlight w:val="none"/>
              </w:rPr>
              <w:t>（普通型）</w:t>
            </w:r>
          </w:p>
        </w:tc>
        <w:tc>
          <w:tcPr>
            <w:tcW w:w="1118" w:type="dxa"/>
            <w:vMerge w:val="continue"/>
            <w:noWrap/>
            <w:vAlign w:val="center"/>
          </w:tcPr>
          <w:p w14:paraId="784E1E2B">
            <w:pPr>
              <w:jc w:val="center"/>
              <w:rPr>
                <w:rFonts w:asciiTheme="minorEastAsia" w:hAnsiTheme="minorEastAsia"/>
                <w:color w:val="auto"/>
                <w:sz w:val="18"/>
                <w:szCs w:val="18"/>
                <w:highlight w:val="none"/>
              </w:rPr>
            </w:pPr>
          </w:p>
        </w:tc>
        <w:tc>
          <w:tcPr>
            <w:tcW w:w="3930" w:type="dxa"/>
            <w:gridSpan w:val="2"/>
            <w:noWrap/>
            <w:vAlign w:val="center"/>
          </w:tcPr>
          <w:p w14:paraId="5783F07A">
            <w:pPr>
              <w:numPr>
                <w:ilvl w:val="0"/>
                <w:numId w:val="4"/>
              </w:numPr>
              <w:jc w:val="left"/>
              <w:rPr>
                <w:color w:val="auto"/>
                <w:sz w:val="18"/>
                <w:szCs w:val="18"/>
                <w:highlight w:val="none"/>
              </w:rPr>
            </w:pPr>
            <w:r>
              <w:rPr>
                <w:rFonts w:hint="eastAsia"/>
                <w:color w:val="auto"/>
                <w:sz w:val="18"/>
                <w:szCs w:val="18"/>
                <w:highlight w:val="none"/>
              </w:rPr>
              <w:t>间距:孔距1.5m，可根据现场实际情况微调，宜为1.5-2.0m</w:t>
            </w:r>
          </w:p>
          <w:p w14:paraId="4912820A">
            <w:pPr>
              <w:jc w:val="left"/>
              <w:rPr>
                <w:color w:val="auto"/>
                <w:sz w:val="18"/>
                <w:szCs w:val="18"/>
                <w:highlight w:val="none"/>
              </w:rPr>
            </w:pPr>
            <w:r>
              <w:rPr>
                <w:rFonts w:hint="eastAsia"/>
                <w:color w:val="auto"/>
                <w:sz w:val="18"/>
                <w:szCs w:val="18"/>
                <w:highlight w:val="none"/>
              </w:rPr>
              <w:t>2、孔径：满足现场实际情况，综合考虑</w:t>
            </w:r>
          </w:p>
          <w:p w14:paraId="1BC81E92">
            <w:pPr>
              <w:jc w:val="left"/>
              <w:rPr>
                <w:color w:val="auto"/>
                <w:sz w:val="18"/>
                <w:szCs w:val="18"/>
                <w:highlight w:val="none"/>
              </w:rPr>
            </w:pPr>
            <w:r>
              <w:rPr>
                <w:rFonts w:hint="eastAsia"/>
                <w:color w:val="auto"/>
                <w:sz w:val="18"/>
                <w:szCs w:val="18"/>
                <w:highlight w:val="none"/>
              </w:rPr>
              <w:t>3、孔深：0.8-1m,如有障碍物可适当缩减.</w:t>
            </w:r>
          </w:p>
          <w:p w14:paraId="005F97B0">
            <w:pPr>
              <w:jc w:val="left"/>
              <w:rPr>
                <w:color w:val="auto"/>
                <w:sz w:val="18"/>
                <w:szCs w:val="18"/>
                <w:highlight w:val="none"/>
              </w:rPr>
            </w:pPr>
            <w:r>
              <w:rPr>
                <w:rFonts w:hint="eastAsia"/>
                <w:color w:val="auto"/>
                <w:sz w:val="18"/>
                <w:szCs w:val="18"/>
                <w:highlight w:val="none"/>
              </w:rPr>
              <w:t>4、浆液参数:普通型地聚物注浆加固，配比、流动度、凝结时间、泌水率、抗压强度等满足《城镇道路改性地聚合物注浆加固技术规程》（DGJ32TJ225-2017）要求.</w:t>
            </w:r>
          </w:p>
          <w:p w14:paraId="5807CDF5">
            <w:pPr>
              <w:rPr>
                <w:color w:val="auto"/>
                <w:sz w:val="18"/>
                <w:szCs w:val="18"/>
                <w:highlight w:val="none"/>
              </w:rPr>
            </w:pPr>
            <w:r>
              <w:rPr>
                <w:rFonts w:hint="eastAsia"/>
                <w:color w:val="auto"/>
                <w:sz w:val="18"/>
                <w:szCs w:val="18"/>
                <w:highlight w:val="none"/>
              </w:rPr>
              <w:t>5、注浆结束后根据要求进行路面弯沉检测，符合相关要求</w:t>
            </w:r>
          </w:p>
          <w:p w14:paraId="3D63EF4F">
            <w:pPr>
              <w:jc w:val="left"/>
              <w:rPr>
                <w:color w:val="auto"/>
                <w:sz w:val="18"/>
                <w:szCs w:val="18"/>
                <w:highlight w:val="none"/>
              </w:rPr>
            </w:pPr>
            <w:r>
              <w:rPr>
                <w:rFonts w:hint="eastAsia"/>
                <w:color w:val="auto"/>
                <w:sz w:val="18"/>
                <w:szCs w:val="18"/>
                <w:highlight w:val="none"/>
              </w:rPr>
              <w:t>6、</w:t>
            </w:r>
            <w:r>
              <w:rPr>
                <w:color w:val="auto"/>
                <w:sz w:val="18"/>
                <w:szCs w:val="18"/>
                <w:highlight w:val="none"/>
              </w:rPr>
              <w:t>机械使用费、发电机、交通组织、施工护栏等综合考虑在报价中，报价为完成此项工作的所有费用</w:t>
            </w:r>
          </w:p>
          <w:p w14:paraId="46946C75">
            <w:pPr>
              <w:jc w:val="left"/>
              <w:rPr>
                <w:color w:val="auto"/>
                <w:sz w:val="18"/>
                <w:szCs w:val="18"/>
                <w:highlight w:val="none"/>
              </w:rPr>
            </w:pPr>
            <w:r>
              <w:rPr>
                <w:rFonts w:hint="eastAsia"/>
                <w:color w:val="auto"/>
                <w:sz w:val="18"/>
                <w:szCs w:val="18"/>
                <w:highlight w:val="none"/>
              </w:rPr>
              <w:t>7、适用范围：路基、路面</w:t>
            </w:r>
          </w:p>
          <w:p w14:paraId="47837A0A">
            <w:pPr>
              <w:jc w:val="left"/>
              <w:rPr>
                <w:rFonts w:asciiTheme="minorEastAsia" w:hAnsiTheme="minorEastAsia"/>
                <w:color w:val="auto"/>
                <w:sz w:val="18"/>
                <w:szCs w:val="18"/>
                <w:highlight w:val="none"/>
              </w:rPr>
            </w:pPr>
            <w:r>
              <w:rPr>
                <w:rFonts w:hint="eastAsia"/>
                <w:color w:val="auto"/>
                <w:sz w:val="18"/>
                <w:szCs w:val="18"/>
                <w:highlight w:val="none"/>
              </w:rPr>
              <w:t>8、满足技术和质量要求</w:t>
            </w:r>
          </w:p>
        </w:tc>
        <w:tc>
          <w:tcPr>
            <w:tcW w:w="585" w:type="dxa"/>
            <w:noWrap/>
            <w:vAlign w:val="center"/>
          </w:tcPr>
          <w:p w14:paraId="64A8B4DF">
            <w:pPr>
              <w:jc w:val="center"/>
              <w:rPr>
                <w:rFonts w:asciiTheme="minorEastAsia" w:hAnsiTheme="minorEastAsia"/>
                <w:color w:val="auto"/>
                <w:sz w:val="18"/>
                <w:szCs w:val="18"/>
                <w:highlight w:val="none"/>
              </w:rPr>
            </w:pPr>
            <w:r>
              <w:rPr>
                <w:rFonts w:hint="eastAsia" w:ascii="宋体" w:hAnsi="宋体"/>
                <w:color w:val="auto"/>
                <w:sz w:val="18"/>
                <w:szCs w:val="18"/>
                <w:highlight w:val="none"/>
              </w:rPr>
              <w:t>㎡</w:t>
            </w:r>
          </w:p>
        </w:tc>
        <w:tc>
          <w:tcPr>
            <w:tcW w:w="855" w:type="dxa"/>
            <w:noWrap/>
            <w:vAlign w:val="center"/>
          </w:tcPr>
          <w:p w14:paraId="57CC3250">
            <w:pPr>
              <w:jc w:val="center"/>
              <w:rPr>
                <w:rFonts w:asciiTheme="minorEastAsia" w:hAnsiTheme="minorEastAsia"/>
                <w:color w:val="auto"/>
                <w:sz w:val="18"/>
                <w:szCs w:val="18"/>
                <w:highlight w:val="none"/>
              </w:rPr>
            </w:pPr>
            <w:r>
              <w:rPr>
                <w:rFonts w:hint="eastAsia" w:ascii="宋体"/>
                <w:b/>
                <w:bCs/>
                <w:color w:val="auto"/>
                <w:sz w:val="18"/>
                <w:szCs w:val="18"/>
                <w:highlight w:val="none"/>
                <w:lang w:val="en-US" w:eastAsia="zh-CN"/>
              </w:rPr>
              <w:t>3200</w:t>
            </w:r>
          </w:p>
        </w:tc>
        <w:tc>
          <w:tcPr>
            <w:tcW w:w="945" w:type="dxa"/>
            <w:vAlign w:val="center"/>
          </w:tcPr>
          <w:p w14:paraId="429D973E">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88.22</w:t>
            </w:r>
          </w:p>
        </w:tc>
        <w:tc>
          <w:tcPr>
            <w:tcW w:w="1005" w:type="dxa"/>
            <w:vAlign w:val="center"/>
          </w:tcPr>
          <w:p w14:paraId="3BF79AC9">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282304</w:t>
            </w:r>
          </w:p>
        </w:tc>
      </w:tr>
      <w:tr w14:paraId="4995C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5" w:hRule="atLeast"/>
          <w:jc w:val="center"/>
        </w:trPr>
        <w:tc>
          <w:tcPr>
            <w:tcW w:w="540" w:type="dxa"/>
            <w:vMerge w:val="restart"/>
            <w:noWrap/>
            <w:vAlign w:val="center"/>
          </w:tcPr>
          <w:p w14:paraId="315E5010">
            <w:pPr>
              <w:jc w:val="center"/>
              <w:rPr>
                <w:rFonts w:asciiTheme="minorEastAsia" w:hAnsiTheme="minorEastAsia"/>
                <w:color w:val="auto"/>
                <w:sz w:val="18"/>
                <w:szCs w:val="18"/>
                <w:highlight w:val="none"/>
              </w:rPr>
            </w:pPr>
            <w:r>
              <w:rPr>
                <w:rFonts w:hint="eastAsia" w:ascii="宋体" w:hAnsi="宋体"/>
                <w:color w:val="auto"/>
                <w:sz w:val="18"/>
                <w:szCs w:val="18"/>
                <w:highlight w:val="none"/>
              </w:rPr>
              <w:t>3</w:t>
            </w:r>
          </w:p>
        </w:tc>
        <w:tc>
          <w:tcPr>
            <w:tcW w:w="1043" w:type="dxa"/>
            <w:vMerge w:val="restart"/>
            <w:noWrap/>
            <w:vAlign w:val="center"/>
          </w:tcPr>
          <w:p w14:paraId="5AC02CEB">
            <w:pPr>
              <w:jc w:val="left"/>
              <w:rPr>
                <w:rFonts w:asciiTheme="minorEastAsia" w:hAnsiTheme="minorEastAsia"/>
                <w:color w:val="auto"/>
                <w:sz w:val="18"/>
                <w:szCs w:val="18"/>
                <w:highlight w:val="none"/>
              </w:rPr>
            </w:pPr>
            <w:r>
              <w:rPr>
                <w:rFonts w:ascii="宋体"/>
                <w:color w:val="auto"/>
                <w:sz w:val="18"/>
                <w:szCs w:val="18"/>
                <w:highlight w:val="none"/>
              </w:rPr>
              <w:t>改性地聚合物注浆加固</w:t>
            </w:r>
            <w:r>
              <w:rPr>
                <w:rFonts w:hint="eastAsia" w:ascii="宋体"/>
                <w:color w:val="auto"/>
                <w:sz w:val="18"/>
                <w:szCs w:val="18"/>
                <w:highlight w:val="none"/>
              </w:rPr>
              <w:t>地下空洞（或疏松）（早强型）</w:t>
            </w:r>
          </w:p>
        </w:tc>
        <w:tc>
          <w:tcPr>
            <w:tcW w:w="1118" w:type="dxa"/>
            <w:vMerge w:val="continue"/>
            <w:noWrap/>
            <w:vAlign w:val="center"/>
          </w:tcPr>
          <w:p w14:paraId="5D1ADF1B">
            <w:pPr>
              <w:jc w:val="center"/>
              <w:rPr>
                <w:rFonts w:asciiTheme="minorEastAsia" w:hAnsiTheme="minorEastAsia"/>
                <w:color w:val="auto"/>
                <w:sz w:val="18"/>
                <w:szCs w:val="18"/>
                <w:highlight w:val="none"/>
              </w:rPr>
            </w:pPr>
          </w:p>
        </w:tc>
        <w:tc>
          <w:tcPr>
            <w:tcW w:w="1136" w:type="dxa"/>
            <w:noWrap/>
            <w:vAlign w:val="center"/>
          </w:tcPr>
          <w:p w14:paraId="54453A55">
            <w:pPr>
              <w:jc w:val="left"/>
              <w:rPr>
                <w:rFonts w:asciiTheme="minorEastAsia" w:hAnsiTheme="minorEastAsia"/>
                <w:color w:val="auto"/>
                <w:sz w:val="18"/>
                <w:szCs w:val="18"/>
                <w:highlight w:val="none"/>
              </w:rPr>
            </w:pPr>
            <w:r>
              <w:rPr>
                <w:rFonts w:hint="eastAsia" w:ascii="宋体" w:hAnsi="宋体"/>
                <w:color w:val="auto"/>
                <w:sz w:val="18"/>
                <w:szCs w:val="18"/>
                <w:highlight w:val="none"/>
              </w:rPr>
              <w:t>深层</w:t>
            </w:r>
            <w:r>
              <w:rPr>
                <w:rFonts w:ascii="宋体" w:hAnsi="宋体"/>
                <w:color w:val="auto"/>
                <w:sz w:val="18"/>
                <w:szCs w:val="18"/>
                <w:highlight w:val="none"/>
              </w:rPr>
              <w:t>注浆</w:t>
            </w:r>
            <w:r>
              <w:rPr>
                <w:rFonts w:hint="eastAsia" w:ascii="宋体" w:hAnsi="宋体"/>
                <w:color w:val="auto"/>
                <w:sz w:val="18"/>
                <w:szCs w:val="18"/>
                <w:highlight w:val="none"/>
              </w:rPr>
              <w:t>钻孔</w:t>
            </w:r>
          </w:p>
        </w:tc>
        <w:tc>
          <w:tcPr>
            <w:tcW w:w="2794" w:type="dxa"/>
            <w:noWrap/>
            <w:vAlign w:val="center"/>
          </w:tcPr>
          <w:p w14:paraId="052E08B2">
            <w:pPr>
              <w:jc w:val="left"/>
              <w:rPr>
                <w:color w:val="auto"/>
                <w:sz w:val="18"/>
                <w:szCs w:val="18"/>
                <w:highlight w:val="none"/>
              </w:rPr>
            </w:pPr>
            <w:r>
              <w:rPr>
                <w:rFonts w:hint="eastAsia"/>
                <w:color w:val="auto"/>
                <w:sz w:val="18"/>
                <w:szCs w:val="18"/>
                <w:highlight w:val="none"/>
              </w:rPr>
              <w:t>1、钻孔直径：满足规范要求，综合考虑</w:t>
            </w:r>
          </w:p>
          <w:p w14:paraId="37D7BB54">
            <w:pPr>
              <w:jc w:val="left"/>
              <w:rPr>
                <w:color w:val="auto"/>
                <w:sz w:val="18"/>
                <w:szCs w:val="18"/>
                <w:highlight w:val="none"/>
              </w:rPr>
            </w:pPr>
            <w:r>
              <w:rPr>
                <w:rFonts w:hint="eastAsia"/>
                <w:color w:val="auto"/>
                <w:sz w:val="18"/>
                <w:szCs w:val="18"/>
                <w:highlight w:val="none"/>
              </w:rPr>
              <w:t>2、布孔间距：自行考虑</w:t>
            </w:r>
          </w:p>
          <w:p w14:paraId="33C25CA8">
            <w:pPr>
              <w:jc w:val="left"/>
              <w:rPr>
                <w:color w:val="auto"/>
                <w:sz w:val="18"/>
                <w:szCs w:val="18"/>
                <w:highlight w:val="none"/>
              </w:rPr>
            </w:pPr>
            <w:r>
              <w:rPr>
                <w:rFonts w:hint="eastAsia"/>
                <w:color w:val="auto"/>
                <w:sz w:val="18"/>
                <w:szCs w:val="18"/>
                <w:highlight w:val="none"/>
              </w:rPr>
              <w:t>3、钻孔深度：综合考虑</w:t>
            </w:r>
          </w:p>
          <w:p w14:paraId="213F8764">
            <w:pPr>
              <w:rPr>
                <w:color w:val="auto"/>
                <w:sz w:val="18"/>
                <w:szCs w:val="18"/>
                <w:highlight w:val="none"/>
              </w:rPr>
            </w:pPr>
            <w:r>
              <w:rPr>
                <w:rFonts w:hint="eastAsia"/>
                <w:color w:val="auto"/>
                <w:sz w:val="18"/>
                <w:szCs w:val="18"/>
                <w:highlight w:val="none"/>
              </w:rPr>
              <w:t>4、交通组织、施工护栏等综合考虑在报价中</w:t>
            </w:r>
          </w:p>
          <w:p w14:paraId="54E74261">
            <w:pPr>
              <w:spacing w:after="120"/>
              <w:rPr>
                <w:rFonts w:asciiTheme="minorEastAsia" w:hAnsiTheme="minorEastAsia"/>
                <w:color w:val="auto"/>
                <w:sz w:val="18"/>
                <w:szCs w:val="18"/>
                <w:highlight w:val="none"/>
              </w:rPr>
            </w:pPr>
            <w:r>
              <w:rPr>
                <w:rFonts w:hint="eastAsia"/>
                <w:color w:val="auto"/>
                <w:sz w:val="18"/>
                <w:szCs w:val="18"/>
                <w:highlight w:val="none"/>
              </w:rPr>
              <w:t>5、满足技术和质量要求</w:t>
            </w:r>
          </w:p>
        </w:tc>
        <w:tc>
          <w:tcPr>
            <w:tcW w:w="585" w:type="dxa"/>
            <w:noWrap/>
            <w:vAlign w:val="center"/>
          </w:tcPr>
          <w:p w14:paraId="0C96F7CB">
            <w:pPr>
              <w:jc w:val="center"/>
              <w:rPr>
                <w:rFonts w:asciiTheme="minorEastAsia" w:hAnsiTheme="minorEastAsia"/>
                <w:color w:val="auto"/>
                <w:sz w:val="18"/>
                <w:szCs w:val="18"/>
                <w:highlight w:val="none"/>
              </w:rPr>
            </w:pPr>
            <w:r>
              <w:rPr>
                <w:rFonts w:hint="eastAsia" w:ascii="宋体"/>
                <w:color w:val="auto"/>
                <w:sz w:val="18"/>
                <w:szCs w:val="18"/>
                <w:highlight w:val="none"/>
              </w:rPr>
              <w:t>m</w:t>
            </w:r>
          </w:p>
        </w:tc>
        <w:tc>
          <w:tcPr>
            <w:tcW w:w="855" w:type="dxa"/>
            <w:noWrap/>
            <w:vAlign w:val="center"/>
          </w:tcPr>
          <w:p w14:paraId="7EF44CCF">
            <w:pPr>
              <w:jc w:val="center"/>
              <w:rPr>
                <w:rFonts w:asciiTheme="minorEastAsia" w:hAnsiTheme="minorEastAsia"/>
                <w:color w:val="auto"/>
                <w:sz w:val="18"/>
                <w:szCs w:val="18"/>
                <w:highlight w:val="none"/>
              </w:rPr>
            </w:pPr>
            <w:r>
              <w:rPr>
                <w:rFonts w:hint="eastAsia" w:ascii="宋体"/>
                <w:b/>
                <w:bCs/>
                <w:color w:val="auto"/>
                <w:sz w:val="18"/>
                <w:szCs w:val="18"/>
                <w:highlight w:val="none"/>
                <w:lang w:val="en-US" w:eastAsia="zh-CN"/>
              </w:rPr>
              <w:t>40</w:t>
            </w:r>
          </w:p>
        </w:tc>
        <w:tc>
          <w:tcPr>
            <w:tcW w:w="945" w:type="dxa"/>
            <w:vAlign w:val="center"/>
          </w:tcPr>
          <w:p w14:paraId="4DEC3FCD">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41.62</w:t>
            </w:r>
          </w:p>
        </w:tc>
        <w:tc>
          <w:tcPr>
            <w:tcW w:w="1005" w:type="dxa"/>
            <w:vAlign w:val="center"/>
          </w:tcPr>
          <w:p w14:paraId="6F3A8DB2">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1664.8</w:t>
            </w:r>
          </w:p>
        </w:tc>
      </w:tr>
      <w:tr w14:paraId="3FB3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9" w:hRule="atLeast"/>
          <w:jc w:val="center"/>
        </w:trPr>
        <w:tc>
          <w:tcPr>
            <w:tcW w:w="540" w:type="dxa"/>
            <w:vMerge w:val="continue"/>
            <w:noWrap/>
            <w:vAlign w:val="center"/>
          </w:tcPr>
          <w:p w14:paraId="2B04C80A">
            <w:pPr>
              <w:jc w:val="center"/>
              <w:rPr>
                <w:rFonts w:asciiTheme="minorEastAsia" w:hAnsiTheme="minorEastAsia"/>
                <w:color w:val="auto"/>
                <w:sz w:val="18"/>
                <w:szCs w:val="18"/>
                <w:highlight w:val="none"/>
              </w:rPr>
            </w:pPr>
          </w:p>
        </w:tc>
        <w:tc>
          <w:tcPr>
            <w:tcW w:w="1043" w:type="dxa"/>
            <w:vMerge w:val="continue"/>
            <w:noWrap/>
            <w:vAlign w:val="center"/>
          </w:tcPr>
          <w:p w14:paraId="2E1BA423">
            <w:pPr>
              <w:jc w:val="left"/>
              <w:rPr>
                <w:rFonts w:asciiTheme="minorEastAsia" w:hAnsiTheme="minorEastAsia"/>
                <w:color w:val="auto"/>
                <w:sz w:val="18"/>
                <w:szCs w:val="18"/>
                <w:highlight w:val="none"/>
              </w:rPr>
            </w:pPr>
          </w:p>
        </w:tc>
        <w:tc>
          <w:tcPr>
            <w:tcW w:w="1118" w:type="dxa"/>
            <w:vMerge w:val="continue"/>
            <w:noWrap/>
            <w:vAlign w:val="center"/>
          </w:tcPr>
          <w:p w14:paraId="2BD7E28F">
            <w:pPr>
              <w:jc w:val="center"/>
              <w:rPr>
                <w:rFonts w:asciiTheme="minorEastAsia" w:hAnsiTheme="minorEastAsia"/>
                <w:color w:val="auto"/>
                <w:sz w:val="18"/>
                <w:szCs w:val="18"/>
                <w:highlight w:val="none"/>
              </w:rPr>
            </w:pPr>
          </w:p>
        </w:tc>
        <w:tc>
          <w:tcPr>
            <w:tcW w:w="1136" w:type="dxa"/>
            <w:noWrap/>
            <w:vAlign w:val="center"/>
          </w:tcPr>
          <w:p w14:paraId="379416A9">
            <w:pPr>
              <w:jc w:val="left"/>
              <w:rPr>
                <w:rFonts w:asciiTheme="minorEastAsia" w:hAnsiTheme="minorEastAsia"/>
                <w:color w:val="auto"/>
                <w:sz w:val="18"/>
                <w:szCs w:val="18"/>
                <w:highlight w:val="none"/>
              </w:rPr>
            </w:pPr>
            <w:r>
              <w:rPr>
                <w:rFonts w:hint="eastAsia" w:ascii="宋体" w:hAnsi="宋体"/>
                <w:color w:val="auto"/>
                <w:sz w:val="18"/>
                <w:szCs w:val="18"/>
                <w:highlight w:val="none"/>
              </w:rPr>
              <w:t>深层注浆设备使用费（含人工）</w:t>
            </w:r>
          </w:p>
        </w:tc>
        <w:tc>
          <w:tcPr>
            <w:tcW w:w="2794" w:type="dxa"/>
            <w:noWrap/>
            <w:vAlign w:val="center"/>
          </w:tcPr>
          <w:p w14:paraId="68ED2B57">
            <w:pPr>
              <w:jc w:val="left"/>
              <w:rPr>
                <w:color w:val="auto"/>
                <w:sz w:val="18"/>
                <w:szCs w:val="18"/>
                <w:highlight w:val="none"/>
              </w:rPr>
            </w:pPr>
            <w:r>
              <w:rPr>
                <w:rFonts w:hint="eastAsia"/>
                <w:color w:val="auto"/>
                <w:sz w:val="18"/>
                <w:szCs w:val="18"/>
                <w:highlight w:val="none"/>
              </w:rPr>
              <w:t>1、按使用时间计</w:t>
            </w:r>
          </w:p>
          <w:p w14:paraId="02B62C32">
            <w:pPr>
              <w:jc w:val="left"/>
              <w:rPr>
                <w:color w:val="auto"/>
                <w:sz w:val="18"/>
                <w:szCs w:val="18"/>
                <w:highlight w:val="none"/>
              </w:rPr>
            </w:pPr>
            <w:r>
              <w:rPr>
                <w:rFonts w:hint="eastAsia"/>
                <w:color w:val="auto"/>
                <w:sz w:val="18"/>
                <w:szCs w:val="18"/>
                <w:highlight w:val="none"/>
              </w:rPr>
              <w:t>2、机械短驳、转场、进退场产生的费用不另计</w:t>
            </w:r>
          </w:p>
          <w:p w14:paraId="705BBC9E">
            <w:pPr>
              <w:rPr>
                <w:rFonts w:asciiTheme="minorEastAsia" w:hAnsiTheme="minorEastAsia"/>
                <w:color w:val="auto"/>
                <w:sz w:val="18"/>
                <w:szCs w:val="18"/>
                <w:highlight w:val="none"/>
              </w:rPr>
            </w:pPr>
            <w:r>
              <w:rPr>
                <w:rFonts w:hint="eastAsia"/>
                <w:color w:val="auto"/>
                <w:sz w:val="18"/>
                <w:szCs w:val="18"/>
                <w:highlight w:val="none"/>
              </w:rPr>
              <w:t>3、注浆设备为完成此项工作用到的所有机械（含发电机）</w:t>
            </w:r>
          </w:p>
        </w:tc>
        <w:tc>
          <w:tcPr>
            <w:tcW w:w="585" w:type="dxa"/>
            <w:noWrap/>
            <w:vAlign w:val="center"/>
          </w:tcPr>
          <w:p w14:paraId="2F425AAB">
            <w:pPr>
              <w:jc w:val="center"/>
              <w:rPr>
                <w:rFonts w:asciiTheme="minorEastAsia" w:hAnsiTheme="minorEastAsia"/>
                <w:color w:val="auto"/>
                <w:sz w:val="18"/>
                <w:szCs w:val="18"/>
                <w:highlight w:val="none"/>
              </w:rPr>
            </w:pPr>
            <w:r>
              <w:rPr>
                <w:rFonts w:hint="eastAsia" w:ascii="宋体"/>
                <w:color w:val="auto"/>
                <w:sz w:val="18"/>
                <w:szCs w:val="18"/>
                <w:highlight w:val="none"/>
              </w:rPr>
              <w:t>台班</w:t>
            </w:r>
          </w:p>
        </w:tc>
        <w:tc>
          <w:tcPr>
            <w:tcW w:w="855" w:type="dxa"/>
            <w:noWrap/>
            <w:vAlign w:val="center"/>
          </w:tcPr>
          <w:p w14:paraId="779967ED">
            <w:pPr>
              <w:jc w:val="center"/>
              <w:rPr>
                <w:rFonts w:asciiTheme="minorEastAsia" w:hAnsiTheme="minorEastAsia"/>
                <w:color w:val="auto"/>
                <w:sz w:val="18"/>
                <w:szCs w:val="18"/>
                <w:highlight w:val="none"/>
              </w:rPr>
            </w:pPr>
            <w:r>
              <w:rPr>
                <w:rFonts w:hint="eastAsia" w:ascii="宋体"/>
                <w:b/>
                <w:bCs/>
                <w:color w:val="auto"/>
                <w:sz w:val="18"/>
                <w:szCs w:val="18"/>
                <w:highlight w:val="none"/>
                <w:lang w:val="en-US" w:eastAsia="zh-CN"/>
              </w:rPr>
              <w:t>4</w:t>
            </w:r>
          </w:p>
        </w:tc>
        <w:tc>
          <w:tcPr>
            <w:tcW w:w="945" w:type="dxa"/>
            <w:vAlign w:val="center"/>
          </w:tcPr>
          <w:p w14:paraId="4404C39F">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2828.87</w:t>
            </w:r>
          </w:p>
        </w:tc>
        <w:tc>
          <w:tcPr>
            <w:tcW w:w="1005" w:type="dxa"/>
            <w:vAlign w:val="center"/>
          </w:tcPr>
          <w:p w14:paraId="7DAE159D">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11315.48</w:t>
            </w:r>
          </w:p>
        </w:tc>
      </w:tr>
      <w:tr w14:paraId="67125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4" w:hRule="atLeast"/>
          <w:jc w:val="center"/>
        </w:trPr>
        <w:tc>
          <w:tcPr>
            <w:tcW w:w="540" w:type="dxa"/>
            <w:vMerge w:val="continue"/>
            <w:noWrap/>
            <w:vAlign w:val="center"/>
          </w:tcPr>
          <w:p w14:paraId="043227B4">
            <w:pPr>
              <w:jc w:val="center"/>
              <w:rPr>
                <w:rFonts w:asciiTheme="minorEastAsia" w:hAnsiTheme="minorEastAsia"/>
                <w:color w:val="auto"/>
                <w:sz w:val="18"/>
                <w:szCs w:val="18"/>
                <w:highlight w:val="none"/>
              </w:rPr>
            </w:pPr>
          </w:p>
        </w:tc>
        <w:tc>
          <w:tcPr>
            <w:tcW w:w="1043" w:type="dxa"/>
            <w:vMerge w:val="continue"/>
            <w:noWrap/>
            <w:vAlign w:val="center"/>
          </w:tcPr>
          <w:p w14:paraId="2E3A2211">
            <w:pPr>
              <w:jc w:val="left"/>
              <w:rPr>
                <w:rFonts w:asciiTheme="minorEastAsia" w:hAnsiTheme="minorEastAsia"/>
                <w:color w:val="auto"/>
                <w:sz w:val="18"/>
                <w:szCs w:val="18"/>
                <w:highlight w:val="none"/>
              </w:rPr>
            </w:pPr>
          </w:p>
        </w:tc>
        <w:tc>
          <w:tcPr>
            <w:tcW w:w="1118" w:type="dxa"/>
            <w:vMerge w:val="continue"/>
            <w:noWrap/>
            <w:vAlign w:val="center"/>
          </w:tcPr>
          <w:p w14:paraId="088CDD79">
            <w:pPr>
              <w:jc w:val="center"/>
              <w:rPr>
                <w:rFonts w:asciiTheme="minorEastAsia" w:hAnsiTheme="minorEastAsia"/>
                <w:color w:val="auto"/>
                <w:sz w:val="18"/>
                <w:szCs w:val="18"/>
                <w:highlight w:val="none"/>
              </w:rPr>
            </w:pPr>
          </w:p>
        </w:tc>
        <w:tc>
          <w:tcPr>
            <w:tcW w:w="1136" w:type="dxa"/>
            <w:noWrap/>
            <w:vAlign w:val="center"/>
          </w:tcPr>
          <w:p w14:paraId="3B7D33B8">
            <w:pPr>
              <w:jc w:val="left"/>
              <w:rPr>
                <w:rFonts w:asciiTheme="minorEastAsia" w:hAnsiTheme="minorEastAsia"/>
                <w:color w:val="auto"/>
                <w:sz w:val="18"/>
                <w:szCs w:val="18"/>
                <w:highlight w:val="none"/>
              </w:rPr>
            </w:pPr>
            <w:r>
              <w:rPr>
                <w:rFonts w:hint="eastAsia" w:ascii="宋体" w:hAnsi="宋体"/>
                <w:color w:val="auto"/>
                <w:sz w:val="18"/>
                <w:szCs w:val="18"/>
                <w:highlight w:val="none"/>
              </w:rPr>
              <w:t>地聚合物（早强型）</w:t>
            </w:r>
          </w:p>
        </w:tc>
        <w:tc>
          <w:tcPr>
            <w:tcW w:w="2794" w:type="dxa"/>
            <w:noWrap/>
            <w:vAlign w:val="center"/>
          </w:tcPr>
          <w:p w14:paraId="4EEF10EE">
            <w:pPr>
              <w:jc w:val="left"/>
              <w:rPr>
                <w:color w:val="auto"/>
                <w:sz w:val="18"/>
                <w:szCs w:val="18"/>
                <w:highlight w:val="none"/>
              </w:rPr>
            </w:pPr>
            <w:r>
              <w:rPr>
                <w:rFonts w:hint="eastAsia"/>
                <w:color w:val="auto"/>
                <w:sz w:val="18"/>
                <w:szCs w:val="18"/>
                <w:highlight w:val="none"/>
              </w:rPr>
              <w:t>1、注浆压力：满足规范要求，自行考虑</w:t>
            </w:r>
          </w:p>
          <w:p w14:paraId="73022FB8">
            <w:pPr>
              <w:jc w:val="left"/>
              <w:rPr>
                <w:color w:val="auto"/>
                <w:sz w:val="18"/>
                <w:szCs w:val="18"/>
                <w:highlight w:val="none"/>
              </w:rPr>
            </w:pPr>
            <w:r>
              <w:rPr>
                <w:rFonts w:hint="eastAsia"/>
                <w:color w:val="auto"/>
                <w:sz w:val="18"/>
                <w:szCs w:val="18"/>
                <w:highlight w:val="none"/>
              </w:rPr>
              <w:t>2、布孔间距：自行考虑</w:t>
            </w:r>
          </w:p>
          <w:p w14:paraId="7B8506DF">
            <w:pPr>
              <w:jc w:val="left"/>
              <w:rPr>
                <w:color w:val="auto"/>
                <w:sz w:val="18"/>
                <w:szCs w:val="18"/>
                <w:highlight w:val="none"/>
              </w:rPr>
            </w:pPr>
            <w:r>
              <w:rPr>
                <w:rFonts w:hint="eastAsia"/>
                <w:color w:val="auto"/>
                <w:sz w:val="18"/>
                <w:szCs w:val="18"/>
                <w:highlight w:val="none"/>
              </w:rPr>
              <w:t>3、</w:t>
            </w:r>
            <w:r>
              <w:rPr>
                <w:color w:val="auto"/>
                <w:sz w:val="18"/>
                <w:szCs w:val="18"/>
                <w:highlight w:val="none"/>
              </w:rPr>
              <w:t>注浆材料：</w:t>
            </w:r>
            <w:r>
              <w:rPr>
                <w:rFonts w:hint="eastAsia"/>
                <w:color w:val="auto"/>
                <w:sz w:val="18"/>
                <w:szCs w:val="18"/>
                <w:highlight w:val="none"/>
              </w:rPr>
              <w:t>地聚合物（早强型），材料满足施工及规范要求</w:t>
            </w:r>
          </w:p>
          <w:p w14:paraId="454FEA71">
            <w:pPr>
              <w:jc w:val="left"/>
              <w:rPr>
                <w:color w:val="auto"/>
                <w:sz w:val="18"/>
                <w:szCs w:val="18"/>
                <w:highlight w:val="none"/>
              </w:rPr>
            </w:pPr>
            <w:r>
              <w:rPr>
                <w:rFonts w:hint="eastAsia"/>
                <w:color w:val="auto"/>
                <w:sz w:val="18"/>
                <w:szCs w:val="18"/>
                <w:highlight w:val="none"/>
              </w:rPr>
              <w:t>4、计量方式：吨位现场计量</w:t>
            </w:r>
          </w:p>
          <w:p w14:paraId="6E7ACAD4">
            <w:pPr>
              <w:rPr>
                <w:color w:val="auto"/>
                <w:sz w:val="18"/>
                <w:szCs w:val="18"/>
                <w:highlight w:val="none"/>
              </w:rPr>
            </w:pPr>
            <w:r>
              <w:rPr>
                <w:rFonts w:hint="eastAsia"/>
                <w:color w:val="auto"/>
                <w:sz w:val="18"/>
                <w:szCs w:val="18"/>
                <w:highlight w:val="none"/>
              </w:rPr>
              <w:t>5、注浆结束后根据要求进行路面弯沉检测，符合相关要求</w:t>
            </w:r>
          </w:p>
          <w:p w14:paraId="308CA9F1">
            <w:pPr>
              <w:jc w:val="left"/>
              <w:rPr>
                <w:rFonts w:asciiTheme="minorEastAsia" w:hAnsiTheme="minorEastAsia"/>
                <w:color w:val="auto"/>
                <w:sz w:val="18"/>
                <w:szCs w:val="18"/>
                <w:highlight w:val="none"/>
              </w:rPr>
            </w:pPr>
            <w:r>
              <w:rPr>
                <w:rFonts w:hint="eastAsia"/>
                <w:color w:val="auto"/>
                <w:sz w:val="18"/>
                <w:szCs w:val="18"/>
                <w:highlight w:val="none"/>
              </w:rPr>
              <w:t>6、满足技术和质量要求</w:t>
            </w:r>
          </w:p>
        </w:tc>
        <w:tc>
          <w:tcPr>
            <w:tcW w:w="585" w:type="dxa"/>
            <w:noWrap/>
            <w:vAlign w:val="center"/>
          </w:tcPr>
          <w:p w14:paraId="283DAF32">
            <w:pPr>
              <w:jc w:val="center"/>
              <w:rPr>
                <w:rFonts w:asciiTheme="minorEastAsia" w:hAnsiTheme="minorEastAsia"/>
                <w:color w:val="auto"/>
                <w:sz w:val="18"/>
                <w:szCs w:val="18"/>
                <w:highlight w:val="none"/>
              </w:rPr>
            </w:pPr>
            <w:r>
              <w:rPr>
                <w:rFonts w:hint="eastAsia" w:ascii="宋体"/>
                <w:color w:val="auto"/>
                <w:sz w:val="18"/>
                <w:szCs w:val="18"/>
                <w:highlight w:val="none"/>
              </w:rPr>
              <w:t>t</w:t>
            </w:r>
          </w:p>
        </w:tc>
        <w:tc>
          <w:tcPr>
            <w:tcW w:w="855" w:type="dxa"/>
            <w:noWrap/>
            <w:vAlign w:val="center"/>
          </w:tcPr>
          <w:p w14:paraId="24C2236D">
            <w:pPr>
              <w:jc w:val="center"/>
              <w:rPr>
                <w:rFonts w:asciiTheme="minorEastAsia" w:hAnsiTheme="minorEastAsia"/>
                <w:color w:val="auto"/>
                <w:sz w:val="18"/>
                <w:szCs w:val="18"/>
                <w:highlight w:val="none"/>
              </w:rPr>
            </w:pPr>
            <w:r>
              <w:rPr>
                <w:rFonts w:hint="eastAsia" w:ascii="宋体"/>
                <w:b/>
                <w:bCs/>
                <w:color w:val="auto"/>
                <w:sz w:val="18"/>
                <w:szCs w:val="18"/>
                <w:highlight w:val="none"/>
                <w:lang w:val="en-US" w:eastAsia="zh-CN"/>
              </w:rPr>
              <w:t>35</w:t>
            </w:r>
          </w:p>
        </w:tc>
        <w:tc>
          <w:tcPr>
            <w:tcW w:w="945" w:type="dxa"/>
            <w:vAlign w:val="center"/>
          </w:tcPr>
          <w:p w14:paraId="28FC9726">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1431.78</w:t>
            </w:r>
          </w:p>
        </w:tc>
        <w:tc>
          <w:tcPr>
            <w:tcW w:w="1005" w:type="dxa"/>
            <w:vAlign w:val="center"/>
          </w:tcPr>
          <w:p w14:paraId="47C016FD">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50112.3</w:t>
            </w:r>
          </w:p>
        </w:tc>
      </w:tr>
      <w:tr w14:paraId="0A96A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540" w:type="dxa"/>
            <w:vMerge w:val="restart"/>
            <w:noWrap/>
            <w:vAlign w:val="center"/>
          </w:tcPr>
          <w:p w14:paraId="0B97529B">
            <w:pPr>
              <w:jc w:val="center"/>
              <w:rPr>
                <w:rFonts w:asciiTheme="minorEastAsia" w:hAnsiTheme="minorEastAsia"/>
                <w:color w:val="auto"/>
                <w:sz w:val="18"/>
                <w:szCs w:val="18"/>
                <w:highlight w:val="none"/>
              </w:rPr>
            </w:pPr>
            <w:r>
              <w:rPr>
                <w:rFonts w:hint="eastAsia" w:ascii="宋体" w:hAnsi="宋体"/>
                <w:color w:val="auto"/>
                <w:sz w:val="18"/>
                <w:szCs w:val="18"/>
                <w:highlight w:val="none"/>
              </w:rPr>
              <w:t>4</w:t>
            </w:r>
          </w:p>
        </w:tc>
        <w:tc>
          <w:tcPr>
            <w:tcW w:w="1043" w:type="dxa"/>
            <w:vMerge w:val="restart"/>
            <w:noWrap/>
            <w:vAlign w:val="center"/>
          </w:tcPr>
          <w:p w14:paraId="05AE84B1">
            <w:pPr>
              <w:jc w:val="left"/>
              <w:rPr>
                <w:rFonts w:asciiTheme="minorEastAsia" w:hAnsiTheme="minorEastAsia"/>
                <w:color w:val="auto"/>
                <w:sz w:val="18"/>
                <w:szCs w:val="18"/>
                <w:highlight w:val="none"/>
              </w:rPr>
            </w:pPr>
            <w:r>
              <w:rPr>
                <w:rFonts w:ascii="宋体"/>
                <w:color w:val="auto"/>
                <w:sz w:val="18"/>
                <w:szCs w:val="18"/>
                <w:highlight w:val="none"/>
              </w:rPr>
              <w:t>改性地聚合物注浆加固</w:t>
            </w:r>
            <w:r>
              <w:rPr>
                <w:rFonts w:hint="eastAsia" w:ascii="宋体"/>
                <w:color w:val="auto"/>
                <w:sz w:val="18"/>
                <w:szCs w:val="18"/>
                <w:highlight w:val="none"/>
              </w:rPr>
              <w:t>地下空洞（或疏松）（普通型）</w:t>
            </w:r>
          </w:p>
        </w:tc>
        <w:tc>
          <w:tcPr>
            <w:tcW w:w="1118" w:type="dxa"/>
            <w:vMerge w:val="continue"/>
            <w:noWrap/>
            <w:vAlign w:val="center"/>
          </w:tcPr>
          <w:p w14:paraId="146CE661">
            <w:pPr>
              <w:jc w:val="center"/>
              <w:rPr>
                <w:rFonts w:asciiTheme="minorEastAsia" w:hAnsiTheme="minorEastAsia"/>
                <w:color w:val="auto"/>
                <w:sz w:val="18"/>
                <w:szCs w:val="18"/>
                <w:highlight w:val="none"/>
              </w:rPr>
            </w:pPr>
          </w:p>
        </w:tc>
        <w:tc>
          <w:tcPr>
            <w:tcW w:w="1136" w:type="dxa"/>
            <w:noWrap/>
            <w:vAlign w:val="center"/>
          </w:tcPr>
          <w:p w14:paraId="290019A8">
            <w:pPr>
              <w:jc w:val="left"/>
              <w:rPr>
                <w:rFonts w:asciiTheme="minorEastAsia" w:hAnsiTheme="minorEastAsia"/>
                <w:color w:val="auto"/>
                <w:sz w:val="18"/>
                <w:szCs w:val="18"/>
                <w:highlight w:val="none"/>
              </w:rPr>
            </w:pPr>
            <w:r>
              <w:rPr>
                <w:rFonts w:hint="eastAsia" w:ascii="宋体" w:hAnsi="宋体"/>
                <w:color w:val="auto"/>
                <w:sz w:val="18"/>
                <w:szCs w:val="18"/>
                <w:highlight w:val="none"/>
              </w:rPr>
              <w:t>深层</w:t>
            </w:r>
            <w:r>
              <w:rPr>
                <w:rFonts w:ascii="宋体" w:hAnsi="宋体"/>
                <w:color w:val="auto"/>
                <w:sz w:val="18"/>
                <w:szCs w:val="18"/>
                <w:highlight w:val="none"/>
              </w:rPr>
              <w:t>注浆</w:t>
            </w:r>
            <w:r>
              <w:rPr>
                <w:rFonts w:hint="eastAsia" w:ascii="宋体" w:hAnsi="宋体"/>
                <w:color w:val="auto"/>
                <w:sz w:val="18"/>
                <w:szCs w:val="18"/>
                <w:highlight w:val="none"/>
              </w:rPr>
              <w:t>钻孔</w:t>
            </w:r>
          </w:p>
        </w:tc>
        <w:tc>
          <w:tcPr>
            <w:tcW w:w="2794" w:type="dxa"/>
            <w:noWrap/>
            <w:vAlign w:val="center"/>
          </w:tcPr>
          <w:p w14:paraId="05F2E4F5">
            <w:pPr>
              <w:jc w:val="left"/>
              <w:rPr>
                <w:color w:val="auto"/>
                <w:sz w:val="18"/>
                <w:szCs w:val="18"/>
                <w:highlight w:val="none"/>
              </w:rPr>
            </w:pPr>
            <w:r>
              <w:rPr>
                <w:rFonts w:hint="eastAsia"/>
                <w:color w:val="auto"/>
                <w:sz w:val="18"/>
                <w:szCs w:val="18"/>
                <w:highlight w:val="none"/>
              </w:rPr>
              <w:t>1、钻孔直径：满足规范要求，综合考虑</w:t>
            </w:r>
          </w:p>
          <w:p w14:paraId="6E864763">
            <w:pPr>
              <w:jc w:val="left"/>
              <w:rPr>
                <w:color w:val="auto"/>
                <w:sz w:val="18"/>
                <w:szCs w:val="18"/>
                <w:highlight w:val="none"/>
              </w:rPr>
            </w:pPr>
            <w:r>
              <w:rPr>
                <w:rFonts w:hint="eastAsia"/>
                <w:color w:val="auto"/>
                <w:sz w:val="18"/>
                <w:szCs w:val="18"/>
                <w:highlight w:val="none"/>
              </w:rPr>
              <w:t>2、布孔间距：自行考虑</w:t>
            </w:r>
          </w:p>
          <w:p w14:paraId="1D2DE678">
            <w:pPr>
              <w:jc w:val="left"/>
              <w:rPr>
                <w:color w:val="auto"/>
                <w:sz w:val="18"/>
                <w:szCs w:val="18"/>
                <w:highlight w:val="none"/>
              </w:rPr>
            </w:pPr>
            <w:r>
              <w:rPr>
                <w:rFonts w:hint="eastAsia"/>
                <w:color w:val="auto"/>
                <w:sz w:val="18"/>
                <w:szCs w:val="18"/>
                <w:highlight w:val="none"/>
              </w:rPr>
              <w:t>3、钻孔深度：综合考虑</w:t>
            </w:r>
          </w:p>
          <w:p w14:paraId="70902FF8">
            <w:pPr>
              <w:rPr>
                <w:color w:val="auto"/>
                <w:sz w:val="18"/>
                <w:szCs w:val="18"/>
                <w:highlight w:val="none"/>
              </w:rPr>
            </w:pPr>
            <w:r>
              <w:rPr>
                <w:rFonts w:hint="eastAsia"/>
                <w:color w:val="auto"/>
                <w:sz w:val="18"/>
                <w:szCs w:val="18"/>
                <w:highlight w:val="none"/>
              </w:rPr>
              <w:t>4、交通组织、施工护栏等综合考虑在报价中</w:t>
            </w:r>
          </w:p>
          <w:p w14:paraId="18C078CC">
            <w:pPr>
              <w:spacing w:after="120"/>
              <w:rPr>
                <w:rFonts w:asciiTheme="minorEastAsia" w:hAnsiTheme="minorEastAsia"/>
                <w:color w:val="auto"/>
                <w:sz w:val="18"/>
                <w:szCs w:val="18"/>
                <w:highlight w:val="none"/>
              </w:rPr>
            </w:pPr>
            <w:r>
              <w:rPr>
                <w:rFonts w:hint="eastAsia"/>
                <w:color w:val="auto"/>
                <w:sz w:val="18"/>
                <w:szCs w:val="18"/>
                <w:highlight w:val="none"/>
              </w:rPr>
              <w:t>5、满足技术和质量要求</w:t>
            </w:r>
          </w:p>
        </w:tc>
        <w:tc>
          <w:tcPr>
            <w:tcW w:w="585" w:type="dxa"/>
            <w:noWrap/>
            <w:vAlign w:val="center"/>
          </w:tcPr>
          <w:p w14:paraId="6D5E5884">
            <w:pPr>
              <w:jc w:val="center"/>
              <w:rPr>
                <w:rFonts w:asciiTheme="minorEastAsia" w:hAnsiTheme="minorEastAsia"/>
                <w:color w:val="auto"/>
                <w:sz w:val="18"/>
                <w:szCs w:val="18"/>
                <w:highlight w:val="none"/>
              </w:rPr>
            </w:pPr>
            <w:r>
              <w:rPr>
                <w:rFonts w:hint="eastAsia" w:ascii="宋体"/>
                <w:color w:val="auto"/>
                <w:sz w:val="18"/>
                <w:szCs w:val="18"/>
                <w:highlight w:val="none"/>
              </w:rPr>
              <w:t>m</w:t>
            </w:r>
          </w:p>
        </w:tc>
        <w:tc>
          <w:tcPr>
            <w:tcW w:w="855" w:type="dxa"/>
            <w:noWrap/>
            <w:vAlign w:val="center"/>
          </w:tcPr>
          <w:p w14:paraId="29444AEA">
            <w:pPr>
              <w:jc w:val="center"/>
              <w:rPr>
                <w:rFonts w:asciiTheme="minorEastAsia" w:hAnsiTheme="minorEastAsia"/>
                <w:color w:val="auto"/>
                <w:sz w:val="18"/>
                <w:szCs w:val="18"/>
                <w:highlight w:val="none"/>
              </w:rPr>
            </w:pPr>
            <w:r>
              <w:rPr>
                <w:rFonts w:hint="eastAsia" w:ascii="宋体"/>
                <w:b/>
                <w:bCs/>
                <w:color w:val="auto"/>
                <w:sz w:val="18"/>
                <w:szCs w:val="18"/>
                <w:highlight w:val="none"/>
                <w:lang w:val="en-US" w:eastAsia="zh-CN"/>
              </w:rPr>
              <w:t>40</w:t>
            </w:r>
          </w:p>
        </w:tc>
        <w:tc>
          <w:tcPr>
            <w:tcW w:w="945" w:type="dxa"/>
            <w:vAlign w:val="center"/>
          </w:tcPr>
          <w:p w14:paraId="1F3B01C5">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41.62</w:t>
            </w:r>
          </w:p>
        </w:tc>
        <w:tc>
          <w:tcPr>
            <w:tcW w:w="1005" w:type="dxa"/>
            <w:vAlign w:val="center"/>
          </w:tcPr>
          <w:p w14:paraId="41FCD815">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1664.8</w:t>
            </w:r>
          </w:p>
        </w:tc>
      </w:tr>
      <w:tr w14:paraId="5D2D0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540" w:type="dxa"/>
            <w:vMerge w:val="continue"/>
            <w:noWrap/>
            <w:vAlign w:val="center"/>
          </w:tcPr>
          <w:p w14:paraId="22EDD1B6">
            <w:pPr>
              <w:jc w:val="center"/>
              <w:rPr>
                <w:rFonts w:asciiTheme="minorEastAsia" w:hAnsiTheme="minorEastAsia"/>
                <w:color w:val="auto"/>
                <w:sz w:val="18"/>
                <w:szCs w:val="18"/>
                <w:highlight w:val="none"/>
              </w:rPr>
            </w:pPr>
            <w:r>
              <w:rPr>
                <w:rFonts w:hint="eastAsia" w:ascii="宋体" w:hAnsi="宋体"/>
                <w:color w:val="auto"/>
                <w:sz w:val="18"/>
                <w:szCs w:val="18"/>
                <w:highlight w:val="none"/>
                <w:lang w:eastAsia="zh-CN"/>
              </w:rPr>
              <w:t>0</w:t>
            </w:r>
          </w:p>
        </w:tc>
        <w:tc>
          <w:tcPr>
            <w:tcW w:w="1043" w:type="dxa"/>
            <w:vMerge w:val="continue"/>
            <w:noWrap/>
            <w:vAlign w:val="center"/>
          </w:tcPr>
          <w:p w14:paraId="5C6689A4">
            <w:pPr>
              <w:jc w:val="left"/>
              <w:rPr>
                <w:rFonts w:asciiTheme="minorEastAsia" w:hAnsiTheme="minorEastAsia"/>
                <w:color w:val="auto"/>
                <w:sz w:val="18"/>
                <w:szCs w:val="18"/>
                <w:highlight w:val="none"/>
              </w:rPr>
            </w:pPr>
          </w:p>
        </w:tc>
        <w:tc>
          <w:tcPr>
            <w:tcW w:w="1118" w:type="dxa"/>
            <w:vMerge w:val="continue"/>
            <w:noWrap/>
            <w:vAlign w:val="center"/>
          </w:tcPr>
          <w:p w14:paraId="1D2A0965">
            <w:pPr>
              <w:jc w:val="center"/>
              <w:rPr>
                <w:rFonts w:asciiTheme="minorEastAsia" w:hAnsiTheme="minorEastAsia"/>
                <w:color w:val="auto"/>
                <w:sz w:val="18"/>
                <w:szCs w:val="18"/>
                <w:highlight w:val="none"/>
              </w:rPr>
            </w:pPr>
          </w:p>
        </w:tc>
        <w:tc>
          <w:tcPr>
            <w:tcW w:w="1136" w:type="dxa"/>
            <w:noWrap/>
            <w:vAlign w:val="center"/>
          </w:tcPr>
          <w:p w14:paraId="2E17E7C2">
            <w:pPr>
              <w:jc w:val="left"/>
              <w:rPr>
                <w:rFonts w:asciiTheme="minorEastAsia" w:hAnsiTheme="minorEastAsia"/>
                <w:color w:val="auto"/>
                <w:sz w:val="18"/>
                <w:szCs w:val="18"/>
                <w:highlight w:val="none"/>
              </w:rPr>
            </w:pPr>
            <w:r>
              <w:rPr>
                <w:rFonts w:hint="eastAsia" w:ascii="宋体" w:hAnsi="宋体"/>
                <w:color w:val="auto"/>
                <w:sz w:val="18"/>
                <w:szCs w:val="18"/>
                <w:highlight w:val="none"/>
              </w:rPr>
              <w:t>深层注浆设备使用费（含人工）</w:t>
            </w:r>
          </w:p>
        </w:tc>
        <w:tc>
          <w:tcPr>
            <w:tcW w:w="2794" w:type="dxa"/>
            <w:noWrap/>
            <w:vAlign w:val="center"/>
          </w:tcPr>
          <w:p w14:paraId="0A2BA41C">
            <w:pPr>
              <w:jc w:val="left"/>
              <w:rPr>
                <w:color w:val="auto"/>
                <w:sz w:val="18"/>
                <w:szCs w:val="18"/>
                <w:highlight w:val="none"/>
              </w:rPr>
            </w:pPr>
            <w:r>
              <w:rPr>
                <w:rFonts w:hint="eastAsia"/>
                <w:color w:val="auto"/>
                <w:sz w:val="18"/>
                <w:szCs w:val="18"/>
                <w:highlight w:val="none"/>
              </w:rPr>
              <w:t>1、按使用时间计</w:t>
            </w:r>
          </w:p>
          <w:p w14:paraId="4FE014C8">
            <w:pPr>
              <w:jc w:val="left"/>
              <w:rPr>
                <w:color w:val="auto"/>
                <w:sz w:val="18"/>
                <w:szCs w:val="18"/>
                <w:highlight w:val="none"/>
              </w:rPr>
            </w:pPr>
            <w:r>
              <w:rPr>
                <w:rFonts w:hint="eastAsia"/>
                <w:color w:val="auto"/>
                <w:sz w:val="18"/>
                <w:szCs w:val="18"/>
                <w:highlight w:val="none"/>
              </w:rPr>
              <w:t>2、机械短驳、转场、进退场产生的费用不另计</w:t>
            </w:r>
          </w:p>
          <w:p w14:paraId="0627F87B">
            <w:pPr>
              <w:rPr>
                <w:rFonts w:asciiTheme="minorEastAsia" w:hAnsiTheme="minorEastAsia"/>
                <w:color w:val="auto"/>
                <w:sz w:val="18"/>
                <w:szCs w:val="18"/>
                <w:highlight w:val="none"/>
              </w:rPr>
            </w:pPr>
            <w:r>
              <w:rPr>
                <w:rFonts w:hint="eastAsia"/>
                <w:color w:val="auto"/>
                <w:sz w:val="18"/>
                <w:szCs w:val="18"/>
                <w:highlight w:val="none"/>
              </w:rPr>
              <w:t>3、注浆设备为完成此项工作用到的所有机械（含发电机）</w:t>
            </w:r>
          </w:p>
        </w:tc>
        <w:tc>
          <w:tcPr>
            <w:tcW w:w="585" w:type="dxa"/>
            <w:noWrap/>
            <w:vAlign w:val="center"/>
          </w:tcPr>
          <w:p w14:paraId="54BE1602">
            <w:pPr>
              <w:jc w:val="center"/>
              <w:rPr>
                <w:rFonts w:asciiTheme="minorEastAsia" w:hAnsiTheme="minorEastAsia"/>
                <w:color w:val="auto"/>
                <w:sz w:val="18"/>
                <w:szCs w:val="18"/>
                <w:highlight w:val="none"/>
              </w:rPr>
            </w:pPr>
            <w:r>
              <w:rPr>
                <w:rFonts w:hint="eastAsia" w:ascii="宋体"/>
                <w:color w:val="auto"/>
                <w:sz w:val="18"/>
                <w:szCs w:val="18"/>
                <w:highlight w:val="none"/>
              </w:rPr>
              <w:t>台班</w:t>
            </w:r>
          </w:p>
        </w:tc>
        <w:tc>
          <w:tcPr>
            <w:tcW w:w="855" w:type="dxa"/>
            <w:noWrap/>
            <w:vAlign w:val="center"/>
          </w:tcPr>
          <w:p w14:paraId="1D7CA170">
            <w:pPr>
              <w:jc w:val="center"/>
              <w:rPr>
                <w:rFonts w:asciiTheme="minorEastAsia" w:hAnsiTheme="minorEastAsia"/>
                <w:color w:val="auto"/>
                <w:sz w:val="18"/>
                <w:szCs w:val="18"/>
                <w:highlight w:val="none"/>
              </w:rPr>
            </w:pPr>
            <w:r>
              <w:rPr>
                <w:rFonts w:hint="eastAsia" w:ascii="宋体"/>
                <w:b/>
                <w:bCs/>
                <w:color w:val="auto"/>
                <w:sz w:val="18"/>
                <w:szCs w:val="18"/>
                <w:highlight w:val="none"/>
                <w:lang w:val="en-US" w:eastAsia="zh-CN"/>
              </w:rPr>
              <w:t>4</w:t>
            </w:r>
          </w:p>
        </w:tc>
        <w:tc>
          <w:tcPr>
            <w:tcW w:w="945" w:type="dxa"/>
            <w:vAlign w:val="center"/>
          </w:tcPr>
          <w:p w14:paraId="711FA712">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2828.87</w:t>
            </w:r>
          </w:p>
        </w:tc>
        <w:tc>
          <w:tcPr>
            <w:tcW w:w="1005" w:type="dxa"/>
            <w:vAlign w:val="center"/>
          </w:tcPr>
          <w:p w14:paraId="4B502154">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11315.48</w:t>
            </w:r>
          </w:p>
        </w:tc>
      </w:tr>
      <w:tr w14:paraId="2669B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540" w:type="dxa"/>
            <w:vMerge w:val="continue"/>
            <w:noWrap/>
            <w:vAlign w:val="center"/>
          </w:tcPr>
          <w:p w14:paraId="321B7701">
            <w:pPr>
              <w:jc w:val="center"/>
              <w:rPr>
                <w:rFonts w:asciiTheme="minorEastAsia" w:hAnsiTheme="minorEastAsia"/>
                <w:color w:val="auto"/>
                <w:sz w:val="18"/>
                <w:szCs w:val="18"/>
                <w:highlight w:val="none"/>
              </w:rPr>
            </w:pPr>
          </w:p>
        </w:tc>
        <w:tc>
          <w:tcPr>
            <w:tcW w:w="1043" w:type="dxa"/>
            <w:vMerge w:val="continue"/>
            <w:noWrap/>
            <w:vAlign w:val="center"/>
          </w:tcPr>
          <w:p w14:paraId="66DD893E">
            <w:pPr>
              <w:jc w:val="left"/>
              <w:rPr>
                <w:rFonts w:asciiTheme="minorEastAsia" w:hAnsiTheme="minorEastAsia"/>
                <w:color w:val="auto"/>
                <w:sz w:val="18"/>
                <w:szCs w:val="18"/>
                <w:highlight w:val="none"/>
              </w:rPr>
            </w:pPr>
          </w:p>
        </w:tc>
        <w:tc>
          <w:tcPr>
            <w:tcW w:w="1118" w:type="dxa"/>
            <w:vMerge w:val="continue"/>
            <w:noWrap/>
            <w:vAlign w:val="center"/>
          </w:tcPr>
          <w:p w14:paraId="1284D641">
            <w:pPr>
              <w:jc w:val="center"/>
              <w:rPr>
                <w:rFonts w:asciiTheme="minorEastAsia" w:hAnsiTheme="minorEastAsia"/>
                <w:color w:val="auto"/>
                <w:sz w:val="18"/>
                <w:szCs w:val="18"/>
                <w:highlight w:val="none"/>
              </w:rPr>
            </w:pPr>
          </w:p>
        </w:tc>
        <w:tc>
          <w:tcPr>
            <w:tcW w:w="1136" w:type="dxa"/>
            <w:noWrap/>
            <w:vAlign w:val="center"/>
          </w:tcPr>
          <w:p w14:paraId="0B395FEC">
            <w:pPr>
              <w:jc w:val="left"/>
              <w:rPr>
                <w:rFonts w:asciiTheme="minorEastAsia" w:hAnsiTheme="minorEastAsia"/>
                <w:color w:val="auto"/>
                <w:sz w:val="18"/>
                <w:szCs w:val="18"/>
                <w:highlight w:val="none"/>
              </w:rPr>
            </w:pPr>
            <w:r>
              <w:rPr>
                <w:rFonts w:hint="eastAsia" w:ascii="宋体" w:hAnsi="宋体"/>
                <w:color w:val="auto"/>
                <w:sz w:val="18"/>
                <w:szCs w:val="18"/>
                <w:highlight w:val="none"/>
              </w:rPr>
              <w:t>地聚合物（</w:t>
            </w:r>
            <w:r>
              <w:rPr>
                <w:rFonts w:hint="eastAsia" w:ascii="宋体"/>
                <w:color w:val="auto"/>
                <w:sz w:val="18"/>
                <w:szCs w:val="18"/>
                <w:highlight w:val="none"/>
              </w:rPr>
              <w:t>普通型</w:t>
            </w:r>
            <w:r>
              <w:rPr>
                <w:rFonts w:hint="eastAsia" w:ascii="宋体" w:hAnsi="宋体"/>
                <w:color w:val="auto"/>
                <w:sz w:val="18"/>
                <w:szCs w:val="18"/>
                <w:highlight w:val="none"/>
              </w:rPr>
              <w:t>）</w:t>
            </w:r>
          </w:p>
        </w:tc>
        <w:tc>
          <w:tcPr>
            <w:tcW w:w="2794" w:type="dxa"/>
            <w:noWrap/>
            <w:vAlign w:val="center"/>
          </w:tcPr>
          <w:p w14:paraId="3EFC435D">
            <w:pPr>
              <w:jc w:val="left"/>
              <w:rPr>
                <w:color w:val="auto"/>
                <w:sz w:val="18"/>
                <w:szCs w:val="18"/>
                <w:highlight w:val="none"/>
              </w:rPr>
            </w:pPr>
            <w:r>
              <w:rPr>
                <w:rFonts w:hint="eastAsia"/>
                <w:color w:val="auto"/>
                <w:sz w:val="18"/>
                <w:szCs w:val="18"/>
                <w:highlight w:val="none"/>
              </w:rPr>
              <w:t>1、注浆压力：满足规范要求，自行考虑</w:t>
            </w:r>
          </w:p>
          <w:p w14:paraId="7169DA23">
            <w:pPr>
              <w:jc w:val="left"/>
              <w:rPr>
                <w:color w:val="auto"/>
                <w:sz w:val="18"/>
                <w:szCs w:val="18"/>
                <w:highlight w:val="none"/>
              </w:rPr>
            </w:pPr>
            <w:r>
              <w:rPr>
                <w:rFonts w:hint="eastAsia"/>
                <w:color w:val="auto"/>
                <w:sz w:val="18"/>
                <w:szCs w:val="18"/>
                <w:highlight w:val="none"/>
              </w:rPr>
              <w:t>2、布孔间距：自行考虑</w:t>
            </w:r>
          </w:p>
          <w:p w14:paraId="7635C91A">
            <w:pPr>
              <w:jc w:val="left"/>
              <w:rPr>
                <w:color w:val="auto"/>
                <w:sz w:val="18"/>
                <w:szCs w:val="18"/>
                <w:highlight w:val="none"/>
              </w:rPr>
            </w:pPr>
            <w:r>
              <w:rPr>
                <w:rFonts w:hint="eastAsia"/>
                <w:color w:val="auto"/>
                <w:sz w:val="18"/>
                <w:szCs w:val="18"/>
                <w:highlight w:val="none"/>
              </w:rPr>
              <w:t>3、</w:t>
            </w:r>
            <w:r>
              <w:rPr>
                <w:color w:val="auto"/>
                <w:sz w:val="18"/>
                <w:szCs w:val="18"/>
                <w:highlight w:val="none"/>
              </w:rPr>
              <w:t>注浆材料：</w:t>
            </w:r>
            <w:r>
              <w:rPr>
                <w:rFonts w:hint="eastAsia"/>
                <w:color w:val="auto"/>
                <w:sz w:val="18"/>
                <w:szCs w:val="18"/>
                <w:highlight w:val="none"/>
              </w:rPr>
              <w:t>地聚合物（普通型），材料满足施工及规范要求</w:t>
            </w:r>
          </w:p>
          <w:p w14:paraId="00E58444">
            <w:pPr>
              <w:jc w:val="left"/>
              <w:rPr>
                <w:color w:val="auto"/>
                <w:sz w:val="18"/>
                <w:szCs w:val="18"/>
                <w:highlight w:val="none"/>
              </w:rPr>
            </w:pPr>
            <w:r>
              <w:rPr>
                <w:rFonts w:hint="eastAsia"/>
                <w:color w:val="auto"/>
                <w:sz w:val="18"/>
                <w:szCs w:val="18"/>
                <w:highlight w:val="none"/>
              </w:rPr>
              <w:t>4、计量方式：吨位现场计量</w:t>
            </w:r>
          </w:p>
          <w:p w14:paraId="771FE2C2">
            <w:pPr>
              <w:rPr>
                <w:color w:val="auto"/>
                <w:sz w:val="18"/>
                <w:szCs w:val="18"/>
                <w:highlight w:val="none"/>
              </w:rPr>
            </w:pPr>
            <w:r>
              <w:rPr>
                <w:rFonts w:hint="eastAsia"/>
                <w:color w:val="auto"/>
                <w:sz w:val="18"/>
                <w:szCs w:val="18"/>
                <w:highlight w:val="none"/>
              </w:rPr>
              <w:t>5、注浆结束后根据要求进行路面弯沉检测，符合相关要求</w:t>
            </w:r>
          </w:p>
          <w:p w14:paraId="76AD6438">
            <w:pPr>
              <w:rPr>
                <w:rFonts w:asciiTheme="minorEastAsia" w:hAnsiTheme="minorEastAsia"/>
                <w:color w:val="auto"/>
                <w:sz w:val="18"/>
                <w:szCs w:val="18"/>
                <w:highlight w:val="none"/>
              </w:rPr>
            </w:pPr>
            <w:r>
              <w:rPr>
                <w:rFonts w:hint="eastAsia" w:ascii="仿宋_GB2312" w:eastAsia="仿宋_GB2312"/>
                <w:color w:val="auto"/>
                <w:sz w:val="18"/>
                <w:szCs w:val="18"/>
                <w:highlight w:val="none"/>
              </w:rPr>
              <w:t>6</w:t>
            </w:r>
            <w:r>
              <w:rPr>
                <w:rFonts w:hint="eastAsia"/>
                <w:color w:val="auto"/>
                <w:sz w:val="18"/>
                <w:szCs w:val="18"/>
                <w:highlight w:val="none"/>
              </w:rPr>
              <w:t>、满足技术和质量要求</w:t>
            </w:r>
          </w:p>
        </w:tc>
        <w:tc>
          <w:tcPr>
            <w:tcW w:w="585" w:type="dxa"/>
            <w:noWrap/>
            <w:vAlign w:val="center"/>
          </w:tcPr>
          <w:p w14:paraId="36D26DA5">
            <w:pPr>
              <w:jc w:val="center"/>
              <w:rPr>
                <w:rFonts w:asciiTheme="minorEastAsia" w:hAnsiTheme="minorEastAsia"/>
                <w:color w:val="auto"/>
                <w:sz w:val="18"/>
                <w:szCs w:val="18"/>
                <w:highlight w:val="none"/>
              </w:rPr>
            </w:pPr>
            <w:r>
              <w:rPr>
                <w:rFonts w:hint="eastAsia" w:ascii="宋体"/>
                <w:color w:val="auto"/>
                <w:sz w:val="18"/>
                <w:szCs w:val="18"/>
                <w:highlight w:val="none"/>
              </w:rPr>
              <w:t>t</w:t>
            </w:r>
          </w:p>
        </w:tc>
        <w:tc>
          <w:tcPr>
            <w:tcW w:w="855" w:type="dxa"/>
            <w:noWrap/>
            <w:vAlign w:val="center"/>
          </w:tcPr>
          <w:p w14:paraId="78F1FFBA">
            <w:pPr>
              <w:jc w:val="center"/>
              <w:rPr>
                <w:rFonts w:asciiTheme="minorEastAsia" w:hAnsiTheme="minorEastAsia"/>
                <w:color w:val="auto"/>
                <w:sz w:val="18"/>
                <w:szCs w:val="18"/>
                <w:highlight w:val="none"/>
              </w:rPr>
            </w:pPr>
            <w:r>
              <w:rPr>
                <w:rFonts w:hint="eastAsia" w:ascii="宋体"/>
                <w:b/>
                <w:bCs/>
                <w:color w:val="auto"/>
                <w:sz w:val="18"/>
                <w:szCs w:val="18"/>
                <w:highlight w:val="none"/>
                <w:lang w:val="en-US" w:eastAsia="zh-CN"/>
              </w:rPr>
              <w:t>35</w:t>
            </w:r>
          </w:p>
        </w:tc>
        <w:tc>
          <w:tcPr>
            <w:tcW w:w="945" w:type="dxa"/>
            <w:vAlign w:val="center"/>
          </w:tcPr>
          <w:p w14:paraId="0BAB0001">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1397.83</w:t>
            </w:r>
          </w:p>
        </w:tc>
        <w:tc>
          <w:tcPr>
            <w:tcW w:w="1005" w:type="dxa"/>
            <w:vAlign w:val="center"/>
          </w:tcPr>
          <w:p w14:paraId="1DDF5B98">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48924.05</w:t>
            </w:r>
          </w:p>
        </w:tc>
      </w:tr>
      <w:tr w14:paraId="55800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540" w:type="dxa"/>
            <w:noWrap/>
            <w:vAlign w:val="center"/>
          </w:tcPr>
          <w:p w14:paraId="6E794846">
            <w:pPr>
              <w:jc w:val="center"/>
              <w:rPr>
                <w:rFonts w:asciiTheme="minorEastAsia" w:hAnsiTheme="minorEastAsia"/>
                <w:color w:val="auto"/>
                <w:sz w:val="18"/>
                <w:szCs w:val="18"/>
                <w:highlight w:val="none"/>
              </w:rPr>
            </w:pPr>
            <w:r>
              <w:rPr>
                <w:rFonts w:hint="eastAsia" w:asciiTheme="minorEastAsia" w:hAnsiTheme="minorEastAsia"/>
                <w:color w:val="auto"/>
                <w:sz w:val="18"/>
                <w:szCs w:val="18"/>
                <w:highlight w:val="none"/>
              </w:rPr>
              <w:t>5</w:t>
            </w:r>
          </w:p>
        </w:tc>
        <w:tc>
          <w:tcPr>
            <w:tcW w:w="6091" w:type="dxa"/>
            <w:gridSpan w:val="4"/>
            <w:noWrap/>
            <w:vAlign w:val="center"/>
          </w:tcPr>
          <w:p w14:paraId="2450F830">
            <w:pPr>
              <w:rPr>
                <w:rFonts w:asciiTheme="minorEastAsia" w:hAnsiTheme="minorEastAsia"/>
                <w:color w:val="auto"/>
                <w:sz w:val="18"/>
                <w:szCs w:val="18"/>
                <w:highlight w:val="none"/>
              </w:rPr>
            </w:pPr>
            <w:r>
              <w:rPr>
                <w:rFonts w:hint="eastAsia" w:asciiTheme="minorEastAsia" w:hAnsiTheme="minorEastAsia"/>
                <w:color w:val="auto"/>
                <w:sz w:val="18"/>
                <w:szCs w:val="18"/>
                <w:highlight w:val="none"/>
              </w:rPr>
              <w:t>合计（元）</w:t>
            </w:r>
          </w:p>
        </w:tc>
        <w:tc>
          <w:tcPr>
            <w:tcW w:w="3390" w:type="dxa"/>
            <w:gridSpan w:val="4"/>
            <w:noWrap/>
            <w:vAlign w:val="center"/>
          </w:tcPr>
          <w:p w14:paraId="0DD6D8F0">
            <w:pP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2359790.91</w:t>
            </w:r>
          </w:p>
        </w:tc>
      </w:tr>
    </w:tbl>
    <w:p w14:paraId="12A0AC54">
      <w:pPr>
        <w:spacing w:line="360" w:lineRule="auto"/>
        <w:ind w:firstLine="480" w:firstLineChars="200"/>
        <w:jc w:val="left"/>
        <w:rPr>
          <w:rFonts w:cs="宋体" w:asciiTheme="minorEastAsia" w:hAnsiTheme="minorEastAsia"/>
          <w:color w:val="auto"/>
          <w:sz w:val="24"/>
          <w:szCs w:val="20"/>
          <w:highlight w:val="none"/>
        </w:rPr>
      </w:pPr>
      <w:r>
        <w:rPr>
          <w:rFonts w:hint="eastAsia" w:cs="宋体" w:asciiTheme="minorEastAsia" w:hAnsiTheme="minorEastAsia"/>
          <w:color w:val="auto"/>
          <w:sz w:val="24"/>
          <w:szCs w:val="20"/>
          <w:highlight w:val="none"/>
        </w:rPr>
        <w:t>1.</w:t>
      </w:r>
      <w:r>
        <w:rPr>
          <w:rFonts w:hint="eastAsia" w:cs="宋体" w:asciiTheme="minorEastAsia" w:hAnsiTheme="minorEastAsia"/>
          <w:color w:val="auto"/>
          <w:sz w:val="24"/>
          <w:szCs w:val="20"/>
          <w:highlight w:val="none"/>
          <w:lang w:val="en-US" w:eastAsia="zh-CN"/>
        </w:rPr>
        <w:t>2</w:t>
      </w:r>
      <w:r>
        <w:rPr>
          <w:rFonts w:hint="eastAsia" w:cs="宋体" w:asciiTheme="minorEastAsia" w:hAnsiTheme="minorEastAsia"/>
          <w:color w:val="auto"/>
          <w:sz w:val="24"/>
          <w:szCs w:val="20"/>
          <w:highlight w:val="none"/>
        </w:rPr>
        <w:t>最高限价清单涉及的所有数量均为预估量，结算时工程量按实结算，综合单价不作调整。</w:t>
      </w:r>
    </w:p>
    <w:p w14:paraId="2623B8B7">
      <w:pPr>
        <w:spacing w:line="360" w:lineRule="auto"/>
        <w:ind w:firstLine="480" w:firstLineChars="200"/>
        <w:jc w:val="left"/>
        <w:rPr>
          <w:rFonts w:cs="宋体" w:asciiTheme="minorEastAsia" w:hAnsiTheme="minorEastAsia"/>
          <w:color w:val="auto"/>
          <w:sz w:val="24"/>
          <w:szCs w:val="20"/>
          <w:highlight w:val="none"/>
        </w:rPr>
      </w:pPr>
      <w:r>
        <w:rPr>
          <w:rFonts w:hint="eastAsia" w:cs="宋体" w:asciiTheme="minorEastAsia" w:hAnsiTheme="minorEastAsia"/>
          <w:color w:val="auto"/>
          <w:sz w:val="24"/>
          <w:szCs w:val="20"/>
          <w:highlight w:val="none"/>
        </w:rPr>
        <w:t>1.</w:t>
      </w:r>
      <w:r>
        <w:rPr>
          <w:rFonts w:hint="eastAsia" w:cs="宋体" w:asciiTheme="minorEastAsia" w:hAnsiTheme="minorEastAsia"/>
          <w:color w:val="auto"/>
          <w:sz w:val="24"/>
          <w:szCs w:val="20"/>
          <w:highlight w:val="none"/>
          <w:lang w:val="en-US" w:eastAsia="zh-CN"/>
        </w:rPr>
        <w:t>3</w:t>
      </w:r>
      <w:r>
        <w:rPr>
          <w:rFonts w:hint="eastAsia" w:cs="宋体" w:asciiTheme="minorEastAsia" w:hAnsiTheme="minorEastAsia"/>
          <w:color w:val="auto"/>
          <w:sz w:val="24"/>
          <w:szCs w:val="20"/>
          <w:highlight w:val="none"/>
        </w:rPr>
        <w:t>供应商的报价（单价及合价）不得高于采购人提供的最高投标限价（单价及合价），否则作无效投标处理。</w:t>
      </w:r>
    </w:p>
    <w:bookmarkEnd w:id="111"/>
    <w:p w14:paraId="3A0ED8AE">
      <w:pPr>
        <w:spacing w:line="360" w:lineRule="auto"/>
        <w:jc w:val="left"/>
        <w:rPr>
          <w:rFonts w:cs="宋体" w:asciiTheme="minorEastAsia" w:hAnsiTheme="minorEastAsia"/>
          <w:color w:val="auto"/>
          <w:sz w:val="24"/>
          <w:szCs w:val="20"/>
          <w:highlight w:val="none"/>
        </w:rPr>
      </w:pPr>
      <w:r>
        <w:rPr>
          <w:rFonts w:hint="eastAsia" w:cs="宋体" w:asciiTheme="minorEastAsia" w:hAnsiTheme="minorEastAsia"/>
          <w:b/>
          <w:bCs/>
          <w:color w:val="auto"/>
          <w:sz w:val="24"/>
          <w:szCs w:val="20"/>
          <w:highlight w:val="none"/>
        </w:rPr>
        <w:t>（四）付款方式</w:t>
      </w:r>
    </w:p>
    <w:p w14:paraId="6F8BE2C2">
      <w:pPr>
        <w:keepNext w:val="0"/>
        <w:keepLines w:val="0"/>
        <w:pageBreakBefore w:val="0"/>
        <w:widowControl/>
        <w:numPr>
          <w:ilvl w:val="0"/>
          <w:numId w:val="0"/>
        </w:numPr>
        <w:kinsoku/>
        <w:wordWrap/>
        <w:overflowPunct/>
        <w:topLinePunct w:val="0"/>
        <w:autoSpaceDE/>
        <w:autoSpaceDN/>
        <w:bidi w:val="0"/>
        <w:adjustRightInd/>
        <w:snapToGrid/>
        <w:spacing w:before="100" w:after="100" w:line="380" w:lineRule="exact"/>
        <w:ind w:firstLine="480" w:firstLineChars="200"/>
        <w:jc w:val="left"/>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1、日常小修养护工程</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单项工程完工后按实结算，招标人支付至单项工程结算金额的50%，每年年底前支付至当年结算总额的97%，余款待缺陷责任期终止后一次性付清</w:t>
      </w:r>
      <w:r>
        <w:rPr>
          <w:rFonts w:hint="eastAsia" w:ascii="宋体" w:hAnsi="宋体" w:eastAsia="宋体" w:cs="宋体"/>
          <w:bCs/>
          <w:color w:val="auto"/>
          <w:sz w:val="24"/>
          <w:highlight w:val="none"/>
          <w:lang w:eastAsia="zh-CN"/>
        </w:rPr>
        <w:t>。</w:t>
      </w:r>
    </w:p>
    <w:p w14:paraId="46064853">
      <w:pPr>
        <w:keepNext w:val="0"/>
        <w:keepLines w:val="0"/>
        <w:pageBreakBefore w:val="0"/>
        <w:widowControl/>
        <w:numPr>
          <w:ilvl w:val="0"/>
          <w:numId w:val="0"/>
        </w:numPr>
        <w:kinsoku/>
        <w:wordWrap/>
        <w:overflowPunct/>
        <w:topLinePunct w:val="0"/>
        <w:autoSpaceDE/>
        <w:autoSpaceDN/>
        <w:bidi w:val="0"/>
        <w:adjustRightInd/>
        <w:snapToGrid/>
        <w:spacing w:before="100" w:after="100" w:line="380" w:lineRule="exact"/>
        <w:ind w:firstLine="480" w:firstLineChars="200"/>
        <w:jc w:val="left"/>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2、中修等工程：工程完工后按实结算，监理审核完成后付至监理审核价的80%；第三方审计完成后付至第三方审计价的97%，余款待缺陷责任期终止后一次性付清</w:t>
      </w:r>
      <w:r>
        <w:rPr>
          <w:rFonts w:hint="eastAsia" w:ascii="宋体" w:hAnsi="宋体" w:eastAsia="宋体" w:cs="宋体"/>
          <w:bCs/>
          <w:color w:val="auto"/>
          <w:sz w:val="24"/>
          <w:highlight w:val="none"/>
          <w:lang w:eastAsia="zh-CN"/>
        </w:rPr>
        <w:t>。</w:t>
      </w:r>
    </w:p>
    <w:p w14:paraId="7EF4DC20">
      <w:pPr>
        <w:keepNext w:val="0"/>
        <w:keepLines w:val="0"/>
        <w:pageBreakBefore w:val="0"/>
        <w:widowControl/>
        <w:numPr>
          <w:ilvl w:val="0"/>
          <w:numId w:val="0"/>
        </w:numPr>
        <w:kinsoku/>
        <w:wordWrap/>
        <w:overflowPunct/>
        <w:topLinePunct w:val="0"/>
        <w:autoSpaceDE/>
        <w:autoSpaceDN/>
        <w:bidi w:val="0"/>
        <w:adjustRightInd/>
        <w:snapToGrid/>
        <w:spacing w:before="100" w:after="100" w:line="380" w:lineRule="exact"/>
        <w:ind w:firstLine="480" w:firstLineChars="200"/>
        <w:jc w:val="left"/>
        <w:textAlignment w:val="auto"/>
        <w:rPr>
          <w:rFonts w:hint="eastAsia" w:ascii="宋体" w:hAnsi="宋体" w:eastAsia="宋体" w:cs="宋体"/>
          <w:color w:val="auto"/>
          <w:sz w:val="24"/>
          <w:szCs w:val="20"/>
          <w:highlight w:val="none"/>
        </w:rPr>
      </w:pPr>
      <w:r>
        <w:rPr>
          <w:rFonts w:hint="eastAsia" w:ascii="宋体" w:hAnsi="宋体" w:eastAsia="宋体" w:cs="宋体"/>
          <w:bCs/>
          <w:color w:val="auto"/>
          <w:sz w:val="24"/>
          <w:highlight w:val="none"/>
        </w:rPr>
        <w:t>3、</w:t>
      </w:r>
      <w:r>
        <w:rPr>
          <w:rFonts w:hint="eastAsia" w:ascii="宋体" w:hAnsi="宋体" w:eastAsia="宋体" w:cs="宋体"/>
          <w:color w:val="auto"/>
          <w:sz w:val="24"/>
          <w:highlight w:val="none"/>
          <w:lang w:val="en-US" w:eastAsia="zh-CN"/>
        </w:rPr>
        <w:t>中标人在接到采购人开票通知后开具合法有效的增值税发票（9%）。</w:t>
      </w:r>
    </w:p>
    <w:p w14:paraId="29EAAD82">
      <w:pPr>
        <w:spacing w:before="48" w:after="48" w:line="360" w:lineRule="auto"/>
        <w:jc w:val="left"/>
        <w:rPr>
          <w:rFonts w:cs="宋体" w:asciiTheme="minorEastAsia" w:hAnsiTheme="minorEastAsia"/>
          <w:b/>
          <w:bCs/>
          <w:color w:val="auto"/>
          <w:kern w:val="0"/>
          <w:sz w:val="24"/>
          <w:szCs w:val="24"/>
          <w:highlight w:val="none"/>
        </w:rPr>
      </w:pPr>
      <w:r>
        <w:rPr>
          <w:rFonts w:hint="eastAsia" w:cs="宋体" w:asciiTheme="minorEastAsia" w:hAnsiTheme="minorEastAsia"/>
          <w:b/>
          <w:bCs/>
          <w:color w:val="auto"/>
          <w:kern w:val="0"/>
          <w:sz w:val="24"/>
          <w:szCs w:val="24"/>
          <w:highlight w:val="none"/>
        </w:rPr>
        <w:t>（五）履约保证金</w:t>
      </w:r>
    </w:p>
    <w:p w14:paraId="51C2A505">
      <w:pPr>
        <w:spacing w:line="360" w:lineRule="auto"/>
        <w:ind w:firstLine="480" w:firstLineChars="200"/>
        <w:jc w:val="left"/>
        <w:rPr>
          <w:rFonts w:cs="宋体" w:asciiTheme="minorEastAsia" w:hAnsiTheme="minorEastAsia"/>
          <w:color w:val="auto"/>
          <w:sz w:val="24"/>
          <w:szCs w:val="20"/>
          <w:highlight w:val="none"/>
        </w:rPr>
      </w:pPr>
      <w:r>
        <w:rPr>
          <w:rFonts w:hint="eastAsia" w:cs="宋体" w:asciiTheme="minorEastAsia" w:hAnsiTheme="minorEastAsia"/>
          <w:color w:val="auto"/>
          <w:sz w:val="24"/>
          <w:szCs w:val="20"/>
          <w:highlight w:val="none"/>
        </w:rPr>
        <w:t>1、本项目成交后的履约保证金为项目成交价的5%，成交单位的履约保证金须在成交通知书发出之日起至合同签订前汇入采购单位账户（应当以数字人民币、支票、汇票或者金融机构、担保机构出具的保函等非现金形式提交），成交单位凭成交通知书与采购单位签订合同。超期或未有协商，则视为自动放弃成交资格。</w:t>
      </w:r>
    </w:p>
    <w:p w14:paraId="28C401A0">
      <w:pPr>
        <w:spacing w:line="360" w:lineRule="auto"/>
        <w:ind w:firstLine="480" w:firstLineChars="200"/>
        <w:jc w:val="left"/>
        <w:rPr>
          <w:rFonts w:cs="宋体" w:asciiTheme="minorEastAsia" w:hAnsiTheme="minorEastAsia"/>
          <w:color w:val="auto"/>
          <w:sz w:val="24"/>
          <w:szCs w:val="20"/>
          <w:highlight w:val="none"/>
        </w:rPr>
      </w:pPr>
      <w:r>
        <w:rPr>
          <w:rFonts w:hint="eastAsia" w:cs="宋体" w:asciiTheme="minorEastAsia" w:hAnsiTheme="minorEastAsia"/>
          <w:color w:val="auto"/>
          <w:sz w:val="24"/>
          <w:szCs w:val="20"/>
          <w:highlight w:val="none"/>
        </w:rPr>
        <w:t>2、服务期满后，成交人全部履约合同义务，经采购人验收合格无质量、进度等问题的，成交人提交相应的申请材料，经采购人确认后15个工作日内一次性退还履约保证金（扣除相关违约费用的剩余部分，不计息）；</w:t>
      </w:r>
    </w:p>
    <w:p w14:paraId="7E8653CB">
      <w:pPr>
        <w:spacing w:line="360" w:lineRule="auto"/>
        <w:ind w:firstLine="480" w:firstLineChars="200"/>
        <w:jc w:val="left"/>
        <w:rPr>
          <w:rFonts w:cs="宋体" w:asciiTheme="minorEastAsia" w:hAnsiTheme="minorEastAsia"/>
          <w:color w:val="auto"/>
          <w:sz w:val="24"/>
          <w:szCs w:val="20"/>
          <w:highlight w:val="none"/>
        </w:rPr>
      </w:pPr>
      <w:r>
        <w:rPr>
          <w:rFonts w:hint="eastAsia" w:cs="宋体" w:asciiTheme="minorEastAsia" w:hAnsiTheme="minorEastAsia"/>
          <w:color w:val="auto"/>
          <w:sz w:val="24"/>
          <w:szCs w:val="20"/>
          <w:highlight w:val="none"/>
        </w:rPr>
        <w:t xml:space="preserve">3、发生以下情况的，履约保证金不予退还或部分退还： </w:t>
      </w:r>
    </w:p>
    <w:p w14:paraId="62B2BC52">
      <w:pPr>
        <w:spacing w:line="360" w:lineRule="auto"/>
        <w:ind w:firstLine="480" w:firstLineChars="200"/>
        <w:jc w:val="left"/>
        <w:rPr>
          <w:rFonts w:cs="宋体" w:asciiTheme="minorEastAsia" w:hAnsiTheme="minorEastAsia"/>
          <w:color w:val="auto"/>
          <w:sz w:val="24"/>
          <w:szCs w:val="20"/>
          <w:highlight w:val="none"/>
        </w:rPr>
      </w:pPr>
      <w:r>
        <w:rPr>
          <w:rFonts w:hint="eastAsia" w:cs="宋体" w:asciiTheme="minorEastAsia" w:hAnsiTheme="minorEastAsia"/>
          <w:color w:val="auto"/>
          <w:sz w:val="24"/>
          <w:szCs w:val="20"/>
          <w:highlight w:val="none"/>
        </w:rPr>
        <w:t>a.签订合同后，成交单位不履行合同义务的，采购单位有权全额扣除履约保证金，全额不予退还，同时采购单位亦有权终止合同，成交供应商还须承担相应的法律赔偿责任。</w:t>
      </w:r>
    </w:p>
    <w:p w14:paraId="430C62DE">
      <w:pPr>
        <w:spacing w:line="360" w:lineRule="auto"/>
        <w:ind w:firstLine="480" w:firstLineChars="200"/>
        <w:jc w:val="left"/>
        <w:rPr>
          <w:rFonts w:ascii="宋体" w:hAnsi="宋体" w:eastAsia="宋体" w:cs="宋体"/>
          <w:color w:val="auto"/>
          <w:sz w:val="24"/>
          <w:szCs w:val="20"/>
          <w:highlight w:val="none"/>
        </w:rPr>
      </w:pPr>
      <w:r>
        <w:rPr>
          <w:rFonts w:hint="eastAsia" w:cs="宋体" w:asciiTheme="minorEastAsia" w:hAnsiTheme="minorEastAsia"/>
          <w:color w:val="auto"/>
          <w:sz w:val="24"/>
          <w:szCs w:val="20"/>
          <w:highlight w:val="none"/>
        </w:rPr>
        <w:t>b.成交单位在履约过程中发生违约行为，给采购单位造成损失的，采购单位有权在</w:t>
      </w:r>
      <w:r>
        <w:rPr>
          <w:rFonts w:hint="eastAsia" w:ascii="宋体" w:hAnsi="宋体" w:eastAsia="宋体" w:cs="宋体"/>
          <w:color w:val="auto"/>
          <w:sz w:val="24"/>
          <w:szCs w:val="20"/>
          <w:highlight w:val="none"/>
        </w:rPr>
        <w:t>成交单位缴纳的履约保证金中予以扣款，以弥补采购单位经济损失，不足的部分成交单位另外补齐。</w:t>
      </w:r>
    </w:p>
    <w:p w14:paraId="6522C170">
      <w:pPr>
        <w:spacing w:line="360" w:lineRule="auto"/>
        <w:ind w:firstLine="480" w:firstLineChars="200"/>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color w:val="auto"/>
          <w:highlight w:val="none"/>
        </w:rPr>
        <w:fldChar w:fldCharType="begin"/>
      </w:r>
      <w:r>
        <w:rPr>
          <w:color w:val="auto"/>
          <w:highlight w:val="none"/>
        </w:rPr>
        <w:instrText xml:space="preserve"> HYPERLINK "http://www.ccgp-jiangsu.gov.cn/jisngsu/zlxz/)。" </w:instrText>
      </w:r>
      <w:r>
        <w:rPr>
          <w:color w:val="auto"/>
          <w:highlight w:val="none"/>
        </w:rPr>
        <w:fldChar w:fldCharType="separate"/>
      </w:r>
      <w:r>
        <w:rPr>
          <w:rFonts w:hint="eastAsia" w:ascii="宋体" w:hAnsi="宋体" w:eastAsia="宋体" w:cs="宋体"/>
          <w:color w:val="auto"/>
          <w:sz w:val="24"/>
          <w:szCs w:val="20"/>
          <w:highlight w:val="none"/>
        </w:rPr>
        <w:t>www.ccgp-jiangsu.gov.cn/jisngsu/zlxz/)。</w:t>
      </w:r>
      <w:r>
        <w:rPr>
          <w:rFonts w:hint="eastAsia" w:ascii="宋体" w:hAnsi="宋体" w:eastAsia="宋体" w:cs="宋体"/>
          <w:color w:val="auto"/>
          <w:sz w:val="24"/>
          <w:szCs w:val="20"/>
          <w:highlight w:val="none"/>
        </w:rPr>
        <w:fldChar w:fldCharType="end"/>
      </w:r>
    </w:p>
    <w:p w14:paraId="121F99F2">
      <w:pPr>
        <w:spacing w:line="360" w:lineRule="auto"/>
        <w:ind w:firstLine="480" w:firstLineChars="200"/>
        <w:jc w:val="lef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5、甲方无正当理由逾期退还履约保证金的，则自逾期之日起向乙方支付违约金，违约金以逾期未还履约保证金为基数，按全国银行间同业拆借中心公布的一年期贷款市场报价利率计算。</w:t>
      </w:r>
    </w:p>
    <w:p w14:paraId="1AA7D2B1">
      <w:pPr>
        <w:spacing w:before="48" w:after="48" w:line="360" w:lineRule="auto"/>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四、采购需求中必须满足的实质性要求</w:t>
      </w:r>
    </w:p>
    <w:p w14:paraId="39E70280">
      <w:pPr>
        <w:adjustRightInd w:val="0"/>
        <w:snapToGrid w:val="0"/>
        <w:spacing w:before="48" w:after="48" w:line="360" w:lineRule="auto"/>
        <w:ind w:firstLine="480"/>
        <w:rPr>
          <w:rFonts w:ascii="宋体" w:hAnsi="宋体" w:eastAsia="宋体" w:cs="宋体"/>
          <w:b/>
          <w:i/>
          <w:color w:val="auto"/>
          <w:sz w:val="24"/>
          <w:szCs w:val="24"/>
          <w:highlight w:val="none"/>
          <w:u w:val="single"/>
        </w:rPr>
      </w:pPr>
      <w:r>
        <w:rPr>
          <w:rFonts w:hint="eastAsia" w:ascii="宋体" w:hAnsi="宋体" w:eastAsia="宋体" w:cs="宋体"/>
          <w:b/>
          <w:i/>
          <w:color w:val="auto"/>
          <w:sz w:val="24"/>
          <w:szCs w:val="24"/>
          <w:highlight w:val="none"/>
          <w:u w:val="single"/>
        </w:rPr>
        <w:t>1、技术部分实质性要求</w:t>
      </w:r>
    </w:p>
    <w:p w14:paraId="5804EAA4">
      <w:pPr>
        <w:widowControl/>
        <w:snapToGrid w:val="0"/>
        <w:spacing w:line="360" w:lineRule="auto"/>
        <w:ind w:firstLine="482"/>
        <w:textAlignment w:val="center"/>
        <w:rPr>
          <w:rFonts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（1）</w:t>
      </w:r>
      <w:r>
        <w:rPr>
          <w:rFonts w:hint="eastAsia" w:ascii="宋体" w:hAnsi="宋体" w:eastAsia="宋体" w:cs="宋体"/>
          <w:i/>
          <w:iCs/>
          <w:color w:val="auto"/>
          <w:kern w:val="0"/>
          <w:sz w:val="24"/>
          <w:szCs w:val="24"/>
          <w:highlight w:val="none"/>
          <w:u w:val="single"/>
        </w:rPr>
        <w:t>供应商投标时承诺：投标时供</w:t>
      </w:r>
      <w:r>
        <w:rPr>
          <w:rFonts w:hint="eastAsia" w:ascii="宋体" w:hAnsi="宋体" w:eastAsia="宋体" w:cs="宋体"/>
          <w:bCs/>
          <w:i/>
          <w:color w:val="auto"/>
          <w:sz w:val="24"/>
          <w:szCs w:val="24"/>
          <w:highlight w:val="none"/>
          <w:u w:val="single"/>
        </w:rPr>
        <w:t>应商应根据项目需求提供项目方案（货物质量保障方案、施工质量保障方案</w:t>
      </w:r>
      <w:r>
        <w:rPr>
          <w:rFonts w:hint="eastAsia" w:ascii="宋体" w:hAnsi="宋体" w:eastAsia="宋体" w:cs="宋体"/>
          <w:i/>
          <w:iCs/>
          <w:color w:val="auto"/>
          <w:kern w:val="0"/>
          <w:sz w:val="24"/>
          <w:szCs w:val="24"/>
          <w:highlight w:val="none"/>
          <w:u w:val="single"/>
        </w:rPr>
        <w:t>）。</w:t>
      </w:r>
    </w:p>
    <w:p w14:paraId="38B0B4AE">
      <w:pPr>
        <w:adjustRightInd w:val="0"/>
        <w:snapToGrid w:val="0"/>
        <w:spacing w:before="48" w:after="48" w:line="360" w:lineRule="auto"/>
        <w:ind w:firstLine="482"/>
        <w:rPr>
          <w:rFonts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（2）</w:t>
      </w:r>
      <w:r>
        <w:rPr>
          <w:rFonts w:hint="eastAsia" w:ascii="宋体" w:hAnsi="宋体" w:eastAsia="宋体" w:cs="宋体"/>
          <w:i/>
          <w:iCs/>
          <w:color w:val="auto"/>
          <w:kern w:val="0"/>
          <w:sz w:val="24"/>
          <w:szCs w:val="24"/>
          <w:highlight w:val="none"/>
          <w:u w:val="single"/>
        </w:rPr>
        <w:t>供应商投标时承诺：</w:t>
      </w:r>
      <w:r>
        <w:rPr>
          <w:rFonts w:hint="eastAsia" w:ascii="宋体" w:hAnsi="宋体" w:eastAsia="宋体" w:cs="宋体"/>
          <w:bCs/>
          <w:i/>
          <w:color w:val="auto"/>
          <w:sz w:val="24"/>
          <w:szCs w:val="24"/>
          <w:highlight w:val="none"/>
          <w:u w:val="single"/>
        </w:rPr>
        <w:t>本项目不转包给第三方承包。</w:t>
      </w:r>
    </w:p>
    <w:p w14:paraId="4F6B1053">
      <w:pPr>
        <w:adjustRightInd w:val="0"/>
        <w:snapToGrid w:val="0"/>
        <w:spacing w:before="48" w:after="48" w:line="360" w:lineRule="auto"/>
        <w:ind w:firstLine="480"/>
        <w:rPr>
          <w:rFonts w:ascii="宋体" w:hAnsi="宋体" w:eastAsia="宋体" w:cs="宋体"/>
          <w:b/>
          <w:i/>
          <w:color w:val="auto"/>
          <w:sz w:val="24"/>
          <w:szCs w:val="24"/>
          <w:highlight w:val="none"/>
          <w:u w:val="single"/>
        </w:rPr>
      </w:pPr>
      <w:r>
        <w:rPr>
          <w:rFonts w:hint="eastAsia" w:ascii="宋体" w:hAnsi="宋体" w:eastAsia="宋体" w:cs="宋体"/>
          <w:b/>
          <w:i/>
          <w:color w:val="auto"/>
          <w:sz w:val="24"/>
          <w:szCs w:val="24"/>
          <w:highlight w:val="none"/>
          <w:u w:val="single"/>
        </w:rPr>
        <w:t>2、商务部分实质性要求</w:t>
      </w:r>
    </w:p>
    <w:p w14:paraId="4C9BC4ED">
      <w:pPr>
        <w:adjustRightInd w:val="0"/>
        <w:snapToGrid w:val="0"/>
        <w:spacing w:before="48" w:after="48" w:line="360" w:lineRule="auto"/>
        <w:ind w:firstLine="482"/>
        <w:rPr>
          <w:rFonts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（1）</w:t>
      </w:r>
      <w:r>
        <w:rPr>
          <w:rFonts w:hint="eastAsia" w:ascii="宋体" w:hAnsi="宋体" w:eastAsia="宋体" w:cs="宋体"/>
          <w:i/>
          <w:iCs/>
          <w:color w:val="auto"/>
          <w:kern w:val="0"/>
          <w:sz w:val="24"/>
          <w:szCs w:val="24"/>
          <w:highlight w:val="none"/>
          <w:u w:val="single"/>
        </w:rPr>
        <w:t>供应商投标时承诺：</w:t>
      </w:r>
      <w:r>
        <w:rPr>
          <w:rFonts w:hint="eastAsia" w:ascii="宋体" w:hAnsi="宋体" w:eastAsia="宋体" w:cs="宋体"/>
          <w:bCs/>
          <w:i/>
          <w:color w:val="auto"/>
          <w:sz w:val="24"/>
          <w:szCs w:val="24"/>
          <w:highlight w:val="none"/>
          <w:u w:val="single"/>
        </w:rPr>
        <w:t>供应商应对所投项目的全部内容进行报价，只投其中部分内容者，视为无效标。</w:t>
      </w:r>
    </w:p>
    <w:p w14:paraId="6161D73B">
      <w:pPr>
        <w:adjustRightInd w:val="0"/>
        <w:snapToGrid w:val="0"/>
        <w:spacing w:before="48" w:after="48" w:line="360" w:lineRule="auto"/>
        <w:ind w:firstLine="482"/>
        <w:rPr>
          <w:rFonts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（2）</w:t>
      </w:r>
      <w:r>
        <w:rPr>
          <w:rFonts w:hint="eastAsia" w:ascii="宋体" w:hAnsi="宋体" w:eastAsia="宋体" w:cs="宋体"/>
          <w:i/>
          <w:iCs/>
          <w:color w:val="auto"/>
          <w:kern w:val="0"/>
          <w:sz w:val="24"/>
          <w:szCs w:val="24"/>
          <w:highlight w:val="none"/>
          <w:u w:val="single"/>
        </w:rPr>
        <w:t>供应商投标时承诺：</w:t>
      </w:r>
      <w:r>
        <w:rPr>
          <w:rFonts w:hint="eastAsia" w:ascii="宋体" w:hAnsi="宋体" w:eastAsia="宋体" w:cs="宋体"/>
          <w:bCs/>
          <w:i/>
          <w:color w:val="auto"/>
          <w:sz w:val="24"/>
          <w:szCs w:val="24"/>
          <w:highlight w:val="none"/>
          <w:u w:val="single"/>
        </w:rPr>
        <w:t>供应商的报价明显低于其他通过符合性审查投标人的报价，有可能影响服务质量或者不能诚信履约的，如不能在合理的时间内证明其报价合理性，视为无效标。</w:t>
      </w:r>
    </w:p>
    <w:p w14:paraId="1355F710">
      <w:pPr>
        <w:pStyle w:val="20"/>
        <w:pageBreakBefore/>
        <w:spacing w:before="48" w:beforeAutospacing="0" w:after="48" w:afterAutospacing="0" w:line="360" w:lineRule="auto"/>
        <w:ind w:firstLine="880"/>
        <w:jc w:val="center"/>
        <w:outlineLvl w:val="0"/>
        <w:rPr>
          <w:rFonts w:ascii="黑体" w:hAnsi="Times New Roman" w:eastAsia="黑体" w:cs="Times New Roman"/>
          <w:b/>
          <w:bCs/>
          <w:color w:val="auto"/>
          <w:sz w:val="44"/>
          <w:szCs w:val="28"/>
          <w:highlight w:val="none"/>
        </w:rPr>
      </w:pPr>
      <w:r>
        <w:rPr>
          <w:rFonts w:hint="eastAsia" w:ascii="黑体" w:hAnsi="Times New Roman" w:eastAsia="黑体" w:cs="Times New Roman"/>
          <w:b/>
          <w:bCs/>
          <w:color w:val="auto"/>
          <w:sz w:val="44"/>
          <w:szCs w:val="28"/>
          <w:highlight w:val="none"/>
        </w:rPr>
        <w:t>第四章  评审方法和评审标准</w:t>
      </w:r>
    </w:p>
    <w:p w14:paraId="4249E8D4">
      <w:pPr>
        <w:adjustRightInd w:val="0"/>
        <w:spacing w:line="360" w:lineRule="auto"/>
        <w:ind w:firstLine="482"/>
        <w:rPr>
          <w:rFonts w:cs="宋体" w:asciiTheme="minorEastAsia" w:hAnsiTheme="minorEastAsia"/>
          <w:color w:val="auto"/>
          <w:kern w:val="0"/>
          <w:sz w:val="24"/>
          <w:szCs w:val="24"/>
          <w:highlight w:val="none"/>
        </w:rPr>
      </w:pPr>
      <w:r>
        <w:rPr>
          <w:rFonts w:hint="eastAsia" w:cs="宋体" w:asciiTheme="minorEastAsia" w:hAnsiTheme="minorEastAsia"/>
          <w:color w:val="auto"/>
          <w:kern w:val="0"/>
          <w:sz w:val="24"/>
          <w:szCs w:val="24"/>
          <w:highlight w:val="none"/>
        </w:rPr>
        <w:t>一、</w:t>
      </w:r>
      <w:r>
        <w:rPr>
          <w:rFonts w:hint="eastAsia" w:cs="Times New Roman" w:asciiTheme="minorEastAsia" w:hAnsiTheme="minorEastAsia"/>
          <w:b/>
          <w:color w:val="auto"/>
          <w:sz w:val="24"/>
          <w:szCs w:val="24"/>
          <w:highlight w:val="none"/>
        </w:rPr>
        <w:t>评审方法</w:t>
      </w:r>
    </w:p>
    <w:p w14:paraId="67368035">
      <w:pPr>
        <w:adjustRightInd w:val="0"/>
        <w:spacing w:line="360" w:lineRule="auto"/>
        <w:ind w:firstLine="482"/>
        <w:rPr>
          <w:rFonts w:cs="宋体" w:asciiTheme="minorEastAsia" w:hAnsiTheme="minorEastAsia"/>
          <w:color w:val="auto"/>
          <w:sz w:val="24"/>
          <w:highlight w:val="none"/>
        </w:rPr>
      </w:pPr>
      <w:r>
        <w:rPr>
          <w:rFonts w:hint="eastAsia" w:cs="宋体" w:asciiTheme="minorEastAsia" w:hAnsiTheme="minorEastAsia"/>
          <w:color w:val="auto"/>
          <w:kern w:val="0"/>
          <w:sz w:val="24"/>
          <w:szCs w:val="24"/>
          <w:highlight w:val="none"/>
        </w:rPr>
        <w:t>本项目采用</w:t>
      </w:r>
      <w:r>
        <w:rPr>
          <w:rFonts w:hint="eastAsia" w:cs="宋体" w:asciiTheme="minorEastAsia" w:hAnsiTheme="minorEastAsia"/>
          <w:b/>
          <w:color w:val="auto"/>
          <w:kern w:val="0"/>
          <w:sz w:val="24"/>
          <w:szCs w:val="24"/>
          <w:highlight w:val="none"/>
          <w:u w:val="single"/>
        </w:rPr>
        <w:t>综合评分法</w:t>
      </w:r>
      <w:r>
        <w:rPr>
          <w:rFonts w:hint="eastAsia" w:cs="宋体" w:asciiTheme="minorEastAsia" w:hAnsiTheme="minorEastAsia"/>
          <w:color w:val="auto"/>
          <w:kern w:val="0"/>
          <w:sz w:val="24"/>
          <w:szCs w:val="24"/>
          <w:highlight w:val="none"/>
        </w:rPr>
        <w:t>，响应文件满足本项目磋商文件全部实质性要求，且按照评审因素的量化指标评审，</w:t>
      </w:r>
      <w:r>
        <w:rPr>
          <w:rFonts w:cs="宋体" w:asciiTheme="minorEastAsia" w:hAnsiTheme="minorEastAsia"/>
          <w:color w:val="auto"/>
          <w:sz w:val="24"/>
          <w:highlight w:val="none"/>
        </w:rPr>
        <w:t>磋商小组汇总各评委评分后，按照得分从高到低的顺序推荐三名成交候选人，并编写评审报告。</w:t>
      </w:r>
    </w:p>
    <w:p w14:paraId="3B08A897">
      <w:pPr>
        <w:adjustRightInd w:val="0"/>
        <w:spacing w:line="360" w:lineRule="auto"/>
        <w:ind w:firstLine="482"/>
        <w:rPr>
          <w:rFonts w:cs="宋体" w:asciiTheme="minorEastAsia" w:hAnsiTheme="minorEastAsia"/>
          <w:color w:val="auto"/>
          <w:sz w:val="24"/>
          <w:highlight w:val="none"/>
        </w:rPr>
      </w:pPr>
      <w:r>
        <w:rPr>
          <w:rFonts w:cs="宋体" w:asciiTheme="minorEastAsia" w:hAnsiTheme="minorEastAsia"/>
          <w:color w:val="auto"/>
          <w:sz w:val="24"/>
          <w:highlight w:val="none"/>
        </w:rPr>
        <w:t>采购人委托磋商小组直接确定排名第一的成交候选人为成交供应商。</w:t>
      </w:r>
    </w:p>
    <w:p w14:paraId="0729904E">
      <w:pPr>
        <w:adjustRightInd w:val="0"/>
        <w:spacing w:line="360" w:lineRule="auto"/>
        <w:ind w:firstLine="482"/>
        <w:rPr>
          <w:rFonts w:cs="宋体" w:asciiTheme="minorEastAsia" w:hAnsiTheme="minorEastAsia"/>
          <w:color w:val="auto"/>
          <w:sz w:val="24"/>
          <w:highlight w:val="none"/>
        </w:rPr>
      </w:pPr>
      <w:r>
        <w:rPr>
          <w:rFonts w:hint="eastAsia" w:cs="宋体" w:asciiTheme="minorEastAsia" w:hAnsiTheme="minorEastAsia"/>
          <w:color w:val="auto"/>
          <w:sz w:val="24"/>
          <w:highlight w:val="none"/>
        </w:rPr>
        <w:t>1、供应商因质疑投诉成立或出现本磋商文件第二章第六条26.4所述情况的，取消成交资格，出现本磋商文件第二章第六条26.4所述情况的，取消成交资格，采购人重新采购；被取消成交资格的投标人不得参与后续采购活动；</w:t>
      </w:r>
    </w:p>
    <w:p w14:paraId="0F2F9672">
      <w:pPr>
        <w:adjustRightInd w:val="0"/>
        <w:spacing w:line="360" w:lineRule="auto"/>
        <w:ind w:firstLine="482"/>
        <w:rPr>
          <w:rFonts w:cs="宋体" w:asciiTheme="minorEastAsia" w:hAnsiTheme="minorEastAsia"/>
          <w:color w:val="auto"/>
          <w:sz w:val="24"/>
          <w:highlight w:val="none"/>
        </w:rPr>
      </w:pPr>
      <w:r>
        <w:rPr>
          <w:rFonts w:hint="eastAsia" w:cs="宋体" w:asciiTheme="minorEastAsia" w:hAnsiTheme="minorEastAsia"/>
          <w:color w:val="auto"/>
          <w:sz w:val="24"/>
          <w:highlight w:val="none"/>
        </w:rPr>
        <w:t>2、未成交投标人出现政府采购法律法规明令禁止违规行违法行为的，本项目成交候选人不予调整。</w:t>
      </w:r>
    </w:p>
    <w:p w14:paraId="2C85F635">
      <w:pPr>
        <w:adjustRightInd w:val="0"/>
        <w:spacing w:line="360" w:lineRule="auto"/>
        <w:ind w:firstLine="482"/>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本项目第一成交候选人原则上为成交人。当排名第一的成交候选人放弃成交、因不可抗力不能履行合同、不按照竞争性磋商文件要求提交履约保证金，或者被查实存在影响成交结果的违法行为等情形，不符合成交条件的，采购人可以按照评标委员会提出的成交候选人名单排序依次确定其他成交候选人为成交人，也可以重新组织采购。       </w:t>
      </w:r>
    </w:p>
    <w:p w14:paraId="5021D8BE">
      <w:pPr>
        <w:adjustRightInd w:val="0"/>
        <w:spacing w:line="360" w:lineRule="auto"/>
        <w:ind w:firstLine="482"/>
        <w:rPr>
          <w:rFonts w:cs="宋体" w:asciiTheme="minorEastAsia" w:hAnsiTheme="minorEastAsia"/>
          <w:color w:val="auto"/>
          <w:sz w:val="24"/>
          <w:highlight w:val="none"/>
        </w:rPr>
      </w:pPr>
      <w:r>
        <w:rPr>
          <w:rFonts w:hint="eastAsia" w:cs="宋体" w:asciiTheme="minorEastAsia" w:hAnsiTheme="minorEastAsia"/>
          <w:color w:val="auto"/>
          <w:sz w:val="24"/>
          <w:highlight w:val="none"/>
        </w:rPr>
        <w:t>评标过程中出现本评标办法未尽事宜，由评标委员会根据有关法律、法规讨论决定。</w:t>
      </w:r>
    </w:p>
    <w:p w14:paraId="162A658B">
      <w:pPr>
        <w:adjustRightInd w:val="0"/>
        <w:spacing w:line="360" w:lineRule="auto"/>
        <w:ind w:firstLine="482"/>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政府采购政策功能落实</w:t>
      </w:r>
    </w:p>
    <w:p w14:paraId="5BD34BDE">
      <w:pPr>
        <w:adjustRightInd w:val="0"/>
        <w:spacing w:line="360" w:lineRule="auto"/>
        <w:ind w:firstLine="482"/>
        <w:rPr>
          <w:rFonts w:cs="宋体" w:asciiTheme="minorEastAsia" w:hAnsiTheme="minorEastAsia"/>
          <w:color w:val="auto"/>
          <w:sz w:val="24"/>
          <w:highlight w:val="none"/>
        </w:rPr>
      </w:pPr>
      <w:r>
        <w:rPr>
          <w:rFonts w:hint="eastAsia" w:cs="宋体" w:asciiTheme="minorEastAsia" w:hAnsiTheme="minorEastAsia"/>
          <w:color w:val="auto"/>
          <w:sz w:val="24"/>
          <w:highlight w:val="none"/>
        </w:rPr>
        <w:t>1、小微型企业价格扣除（专门面向中小企业项目不适用）</w:t>
      </w:r>
    </w:p>
    <w:p w14:paraId="183AA08C">
      <w:pPr>
        <w:adjustRightInd w:val="0"/>
        <w:spacing w:line="360" w:lineRule="auto"/>
        <w:ind w:firstLine="482"/>
        <w:rPr>
          <w:rFonts w:cs="宋体" w:asciiTheme="minorEastAsia" w:hAnsiTheme="minorEastAsia"/>
          <w:color w:val="auto"/>
          <w:sz w:val="24"/>
          <w:highlight w:val="none"/>
        </w:rPr>
      </w:pPr>
      <w:r>
        <w:rPr>
          <w:rFonts w:hint="eastAsia" w:cs="宋体" w:asciiTheme="minorEastAsia" w:hAnsiTheme="minorEastAsia"/>
          <w:color w:val="auto"/>
          <w:sz w:val="24"/>
          <w:highlight w:val="none"/>
        </w:rPr>
        <w:t>（1）本项目对小型和微型企业提供的服务给予20%的扣除价格，用扣除后的价格参与评审。</w:t>
      </w:r>
    </w:p>
    <w:p w14:paraId="1368A216">
      <w:pPr>
        <w:adjustRightInd w:val="0"/>
        <w:spacing w:line="360" w:lineRule="auto"/>
        <w:ind w:firstLine="482"/>
        <w:rPr>
          <w:rFonts w:cs="宋体" w:asciiTheme="minorEastAsia" w:hAnsiTheme="minorEastAsia"/>
          <w:color w:val="auto"/>
          <w:sz w:val="24"/>
          <w:highlight w:val="none"/>
        </w:rPr>
      </w:pPr>
      <w:r>
        <w:rPr>
          <w:rFonts w:hint="eastAsia" w:cs="宋体" w:asciiTheme="minorEastAsia" w:hAnsiTheme="minorEastAsia"/>
          <w:color w:val="auto"/>
          <w:sz w:val="24"/>
          <w:highlight w:val="none"/>
        </w:rPr>
        <w:t>（2）供应商需按照采购文件的要求提供相应的《小微企业声明函》。</w:t>
      </w:r>
    </w:p>
    <w:p w14:paraId="4ED29811">
      <w:pPr>
        <w:adjustRightInd w:val="0"/>
        <w:spacing w:line="360" w:lineRule="auto"/>
        <w:ind w:firstLine="482"/>
        <w:rPr>
          <w:rFonts w:cs="宋体" w:asciiTheme="minorEastAsia" w:hAnsiTheme="minorEastAsia"/>
          <w:color w:val="auto"/>
          <w:sz w:val="24"/>
          <w:highlight w:val="none"/>
        </w:rPr>
      </w:pPr>
      <w:r>
        <w:rPr>
          <w:rFonts w:hint="eastAsia" w:cs="宋体" w:asciiTheme="minorEastAsia" w:hAnsiTheme="minorEastAsia"/>
          <w:color w:val="auto"/>
          <w:sz w:val="24"/>
          <w:highlight w:val="none"/>
        </w:rPr>
        <w:t>（3）企业标准请参照《关于印发中小企业划型标准规定的通知》（工信部联企业[2011]300号）文件规定自行填写。</w:t>
      </w:r>
    </w:p>
    <w:p w14:paraId="7C39A6C8">
      <w:pPr>
        <w:adjustRightInd w:val="0"/>
        <w:spacing w:line="360" w:lineRule="auto"/>
        <w:ind w:firstLine="482"/>
        <w:rPr>
          <w:rFonts w:cs="宋体" w:asciiTheme="minorEastAsia" w:hAnsiTheme="minorEastAsia"/>
          <w:color w:val="auto"/>
          <w:sz w:val="24"/>
          <w:highlight w:val="none"/>
        </w:rPr>
      </w:pPr>
      <w:r>
        <w:rPr>
          <w:rFonts w:hint="eastAsia" w:cs="宋体" w:asciiTheme="minorEastAsia" w:hAnsiTheme="minorEastAsia"/>
          <w:color w:val="auto"/>
          <w:sz w:val="24"/>
          <w:highlight w:val="none"/>
        </w:rPr>
        <w:t>2、残疾人福利单位价格扣除（专门面向中小企业项目不适用）</w:t>
      </w:r>
    </w:p>
    <w:p w14:paraId="052A45FC">
      <w:pPr>
        <w:adjustRightInd w:val="0"/>
        <w:spacing w:line="360" w:lineRule="auto"/>
        <w:ind w:firstLine="482"/>
        <w:rPr>
          <w:rFonts w:cs="宋体" w:asciiTheme="minorEastAsia" w:hAnsiTheme="minorEastAsia"/>
          <w:color w:val="auto"/>
          <w:sz w:val="24"/>
          <w:highlight w:val="none"/>
        </w:rPr>
      </w:pPr>
      <w:r>
        <w:rPr>
          <w:rFonts w:hint="eastAsia" w:cs="宋体" w:asciiTheme="minorEastAsia" w:hAnsiTheme="minorEastAsia"/>
          <w:color w:val="auto"/>
          <w:sz w:val="24"/>
          <w:highlight w:val="none"/>
        </w:rPr>
        <w:t>（1）本项目对残疾人福利性单位视同小型、微型企业，给予20%的价格扣除，用扣除后的价格参与评审。</w:t>
      </w:r>
    </w:p>
    <w:p w14:paraId="05219EAF">
      <w:pPr>
        <w:adjustRightInd w:val="0"/>
        <w:spacing w:line="360" w:lineRule="auto"/>
        <w:ind w:firstLine="482"/>
        <w:rPr>
          <w:rFonts w:cs="宋体" w:asciiTheme="minorEastAsia" w:hAnsiTheme="minorEastAsia"/>
          <w:color w:val="auto"/>
          <w:sz w:val="24"/>
          <w:highlight w:val="none"/>
        </w:rPr>
      </w:pPr>
      <w:r>
        <w:rPr>
          <w:rFonts w:hint="eastAsia" w:cs="宋体" w:asciiTheme="minorEastAsia" w:hAnsiTheme="minorEastAsia"/>
          <w:color w:val="auto"/>
          <w:sz w:val="24"/>
          <w:highlight w:val="none"/>
        </w:rPr>
        <w:t>（2）残疾人福利单位需按照采购文件的要求提供《残疾人福利性单位声明函》。</w:t>
      </w:r>
    </w:p>
    <w:p w14:paraId="346C75A7">
      <w:pPr>
        <w:adjustRightInd w:val="0"/>
        <w:spacing w:line="360" w:lineRule="auto"/>
        <w:ind w:firstLine="482"/>
        <w:rPr>
          <w:rFonts w:cs="宋体" w:asciiTheme="minorEastAsia" w:hAnsiTheme="minorEastAsia"/>
          <w:color w:val="auto"/>
          <w:sz w:val="24"/>
          <w:highlight w:val="none"/>
        </w:rPr>
      </w:pPr>
      <w:r>
        <w:rPr>
          <w:rFonts w:hint="eastAsia" w:cs="宋体" w:asciiTheme="minorEastAsia" w:hAnsiTheme="minorEastAsia"/>
          <w:color w:val="auto"/>
          <w:sz w:val="24"/>
          <w:highlight w:val="none"/>
        </w:rPr>
        <w:t>（3）残疾人福利单位标准请参照《关于促进残疾人就业政府采购政策的通知》（财库〔2017〕141号）。</w:t>
      </w:r>
    </w:p>
    <w:p w14:paraId="1A35F345">
      <w:pPr>
        <w:adjustRightInd w:val="0"/>
        <w:spacing w:line="360" w:lineRule="auto"/>
        <w:ind w:firstLine="482"/>
        <w:rPr>
          <w:rFonts w:cs="宋体" w:asciiTheme="minorEastAsia" w:hAnsiTheme="minorEastAsia"/>
          <w:color w:val="auto"/>
          <w:sz w:val="24"/>
          <w:highlight w:val="none"/>
        </w:rPr>
      </w:pPr>
      <w:r>
        <w:rPr>
          <w:rFonts w:hint="eastAsia" w:cs="宋体" w:asciiTheme="minorEastAsia" w:hAnsiTheme="minorEastAsia"/>
          <w:color w:val="auto"/>
          <w:sz w:val="24"/>
          <w:highlight w:val="none"/>
        </w:rPr>
        <w:t>3、监狱和戒毒企业价格扣除（专门面向中小企业项目不适用）</w:t>
      </w:r>
    </w:p>
    <w:p w14:paraId="0630EBE9">
      <w:pPr>
        <w:adjustRightInd w:val="0"/>
        <w:spacing w:line="360" w:lineRule="auto"/>
        <w:ind w:firstLine="482"/>
        <w:rPr>
          <w:rFonts w:cs="宋体" w:asciiTheme="minorEastAsia" w:hAnsiTheme="minorEastAsia"/>
          <w:color w:val="auto"/>
          <w:sz w:val="24"/>
          <w:highlight w:val="none"/>
        </w:rPr>
      </w:pPr>
      <w:r>
        <w:rPr>
          <w:rFonts w:hint="eastAsia" w:cs="宋体" w:asciiTheme="minorEastAsia" w:hAnsiTheme="minorEastAsia"/>
          <w:color w:val="auto"/>
          <w:sz w:val="24"/>
          <w:highlight w:val="none"/>
        </w:rPr>
        <w:t>（1）本项目对监狱和戒毒企业（简称监狱企业）视同小型、微型企业，给予20%的价格扣除，用扣除后的价格参与评审。</w:t>
      </w:r>
    </w:p>
    <w:p w14:paraId="67AC5DCB">
      <w:pPr>
        <w:adjustRightInd w:val="0"/>
        <w:spacing w:line="360" w:lineRule="auto"/>
        <w:ind w:firstLine="482"/>
        <w:rPr>
          <w:rFonts w:cs="宋体" w:asciiTheme="minorEastAsia" w:hAnsiTheme="minorEastAsia"/>
          <w:color w:val="auto"/>
          <w:sz w:val="24"/>
          <w:highlight w:val="none"/>
        </w:rPr>
      </w:pPr>
      <w:r>
        <w:rPr>
          <w:rFonts w:hint="eastAsia" w:cs="宋体" w:asciiTheme="minorEastAsia" w:hAnsiTheme="minorEastAsia"/>
          <w:color w:val="auto"/>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31CE4CE5">
      <w:pPr>
        <w:adjustRightInd w:val="0"/>
        <w:spacing w:line="360" w:lineRule="auto"/>
        <w:ind w:firstLine="482"/>
        <w:rPr>
          <w:rFonts w:cs="宋体" w:asciiTheme="minorEastAsia" w:hAnsiTheme="minorEastAsia"/>
          <w:color w:val="auto"/>
          <w:sz w:val="24"/>
          <w:highlight w:val="none"/>
        </w:rPr>
      </w:pPr>
      <w:r>
        <w:rPr>
          <w:rFonts w:hint="eastAsia" w:cs="宋体" w:asciiTheme="minorEastAsia" w:hAnsiTheme="minorEastAsia"/>
          <w:color w:val="auto"/>
          <w:sz w:val="24"/>
          <w:highlight w:val="none"/>
        </w:rPr>
        <w:t>（3）监狱企业标准请参照《关于政府采购支持监狱企业发展有关问题的通知》（</w:t>
      </w:r>
      <w:r>
        <w:rPr>
          <w:rFonts w:cs="宋体" w:asciiTheme="minorEastAsia" w:hAnsiTheme="minorEastAsia"/>
          <w:color w:val="auto"/>
          <w:sz w:val="24"/>
          <w:highlight w:val="none"/>
        </w:rPr>
        <w:t>财库[2014]68号</w:t>
      </w:r>
      <w:r>
        <w:rPr>
          <w:rFonts w:hint="eastAsia" w:cs="宋体" w:asciiTheme="minorEastAsia" w:hAnsiTheme="minorEastAsia"/>
          <w:color w:val="auto"/>
          <w:sz w:val="24"/>
          <w:highlight w:val="none"/>
        </w:rPr>
        <w:t>）。</w:t>
      </w:r>
    </w:p>
    <w:p w14:paraId="32C3539D">
      <w:pPr>
        <w:adjustRightInd w:val="0"/>
        <w:spacing w:line="360" w:lineRule="auto"/>
        <w:ind w:firstLine="482"/>
        <w:rPr>
          <w:rFonts w:cs="宋体" w:asciiTheme="minorEastAsia" w:hAnsiTheme="minorEastAsia"/>
          <w:color w:val="auto"/>
          <w:sz w:val="24"/>
          <w:highlight w:val="none"/>
        </w:rPr>
      </w:pPr>
      <w:r>
        <w:rPr>
          <w:rFonts w:hint="eastAsia" w:cs="宋体" w:asciiTheme="minorEastAsia" w:hAnsiTheme="minorEastAsia"/>
          <w:color w:val="auto"/>
          <w:sz w:val="24"/>
          <w:highlight w:val="none"/>
        </w:rPr>
        <w:t>4、残疾人福利单位、监狱企业属于小型、微型企业的，不重复享受政策。</w:t>
      </w:r>
    </w:p>
    <w:p w14:paraId="5D4913CA">
      <w:pPr>
        <w:adjustRightInd w:val="0"/>
        <w:spacing w:line="360" w:lineRule="auto"/>
        <w:ind w:firstLine="482"/>
        <w:rPr>
          <w:rFonts w:cs="宋体" w:asciiTheme="minorEastAsia" w:hAnsiTheme="minorEastAsia"/>
          <w:color w:val="auto"/>
          <w:sz w:val="24"/>
          <w:highlight w:val="none"/>
        </w:rPr>
      </w:pPr>
      <w:r>
        <w:rPr>
          <w:rFonts w:hint="eastAsia" w:cs="宋体" w:asciiTheme="minorEastAsia" w:hAnsiTheme="minorEastAsia"/>
          <w:color w:val="auto"/>
          <w:sz w:val="24"/>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7B0227E1">
      <w:pPr>
        <w:adjustRightInd w:val="0"/>
        <w:spacing w:line="360" w:lineRule="auto"/>
        <w:ind w:firstLine="482"/>
        <w:rPr>
          <w:rFonts w:cs="宋体" w:asciiTheme="minorEastAsia" w:hAnsiTheme="minorEastAsia"/>
          <w:color w:val="auto"/>
          <w:sz w:val="24"/>
          <w:highlight w:val="none"/>
        </w:rPr>
      </w:pPr>
      <w:r>
        <w:rPr>
          <w:rFonts w:hint="eastAsia" w:cs="宋体" w:asciiTheme="minorEastAsia" w:hAnsiTheme="minorEastAsia"/>
          <w:color w:val="auto"/>
          <w:sz w:val="24"/>
          <w:highlight w:val="none"/>
        </w:rPr>
        <w:t>6、联合体各方均为小型、微型企业（残疾人福利单位、监狱企业）的，联合体享受20%价格扣除，用扣除后的价格参与评审。</w:t>
      </w:r>
    </w:p>
    <w:p w14:paraId="318AE001">
      <w:pPr>
        <w:keepNext w:val="0"/>
        <w:keepLines w:val="0"/>
        <w:pageBreakBefore w:val="0"/>
        <w:kinsoku/>
        <w:wordWrap/>
        <w:overflowPunct/>
        <w:topLinePunct w:val="0"/>
        <w:autoSpaceDE/>
        <w:autoSpaceDN/>
        <w:bidi w:val="0"/>
        <w:adjustRightInd/>
        <w:snapToGrid/>
        <w:spacing w:before="120" w:after="120" w:line="360" w:lineRule="auto"/>
        <w:ind w:firstLine="482" w:firstLineChars="200"/>
        <w:contextualSpacing/>
        <w:jc w:val="left"/>
        <w:textAlignment w:val="baseline"/>
        <w:rPr>
          <w:rFonts w:cs="Times New Roman" w:asciiTheme="minorEastAsia" w:hAnsiTheme="minorEastAsia"/>
          <w:b/>
          <w:color w:val="auto"/>
          <w:sz w:val="24"/>
          <w:szCs w:val="24"/>
          <w:highlight w:val="none"/>
        </w:rPr>
      </w:pPr>
      <w:r>
        <w:rPr>
          <w:rFonts w:hint="eastAsia" w:cs="Times New Roman" w:asciiTheme="minorEastAsia" w:hAnsiTheme="minorEastAsia"/>
          <w:b/>
          <w:color w:val="auto"/>
          <w:sz w:val="24"/>
          <w:szCs w:val="24"/>
          <w:highlight w:val="none"/>
        </w:rPr>
        <w:t>二、评标标准</w:t>
      </w:r>
    </w:p>
    <w:p w14:paraId="3FFBE340">
      <w:pPr>
        <w:keepNext w:val="0"/>
        <w:keepLines w:val="0"/>
        <w:pageBreakBefore w:val="0"/>
        <w:kinsoku/>
        <w:wordWrap/>
        <w:overflowPunct/>
        <w:topLinePunct w:val="0"/>
        <w:autoSpaceDE/>
        <w:autoSpaceDN/>
        <w:bidi w:val="0"/>
        <w:adjustRightInd/>
        <w:snapToGrid/>
        <w:spacing w:line="360" w:lineRule="auto"/>
        <w:ind w:firstLine="482" w:firstLineChars="200"/>
        <w:contextualSpacing/>
        <w:rPr>
          <w:rFonts w:asciiTheme="minorEastAsia" w:hAnsiTheme="minorEastAsia"/>
          <w:b/>
          <w:bCs/>
          <w:color w:val="auto"/>
          <w:sz w:val="24"/>
          <w:highlight w:val="none"/>
        </w:rPr>
      </w:pPr>
      <w:r>
        <w:rPr>
          <w:rFonts w:hint="eastAsia" w:asciiTheme="minorEastAsia" w:hAnsiTheme="minorEastAsia"/>
          <w:b/>
          <w:bCs/>
          <w:color w:val="auto"/>
          <w:sz w:val="24"/>
          <w:highlight w:val="none"/>
        </w:rPr>
        <w:t>1、</w:t>
      </w:r>
      <w:r>
        <w:rPr>
          <w:rFonts w:asciiTheme="minorEastAsia" w:hAnsiTheme="minorEastAsia"/>
          <w:b/>
          <w:bCs/>
          <w:color w:val="auto"/>
          <w:sz w:val="24"/>
          <w:highlight w:val="none"/>
        </w:rPr>
        <w:t>价格分：</w:t>
      </w:r>
      <w:r>
        <w:rPr>
          <w:rFonts w:hint="eastAsia" w:asciiTheme="minorEastAsia" w:hAnsiTheme="minorEastAsia"/>
          <w:b/>
          <w:bCs/>
          <w:color w:val="auto"/>
          <w:sz w:val="24"/>
          <w:highlight w:val="none"/>
        </w:rPr>
        <w:t>7</w:t>
      </w:r>
      <w:r>
        <w:rPr>
          <w:rFonts w:asciiTheme="minorEastAsia" w:hAnsiTheme="minorEastAsia"/>
          <w:b/>
          <w:bCs/>
          <w:color w:val="auto"/>
          <w:sz w:val="24"/>
          <w:highlight w:val="none"/>
        </w:rPr>
        <w:t>0分</w:t>
      </w:r>
    </w:p>
    <w:p w14:paraId="51F1B45B">
      <w:pPr>
        <w:keepNext w:val="0"/>
        <w:keepLines w:val="0"/>
        <w:pageBreakBefore w:val="0"/>
        <w:kinsoku/>
        <w:wordWrap/>
        <w:overflowPunct/>
        <w:topLinePunct w:val="0"/>
        <w:autoSpaceDE/>
        <w:autoSpaceDN/>
        <w:bidi w:val="0"/>
        <w:adjustRightInd/>
        <w:snapToGrid/>
        <w:spacing w:line="360" w:lineRule="auto"/>
        <w:ind w:firstLine="480" w:firstLineChars="200"/>
        <w:contextualSpacing/>
        <w:rPr>
          <w:rFonts w:cs="宋体" w:asciiTheme="minorEastAsia" w:hAnsiTheme="minorEastAsia"/>
          <w:color w:val="auto"/>
          <w:sz w:val="24"/>
          <w:highlight w:val="none"/>
        </w:rPr>
      </w:pPr>
      <w:r>
        <w:rPr>
          <w:rFonts w:cs="宋体" w:asciiTheme="minorEastAsia" w:hAnsiTheme="minorEastAsia"/>
          <w:color w:val="auto"/>
          <w:sz w:val="24"/>
          <w:highlight w:val="none"/>
        </w:rPr>
        <w:t>价格分统一采用低价优先法计算，即满足磋商文件要求且最后报价最低的供应商的价格为磋商基准价，其价格分为满分。其他供应商的价格分统一按照下列公式计算：</w:t>
      </w:r>
    </w:p>
    <w:p w14:paraId="2560E345">
      <w:pPr>
        <w:keepNext w:val="0"/>
        <w:keepLines w:val="0"/>
        <w:pageBreakBefore w:val="0"/>
        <w:kinsoku/>
        <w:wordWrap/>
        <w:overflowPunct/>
        <w:topLinePunct w:val="0"/>
        <w:autoSpaceDE/>
        <w:autoSpaceDN/>
        <w:bidi w:val="0"/>
        <w:adjustRightInd/>
        <w:snapToGrid/>
        <w:spacing w:line="360" w:lineRule="auto"/>
        <w:ind w:firstLine="480" w:firstLineChars="200"/>
        <w:contextualSpacing/>
        <w:rPr>
          <w:rFonts w:cs="宋体" w:asciiTheme="minorEastAsia" w:hAnsiTheme="minorEastAsia"/>
          <w:color w:val="auto"/>
          <w:sz w:val="24"/>
          <w:highlight w:val="none"/>
        </w:rPr>
      </w:pPr>
      <w:r>
        <w:rPr>
          <w:rFonts w:cs="宋体" w:asciiTheme="minorEastAsia" w:hAnsiTheme="minorEastAsia"/>
          <w:color w:val="auto"/>
          <w:sz w:val="24"/>
          <w:highlight w:val="none"/>
        </w:rPr>
        <w:t>磋商报价得分=（磋商基准价/最后磋商报价）×</w:t>
      </w:r>
      <w:r>
        <w:rPr>
          <w:rFonts w:hint="eastAsia" w:cs="宋体" w:asciiTheme="minorEastAsia" w:hAnsiTheme="minorEastAsia"/>
          <w:color w:val="auto"/>
          <w:sz w:val="24"/>
          <w:highlight w:val="none"/>
        </w:rPr>
        <w:t>价格权重</w:t>
      </w:r>
      <w:r>
        <w:rPr>
          <w:rFonts w:cs="宋体" w:asciiTheme="minorEastAsia" w:hAnsiTheme="minorEastAsia"/>
          <w:color w:val="auto"/>
          <w:sz w:val="24"/>
          <w:highlight w:val="none"/>
        </w:rPr>
        <w:t>×100</w:t>
      </w:r>
    </w:p>
    <w:p w14:paraId="2A5EE077">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b/>
          <w:color w:val="auto"/>
          <w:kern w:val="0"/>
          <w:sz w:val="24"/>
          <w:szCs w:val="24"/>
          <w:highlight w:val="none"/>
          <w:shd w:val="clear" w:color="auto" w:fill="auto"/>
        </w:rPr>
      </w:pPr>
      <w:r>
        <w:rPr>
          <w:rFonts w:hint="eastAsia" w:ascii="宋体" w:hAnsi="宋体" w:cs="宋体"/>
          <w:b/>
          <w:color w:val="auto"/>
          <w:kern w:val="0"/>
          <w:sz w:val="24"/>
          <w:szCs w:val="24"/>
          <w:highlight w:val="none"/>
          <w:shd w:val="clear" w:color="auto" w:fill="auto"/>
        </w:rPr>
        <w:t>2、针对投标价格合理性的评审</w:t>
      </w:r>
    </w:p>
    <w:p w14:paraId="4F085FDB">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rPr>
          <w:rFonts w:ascii="宋体" w:hAnsi="宋体" w:cs="宋体"/>
          <w:b/>
          <w:color w:val="auto"/>
          <w:sz w:val="24"/>
          <w:szCs w:val="24"/>
          <w:highlight w:val="none"/>
          <w:shd w:val="clear" w:color="auto" w:fill="auto"/>
        </w:rPr>
      </w:pPr>
      <w:r>
        <w:rPr>
          <w:rFonts w:hint="eastAsia" w:ascii="宋体" w:hAnsi="宋体" w:cs="宋体"/>
          <w:b/>
          <w:color w:val="auto"/>
          <w:sz w:val="24"/>
          <w:szCs w:val="24"/>
          <w:highlight w:val="none"/>
          <w:shd w:val="clear" w:color="auto" w:fill="auto"/>
        </w:rPr>
        <w:t>根据</w:t>
      </w:r>
      <w:r>
        <w:rPr>
          <w:rFonts w:hint="eastAsia" w:ascii="宋体" w:hAnsi="宋体" w:cs="宋体"/>
          <w:b/>
          <w:color w:val="auto"/>
          <w:sz w:val="24"/>
          <w:szCs w:val="24"/>
          <w:highlight w:val="none"/>
          <w:shd w:val="clear" w:color="auto" w:fill="auto"/>
          <w:lang w:eastAsia="zh-CN"/>
        </w:rPr>
        <w:t>《</w:t>
      </w:r>
      <w:r>
        <w:rPr>
          <w:rFonts w:hint="eastAsia" w:ascii="宋体" w:hAnsi="宋体" w:cs="宋体"/>
          <w:b/>
          <w:color w:val="auto"/>
          <w:sz w:val="24"/>
          <w:szCs w:val="24"/>
          <w:highlight w:val="none"/>
          <w:shd w:val="clear" w:color="auto" w:fill="auto"/>
          <w:lang w:val="en-US" w:eastAsia="zh-CN"/>
        </w:rPr>
        <w:t>财政部关于推动解决政府采购异常低价问题的通知</w:t>
      </w:r>
      <w:r>
        <w:rPr>
          <w:rFonts w:hint="eastAsia" w:ascii="宋体" w:hAnsi="宋体" w:cs="宋体"/>
          <w:b/>
          <w:color w:val="auto"/>
          <w:sz w:val="24"/>
          <w:szCs w:val="24"/>
          <w:highlight w:val="none"/>
          <w:shd w:val="clear" w:color="auto" w:fill="auto"/>
          <w:lang w:eastAsia="zh-CN"/>
        </w:rPr>
        <w:t>》（</w:t>
      </w:r>
      <w:r>
        <w:rPr>
          <w:rFonts w:hint="eastAsia" w:ascii="宋体" w:hAnsi="宋体" w:cs="宋体"/>
          <w:b/>
          <w:color w:val="auto"/>
          <w:sz w:val="24"/>
          <w:szCs w:val="24"/>
          <w:highlight w:val="none"/>
          <w:shd w:val="clear" w:color="auto" w:fill="auto"/>
        </w:rPr>
        <w:t>财库〔2026〕2号</w:t>
      </w:r>
      <w:r>
        <w:rPr>
          <w:rFonts w:hint="eastAsia" w:ascii="宋体" w:hAnsi="宋体" w:cs="宋体"/>
          <w:b/>
          <w:color w:val="auto"/>
          <w:sz w:val="24"/>
          <w:szCs w:val="24"/>
          <w:highlight w:val="none"/>
          <w:shd w:val="clear" w:color="auto" w:fill="auto"/>
          <w:lang w:eastAsia="zh-CN"/>
        </w:rPr>
        <w:t>）</w:t>
      </w:r>
      <w:r>
        <w:rPr>
          <w:rFonts w:hint="eastAsia" w:ascii="宋体" w:hAnsi="宋体" w:cs="宋体"/>
          <w:b/>
          <w:color w:val="auto"/>
          <w:sz w:val="24"/>
          <w:szCs w:val="24"/>
          <w:highlight w:val="none"/>
          <w:shd w:val="clear" w:color="auto" w:fill="auto"/>
        </w:rPr>
        <w:t>文件要求，出现下列情形之一的，评标委员会应当启动异常低价投标审查程序:</w:t>
      </w:r>
    </w:p>
    <w:p w14:paraId="0BD5CB2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imes New Roman" w:hAnsi="宋体" w:eastAsia="宋体" w:cs="宋体"/>
          <w:color w:val="auto"/>
          <w:sz w:val="24"/>
          <w:szCs w:val="24"/>
          <w:highlight w:val="none"/>
          <w:shd w:val="clear" w:color="auto" w:fill="auto"/>
          <w:lang w:val="en-US" w:eastAsia="zh-CN"/>
        </w:rPr>
      </w:pPr>
      <w:r>
        <w:rPr>
          <w:rFonts w:hint="eastAsia" w:hAnsi="宋体" w:eastAsia="宋体" w:cs="宋体"/>
          <w:color w:val="auto"/>
          <w:sz w:val="24"/>
          <w:szCs w:val="24"/>
          <w:highlight w:val="none"/>
          <w:shd w:val="clear" w:color="auto" w:fill="auto"/>
          <w:lang w:val="en-US" w:eastAsia="zh-CN"/>
        </w:rPr>
        <w:t>2.1.</w:t>
      </w:r>
      <w:r>
        <w:rPr>
          <w:rFonts w:hint="eastAsia" w:ascii="Times New Roman" w:hAnsi="宋体" w:eastAsia="宋体" w:cs="宋体"/>
          <w:color w:val="auto"/>
          <w:sz w:val="24"/>
          <w:szCs w:val="24"/>
          <w:highlight w:val="none"/>
          <w:shd w:val="clear" w:color="auto" w:fill="auto"/>
          <w:lang w:val="en-US" w:eastAsia="zh-CN"/>
        </w:rPr>
        <w:t>1投标（响应）报价低于全部通过符合性审查供应商投标（响应）报价平均值50%的，即投标（响应）报价&lt;全部通过符合性审查供应商投标（响应）报价平均值×50%；</w:t>
      </w:r>
    </w:p>
    <w:p w14:paraId="1ADE428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imes New Roman" w:hAnsi="宋体" w:eastAsia="宋体" w:cs="宋体"/>
          <w:color w:val="auto"/>
          <w:sz w:val="24"/>
          <w:szCs w:val="24"/>
          <w:highlight w:val="none"/>
          <w:shd w:val="clear" w:color="auto" w:fill="auto"/>
          <w:lang w:val="en-US" w:eastAsia="zh-CN"/>
        </w:rPr>
      </w:pPr>
      <w:r>
        <w:rPr>
          <w:rFonts w:hint="eastAsia" w:ascii="Times New Roman" w:hAnsi="宋体" w:eastAsia="宋体" w:cs="宋体"/>
          <w:color w:val="auto"/>
          <w:sz w:val="24"/>
          <w:szCs w:val="24"/>
          <w:highlight w:val="none"/>
          <w:shd w:val="clear" w:color="auto" w:fill="auto"/>
          <w:lang w:val="en-US" w:eastAsia="zh-CN"/>
        </w:rPr>
        <w:t>2.</w:t>
      </w:r>
      <w:r>
        <w:rPr>
          <w:rFonts w:hint="eastAsia" w:hAnsi="宋体" w:eastAsia="宋体" w:cs="宋体"/>
          <w:color w:val="auto"/>
          <w:sz w:val="24"/>
          <w:szCs w:val="24"/>
          <w:highlight w:val="none"/>
          <w:shd w:val="clear" w:color="auto" w:fill="auto"/>
          <w:lang w:val="en-US" w:eastAsia="zh-CN"/>
        </w:rPr>
        <w:t>1.2</w:t>
      </w:r>
      <w:r>
        <w:rPr>
          <w:rFonts w:hint="eastAsia" w:ascii="Times New Roman" w:hAnsi="宋体" w:eastAsia="宋体" w:cs="宋体"/>
          <w:color w:val="auto"/>
          <w:sz w:val="24"/>
          <w:szCs w:val="24"/>
          <w:highlight w:val="none"/>
          <w:shd w:val="clear" w:color="auto" w:fill="auto"/>
          <w:lang w:val="en-US" w:eastAsia="zh-CN"/>
        </w:rPr>
        <w:t>投标（响应）报价低于通过符合性审查的次低报价供应商投标（响应）报价50%的，即投标（响应）报价&lt;通过符合性审查的次低报价供应商投标（响应）报价×50%；</w:t>
      </w:r>
    </w:p>
    <w:p w14:paraId="5079E36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imes New Roman" w:hAnsi="宋体" w:eastAsia="宋体" w:cs="宋体"/>
          <w:color w:val="auto"/>
          <w:sz w:val="24"/>
          <w:szCs w:val="24"/>
          <w:highlight w:val="none"/>
          <w:shd w:val="clear" w:color="auto" w:fill="auto"/>
          <w:lang w:val="en-US" w:eastAsia="zh-CN"/>
        </w:rPr>
      </w:pPr>
      <w:r>
        <w:rPr>
          <w:rFonts w:hint="eastAsia" w:hAnsi="宋体" w:eastAsia="宋体" w:cs="宋体"/>
          <w:color w:val="auto"/>
          <w:sz w:val="24"/>
          <w:szCs w:val="24"/>
          <w:highlight w:val="none"/>
          <w:shd w:val="clear" w:color="auto" w:fill="auto"/>
          <w:lang w:val="en-US" w:eastAsia="zh-CN"/>
        </w:rPr>
        <w:t>2.1.</w:t>
      </w:r>
      <w:r>
        <w:rPr>
          <w:rFonts w:hint="eastAsia" w:ascii="Times New Roman" w:hAnsi="宋体" w:eastAsia="宋体" w:cs="宋体"/>
          <w:color w:val="auto"/>
          <w:sz w:val="24"/>
          <w:szCs w:val="24"/>
          <w:highlight w:val="none"/>
          <w:shd w:val="clear" w:color="auto" w:fill="auto"/>
          <w:lang w:val="en-US" w:eastAsia="zh-CN"/>
        </w:rPr>
        <w:t>3投标（响应）报价低于采购项目最高限价45%的，即投标（响应）报价&lt;采购项目最高限价×45%；</w:t>
      </w:r>
    </w:p>
    <w:p w14:paraId="574A294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imes New Roman" w:hAnsi="宋体" w:eastAsia="宋体" w:cs="宋体"/>
          <w:color w:val="auto"/>
          <w:sz w:val="24"/>
          <w:szCs w:val="24"/>
          <w:highlight w:val="none"/>
          <w:shd w:val="clear" w:color="auto" w:fill="auto"/>
          <w:lang w:val="en-US" w:eastAsia="zh-CN"/>
        </w:rPr>
      </w:pPr>
      <w:r>
        <w:rPr>
          <w:rFonts w:hint="eastAsia" w:hAnsi="宋体" w:eastAsia="宋体" w:cs="宋体"/>
          <w:color w:val="auto"/>
          <w:sz w:val="24"/>
          <w:szCs w:val="24"/>
          <w:highlight w:val="none"/>
          <w:shd w:val="clear" w:color="auto" w:fill="auto"/>
          <w:lang w:val="en-US" w:eastAsia="zh-CN"/>
        </w:rPr>
        <w:t>2.1.</w:t>
      </w:r>
      <w:r>
        <w:rPr>
          <w:rFonts w:hint="eastAsia" w:ascii="Times New Roman" w:hAnsi="宋体" w:eastAsia="宋体" w:cs="宋体"/>
          <w:color w:val="auto"/>
          <w:sz w:val="24"/>
          <w:szCs w:val="24"/>
          <w:highlight w:val="none"/>
          <w:shd w:val="clear" w:color="auto" w:fill="auto"/>
          <w:lang w:val="en-US" w:eastAsia="zh-CN"/>
        </w:rPr>
        <w:t>4评标委员会基于专业判断，认为供应商报价过低，有可能影响产品质量或者不能诚信履约的其他情形。</w:t>
      </w:r>
    </w:p>
    <w:p w14:paraId="6409DE4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imes New Roman" w:hAnsi="宋体" w:eastAsia="宋体" w:cs="宋体"/>
          <w:color w:val="auto"/>
          <w:sz w:val="24"/>
          <w:szCs w:val="24"/>
          <w:highlight w:val="none"/>
          <w:shd w:val="clear" w:color="auto" w:fill="auto"/>
          <w:lang w:val="en-US" w:eastAsia="zh-CN"/>
        </w:rPr>
      </w:pPr>
      <w:r>
        <w:rPr>
          <w:rFonts w:hint="eastAsia" w:hAnsi="宋体" w:eastAsia="宋体" w:cs="宋体"/>
          <w:color w:val="auto"/>
          <w:sz w:val="24"/>
          <w:szCs w:val="24"/>
          <w:highlight w:val="none"/>
          <w:shd w:val="clear" w:color="auto" w:fill="auto"/>
          <w:lang w:val="en-US" w:eastAsia="zh-CN"/>
        </w:rPr>
        <w:t>2.2</w:t>
      </w:r>
      <w:r>
        <w:rPr>
          <w:rFonts w:hint="eastAsia" w:ascii="Times New Roman" w:hAnsi="宋体" w:eastAsia="宋体" w:cs="宋体"/>
          <w:color w:val="auto"/>
          <w:sz w:val="24"/>
          <w:szCs w:val="24"/>
          <w:highlight w:val="none"/>
          <w:shd w:val="clear" w:color="auto" w:fill="auto"/>
          <w:lang w:val="en-US" w:eastAsia="zh-CN"/>
        </w:rPr>
        <w:t>启动异常低价投标（响应）审查后，属于前述第</w:t>
      </w:r>
      <w:r>
        <w:rPr>
          <w:rFonts w:hint="eastAsia" w:hAnsi="宋体" w:eastAsia="宋体" w:cs="宋体"/>
          <w:color w:val="auto"/>
          <w:sz w:val="24"/>
          <w:szCs w:val="24"/>
          <w:highlight w:val="none"/>
          <w:shd w:val="clear" w:color="auto" w:fill="auto"/>
          <w:lang w:val="en-US" w:eastAsia="zh-CN"/>
        </w:rPr>
        <w:t>2.1.</w:t>
      </w:r>
      <w:r>
        <w:rPr>
          <w:rFonts w:hint="eastAsia" w:ascii="Times New Roman" w:hAnsi="宋体" w:eastAsia="宋体" w:cs="宋体"/>
          <w:color w:val="auto"/>
          <w:sz w:val="24"/>
          <w:szCs w:val="24"/>
          <w:highlight w:val="none"/>
          <w:shd w:val="clear" w:color="auto" w:fill="auto"/>
          <w:lang w:val="en-US" w:eastAsia="zh-CN"/>
        </w:rPr>
        <w:t>1项至第</w:t>
      </w:r>
      <w:r>
        <w:rPr>
          <w:rFonts w:hint="eastAsia" w:hAnsi="宋体" w:eastAsia="宋体" w:cs="宋体"/>
          <w:color w:val="auto"/>
          <w:sz w:val="24"/>
          <w:szCs w:val="24"/>
          <w:highlight w:val="none"/>
          <w:shd w:val="clear" w:color="auto" w:fill="auto"/>
          <w:lang w:val="en-US" w:eastAsia="zh-CN"/>
        </w:rPr>
        <w:t>2.1.</w:t>
      </w:r>
      <w:r>
        <w:rPr>
          <w:rFonts w:hint="eastAsia" w:ascii="Times New Roman" w:hAnsi="宋体" w:eastAsia="宋体" w:cs="宋体"/>
          <w:color w:val="auto"/>
          <w:sz w:val="24"/>
          <w:szCs w:val="24"/>
          <w:highlight w:val="none"/>
          <w:shd w:val="clear" w:color="auto" w:fill="auto"/>
          <w:lang w:val="en-US" w:eastAsia="zh-CN"/>
        </w:rPr>
        <w:t>4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hAnsi="宋体" w:eastAsia="宋体" w:cs="宋体"/>
          <w:color w:val="auto"/>
          <w:sz w:val="24"/>
          <w:szCs w:val="24"/>
          <w:highlight w:val="none"/>
          <w:shd w:val="clear" w:color="auto" w:fill="auto"/>
          <w:lang w:val="en-US" w:eastAsia="zh-CN"/>
        </w:rPr>
        <w:t>2.1.</w:t>
      </w:r>
      <w:r>
        <w:rPr>
          <w:rFonts w:hint="eastAsia" w:ascii="Times New Roman" w:hAnsi="宋体" w:eastAsia="宋体" w:cs="宋体"/>
          <w:color w:val="auto"/>
          <w:sz w:val="24"/>
          <w:szCs w:val="24"/>
          <w:highlight w:val="none"/>
          <w:shd w:val="clear" w:color="auto" w:fill="auto"/>
          <w:lang w:val="en-US" w:eastAsia="zh-CN"/>
        </w:rPr>
        <w:t>3项情形，供应商已随投标（响应）文件一并提交相关书面说明及必要的证明材料的，在评审时可不再重复提交。</w:t>
      </w:r>
    </w:p>
    <w:p w14:paraId="05B62F0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imes New Roman" w:hAnsi="宋体" w:eastAsia="宋体" w:cs="宋体"/>
          <w:color w:val="auto"/>
          <w:sz w:val="24"/>
          <w:szCs w:val="24"/>
          <w:highlight w:val="none"/>
          <w:shd w:val="clear" w:color="auto" w:fill="auto"/>
          <w:lang w:val="en-US" w:eastAsia="zh-CN"/>
        </w:rPr>
      </w:pPr>
      <w:r>
        <w:rPr>
          <w:rFonts w:hint="eastAsia" w:ascii="Times New Roman" w:hAnsi="宋体" w:eastAsia="宋体" w:cs="宋体"/>
          <w:color w:val="auto"/>
          <w:sz w:val="24"/>
          <w:szCs w:val="24"/>
          <w:highlight w:val="none"/>
          <w:shd w:val="clear" w:color="auto" w:fill="auto"/>
          <w:lang w:val="en-US" w:eastAsia="zh-CN"/>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0DD5A0D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Times New Roman" w:hAnsi="宋体" w:eastAsia="宋体" w:cs="宋体"/>
          <w:color w:val="auto"/>
          <w:sz w:val="24"/>
          <w:szCs w:val="24"/>
          <w:highlight w:val="none"/>
          <w:shd w:val="clear" w:color="auto" w:fill="auto"/>
          <w:lang w:val="en-US" w:eastAsia="zh-CN"/>
        </w:rPr>
      </w:pPr>
      <w:r>
        <w:rPr>
          <w:rFonts w:hint="eastAsia" w:ascii="Times New Roman" w:hAnsi="宋体" w:eastAsia="宋体" w:cs="宋体"/>
          <w:color w:val="auto"/>
          <w:sz w:val="24"/>
          <w:szCs w:val="24"/>
          <w:highlight w:val="none"/>
          <w:shd w:val="clear" w:color="auto" w:fill="auto"/>
          <w:lang w:val="en-US" w:eastAsia="zh-CN"/>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4C8BCE09">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Times New Roman" w:hAnsi="宋体" w:eastAsia="宋体" w:cs="宋体"/>
          <w:color w:val="auto"/>
          <w:sz w:val="24"/>
          <w:szCs w:val="24"/>
          <w:highlight w:val="none"/>
          <w:shd w:val="clear" w:color="auto" w:fill="auto"/>
          <w:lang w:val="en-US" w:eastAsia="zh-CN"/>
        </w:rPr>
      </w:pPr>
      <w:r>
        <w:rPr>
          <w:rFonts w:hint="eastAsia" w:ascii="Times New Roman" w:hAnsi="宋体" w:eastAsia="宋体" w:cs="宋体"/>
          <w:color w:val="auto"/>
          <w:sz w:val="24"/>
          <w:szCs w:val="24"/>
          <w:highlight w:val="none"/>
          <w:shd w:val="clear" w:color="auto" w:fill="auto"/>
          <w:lang w:val="en-US" w:eastAsia="zh-CN"/>
        </w:rPr>
        <w:t>异常低价投标（响应）审查的启动原因、审查意见和审查结果应当在评审报告中记录，并随供应商提供的相关书面说明及证明材料，以及评标委员会有关互联网浏览、查询历史一并归档。</w:t>
      </w:r>
    </w:p>
    <w:p w14:paraId="67C8056A">
      <w:pPr>
        <w:spacing w:line="360" w:lineRule="auto"/>
        <w:ind w:firstLine="480"/>
        <w:rPr>
          <w:rFonts w:cs="宋体" w:asciiTheme="minorEastAsia" w:hAnsiTheme="minorEastAsia"/>
          <w:b/>
          <w:color w:val="auto"/>
          <w:kern w:val="0"/>
          <w:sz w:val="24"/>
          <w:szCs w:val="24"/>
          <w:highlight w:val="none"/>
        </w:rPr>
      </w:pPr>
      <w:r>
        <w:rPr>
          <w:rFonts w:hint="eastAsia" w:asciiTheme="minorEastAsia" w:hAnsiTheme="minorEastAsia"/>
          <w:b/>
          <w:bCs/>
          <w:color w:val="auto"/>
          <w:sz w:val="24"/>
          <w:highlight w:val="none"/>
          <w:lang w:val="en-US" w:eastAsia="zh-CN"/>
        </w:rPr>
        <w:t>3</w:t>
      </w:r>
      <w:r>
        <w:rPr>
          <w:rFonts w:hint="eastAsia" w:asciiTheme="minorEastAsia" w:hAnsiTheme="minorEastAsia"/>
          <w:b/>
          <w:bCs/>
          <w:color w:val="auto"/>
          <w:sz w:val="24"/>
          <w:highlight w:val="none"/>
        </w:rPr>
        <w:t>、</w:t>
      </w:r>
      <w:r>
        <w:rPr>
          <w:rFonts w:hint="eastAsia" w:cs="宋体" w:asciiTheme="minorEastAsia" w:hAnsiTheme="minorEastAsia"/>
          <w:b/>
          <w:color w:val="auto"/>
          <w:kern w:val="0"/>
          <w:sz w:val="24"/>
          <w:szCs w:val="24"/>
          <w:highlight w:val="none"/>
        </w:rPr>
        <w:t xml:space="preserve">商务技术分（30分） </w:t>
      </w:r>
    </w:p>
    <w:p w14:paraId="24DF7736">
      <w:pPr>
        <w:spacing w:line="360" w:lineRule="auto"/>
        <w:ind w:firstLine="482"/>
        <w:rPr>
          <w:rFonts w:cs="宋体" w:asciiTheme="minorEastAsia" w:hAnsiTheme="minorEastAsia"/>
          <w:color w:val="auto"/>
          <w:kern w:val="0"/>
          <w:sz w:val="24"/>
          <w:szCs w:val="24"/>
          <w:highlight w:val="none"/>
        </w:rPr>
      </w:pPr>
      <w:r>
        <w:rPr>
          <w:rFonts w:cs="宋体" w:asciiTheme="minorEastAsia" w:hAnsiTheme="minorEastAsia"/>
          <w:color w:val="auto"/>
          <w:kern w:val="0"/>
          <w:sz w:val="24"/>
          <w:szCs w:val="24"/>
          <w:highlight w:val="none"/>
        </w:rPr>
        <w:t>各投标人得分为评委会成员评分的算术平均分，分值保留小数点后两位。</w:t>
      </w:r>
    </w:p>
    <w:tbl>
      <w:tblPr>
        <w:tblStyle w:val="23"/>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1418"/>
        <w:gridCol w:w="6520"/>
        <w:gridCol w:w="709"/>
      </w:tblGrid>
      <w:tr w14:paraId="59D3B0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blHeader/>
        </w:trPr>
        <w:tc>
          <w:tcPr>
            <w:tcW w:w="817" w:type="dxa"/>
            <w:tcBorders>
              <w:top w:val="single" w:color="auto" w:sz="4" w:space="0"/>
              <w:left w:val="single" w:color="auto" w:sz="4" w:space="0"/>
              <w:bottom w:val="single" w:color="auto" w:sz="4" w:space="0"/>
              <w:right w:val="single" w:color="auto" w:sz="4" w:space="0"/>
            </w:tcBorders>
            <w:noWrap/>
            <w:vAlign w:val="center"/>
          </w:tcPr>
          <w:p w14:paraId="25F60E53">
            <w:pPr>
              <w:adjustRightInd w:val="0"/>
              <w:jc w:val="center"/>
              <w:textAlignment w:val="baseline"/>
              <w:rPr>
                <w:rFonts w:ascii="宋体" w:hAnsi="宋体" w:cs="方正仿宋_GB2312"/>
                <w:b/>
                <w:bCs/>
                <w:color w:val="auto"/>
                <w:sz w:val="22"/>
                <w:highlight w:val="none"/>
              </w:rPr>
            </w:pPr>
            <w:r>
              <w:rPr>
                <w:rFonts w:hint="eastAsia" w:ascii="宋体" w:hAnsi="宋体" w:cs="方正仿宋_GB2312"/>
                <w:b/>
                <w:bCs/>
                <w:color w:val="auto"/>
                <w:sz w:val="22"/>
                <w:highlight w:val="none"/>
              </w:rPr>
              <w:t>序号</w:t>
            </w:r>
          </w:p>
        </w:tc>
        <w:tc>
          <w:tcPr>
            <w:tcW w:w="1418" w:type="dxa"/>
            <w:tcBorders>
              <w:top w:val="single" w:color="auto" w:sz="4" w:space="0"/>
              <w:left w:val="single" w:color="auto" w:sz="4" w:space="0"/>
              <w:bottom w:val="single" w:color="auto" w:sz="4" w:space="0"/>
              <w:right w:val="single" w:color="auto" w:sz="4" w:space="0"/>
            </w:tcBorders>
            <w:noWrap/>
            <w:vAlign w:val="center"/>
          </w:tcPr>
          <w:p w14:paraId="6B8AB4CE">
            <w:pPr>
              <w:adjustRightInd w:val="0"/>
              <w:jc w:val="center"/>
              <w:textAlignment w:val="baseline"/>
              <w:rPr>
                <w:rFonts w:ascii="宋体" w:hAnsi="宋体" w:cs="方正仿宋_GB2312"/>
                <w:b/>
                <w:bCs/>
                <w:color w:val="auto"/>
                <w:sz w:val="22"/>
                <w:highlight w:val="none"/>
              </w:rPr>
            </w:pPr>
            <w:r>
              <w:rPr>
                <w:rFonts w:hint="eastAsia" w:ascii="宋体" w:hAnsi="宋体" w:cs="方正仿宋_GB2312"/>
                <w:b/>
                <w:bCs/>
                <w:color w:val="auto"/>
                <w:sz w:val="22"/>
                <w:highlight w:val="none"/>
              </w:rPr>
              <w:t>评分点名称</w:t>
            </w:r>
          </w:p>
        </w:tc>
        <w:tc>
          <w:tcPr>
            <w:tcW w:w="6520" w:type="dxa"/>
            <w:tcBorders>
              <w:top w:val="single" w:color="auto" w:sz="4" w:space="0"/>
              <w:left w:val="single" w:color="auto" w:sz="4" w:space="0"/>
              <w:bottom w:val="single" w:color="auto" w:sz="4" w:space="0"/>
              <w:right w:val="single" w:color="auto" w:sz="4" w:space="0"/>
            </w:tcBorders>
            <w:noWrap/>
            <w:vAlign w:val="center"/>
          </w:tcPr>
          <w:p w14:paraId="3061AC86">
            <w:pPr>
              <w:adjustRightInd w:val="0"/>
              <w:jc w:val="center"/>
              <w:textAlignment w:val="baseline"/>
              <w:rPr>
                <w:rFonts w:ascii="宋体" w:hAnsi="宋体" w:cs="方正仿宋_GB2312"/>
                <w:b/>
                <w:bCs/>
                <w:color w:val="auto"/>
                <w:sz w:val="22"/>
                <w:highlight w:val="none"/>
              </w:rPr>
            </w:pPr>
            <w:r>
              <w:rPr>
                <w:rFonts w:hint="eastAsia" w:ascii="宋体" w:hAnsi="宋体" w:cs="方正仿宋_GB2312"/>
                <w:b/>
                <w:bCs/>
                <w:color w:val="auto"/>
                <w:sz w:val="22"/>
                <w:highlight w:val="none"/>
              </w:rPr>
              <w:t>评审标准</w:t>
            </w:r>
          </w:p>
        </w:tc>
        <w:tc>
          <w:tcPr>
            <w:tcW w:w="709" w:type="dxa"/>
            <w:tcBorders>
              <w:top w:val="single" w:color="auto" w:sz="4" w:space="0"/>
              <w:left w:val="single" w:color="auto" w:sz="4" w:space="0"/>
              <w:bottom w:val="single" w:color="auto" w:sz="4" w:space="0"/>
              <w:right w:val="single" w:color="auto" w:sz="4" w:space="0"/>
            </w:tcBorders>
            <w:noWrap/>
            <w:vAlign w:val="center"/>
          </w:tcPr>
          <w:p w14:paraId="034A0B77">
            <w:pPr>
              <w:adjustRightInd w:val="0"/>
              <w:jc w:val="center"/>
              <w:textAlignment w:val="baseline"/>
              <w:rPr>
                <w:rFonts w:ascii="宋体" w:hAnsi="宋体" w:cs="方正仿宋_GB2312"/>
                <w:b/>
                <w:bCs/>
                <w:color w:val="auto"/>
                <w:sz w:val="22"/>
                <w:highlight w:val="none"/>
              </w:rPr>
            </w:pPr>
            <w:r>
              <w:rPr>
                <w:rFonts w:hint="eastAsia" w:ascii="宋体" w:hAnsi="宋体" w:cs="方正仿宋_GB2312"/>
                <w:b/>
                <w:bCs/>
                <w:color w:val="auto"/>
                <w:sz w:val="22"/>
                <w:highlight w:val="none"/>
              </w:rPr>
              <w:t>分值</w:t>
            </w:r>
          </w:p>
        </w:tc>
      </w:tr>
      <w:tr w14:paraId="7BEFC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ign w:val="center"/>
          </w:tcPr>
          <w:p w14:paraId="73D9AE6A">
            <w:pPr>
              <w:adjustRightInd w:val="0"/>
              <w:jc w:val="center"/>
              <w:textAlignment w:val="baseline"/>
              <w:rPr>
                <w:rFonts w:hint="eastAsia" w:ascii="宋体" w:hAnsi="宋体" w:eastAsia="宋体" w:cs="方正仿宋_GB2312"/>
                <w:color w:val="auto"/>
                <w:sz w:val="22"/>
                <w:highlight w:val="none"/>
                <w:lang w:val="en-US" w:eastAsia="zh-CN"/>
              </w:rPr>
            </w:pPr>
            <w:r>
              <w:rPr>
                <w:rFonts w:hint="eastAsia" w:ascii="宋体" w:hAnsi="宋体" w:eastAsia="宋体" w:cs="方正仿宋_GB2312"/>
                <w:color w:val="auto"/>
                <w:sz w:val="22"/>
                <w:highlight w:val="none"/>
                <w:lang w:val="en-US" w:eastAsia="zh-CN"/>
              </w:rPr>
              <w:t>1</w:t>
            </w:r>
          </w:p>
        </w:tc>
        <w:tc>
          <w:tcPr>
            <w:tcW w:w="1418" w:type="dxa"/>
            <w:tcBorders>
              <w:top w:val="single" w:color="auto" w:sz="4" w:space="0"/>
              <w:left w:val="single" w:color="auto" w:sz="4" w:space="0"/>
              <w:bottom w:val="single" w:color="auto" w:sz="4" w:space="0"/>
              <w:right w:val="single" w:color="auto" w:sz="4" w:space="0"/>
            </w:tcBorders>
            <w:noWrap/>
            <w:vAlign w:val="center"/>
          </w:tcPr>
          <w:p w14:paraId="47D0BBBE">
            <w:pPr>
              <w:widowControl/>
              <w:jc w:val="center"/>
              <w:rPr>
                <w:rFonts w:ascii="宋体" w:hAnsi="宋体" w:eastAsia="宋体" w:cs="方正仿宋_GB2312"/>
                <w:color w:val="auto"/>
                <w:kern w:val="0"/>
                <w:sz w:val="22"/>
                <w:highlight w:val="none"/>
              </w:rPr>
            </w:pPr>
            <w:r>
              <w:rPr>
                <w:rFonts w:hint="eastAsia" w:ascii="宋体" w:hAnsi="宋体" w:cs="方正仿宋_GB2312"/>
                <w:color w:val="auto"/>
                <w:kern w:val="0"/>
                <w:sz w:val="22"/>
                <w:highlight w:val="none"/>
              </w:rPr>
              <w:t>拟派项目组人员</w:t>
            </w:r>
          </w:p>
        </w:tc>
        <w:tc>
          <w:tcPr>
            <w:tcW w:w="6520" w:type="dxa"/>
            <w:tcBorders>
              <w:top w:val="single" w:color="auto" w:sz="4" w:space="0"/>
              <w:left w:val="single" w:color="auto" w:sz="4" w:space="0"/>
              <w:bottom w:val="single" w:color="auto" w:sz="4" w:space="0"/>
              <w:right w:val="single" w:color="auto" w:sz="4" w:space="0"/>
            </w:tcBorders>
            <w:noWrap/>
            <w:vAlign w:val="center"/>
          </w:tcPr>
          <w:p w14:paraId="79F9AC9D">
            <w:pPr>
              <w:widowControl/>
              <w:jc w:val="left"/>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1、项目负责人为投标单位正式员工，具备市政工程（或公路）二级及以上注册建造师资质（注册单位须与投标人一致），且取得安全考核合格证书（B类证），得</w:t>
            </w:r>
            <w:r>
              <w:rPr>
                <w:rFonts w:hint="eastAsia" w:ascii="宋体" w:hAnsi="宋体" w:eastAsia="宋体" w:cs="宋体"/>
                <w:color w:val="auto"/>
                <w:kern w:val="0"/>
                <w:sz w:val="22"/>
                <w:highlight w:val="none"/>
                <w:lang w:val="en-US" w:eastAsia="zh-CN"/>
              </w:rPr>
              <w:t>1.5</w:t>
            </w:r>
            <w:r>
              <w:rPr>
                <w:rFonts w:hint="eastAsia" w:ascii="宋体" w:hAnsi="宋体" w:eastAsia="宋体" w:cs="宋体"/>
                <w:color w:val="auto"/>
                <w:kern w:val="0"/>
                <w:sz w:val="22"/>
                <w:highlight w:val="none"/>
              </w:rPr>
              <w:t>分</w:t>
            </w:r>
            <w:r>
              <w:rPr>
                <w:rFonts w:hint="eastAsia" w:ascii="宋体" w:hAnsi="宋体" w:cs="宋体"/>
                <w:color w:val="auto"/>
                <w:kern w:val="0"/>
                <w:sz w:val="22"/>
                <w:highlight w:val="none"/>
              </w:rPr>
              <w:t>。注：须</w:t>
            </w:r>
            <w:r>
              <w:rPr>
                <w:rFonts w:hint="eastAsia" w:ascii="宋体" w:hAnsi="宋体" w:eastAsia="宋体" w:cs="宋体"/>
                <w:color w:val="auto"/>
                <w:kern w:val="0"/>
                <w:sz w:val="22"/>
                <w:highlight w:val="none"/>
              </w:rPr>
              <w:t>提供拟派项目负责人的注册建造师证书、安全考核合格证书（B类）、投标企业为其缴纳的202</w:t>
            </w:r>
            <w:r>
              <w:rPr>
                <w:rFonts w:hint="eastAsia" w:ascii="宋体" w:hAnsi="宋体" w:eastAsia="宋体" w:cs="宋体"/>
                <w:color w:val="auto"/>
                <w:kern w:val="0"/>
                <w:sz w:val="22"/>
                <w:highlight w:val="none"/>
                <w:lang w:val="en-US" w:eastAsia="zh-CN"/>
              </w:rPr>
              <w:t>5</w:t>
            </w:r>
            <w:r>
              <w:rPr>
                <w:rFonts w:hint="eastAsia" w:ascii="宋体" w:hAnsi="宋体" w:eastAsia="宋体" w:cs="宋体"/>
                <w:color w:val="auto"/>
                <w:kern w:val="0"/>
                <w:sz w:val="22"/>
                <w:highlight w:val="none"/>
              </w:rPr>
              <w:t>年</w:t>
            </w:r>
            <w:r>
              <w:rPr>
                <w:rFonts w:hint="eastAsia" w:ascii="宋体" w:hAnsi="宋体" w:eastAsia="宋体" w:cs="宋体"/>
                <w:color w:val="auto"/>
                <w:kern w:val="0"/>
                <w:sz w:val="22"/>
                <w:highlight w:val="none"/>
                <w:lang w:val="en-US" w:eastAsia="zh-CN"/>
              </w:rPr>
              <w:t>12</w:t>
            </w:r>
            <w:r>
              <w:rPr>
                <w:rFonts w:hint="eastAsia" w:ascii="宋体" w:hAnsi="宋体" w:eastAsia="宋体" w:cs="宋体"/>
                <w:color w:val="auto"/>
                <w:kern w:val="0"/>
                <w:sz w:val="22"/>
                <w:highlight w:val="none"/>
              </w:rPr>
              <w:t>月至202</w:t>
            </w:r>
            <w:r>
              <w:rPr>
                <w:rFonts w:hint="eastAsia" w:ascii="宋体" w:hAnsi="宋体" w:eastAsia="宋体" w:cs="宋体"/>
                <w:color w:val="auto"/>
                <w:kern w:val="0"/>
                <w:sz w:val="22"/>
                <w:highlight w:val="none"/>
                <w:lang w:val="en-US" w:eastAsia="zh-CN"/>
              </w:rPr>
              <w:t>6</w:t>
            </w:r>
            <w:r>
              <w:rPr>
                <w:rFonts w:hint="eastAsia" w:ascii="宋体" w:hAnsi="宋体" w:eastAsia="宋体" w:cs="宋体"/>
                <w:color w:val="auto"/>
                <w:kern w:val="0"/>
                <w:sz w:val="22"/>
                <w:highlight w:val="none"/>
              </w:rPr>
              <w:t>年</w:t>
            </w:r>
            <w:r>
              <w:rPr>
                <w:rFonts w:hint="eastAsia" w:ascii="宋体" w:hAnsi="宋体" w:eastAsia="宋体" w:cs="宋体"/>
                <w:color w:val="auto"/>
                <w:kern w:val="0"/>
                <w:sz w:val="22"/>
                <w:highlight w:val="none"/>
                <w:lang w:val="en-US" w:eastAsia="zh-CN"/>
              </w:rPr>
              <w:t>2</w:t>
            </w:r>
            <w:r>
              <w:rPr>
                <w:rFonts w:hint="eastAsia" w:ascii="宋体" w:hAnsi="宋体" w:eastAsia="宋体" w:cs="宋体"/>
                <w:color w:val="auto"/>
                <w:kern w:val="0"/>
                <w:sz w:val="22"/>
                <w:highlight w:val="none"/>
              </w:rPr>
              <w:t>月的任意一个月社保证明，否则不得分。</w:t>
            </w:r>
          </w:p>
          <w:p w14:paraId="02D2AD1D">
            <w:pPr>
              <w:widowControl/>
              <w:jc w:val="left"/>
              <w:rPr>
                <w:rFonts w:ascii="宋体" w:hAnsi="宋体" w:eastAsia="宋体" w:cs="宋体"/>
                <w:color w:val="auto"/>
                <w:kern w:val="0"/>
                <w:sz w:val="22"/>
                <w:highlight w:val="none"/>
              </w:rPr>
            </w:pPr>
            <w:r>
              <w:rPr>
                <w:rFonts w:hint="eastAsia" w:ascii="宋体" w:hAnsi="宋体" w:eastAsia="宋体" w:cs="宋体"/>
                <w:color w:val="auto"/>
                <w:kern w:val="0"/>
                <w:sz w:val="22"/>
                <w:highlight w:val="none"/>
              </w:rPr>
              <w:t>2、投标人须拟派专职安全生产管理人员，具备安全生产考核C证，持证上岗</w:t>
            </w:r>
            <w:r>
              <w:rPr>
                <w:rFonts w:hint="eastAsia" w:ascii="宋体" w:hAnsi="宋体" w:eastAsia="宋体" w:cs="宋体"/>
                <w:color w:val="auto"/>
                <w:kern w:val="0"/>
                <w:sz w:val="22"/>
                <w:highlight w:val="none"/>
                <w:lang w:eastAsia="zh-CN"/>
              </w:rPr>
              <w:t>，</w:t>
            </w:r>
            <w:r>
              <w:rPr>
                <w:rFonts w:hint="eastAsia" w:ascii="宋体" w:hAnsi="宋体" w:eastAsia="宋体" w:cs="宋体"/>
                <w:color w:val="auto"/>
                <w:kern w:val="0"/>
                <w:sz w:val="22"/>
                <w:highlight w:val="none"/>
              </w:rPr>
              <w:t>得1</w:t>
            </w:r>
            <w:r>
              <w:rPr>
                <w:rFonts w:hint="eastAsia" w:ascii="宋体" w:hAnsi="宋体" w:eastAsia="宋体" w:cs="宋体"/>
                <w:color w:val="auto"/>
                <w:kern w:val="0"/>
                <w:sz w:val="22"/>
                <w:highlight w:val="none"/>
                <w:lang w:val="en-US" w:eastAsia="zh-CN"/>
              </w:rPr>
              <w:t>.5</w:t>
            </w:r>
            <w:r>
              <w:rPr>
                <w:rFonts w:hint="eastAsia" w:ascii="宋体" w:hAnsi="宋体" w:eastAsia="宋体" w:cs="宋体"/>
                <w:color w:val="auto"/>
                <w:kern w:val="0"/>
                <w:sz w:val="22"/>
                <w:highlight w:val="none"/>
              </w:rPr>
              <w:t>分，否则不得分。注：须</w:t>
            </w:r>
            <w:r>
              <w:rPr>
                <w:rFonts w:hint="eastAsia" w:ascii="宋体" w:hAnsi="宋体" w:eastAsia="宋体" w:cs="宋体"/>
                <w:color w:val="auto"/>
                <w:kern w:val="0"/>
                <w:sz w:val="22"/>
                <w:highlight w:val="none"/>
              </w:rPr>
              <w:t>提供相关人员证书原件扫描件及投标企业为其缴纳的202</w:t>
            </w:r>
            <w:r>
              <w:rPr>
                <w:rFonts w:hint="eastAsia" w:ascii="宋体" w:hAnsi="宋体" w:eastAsia="宋体" w:cs="宋体"/>
                <w:color w:val="auto"/>
                <w:kern w:val="0"/>
                <w:sz w:val="22"/>
                <w:highlight w:val="none"/>
                <w:lang w:val="en-US" w:eastAsia="zh-CN"/>
              </w:rPr>
              <w:t>5</w:t>
            </w:r>
            <w:r>
              <w:rPr>
                <w:rFonts w:hint="eastAsia" w:ascii="宋体" w:hAnsi="宋体" w:eastAsia="宋体" w:cs="宋体"/>
                <w:color w:val="auto"/>
                <w:kern w:val="0"/>
                <w:sz w:val="22"/>
                <w:highlight w:val="none"/>
              </w:rPr>
              <w:t>年</w:t>
            </w:r>
            <w:r>
              <w:rPr>
                <w:rFonts w:hint="eastAsia" w:ascii="宋体" w:hAnsi="宋体" w:eastAsia="宋体" w:cs="宋体"/>
                <w:color w:val="auto"/>
                <w:kern w:val="0"/>
                <w:sz w:val="22"/>
                <w:highlight w:val="none"/>
                <w:lang w:val="en-US" w:eastAsia="zh-CN"/>
              </w:rPr>
              <w:t>12</w:t>
            </w:r>
            <w:r>
              <w:rPr>
                <w:rFonts w:hint="eastAsia" w:ascii="宋体" w:hAnsi="宋体" w:eastAsia="宋体" w:cs="宋体"/>
                <w:color w:val="auto"/>
                <w:kern w:val="0"/>
                <w:sz w:val="22"/>
                <w:highlight w:val="none"/>
              </w:rPr>
              <w:t>月至202</w:t>
            </w:r>
            <w:r>
              <w:rPr>
                <w:rFonts w:hint="eastAsia" w:ascii="宋体" w:hAnsi="宋体" w:eastAsia="宋体" w:cs="宋体"/>
                <w:color w:val="auto"/>
                <w:kern w:val="0"/>
                <w:sz w:val="22"/>
                <w:highlight w:val="none"/>
                <w:lang w:val="en-US" w:eastAsia="zh-CN"/>
              </w:rPr>
              <w:t>6</w:t>
            </w:r>
            <w:r>
              <w:rPr>
                <w:rFonts w:hint="eastAsia" w:ascii="宋体" w:hAnsi="宋体" w:eastAsia="宋体" w:cs="宋体"/>
                <w:color w:val="auto"/>
                <w:kern w:val="0"/>
                <w:sz w:val="22"/>
                <w:highlight w:val="none"/>
              </w:rPr>
              <w:t>年</w:t>
            </w:r>
            <w:r>
              <w:rPr>
                <w:rFonts w:hint="eastAsia" w:ascii="宋体" w:hAnsi="宋体" w:eastAsia="宋体" w:cs="宋体"/>
                <w:color w:val="auto"/>
                <w:kern w:val="0"/>
                <w:sz w:val="22"/>
                <w:highlight w:val="none"/>
                <w:lang w:val="en-US" w:eastAsia="zh-CN"/>
              </w:rPr>
              <w:t>2</w:t>
            </w:r>
            <w:r>
              <w:rPr>
                <w:rFonts w:hint="eastAsia" w:ascii="宋体" w:hAnsi="宋体" w:eastAsia="宋体" w:cs="宋体"/>
                <w:color w:val="auto"/>
                <w:kern w:val="0"/>
                <w:sz w:val="22"/>
                <w:highlight w:val="none"/>
              </w:rPr>
              <w:t>月任意一个月的社保证明，否则不得分</w:t>
            </w:r>
            <w:r>
              <w:rPr>
                <w:rFonts w:hint="eastAsia" w:ascii="宋体" w:hAnsi="宋体" w:eastAsia="宋体" w:cs="宋体"/>
                <w:color w:val="auto"/>
                <w:kern w:val="0"/>
                <w:sz w:val="22"/>
                <w:highlight w:val="none"/>
              </w:rPr>
              <w:t>。</w:t>
            </w:r>
          </w:p>
        </w:tc>
        <w:tc>
          <w:tcPr>
            <w:tcW w:w="709" w:type="dxa"/>
            <w:tcBorders>
              <w:top w:val="single" w:color="auto" w:sz="4" w:space="0"/>
              <w:left w:val="single" w:color="auto" w:sz="4" w:space="0"/>
              <w:bottom w:val="single" w:color="auto" w:sz="4" w:space="0"/>
              <w:right w:val="single" w:color="auto" w:sz="4" w:space="0"/>
            </w:tcBorders>
            <w:noWrap/>
            <w:vAlign w:val="center"/>
          </w:tcPr>
          <w:p w14:paraId="5BFECA7F">
            <w:pPr>
              <w:adjustRightInd w:val="0"/>
              <w:jc w:val="center"/>
              <w:textAlignment w:val="baseline"/>
              <w:rPr>
                <w:rFonts w:hint="eastAsia" w:ascii="宋体" w:hAnsi="宋体" w:cs="方正仿宋_GB2312" w:eastAsiaTheme="minorEastAsia"/>
                <w:color w:val="auto"/>
                <w:sz w:val="22"/>
                <w:highlight w:val="none"/>
                <w:lang w:val="en-US" w:eastAsia="zh-CN"/>
              </w:rPr>
            </w:pPr>
            <w:r>
              <w:rPr>
                <w:rFonts w:hint="eastAsia" w:ascii="宋体" w:hAnsi="宋体" w:cs="方正仿宋_GB2312"/>
                <w:color w:val="auto"/>
                <w:sz w:val="22"/>
                <w:highlight w:val="none"/>
                <w:lang w:val="en-US" w:eastAsia="zh-CN"/>
              </w:rPr>
              <w:t>3</w:t>
            </w:r>
          </w:p>
        </w:tc>
      </w:tr>
      <w:tr w14:paraId="0406A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6" w:hRule="atLeast"/>
        </w:trPr>
        <w:tc>
          <w:tcPr>
            <w:tcW w:w="817" w:type="dxa"/>
            <w:tcBorders>
              <w:top w:val="single" w:color="auto" w:sz="4" w:space="0"/>
              <w:left w:val="single" w:color="auto" w:sz="4" w:space="0"/>
              <w:bottom w:val="single" w:color="auto" w:sz="4" w:space="0"/>
              <w:right w:val="single" w:color="auto" w:sz="4" w:space="0"/>
            </w:tcBorders>
            <w:noWrap/>
            <w:vAlign w:val="center"/>
          </w:tcPr>
          <w:p w14:paraId="2ADBB966">
            <w:pPr>
              <w:adjustRightInd w:val="0"/>
              <w:jc w:val="center"/>
              <w:textAlignment w:val="baseline"/>
              <w:rPr>
                <w:rFonts w:hint="eastAsia" w:ascii="宋体" w:hAnsi="宋体" w:cs="方正仿宋_GB2312" w:eastAsiaTheme="minorEastAsia"/>
                <w:color w:val="auto"/>
                <w:sz w:val="22"/>
                <w:highlight w:val="none"/>
                <w:lang w:val="en-US" w:eastAsia="zh-CN"/>
              </w:rPr>
            </w:pPr>
            <w:r>
              <w:rPr>
                <w:rFonts w:hint="eastAsia" w:ascii="宋体" w:hAnsi="宋体" w:cs="方正仿宋_GB2312"/>
                <w:color w:val="auto"/>
                <w:sz w:val="22"/>
                <w:highlight w:val="none"/>
                <w:lang w:val="en-US" w:eastAsia="zh-CN"/>
              </w:rPr>
              <w:t>2</w:t>
            </w:r>
          </w:p>
        </w:tc>
        <w:tc>
          <w:tcPr>
            <w:tcW w:w="1418" w:type="dxa"/>
            <w:tcBorders>
              <w:top w:val="single" w:color="auto" w:sz="4" w:space="0"/>
              <w:left w:val="single" w:color="auto" w:sz="4" w:space="0"/>
              <w:bottom w:val="single" w:color="auto" w:sz="4" w:space="0"/>
              <w:right w:val="single" w:color="auto" w:sz="4" w:space="0"/>
            </w:tcBorders>
            <w:noWrap/>
            <w:vAlign w:val="center"/>
          </w:tcPr>
          <w:p w14:paraId="7C4884B0">
            <w:pPr>
              <w:adjustRightInd w:val="0"/>
              <w:jc w:val="center"/>
              <w:textAlignment w:val="baseline"/>
              <w:rPr>
                <w:rFonts w:ascii="宋体" w:hAnsi="宋体" w:cs="方正仿宋_GB2312"/>
                <w:color w:val="auto"/>
                <w:kern w:val="0"/>
                <w:sz w:val="22"/>
                <w:highlight w:val="none"/>
              </w:rPr>
            </w:pPr>
            <w:r>
              <w:rPr>
                <w:rFonts w:hint="eastAsia" w:ascii="宋体" w:hAnsi="宋体" w:cs="方正仿宋_GB2312"/>
                <w:color w:val="auto"/>
                <w:kern w:val="0"/>
                <w:sz w:val="22"/>
                <w:highlight w:val="none"/>
              </w:rPr>
              <w:t>施工配套设备</w:t>
            </w:r>
          </w:p>
        </w:tc>
        <w:tc>
          <w:tcPr>
            <w:tcW w:w="6520" w:type="dxa"/>
            <w:tcBorders>
              <w:top w:val="single" w:color="auto" w:sz="4" w:space="0"/>
              <w:left w:val="single" w:color="auto" w:sz="4" w:space="0"/>
              <w:bottom w:val="single" w:color="auto" w:sz="4" w:space="0"/>
              <w:right w:val="single" w:color="auto" w:sz="4" w:space="0"/>
            </w:tcBorders>
            <w:noWrap/>
            <w:vAlign w:val="center"/>
          </w:tcPr>
          <w:p w14:paraId="069C52A4">
            <w:pPr>
              <w:widowControl/>
              <w:jc w:val="left"/>
              <w:rPr>
                <w:rFonts w:ascii="宋体" w:hAnsi="宋体" w:cs="方正仿宋_GB2312"/>
                <w:color w:val="auto"/>
                <w:kern w:val="0"/>
                <w:sz w:val="22"/>
                <w:highlight w:val="none"/>
              </w:rPr>
            </w:pPr>
            <w:r>
              <w:rPr>
                <w:rFonts w:hint="eastAsia" w:ascii="宋体" w:hAnsi="宋体" w:cs="方正仿宋_GB2312"/>
                <w:color w:val="auto"/>
                <w:kern w:val="0"/>
                <w:sz w:val="22"/>
                <w:highlight w:val="none"/>
              </w:rPr>
              <w:t>（1）投标人拥有钻孔设备2台，得</w:t>
            </w:r>
            <w:r>
              <w:rPr>
                <w:rFonts w:hint="eastAsia" w:ascii="宋体" w:hAnsi="宋体" w:cs="方正仿宋_GB2312"/>
                <w:color w:val="auto"/>
                <w:kern w:val="0"/>
                <w:sz w:val="22"/>
                <w:highlight w:val="none"/>
                <w:lang w:val="en-US" w:eastAsia="zh-CN"/>
              </w:rPr>
              <w:t>1</w:t>
            </w:r>
            <w:r>
              <w:rPr>
                <w:rFonts w:hint="eastAsia" w:ascii="宋体" w:hAnsi="宋体" w:cs="方正仿宋_GB2312"/>
                <w:color w:val="auto"/>
                <w:kern w:val="0"/>
                <w:sz w:val="22"/>
                <w:highlight w:val="none"/>
              </w:rPr>
              <w:t>分；每增加一台多得</w:t>
            </w:r>
            <w:r>
              <w:rPr>
                <w:rFonts w:hint="eastAsia" w:ascii="宋体" w:hAnsi="宋体" w:cs="方正仿宋_GB2312"/>
                <w:color w:val="auto"/>
                <w:kern w:val="0"/>
                <w:sz w:val="22"/>
                <w:highlight w:val="none"/>
                <w:lang w:val="en-US" w:eastAsia="zh-CN"/>
              </w:rPr>
              <w:t>1</w:t>
            </w:r>
            <w:r>
              <w:rPr>
                <w:rFonts w:hint="eastAsia" w:ascii="宋体" w:hAnsi="宋体" w:cs="方正仿宋_GB2312"/>
                <w:color w:val="auto"/>
                <w:kern w:val="0"/>
                <w:sz w:val="22"/>
                <w:highlight w:val="none"/>
              </w:rPr>
              <w:t>分，本项最多得</w:t>
            </w:r>
            <w:r>
              <w:rPr>
                <w:rFonts w:hint="eastAsia" w:ascii="宋体" w:hAnsi="宋体" w:cs="方正仿宋_GB2312"/>
                <w:color w:val="auto"/>
                <w:kern w:val="0"/>
                <w:sz w:val="22"/>
                <w:highlight w:val="none"/>
                <w:lang w:val="en-US" w:eastAsia="zh-CN"/>
              </w:rPr>
              <w:t>2</w:t>
            </w:r>
            <w:r>
              <w:rPr>
                <w:rFonts w:hint="eastAsia" w:ascii="宋体" w:hAnsi="宋体" w:cs="方正仿宋_GB2312"/>
                <w:color w:val="auto"/>
                <w:kern w:val="0"/>
                <w:sz w:val="22"/>
                <w:highlight w:val="none"/>
              </w:rPr>
              <w:t>分；</w:t>
            </w:r>
          </w:p>
          <w:p w14:paraId="44F3DE7C">
            <w:pPr>
              <w:widowControl/>
              <w:jc w:val="left"/>
              <w:rPr>
                <w:rFonts w:ascii="宋体" w:hAnsi="宋体" w:cs="方正仿宋_GB2312"/>
                <w:color w:val="auto"/>
                <w:kern w:val="0"/>
                <w:sz w:val="22"/>
                <w:highlight w:val="none"/>
              </w:rPr>
            </w:pPr>
            <w:r>
              <w:rPr>
                <w:rFonts w:hint="eastAsia" w:ascii="宋体" w:hAnsi="宋体" w:cs="方正仿宋_GB2312"/>
                <w:color w:val="auto"/>
                <w:kern w:val="0"/>
                <w:sz w:val="22"/>
                <w:highlight w:val="none"/>
              </w:rPr>
              <w:t>（2）投标人拥有注浆设备2台，得</w:t>
            </w:r>
            <w:r>
              <w:rPr>
                <w:rFonts w:hint="eastAsia" w:ascii="宋体" w:hAnsi="宋体" w:cs="方正仿宋_GB2312"/>
                <w:color w:val="auto"/>
                <w:kern w:val="0"/>
                <w:sz w:val="22"/>
                <w:highlight w:val="none"/>
                <w:lang w:val="en-US" w:eastAsia="zh-CN"/>
              </w:rPr>
              <w:t>1</w:t>
            </w:r>
            <w:r>
              <w:rPr>
                <w:rFonts w:hint="eastAsia" w:ascii="宋体" w:hAnsi="宋体" w:cs="方正仿宋_GB2312"/>
                <w:color w:val="auto"/>
                <w:kern w:val="0"/>
                <w:sz w:val="22"/>
                <w:highlight w:val="none"/>
              </w:rPr>
              <w:t>分；每增加一台多得</w:t>
            </w:r>
            <w:r>
              <w:rPr>
                <w:rFonts w:hint="eastAsia" w:ascii="宋体" w:hAnsi="宋体" w:cs="方正仿宋_GB2312"/>
                <w:color w:val="auto"/>
                <w:kern w:val="0"/>
                <w:sz w:val="22"/>
                <w:highlight w:val="none"/>
                <w:lang w:val="en-US" w:eastAsia="zh-CN"/>
              </w:rPr>
              <w:t>1</w:t>
            </w:r>
            <w:r>
              <w:rPr>
                <w:rFonts w:hint="eastAsia" w:ascii="宋体" w:hAnsi="宋体" w:cs="方正仿宋_GB2312"/>
                <w:color w:val="auto"/>
                <w:kern w:val="0"/>
                <w:sz w:val="22"/>
                <w:highlight w:val="none"/>
              </w:rPr>
              <w:t>分，本项最多得</w:t>
            </w:r>
            <w:r>
              <w:rPr>
                <w:rFonts w:hint="eastAsia" w:ascii="宋体" w:hAnsi="宋体" w:cs="方正仿宋_GB2312"/>
                <w:color w:val="auto"/>
                <w:kern w:val="0"/>
                <w:sz w:val="22"/>
                <w:highlight w:val="none"/>
                <w:lang w:val="en-US" w:eastAsia="zh-CN"/>
              </w:rPr>
              <w:t>2</w:t>
            </w:r>
            <w:r>
              <w:rPr>
                <w:rFonts w:hint="eastAsia" w:ascii="宋体" w:hAnsi="宋体" w:cs="方正仿宋_GB2312"/>
                <w:color w:val="auto"/>
                <w:kern w:val="0"/>
                <w:sz w:val="22"/>
                <w:highlight w:val="none"/>
              </w:rPr>
              <w:t>分；</w:t>
            </w:r>
          </w:p>
          <w:p w14:paraId="434B72AC">
            <w:pPr>
              <w:widowControl/>
              <w:jc w:val="left"/>
              <w:rPr>
                <w:rFonts w:hint="eastAsia" w:ascii="宋体" w:hAnsi="宋体" w:cs="方正仿宋_GB2312"/>
                <w:color w:val="auto"/>
                <w:kern w:val="0"/>
                <w:sz w:val="22"/>
                <w:highlight w:val="none"/>
              </w:rPr>
            </w:pPr>
            <w:r>
              <w:rPr>
                <w:rFonts w:hint="eastAsia" w:ascii="宋体" w:hAnsi="宋体" w:cs="方正仿宋_GB2312"/>
                <w:color w:val="auto"/>
                <w:kern w:val="0"/>
                <w:sz w:val="22"/>
                <w:highlight w:val="none"/>
              </w:rPr>
              <w:t>（3）投标人拥有道路管线探测设备</w:t>
            </w:r>
            <w:r>
              <w:rPr>
                <w:rFonts w:hint="eastAsia" w:ascii="宋体" w:hAnsi="宋体" w:cs="方正仿宋_GB2312"/>
                <w:color w:val="auto"/>
                <w:kern w:val="0"/>
                <w:sz w:val="22"/>
                <w:highlight w:val="none"/>
                <w:lang w:val="en-US" w:eastAsia="zh-CN"/>
              </w:rPr>
              <w:t>1</w:t>
            </w:r>
            <w:r>
              <w:rPr>
                <w:rFonts w:hint="eastAsia" w:ascii="宋体" w:hAnsi="宋体" w:cs="方正仿宋_GB2312"/>
                <w:color w:val="auto"/>
                <w:kern w:val="0"/>
                <w:sz w:val="22"/>
                <w:highlight w:val="none"/>
              </w:rPr>
              <w:t>台</w:t>
            </w:r>
            <w:r>
              <w:rPr>
                <w:rFonts w:hint="eastAsia" w:ascii="宋体" w:hAnsi="宋体" w:cs="方正仿宋_GB2312"/>
                <w:color w:val="auto"/>
                <w:kern w:val="0"/>
                <w:sz w:val="22"/>
                <w:highlight w:val="none"/>
                <w:lang w:eastAsia="zh-CN"/>
              </w:rPr>
              <w:t>，</w:t>
            </w:r>
            <w:r>
              <w:rPr>
                <w:rFonts w:hint="eastAsia" w:ascii="宋体" w:hAnsi="宋体" w:cs="方正仿宋_GB2312"/>
                <w:color w:val="auto"/>
                <w:kern w:val="0"/>
                <w:sz w:val="22"/>
                <w:highlight w:val="none"/>
              </w:rPr>
              <w:t>得</w:t>
            </w:r>
            <w:r>
              <w:rPr>
                <w:rFonts w:hint="eastAsia" w:ascii="宋体" w:hAnsi="宋体" w:cs="方正仿宋_GB2312"/>
                <w:color w:val="auto"/>
                <w:kern w:val="0"/>
                <w:sz w:val="22"/>
                <w:highlight w:val="none"/>
                <w:lang w:val="en-US" w:eastAsia="zh-CN"/>
              </w:rPr>
              <w:t>1</w:t>
            </w:r>
            <w:r>
              <w:rPr>
                <w:rFonts w:hint="eastAsia" w:ascii="宋体" w:hAnsi="宋体" w:cs="方正仿宋_GB2312"/>
                <w:color w:val="auto"/>
                <w:kern w:val="0"/>
                <w:sz w:val="22"/>
                <w:highlight w:val="none"/>
              </w:rPr>
              <w:t>分；每增加一台多得</w:t>
            </w:r>
            <w:r>
              <w:rPr>
                <w:rFonts w:hint="eastAsia" w:ascii="宋体" w:hAnsi="宋体" w:cs="方正仿宋_GB2312"/>
                <w:color w:val="auto"/>
                <w:kern w:val="0"/>
                <w:sz w:val="22"/>
                <w:highlight w:val="none"/>
                <w:lang w:val="en-US" w:eastAsia="zh-CN"/>
              </w:rPr>
              <w:t>1</w:t>
            </w:r>
            <w:r>
              <w:rPr>
                <w:rFonts w:hint="eastAsia" w:ascii="宋体" w:hAnsi="宋体" w:cs="方正仿宋_GB2312"/>
                <w:color w:val="auto"/>
                <w:kern w:val="0"/>
                <w:sz w:val="22"/>
                <w:highlight w:val="none"/>
              </w:rPr>
              <w:t>分，本项最多得</w:t>
            </w:r>
            <w:r>
              <w:rPr>
                <w:rFonts w:hint="eastAsia" w:ascii="宋体" w:hAnsi="宋体" w:cs="方正仿宋_GB2312"/>
                <w:color w:val="auto"/>
                <w:kern w:val="0"/>
                <w:sz w:val="22"/>
                <w:highlight w:val="none"/>
                <w:lang w:val="en-US" w:eastAsia="zh-CN"/>
              </w:rPr>
              <w:t>2</w:t>
            </w:r>
            <w:r>
              <w:rPr>
                <w:rFonts w:hint="eastAsia" w:ascii="宋体" w:hAnsi="宋体" w:cs="方正仿宋_GB2312"/>
                <w:color w:val="auto"/>
                <w:kern w:val="0"/>
                <w:sz w:val="22"/>
                <w:highlight w:val="none"/>
              </w:rPr>
              <w:t>分；</w:t>
            </w:r>
          </w:p>
          <w:p w14:paraId="2BFDA2F9">
            <w:pPr>
              <w:widowControl/>
              <w:jc w:val="left"/>
              <w:rPr>
                <w:rFonts w:hint="eastAsia" w:ascii="宋体" w:hAnsi="宋体" w:cs="方正仿宋_GB2312" w:eastAsiaTheme="minorEastAsia"/>
                <w:color w:val="auto"/>
                <w:kern w:val="0"/>
                <w:sz w:val="22"/>
                <w:highlight w:val="none"/>
                <w:lang w:eastAsia="zh-CN"/>
              </w:rPr>
            </w:pPr>
            <w:r>
              <w:rPr>
                <w:rFonts w:hint="eastAsia" w:ascii="宋体" w:hAnsi="宋体" w:cs="方正仿宋_GB2312"/>
                <w:color w:val="auto"/>
                <w:kern w:val="0"/>
                <w:sz w:val="22"/>
                <w:highlight w:val="none"/>
                <w:lang w:eastAsia="zh-CN"/>
              </w:rPr>
              <w:t>（</w:t>
            </w:r>
            <w:r>
              <w:rPr>
                <w:rFonts w:hint="eastAsia" w:ascii="宋体" w:hAnsi="宋体" w:cs="方正仿宋_GB2312"/>
                <w:color w:val="auto"/>
                <w:kern w:val="0"/>
                <w:sz w:val="22"/>
                <w:highlight w:val="none"/>
                <w:lang w:val="en-US" w:eastAsia="zh-CN"/>
              </w:rPr>
              <w:t>4</w:t>
            </w:r>
            <w:r>
              <w:rPr>
                <w:rFonts w:hint="eastAsia" w:ascii="宋体" w:hAnsi="宋体" w:cs="方正仿宋_GB2312"/>
                <w:color w:val="auto"/>
                <w:kern w:val="0"/>
                <w:sz w:val="22"/>
                <w:highlight w:val="none"/>
                <w:lang w:eastAsia="zh-CN"/>
              </w:rPr>
              <w:t>）</w:t>
            </w:r>
            <w:r>
              <w:rPr>
                <w:rFonts w:hint="eastAsia" w:ascii="宋体" w:hAnsi="宋体" w:cs="方正仿宋_GB2312"/>
                <w:color w:val="auto"/>
                <w:kern w:val="0"/>
                <w:sz w:val="22"/>
                <w:highlight w:val="none"/>
              </w:rPr>
              <w:t>投标人拥有道路检测探地雷达设备</w:t>
            </w:r>
            <w:r>
              <w:rPr>
                <w:rFonts w:hint="eastAsia" w:ascii="宋体" w:hAnsi="宋体" w:cs="方正仿宋_GB2312"/>
                <w:color w:val="auto"/>
                <w:kern w:val="0"/>
                <w:sz w:val="22"/>
                <w:highlight w:val="none"/>
                <w:lang w:val="en-US" w:eastAsia="zh-CN"/>
              </w:rPr>
              <w:t>1</w:t>
            </w:r>
            <w:r>
              <w:rPr>
                <w:rFonts w:hint="eastAsia" w:ascii="宋体" w:hAnsi="宋体" w:cs="方正仿宋_GB2312"/>
                <w:color w:val="auto"/>
                <w:kern w:val="0"/>
                <w:sz w:val="22"/>
                <w:highlight w:val="none"/>
              </w:rPr>
              <w:t>台</w:t>
            </w:r>
            <w:r>
              <w:rPr>
                <w:rFonts w:hint="eastAsia" w:ascii="宋体" w:hAnsi="宋体" w:cs="方正仿宋_GB2312"/>
                <w:color w:val="auto"/>
                <w:kern w:val="0"/>
                <w:sz w:val="22"/>
                <w:highlight w:val="none"/>
                <w:lang w:eastAsia="zh-CN"/>
              </w:rPr>
              <w:t>，</w:t>
            </w:r>
            <w:r>
              <w:rPr>
                <w:rFonts w:hint="eastAsia" w:ascii="宋体" w:hAnsi="宋体" w:cs="方正仿宋_GB2312"/>
                <w:color w:val="auto"/>
                <w:kern w:val="0"/>
                <w:sz w:val="22"/>
                <w:highlight w:val="none"/>
              </w:rPr>
              <w:t>得</w:t>
            </w:r>
            <w:r>
              <w:rPr>
                <w:rFonts w:hint="eastAsia" w:ascii="宋体" w:hAnsi="宋体" w:cs="方正仿宋_GB2312"/>
                <w:color w:val="auto"/>
                <w:kern w:val="0"/>
                <w:sz w:val="22"/>
                <w:highlight w:val="none"/>
                <w:lang w:val="en-US" w:eastAsia="zh-CN"/>
              </w:rPr>
              <w:t>1</w:t>
            </w:r>
            <w:r>
              <w:rPr>
                <w:rFonts w:hint="eastAsia" w:ascii="宋体" w:hAnsi="宋体" w:cs="方正仿宋_GB2312"/>
                <w:color w:val="auto"/>
                <w:kern w:val="0"/>
                <w:sz w:val="22"/>
                <w:highlight w:val="none"/>
              </w:rPr>
              <w:t>分；每增加一台多得</w:t>
            </w:r>
            <w:r>
              <w:rPr>
                <w:rFonts w:hint="eastAsia" w:ascii="宋体" w:hAnsi="宋体" w:cs="方正仿宋_GB2312"/>
                <w:color w:val="auto"/>
                <w:kern w:val="0"/>
                <w:sz w:val="22"/>
                <w:highlight w:val="none"/>
                <w:lang w:val="en-US" w:eastAsia="zh-CN"/>
              </w:rPr>
              <w:t>1</w:t>
            </w:r>
            <w:r>
              <w:rPr>
                <w:rFonts w:hint="eastAsia" w:ascii="宋体" w:hAnsi="宋体" w:cs="方正仿宋_GB2312"/>
                <w:color w:val="auto"/>
                <w:kern w:val="0"/>
                <w:sz w:val="22"/>
                <w:highlight w:val="none"/>
              </w:rPr>
              <w:t>分，本项最多得</w:t>
            </w:r>
            <w:r>
              <w:rPr>
                <w:rFonts w:hint="eastAsia" w:ascii="宋体" w:hAnsi="宋体" w:cs="方正仿宋_GB2312"/>
                <w:color w:val="auto"/>
                <w:kern w:val="0"/>
                <w:sz w:val="22"/>
                <w:highlight w:val="none"/>
                <w:lang w:val="en-US" w:eastAsia="zh-CN"/>
              </w:rPr>
              <w:t>2</w:t>
            </w:r>
            <w:r>
              <w:rPr>
                <w:rFonts w:hint="eastAsia" w:ascii="宋体" w:hAnsi="宋体" w:cs="方正仿宋_GB2312"/>
                <w:color w:val="auto"/>
                <w:kern w:val="0"/>
                <w:sz w:val="22"/>
                <w:highlight w:val="none"/>
              </w:rPr>
              <w:t>分；</w:t>
            </w:r>
          </w:p>
          <w:p w14:paraId="7BC79AE8">
            <w:pPr>
              <w:widowControl/>
              <w:jc w:val="left"/>
              <w:rPr>
                <w:rFonts w:ascii="宋体" w:hAnsi="宋体" w:eastAsia="宋体" w:cs="方正仿宋_GB2312"/>
                <w:color w:val="auto"/>
                <w:kern w:val="0"/>
                <w:sz w:val="22"/>
                <w:highlight w:val="none"/>
              </w:rPr>
            </w:pPr>
            <w:r>
              <w:rPr>
                <w:rFonts w:hint="eastAsia" w:ascii="宋体" w:hAnsi="宋体" w:cs="方正仿宋_GB2312"/>
                <w:color w:val="auto"/>
                <w:kern w:val="0"/>
                <w:sz w:val="22"/>
                <w:highlight w:val="none"/>
              </w:rPr>
              <w:t>注：①如投标人拥有设备为自有设备的须提供设备购置发票彩色原件扫描件、</w:t>
            </w:r>
            <w:r>
              <w:rPr>
                <w:rFonts w:hint="eastAsia" w:asciiTheme="minorEastAsia" w:hAnsiTheme="minorEastAsia" w:eastAsiaTheme="minorEastAsia" w:cstheme="minorEastAsia"/>
                <w:color w:val="auto"/>
                <w:sz w:val="22"/>
                <w:szCs w:val="22"/>
                <w:highlight w:val="none"/>
                <w:shd w:val="clear" w:color="FFFFFF" w:fill="D9D9D9"/>
              </w:rPr>
              <w:t>发票核验结果截图（国家税务总局全国增值税发票查验平台（https://inv-veri.chinatax.gov.cn/））</w:t>
            </w:r>
            <w:r>
              <w:rPr>
                <w:rFonts w:hint="eastAsia" w:asciiTheme="minorEastAsia" w:hAnsiTheme="minorEastAsia" w:cstheme="minorEastAsia"/>
                <w:color w:val="auto"/>
                <w:sz w:val="22"/>
                <w:szCs w:val="22"/>
                <w:highlight w:val="none"/>
                <w:shd w:val="clear" w:color="FFFFFF" w:fill="D9D9D9"/>
                <w:lang w:eastAsia="zh-CN"/>
              </w:rPr>
              <w:t>、</w:t>
            </w:r>
            <w:r>
              <w:rPr>
                <w:rFonts w:hint="eastAsia" w:ascii="宋体" w:hAnsi="宋体" w:cs="方正仿宋_GB2312"/>
                <w:color w:val="auto"/>
                <w:kern w:val="0"/>
                <w:sz w:val="22"/>
                <w:highlight w:val="none"/>
              </w:rPr>
              <w:t>设备外观照片以及设备满足相应要求的佐证资料；②如投标人拥有设备为租赁设备的须提供租赁合同彩色原件扫描件（承租方须与投标人信息一致）、租赁方（设备提供方）的设备购置发票彩色原件扫描件、承租方租赁费发票彩色原件扫描件（合同和发票信息一致）、</w:t>
            </w:r>
            <w:r>
              <w:rPr>
                <w:rFonts w:hint="eastAsia" w:asciiTheme="minorEastAsia" w:hAnsiTheme="minorEastAsia" w:eastAsiaTheme="minorEastAsia" w:cstheme="minorEastAsia"/>
                <w:color w:val="auto"/>
                <w:sz w:val="22"/>
                <w:szCs w:val="22"/>
                <w:highlight w:val="none"/>
                <w:shd w:val="clear" w:color="FFFFFF" w:fill="D9D9D9"/>
              </w:rPr>
              <w:t>发票核验结果截图（国家税务总局全国增值税发票查验平台（https://inv-veri.chinatax.gov.cn/））</w:t>
            </w:r>
            <w:r>
              <w:rPr>
                <w:rFonts w:hint="eastAsia" w:asciiTheme="minorEastAsia" w:hAnsiTheme="minorEastAsia" w:cstheme="minorEastAsia"/>
                <w:color w:val="auto"/>
                <w:sz w:val="22"/>
                <w:szCs w:val="22"/>
                <w:highlight w:val="none"/>
                <w:shd w:val="clear" w:color="FFFFFF" w:fill="D9D9D9"/>
                <w:lang w:eastAsia="zh-CN"/>
              </w:rPr>
              <w:t>、</w:t>
            </w:r>
            <w:r>
              <w:rPr>
                <w:rFonts w:hint="eastAsia" w:ascii="宋体" w:hAnsi="宋体" w:cs="方正仿宋_GB2312"/>
                <w:color w:val="auto"/>
                <w:kern w:val="0"/>
                <w:sz w:val="22"/>
                <w:highlight w:val="none"/>
              </w:rPr>
              <w:t>承租时间需满足项目服务期要求、设备外观照片以及设备满足相应要求的佐证资料；③投标人未按要求提供相应资料、资料不清晰无法辨认或设备（含车辆）无法满足相应要求的不得分。</w:t>
            </w:r>
          </w:p>
        </w:tc>
        <w:tc>
          <w:tcPr>
            <w:tcW w:w="709" w:type="dxa"/>
            <w:tcBorders>
              <w:top w:val="single" w:color="auto" w:sz="4" w:space="0"/>
              <w:left w:val="single" w:color="auto" w:sz="4" w:space="0"/>
              <w:bottom w:val="single" w:color="auto" w:sz="4" w:space="0"/>
              <w:right w:val="single" w:color="auto" w:sz="4" w:space="0"/>
            </w:tcBorders>
            <w:noWrap/>
            <w:vAlign w:val="center"/>
          </w:tcPr>
          <w:p w14:paraId="25D1513C">
            <w:pPr>
              <w:adjustRightInd w:val="0"/>
              <w:jc w:val="center"/>
              <w:textAlignment w:val="baseline"/>
              <w:rPr>
                <w:rFonts w:hint="default" w:ascii="宋体" w:hAnsi="宋体" w:eastAsia="宋体" w:cs="方正仿宋_GB2312"/>
                <w:color w:val="auto"/>
                <w:sz w:val="22"/>
                <w:highlight w:val="none"/>
                <w:lang w:val="en-US" w:eastAsia="zh-CN"/>
              </w:rPr>
            </w:pPr>
            <w:r>
              <w:rPr>
                <w:rFonts w:hint="eastAsia" w:ascii="宋体" w:hAnsi="宋体" w:eastAsia="宋体" w:cs="方正仿宋_GB2312"/>
                <w:color w:val="auto"/>
                <w:sz w:val="22"/>
                <w:highlight w:val="none"/>
                <w:lang w:val="en-US" w:eastAsia="zh-CN"/>
              </w:rPr>
              <w:t>8</w:t>
            </w:r>
          </w:p>
        </w:tc>
      </w:tr>
      <w:tr w14:paraId="64DE1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0" w:hRule="atLeast"/>
        </w:trPr>
        <w:tc>
          <w:tcPr>
            <w:tcW w:w="817" w:type="dxa"/>
            <w:tcBorders>
              <w:top w:val="single" w:color="auto" w:sz="4" w:space="0"/>
              <w:left w:val="single" w:color="auto" w:sz="4" w:space="0"/>
              <w:bottom w:val="single" w:color="auto" w:sz="4" w:space="0"/>
              <w:right w:val="single" w:color="auto" w:sz="4" w:space="0"/>
            </w:tcBorders>
            <w:noWrap/>
            <w:vAlign w:val="center"/>
          </w:tcPr>
          <w:p w14:paraId="2A1817F0">
            <w:pPr>
              <w:adjustRightInd w:val="0"/>
              <w:jc w:val="center"/>
              <w:textAlignment w:val="baseline"/>
              <w:rPr>
                <w:rFonts w:hint="eastAsia" w:ascii="宋体" w:hAnsi="宋体" w:cs="方正仿宋_GB2312" w:eastAsiaTheme="minorEastAsia"/>
                <w:color w:val="auto"/>
                <w:sz w:val="22"/>
                <w:highlight w:val="none"/>
                <w:lang w:val="en-US" w:eastAsia="zh-CN"/>
              </w:rPr>
            </w:pPr>
            <w:r>
              <w:rPr>
                <w:rFonts w:hint="eastAsia" w:ascii="宋体" w:hAnsi="宋体" w:cs="方正仿宋_GB2312"/>
                <w:color w:val="auto"/>
                <w:sz w:val="22"/>
                <w:highlight w:val="none"/>
                <w:lang w:val="en-US" w:eastAsia="zh-CN"/>
              </w:rPr>
              <w:t>3</w:t>
            </w:r>
          </w:p>
        </w:tc>
        <w:tc>
          <w:tcPr>
            <w:tcW w:w="1418" w:type="dxa"/>
            <w:tcBorders>
              <w:top w:val="single" w:color="auto" w:sz="4" w:space="0"/>
              <w:left w:val="single" w:color="auto" w:sz="4" w:space="0"/>
              <w:bottom w:val="single" w:color="auto" w:sz="4" w:space="0"/>
              <w:right w:val="single" w:color="auto" w:sz="4" w:space="0"/>
            </w:tcBorders>
            <w:noWrap/>
            <w:vAlign w:val="center"/>
          </w:tcPr>
          <w:p w14:paraId="56E3532F">
            <w:pPr>
              <w:adjustRightInd w:val="0"/>
              <w:jc w:val="center"/>
              <w:textAlignment w:val="baseline"/>
              <w:rPr>
                <w:rFonts w:ascii="宋体" w:hAnsi="宋体" w:cs="方正仿宋_GB2312"/>
                <w:color w:val="auto"/>
                <w:sz w:val="22"/>
                <w:highlight w:val="none"/>
              </w:rPr>
            </w:pPr>
            <w:r>
              <w:rPr>
                <w:rFonts w:hint="eastAsia" w:ascii="宋体" w:hAnsi="宋体" w:cs="方正仿宋_GB2312"/>
                <w:color w:val="auto"/>
                <w:sz w:val="22"/>
                <w:highlight w:val="none"/>
              </w:rPr>
              <w:t>企业业绩</w:t>
            </w:r>
          </w:p>
        </w:tc>
        <w:tc>
          <w:tcPr>
            <w:tcW w:w="6520" w:type="dxa"/>
            <w:tcBorders>
              <w:top w:val="single" w:color="auto" w:sz="4" w:space="0"/>
              <w:left w:val="single" w:color="auto" w:sz="4" w:space="0"/>
              <w:bottom w:val="single" w:color="auto" w:sz="4" w:space="0"/>
              <w:right w:val="single" w:color="auto" w:sz="4" w:space="0"/>
            </w:tcBorders>
            <w:noWrap/>
            <w:vAlign w:val="center"/>
          </w:tcPr>
          <w:p w14:paraId="6A3226B0">
            <w:pPr>
              <w:adjustRightInd w:val="0"/>
              <w:jc w:val="left"/>
              <w:textAlignment w:val="baseline"/>
              <w:rPr>
                <w:rFonts w:ascii="宋体" w:hAnsi="宋体" w:cs="方正仿宋_GB2312"/>
                <w:color w:val="auto"/>
                <w:kern w:val="0"/>
                <w:sz w:val="22"/>
                <w:highlight w:val="none"/>
              </w:rPr>
            </w:pPr>
            <w:r>
              <w:rPr>
                <w:rFonts w:hint="eastAsia" w:ascii="宋体" w:hAnsi="宋体" w:cs="方正仿宋_GB2312"/>
                <w:color w:val="auto"/>
                <w:kern w:val="0"/>
                <w:sz w:val="22"/>
                <w:highlight w:val="none"/>
              </w:rPr>
              <w:t>202</w:t>
            </w:r>
            <w:r>
              <w:rPr>
                <w:rFonts w:hint="eastAsia" w:ascii="宋体" w:hAnsi="宋体" w:cs="方正仿宋_GB2312"/>
                <w:color w:val="auto"/>
                <w:kern w:val="0"/>
                <w:sz w:val="22"/>
                <w:highlight w:val="none"/>
                <w:lang w:val="en-US" w:eastAsia="zh-CN"/>
              </w:rPr>
              <w:t>3</w:t>
            </w:r>
            <w:r>
              <w:rPr>
                <w:rFonts w:hint="eastAsia" w:ascii="宋体" w:hAnsi="宋体" w:cs="方正仿宋_GB2312"/>
                <w:color w:val="auto"/>
                <w:kern w:val="0"/>
                <w:sz w:val="22"/>
                <w:highlight w:val="none"/>
              </w:rPr>
              <w:t>年1月1日以来（以合同签订日期为准），投标人承担过道路改性地聚合物注浆加固项目的，每有一个业绩得</w:t>
            </w:r>
            <w:r>
              <w:rPr>
                <w:rFonts w:hint="eastAsia" w:ascii="宋体" w:hAnsi="宋体" w:cs="方正仿宋_GB2312"/>
                <w:color w:val="auto"/>
                <w:kern w:val="0"/>
                <w:sz w:val="22"/>
                <w:highlight w:val="none"/>
                <w:lang w:val="en-US" w:eastAsia="zh-CN"/>
              </w:rPr>
              <w:t>3</w:t>
            </w:r>
            <w:r>
              <w:rPr>
                <w:rFonts w:hint="eastAsia" w:ascii="宋体" w:hAnsi="宋体" w:cs="方正仿宋_GB2312"/>
                <w:color w:val="auto"/>
                <w:kern w:val="0"/>
                <w:sz w:val="22"/>
                <w:highlight w:val="none"/>
              </w:rPr>
              <w:t>分，最多得</w:t>
            </w:r>
            <w:r>
              <w:rPr>
                <w:rFonts w:hint="eastAsia" w:ascii="宋体" w:hAnsi="宋体" w:cs="方正仿宋_GB2312"/>
                <w:color w:val="auto"/>
                <w:kern w:val="0"/>
                <w:sz w:val="22"/>
                <w:highlight w:val="none"/>
                <w:lang w:val="en-US" w:eastAsia="zh-CN"/>
              </w:rPr>
              <w:t>9</w:t>
            </w:r>
            <w:r>
              <w:rPr>
                <w:rFonts w:hint="eastAsia" w:ascii="宋体" w:hAnsi="宋体" w:cs="方正仿宋_GB2312"/>
                <w:color w:val="auto"/>
                <w:kern w:val="0"/>
                <w:sz w:val="22"/>
                <w:highlight w:val="none"/>
              </w:rPr>
              <w:t>分。</w:t>
            </w:r>
          </w:p>
          <w:p w14:paraId="21D599FB">
            <w:pPr>
              <w:adjustRightInd w:val="0"/>
              <w:jc w:val="left"/>
              <w:textAlignment w:val="baseline"/>
              <w:rPr>
                <w:rFonts w:ascii="宋体" w:hAnsi="宋体" w:cs="方正仿宋_GB2312"/>
                <w:color w:val="auto"/>
                <w:sz w:val="22"/>
                <w:highlight w:val="none"/>
              </w:rPr>
            </w:pPr>
            <w:r>
              <w:rPr>
                <w:rFonts w:hint="eastAsia" w:ascii="宋体" w:hAnsi="宋体" w:cs="方正仿宋_GB2312"/>
                <w:color w:val="auto"/>
                <w:kern w:val="0"/>
                <w:sz w:val="22"/>
                <w:highlight w:val="none"/>
              </w:rPr>
              <w:t>注：①投标人须提供合同（合同乙方须与投标人一致）、部分发票彩色原件扫描</w:t>
            </w:r>
            <w:r>
              <w:rPr>
                <w:rFonts w:hint="eastAsia" w:ascii="宋体" w:hAnsi="宋体" w:cs="方正仿宋_GB2312"/>
                <w:color w:val="auto"/>
                <w:kern w:val="0"/>
                <w:sz w:val="22"/>
                <w:highlight w:val="none"/>
                <w:lang w:val="en-US" w:eastAsia="zh-CN"/>
              </w:rPr>
              <w:t>件</w:t>
            </w:r>
            <w:r>
              <w:rPr>
                <w:rFonts w:hint="eastAsia" w:ascii="宋体" w:hAnsi="宋体" w:cs="方正仿宋_GB2312"/>
                <w:color w:val="auto"/>
                <w:kern w:val="0"/>
                <w:sz w:val="22"/>
                <w:highlight w:val="none"/>
                <w:lang w:eastAsia="zh-CN"/>
              </w:rPr>
              <w:t>、</w:t>
            </w:r>
            <w:r>
              <w:rPr>
                <w:rFonts w:hint="eastAsia" w:asciiTheme="minorEastAsia" w:hAnsiTheme="minorEastAsia" w:eastAsiaTheme="minorEastAsia" w:cstheme="minorEastAsia"/>
                <w:color w:val="auto"/>
                <w:sz w:val="22"/>
                <w:szCs w:val="22"/>
                <w:highlight w:val="none"/>
                <w:shd w:val="clear" w:color="FFFFFF" w:fill="D9D9D9"/>
              </w:rPr>
              <w:t>发票核验结果截图（国家税务总局全国增值税发票查验平台（https://inv-veri.chinatax.gov.cn/））</w:t>
            </w:r>
            <w:r>
              <w:rPr>
                <w:rFonts w:hint="eastAsia" w:ascii="宋体" w:hAnsi="宋体" w:cs="方正仿宋_GB2312"/>
                <w:color w:val="auto"/>
                <w:kern w:val="0"/>
                <w:sz w:val="22"/>
                <w:highlight w:val="none"/>
                <w:shd w:val="clear" w:color="FFFFFF" w:fill="D9D9D9"/>
              </w:rPr>
              <w:t>、</w:t>
            </w:r>
            <w:r>
              <w:rPr>
                <w:rFonts w:hint="eastAsia" w:ascii="宋体" w:hAnsi="宋体" w:cs="方正仿宋_GB2312"/>
                <w:color w:val="auto"/>
                <w:kern w:val="0"/>
                <w:sz w:val="22"/>
                <w:highlight w:val="none"/>
              </w:rPr>
              <w:t>材料检测合格报告彩色原件扫描件；②如合同中未明确注明类似改性地聚合物注浆加固的，投标人须提供相应业绩甲方出具的业绩证明资料彩色原件扫描件（成交单位须将原件递交至采购人处备案留档），证明资料须加盖合同相对方（采购人）公章、联系人及联系方式，格式详见附件1</w:t>
            </w:r>
            <w:r>
              <w:rPr>
                <w:rFonts w:hint="eastAsia" w:ascii="宋体" w:hAnsi="宋体" w:cs="方正仿宋_GB2312"/>
                <w:color w:val="auto"/>
                <w:kern w:val="0"/>
                <w:sz w:val="22"/>
                <w:highlight w:val="none"/>
                <w:lang w:val="en-US" w:eastAsia="zh-CN"/>
              </w:rPr>
              <w:t>4</w:t>
            </w:r>
            <w:r>
              <w:rPr>
                <w:rFonts w:hint="eastAsia" w:ascii="宋体" w:hAnsi="宋体" w:cs="方正仿宋_GB2312"/>
                <w:color w:val="auto"/>
                <w:kern w:val="0"/>
                <w:sz w:val="22"/>
                <w:highlight w:val="none"/>
              </w:rPr>
              <w:t>；③以上业绩需同时提供由CMA认证检测机构出具的改性地聚合物</w:t>
            </w:r>
            <w:r>
              <w:rPr>
                <w:rFonts w:hint="eastAsia" w:ascii="宋体" w:hAnsi="宋体" w:cs="方正仿宋_GB2312"/>
                <w:color w:val="auto"/>
                <w:kern w:val="0"/>
                <w:sz w:val="22"/>
                <w:highlight w:val="none"/>
                <w:lang w:val="en-US" w:eastAsia="zh-CN"/>
              </w:rPr>
              <w:t>材料</w:t>
            </w:r>
            <w:r>
              <w:rPr>
                <w:rFonts w:hint="eastAsia" w:ascii="宋体" w:hAnsi="宋体" w:cs="方正仿宋_GB2312"/>
                <w:color w:val="auto"/>
                <w:kern w:val="0"/>
                <w:sz w:val="22"/>
                <w:highlight w:val="none"/>
              </w:rPr>
              <w:t>检测合格报告</w:t>
            </w:r>
            <w:r>
              <w:rPr>
                <w:rFonts w:hint="eastAsia" w:ascii="宋体" w:hAnsi="宋体" w:cs="方正仿宋_GB2312"/>
                <w:color w:val="auto"/>
                <w:kern w:val="0"/>
                <w:sz w:val="22"/>
                <w:highlight w:val="none"/>
                <w:lang w:eastAsia="zh-CN"/>
              </w:rPr>
              <w:t>，</w:t>
            </w:r>
            <w:r>
              <w:rPr>
                <w:rFonts w:hint="eastAsia" w:ascii="宋体" w:hAnsi="宋体" w:cs="方正仿宋_GB2312"/>
                <w:color w:val="auto"/>
                <w:kern w:val="0"/>
                <w:sz w:val="22"/>
                <w:highlight w:val="none"/>
              </w:rPr>
              <w:t>检测报告需体现合同双方（与合同一致）</w:t>
            </w:r>
            <w:r>
              <w:rPr>
                <w:rFonts w:hint="eastAsia" w:ascii="宋体" w:hAnsi="宋体" w:cs="方正仿宋_GB2312"/>
                <w:color w:val="auto"/>
                <w:kern w:val="0"/>
                <w:sz w:val="22"/>
                <w:highlight w:val="none"/>
                <w:lang w:eastAsia="zh-CN"/>
              </w:rPr>
              <w:t>，</w:t>
            </w:r>
            <w:r>
              <w:rPr>
                <w:rFonts w:hint="eastAsia" w:ascii="宋体" w:hAnsi="宋体" w:cs="方正仿宋_GB2312"/>
                <w:color w:val="auto"/>
                <w:kern w:val="0"/>
                <w:sz w:val="22"/>
                <w:highlight w:val="none"/>
              </w:rPr>
              <w:t>需包括流动度、凝结时间、6h抗压强度、泌水率检测指标，并符合本采购文件第三部分项目需求表3.1中早强型指标要求；</w:t>
            </w:r>
            <w:r>
              <w:rPr>
                <w:rFonts w:hint="eastAsia" w:ascii="宋体" w:hAnsi="宋体" w:eastAsia="宋体" w:cs="宋体"/>
                <w:color w:val="auto"/>
                <w:kern w:val="0"/>
                <w:sz w:val="22"/>
                <w:highlight w:val="none"/>
              </w:rPr>
              <w:t>④</w:t>
            </w:r>
            <w:r>
              <w:rPr>
                <w:rFonts w:hint="eastAsia" w:ascii="宋体" w:hAnsi="宋体" w:cs="方正仿宋_GB2312"/>
                <w:color w:val="auto"/>
                <w:kern w:val="0"/>
                <w:sz w:val="22"/>
                <w:highlight w:val="none"/>
              </w:rPr>
              <w:t>投标人未按照上述要求提供资料的，不得分。</w:t>
            </w:r>
          </w:p>
        </w:tc>
        <w:tc>
          <w:tcPr>
            <w:tcW w:w="709" w:type="dxa"/>
            <w:tcBorders>
              <w:top w:val="single" w:color="auto" w:sz="4" w:space="0"/>
              <w:left w:val="single" w:color="auto" w:sz="4" w:space="0"/>
              <w:bottom w:val="single" w:color="auto" w:sz="4" w:space="0"/>
              <w:right w:val="single" w:color="auto" w:sz="4" w:space="0"/>
            </w:tcBorders>
            <w:noWrap/>
            <w:vAlign w:val="center"/>
          </w:tcPr>
          <w:p w14:paraId="0C603C1D">
            <w:pPr>
              <w:adjustRightInd w:val="0"/>
              <w:jc w:val="center"/>
              <w:textAlignment w:val="baseline"/>
              <w:rPr>
                <w:rFonts w:hint="eastAsia" w:ascii="宋体" w:hAnsi="宋体" w:eastAsia="宋体" w:cs="方正仿宋_GB2312"/>
                <w:color w:val="auto"/>
                <w:sz w:val="22"/>
                <w:highlight w:val="none"/>
                <w:lang w:val="en-US" w:eastAsia="zh-CN"/>
              </w:rPr>
            </w:pPr>
            <w:r>
              <w:rPr>
                <w:rFonts w:hint="eastAsia" w:ascii="宋体" w:hAnsi="宋体" w:eastAsia="宋体" w:cs="方正仿宋_GB2312"/>
                <w:color w:val="auto"/>
                <w:sz w:val="22"/>
                <w:highlight w:val="none"/>
                <w:lang w:val="en-US" w:eastAsia="zh-CN"/>
              </w:rPr>
              <w:t>9</w:t>
            </w:r>
          </w:p>
        </w:tc>
      </w:tr>
      <w:tr w14:paraId="465BD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76" w:hRule="atLeast"/>
        </w:trPr>
        <w:tc>
          <w:tcPr>
            <w:tcW w:w="817" w:type="dxa"/>
            <w:tcBorders>
              <w:top w:val="single" w:color="auto" w:sz="4" w:space="0"/>
              <w:left w:val="single" w:color="auto" w:sz="4" w:space="0"/>
              <w:bottom w:val="single" w:color="auto" w:sz="4" w:space="0"/>
              <w:right w:val="single" w:color="auto" w:sz="4" w:space="0"/>
            </w:tcBorders>
            <w:noWrap/>
            <w:vAlign w:val="center"/>
          </w:tcPr>
          <w:p w14:paraId="08ABA474">
            <w:pPr>
              <w:adjustRightInd w:val="0"/>
              <w:jc w:val="center"/>
              <w:textAlignment w:val="baseline"/>
              <w:rPr>
                <w:rFonts w:hint="eastAsia" w:ascii="宋体" w:hAnsi="宋体" w:cs="方正仿宋_GB2312" w:eastAsiaTheme="minorEastAsia"/>
                <w:color w:val="auto"/>
                <w:sz w:val="22"/>
                <w:highlight w:val="none"/>
                <w:lang w:val="en-US" w:eastAsia="zh-CN"/>
              </w:rPr>
            </w:pPr>
            <w:r>
              <w:rPr>
                <w:rFonts w:hint="eastAsia" w:ascii="宋体" w:hAnsi="宋体" w:cs="方正仿宋_GB2312"/>
                <w:color w:val="auto"/>
                <w:sz w:val="22"/>
                <w:highlight w:val="none"/>
                <w:lang w:val="en-US" w:eastAsia="zh-CN"/>
              </w:rPr>
              <w:t>4</w:t>
            </w:r>
          </w:p>
        </w:tc>
        <w:tc>
          <w:tcPr>
            <w:tcW w:w="1418" w:type="dxa"/>
            <w:tcBorders>
              <w:top w:val="single" w:color="auto" w:sz="4" w:space="0"/>
              <w:left w:val="single" w:color="auto" w:sz="4" w:space="0"/>
              <w:bottom w:val="single" w:color="auto" w:sz="4" w:space="0"/>
              <w:right w:val="single" w:color="auto" w:sz="4" w:space="0"/>
            </w:tcBorders>
            <w:noWrap/>
            <w:vAlign w:val="center"/>
          </w:tcPr>
          <w:p w14:paraId="720187FB">
            <w:pPr>
              <w:adjustRightInd w:val="0"/>
              <w:jc w:val="center"/>
              <w:textAlignment w:val="baseline"/>
              <w:rPr>
                <w:rFonts w:ascii="宋体" w:hAnsi="宋体" w:cs="方正仿宋_GB2312"/>
                <w:color w:val="auto"/>
                <w:sz w:val="22"/>
                <w:highlight w:val="none"/>
              </w:rPr>
            </w:pPr>
            <w:r>
              <w:rPr>
                <w:rFonts w:hint="eastAsia" w:ascii="宋体" w:hAnsi="宋体" w:cs="方正仿宋_GB2312"/>
                <w:color w:val="auto"/>
                <w:sz w:val="22"/>
                <w:highlight w:val="none"/>
              </w:rPr>
              <w:t>货物</w:t>
            </w:r>
            <w:r>
              <w:rPr>
                <w:rFonts w:hint="eastAsia" w:ascii="宋体" w:hAnsi="宋体" w:cs="方正仿宋_GB2312"/>
                <w:color w:val="auto"/>
                <w:sz w:val="22"/>
                <w:highlight w:val="none"/>
                <w:lang w:val="en-US" w:eastAsia="zh-CN"/>
              </w:rPr>
              <w:t>及施工</w:t>
            </w:r>
            <w:r>
              <w:rPr>
                <w:rFonts w:hint="eastAsia" w:ascii="宋体" w:hAnsi="宋体" w:cs="方正仿宋_GB2312"/>
                <w:color w:val="auto"/>
                <w:sz w:val="22"/>
                <w:highlight w:val="none"/>
              </w:rPr>
              <w:t>质量保障方案</w:t>
            </w:r>
          </w:p>
        </w:tc>
        <w:tc>
          <w:tcPr>
            <w:tcW w:w="6520" w:type="dxa"/>
            <w:tcBorders>
              <w:top w:val="single" w:color="auto" w:sz="4" w:space="0"/>
              <w:left w:val="single" w:color="auto" w:sz="4" w:space="0"/>
              <w:bottom w:val="single" w:color="auto" w:sz="4" w:space="0"/>
              <w:right w:val="single" w:color="auto" w:sz="4" w:space="0"/>
            </w:tcBorders>
            <w:noWrap/>
            <w:vAlign w:val="center"/>
          </w:tcPr>
          <w:p w14:paraId="471DE123">
            <w:pPr>
              <w:numPr>
                <w:ilvl w:val="0"/>
                <w:numId w:val="5"/>
              </w:numPr>
              <w:adjustRightInd w:val="0"/>
              <w:jc w:val="left"/>
              <w:textAlignment w:val="baseline"/>
              <w:rPr>
                <w:rFonts w:hint="eastAsia" w:ascii="宋体" w:hAnsi="宋体" w:cs="方正仿宋_GB2312"/>
                <w:color w:val="auto"/>
                <w:sz w:val="22"/>
                <w:highlight w:val="none"/>
                <w:lang w:val="en-US" w:eastAsia="zh-CN"/>
              </w:rPr>
            </w:pPr>
            <w:r>
              <w:rPr>
                <w:rFonts w:hint="eastAsia" w:ascii="宋体" w:hAnsi="宋体" w:cs="方正仿宋_GB2312"/>
                <w:color w:val="auto"/>
                <w:sz w:val="22"/>
                <w:highlight w:val="none"/>
                <w:lang w:val="en-US" w:eastAsia="zh-CN"/>
              </w:rPr>
              <w:t>货物质量保障方案（5分）：</w:t>
            </w:r>
          </w:p>
          <w:p w14:paraId="7C43C3CF">
            <w:pPr>
              <w:numPr>
                <w:ilvl w:val="0"/>
                <w:numId w:val="0"/>
              </w:numPr>
              <w:adjustRightInd w:val="0"/>
              <w:jc w:val="left"/>
              <w:textAlignment w:val="baseline"/>
              <w:rPr>
                <w:rFonts w:hint="eastAsia" w:ascii="宋体" w:hAnsi="宋体" w:eastAsia="宋体" w:cs="宋体"/>
                <w:color w:val="auto"/>
                <w:kern w:val="0"/>
                <w:sz w:val="22"/>
                <w:highlight w:val="none"/>
              </w:rPr>
            </w:pPr>
            <w:r>
              <w:rPr>
                <w:rFonts w:hint="eastAsia" w:ascii="宋体" w:hAnsi="宋体" w:cs="方正仿宋_GB2312"/>
                <w:color w:val="auto"/>
                <w:sz w:val="22"/>
                <w:highlight w:val="none"/>
              </w:rPr>
              <w:t>投标人针对本项目情况，从货物原材料、生产工艺、成品自检、货物运输四个方面就如何根据自身条件采取相应措施，保质保量地送料到现场，自拟货物质量保障方案，评标委员会进行综合评分。其中，针对性强、货物原材料保障及时、生产工艺先进、成品自检能力强、货物运输及时的得5分；针对性较强、货物原材料保障较为及时、生产工艺较为先进、成品自检能力较强、货物运输较及时的得3分；针对性一般、货物原材料保障基本及时、生产工艺一般、成品自检能力一般、货物运输基本满足的得1分</w:t>
            </w:r>
            <w:r>
              <w:rPr>
                <w:rFonts w:hint="eastAsia" w:ascii="宋体" w:hAnsi="宋体" w:eastAsia="宋体" w:cs="宋体"/>
                <w:color w:val="auto"/>
                <w:kern w:val="0"/>
                <w:sz w:val="22"/>
                <w:highlight w:val="none"/>
              </w:rPr>
              <w:t>。</w:t>
            </w:r>
          </w:p>
          <w:p w14:paraId="2E8B699A">
            <w:pPr>
              <w:numPr>
                <w:ilvl w:val="0"/>
                <w:numId w:val="5"/>
              </w:numPr>
              <w:adjustRightInd w:val="0"/>
              <w:ind w:left="0" w:leftChars="0" w:firstLine="0" w:firstLineChars="0"/>
              <w:jc w:val="left"/>
              <w:textAlignment w:val="baseline"/>
              <w:rPr>
                <w:rFonts w:hint="eastAsia" w:ascii="宋体" w:hAnsi="宋体" w:eastAsia="宋体" w:cs="宋体"/>
                <w:color w:val="auto"/>
                <w:kern w:val="0"/>
                <w:sz w:val="22"/>
                <w:highlight w:val="none"/>
                <w:lang w:val="en-US" w:eastAsia="zh-CN"/>
              </w:rPr>
            </w:pPr>
            <w:r>
              <w:rPr>
                <w:rFonts w:hint="eastAsia" w:ascii="宋体" w:hAnsi="宋体" w:eastAsia="宋体" w:cs="宋体"/>
                <w:color w:val="auto"/>
                <w:kern w:val="0"/>
                <w:sz w:val="22"/>
                <w:highlight w:val="none"/>
                <w:lang w:val="en-US" w:eastAsia="zh-CN"/>
              </w:rPr>
              <w:t>施工质量保障方案（5分）：</w:t>
            </w:r>
          </w:p>
          <w:p w14:paraId="26AFE363">
            <w:pPr>
              <w:numPr>
                <w:ilvl w:val="0"/>
                <w:numId w:val="0"/>
              </w:numPr>
              <w:adjustRightInd w:val="0"/>
              <w:ind w:leftChars="0"/>
              <w:jc w:val="left"/>
              <w:textAlignment w:val="baseline"/>
              <w:rPr>
                <w:rFonts w:hint="default" w:ascii="宋体" w:hAnsi="宋体" w:eastAsia="宋体" w:cs="宋体"/>
                <w:color w:val="auto"/>
                <w:kern w:val="0"/>
                <w:sz w:val="22"/>
                <w:highlight w:val="none"/>
                <w:lang w:val="en-US" w:eastAsia="zh-CN"/>
              </w:rPr>
            </w:pPr>
            <w:r>
              <w:rPr>
                <w:rFonts w:hint="eastAsia" w:ascii="宋体" w:hAnsi="宋体" w:cs="方正仿宋_GB2312"/>
                <w:color w:val="auto"/>
                <w:sz w:val="22"/>
                <w:highlight w:val="none"/>
              </w:rPr>
              <w:t>投标人针对本项目特点从施工组织、人员配备、机械配备、扬尘防控、安全保障、施工成品自检</w:t>
            </w:r>
            <w:r>
              <w:rPr>
                <w:rFonts w:hint="eastAsia" w:ascii="宋体" w:hAnsi="宋体" w:eastAsia="宋体" w:cs="宋体"/>
                <w:color w:val="auto"/>
                <w:kern w:val="0"/>
                <w:sz w:val="22"/>
                <w:highlight w:val="none"/>
              </w:rPr>
              <w:t>（弯沉、试块28天强度、雷达检测）</w:t>
            </w:r>
            <w:r>
              <w:rPr>
                <w:rFonts w:hint="eastAsia" w:ascii="宋体" w:hAnsi="宋体" w:cs="方正仿宋_GB2312"/>
                <w:color w:val="auto"/>
                <w:sz w:val="22"/>
                <w:highlight w:val="none"/>
              </w:rPr>
              <w:t>6个方面就如何根据自身条件采取相应措施，自拟施工质量保障方案，评标委员会进行综合评分。其中，针对性强，施工组织、人员配备、机械配备、扬尘防控、安全保障、施工成品自检</w:t>
            </w:r>
            <w:r>
              <w:rPr>
                <w:rFonts w:hint="eastAsia" w:ascii="宋体" w:hAnsi="宋体" w:eastAsia="宋体" w:cs="宋体"/>
                <w:color w:val="auto"/>
                <w:kern w:val="0"/>
                <w:sz w:val="22"/>
                <w:highlight w:val="none"/>
              </w:rPr>
              <w:t>（弯沉、试块28天强度、雷达检测）</w:t>
            </w:r>
            <w:r>
              <w:rPr>
                <w:rFonts w:hint="eastAsia" w:ascii="宋体" w:hAnsi="宋体" w:cs="方正仿宋_GB2312"/>
                <w:color w:val="auto"/>
                <w:sz w:val="22"/>
                <w:highlight w:val="none"/>
              </w:rPr>
              <w:t>方案完善的得5分；针对性较强，施工组织、人员配备、机械配备、扬尘防控、安全保障、施工成品自检</w:t>
            </w:r>
            <w:r>
              <w:rPr>
                <w:rFonts w:hint="eastAsia" w:ascii="宋体" w:hAnsi="宋体" w:eastAsia="宋体" w:cs="宋体"/>
                <w:color w:val="auto"/>
                <w:kern w:val="0"/>
                <w:sz w:val="22"/>
                <w:highlight w:val="none"/>
              </w:rPr>
              <w:t>（弯沉、试块28天强度、雷达检测）</w:t>
            </w:r>
            <w:r>
              <w:rPr>
                <w:rFonts w:hint="eastAsia" w:ascii="宋体" w:hAnsi="宋体" w:cs="方正仿宋_GB2312"/>
                <w:color w:val="auto"/>
                <w:sz w:val="22"/>
                <w:highlight w:val="none"/>
              </w:rPr>
              <w:t>方案较为完善的得3分；针对性一般，施工组织、人员配备、机械配备、扬尘防控、安全保障、施工成品自检</w:t>
            </w:r>
            <w:r>
              <w:rPr>
                <w:rFonts w:hint="eastAsia" w:ascii="宋体" w:hAnsi="宋体" w:eastAsia="宋体" w:cs="宋体"/>
                <w:color w:val="auto"/>
                <w:kern w:val="0"/>
                <w:sz w:val="22"/>
                <w:highlight w:val="none"/>
              </w:rPr>
              <w:t>（弯沉、试块28天强度、雷达检测）</w:t>
            </w:r>
            <w:r>
              <w:rPr>
                <w:rFonts w:hint="eastAsia" w:ascii="宋体" w:hAnsi="宋体" w:cs="方正仿宋_GB2312"/>
                <w:color w:val="auto"/>
                <w:sz w:val="22"/>
                <w:highlight w:val="none"/>
              </w:rPr>
              <w:t>方案一般的得1分</w:t>
            </w:r>
            <w:r>
              <w:rPr>
                <w:rFonts w:hint="eastAsia" w:ascii="宋体" w:hAnsi="宋体" w:eastAsia="宋体" w:cs="宋体"/>
                <w:color w:val="auto"/>
                <w:kern w:val="0"/>
                <w:sz w:val="22"/>
                <w:highlight w:val="none"/>
              </w:rPr>
              <w:t>。</w:t>
            </w:r>
          </w:p>
        </w:tc>
        <w:tc>
          <w:tcPr>
            <w:tcW w:w="709" w:type="dxa"/>
            <w:tcBorders>
              <w:top w:val="single" w:color="auto" w:sz="4" w:space="0"/>
              <w:left w:val="single" w:color="auto" w:sz="4" w:space="0"/>
              <w:bottom w:val="single" w:color="auto" w:sz="4" w:space="0"/>
              <w:right w:val="single" w:color="auto" w:sz="4" w:space="0"/>
            </w:tcBorders>
            <w:noWrap/>
            <w:vAlign w:val="center"/>
          </w:tcPr>
          <w:p w14:paraId="78FC4279">
            <w:pPr>
              <w:adjustRightInd w:val="0"/>
              <w:jc w:val="center"/>
              <w:textAlignment w:val="baseline"/>
              <w:rPr>
                <w:rFonts w:hint="default" w:ascii="宋体" w:hAnsi="宋体" w:cs="方正仿宋_GB2312" w:eastAsiaTheme="minorEastAsia"/>
                <w:color w:val="auto"/>
                <w:sz w:val="22"/>
                <w:highlight w:val="none"/>
                <w:lang w:val="en-US" w:eastAsia="zh-CN"/>
              </w:rPr>
            </w:pPr>
            <w:r>
              <w:rPr>
                <w:rFonts w:hint="eastAsia" w:ascii="宋体" w:hAnsi="宋体" w:cs="方正仿宋_GB2312"/>
                <w:color w:val="auto"/>
                <w:sz w:val="22"/>
                <w:highlight w:val="none"/>
                <w:lang w:val="en-US" w:eastAsia="zh-CN"/>
              </w:rPr>
              <w:t>10</w:t>
            </w:r>
          </w:p>
        </w:tc>
      </w:tr>
    </w:tbl>
    <w:p w14:paraId="29E91563">
      <w:pPr>
        <w:ind w:firstLine="482"/>
        <w:rPr>
          <w:color w:val="auto"/>
          <w:highlight w:val="none"/>
        </w:rPr>
      </w:pPr>
    </w:p>
    <w:p w14:paraId="205F5851">
      <w:pPr>
        <w:spacing w:line="360" w:lineRule="auto"/>
        <w:ind w:firstLine="480"/>
        <w:rPr>
          <w:rFonts w:asciiTheme="minorEastAsia" w:hAnsiTheme="minorEastAsia"/>
          <w:b/>
          <w:color w:val="auto"/>
          <w:sz w:val="24"/>
          <w:highlight w:val="none"/>
        </w:rPr>
      </w:pPr>
      <w:r>
        <w:rPr>
          <w:rFonts w:hint="eastAsia" w:asciiTheme="minorEastAsia" w:hAnsiTheme="minorEastAsia"/>
          <w:b/>
          <w:color w:val="auto"/>
          <w:sz w:val="24"/>
          <w:highlight w:val="none"/>
        </w:rPr>
        <w:t>说明：供应商须提供原件扫描件必须为彩色原件扫描件，否则不得分。</w:t>
      </w:r>
    </w:p>
    <w:p w14:paraId="70E621FC">
      <w:pPr>
        <w:keepNext w:val="0"/>
        <w:keepLines w:val="0"/>
        <w:pageBreakBefore w:val="0"/>
        <w:kinsoku/>
        <w:wordWrap/>
        <w:overflowPunct/>
        <w:topLinePunct w:val="0"/>
        <w:autoSpaceDE/>
        <w:autoSpaceDN/>
        <w:bidi w:val="0"/>
        <w:adjustRightInd/>
        <w:snapToGrid/>
        <w:spacing w:before="120" w:after="120" w:line="360" w:lineRule="auto"/>
        <w:ind w:firstLine="482" w:firstLineChars="200"/>
        <w:contextualSpacing/>
        <w:jc w:val="left"/>
        <w:textAlignment w:val="baseline"/>
        <w:rPr>
          <w:rFonts w:hint="eastAsia" w:cs="Times New Roman" w:asciiTheme="minorEastAsia" w:hAnsiTheme="minorEastAsia"/>
          <w:b/>
          <w:color w:val="auto"/>
          <w:sz w:val="24"/>
          <w:szCs w:val="24"/>
          <w:highlight w:val="none"/>
        </w:rPr>
      </w:pPr>
      <w:r>
        <w:rPr>
          <w:rFonts w:hint="eastAsia" w:cs="Times New Roman" w:asciiTheme="minorEastAsia" w:hAnsiTheme="minorEastAsia"/>
          <w:b/>
          <w:color w:val="auto"/>
          <w:sz w:val="24"/>
          <w:szCs w:val="24"/>
          <w:highlight w:val="none"/>
          <w:lang w:val="en-US" w:eastAsia="zh-CN"/>
        </w:rPr>
        <w:t>三、</w:t>
      </w:r>
      <w:r>
        <w:rPr>
          <w:rFonts w:hint="eastAsia" w:cs="Times New Roman" w:asciiTheme="minorEastAsia" w:hAnsiTheme="minorEastAsia"/>
          <w:b/>
          <w:color w:val="auto"/>
          <w:sz w:val="24"/>
          <w:szCs w:val="24"/>
          <w:highlight w:val="none"/>
        </w:rPr>
        <w:t>成交供应商的确定</w:t>
      </w:r>
    </w:p>
    <w:p w14:paraId="09906301">
      <w:pPr>
        <w:widowControl/>
        <w:shd w:val="clear" w:color="auto" w:fill="FFFFFF"/>
        <w:spacing w:line="360" w:lineRule="auto"/>
        <w:ind w:firstLine="48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磋商小组汇总各评委评分后，按照得分从高到低的顺序推荐三名成交候选人，并编写评审报告。得分相同的，按响应报价由低到高顺序排列。得分且响应报价相同的</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lang w:val="en-US" w:eastAsia="zh-CN"/>
        </w:rPr>
        <w:t>由采购人在评审现场抽签确定</w:t>
      </w:r>
      <w:r>
        <w:rPr>
          <w:rFonts w:hint="eastAsia" w:asciiTheme="minorEastAsia" w:hAnsiTheme="minorEastAsia" w:eastAsiaTheme="minorEastAsia" w:cstheme="minorEastAsia"/>
          <w:bCs/>
          <w:color w:val="auto"/>
          <w:sz w:val="24"/>
          <w:szCs w:val="24"/>
          <w:highlight w:val="none"/>
        </w:rPr>
        <w:t>。</w:t>
      </w:r>
    </w:p>
    <w:p w14:paraId="01349A01">
      <w:pPr>
        <w:widowControl/>
        <w:shd w:val="clear" w:color="auto" w:fill="FFFFFF"/>
        <w:spacing w:line="360" w:lineRule="auto"/>
        <w:ind w:firstLine="48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采购人委托磋商小组直接确定排名第一的成交候选人为成交供应商。</w:t>
      </w:r>
    </w:p>
    <w:p w14:paraId="35C8D7AE">
      <w:pPr>
        <w:keepNext w:val="0"/>
        <w:keepLines w:val="0"/>
        <w:pageBreakBefore w:val="0"/>
        <w:kinsoku/>
        <w:wordWrap/>
        <w:overflowPunct/>
        <w:topLinePunct w:val="0"/>
        <w:autoSpaceDE/>
        <w:autoSpaceDN/>
        <w:bidi w:val="0"/>
        <w:adjustRightInd/>
        <w:snapToGrid/>
        <w:spacing w:before="120" w:after="120" w:line="360" w:lineRule="auto"/>
        <w:ind w:firstLine="482" w:firstLineChars="200"/>
        <w:contextualSpacing/>
        <w:jc w:val="left"/>
        <w:textAlignment w:val="baseline"/>
        <w:rPr>
          <w:rFonts w:hint="eastAsia" w:cs="Times New Roman" w:asciiTheme="minorEastAsia" w:hAnsiTheme="minorEastAsia"/>
          <w:b/>
          <w:color w:val="auto"/>
          <w:sz w:val="24"/>
          <w:szCs w:val="24"/>
          <w:highlight w:val="none"/>
          <w:lang w:val="en-US" w:eastAsia="zh-CN"/>
        </w:rPr>
      </w:pPr>
      <w:r>
        <w:rPr>
          <w:rFonts w:hint="eastAsia" w:cs="Times New Roman" w:asciiTheme="minorEastAsia" w:hAnsiTheme="minorEastAsia"/>
          <w:b/>
          <w:color w:val="auto"/>
          <w:sz w:val="24"/>
          <w:szCs w:val="24"/>
          <w:highlight w:val="none"/>
          <w:lang w:val="en-US" w:eastAsia="zh-CN"/>
        </w:rPr>
        <w:t>四、公告成交结果</w:t>
      </w:r>
    </w:p>
    <w:p w14:paraId="20E37DC1">
      <w:pPr>
        <w:widowControl/>
        <w:shd w:val="clear" w:color="auto" w:fill="FFFFFF"/>
        <w:spacing w:line="360" w:lineRule="auto"/>
        <w:ind w:firstLine="48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自确定成交供应商之日起2个工作日内，在指定媒体上公告成交结果，公告期限为1个工作日。</w:t>
      </w:r>
    </w:p>
    <w:p w14:paraId="255EE398">
      <w:pPr>
        <w:keepNext w:val="0"/>
        <w:keepLines w:val="0"/>
        <w:pageBreakBefore w:val="0"/>
        <w:kinsoku/>
        <w:wordWrap/>
        <w:overflowPunct/>
        <w:topLinePunct w:val="0"/>
        <w:autoSpaceDE/>
        <w:autoSpaceDN/>
        <w:bidi w:val="0"/>
        <w:adjustRightInd/>
        <w:snapToGrid/>
        <w:spacing w:before="120" w:after="120" w:line="360" w:lineRule="auto"/>
        <w:ind w:firstLine="482" w:firstLineChars="200"/>
        <w:contextualSpacing/>
        <w:jc w:val="left"/>
        <w:textAlignment w:val="baseline"/>
        <w:rPr>
          <w:rFonts w:hint="eastAsia" w:cs="Times New Roman" w:asciiTheme="minorEastAsia" w:hAnsiTheme="minorEastAsia"/>
          <w:b/>
          <w:color w:val="auto"/>
          <w:sz w:val="24"/>
          <w:szCs w:val="24"/>
          <w:highlight w:val="none"/>
        </w:rPr>
      </w:pPr>
      <w:r>
        <w:rPr>
          <w:rFonts w:hint="eastAsia" w:cs="Times New Roman" w:asciiTheme="minorEastAsia" w:hAnsiTheme="minorEastAsia"/>
          <w:b/>
          <w:color w:val="auto"/>
          <w:sz w:val="24"/>
          <w:szCs w:val="24"/>
          <w:highlight w:val="none"/>
          <w:lang w:val="en-US" w:eastAsia="zh-CN"/>
        </w:rPr>
        <w:t>五、</w:t>
      </w:r>
      <w:r>
        <w:rPr>
          <w:rFonts w:hint="eastAsia" w:cs="Times New Roman" w:asciiTheme="minorEastAsia" w:hAnsiTheme="minorEastAsia"/>
          <w:b/>
          <w:color w:val="auto"/>
          <w:sz w:val="24"/>
          <w:szCs w:val="24"/>
          <w:highlight w:val="none"/>
        </w:rPr>
        <w:t>发放成交通知书</w:t>
      </w:r>
    </w:p>
    <w:p w14:paraId="0BCD737B">
      <w:pPr>
        <w:widowControl/>
        <w:shd w:val="clear" w:color="auto" w:fill="FFFFFF"/>
        <w:spacing w:line="360" w:lineRule="auto"/>
        <w:ind w:firstLine="48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公告成交结果的同时，采购代理机构向成交供应商发放成交通知书。</w:t>
      </w:r>
    </w:p>
    <w:p w14:paraId="4F802703">
      <w:pPr>
        <w:widowControl/>
        <w:shd w:val="clear" w:color="auto" w:fill="FFFFFF"/>
        <w:spacing w:line="360" w:lineRule="auto"/>
        <w:ind w:firstLine="48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成交通知书发出后，采购人不得违法改变成交结果，成交供应商无正当理由不得放弃成交。</w:t>
      </w:r>
    </w:p>
    <w:p w14:paraId="4FCE31BC">
      <w:pPr>
        <w:spacing w:line="360" w:lineRule="auto"/>
        <w:ind w:firstLine="48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特别说明：采用不见面远程方式开标的，成交供应商成交后在领取成交通知书前需提供</w:t>
      </w:r>
      <w:r>
        <w:rPr>
          <w:rFonts w:hint="eastAsia" w:asciiTheme="minorEastAsia" w:hAnsiTheme="minorEastAsia" w:eastAsiaTheme="minorEastAsia" w:cstheme="minorEastAsia"/>
          <w:b/>
          <w:color w:val="auto"/>
          <w:sz w:val="24"/>
          <w:szCs w:val="24"/>
          <w:highlight w:val="none"/>
          <w:u w:val="single"/>
        </w:rPr>
        <w:t xml:space="preserve"> 叁 </w:t>
      </w:r>
      <w:r>
        <w:rPr>
          <w:rFonts w:hint="eastAsia" w:asciiTheme="minorEastAsia" w:hAnsiTheme="minorEastAsia" w:eastAsiaTheme="minorEastAsia" w:cstheme="minorEastAsia"/>
          <w:b/>
          <w:color w:val="auto"/>
          <w:sz w:val="24"/>
          <w:szCs w:val="24"/>
          <w:highlight w:val="none"/>
        </w:rPr>
        <w:t>份加盖公章的系统内打印的纸质响应文件和</w:t>
      </w:r>
      <w:r>
        <w:rPr>
          <w:rFonts w:hint="eastAsia" w:asciiTheme="minorEastAsia" w:hAnsiTheme="minorEastAsia" w:eastAsiaTheme="minorEastAsia" w:cstheme="minorEastAsia"/>
          <w:b/>
          <w:color w:val="auto"/>
          <w:sz w:val="24"/>
          <w:szCs w:val="24"/>
          <w:highlight w:val="none"/>
          <w:u w:val="single"/>
        </w:rPr>
        <w:t xml:space="preserve"> 壹 </w:t>
      </w:r>
      <w:r>
        <w:rPr>
          <w:rFonts w:hint="eastAsia" w:asciiTheme="minorEastAsia" w:hAnsiTheme="minorEastAsia" w:eastAsiaTheme="minorEastAsia" w:cstheme="minorEastAsia"/>
          <w:b/>
          <w:color w:val="auto"/>
          <w:sz w:val="24"/>
          <w:szCs w:val="24"/>
          <w:highlight w:val="none"/>
        </w:rPr>
        <w:t>份电子档文件给采购代理机构。未提供纸质响应文件的不得领取成交通知书。</w:t>
      </w:r>
    </w:p>
    <w:p w14:paraId="02DB81E6">
      <w:pPr>
        <w:ind w:firstLine="723"/>
        <w:rPr>
          <w:rFonts w:asciiTheme="minorEastAsia" w:hAnsiTheme="minorEastAsia"/>
          <w:bCs/>
          <w:color w:val="auto"/>
          <w:sz w:val="36"/>
          <w:szCs w:val="36"/>
          <w:highlight w:val="none"/>
        </w:rPr>
      </w:pPr>
    </w:p>
    <w:p w14:paraId="0C6E1AE1">
      <w:pPr>
        <w:pageBreakBefore/>
        <w:spacing w:line="360" w:lineRule="auto"/>
        <w:ind w:firstLine="723"/>
        <w:jc w:val="center"/>
        <w:rPr>
          <w:rFonts w:ascii="黑体" w:hAnsi="Times New Roman" w:eastAsia="黑体" w:cs="Times New Roman"/>
          <w:bCs/>
          <w:color w:val="auto"/>
          <w:kern w:val="0"/>
          <w:sz w:val="44"/>
          <w:szCs w:val="28"/>
          <w:highlight w:val="none"/>
        </w:rPr>
      </w:pPr>
      <w:r>
        <w:rPr>
          <w:rFonts w:hint="eastAsia" w:ascii="黑体" w:hAnsi="Times New Roman" w:eastAsia="黑体" w:cs="Times New Roman"/>
          <w:bCs/>
          <w:color w:val="auto"/>
          <w:kern w:val="0"/>
          <w:sz w:val="44"/>
          <w:szCs w:val="28"/>
          <w:highlight w:val="none"/>
        </w:rPr>
        <w:t>第五章  合同及履约保证</w:t>
      </w:r>
    </w:p>
    <w:p w14:paraId="676EB038">
      <w:pPr>
        <w:snapToGrid w:val="0"/>
        <w:spacing w:line="360" w:lineRule="auto"/>
        <w:ind w:firstLine="480" w:firstLineChars="200"/>
        <w:jc w:val="left"/>
        <w:rPr>
          <w:color w:val="auto"/>
          <w:sz w:val="24"/>
          <w:highlight w:val="none"/>
        </w:rPr>
      </w:pPr>
      <w:r>
        <w:rPr>
          <w:color w:val="auto"/>
          <w:sz w:val="24"/>
          <w:highlight w:val="none"/>
        </w:rPr>
        <w:t>一、成交供应商在接到《成交通知书》后</w:t>
      </w:r>
      <w:r>
        <w:rPr>
          <w:rFonts w:hint="eastAsia"/>
          <w:color w:val="auto"/>
          <w:sz w:val="24"/>
          <w:highlight w:val="none"/>
        </w:rPr>
        <w:t>三十</w:t>
      </w:r>
      <w:r>
        <w:rPr>
          <w:color w:val="auto"/>
          <w:sz w:val="24"/>
          <w:highlight w:val="none"/>
        </w:rPr>
        <w:t>日内</w:t>
      </w:r>
      <w:r>
        <w:rPr>
          <w:rFonts w:hint="eastAsia"/>
          <w:color w:val="auto"/>
          <w:sz w:val="24"/>
          <w:highlight w:val="none"/>
        </w:rPr>
        <w:t>与</w:t>
      </w:r>
      <w:r>
        <w:rPr>
          <w:color w:val="auto"/>
          <w:sz w:val="24"/>
          <w:highlight w:val="none"/>
        </w:rPr>
        <w:t>采购单位签订合同。合同签订后成交供应商方可履约，否则引起的一切后果由成交人自行承担。纸质合同一式</w:t>
      </w:r>
      <w:r>
        <w:rPr>
          <w:rFonts w:hint="eastAsia"/>
          <w:color w:val="auto"/>
          <w:sz w:val="24"/>
          <w:highlight w:val="none"/>
        </w:rPr>
        <w:t>捌</w:t>
      </w:r>
      <w:r>
        <w:rPr>
          <w:color w:val="auto"/>
          <w:sz w:val="24"/>
          <w:highlight w:val="none"/>
        </w:rPr>
        <w:t>份，采购人</w:t>
      </w:r>
      <w:r>
        <w:rPr>
          <w:rFonts w:hint="eastAsia"/>
          <w:color w:val="auto"/>
          <w:sz w:val="24"/>
          <w:highlight w:val="none"/>
        </w:rPr>
        <w:t>伍份，</w:t>
      </w:r>
      <w:r>
        <w:rPr>
          <w:color w:val="auto"/>
          <w:sz w:val="24"/>
          <w:highlight w:val="none"/>
        </w:rPr>
        <w:t>供应商</w:t>
      </w:r>
      <w:r>
        <w:rPr>
          <w:rFonts w:hint="eastAsia"/>
          <w:color w:val="auto"/>
          <w:sz w:val="24"/>
          <w:highlight w:val="none"/>
        </w:rPr>
        <w:t>叁</w:t>
      </w:r>
      <w:r>
        <w:rPr>
          <w:color w:val="auto"/>
          <w:sz w:val="24"/>
          <w:highlight w:val="none"/>
        </w:rPr>
        <w:t>份。所签合同不得对采购文件作实质性修改。采购单位不得向成交供应商提出不合理的要求作为签订合同的条件，不得与成交供应商私下订立背离采购文件实质性内容的协议。</w:t>
      </w:r>
    </w:p>
    <w:p w14:paraId="7FE08B8D">
      <w:pPr>
        <w:snapToGrid w:val="0"/>
        <w:spacing w:line="360" w:lineRule="auto"/>
        <w:ind w:firstLine="480" w:firstLineChars="200"/>
        <w:jc w:val="left"/>
        <w:rPr>
          <w:color w:val="auto"/>
          <w:sz w:val="24"/>
          <w:highlight w:val="none"/>
        </w:rPr>
      </w:pPr>
      <w:r>
        <w:rPr>
          <w:color w:val="auto"/>
          <w:sz w:val="24"/>
          <w:highlight w:val="none"/>
        </w:rPr>
        <w:t>二、采购人按合同约定积极配合成交供应商履约，</w:t>
      </w:r>
      <w:r>
        <w:rPr>
          <w:rFonts w:hint="eastAsia"/>
          <w:color w:val="auto"/>
          <w:sz w:val="24"/>
          <w:highlight w:val="none"/>
        </w:rPr>
        <w:t>采购人对成交供应商提交的货物依据采购文件、合同上的技术规格要求和国家有关质量标准进行现场验收，符合采购文件技术要求的，给予签收，验收不合格的不予签收。验收时成交供应商必须在现场，验收完毕后作出验收结果报告。供货完毕验收合格后，以采购人签发的验收单作为付款依据。</w:t>
      </w:r>
    </w:p>
    <w:p w14:paraId="564D09A3">
      <w:pPr>
        <w:snapToGrid w:val="0"/>
        <w:spacing w:line="360" w:lineRule="auto"/>
        <w:ind w:firstLine="480" w:firstLineChars="200"/>
        <w:jc w:val="left"/>
        <w:rPr>
          <w:color w:val="auto"/>
          <w:sz w:val="24"/>
          <w:highlight w:val="none"/>
        </w:rPr>
      </w:pPr>
      <w:r>
        <w:rPr>
          <w:color w:val="auto"/>
          <w:sz w:val="24"/>
          <w:highlight w:val="none"/>
        </w:rPr>
        <w:t>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14:paraId="254112E8">
      <w:pPr>
        <w:snapToGrid w:val="0"/>
        <w:spacing w:line="360" w:lineRule="auto"/>
        <w:ind w:firstLine="480" w:firstLineChars="200"/>
        <w:jc w:val="left"/>
        <w:rPr>
          <w:color w:val="auto"/>
          <w:sz w:val="24"/>
          <w:highlight w:val="none"/>
        </w:rPr>
      </w:pPr>
      <w:r>
        <w:rPr>
          <w:color w:val="auto"/>
          <w:sz w:val="24"/>
          <w:highlight w:val="none"/>
        </w:rPr>
        <w:t>四、成交供应商出现违约情形，应当及时纠正或补偿；造成损失的，按合同约定追究违约责任；发现有假冒、伪劣、走私产品、商业贿赂等违法情形的，应由采购人移交工商、质监、公安等行政执法部门依法查处。</w:t>
      </w:r>
    </w:p>
    <w:p w14:paraId="2C8F9393">
      <w:pPr>
        <w:snapToGrid w:val="0"/>
        <w:spacing w:line="360" w:lineRule="auto"/>
        <w:ind w:firstLine="482" w:firstLineChars="200"/>
        <w:jc w:val="left"/>
        <w:rPr>
          <w:b/>
          <w:color w:val="auto"/>
          <w:sz w:val="24"/>
          <w:highlight w:val="none"/>
        </w:rPr>
      </w:pPr>
      <w:r>
        <w:rPr>
          <w:b/>
          <w:color w:val="auto"/>
          <w:sz w:val="24"/>
          <w:highlight w:val="none"/>
        </w:rPr>
        <w:t>五、不响应付款方式的，视同响应文件无效处理。</w:t>
      </w:r>
    </w:p>
    <w:p w14:paraId="1D7CD77E">
      <w:pPr>
        <w:snapToGrid w:val="0"/>
        <w:spacing w:line="360" w:lineRule="auto"/>
        <w:ind w:firstLine="480" w:firstLineChars="200"/>
        <w:jc w:val="left"/>
        <w:rPr>
          <w:color w:val="auto"/>
          <w:sz w:val="24"/>
          <w:highlight w:val="none"/>
        </w:rPr>
      </w:pPr>
      <w:r>
        <w:rPr>
          <w:color w:val="auto"/>
          <w:sz w:val="24"/>
          <w:highlight w:val="none"/>
        </w:rPr>
        <w:t>款项由采购人按相关财务支付规定办理支付手续。</w:t>
      </w:r>
    </w:p>
    <w:p w14:paraId="61A3E673">
      <w:pPr>
        <w:snapToGrid w:val="0"/>
        <w:spacing w:line="360" w:lineRule="auto"/>
        <w:ind w:firstLine="480" w:firstLineChars="200"/>
        <w:jc w:val="left"/>
        <w:rPr>
          <w:color w:val="auto"/>
          <w:sz w:val="24"/>
          <w:highlight w:val="none"/>
        </w:rPr>
      </w:pPr>
      <w:r>
        <w:rPr>
          <w:color w:val="auto"/>
          <w:sz w:val="24"/>
          <w:highlight w:val="none"/>
        </w:rPr>
        <w:t>每次付款前，成交供应商须根据结算金额按国家有关财税规定开出合法发票交采购方办理付款手续。</w:t>
      </w:r>
    </w:p>
    <w:p w14:paraId="56C33BCD">
      <w:pPr>
        <w:numPr>
          <w:ilvl w:val="0"/>
          <w:numId w:val="6"/>
        </w:numPr>
        <w:snapToGrid w:val="0"/>
        <w:spacing w:line="360" w:lineRule="auto"/>
        <w:ind w:firstLine="482" w:firstLineChars="200"/>
        <w:jc w:val="left"/>
        <w:rPr>
          <w:rFonts w:hint="eastAsia"/>
          <w:b/>
          <w:color w:val="auto"/>
          <w:sz w:val="24"/>
          <w:highlight w:val="none"/>
        </w:rPr>
      </w:pPr>
      <w:r>
        <w:rPr>
          <w:rFonts w:hint="eastAsia"/>
          <w:b/>
          <w:color w:val="auto"/>
          <w:sz w:val="24"/>
          <w:highlight w:val="none"/>
        </w:rPr>
        <w:t>样本合同</w:t>
      </w:r>
    </w:p>
    <w:p w14:paraId="460AFA8F">
      <w:pPr>
        <w:rPr>
          <w:rFonts w:hint="eastAsia" w:ascii="宋体" w:hAnsi="宋体" w:eastAsia="黑体"/>
          <w:color w:val="auto"/>
          <w:sz w:val="24"/>
          <w:szCs w:val="32"/>
          <w:highlight w:val="none"/>
        </w:rPr>
      </w:pPr>
      <w:r>
        <w:rPr>
          <w:rFonts w:hint="eastAsia" w:ascii="宋体" w:hAnsi="宋体" w:eastAsia="黑体"/>
          <w:color w:val="auto"/>
          <w:sz w:val="24"/>
          <w:szCs w:val="32"/>
          <w:highlight w:val="none"/>
        </w:rPr>
        <w:br w:type="page"/>
      </w:r>
    </w:p>
    <w:p w14:paraId="0E5B2CA1">
      <w:pPr>
        <w:keepNext/>
        <w:keepLines/>
        <w:jc w:val="center"/>
        <w:outlineLvl w:val="1"/>
        <w:rPr>
          <w:rFonts w:hint="eastAsia" w:ascii="宋体" w:hAnsi="宋体" w:eastAsia="黑体"/>
          <w:color w:val="auto"/>
          <w:sz w:val="24"/>
          <w:szCs w:val="32"/>
          <w:highlight w:val="none"/>
        </w:rPr>
      </w:pPr>
      <w:r>
        <w:rPr>
          <w:rFonts w:hint="eastAsia" w:ascii="宋体" w:hAnsi="宋体" w:eastAsia="黑体"/>
          <w:color w:val="auto"/>
          <w:sz w:val="24"/>
          <w:szCs w:val="32"/>
          <w:highlight w:val="none"/>
        </w:rPr>
        <w:t>（以下为中标后签订本项目合同的通用条款）</w:t>
      </w:r>
    </w:p>
    <w:p w14:paraId="2F947B00">
      <w:pPr>
        <w:numPr>
          <w:ilvl w:val="0"/>
          <w:numId w:val="0"/>
        </w:numPr>
        <w:snapToGrid w:val="0"/>
        <w:spacing w:line="360" w:lineRule="auto"/>
        <w:jc w:val="left"/>
        <w:rPr>
          <w:rFonts w:hint="eastAsia"/>
          <w:b/>
          <w:color w:val="auto"/>
          <w:sz w:val="24"/>
          <w:highlight w:val="none"/>
        </w:rPr>
      </w:pPr>
    </w:p>
    <w:p w14:paraId="2CA24672">
      <w:pPr>
        <w:keepNext w:val="0"/>
        <w:keepLines w:val="0"/>
        <w:pageBreakBefore w:val="0"/>
        <w:widowControl w:val="0"/>
        <w:kinsoku/>
        <w:wordWrap/>
        <w:overflowPunct/>
        <w:topLinePunct w:val="0"/>
        <w:autoSpaceDE/>
        <w:autoSpaceDN/>
        <w:bidi w:val="0"/>
        <w:adjustRightInd w:val="0"/>
        <w:snapToGrid/>
        <w:spacing w:line="440" w:lineRule="exact"/>
        <w:ind w:firstLine="482" w:firstLineChars="200"/>
        <w:jc w:val="left"/>
        <w:textAlignment w:val="auto"/>
        <w:rPr>
          <w:rFonts w:ascii="宋体"/>
          <w:b/>
          <w:color w:val="auto"/>
          <w:sz w:val="24"/>
          <w:szCs w:val="24"/>
          <w:highlight w:val="none"/>
          <w:u w:val="single"/>
        </w:rPr>
      </w:pPr>
      <w:r>
        <w:rPr>
          <w:rFonts w:hint="eastAsia" w:ascii="宋体" w:hAnsi="宋体"/>
          <w:b/>
          <w:color w:val="auto"/>
          <w:sz w:val="24"/>
          <w:szCs w:val="24"/>
          <w:highlight w:val="none"/>
        </w:rPr>
        <w:t>发包人（全称）：</w:t>
      </w:r>
      <w:r>
        <w:rPr>
          <w:rFonts w:hint="eastAsia" w:ascii="仿宋" w:hAnsi="仿宋" w:eastAsia="仿宋" w:cs="仿宋"/>
          <w:b/>
          <w:bCs/>
          <w:color w:val="auto"/>
          <w:kern w:val="0"/>
          <w:sz w:val="24"/>
          <w:szCs w:val="24"/>
          <w:highlight w:val="none"/>
          <w:u w:val="single"/>
        </w:rPr>
        <w:t>南通市市政设施管理处</w:t>
      </w:r>
    </w:p>
    <w:p w14:paraId="724AE932">
      <w:pPr>
        <w:keepNext w:val="0"/>
        <w:keepLines w:val="0"/>
        <w:pageBreakBefore w:val="0"/>
        <w:widowControl w:val="0"/>
        <w:kinsoku/>
        <w:wordWrap/>
        <w:overflowPunct/>
        <w:topLinePunct w:val="0"/>
        <w:autoSpaceDE/>
        <w:autoSpaceDN/>
        <w:bidi w:val="0"/>
        <w:adjustRightInd w:val="0"/>
        <w:snapToGrid/>
        <w:spacing w:line="440" w:lineRule="exact"/>
        <w:ind w:firstLine="482" w:firstLineChars="200"/>
        <w:jc w:val="left"/>
        <w:textAlignment w:val="auto"/>
        <w:rPr>
          <w:rFonts w:hint="eastAsia" w:ascii="仿宋" w:hAnsi="仿宋" w:eastAsia="宋体" w:cs="仿宋"/>
          <w:b/>
          <w:bCs/>
          <w:color w:val="auto"/>
          <w:kern w:val="0"/>
          <w:sz w:val="24"/>
          <w:szCs w:val="24"/>
          <w:highlight w:val="none"/>
          <w:u w:val="single"/>
          <w:lang w:eastAsia="zh-CN"/>
        </w:rPr>
      </w:pPr>
      <w:r>
        <w:rPr>
          <w:rFonts w:hint="eastAsia" w:ascii="宋体" w:hAnsi="宋体"/>
          <w:b/>
          <w:color w:val="auto"/>
          <w:sz w:val="24"/>
          <w:szCs w:val="24"/>
          <w:highlight w:val="none"/>
        </w:rPr>
        <w:t>承包人（全称）：</w:t>
      </w:r>
      <w:r>
        <w:rPr>
          <w:rFonts w:hint="eastAsia" w:ascii="仿宋" w:hAnsi="仿宋" w:eastAsia="仿宋" w:cs="仿宋"/>
          <w:b/>
          <w:bCs/>
          <w:color w:val="auto"/>
          <w:kern w:val="0"/>
          <w:sz w:val="24"/>
          <w:szCs w:val="24"/>
          <w:highlight w:val="none"/>
          <w:u w:val="single"/>
          <w:lang w:val="en-US" w:eastAsia="zh-CN"/>
        </w:rPr>
        <w:t>成交单位</w:t>
      </w:r>
    </w:p>
    <w:p w14:paraId="3AD64FFD">
      <w:pPr>
        <w:keepNext w:val="0"/>
        <w:keepLines w:val="0"/>
        <w:pageBreakBefore w:val="0"/>
        <w:widowControl w:val="0"/>
        <w:tabs>
          <w:tab w:val="left" w:pos="2020"/>
          <w:tab w:val="center" w:pos="4535"/>
        </w:tabs>
        <w:kinsoku/>
        <w:wordWrap/>
        <w:overflowPunct/>
        <w:topLinePunct w:val="0"/>
        <w:autoSpaceDE/>
        <w:autoSpaceDN/>
        <w:bidi w:val="0"/>
        <w:adjustRightInd w:val="0"/>
        <w:snapToGrid/>
        <w:spacing w:line="440" w:lineRule="exact"/>
        <w:ind w:firstLine="480" w:firstLineChars="200"/>
        <w:jc w:val="left"/>
        <w:textAlignment w:val="auto"/>
        <w:outlineLvl w:val="0"/>
        <w:rPr>
          <w:rFonts w:ascii="宋体" w:hAnsi="宋体" w:cs="宋体"/>
          <w:bCs/>
          <w:color w:val="auto"/>
          <w:sz w:val="24"/>
          <w:szCs w:val="24"/>
          <w:highlight w:val="none"/>
        </w:rPr>
      </w:pPr>
      <w:r>
        <w:rPr>
          <w:rFonts w:hint="eastAsia" w:ascii="宋体" w:hAnsi="宋体" w:cs="宋体"/>
          <w:bCs/>
          <w:color w:val="auto"/>
          <w:sz w:val="24"/>
          <w:szCs w:val="24"/>
          <w:highlight w:val="none"/>
        </w:rPr>
        <w:t>依照《中华人民共和国民法典》、《中华人民共和国建筑法》及其他有关法律、行政法规，遵循平等、自愿、公平和诚实信用的原则，双方就本工程施工事项协商一致，订立本合同。</w:t>
      </w:r>
    </w:p>
    <w:p w14:paraId="14422F44">
      <w:pPr>
        <w:keepNext w:val="0"/>
        <w:keepLines w:val="0"/>
        <w:pageBreakBefore w:val="0"/>
        <w:widowControl w:val="0"/>
        <w:kinsoku/>
        <w:wordWrap/>
        <w:overflowPunct/>
        <w:topLinePunct w:val="0"/>
        <w:autoSpaceDE/>
        <w:autoSpaceDN/>
        <w:bidi w:val="0"/>
        <w:adjustRightInd w:val="0"/>
        <w:snapToGrid/>
        <w:spacing w:line="440" w:lineRule="exact"/>
        <w:textAlignment w:val="auto"/>
        <w:rPr>
          <w:rFonts w:ascii="宋体"/>
          <w:b/>
          <w:color w:val="auto"/>
          <w:sz w:val="24"/>
          <w:szCs w:val="24"/>
          <w:highlight w:val="none"/>
        </w:rPr>
      </w:pPr>
      <w:r>
        <w:rPr>
          <w:rFonts w:hint="eastAsia" w:ascii="宋体" w:hAnsi="宋体"/>
          <w:b/>
          <w:color w:val="auto"/>
          <w:sz w:val="24"/>
          <w:szCs w:val="24"/>
          <w:highlight w:val="none"/>
        </w:rPr>
        <w:t>一、工程概况</w:t>
      </w:r>
    </w:p>
    <w:p w14:paraId="41DF1F01">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jc w:val="left"/>
        <w:textAlignment w:val="auto"/>
        <w:rPr>
          <w:rFonts w:hint="eastAsia" w:ascii="仿宋" w:hAnsi="仿宋" w:eastAsia="仿宋" w:cs="仿宋"/>
          <w:b/>
          <w:bCs/>
          <w:color w:val="auto"/>
          <w:kern w:val="0"/>
          <w:sz w:val="24"/>
          <w:szCs w:val="24"/>
          <w:highlight w:val="none"/>
          <w:u w:val="single"/>
          <w:lang w:eastAsia="zh-CN"/>
        </w:rPr>
      </w:pPr>
      <w:r>
        <w:rPr>
          <w:rFonts w:hint="eastAsia" w:ascii="宋体" w:hAnsi="宋体"/>
          <w:color w:val="auto"/>
          <w:sz w:val="24"/>
          <w:szCs w:val="24"/>
          <w:highlight w:val="none"/>
        </w:rPr>
        <w:t>工程名称：</w:t>
      </w:r>
      <w:r>
        <w:rPr>
          <w:rFonts w:hint="eastAsia" w:ascii="仿宋" w:hAnsi="仿宋" w:eastAsia="仿宋" w:cs="仿宋"/>
          <w:b/>
          <w:bCs/>
          <w:color w:val="auto"/>
          <w:kern w:val="0"/>
          <w:sz w:val="24"/>
          <w:szCs w:val="24"/>
          <w:highlight w:val="none"/>
          <w:u w:val="single"/>
          <w:lang w:val="en-US" w:eastAsia="zh-CN"/>
        </w:rPr>
        <w:t>南通市市政设施管理处……项目</w:t>
      </w:r>
      <w:r>
        <w:rPr>
          <w:rFonts w:hint="eastAsia" w:ascii="仿宋" w:hAnsi="仿宋" w:eastAsia="仿宋" w:cs="仿宋"/>
          <w:b/>
          <w:bCs/>
          <w:color w:val="auto"/>
          <w:kern w:val="0"/>
          <w:sz w:val="24"/>
          <w:szCs w:val="24"/>
          <w:highlight w:val="none"/>
          <w:u w:val="single"/>
          <w:lang w:eastAsia="zh-CN"/>
        </w:rPr>
        <w:t>；</w:t>
      </w:r>
    </w:p>
    <w:p w14:paraId="4B158B5C">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jc w:val="left"/>
        <w:textAlignment w:val="auto"/>
        <w:rPr>
          <w:rFonts w:hint="eastAsia" w:ascii="仿宋" w:hAnsi="仿宋" w:eastAsia="仿宋" w:cs="仿宋"/>
          <w:b/>
          <w:bCs/>
          <w:color w:val="auto"/>
          <w:kern w:val="0"/>
          <w:sz w:val="24"/>
          <w:szCs w:val="24"/>
          <w:highlight w:val="none"/>
          <w:u w:val="single"/>
          <w:lang w:val="en-US" w:eastAsia="zh-CN"/>
        </w:rPr>
      </w:pPr>
      <w:r>
        <w:rPr>
          <w:rFonts w:hint="eastAsia" w:ascii="宋体" w:hAnsi="宋体"/>
          <w:color w:val="auto"/>
          <w:sz w:val="24"/>
          <w:szCs w:val="24"/>
          <w:highlight w:val="none"/>
        </w:rPr>
        <w:t>工程地点：</w:t>
      </w:r>
      <w:r>
        <w:rPr>
          <w:rFonts w:hint="eastAsia" w:ascii="仿宋" w:hAnsi="仿宋" w:eastAsia="仿宋" w:cs="仿宋"/>
          <w:b/>
          <w:bCs/>
          <w:color w:val="auto"/>
          <w:spacing w:val="-4"/>
          <w:sz w:val="24"/>
          <w:szCs w:val="24"/>
          <w:highlight w:val="none"/>
          <w:u w:val="single"/>
          <w:lang w:val="en-US" w:eastAsia="zh-CN"/>
        </w:rPr>
        <w:t>南通市区</w:t>
      </w:r>
      <w:r>
        <w:rPr>
          <w:rFonts w:hint="eastAsia" w:ascii="仿宋" w:hAnsi="仿宋" w:eastAsia="仿宋" w:cs="仿宋"/>
          <w:b/>
          <w:bCs/>
          <w:color w:val="auto"/>
          <w:kern w:val="0"/>
          <w:sz w:val="24"/>
          <w:szCs w:val="24"/>
          <w:highlight w:val="none"/>
          <w:u w:val="single"/>
          <w:lang w:val="en-US" w:eastAsia="zh-CN"/>
        </w:rPr>
        <w:t>；</w:t>
      </w:r>
    </w:p>
    <w:p w14:paraId="27FF247B">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jc w:val="left"/>
        <w:textAlignment w:val="auto"/>
        <w:rPr>
          <w:rFonts w:hint="eastAsia" w:ascii="仿宋" w:hAnsi="仿宋" w:eastAsia="仿宋" w:cs="仿宋"/>
          <w:b/>
          <w:bCs/>
          <w:color w:val="auto"/>
          <w:kern w:val="0"/>
          <w:sz w:val="24"/>
          <w:szCs w:val="24"/>
          <w:highlight w:val="none"/>
          <w:u w:val="single"/>
          <w:lang w:val="en-US" w:eastAsia="zh-CN"/>
        </w:rPr>
      </w:pPr>
      <w:r>
        <w:rPr>
          <w:rFonts w:hint="eastAsia" w:ascii="宋体" w:hAnsi="宋体"/>
          <w:color w:val="auto"/>
          <w:sz w:val="24"/>
          <w:szCs w:val="24"/>
          <w:highlight w:val="none"/>
        </w:rPr>
        <w:t>资金来源：</w:t>
      </w:r>
      <w:r>
        <w:rPr>
          <w:rFonts w:hint="eastAsia" w:ascii="仿宋" w:hAnsi="仿宋" w:eastAsia="仿宋" w:cs="仿宋"/>
          <w:b/>
          <w:bCs/>
          <w:color w:val="auto"/>
          <w:kern w:val="0"/>
          <w:sz w:val="24"/>
          <w:szCs w:val="24"/>
          <w:highlight w:val="none"/>
          <w:u w:val="single"/>
          <w:lang w:val="en-US" w:eastAsia="zh-CN"/>
        </w:rPr>
        <w:t>财政资金；</w:t>
      </w:r>
    </w:p>
    <w:p w14:paraId="7446891B">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jc w:val="left"/>
        <w:textAlignment w:val="auto"/>
        <w:rPr>
          <w:rFonts w:hint="default" w:ascii="仿宋" w:hAnsi="仿宋" w:eastAsia="仿宋" w:cs="仿宋"/>
          <w:b/>
          <w:bCs/>
          <w:color w:val="auto"/>
          <w:sz w:val="24"/>
          <w:szCs w:val="24"/>
          <w:highlight w:val="none"/>
          <w:u w:val="single"/>
          <w:lang w:val="en-US" w:eastAsia="zh-CN"/>
        </w:rPr>
      </w:pPr>
      <w:r>
        <w:rPr>
          <w:rFonts w:hint="eastAsia" w:ascii="宋体" w:hAnsi="宋体" w:eastAsia="宋体" w:cs="Times New Roman"/>
          <w:color w:val="auto"/>
          <w:sz w:val="24"/>
          <w:szCs w:val="24"/>
          <w:highlight w:val="none"/>
          <w:lang w:val="en-US" w:eastAsia="zh-CN"/>
        </w:rPr>
        <w:t>工作内容：</w:t>
      </w:r>
      <w:r>
        <w:rPr>
          <w:rFonts w:hint="eastAsia" w:ascii="仿宋" w:hAnsi="仿宋" w:eastAsia="仿宋" w:cs="仿宋"/>
          <w:b/>
          <w:bCs/>
          <w:color w:val="auto"/>
          <w:kern w:val="0"/>
          <w:sz w:val="24"/>
          <w:szCs w:val="24"/>
          <w:highlight w:val="none"/>
          <w:u w:val="single"/>
          <w:lang w:val="en-US" w:eastAsia="zh-CN"/>
        </w:rPr>
        <w:t>……。</w:t>
      </w:r>
    </w:p>
    <w:p w14:paraId="7DAE30B8">
      <w:pPr>
        <w:keepNext w:val="0"/>
        <w:keepLines w:val="0"/>
        <w:pageBreakBefore w:val="0"/>
        <w:widowControl w:val="0"/>
        <w:kinsoku/>
        <w:wordWrap/>
        <w:overflowPunct/>
        <w:topLinePunct w:val="0"/>
        <w:autoSpaceDE/>
        <w:autoSpaceDN/>
        <w:bidi w:val="0"/>
        <w:adjustRightInd w:val="0"/>
        <w:snapToGrid/>
        <w:spacing w:line="440" w:lineRule="exact"/>
        <w:textAlignment w:val="auto"/>
        <w:rPr>
          <w:rFonts w:ascii="宋体"/>
          <w:b/>
          <w:color w:val="auto"/>
          <w:sz w:val="24"/>
          <w:szCs w:val="24"/>
          <w:highlight w:val="none"/>
        </w:rPr>
      </w:pPr>
      <w:r>
        <w:rPr>
          <w:rFonts w:hint="eastAsia" w:ascii="宋体" w:hAnsi="宋体"/>
          <w:b/>
          <w:color w:val="auto"/>
          <w:sz w:val="24"/>
          <w:szCs w:val="24"/>
          <w:highlight w:val="none"/>
        </w:rPr>
        <w:t>二、工程承包形式</w:t>
      </w:r>
    </w:p>
    <w:p w14:paraId="15B64A05">
      <w:pPr>
        <w:keepNext w:val="0"/>
        <w:keepLines w:val="0"/>
        <w:pageBreakBefore w:val="0"/>
        <w:widowControl w:val="0"/>
        <w:kinsoku/>
        <w:wordWrap/>
        <w:overflowPunct/>
        <w:topLinePunct w:val="0"/>
        <w:autoSpaceDE/>
        <w:autoSpaceDN/>
        <w:bidi w:val="0"/>
        <w:adjustRightInd w:val="0"/>
        <w:snapToGrid/>
        <w:spacing w:line="440" w:lineRule="exact"/>
        <w:ind w:firstLine="482" w:firstLineChars="200"/>
        <w:jc w:val="left"/>
        <w:textAlignment w:val="auto"/>
        <w:rPr>
          <w:rFonts w:hint="eastAsia" w:ascii="仿宋" w:hAnsi="仿宋" w:eastAsia="仿宋" w:cs="仿宋"/>
          <w:b/>
          <w:bCs/>
          <w:color w:val="auto"/>
          <w:kern w:val="0"/>
          <w:sz w:val="24"/>
          <w:szCs w:val="24"/>
          <w:highlight w:val="none"/>
          <w:u w:val="single"/>
          <w:lang w:eastAsia="zh-CN"/>
        </w:rPr>
      </w:pPr>
      <w:r>
        <w:rPr>
          <w:rFonts w:hint="eastAsia" w:ascii="仿宋" w:hAnsi="仿宋" w:eastAsia="仿宋" w:cs="仿宋"/>
          <w:b/>
          <w:bCs/>
          <w:color w:val="auto"/>
          <w:kern w:val="0"/>
          <w:sz w:val="24"/>
          <w:szCs w:val="24"/>
          <w:highlight w:val="none"/>
          <w:u w:val="single"/>
        </w:rPr>
        <w:t>包工包料</w:t>
      </w:r>
      <w:r>
        <w:rPr>
          <w:rFonts w:hint="eastAsia" w:ascii="仿宋" w:hAnsi="仿宋" w:eastAsia="仿宋" w:cs="仿宋"/>
          <w:b/>
          <w:bCs/>
          <w:color w:val="auto"/>
          <w:kern w:val="0"/>
          <w:sz w:val="24"/>
          <w:szCs w:val="24"/>
          <w:highlight w:val="none"/>
          <w:u w:val="single"/>
          <w:lang w:eastAsia="zh-CN"/>
        </w:rPr>
        <w:t>。</w:t>
      </w:r>
    </w:p>
    <w:p w14:paraId="631DAAA4">
      <w:pPr>
        <w:keepNext w:val="0"/>
        <w:keepLines w:val="0"/>
        <w:pageBreakBefore w:val="0"/>
        <w:widowControl w:val="0"/>
        <w:kinsoku/>
        <w:wordWrap/>
        <w:overflowPunct/>
        <w:topLinePunct w:val="0"/>
        <w:autoSpaceDE/>
        <w:autoSpaceDN/>
        <w:bidi w:val="0"/>
        <w:adjustRightInd w:val="0"/>
        <w:snapToGrid/>
        <w:spacing w:line="440" w:lineRule="exact"/>
        <w:textAlignment w:val="auto"/>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rPr>
        <w:t>三、</w:t>
      </w:r>
      <w:r>
        <w:rPr>
          <w:rFonts w:hint="eastAsia" w:ascii="宋体" w:hAnsi="宋体"/>
          <w:b/>
          <w:color w:val="auto"/>
          <w:sz w:val="24"/>
          <w:szCs w:val="24"/>
          <w:highlight w:val="none"/>
          <w:lang w:val="en-US" w:eastAsia="zh-CN"/>
        </w:rPr>
        <w:t>服务期限</w:t>
      </w:r>
    </w:p>
    <w:p w14:paraId="5870E193">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jc w:val="left"/>
        <w:textAlignment w:val="auto"/>
        <w:rPr>
          <w:rFonts w:hint="eastAsia" w:ascii="仿宋" w:hAnsi="仿宋" w:eastAsia="仿宋" w:cs="仿宋"/>
          <w:b/>
          <w:bCs/>
          <w:color w:val="auto"/>
          <w:sz w:val="24"/>
          <w:szCs w:val="24"/>
          <w:highlight w:val="none"/>
          <w:u w:val="single"/>
        </w:rPr>
      </w:pPr>
      <w:r>
        <w:rPr>
          <w:rFonts w:hint="eastAsia" w:ascii="宋体" w:hAnsi="宋体" w:cs="宋体"/>
          <w:color w:val="auto"/>
          <w:sz w:val="24"/>
          <w:szCs w:val="24"/>
          <w:highlight w:val="none"/>
        </w:rPr>
        <w:t>服务期限：</w:t>
      </w:r>
      <w:r>
        <w:rPr>
          <w:rFonts w:hint="eastAsia" w:ascii="仿宋" w:hAnsi="仿宋" w:eastAsia="仿宋" w:cs="仿宋"/>
          <w:b/>
          <w:bCs/>
          <w:color w:val="auto"/>
          <w:kern w:val="0"/>
          <w:sz w:val="24"/>
          <w:szCs w:val="24"/>
          <w:highlight w:val="none"/>
          <w:u w:val="single"/>
          <w:lang w:val="en-US" w:eastAsia="zh-CN"/>
        </w:rPr>
        <w:t>……</w:t>
      </w:r>
      <w:r>
        <w:rPr>
          <w:rFonts w:hint="eastAsia" w:ascii="仿宋" w:hAnsi="仿宋" w:eastAsia="仿宋" w:cs="仿宋"/>
          <w:b/>
          <w:bCs/>
          <w:color w:val="auto"/>
          <w:sz w:val="24"/>
          <w:szCs w:val="24"/>
          <w:highlight w:val="none"/>
          <w:u w:val="single"/>
        </w:rPr>
        <w:t>。</w:t>
      </w:r>
    </w:p>
    <w:p w14:paraId="54C554CF">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jc w:val="left"/>
        <w:textAlignment w:val="auto"/>
        <w:rPr>
          <w:rFonts w:hint="eastAsia" w:ascii="仿宋" w:hAnsi="仿宋" w:eastAsia="仿宋" w:cs="仿宋"/>
          <w:b/>
          <w:b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服务效率：</w:t>
      </w:r>
      <w:r>
        <w:rPr>
          <w:rFonts w:hint="eastAsia" w:ascii="仿宋" w:hAnsi="仿宋" w:eastAsia="仿宋" w:cs="仿宋"/>
          <w:b/>
          <w:bCs/>
          <w:color w:val="auto"/>
          <w:kern w:val="0"/>
          <w:sz w:val="24"/>
          <w:szCs w:val="24"/>
          <w:highlight w:val="none"/>
          <w:u w:val="single"/>
          <w:lang w:val="en-US" w:eastAsia="zh-CN"/>
        </w:rPr>
        <w:t>……</w:t>
      </w:r>
      <w:r>
        <w:rPr>
          <w:rFonts w:hint="eastAsia" w:ascii="仿宋" w:hAnsi="仿宋" w:eastAsia="仿宋" w:cs="仿宋"/>
          <w:b/>
          <w:bCs/>
          <w:color w:val="auto"/>
          <w:sz w:val="24"/>
          <w:szCs w:val="24"/>
          <w:highlight w:val="none"/>
          <w:u w:val="single"/>
          <w:lang w:val="en-US" w:eastAsia="zh-CN"/>
        </w:rPr>
        <w:t>。</w:t>
      </w:r>
    </w:p>
    <w:p w14:paraId="0D444C00">
      <w:pPr>
        <w:keepNext w:val="0"/>
        <w:keepLines w:val="0"/>
        <w:pageBreakBefore w:val="0"/>
        <w:widowControl w:val="0"/>
        <w:kinsoku/>
        <w:wordWrap/>
        <w:overflowPunct/>
        <w:topLinePunct w:val="0"/>
        <w:autoSpaceDE/>
        <w:autoSpaceDN/>
        <w:bidi w:val="0"/>
        <w:adjustRightInd w:val="0"/>
        <w:snapToGrid/>
        <w:spacing w:line="440" w:lineRule="exact"/>
        <w:ind w:firstLine="482" w:firstLineChars="200"/>
        <w:jc w:val="left"/>
        <w:textAlignment w:val="auto"/>
        <w:rPr>
          <w:rFonts w:hint="eastAsia" w:ascii="仿宋" w:hAnsi="仿宋" w:eastAsia="仿宋" w:cs="仿宋"/>
          <w:b/>
          <w:bCs/>
          <w:color w:val="auto"/>
          <w:sz w:val="24"/>
          <w:szCs w:val="24"/>
          <w:highlight w:val="none"/>
          <w:u w:val="single"/>
          <w:lang w:val="en-US" w:eastAsia="zh-CN"/>
        </w:rPr>
      </w:pPr>
      <w:r>
        <w:rPr>
          <w:rFonts w:hint="eastAsia" w:ascii="仿宋" w:hAnsi="仿宋" w:eastAsia="仿宋" w:cs="仿宋"/>
          <w:b/>
          <w:bCs/>
          <w:color w:val="auto"/>
          <w:sz w:val="24"/>
          <w:szCs w:val="24"/>
          <w:highlight w:val="none"/>
          <w:u w:val="single"/>
          <w:lang w:val="en-US" w:eastAsia="zh-CN"/>
        </w:rPr>
        <w:t>承包人须充分考虑测量、生产、运输、产品不符合要求返工等其他所有因素所需用时。因本项目为重要民生项目工期紧张，如因承包人导致延误超过3天，发包人有权</w:t>
      </w:r>
      <w:r>
        <w:rPr>
          <w:rFonts w:hint="eastAsia" w:ascii="仿宋" w:hAnsi="仿宋" w:eastAsia="仿宋" w:cs="仿宋"/>
          <w:b/>
          <w:bCs/>
          <w:color w:val="auto"/>
          <w:sz w:val="24"/>
          <w:szCs w:val="24"/>
          <w:highlight w:val="none"/>
          <w:u w:val="single"/>
          <w:lang w:val="en-US" w:eastAsia="zh-CN"/>
        </w:rPr>
        <w:t>罚扣履约保证金，超过7天则有权解除合同。</w:t>
      </w:r>
    </w:p>
    <w:p w14:paraId="2FC30305">
      <w:pPr>
        <w:keepNext w:val="0"/>
        <w:keepLines w:val="0"/>
        <w:pageBreakBefore w:val="0"/>
        <w:widowControl w:val="0"/>
        <w:kinsoku/>
        <w:wordWrap/>
        <w:overflowPunct/>
        <w:topLinePunct w:val="0"/>
        <w:autoSpaceDE/>
        <w:autoSpaceDN/>
        <w:bidi w:val="0"/>
        <w:adjustRightInd w:val="0"/>
        <w:snapToGrid/>
        <w:spacing w:line="440" w:lineRule="exact"/>
        <w:ind w:firstLine="482" w:firstLineChars="200"/>
        <w:jc w:val="left"/>
        <w:textAlignment w:val="auto"/>
        <w:rPr>
          <w:rFonts w:hint="default" w:ascii="仿宋" w:hAnsi="仿宋" w:eastAsia="仿宋" w:cs="仿宋"/>
          <w:b/>
          <w:bCs/>
          <w:color w:val="auto"/>
          <w:sz w:val="24"/>
          <w:szCs w:val="24"/>
          <w:highlight w:val="none"/>
          <w:u w:val="single"/>
          <w:lang w:val="en-US" w:eastAsia="zh-CN"/>
        </w:rPr>
      </w:pPr>
      <w:r>
        <w:rPr>
          <w:rFonts w:hint="eastAsia" w:ascii="仿宋" w:hAnsi="仿宋" w:eastAsia="仿宋" w:cs="仿宋"/>
          <w:b/>
          <w:bCs/>
          <w:color w:val="auto"/>
          <w:sz w:val="24"/>
          <w:szCs w:val="24"/>
          <w:highlight w:val="none"/>
          <w:u w:val="single"/>
          <w:lang w:val="en-US" w:eastAsia="zh-CN"/>
        </w:rPr>
        <w:t>合同期内根据发包人要求及时提供优质服务并自行办理车辆通行证，不能或未能及时办理通行证导致的相关后果由承包人自行承担。</w:t>
      </w:r>
    </w:p>
    <w:p w14:paraId="0B327240">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jc w:val="left"/>
        <w:textAlignment w:val="auto"/>
        <w:rPr>
          <w:rFonts w:hint="eastAsia" w:ascii="仿宋" w:hAnsi="仿宋" w:eastAsia="仿宋" w:cs="仿宋"/>
          <w:b/>
          <w:bCs/>
          <w:color w:val="auto"/>
          <w:sz w:val="24"/>
          <w:szCs w:val="24"/>
          <w:highlight w:val="none"/>
          <w:u w:val="single"/>
        </w:rPr>
      </w:pPr>
      <w:r>
        <w:rPr>
          <w:rFonts w:hint="eastAsia" w:ascii="宋体" w:hAnsi="宋体" w:cs="宋体"/>
          <w:color w:val="auto"/>
          <w:sz w:val="24"/>
          <w:szCs w:val="24"/>
          <w:highlight w:val="none"/>
        </w:rPr>
        <w:t>质量保修期：</w:t>
      </w:r>
      <w:r>
        <w:rPr>
          <w:rFonts w:hint="eastAsia" w:ascii="仿宋" w:hAnsi="仿宋" w:eastAsia="仿宋" w:cs="仿宋"/>
          <w:b/>
          <w:bCs/>
          <w:color w:val="auto"/>
          <w:kern w:val="0"/>
          <w:sz w:val="24"/>
          <w:szCs w:val="24"/>
          <w:highlight w:val="none"/>
          <w:u w:val="single"/>
          <w:lang w:val="en-US" w:eastAsia="zh-CN"/>
        </w:rPr>
        <w:t>……</w:t>
      </w:r>
      <w:r>
        <w:rPr>
          <w:rFonts w:hint="eastAsia" w:ascii="仿宋" w:hAnsi="仿宋" w:eastAsia="仿宋" w:cs="仿宋"/>
          <w:b/>
          <w:bCs/>
          <w:color w:val="auto"/>
          <w:sz w:val="24"/>
          <w:szCs w:val="24"/>
          <w:highlight w:val="none"/>
          <w:u w:val="single"/>
        </w:rPr>
        <w:t>。自工程完工验收合格之日起算。</w:t>
      </w:r>
    </w:p>
    <w:p w14:paraId="47D73EDE">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jc w:val="left"/>
        <w:textAlignment w:val="auto"/>
        <w:rPr>
          <w:rFonts w:hint="default" w:ascii="仿宋" w:hAnsi="仿宋" w:eastAsia="仿宋" w:cs="仿宋"/>
          <w:b/>
          <w:b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缺陷责任期：</w:t>
      </w:r>
      <w:r>
        <w:rPr>
          <w:rFonts w:hint="eastAsia" w:ascii="仿宋" w:hAnsi="仿宋" w:eastAsia="仿宋" w:cs="仿宋"/>
          <w:b/>
          <w:bCs/>
          <w:color w:val="auto"/>
          <w:kern w:val="0"/>
          <w:sz w:val="24"/>
          <w:szCs w:val="24"/>
          <w:highlight w:val="none"/>
          <w:u w:val="single"/>
          <w:lang w:val="en-US" w:eastAsia="zh-CN"/>
        </w:rPr>
        <w:t>……</w:t>
      </w:r>
      <w:r>
        <w:rPr>
          <w:rFonts w:hint="eastAsia" w:ascii="仿宋" w:hAnsi="仿宋" w:eastAsia="仿宋" w:cs="仿宋"/>
          <w:b/>
          <w:bCs/>
          <w:color w:val="auto"/>
          <w:sz w:val="24"/>
          <w:szCs w:val="24"/>
          <w:highlight w:val="none"/>
          <w:u w:val="single"/>
        </w:rPr>
        <w:t>。自工程完工验收合格之日起算。</w:t>
      </w:r>
    </w:p>
    <w:p w14:paraId="37BDDF13">
      <w:pPr>
        <w:keepNext w:val="0"/>
        <w:keepLines w:val="0"/>
        <w:pageBreakBefore w:val="0"/>
        <w:widowControl w:val="0"/>
        <w:kinsoku/>
        <w:wordWrap/>
        <w:overflowPunct/>
        <w:topLinePunct w:val="0"/>
        <w:autoSpaceDE/>
        <w:autoSpaceDN/>
        <w:bidi w:val="0"/>
        <w:adjustRightInd w:val="0"/>
        <w:snapToGrid/>
        <w:spacing w:line="440" w:lineRule="exact"/>
        <w:jc w:val="left"/>
        <w:textAlignment w:val="auto"/>
        <w:rPr>
          <w:rFonts w:ascii="宋体"/>
          <w:color w:val="auto"/>
          <w:sz w:val="24"/>
          <w:szCs w:val="24"/>
          <w:highlight w:val="none"/>
        </w:rPr>
      </w:pPr>
      <w:r>
        <w:rPr>
          <w:rFonts w:hint="eastAsia" w:ascii="宋体" w:hAnsi="宋体"/>
          <w:b/>
          <w:color w:val="auto"/>
          <w:sz w:val="24"/>
          <w:szCs w:val="24"/>
          <w:highlight w:val="none"/>
        </w:rPr>
        <w:t>四、质量标准</w:t>
      </w:r>
    </w:p>
    <w:p w14:paraId="5133AB71">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工程质量标准：</w:t>
      </w:r>
      <w:r>
        <w:rPr>
          <w:rFonts w:hint="eastAsia" w:ascii="仿宋" w:hAnsi="仿宋" w:eastAsia="仿宋" w:cs="仿宋"/>
          <w:b/>
          <w:bCs/>
          <w:color w:val="auto"/>
          <w:kern w:val="0"/>
          <w:sz w:val="24"/>
          <w:highlight w:val="none"/>
          <w:u w:val="single"/>
          <w:lang w:val="en-US" w:eastAsia="zh-CN"/>
        </w:rPr>
        <w:t xml:space="preserve">需满足国家相关规范，行业标准，满足设计图纸要求，满足发包人要求。 </w:t>
      </w:r>
    </w:p>
    <w:p w14:paraId="6E85BF91">
      <w:pPr>
        <w:keepNext w:val="0"/>
        <w:keepLines w:val="0"/>
        <w:pageBreakBefore w:val="0"/>
        <w:widowControl w:val="0"/>
        <w:kinsoku/>
        <w:wordWrap/>
        <w:overflowPunct/>
        <w:topLinePunct w:val="0"/>
        <w:autoSpaceDE/>
        <w:autoSpaceDN/>
        <w:bidi w:val="0"/>
        <w:adjustRightInd w:val="0"/>
        <w:snapToGrid/>
        <w:spacing w:line="440" w:lineRule="exact"/>
        <w:jc w:val="left"/>
        <w:textAlignment w:val="auto"/>
        <w:rPr>
          <w:rFonts w:ascii="宋体"/>
          <w:b/>
          <w:color w:val="auto"/>
          <w:sz w:val="24"/>
          <w:szCs w:val="24"/>
          <w:highlight w:val="none"/>
        </w:rPr>
      </w:pPr>
      <w:r>
        <w:rPr>
          <w:rFonts w:hint="eastAsia" w:ascii="宋体" w:hAnsi="宋体"/>
          <w:b/>
          <w:color w:val="auto"/>
          <w:sz w:val="24"/>
          <w:szCs w:val="24"/>
          <w:highlight w:val="none"/>
        </w:rPr>
        <w:t>五、作业标准</w:t>
      </w:r>
    </w:p>
    <w:p w14:paraId="67157812">
      <w:pPr>
        <w:keepNext w:val="0"/>
        <w:keepLines w:val="0"/>
        <w:pageBreakBefore w:val="0"/>
        <w:widowControl w:val="0"/>
        <w:kinsoku/>
        <w:wordWrap/>
        <w:overflowPunct/>
        <w:topLinePunct/>
        <w:autoSpaceDE/>
        <w:autoSpaceDN/>
        <w:bidi w:val="0"/>
        <w:adjustRightInd w:val="0"/>
        <w:snapToGrid w:val="0"/>
        <w:spacing w:line="400" w:lineRule="exact"/>
        <w:ind w:firstLine="480" w:firstLineChars="200"/>
        <w:textAlignment w:val="auto"/>
        <w:rPr>
          <w:rFonts w:hint="default" w:ascii="宋体" w:hAnsi="宋体" w:eastAsia="宋体"/>
          <w:bCs/>
          <w:color w:val="auto"/>
          <w:sz w:val="24"/>
          <w:highlight w:val="none"/>
          <w:lang w:val="en-US" w:eastAsia="zh-CN"/>
        </w:rPr>
      </w:pPr>
      <w:r>
        <w:rPr>
          <w:rFonts w:hint="eastAsia" w:ascii="宋体" w:hAnsi="宋体"/>
          <w:bCs/>
          <w:color w:val="auto"/>
          <w:sz w:val="24"/>
          <w:highlight w:val="none"/>
        </w:rPr>
        <w:t>按国家现行相关法律法规和行业标准执行，包括但不限于</w:t>
      </w:r>
      <w:r>
        <w:rPr>
          <w:rFonts w:hint="eastAsia" w:ascii="仿宋" w:hAnsi="仿宋" w:eastAsia="仿宋" w:cs="仿宋"/>
          <w:b/>
          <w:bCs/>
          <w:color w:val="auto"/>
          <w:kern w:val="0"/>
          <w:sz w:val="24"/>
          <w:szCs w:val="24"/>
          <w:highlight w:val="none"/>
          <w:u w:val="single"/>
          <w:lang w:val="en-US" w:eastAsia="zh-CN"/>
        </w:rPr>
        <w:t>……</w:t>
      </w:r>
      <w:r>
        <w:rPr>
          <w:rFonts w:hint="eastAsia" w:ascii="宋体" w:hAnsi="宋体"/>
          <w:bCs/>
          <w:color w:val="auto"/>
          <w:sz w:val="24"/>
          <w:highlight w:val="none"/>
        </w:rPr>
        <w:t>等。如有最新的执行标准、规范则满足最新的标准、规范要求，设计（或工程）对质量另有要求的，必须同时满足。</w:t>
      </w:r>
      <w:r>
        <w:rPr>
          <w:rFonts w:hint="eastAsia" w:ascii="宋体" w:hAnsi="宋体"/>
          <w:bCs/>
          <w:color w:val="auto"/>
          <w:sz w:val="24"/>
          <w:highlight w:val="none"/>
          <w:lang w:val="en-US" w:eastAsia="zh-CN"/>
        </w:rPr>
        <w:t>具体技术指标见附件1。</w:t>
      </w:r>
    </w:p>
    <w:p w14:paraId="5BB1EA7E">
      <w:pPr>
        <w:keepNext w:val="0"/>
        <w:keepLines w:val="0"/>
        <w:pageBreakBefore w:val="0"/>
        <w:widowControl w:val="0"/>
        <w:kinsoku/>
        <w:wordWrap/>
        <w:overflowPunct/>
        <w:topLinePunct w:val="0"/>
        <w:autoSpaceDE/>
        <w:autoSpaceDN/>
        <w:bidi w:val="0"/>
        <w:adjustRightInd w:val="0"/>
        <w:snapToGrid/>
        <w:spacing w:line="440" w:lineRule="exact"/>
        <w:jc w:val="left"/>
        <w:textAlignment w:val="auto"/>
        <w:rPr>
          <w:rFonts w:ascii="宋体"/>
          <w:b/>
          <w:color w:val="auto"/>
          <w:sz w:val="24"/>
          <w:szCs w:val="24"/>
          <w:highlight w:val="none"/>
        </w:rPr>
      </w:pPr>
      <w:r>
        <w:rPr>
          <w:rFonts w:hint="eastAsia" w:ascii="宋体" w:hAnsi="宋体"/>
          <w:b/>
          <w:color w:val="auto"/>
          <w:sz w:val="24"/>
          <w:szCs w:val="24"/>
          <w:highlight w:val="none"/>
          <w:lang w:val="en-US" w:eastAsia="zh-CN"/>
        </w:rPr>
        <w:t>六</w:t>
      </w:r>
      <w:r>
        <w:rPr>
          <w:rFonts w:hint="eastAsia" w:ascii="宋体" w:hAnsi="宋体"/>
          <w:b/>
          <w:color w:val="auto"/>
          <w:sz w:val="24"/>
          <w:szCs w:val="24"/>
          <w:highlight w:val="none"/>
        </w:rPr>
        <w:t>、合</w:t>
      </w:r>
      <w:r>
        <w:rPr>
          <w:rFonts w:hint="eastAsia" w:ascii="宋体" w:hAnsi="宋体"/>
          <w:b/>
          <w:color w:val="auto"/>
          <w:sz w:val="24"/>
          <w:szCs w:val="24"/>
          <w:highlight w:val="none"/>
        </w:rPr>
        <w:t>同价款</w:t>
      </w:r>
    </w:p>
    <w:p w14:paraId="21628E0A">
      <w:pPr>
        <w:keepNext w:val="0"/>
        <w:keepLines w:val="0"/>
        <w:pageBreakBefore w:val="0"/>
        <w:widowControl w:val="0"/>
        <w:kinsoku/>
        <w:wordWrap/>
        <w:overflowPunct/>
        <w:topLinePunct w:val="0"/>
        <w:autoSpaceDE/>
        <w:autoSpaceDN/>
        <w:bidi w:val="0"/>
        <w:snapToGrid/>
        <w:spacing w:line="440" w:lineRule="exact"/>
        <w:ind w:firstLine="480" w:firstLineChars="200"/>
        <w:jc w:val="left"/>
        <w:textAlignment w:val="auto"/>
        <w:rPr>
          <w:rFonts w:hint="eastAsia" w:ascii="仿宋" w:hAnsi="仿宋" w:eastAsia="仿宋" w:cs="仿宋"/>
          <w:b/>
          <w:bCs/>
          <w:color w:val="auto"/>
          <w:sz w:val="24"/>
          <w:highlight w:val="none"/>
          <w:u w:val="single"/>
          <w:lang w:val="en-US" w:eastAsia="zh-CN"/>
        </w:rPr>
      </w:pPr>
      <w:r>
        <w:rPr>
          <w:rFonts w:hint="eastAsia" w:ascii="宋体" w:hAnsi="宋体"/>
          <w:color w:val="auto"/>
          <w:sz w:val="24"/>
          <w:highlight w:val="none"/>
          <w:lang w:val="en-US" w:eastAsia="zh-CN"/>
        </w:rPr>
        <w:t>1、本项目预算金额为：</w:t>
      </w:r>
      <w:r>
        <w:rPr>
          <w:rFonts w:hint="eastAsia" w:ascii="仿宋" w:hAnsi="仿宋" w:eastAsia="仿宋" w:cs="仿宋"/>
          <w:b/>
          <w:bCs/>
          <w:color w:val="auto"/>
          <w:sz w:val="24"/>
          <w:highlight w:val="none"/>
          <w:u w:val="single"/>
          <w:lang w:val="en-US" w:eastAsia="zh-CN"/>
        </w:rPr>
        <w:t>（大写）     元整，（小写）¥     元。</w:t>
      </w:r>
    </w:p>
    <w:p w14:paraId="39205B36">
      <w:pPr>
        <w:keepNext w:val="0"/>
        <w:keepLines w:val="0"/>
        <w:pageBreakBefore w:val="0"/>
        <w:widowControl w:val="0"/>
        <w:numPr>
          <w:ilvl w:val="0"/>
          <w:numId w:val="7"/>
        </w:numPr>
        <w:kinsoku/>
        <w:wordWrap/>
        <w:overflowPunct/>
        <w:topLinePunct w:val="0"/>
        <w:autoSpaceDE/>
        <w:autoSpaceDN/>
        <w:bidi w:val="0"/>
        <w:snapToGrid/>
        <w:spacing w:line="440" w:lineRule="exact"/>
        <w:ind w:firstLine="480" w:firstLineChars="200"/>
        <w:jc w:val="left"/>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本项目价格包括采购文件规定</w:t>
      </w:r>
      <w:r>
        <w:rPr>
          <w:rFonts w:hint="eastAsia" w:ascii="宋体" w:hAnsi="宋体" w:eastAsia="宋体" w:cs="Times New Roman"/>
          <w:color w:val="auto"/>
          <w:sz w:val="24"/>
          <w:szCs w:val="24"/>
          <w:highlight w:val="none"/>
          <w:lang w:val="en-US" w:eastAsia="zh-CN"/>
        </w:rPr>
        <w:t>的……、本</w:t>
      </w:r>
      <w:r>
        <w:rPr>
          <w:rFonts w:hint="eastAsia" w:ascii="宋体" w:hAnsi="宋体"/>
          <w:color w:val="auto"/>
          <w:sz w:val="24"/>
          <w:szCs w:val="24"/>
          <w:highlight w:val="none"/>
          <w:lang w:val="en-US" w:eastAsia="zh-CN"/>
        </w:rPr>
        <w:t>项目涉及的安全文明施工措施费、管理费、利润、9%税费、规费、售后服务等为完成本项目所需的一切相关费用。</w:t>
      </w:r>
    </w:p>
    <w:p w14:paraId="42B8847F">
      <w:pPr>
        <w:keepNext w:val="0"/>
        <w:keepLines w:val="0"/>
        <w:pageBreakBefore w:val="0"/>
        <w:widowControl w:val="0"/>
        <w:kinsoku/>
        <w:wordWrap/>
        <w:overflowPunct/>
        <w:topLinePunct w:val="0"/>
        <w:autoSpaceDE/>
        <w:autoSpaceDN/>
        <w:bidi w:val="0"/>
        <w:adjustRightInd w:val="0"/>
        <w:spacing w:line="440" w:lineRule="exact"/>
        <w:jc w:val="left"/>
        <w:textAlignment w:val="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七</w:t>
      </w:r>
      <w:r>
        <w:rPr>
          <w:rFonts w:hint="eastAsia" w:ascii="宋体" w:hAnsi="宋体" w:eastAsia="宋体" w:cs="Times New Roman"/>
          <w:b/>
          <w:color w:val="auto"/>
          <w:sz w:val="24"/>
          <w:szCs w:val="24"/>
          <w:highlight w:val="none"/>
        </w:rPr>
        <w:t>、组成合同的文件</w:t>
      </w:r>
    </w:p>
    <w:p w14:paraId="7E6B8EEA">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组成本合同的文件包括：</w:t>
      </w:r>
    </w:p>
    <w:p w14:paraId="463FCA39">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1、本合同协议书；</w:t>
      </w:r>
    </w:p>
    <w:p w14:paraId="269962FE">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2、中标通知书；</w:t>
      </w:r>
    </w:p>
    <w:p w14:paraId="365E6C9D">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3、合同条款</w:t>
      </w:r>
      <w:r>
        <w:rPr>
          <w:rFonts w:hint="eastAsia" w:ascii="宋体" w:hAnsi="宋体"/>
          <w:color w:val="auto"/>
          <w:sz w:val="24"/>
          <w:szCs w:val="24"/>
          <w:highlight w:val="none"/>
        </w:rPr>
        <w:t>及其附件</w:t>
      </w:r>
      <w:r>
        <w:rPr>
          <w:rFonts w:hint="eastAsia" w:ascii="宋体" w:hAnsi="宋体"/>
          <w:color w:val="auto"/>
          <w:sz w:val="24"/>
          <w:szCs w:val="24"/>
          <w:highlight w:val="none"/>
          <w:lang w:val="en-US" w:eastAsia="zh-CN"/>
        </w:rPr>
        <w:t>；</w:t>
      </w:r>
    </w:p>
    <w:p w14:paraId="3925A889">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4、招标文件；</w:t>
      </w:r>
    </w:p>
    <w:p w14:paraId="18B0447F">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5、投标文件</w:t>
      </w:r>
      <w:r>
        <w:rPr>
          <w:rFonts w:hint="eastAsia" w:ascii="宋体" w:hAnsi="宋体"/>
          <w:color w:val="auto"/>
          <w:sz w:val="24"/>
          <w:szCs w:val="24"/>
          <w:highlight w:val="none"/>
        </w:rPr>
        <w:t>及其附件</w:t>
      </w:r>
      <w:r>
        <w:rPr>
          <w:rFonts w:hint="eastAsia" w:ascii="宋体" w:hAnsi="宋体"/>
          <w:color w:val="auto"/>
          <w:sz w:val="24"/>
          <w:szCs w:val="24"/>
          <w:highlight w:val="none"/>
          <w:lang w:val="en-US" w:eastAsia="zh-CN"/>
        </w:rPr>
        <w:t>；</w:t>
      </w:r>
    </w:p>
    <w:p w14:paraId="2FA5003B">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标准、规范及有关技术文件</w:t>
      </w:r>
      <w:r>
        <w:rPr>
          <w:rFonts w:hint="eastAsia" w:ascii="宋体" w:hAnsi="宋体"/>
          <w:color w:val="auto"/>
          <w:sz w:val="24"/>
          <w:szCs w:val="24"/>
          <w:highlight w:val="none"/>
          <w:lang w:eastAsia="zh-CN"/>
        </w:rPr>
        <w:t>；</w:t>
      </w:r>
    </w:p>
    <w:p w14:paraId="1115E6BC">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7、甲方各项考核文件；</w:t>
      </w:r>
    </w:p>
    <w:p w14:paraId="7C4C533F">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双方有关工程的洽商、变更等书面协议或文件视为本合同的组成部分。</w:t>
      </w:r>
    </w:p>
    <w:p w14:paraId="6F521B2E">
      <w:pPr>
        <w:keepNext w:val="0"/>
        <w:keepLines w:val="0"/>
        <w:pageBreakBefore w:val="0"/>
        <w:widowControl w:val="0"/>
        <w:kinsoku/>
        <w:wordWrap/>
        <w:overflowPunct/>
        <w:topLinePunct w:val="0"/>
        <w:autoSpaceDE/>
        <w:autoSpaceDN/>
        <w:bidi w:val="0"/>
        <w:adjustRightInd w:val="0"/>
        <w:spacing w:line="440" w:lineRule="exact"/>
        <w:jc w:val="left"/>
        <w:textAlignment w:val="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八</w:t>
      </w:r>
      <w:r>
        <w:rPr>
          <w:rFonts w:hint="eastAsia" w:ascii="宋体" w:hAnsi="宋体" w:eastAsia="宋体" w:cs="Times New Roman"/>
          <w:b/>
          <w:color w:val="auto"/>
          <w:sz w:val="24"/>
          <w:szCs w:val="24"/>
          <w:highlight w:val="none"/>
        </w:rPr>
        <w:t>、本协议书中有关词语含义</w:t>
      </w:r>
    </w:p>
    <w:p w14:paraId="6E941159">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本协议书中有关词语含义与</w:t>
      </w:r>
      <w:r>
        <w:rPr>
          <w:rFonts w:hint="eastAsia" w:ascii="宋体" w:hAnsi="宋体"/>
          <w:color w:val="auto"/>
          <w:sz w:val="24"/>
          <w:szCs w:val="24"/>
          <w:highlight w:val="none"/>
          <w:lang w:eastAsia="zh-CN"/>
        </w:rPr>
        <w:t>《</w:t>
      </w:r>
      <w:r>
        <w:rPr>
          <w:rFonts w:hint="eastAsia" w:ascii="宋体" w:hAnsi="宋体"/>
          <w:color w:val="auto"/>
          <w:sz w:val="24"/>
          <w:szCs w:val="24"/>
          <w:highlight w:val="none"/>
        </w:rPr>
        <w:t>建设工程施工合同</w:t>
      </w:r>
      <w:r>
        <w:rPr>
          <w:rFonts w:hint="eastAsia" w:ascii="宋体" w:hAnsi="宋体"/>
          <w:color w:val="auto"/>
          <w:sz w:val="24"/>
          <w:szCs w:val="24"/>
          <w:highlight w:val="none"/>
          <w:lang w:eastAsia="zh-CN"/>
        </w:rPr>
        <w:t>》</w:t>
      </w:r>
      <w:r>
        <w:rPr>
          <w:rFonts w:hint="eastAsia" w:ascii="宋体" w:hAnsi="宋体"/>
          <w:color w:val="auto"/>
          <w:sz w:val="24"/>
          <w:szCs w:val="24"/>
          <w:highlight w:val="none"/>
        </w:rPr>
        <w:t>（GF—2017—0201）第二部分《通用条款》中分别赋予它们的定义相同。</w:t>
      </w:r>
    </w:p>
    <w:p w14:paraId="7EE584F3">
      <w:pPr>
        <w:keepNext w:val="0"/>
        <w:keepLines w:val="0"/>
        <w:pageBreakBefore w:val="0"/>
        <w:widowControl w:val="0"/>
        <w:kinsoku/>
        <w:wordWrap/>
        <w:overflowPunct/>
        <w:topLinePunct w:val="0"/>
        <w:autoSpaceDE/>
        <w:autoSpaceDN/>
        <w:bidi w:val="0"/>
        <w:adjustRightInd w:val="0"/>
        <w:spacing w:line="440" w:lineRule="exact"/>
        <w:jc w:val="left"/>
        <w:textAlignment w:val="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九</w:t>
      </w:r>
      <w:r>
        <w:rPr>
          <w:rFonts w:hint="eastAsia" w:ascii="宋体" w:hAnsi="宋体" w:eastAsia="宋体" w:cs="Times New Roman"/>
          <w:b/>
          <w:color w:val="auto"/>
          <w:sz w:val="24"/>
          <w:szCs w:val="24"/>
          <w:highlight w:val="none"/>
        </w:rPr>
        <w:t>、保修承诺</w:t>
      </w:r>
    </w:p>
    <w:p w14:paraId="0E52D62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承包人向发包人承诺按照合同约定进行施工</w:t>
      </w:r>
      <w:r>
        <w:rPr>
          <w:rFonts w:hint="eastAsia" w:ascii="宋体" w:hAnsi="宋体"/>
          <w:color w:val="auto"/>
          <w:sz w:val="24"/>
          <w:szCs w:val="24"/>
          <w:highlight w:val="none"/>
          <w:lang w:eastAsia="zh-CN"/>
        </w:rPr>
        <w:t>，</w:t>
      </w:r>
      <w:r>
        <w:rPr>
          <w:rFonts w:hint="eastAsia" w:ascii="宋体" w:hAnsi="宋体"/>
          <w:color w:val="auto"/>
          <w:sz w:val="24"/>
          <w:szCs w:val="24"/>
          <w:highlight w:val="none"/>
        </w:rPr>
        <w:t>并在</w:t>
      </w:r>
      <w:r>
        <w:rPr>
          <w:rFonts w:hint="eastAsia" w:ascii="宋体" w:hAnsi="宋体"/>
          <w:color w:val="auto"/>
          <w:sz w:val="24"/>
          <w:szCs w:val="24"/>
          <w:highlight w:val="none"/>
          <w:lang w:val="en-US" w:eastAsia="zh-CN"/>
        </w:rPr>
        <w:t>保修</w:t>
      </w:r>
      <w:r>
        <w:rPr>
          <w:rFonts w:hint="eastAsia" w:ascii="宋体" w:hAnsi="宋体"/>
          <w:color w:val="auto"/>
          <w:sz w:val="24"/>
          <w:szCs w:val="24"/>
          <w:highlight w:val="none"/>
        </w:rPr>
        <w:t>期内承担工程质量保修责任</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发包人无需另行向承包人支付任何费用</w:t>
      </w:r>
      <w:r>
        <w:rPr>
          <w:rFonts w:hint="eastAsia" w:ascii="宋体" w:hAnsi="宋体"/>
          <w:color w:val="auto"/>
          <w:sz w:val="24"/>
          <w:szCs w:val="24"/>
          <w:highlight w:val="none"/>
        </w:rPr>
        <w:t>。</w:t>
      </w:r>
    </w:p>
    <w:p w14:paraId="224E8F09">
      <w:pPr>
        <w:keepNext w:val="0"/>
        <w:keepLines w:val="0"/>
        <w:pageBreakBefore w:val="0"/>
        <w:widowControl w:val="0"/>
        <w:kinsoku/>
        <w:wordWrap/>
        <w:overflowPunct/>
        <w:topLinePunct w:val="0"/>
        <w:autoSpaceDE/>
        <w:autoSpaceDN/>
        <w:bidi w:val="0"/>
        <w:adjustRightInd w:val="0"/>
        <w:snapToGrid w:val="0"/>
        <w:spacing w:line="440" w:lineRule="exact"/>
        <w:jc w:val="left"/>
        <w:textAlignment w:val="auto"/>
        <w:rPr>
          <w:rFonts w:ascii="宋体"/>
          <w:b/>
          <w:color w:val="auto"/>
          <w:sz w:val="24"/>
          <w:szCs w:val="24"/>
          <w:highlight w:val="none"/>
        </w:rPr>
      </w:pPr>
      <w:r>
        <w:rPr>
          <w:rFonts w:hint="eastAsia" w:ascii="宋体" w:hAnsi="宋体"/>
          <w:b/>
          <w:color w:val="auto"/>
          <w:sz w:val="24"/>
          <w:szCs w:val="24"/>
          <w:highlight w:val="none"/>
        </w:rPr>
        <w:t>十、付款承诺</w:t>
      </w:r>
    </w:p>
    <w:p w14:paraId="640C3610">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auto"/>
        <w:rPr>
          <w:rFonts w:ascii="宋体" w:hAnsi="宋体"/>
          <w:color w:val="auto"/>
          <w:sz w:val="24"/>
          <w:szCs w:val="24"/>
          <w:highlight w:val="none"/>
        </w:rPr>
      </w:pPr>
      <w:r>
        <w:rPr>
          <w:rFonts w:hint="eastAsia" w:ascii="宋体" w:hAnsi="宋体"/>
          <w:color w:val="auto"/>
          <w:sz w:val="24"/>
          <w:szCs w:val="24"/>
          <w:highlight w:val="none"/>
        </w:rPr>
        <w:t>发包人向承包人承诺按照合同约定的期限和方式支付合同价款及其他应当支付的款项。</w:t>
      </w:r>
    </w:p>
    <w:p w14:paraId="526A4EFE">
      <w:pPr>
        <w:keepNext w:val="0"/>
        <w:keepLines w:val="0"/>
        <w:pageBreakBefore w:val="0"/>
        <w:widowControl w:val="0"/>
        <w:kinsoku/>
        <w:wordWrap/>
        <w:overflowPunct/>
        <w:topLinePunct w:val="0"/>
        <w:autoSpaceDE/>
        <w:autoSpaceDN/>
        <w:bidi w:val="0"/>
        <w:adjustRightInd w:val="0"/>
        <w:snapToGrid w:val="0"/>
        <w:spacing w:line="440" w:lineRule="exact"/>
        <w:jc w:val="left"/>
        <w:textAlignment w:val="auto"/>
        <w:rPr>
          <w:rFonts w:ascii="宋体"/>
          <w:b/>
          <w:color w:val="auto"/>
          <w:sz w:val="24"/>
          <w:szCs w:val="24"/>
          <w:highlight w:val="none"/>
        </w:rPr>
      </w:pPr>
      <w:r>
        <w:rPr>
          <w:rFonts w:hint="eastAsia" w:ascii="宋体" w:hAnsi="宋体"/>
          <w:b/>
          <w:color w:val="auto"/>
          <w:sz w:val="24"/>
          <w:szCs w:val="24"/>
          <w:highlight w:val="none"/>
        </w:rPr>
        <w:t>十</w:t>
      </w:r>
      <w:r>
        <w:rPr>
          <w:rFonts w:hint="eastAsia" w:ascii="宋体" w:hAnsi="宋体"/>
          <w:b/>
          <w:color w:val="auto"/>
          <w:sz w:val="24"/>
          <w:szCs w:val="24"/>
          <w:highlight w:val="none"/>
          <w:lang w:val="en-US" w:eastAsia="zh-CN"/>
        </w:rPr>
        <w:t>一</w:t>
      </w:r>
      <w:r>
        <w:rPr>
          <w:rFonts w:hint="eastAsia" w:ascii="宋体" w:hAnsi="宋体"/>
          <w:b/>
          <w:color w:val="auto"/>
          <w:sz w:val="24"/>
          <w:szCs w:val="24"/>
          <w:highlight w:val="none"/>
        </w:rPr>
        <w:t>、合同生效</w:t>
      </w:r>
    </w:p>
    <w:p w14:paraId="17A3AB0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auto"/>
        <w:rPr>
          <w:rFonts w:ascii="宋体" w:hAnsi="宋体"/>
          <w:color w:val="auto"/>
          <w:sz w:val="24"/>
          <w:szCs w:val="24"/>
          <w:highlight w:val="none"/>
          <w:u w:val="single"/>
        </w:rPr>
      </w:pPr>
      <w:r>
        <w:rPr>
          <w:rFonts w:hint="eastAsia" w:ascii="宋体" w:hAnsi="宋体"/>
          <w:color w:val="auto"/>
          <w:sz w:val="24"/>
          <w:szCs w:val="24"/>
          <w:highlight w:val="none"/>
        </w:rPr>
        <w:t>合同订立地点：</w:t>
      </w:r>
      <w:r>
        <w:rPr>
          <w:rFonts w:hint="eastAsia" w:ascii="仿宋" w:hAnsi="仿宋" w:eastAsia="仿宋" w:cs="仿宋"/>
          <w:b/>
          <w:bCs/>
          <w:color w:val="auto"/>
          <w:kern w:val="0"/>
          <w:sz w:val="24"/>
          <w:szCs w:val="24"/>
          <w:highlight w:val="none"/>
          <w:u w:val="single"/>
        </w:rPr>
        <w:t>南通市市政设施管理处</w:t>
      </w:r>
    </w:p>
    <w:p w14:paraId="03CAB45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本合同双方约定</w:t>
      </w:r>
      <w:r>
        <w:rPr>
          <w:rFonts w:hint="eastAsia" w:ascii="仿宋" w:hAnsi="仿宋" w:eastAsia="仿宋" w:cs="仿宋"/>
          <w:b/>
          <w:bCs/>
          <w:color w:val="auto"/>
          <w:kern w:val="0"/>
          <w:sz w:val="24"/>
          <w:szCs w:val="24"/>
          <w:highlight w:val="none"/>
          <w:u w:val="single"/>
        </w:rPr>
        <w:t xml:space="preserve"> 经双方法定代表人签章并加盖公章 </w:t>
      </w:r>
      <w:r>
        <w:rPr>
          <w:rFonts w:hint="eastAsia" w:ascii="宋体" w:hAnsi="宋体"/>
          <w:color w:val="auto"/>
          <w:sz w:val="24"/>
          <w:szCs w:val="24"/>
          <w:highlight w:val="none"/>
        </w:rPr>
        <w:t>后生效。</w:t>
      </w:r>
    </w:p>
    <w:p w14:paraId="636EC372">
      <w:pPr>
        <w:jc w:val="center"/>
        <w:rPr>
          <w:rFonts w:hint="eastAsia" w:ascii="宋体" w:hAnsi="宋体" w:cs="Times New Roman"/>
          <w:bCs/>
          <w:color w:val="auto"/>
          <w:kern w:val="0"/>
          <w:sz w:val="32"/>
          <w:szCs w:val="32"/>
          <w:highlight w:val="none"/>
        </w:rPr>
      </w:pPr>
      <w:bookmarkStart w:id="112" w:name="_Toc41913711"/>
      <w:bookmarkStart w:id="113" w:name="_Toc512263225"/>
      <w:bookmarkStart w:id="114" w:name="_Toc19892593"/>
      <w:bookmarkStart w:id="115" w:name="_Toc420493843"/>
      <w:r>
        <w:rPr>
          <w:rFonts w:hint="eastAsia" w:ascii="宋体" w:hAnsi="宋体"/>
          <w:bCs/>
          <w:color w:val="auto"/>
          <w:kern w:val="0"/>
          <w:sz w:val="32"/>
          <w:szCs w:val="32"/>
          <w:highlight w:val="none"/>
        </w:rPr>
        <w:br w:type="page"/>
      </w:r>
      <w:r>
        <w:rPr>
          <w:rFonts w:hint="eastAsia" w:ascii="宋体" w:hAnsi="宋体" w:cs="Times New Roman"/>
          <w:bCs/>
          <w:color w:val="auto"/>
          <w:kern w:val="0"/>
          <w:sz w:val="32"/>
          <w:szCs w:val="32"/>
          <w:highlight w:val="none"/>
        </w:rPr>
        <w:t>第二部分</w:t>
      </w:r>
      <w:bookmarkEnd w:id="112"/>
      <w:bookmarkEnd w:id="113"/>
      <w:bookmarkEnd w:id="114"/>
      <w:bookmarkEnd w:id="115"/>
      <w:bookmarkStart w:id="116" w:name="_Toc41913712"/>
      <w:bookmarkStart w:id="117" w:name="_Toc420493844"/>
      <w:bookmarkStart w:id="118" w:name="_Toc19892594"/>
      <w:bookmarkStart w:id="119" w:name="_Toc512263226"/>
      <w:r>
        <w:rPr>
          <w:rFonts w:hint="eastAsia" w:ascii="宋体" w:hAnsi="宋体" w:cs="Times New Roman"/>
          <w:bCs/>
          <w:color w:val="auto"/>
          <w:kern w:val="0"/>
          <w:sz w:val="32"/>
          <w:szCs w:val="32"/>
          <w:highlight w:val="none"/>
          <w:lang w:val="en-US" w:eastAsia="zh-CN"/>
        </w:rPr>
        <w:t xml:space="preserve"> 合同</w:t>
      </w:r>
      <w:r>
        <w:rPr>
          <w:rFonts w:hint="eastAsia" w:ascii="宋体" w:hAnsi="宋体" w:cs="Times New Roman"/>
          <w:bCs/>
          <w:color w:val="auto"/>
          <w:kern w:val="0"/>
          <w:sz w:val="32"/>
          <w:szCs w:val="32"/>
          <w:highlight w:val="none"/>
        </w:rPr>
        <w:t>条款</w:t>
      </w:r>
      <w:bookmarkEnd w:id="116"/>
      <w:bookmarkEnd w:id="117"/>
      <w:bookmarkEnd w:id="118"/>
      <w:bookmarkEnd w:id="119"/>
    </w:p>
    <w:p w14:paraId="18952A12">
      <w:pPr>
        <w:tabs>
          <w:tab w:val="left" w:pos="360"/>
        </w:tabs>
        <w:adjustRightInd w:val="0"/>
        <w:spacing w:line="360" w:lineRule="auto"/>
        <w:jc w:val="center"/>
        <w:rPr>
          <w:rFonts w:ascii="宋体" w:hAnsi="宋体"/>
          <w:b/>
          <w:color w:val="auto"/>
          <w:sz w:val="24"/>
          <w:szCs w:val="24"/>
          <w:highlight w:val="none"/>
        </w:rPr>
      </w:pPr>
    </w:p>
    <w:p w14:paraId="587C510B">
      <w:pPr>
        <w:keepNext w:val="0"/>
        <w:keepLines w:val="0"/>
        <w:pageBreakBefore w:val="0"/>
        <w:widowControl w:val="0"/>
        <w:tabs>
          <w:tab w:val="left" w:pos="360"/>
        </w:tabs>
        <w:kinsoku/>
        <w:wordWrap/>
        <w:overflowPunct/>
        <w:topLinePunct w:val="0"/>
        <w:autoSpaceDE/>
        <w:autoSpaceDN/>
        <w:bidi w:val="0"/>
        <w:adjustRightInd w:val="0"/>
        <w:snapToGrid/>
        <w:spacing w:line="480" w:lineRule="exact"/>
        <w:jc w:val="center"/>
        <w:textAlignment w:val="auto"/>
        <w:rPr>
          <w:rFonts w:ascii="宋体"/>
          <w:b/>
          <w:color w:val="auto"/>
          <w:sz w:val="24"/>
          <w:szCs w:val="24"/>
          <w:highlight w:val="none"/>
        </w:rPr>
      </w:pPr>
      <w:r>
        <w:rPr>
          <w:rFonts w:hint="eastAsia" w:ascii="宋体" w:hAnsi="宋体"/>
          <w:b/>
          <w:color w:val="auto"/>
          <w:sz w:val="24"/>
          <w:szCs w:val="24"/>
          <w:highlight w:val="none"/>
        </w:rPr>
        <w:t>一、词语定义及合同文件</w:t>
      </w:r>
    </w:p>
    <w:p w14:paraId="6B933BF6">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、合同文件及解释顺序</w:t>
      </w:r>
    </w:p>
    <w:p w14:paraId="168BF029">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合同文件组成及解释顺序：</w:t>
      </w:r>
      <w:r>
        <w:rPr>
          <w:rFonts w:hint="eastAsia" w:ascii="仿宋" w:hAnsi="仿宋" w:eastAsia="仿宋" w:cs="仿宋"/>
          <w:b/>
          <w:bCs/>
          <w:color w:val="auto"/>
          <w:kern w:val="0"/>
          <w:sz w:val="24"/>
          <w:szCs w:val="24"/>
          <w:highlight w:val="none"/>
          <w:u w:val="single"/>
          <w:lang w:eastAsia="zh-CN"/>
        </w:rPr>
        <w:t>（</w:t>
      </w:r>
      <w:r>
        <w:rPr>
          <w:rFonts w:hint="eastAsia" w:ascii="仿宋" w:hAnsi="仿宋" w:eastAsia="仿宋" w:cs="仿宋"/>
          <w:b/>
          <w:bCs/>
          <w:color w:val="auto"/>
          <w:kern w:val="0"/>
          <w:sz w:val="24"/>
          <w:szCs w:val="24"/>
          <w:highlight w:val="none"/>
          <w:u w:val="single"/>
          <w:lang w:val="en-US" w:eastAsia="zh-CN"/>
        </w:rPr>
        <w:t>1</w:t>
      </w:r>
      <w:r>
        <w:rPr>
          <w:rFonts w:hint="eastAsia" w:ascii="仿宋" w:hAnsi="仿宋" w:eastAsia="仿宋" w:cs="仿宋"/>
          <w:b/>
          <w:bCs/>
          <w:color w:val="auto"/>
          <w:kern w:val="0"/>
          <w:sz w:val="24"/>
          <w:szCs w:val="24"/>
          <w:highlight w:val="none"/>
          <w:u w:val="single"/>
          <w:lang w:eastAsia="zh-CN"/>
        </w:rPr>
        <w:t>）</w:t>
      </w:r>
      <w:r>
        <w:rPr>
          <w:rFonts w:hint="eastAsia" w:ascii="仿宋" w:hAnsi="仿宋" w:eastAsia="仿宋" w:cs="仿宋"/>
          <w:b/>
          <w:bCs/>
          <w:color w:val="auto"/>
          <w:kern w:val="0"/>
          <w:sz w:val="24"/>
          <w:szCs w:val="24"/>
          <w:highlight w:val="none"/>
          <w:u w:val="single"/>
        </w:rPr>
        <w:t>本合同协议书；</w:t>
      </w:r>
      <w:r>
        <w:rPr>
          <w:rFonts w:hint="eastAsia" w:ascii="仿宋" w:hAnsi="仿宋" w:eastAsia="仿宋" w:cs="仿宋"/>
          <w:b/>
          <w:bCs/>
          <w:color w:val="auto"/>
          <w:kern w:val="0"/>
          <w:sz w:val="24"/>
          <w:szCs w:val="24"/>
          <w:highlight w:val="none"/>
          <w:u w:val="single"/>
          <w:lang w:eastAsia="zh-CN"/>
        </w:rPr>
        <w:t>（</w:t>
      </w:r>
      <w:r>
        <w:rPr>
          <w:rFonts w:hint="eastAsia" w:ascii="仿宋" w:hAnsi="仿宋" w:eastAsia="仿宋" w:cs="仿宋"/>
          <w:b/>
          <w:bCs/>
          <w:color w:val="auto"/>
          <w:kern w:val="0"/>
          <w:sz w:val="24"/>
          <w:szCs w:val="24"/>
          <w:highlight w:val="none"/>
          <w:u w:val="single"/>
          <w:lang w:val="en-US" w:eastAsia="zh-CN"/>
        </w:rPr>
        <w:t>2</w:t>
      </w:r>
      <w:r>
        <w:rPr>
          <w:rFonts w:hint="eastAsia" w:ascii="仿宋" w:hAnsi="仿宋" w:eastAsia="仿宋" w:cs="仿宋"/>
          <w:b/>
          <w:bCs/>
          <w:color w:val="auto"/>
          <w:kern w:val="0"/>
          <w:sz w:val="24"/>
          <w:szCs w:val="24"/>
          <w:highlight w:val="none"/>
          <w:u w:val="single"/>
          <w:lang w:eastAsia="zh-CN"/>
        </w:rPr>
        <w:t>）</w:t>
      </w:r>
      <w:r>
        <w:rPr>
          <w:rFonts w:hint="eastAsia" w:ascii="仿宋" w:hAnsi="仿宋" w:eastAsia="仿宋" w:cs="仿宋"/>
          <w:b/>
          <w:bCs/>
          <w:color w:val="auto"/>
          <w:kern w:val="0"/>
          <w:sz w:val="24"/>
          <w:szCs w:val="24"/>
          <w:highlight w:val="none"/>
          <w:u w:val="single"/>
        </w:rPr>
        <w:t>中标通知书；</w:t>
      </w:r>
      <w:r>
        <w:rPr>
          <w:rFonts w:hint="eastAsia" w:ascii="仿宋" w:hAnsi="仿宋" w:eastAsia="仿宋" w:cs="仿宋"/>
          <w:b/>
          <w:bCs/>
          <w:color w:val="auto"/>
          <w:kern w:val="0"/>
          <w:sz w:val="24"/>
          <w:szCs w:val="24"/>
          <w:highlight w:val="none"/>
          <w:u w:val="single"/>
          <w:lang w:eastAsia="zh-CN"/>
        </w:rPr>
        <w:t>（</w:t>
      </w:r>
      <w:r>
        <w:rPr>
          <w:rFonts w:hint="eastAsia" w:ascii="仿宋" w:hAnsi="仿宋" w:eastAsia="仿宋" w:cs="仿宋"/>
          <w:b/>
          <w:bCs/>
          <w:color w:val="auto"/>
          <w:kern w:val="0"/>
          <w:sz w:val="24"/>
          <w:szCs w:val="24"/>
          <w:highlight w:val="none"/>
          <w:u w:val="single"/>
          <w:lang w:val="en-US" w:eastAsia="zh-CN"/>
        </w:rPr>
        <w:t>3</w:t>
      </w:r>
      <w:r>
        <w:rPr>
          <w:rFonts w:hint="eastAsia" w:ascii="仿宋" w:hAnsi="仿宋" w:eastAsia="仿宋" w:cs="仿宋"/>
          <w:b/>
          <w:bCs/>
          <w:color w:val="auto"/>
          <w:kern w:val="0"/>
          <w:sz w:val="24"/>
          <w:szCs w:val="24"/>
          <w:highlight w:val="none"/>
          <w:u w:val="single"/>
          <w:lang w:eastAsia="zh-CN"/>
        </w:rPr>
        <w:t>）</w:t>
      </w:r>
      <w:r>
        <w:rPr>
          <w:rFonts w:hint="eastAsia" w:ascii="仿宋" w:hAnsi="仿宋" w:eastAsia="仿宋" w:cs="仿宋"/>
          <w:b/>
          <w:bCs/>
          <w:color w:val="auto"/>
          <w:kern w:val="0"/>
          <w:sz w:val="24"/>
          <w:szCs w:val="24"/>
          <w:highlight w:val="none"/>
          <w:u w:val="single"/>
        </w:rPr>
        <w:t>合同条款及其附件；</w:t>
      </w:r>
      <w:r>
        <w:rPr>
          <w:rFonts w:hint="eastAsia" w:ascii="仿宋" w:hAnsi="仿宋" w:eastAsia="仿宋" w:cs="仿宋"/>
          <w:b/>
          <w:bCs/>
          <w:color w:val="auto"/>
          <w:kern w:val="0"/>
          <w:sz w:val="24"/>
          <w:szCs w:val="24"/>
          <w:highlight w:val="none"/>
          <w:u w:val="single"/>
          <w:lang w:eastAsia="zh-CN"/>
        </w:rPr>
        <w:t>（</w:t>
      </w:r>
      <w:r>
        <w:rPr>
          <w:rFonts w:hint="eastAsia" w:ascii="仿宋" w:hAnsi="仿宋" w:eastAsia="仿宋" w:cs="仿宋"/>
          <w:b/>
          <w:bCs/>
          <w:color w:val="auto"/>
          <w:kern w:val="0"/>
          <w:sz w:val="24"/>
          <w:szCs w:val="24"/>
          <w:highlight w:val="none"/>
          <w:u w:val="single"/>
          <w:lang w:val="en-US" w:eastAsia="zh-CN"/>
        </w:rPr>
        <w:t>4</w:t>
      </w:r>
      <w:r>
        <w:rPr>
          <w:rFonts w:hint="eastAsia" w:ascii="仿宋" w:hAnsi="仿宋" w:eastAsia="仿宋" w:cs="仿宋"/>
          <w:b/>
          <w:bCs/>
          <w:color w:val="auto"/>
          <w:kern w:val="0"/>
          <w:sz w:val="24"/>
          <w:szCs w:val="24"/>
          <w:highlight w:val="none"/>
          <w:u w:val="single"/>
          <w:lang w:eastAsia="zh-CN"/>
        </w:rPr>
        <w:t>）</w:t>
      </w:r>
      <w:r>
        <w:rPr>
          <w:rFonts w:hint="eastAsia" w:ascii="仿宋" w:hAnsi="仿宋" w:eastAsia="仿宋" w:cs="仿宋"/>
          <w:b/>
          <w:bCs/>
          <w:color w:val="auto"/>
          <w:kern w:val="0"/>
          <w:sz w:val="24"/>
          <w:szCs w:val="24"/>
          <w:highlight w:val="none"/>
          <w:u w:val="single"/>
        </w:rPr>
        <w:t>招标文件；</w:t>
      </w:r>
      <w:r>
        <w:rPr>
          <w:rFonts w:hint="eastAsia" w:ascii="仿宋" w:hAnsi="仿宋" w:eastAsia="仿宋" w:cs="仿宋"/>
          <w:b/>
          <w:bCs/>
          <w:color w:val="auto"/>
          <w:kern w:val="0"/>
          <w:sz w:val="24"/>
          <w:szCs w:val="24"/>
          <w:highlight w:val="none"/>
          <w:u w:val="single"/>
          <w:lang w:eastAsia="zh-CN"/>
        </w:rPr>
        <w:t>（</w:t>
      </w:r>
      <w:r>
        <w:rPr>
          <w:rFonts w:hint="eastAsia" w:ascii="仿宋" w:hAnsi="仿宋" w:eastAsia="仿宋" w:cs="仿宋"/>
          <w:b/>
          <w:bCs/>
          <w:color w:val="auto"/>
          <w:kern w:val="0"/>
          <w:sz w:val="24"/>
          <w:szCs w:val="24"/>
          <w:highlight w:val="none"/>
          <w:u w:val="single"/>
          <w:lang w:val="en-US" w:eastAsia="zh-CN"/>
        </w:rPr>
        <w:t>5</w:t>
      </w:r>
      <w:r>
        <w:rPr>
          <w:rFonts w:hint="eastAsia" w:ascii="仿宋" w:hAnsi="仿宋" w:eastAsia="仿宋" w:cs="仿宋"/>
          <w:b/>
          <w:bCs/>
          <w:color w:val="auto"/>
          <w:kern w:val="0"/>
          <w:sz w:val="24"/>
          <w:szCs w:val="24"/>
          <w:highlight w:val="none"/>
          <w:u w:val="single"/>
          <w:lang w:eastAsia="zh-CN"/>
        </w:rPr>
        <w:t>）</w:t>
      </w:r>
      <w:r>
        <w:rPr>
          <w:rFonts w:hint="eastAsia" w:ascii="仿宋" w:hAnsi="仿宋" w:eastAsia="仿宋" w:cs="仿宋"/>
          <w:b/>
          <w:bCs/>
          <w:color w:val="auto"/>
          <w:kern w:val="0"/>
          <w:sz w:val="24"/>
          <w:szCs w:val="24"/>
          <w:highlight w:val="none"/>
          <w:u w:val="single"/>
        </w:rPr>
        <w:t>投标文件及其附件；</w:t>
      </w:r>
      <w:r>
        <w:rPr>
          <w:rFonts w:hint="eastAsia" w:ascii="仿宋" w:hAnsi="仿宋" w:eastAsia="仿宋" w:cs="仿宋"/>
          <w:b/>
          <w:bCs/>
          <w:color w:val="auto"/>
          <w:kern w:val="0"/>
          <w:sz w:val="24"/>
          <w:szCs w:val="24"/>
          <w:highlight w:val="none"/>
          <w:u w:val="single"/>
          <w:lang w:eastAsia="zh-CN"/>
        </w:rPr>
        <w:t>（</w:t>
      </w:r>
      <w:r>
        <w:rPr>
          <w:rFonts w:hint="eastAsia" w:ascii="仿宋" w:hAnsi="仿宋" w:eastAsia="仿宋" w:cs="仿宋"/>
          <w:b/>
          <w:bCs/>
          <w:color w:val="auto"/>
          <w:kern w:val="0"/>
          <w:sz w:val="24"/>
          <w:szCs w:val="24"/>
          <w:highlight w:val="none"/>
          <w:u w:val="single"/>
          <w:lang w:val="en-US" w:eastAsia="zh-CN"/>
        </w:rPr>
        <w:t>6</w:t>
      </w:r>
      <w:r>
        <w:rPr>
          <w:rFonts w:hint="eastAsia" w:ascii="仿宋" w:hAnsi="仿宋" w:eastAsia="仿宋" w:cs="仿宋"/>
          <w:b/>
          <w:bCs/>
          <w:color w:val="auto"/>
          <w:kern w:val="0"/>
          <w:sz w:val="24"/>
          <w:szCs w:val="24"/>
          <w:highlight w:val="none"/>
          <w:u w:val="single"/>
          <w:lang w:eastAsia="zh-CN"/>
        </w:rPr>
        <w:t>）</w:t>
      </w:r>
      <w:r>
        <w:rPr>
          <w:rFonts w:hint="eastAsia" w:ascii="仿宋" w:hAnsi="仿宋" w:eastAsia="仿宋" w:cs="仿宋"/>
          <w:b/>
          <w:bCs/>
          <w:color w:val="auto"/>
          <w:kern w:val="0"/>
          <w:sz w:val="24"/>
          <w:szCs w:val="24"/>
          <w:highlight w:val="none"/>
          <w:u w:val="single"/>
        </w:rPr>
        <w:t>标准、规范及有关技术文件；</w:t>
      </w:r>
      <w:r>
        <w:rPr>
          <w:rFonts w:hint="eastAsia" w:ascii="仿宋" w:hAnsi="仿宋" w:eastAsia="仿宋" w:cs="仿宋"/>
          <w:b/>
          <w:bCs/>
          <w:color w:val="auto"/>
          <w:kern w:val="0"/>
          <w:sz w:val="24"/>
          <w:szCs w:val="24"/>
          <w:highlight w:val="none"/>
          <w:u w:val="single"/>
          <w:lang w:eastAsia="zh-CN"/>
        </w:rPr>
        <w:t>（</w:t>
      </w:r>
      <w:r>
        <w:rPr>
          <w:rFonts w:hint="eastAsia" w:ascii="仿宋" w:hAnsi="仿宋" w:eastAsia="仿宋" w:cs="仿宋"/>
          <w:b/>
          <w:bCs/>
          <w:color w:val="auto"/>
          <w:kern w:val="0"/>
          <w:sz w:val="24"/>
          <w:szCs w:val="24"/>
          <w:highlight w:val="none"/>
          <w:u w:val="single"/>
          <w:lang w:val="en-US" w:eastAsia="zh-CN"/>
        </w:rPr>
        <w:t>7</w:t>
      </w:r>
      <w:r>
        <w:rPr>
          <w:rFonts w:hint="eastAsia" w:ascii="仿宋" w:hAnsi="仿宋" w:eastAsia="仿宋" w:cs="仿宋"/>
          <w:b/>
          <w:bCs/>
          <w:color w:val="auto"/>
          <w:kern w:val="0"/>
          <w:sz w:val="24"/>
          <w:szCs w:val="24"/>
          <w:highlight w:val="none"/>
          <w:u w:val="single"/>
          <w:lang w:eastAsia="zh-CN"/>
        </w:rPr>
        <w:t>）</w:t>
      </w:r>
      <w:r>
        <w:rPr>
          <w:rFonts w:hint="eastAsia" w:ascii="仿宋" w:hAnsi="仿宋" w:eastAsia="仿宋" w:cs="仿宋"/>
          <w:b/>
          <w:bCs/>
          <w:color w:val="auto"/>
          <w:kern w:val="0"/>
          <w:sz w:val="24"/>
          <w:szCs w:val="24"/>
          <w:highlight w:val="none"/>
          <w:u w:val="single"/>
        </w:rPr>
        <w:t>甲方各项考核文件；</w:t>
      </w:r>
      <w:r>
        <w:rPr>
          <w:rFonts w:hint="eastAsia" w:ascii="仿宋" w:hAnsi="仿宋" w:eastAsia="仿宋" w:cs="仿宋"/>
          <w:b/>
          <w:bCs/>
          <w:color w:val="auto"/>
          <w:kern w:val="0"/>
          <w:sz w:val="24"/>
          <w:szCs w:val="24"/>
          <w:highlight w:val="none"/>
          <w:u w:val="single"/>
          <w:lang w:eastAsia="zh-CN"/>
        </w:rPr>
        <w:t>（</w:t>
      </w:r>
      <w:r>
        <w:rPr>
          <w:rFonts w:hint="eastAsia" w:ascii="仿宋" w:hAnsi="仿宋" w:eastAsia="仿宋" w:cs="仿宋"/>
          <w:b/>
          <w:bCs/>
          <w:color w:val="auto"/>
          <w:kern w:val="0"/>
          <w:sz w:val="24"/>
          <w:szCs w:val="24"/>
          <w:highlight w:val="none"/>
          <w:u w:val="single"/>
          <w:lang w:val="en-US" w:eastAsia="zh-CN"/>
        </w:rPr>
        <w:t>8</w:t>
      </w:r>
      <w:r>
        <w:rPr>
          <w:rFonts w:hint="eastAsia" w:ascii="仿宋" w:hAnsi="仿宋" w:eastAsia="仿宋" w:cs="仿宋"/>
          <w:b/>
          <w:bCs/>
          <w:color w:val="auto"/>
          <w:kern w:val="0"/>
          <w:sz w:val="24"/>
          <w:szCs w:val="24"/>
          <w:highlight w:val="none"/>
          <w:u w:val="single"/>
          <w:lang w:eastAsia="zh-CN"/>
        </w:rPr>
        <w:t>）</w:t>
      </w:r>
      <w:r>
        <w:rPr>
          <w:rFonts w:hint="eastAsia" w:ascii="仿宋" w:hAnsi="仿宋" w:eastAsia="仿宋" w:cs="仿宋"/>
          <w:b/>
          <w:bCs/>
          <w:color w:val="auto"/>
          <w:kern w:val="0"/>
          <w:sz w:val="24"/>
          <w:szCs w:val="24"/>
          <w:highlight w:val="none"/>
          <w:u w:val="single"/>
        </w:rPr>
        <w:t>双方有关工程的洽商、变更等书面协议或文件视为本合同的组成部分。</w:t>
      </w:r>
    </w:p>
    <w:p w14:paraId="46F07541">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、语言文字和适用法律、标准及规范</w:t>
      </w:r>
    </w:p>
    <w:p w14:paraId="5E654335">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ascii="宋体" w:hAnsi="宋体"/>
          <w:color w:val="auto"/>
          <w:sz w:val="24"/>
          <w:szCs w:val="24"/>
          <w:highlight w:val="none"/>
        </w:rPr>
        <w:t xml:space="preserve">2.1 </w:t>
      </w:r>
      <w:r>
        <w:rPr>
          <w:rFonts w:hint="eastAsia" w:ascii="宋体" w:hAnsi="宋体"/>
          <w:color w:val="auto"/>
          <w:sz w:val="24"/>
          <w:szCs w:val="24"/>
          <w:highlight w:val="none"/>
        </w:rPr>
        <w:t>本合同除使用汉语外，不使用其他语言文字。</w:t>
      </w:r>
    </w:p>
    <w:p w14:paraId="7BBF0E88">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ascii="宋体" w:hAnsi="宋体"/>
          <w:color w:val="auto"/>
          <w:sz w:val="24"/>
          <w:szCs w:val="24"/>
          <w:highlight w:val="none"/>
        </w:rPr>
        <w:t xml:space="preserve">2.2 </w:t>
      </w:r>
      <w:r>
        <w:rPr>
          <w:rFonts w:hint="eastAsia" w:ascii="宋体" w:hAnsi="宋体"/>
          <w:color w:val="auto"/>
          <w:sz w:val="24"/>
          <w:szCs w:val="24"/>
          <w:highlight w:val="none"/>
        </w:rPr>
        <w:t>适用法律和法规</w:t>
      </w:r>
    </w:p>
    <w:p w14:paraId="4820D572">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ascii="宋体"/>
          <w:color w:val="auto"/>
          <w:sz w:val="24"/>
          <w:szCs w:val="24"/>
          <w:highlight w:val="none"/>
        </w:rPr>
      </w:pPr>
      <w:r>
        <w:rPr>
          <w:rFonts w:hint="eastAsia" w:ascii="宋体" w:hAnsi="宋体"/>
          <w:color w:val="auto"/>
          <w:sz w:val="24"/>
          <w:szCs w:val="24"/>
          <w:highlight w:val="none"/>
        </w:rPr>
        <w:t>需要明示的法律、行政法规：</w:t>
      </w:r>
      <w:r>
        <w:rPr>
          <w:rFonts w:hint="eastAsia" w:ascii="仿宋" w:hAnsi="仿宋" w:eastAsia="仿宋" w:cs="仿宋"/>
          <w:b/>
          <w:bCs/>
          <w:color w:val="auto"/>
          <w:kern w:val="0"/>
          <w:sz w:val="24"/>
          <w:szCs w:val="24"/>
          <w:highlight w:val="none"/>
          <w:u w:val="single"/>
        </w:rPr>
        <w:t>《中华人民共和国建筑法》、《中华人民共和国民法典》、《</w:t>
      </w:r>
      <w:r>
        <w:rPr>
          <w:rFonts w:hint="eastAsia" w:ascii="仿宋" w:hAnsi="仿宋" w:eastAsia="仿宋" w:cs="仿宋"/>
          <w:b/>
          <w:bCs/>
          <w:color w:val="auto"/>
          <w:kern w:val="0"/>
          <w:sz w:val="24"/>
          <w:szCs w:val="24"/>
          <w:highlight w:val="none"/>
          <w:u w:val="single"/>
          <w:lang w:val="en-US" w:eastAsia="zh-CN"/>
        </w:rPr>
        <w:t>建</w:t>
      </w:r>
      <w:r>
        <w:rPr>
          <w:rFonts w:hint="eastAsia" w:ascii="仿宋" w:hAnsi="仿宋" w:eastAsia="仿宋" w:cs="仿宋"/>
          <w:b/>
          <w:bCs/>
          <w:color w:val="auto"/>
          <w:kern w:val="0"/>
          <w:sz w:val="24"/>
          <w:szCs w:val="24"/>
          <w:highlight w:val="none"/>
          <w:u w:val="single"/>
          <w:lang w:val="en-US" w:eastAsia="zh-CN"/>
        </w:rPr>
        <w:t>设</w:t>
      </w:r>
      <w:r>
        <w:rPr>
          <w:rFonts w:hint="eastAsia" w:ascii="仿宋" w:hAnsi="仿宋" w:eastAsia="仿宋" w:cs="仿宋"/>
          <w:b/>
          <w:bCs/>
          <w:color w:val="auto"/>
          <w:kern w:val="0"/>
          <w:sz w:val="24"/>
          <w:szCs w:val="24"/>
          <w:highlight w:val="none"/>
          <w:u w:val="single"/>
        </w:rPr>
        <w:t>工程质量管理条例》、《江苏省建筑市场管理条例》等</w:t>
      </w:r>
      <w:r>
        <w:rPr>
          <w:rFonts w:hint="eastAsia" w:ascii="宋体" w:hAnsi="宋体"/>
          <w:color w:val="auto"/>
          <w:sz w:val="24"/>
          <w:szCs w:val="24"/>
          <w:highlight w:val="none"/>
        </w:rPr>
        <w:t>。</w:t>
      </w:r>
    </w:p>
    <w:p w14:paraId="328787FB">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ascii="宋体" w:hAnsi="宋体"/>
          <w:color w:val="auto"/>
          <w:sz w:val="24"/>
          <w:szCs w:val="24"/>
          <w:highlight w:val="none"/>
        </w:rPr>
        <w:t xml:space="preserve">2.3 </w:t>
      </w:r>
      <w:r>
        <w:rPr>
          <w:rFonts w:hint="eastAsia" w:ascii="宋体" w:hAnsi="宋体"/>
          <w:color w:val="auto"/>
          <w:sz w:val="24"/>
          <w:szCs w:val="24"/>
          <w:highlight w:val="none"/>
        </w:rPr>
        <w:t>适用标准、规范</w:t>
      </w:r>
    </w:p>
    <w:p w14:paraId="580BC464">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适用标准、规范的名称：</w:t>
      </w:r>
      <w:r>
        <w:rPr>
          <w:rFonts w:hint="eastAsia" w:ascii="仿宋" w:hAnsi="仿宋" w:eastAsia="仿宋" w:cs="仿宋"/>
          <w:b/>
          <w:bCs/>
          <w:color w:val="auto"/>
          <w:kern w:val="0"/>
          <w:sz w:val="24"/>
          <w:szCs w:val="24"/>
          <w:highlight w:val="none"/>
          <w:u w:val="single"/>
        </w:rPr>
        <w:t>中华人民共和国相关部门颁发的有关标准、规范及省、市有关规定。</w:t>
      </w:r>
    </w:p>
    <w:p w14:paraId="04F6ED4E">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ascii="宋体" w:hAnsi="宋体"/>
          <w:color w:val="auto"/>
          <w:sz w:val="24"/>
          <w:szCs w:val="24"/>
          <w:highlight w:val="none"/>
          <w:u w:val="single"/>
        </w:rPr>
      </w:pPr>
      <w:r>
        <w:rPr>
          <w:rFonts w:hint="eastAsia" w:ascii="宋体" w:hAnsi="宋体"/>
          <w:color w:val="auto"/>
          <w:sz w:val="24"/>
          <w:szCs w:val="24"/>
          <w:highlight w:val="none"/>
        </w:rPr>
        <w:t>发包人提供标准、规范的时间：</w:t>
      </w:r>
      <w:r>
        <w:rPr>
          <w:rFonts w:ascii="宋体" w:hAnsi="宋体"/>
          <w:color w:val="auto"/>
          <w:sz w:val="24"/>
          <w:szCs w:val="24"/>
          <w:highlight w:val="none"/>
          <w:u w:val="single"/>
        </w:rPr>
        <w:t xml:space="preserve">    /    </w:t>
      </w:r>
    </w:p>
    <w:p w14:paraId="346640D4">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国内没有相应标准、规范时的约定：</w:t>
      </w:r>
      <w:r>
        <w:rPr>
          <w:rFonts w:hint="eastAsia" w:ascii="仿宋" w:hAnsi="仿宋" w:eastAsia="仿宋" w:cs="仿宋"/>
          <w:b/>
          <w:bCs/>
          <w:color w:val="auto"/>
          <w:kern w:val="0"/>
          <w:sz w:val="24"/>
          <w:szCs w:val="24"/>
          <w:highlight w:val="none"/>
          <w:u w:val="single"/>
        </w:rPr>
        <w:t>由承包人向发包人书面说明情况后，根据发包人向承包人提出的要求，承包人按约定的时间和要求提出施工工艺，经发包人书面批准后执行。</w:t>
      </w:r>
    </w:p>
    <w:p w14:paraId="2CF830BC">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ascii="宋体" w:hAnsi="宋体"/>
          <w:color w:val="auto"/>
          <w:sz w:val="24"/>
          <w:szCs w:val="24"/>
          <w:highlight w:val="none"/>
        </w:rPr>
        <w:t>3</w:t>
      </w:r>
      <w:r>
        <w:rPr>
          <w:rFonts w:hint="eastAsia" w:ascii="宋体" w:hAnsi="宋体"/>
          <w:color w:val="auto"/>
          <w:sz w:val="24"/>
          <w:szCs w:val="24"/>
          <w:highlight w:val="none"/>
        </w:rPr>
        <w:t>、图纸</w:t>
      </w:r>
    </w:p>
    <w:p w14:paraId="56BD4AC8">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u w:val="single"/>
        </w:rPr>
      </w:pPr>
      <w:r>
        <w:rPr>
          <w:rFonts w:ascii="宋体" w:hAnsi="宋体"/>
          <w:color w:val="auto"/>
          <w:sz w:val="24"/>
          <w:szCs w:val="24"/>
          <w:highlight w:val="none"/>
        </w:rPr>
        <w:t xml:space="preserve">3.1 </w:t>
      </w:r>
      <w:r>
        <w:rPr>
          <w:rFonts w:hint="eastAsia" w:ascii="宋体" w:hAnsi="宋体"/>
          <w:color w:val="auto"/>
          <w:sz w:val="24"/>
          <w:szCs w:val="24"/>
          <w:highlight w:val="none"/>
        </w:rPr>
        <w:t>发包人向承包人提供图纸日期和套数：</w:t>
      </w:r>
      <w:r>
        <w:rPr>
          <w:rFonts w:ascii="宋体" w:hAnsi="宋体"/>
          <w:color w:val="auto"/>
          <w:sz w:val="24"/>
          <w:szCs w:val="24"/>
          <w:highlight w:val="none"/>
          <w:u w:val="single"/>
        </w:rPr>
        <w:t xml:space="preserve">   /  </w:t>
      </w:r>
    </w:p>
    <w:p w14:paraId="415F1D3B">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u w:val="single"/>
        </w:rPr>
      </w:pPr>
      <w:r>
        <w:rPr>
          <w:rFonts w:ascii="宋体" w:hAnsi="宋体"/>
          <w:color w:val="auto"/>
          <w:sz w:val="24"/>
          <w:szCs w:val="24"/>
          <w:highlight w:val="none"/>
        </w:rPr>
        <w:t xml:space="preserve">3.2 </w:t>
      </w:r>
      <w:r>
        <w:rPr>
          <w:rFonts w:hint="eastAsia" w:ascii="宋体" w:hAnsi="宋体"/>
          <w:color w:val="auto"/>
          <w:sz w:val="24"/>
          <w:szCs w:val="24"/>
          <w:highlight w:val="none"/>
        </w:rPr>
        <w:t>发包人对图纸的保密要求：</w:t>
      </w:r>
      <w:r>
        <w:rPr>
          <w:rFonts w:ascii="宋体" w:hAnsi="宋体"/>
          <w:color w:val="auto"/>
          <w:sz w:val="24"/>
          <w:szCs w:val="24"/>
          <w:highlight w:val="none"/>
          <w:u w:val="single"/>
        </w:rPr>
        <w:t xml:space="preserve">   /  </w:t>
      </w:r>
    </w:p>
    <w:p w14:paraId="48AA1460">
      <w:pPr>
        <w:keepNext w:val="0"/>
        <w:keepLines w:val="0"/>
        <w:pageBreakBefore w:val="0"/>
        <w:widowControl w:val="0"/>
        <w:tabs>
          <w:tab w:val="left" w:pos="360"/>
        </w:tabs>
        <w:kinsoku/>
        <w:wordWrap/>
        <w:overflowPunct/>
        <w:topLinePunct w:val="0"/>
        <w:autoSpaceDE/>
        <w:autoSpaceDN/>
        <w:bidi w:val="0"/>
        <w:adjustRightInd w:val="0"/>
        <w:snapToGrid/>
        <w:spacing w:line="480" w:lineRule="exact"/>
        <w:jc w:val="center"/>
        <w:textAlignment w:val="auto"/>
        <w:rPr>
          <w:rFonts w:ascii="宋体" w:hAnsi="宋体"/>
          <w:b/>
          <w:color w:val="auto"/>
          <w:sz w:val="24"/>
          <w:szCs w:val="24"/>
          <w:highlight w:val="none"/>
        </w:rPr>
      </w:pPr>
    </w:p>
    <w:p w14:paraId="73C7F2EE">
      <w:pPr>
        <w:keepNext w:val="0"/>
        <w:keepLines w:val="0"/>
        <w:pageBreakBefore w:val="0"/>
        <w:widowControl w:val="0"/>
        <w:tabs>
          <w:tab w:val="left" w:pos="360"/>
        </w:tabs>
        <w:kinsoku/>
        <w:wordWrap/>
        <w:overflowPunct/>
        <w:topLinePunct w:val="0"/>
        <w:autoSpaceDE/>
        <w:autoSpaceDN/>
        <w:bidi w:val="0"/>
        <w:adjustRightInd w:val="0"/>
        <w:snapToGrid/>
        <w:spacing w:line="480" w:lineRule="exact"/>
        <w:jc w:val="center"/>
        <w:textAlignment w:val="auto"/>
        <w:rPr>
          <w:rFonts w:ascii="宋体"/>
          <w:b/>
          <w:color w:val="auto"/>
          <w:sz w:val="24"/>
          <w:szCs w:val="24"/>
          <w:highlight w:val="none"/>
        </w:rPr>
      </w:pPr>
      <w:r>
        <w:rPr>
          <w:rFonts w:hint="eastAsia" w:ascii="宋体" w:hAnsi="宋体"/>
          <w:b/>
          <w:color w:val="auto"/>
          <w:sz w:val="24"/>
          <w:szCs w:val="24"/>
          <w:highlight w:val="none"/>
        </w:rPr>
        <w:t>二、双方一般权利和义务</w:t>
      </w:r>
    </w:p>
    <w:p w14:paraId="75C4F149">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ascii="宋体" w:hAnsi="宋体"/>
          <w:color w:val="auto"/>
          <w:sz w:val="24"/>
          <w:szCs w:val="24"/>
          <w:highlight w:val="none"/>
        </w:rPr>
        <w:t>4</w:t>
      </w:r>
      <w:r>
        <w:rPr>
          <w:rFonts w:hint="eastAsia" w:ascii="宋体" w:hAnsi="宋体"/>
          <w:color w:val="auto"/>
          <w:sz w:val="24"/>
          <w:szCs w:val="24"/>
          <w:highlight w:val="none"/>
        </w:rPr>
        <w:t>、发包人派驻的工程师</w:t>
      </w:r>
    </w:p>
    <w:p w14:paraId="0998BF8F">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ascii="宋体" w:hAnsi="宋体"/>
          <w:color w:val="auto"/>
          <w:sz w:val="24"/>
          <w:szCs w:val="24"/>
          <w:highlight w:val="none"/>
          <w:u w:val="single"/>
        </w:rPr>
      </w:pPr>
      <w:r>
        <w:rPr>
          <w:rFonts w:hint="eastAsia" w:ascii="宋体" w:hAnsi="宋体"/>
          <w:color w:val="auto"/>
          <w:sz w:val="24"/>
          <w:szCs w:val="24"/>
          <w:highlight w:val="none"/>
        </w:rPr>
        <w:t>姓名：</w:t>
      </w:r>
      <w:r>
        <w:rPr>
          <w:rFonts w:hint="eastAsia" w:ascii="仿宋" w:hAnsi="仿宋" w:eastAsia="仿宋" w:cs="仿宋"/>
          <w:b/>
          <w:bCs/>
          <w:color w:val="auto"/>
          <w:kern w:val="0"/>
          <w:sz w:val="24"/>
          <w:szCs w:val="24"/>
          <w:highlight w:val="none"/>
          <w:u w:val="single"/>
          <w:lang w:val="en-US" w:eastAsia="zh-CN"/>
        </w:rPr>
        <w:t>……</w:t>
      </w:r>
      <w:r>
        <w:rPr>
          <w:rFonts w:hint="eastAsia" w:ascii="仿宋" w:hAnsi="仿宋" w:eastAsia="仿宋" w:cs="仿宋"/>
          <w:b/>
          <w:bCs/>
          <w:color w:val="auto"/>
          <w:kern w:val="0"/>
          <w:sz w:val="24"/>
          <w:highlight w:val="none"/>
          <w:u w:val="none"/>
          <w:lang w:val="en-US" w:eastAsia="zh-CN"/>
        </w:rPr>
        <w:t xml:space="preserve"> </w:t>
      </w:r>
      <w:r>
        <w:rPr>
          <w:rFonts w:hint="eastAsia" w:ascii="仿宋" w:hAnsi="仿宋" w:eastAsia="仿宋" w:cs="仿宋"/>
          <w:b/>
          <w:bCs/>
          <w:color w:val="auto"/>
          <w:kern w:val="0"/>
          <w:sz w:val="24"/>
          <w:szCs w:val="24"/>
          <w:highlight w:val="none"/>
          <w:u w:val="none"/>
          <w:lang w:val="en-US" w:eastAsia="zh-CN"/>
        </w:rPr>
        <w:t xml:space="preserve"> </w:t>
      </w:r>
      <w:r>
        <w:rPr>
          <w:rFonts w:hint="eastAsia" w:ascii="宋体" w:hAnsi="宋体"/>
          <w:color w:val="auto"/>
          <w:sz w:val="24"/>
          <w:szCs w:val="24"/>
          <w:highlight w:val="none"/>
        </w:rPr>
        <w:t>职务：</w:t>
      </w:r>
      <w:r>
        <w:rPr>
          <w:rFonts w:hint="eastAsia" w:ascii="仿宋" w:hAnsi="仿宋" w:eastAsia="仿宋" w:cs="仿宋"/>
          <w:b/>
          <w:bCs/>
          <w:color w:val="auto"/>
          <w:kern w:val="0"/>
          <w:sz w:val="24"/>
          <w:szCs w:val="24"/>
          <w:highlight w:val="none"/>
          <w:u w:val="single"/>
        </w:rPr>
        <w:t>项目负责人</w:t>
      </w:r>
    </w:p>
    <w:p w14:paraId="3A7FED3C">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ascii="宋体"/>
          <w:color w:val="auto"/>
          <w:sz w:val="24"/>
          <w:szCs w:val="24"/>
          <w:highlight w:val="none"/>
          <w:u w:val="single"/>
        </w:rPr>
      </w:pPr>
      <w:r>
        <w:rPr>
          <w:rFonts w:hint="eastAsia" w:ascii="宋体" w:hAnsi="宋体"/>
          <w:color w:val="auto"/>
          <w:sz w:val="24"/>
          <w:szCs w:val="24"/>
          <w:highlight w:val="none"/>
        </w:rPr>
        <w:t>职权：</w:t>
      </w:r>
      <w:r>
        <w:rPr>
          <w:rFonts w:hint="eastAsia" w:ascii="仿宋" w:hAnsi="仿宋" w:eastAsia="仿宋" w:cs="仿宋"/>
          <w:b/>
          <w:bCs/>
          <w:color w:val="auto"/>
          <w:kern w:val="0"/>
          <w:sz w:val="24"/>
          <w:szCs w:val="24"/>
          <w:highlight w:val="none"/>
          <w:u w:val="single"/>
        </w:rPr>
        <w:t>代表发包方行使本合同约定的发包方的权利。</w:t>
      </w:r>
    </w:p>
    <w:p w14:paraId="27CFE57A">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ascii="宋体" w:hAnsi="宋体"/>
          <w:color w:val="auto"/>
          <w:sz w:val="24"/>
          <w:szCs w:val="24"/>
          <w:highlight w:val="none"/>
        </w:rPr>
        <w:t>5</w:t>
      </w:r>
      <w:r>
        <w:rPr>
          <w:rFonts w:hint="eastAsia" w:ascii="宋体" w:hAnsi="宋体"/>
          <w:color w:val="auto"/>
          <w:sz w:val="24"/>
          <w:szCs w:val="24"/>
          <w:highlight w:val="none"/>
        </w:rPr>
        <w:t>、承包人现场</w:t>
      </w:r>
      <w:r>
        <w:rPr>
          <w:rFonts w:hint="eastAsia" w:ascii="宋体" w:hAnsi="宋体"/>
          <w:color w:val="auto"/>
          <w:sz w:val="24"/>
          <w:szCs w:val="24"/>
          <w:highlight w:val="none"/>
          <w:lang w:val="en-US" w:eastAsia="zh-CN"/>
        </w:rPr>
        <w:t>联系</w:t>
      </w:r>
      <w:r>
        <w:rPr>
          <w:rFonts w:hint="eastAsia" w:ascii="宋体" w:hAnsi="宋体"/>
          <w:color w:val="auto"/>
          <w:sz w:val="24"/>
          <w:szCs w:val="24"/>
          <w:highlight w:val="none"/>
        </w:rPr>
        <w:t>人</w:t>
      </w:r>
    </w:p>
    <w:p w14:paraId="2B3EF658">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ascii="宋体"/>
          <w:color w:val="auto"/>
          <w:sz w:val="24"/>
          <w:szCs w:val="24"/>
          <w:highlight w:val="none"/>
          <w:u w:val="single"/>
        </w:rPr>
      </w:pPr>
      <w:r>
        <w:rPr>
          <w:rFonts w:hint="eastAsia" w:ascii="宋体" w:hAnsi="宋体"/>
          <w:color w:val="auto"/>
          <w:sz w:val="24"/>
          <w:szCs w:val="24"/>
          <w:highlight w:val="none"/>
        </w:rPr>
        <w:t>姓名：</w:t>
      </w:r>
      <w:r>
        <w:rPr>
          <w:rFonts w:hint="eastAsia" w:ascii="仿宋" w:hAnsi="仿宋" w:eastAsia="仿宋" w:cs="仿宋"/>
          <w:b/>
          <w:bCs/>
          <w:color w:val="auto"/>
          <w:kern w:val="0"/>
          <w:sz w:val="24"/>
          <w:szCs w:val="24"/>
          <w:highlight w:val="none"/>
          <w:u w:val="single"/>
          <w:lang w:val="en-US" w:eastAsia="zh-CN"/>
        </w:rPr>
        <w:t>……</w:t>
      </w:r>
      <w:r>
        <w:rPr>
          <w:rFonts w:hint="eastAsia" w:ascii="仿宋" w:hAnsi="仿宋" w:eastAsia="仿宋" w:cs="仿宋"/>
          <w:b/>
          <w:bCs/>
          <w:color w:val="auto"/>
          <w:kern w:val="0"/>
          <w:sz w:val="24"/>
          <w:szCs w:val="24"/>
          <w:highlight w:val="none"/>
          <w:u w:val="none"/>
          <w:lang w:val="en-US" w:eastAsia="zh-CN"/>
        </w:rPr>
        <w:t xml:space="preserve"> </w:t>
      </w:r>
      <w:r>
        <w:rPr>
          <w:rFonts w:hint="eastAsia" w:ascii="宋体" w:hAnsi="宋体"/>
          <w:color w:val="auto"/>
          <w:sz w:val="24"/>
          <w:szCs w:val="24"/>
          <w:highlight w:val="none"/>
        </w:rPr>
        <w:t>职务：</w:t>
      </w:r>
      <w:r>
        <w:rPr>
          <w:rFonts w:hint="eastAsia" w:ascii="仿宋" w:hAnsi="仿宋" w:eastAsia="仿宋" w:cs="仿宋"/>
          <w:b/>
          <w:bCs/>
          <w:color w:val="auto"/>
          <w:kern w:val="0"/>
          <w:sz w:val="24"/>
          <w:szCs w:val="24"/>
          <w:highlight w:val="none"/>
          <w:u w:val="single"/>
        </w:rPr>
        <w:t>项目</w:t>
      </w:r>
      <w:r>
        <w:rPr>
          <w:rFonts w:hint="eastAsia" w:ascii="仿宋" w:hAnsi="仿宋" w:eastAsia="仿宋" w:cs="仿宋"/>
          <w:b/>
          <w:bCs/>
          <w:color w:val="auto"/>
          <w:kern w:val="0"/>
          <w:sz w:val="24"/>
          <w:szCs w:val="24"/>
          <w:highlight w:val="none"/>
          <w:u w:val="single"/>
          <w:lang w:val="en-US" w:eastAsia="zh-CN"/>
        </w:rPr>
        <w:t>经理</w:t>
      </w:r>
    </w:p>
    <w:p w14:paraId="26AD3A2B">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ascii="宋体"/>
          <w:color w:val="auto"/>
          <w:sz w:val="24"/>
          <w:szCs w:val="24"/>
          <w:highlight w:val="none"/>
        </w:rPr>
      </w:pPr>
      <w:r>
        <w:rPr>
          <w:rFonts w:hint="eastAsia" w:ascii="宋体" w:hAnsi="宋体"/>
          <w:color w:val="auto"/>
          <w:sz w:val="24"/>
          <w:szCs w:val="24"/>
          <w:highlight w:val="none"/>
        </w:rPr>
        <w:t>职权：</w:t>
      </w:r>
      <w:r>
        <w:rPr>
          <w:rFonts w:hint="eastAsia" w:ascii="仿宋" w:hAnsi="仿宋" w:eastAsia="仿宋" w:cs="仿宋"/>
          <w:b/>
          <w:bCs/>
          <w:color w:val="auto"/>
          <w:kern w:val="0"/>
          <w:sz w:val="24"/>
          <w:szCs w:val="24"/>
          <w:highlight w:val="none"/>
          <w:u w:val="single"/>
        </w:rPr>
        <w:t>负责施工现场的管理、协调关</w:t>
      </w:r>
      <w:r>
        <w:rPr>
          <w:rFonts w:hint="eastAsia" w:ascii="仿宋" w:hAnsi="仿宋" w:eastAsia="仿宋" w:cs="仿宋"/>
          <w:b/>
          <w:bCs/>
          <w:color w:val="auto"/>
          <w:kern w:val="0"/>
          <w:sz w:val="24"/>
          <w:szCs w:val="24"/>
          <w:highlight w:val="none"/>
          <w:u w:val="single"/>
        </w:rPr>
        <w:t>系、听从发包人工程师的指挥。</w:t>
      </w:r>
    </w:p>
    <w:p w14:paraId="13CC883C">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ascii="宋体" w:hAnsi="宋体"/>
          <w:color w:val="auto"/>
          <w:sz w:val="24"/>
          <w:szCs w:val="24"/>
          <w:highlight w:val="none"/>
        </w:rPr>
        <w:t>6</w:t>
      </w:r>
      <w:r>
        <w:rPr>
          <w:rFonts w:hint="eastAsia" w:ascii="宋体" w:hAnsi="宋体"/>
          <w:color w:val="auto"/>
          <w:sz w:val="24"/>
          <w:szCs w:val="24"/>
          <w:highlight w:val="none"/>
        </w:rPr>
        <w:t>、发包人工作</w:t>
      </w:r>
    </w:p>
    <w:p w14:paraId="3BC98DEF">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ascii="宋体" w:hAnsi="宋体"/>
          <w:color w:val="auto"/>
          <w:sz w:val="24"/>
          <w:szCs w:val="24"/>
          <w:highlight w:val="none"/>
        </w:rPr>
        <w:t>6.1</w:t>
      </w:r>
      <w:r>
        <w:rPr>
          <w:rFonts w:hint="eastAsia" w:ascii="宋体" w:hAnsi="宋体"/>
          <w:color w:val="auto"/>
          <w:sz w:val="24"/>
          <w:szCs w:val="24"/>
          <w:highlight w:val="none"/>
        </w:rPr>
        <w:t>发包人应按约定的时间和要求完成以下工作：</w:t>
      </w:r>
    </w:p>
    <w:p w14:paraId="02C3DEB6">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hint="eastAsia" w:ascii="宋体" w:hAnsi="宋体"/>
          <w:color w:val="auto"/>
          <w:sz w:val="24"/>
          <w:szCs w:val="24"/>
          <w:highlight w:val="none"/>
        </w:rPr>
        <w:t>6.1.1施工场地具备施工条件的要求及完成的时间：</w:t>
      </w:r>
      <w:r>
        <w:rPr>
          <w:rFonts w:hint="eastAsia" w:ascii="仿宋" w:hAnsi="仿宋" w:eastAsia="仿宋" w:cs="仿宋"/>
          <w:b/>
          <w:bCs/>
          <w:color w:val="auto"/>
          <w:kern w:val="0"/>
          <w:sz w:val="24"/>
          <w:szCs w:val="24"/>
          <w:highlight w:val="none"/>
          <w:u w:val="single"/>
        </w:rPr>
        <w:t xml:space="preserve">/  </w:t>
      </w:r>
      <w:r>
        <w:rPr>
          <w:rFonts w:hint="eastAsia" w:ascii="宋体" w:hAnsi="宋体"/>
          <w:color w:val="auto"/>
          <w:sz w:val="24"/>
          <w:szCs w:val="24"/>
          <w:highlight w:val="none"/>
        </w:rPr>
        <w:t>。</w:t>
      </w:r>
    </w:p>
    <w:p w14:paraId="47A02926">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hint="eastAsia" w:ascii="宋体" w:hAnsi="宋体"/>
          <w:color w:val="auto"/>
          <w:sz w:val="24"/>
          <w:szCs w:val="24"/>
          <w:highlight w:val="none"/>
        </w:rPr>
        <w:t>6.1.2工程地质和地下管线资料的提供时间：</w:t>
      </w:r>
      <w:r>
        <w:rPr>
          <w:rFonts w:hint="eastAsia" w:ascii="仿宋" w:hAnsi="仿宋" w:eastAsia="仿宋" w:cs="仿宋"/>
          <w:b/>
          <w:bCs/>
          <w:color w:val="auto"/>
          <w:kern w:val="0"/>
          <w:sz w:val="24"/>
          <w:szCs w:val="24"/>
          <w:highlight w:val="none"/>
          <w:u w:val="single"/>
        </w:rPr>
        <w:t>开工前完成</w:t>
      </w:r>
      <w:r>
        <w:rPr>
          <w:rFonts w:hint="eastAsia" w:ascii="宋体" w:hAnsi="宋体"/>
          <w:color w:val="auto"/>
          <w:sz w:val="24"/>
          <w:szCs w:val="24"/>
          <w:highlight w:val="none"/>
        </w:rPr>
        <w:t>。</w:t>
      </w:r>
    </w:p>
    <w:p w14:paraId="76E31781">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hint="eastAsia" w:ascii="宋体" w:hAnsi="宋体"/>
          <w:color w:val="auto"/>
          <w:sz w:val="24"/>
          <w:szCs w:val="24"/>
          <w:highlight w:val="none"/>
        </w:rPr>
        <w:t>6.1.3由发包人办理的施工所需证件、批件的名称和完成时间：</w:t>
      </w:r>
      <w:r>
        <w:rPr>
          <w:rFonts w:hint="eastAsia" w:ascii="仿宋" w:hAnsi="仿宋" w:eastAsia="仿宋" w:cs="仿宋"/>
          <w:b/>
          <w:bCs/>
          <w:color w:val="auto"/>
          <w:kern w:val="0"/>
          <w:sz w:val="24"/>
          <w:szCs w:val="24"/>
          <w:highlight w:val="none"/>
          <w:u w:val="single"/>
        </w:rPr>
        <w:t>开工前完成</w:t>
      </w:r>
      <w:r>
        <w:rPr>
          <w:rFonts w:hint="eastAsia" w:ascii="宋体" w:hAnsi="宋体"/>
          <w:color w:val="auto"/>
          <w:sz w:val="24"/>
          <w:szCs w:val="24"/>
          <w:highlight w:val="none"/>
        </w:rPr>
        <w:t>。</w:t>
      </w:r>
    </w:p>
    <w:p w14:paraId="7CDE3C66">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6.1.4协调处理施工场地周围地下管线和邻近建筑物、构筑物（含文物保护建筑）、古树名木的保护工作：</w:t>
      </w:r>
      <w:r>
        <w:rPr>
          <w:rFonts w:hint="eastAsia" w:ascii="仿宋" w:hAnsi="仿宋" w:eastAsia="仿宋" w:cs="仿宋"/>
          <w:b/>
          <w:bCs/>
          <w:color w:val="auto"/>
          <w:kern w:val="0"/>
          <w:sz w:val="24"/>
          <w:szCs w:val="24"/>
          <w:highlight w:val="none"/>
          <w:u w:val="single"/>
        </w:rPr>
        <w:t>现场已明了的地下管线和邻近建筑物、构筑物（含文物保护建筑）、古树名木由承包人负责保护，暂不明的地下管线或构筑物情况，如施工中遇到，协商解决。</w:t>
      </w:r>
    </w:p>
    <w:p w14:paraId="32DCF781">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ascii="宋体" w:hAnsi="宋体"/>
          <w:color w:val="auto"/>
          <w:sz w:val="24"/>
          <w:szCs w:val="24"/>
          <w:highlight w:val="none"/>
        </w:rPr>
        <w:t>7</w:t>
      </w:r>
      <w:r>
        <w:rPr>
          <w:rFonts w:hint="eastAsia" w:ascii="宋体" w:hAnsi="宋体"/>
          <w:color w:val="auto"/>
          <w:sz w:val="24"/>
          <w:szCs w:val="24"/>
          <w:highlight w:val="none"/>
        </w:rPr>
        <w:t>、承包人工作</w:t>
      </w:r>
    </w:p>
    <w:p w14:paraId="0884B795">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ascii="宋体" w:hAnsi="宋体"/>
          <w:color w:val="auto"/>
          <w:sz w:val="24"/>
          <w:szCs w:val="24"/>
          <w:highlight w:val="none"/>
        </w:rPr>
        <w:t>7.1</w:t>
      </w:r>
      <w:r>
        <w:rPr>
          <w:rFonts w:hint="eastAsia" w:ascii="宋体" w:hAnsi="宋体"/>
          <w:color w:val="auto"/>
          <w:sz w:val="24"/>
          <w:szCs w:val="24"/>
          <w:highlight w:val="none"/>
        </w:rPr>
        <w:t>承包人应按约定时间和要求，完成以下工作：</w:t>
      </w:r>
    </w:p>
    <w:p w14:paraId="450AA214">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7.1.1应提供计划、报表的名称及完成时间：</w:t>
      </w:r>
      <w:r>
        <w:rPr>
          <w:rFonts w:hint="eastAsia" w:ascii="仿宋" w:hAnsi="仿宋" w:eastAsia="仿宋" w:cs="仿宋"/>
          <w:b/>
          <w:bCs/>
          <w:color w:val="auto"/>
          <w:kern w:val="0"/>
          <w:sz w:val="24"/>
          <w:highlight w:val="none"/>
          <w:u w:val="single"/>
          <w:lang w:val="en-US" w:eastAsia="zh-CN"/>
        </w:rPr>
        <w:t>按发包人要求</w:t>
      </w:r>
      <w:r>
        <w:rPr>
          <w:rFonts w:hint="eastAsia" w:ascii="仿宋" w:hAnsi="仿宋" w:eastAsia="仿宋" w:cs="仿宋"/>
          <w:b/>
          <w:bCs/>
          <w:color w:val="auto"/>
          <w:kern w:val="0"/>
          <w:sz w:val="24"/>
          <w:szCs w:val="24"/>
          <w:highlight w:val="none"/>
          <w:u w:val="single"/>
        </w:rPr>
        <w:t>。</w:t>
      </w:r>
    </w:p>
    <w:p w14:paraId="0488D767">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7.1.2承担施工安全保卫工作及非夜间施工照明的责任和要求：</w:t>
      </w:r>
      <w:r>
        <w:rPr>
          <w:rFonts w:hint="eastAsia" w:ascii="仿宋" w:hAnsi="仿宋" w:eastAsia="仿宋" w:cs="仿宋"/>
          <w:b/>
          <w:bCs/>
          <w:color w:val="auto"/>
          <w:kern w:val="0"/>
          <w:sz w:val="24"/>
          <w:szCs w:val="24"/>
          <w:highlight w:val="none"/>
          <w:u w:val="single"/>
        </w:rPr>
        <w:t>承包人须在施工现场入口处、临时用电设施、出入通道口等危险部位，设置明显的安全警示标志。安全警示标志必须符合国家标准。如发生安全事故，责任概由承包人承担。</w:t>
      </w:r>
    </w:p>
    <w:p w14:paraId="2F874D38">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hint="eastAsia" w:ascii="宋体" w:hAnsi="宋体"/>
          <w:color w:val="auto"/>
          <w:sz w:val="24"/>
          <w:szCs w:val="24"/>
          <w:highlight w:val="none"/>
        </w:rPr>
        <w:t>7.1.3需承包人办理的有关交通、环卫环保和施工噪音管理等手续：</w:t>
      </w:r>
      <w:r>
        <w:rPr>
          <w:rFonts w:hint="eastAsia" w:ascii="仿宋" w:hAnsi="仿宋" w:eastAsia="仿宋" w:cs="仿宋"/>
          <w:b/>
          <w:bCs/>
          <w:color w:val="auto"/>
          <w:kern w:val="0"/>
          <w:sz w:val="24"/>
          <w:szCs w:val="24"/>
          <w:highlight w:val="none"/>
          <w:u w:val="single"/>
        </w:rPr>
        <w:t>场地交通、相关水利、航道、禁区、禁时等通行证、环卫、施工噪音管理、安全监督等手续由承包人自行到有关部门办理。</w:t>
      </w:r>
    </w:p>
    <w:p w14:paraId="2A54A788">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7.1.4施工场地周围地下管线和邻近建筑物、构筑物（含文物保护建筑）、古树名木的保护要求及费用承担：</w:t>
      </w:r>
      <w:r>
        <w:rPr>
          <w:rFonts w:hint="eastAsia" w:ascii="仿宋" w:hAnsi="仿宋" w:eastAsia="仿宋" w:cs="仿宋"/>
          <w:b/>
          <w:bCs/>
          <w:color w:val="auto"/>
          <w:kern w:val="0"/>
          <w:sz w:val="24"/>
          <w:szCs w:val="24"/>
          <w:highlight w:val="none"/>
          <w:u w:val="single"/>
        </w:rPr>
        <w:t>由承包人严格按有关部门的要求采取措施进行保护,如发生损坏，所有损失由承包人承担。</w:t>
      </w:r>
    </w:p>
    <w:p w14:paraId="09F8F9CA">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7.1.5施工场地清洁卫生的要求：</w:t>
      </w:r>
      <w:r>
        <w:rPr>
          <w:rFonts w:hint="eastAsia" w:ascii="仿宋" w:hAnsi="仿宋" w:eastAsia="仿宋" w:cs="仿宋"/>
          <w:b/>
          <w:bCs/>
          <w:color w:val="auto"/>
          <w:kern w:val="0"/>
          <w:sz w:val="24"/>
          <w:szCs w:val="24"/>
          <w:highlight w:val="none"/>
          <w:u w:val="single"/>
        </w:rPr>
        <w:t>施工区域现场布置合理，材料、设备堆放整齐，场地布置合理，日产日清，不得造成市政设施的二次污染。</w:t>
      </w:r>
    </w:p>
    <w:p w14:paraId="1EF99D88">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hint="eastAsia" w:ascii="宋体" w:hAnsi="宋体"/>
          <w:color w:val="auto"/>
          <w:sz w:val="24"/>
          <w:szCs w:val="24"/>
          <w:highlight w:val="none"/>
        </w:rPr>
        <w:t>7.1.6 施工所需用水、用电：</w:t>
      </w:r>
      <w:r>
        <w:rPr>
          <w:rFonts w:hint="eastAsia" w:ascii="仿宋" w:hAnsi="仿宋" w:eastAsia="仿宋" w:cs="仿宋"/>
          <w:b/>
          <w:bCs/>
          <w:color w:val="auto"/>
          <w:kern w:val="0"/>
          <w:sz w:val="24"/>
          <w:szCs w:val="24"/>
          <w:highlight w:val="none"/>
          <w:u w:val="single"/>
        </w:rPr>
        <w:t>水、电接驳，定量表记、接至施工现场管线（电缆）、现场自来水及电源接入点现场具体位置由承包人自行考虑</w:t>
      </w:r>
      <w:r>
        <w:rPr>
          <w:rFonts w:hint="eastAsia" w:ascii="宋体" w:hAnsi="宋体"/>
          <w:color w:val="auto"/>
          <w:sz w:val="24"/>
          <w:szCs w:val="24"/>
          <w:highlight w:val="none"/>
        </w:rPr>
        <w:t>。</w:t>
      </w:r>
    </w:p>
    <w:p w14:paraId="4537C458">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hint="default" w:ascii="宋体" w:hAnsi="宋体" w:eastAsia="仿宋"/>
          <w:color w:val="auto"/>
          <w:sz w:val="24"/>
          <w:szCs w:val="24"/>
          <w:highlight w:val="none"/>
          <w:lang w:val="en-US" w:eastAsia="zh-CN"/>
        </w:rPr>
      </w:pPr>
      <w:r>
        <w:rPr>
          <w:rFonts w:hint="eastAsia" w:ascii="宋体" w:hAnsi="宋体"/>
          <w:color w:val="auto"/>
          <w:sz w:val="24"/>
          <w:szCs w:val="24"/>
          <w:highlight w:val="none"/>
        </w:rPr>
        <w:t>7.1.7双方约定承包人应做的其他工作：</w:t>
      </w:r>
      <w:r>
        <w:rPr>
          <w:rFonts w:hint="eastAsia" w:ascii="仿宋" w:hAnsi="仿宋" w:eastAsia="仿宋" w:cs="仿宋"/>
          <w:b/>
          <w:bCs/>
          <w:color w:val="auto"/>
          <w:kern w:val="0"/>
          <w:sz w:val="24"/>
          <w:szCs w:val="24"/>
          <w:highlight w:val="none"/>
          <w:u w:val="single"/>
        </w:rPr>
        <w:t>（1）承包人施工现场</w:t>
      </w:r>
      <w:r>
        <w:rPr>
          <w:rFonts w:hint="eastAsia" w:ascii="仿宋" w:hAnsi="仿宋" w:eastAsia="仿宋" w:cs="仿宋"/>
          <w:b/>
          <w:bCs/>
          <w:color w:val="auto"/>
          <w:kern w:val="0"/>
          <w:sz w:val="24"/>
          <w:szCs w:val="24"/>
          <w:highlight w:val="none"/>
          <w:u w:val="single"/>
          <w:lang w:val="en-US" w:eastAsia="zh-CN"/>
        </w:rPr>
        <w:t>必须</w:t>
      </w:r>
      <w:r>
        <w:rPr>
          <w:rFonts w:hint="eastAsia" w:ascii="仿宋" w:hAnsi="仿宋" w:eastAsia="仿宋" w:cs="仿宋"/>
          <w:b/>
          <w:bCs/>
          <w:color w:val="auto"/>
          <w:kern w:val="0"/>
          <w:sz w:val="24"/>
          <w:szCs w:val="24"/>
          <w:highlight w:val="none"/>
          <w:u w:val="single"/>
        </w:rPr>
        <w:t>服从发包人安排</w:t>
      </w:r>
      <w:r>
        <w:rPr>
          <w:rFonts w:hint="eastAsia" w:ascii="仿宋" w:hAnsi="仿宋" w:eastAsia="仿宋" w:cs="仿宋"/>
          <w:b/>
          <w:bCs/>
          <w:color w:val="auto"/>
          <w:kern w:val="0"/>
          <w:sz w:val="24"/>
          <w:szCs w:val="24"/>
          <w:highlight w:val="none"/>
          <w:u w:val="single"/>
          <w:lang w:eastAsia="zh-CN"/>
        </w:rPr>
        <w:t>，</w:t>
      </w:r>
      <w:r>
        <w:rPr>
          <w:rFonts w:hint="eastAsia" w:ascii="仿宋" w:hAnsi="仿宋" w:eastAsia="仿宋" w:cs="仿宋"/>
          <w:b/>
          <w:bCs/>
          <w:color w:val="auto"/>
          <w:kern w:val="0"/>
          <w:sz w:val="24"/>
          <w:szCs w:val="24"/>
          <w:highlight w:val="none"/>
          <w:u w:val="single"/>
          <w:lang w:eastAsia="zh-CN"/>
        </w:rPr>
        <w:t>及时组织施工</w:t>
      </w:r>
      <w:r>
        <w:rPr>
          <w:rFonts w:hint="eastAsia" w:ascii="仿宋" w:hAnsi="仿宋" w:eastAsia="仿宋" w:cs="仿宋"/>
          <w:b/>
          <w:bCs/>
          <w:color w:val="auto"/>
          <w:kern w:val="0"/>
          <w:sz w:val="24"/>
          <w:szCs w:val="24"/>
          <w:highlight w:val="none"/>
          <w:u w:val="single"/>
          <w:lang w:val="en-US" w:eastAsia="zh-CN"/>
        </w:rPr>
        <w:t>并</w:t>
      </w:r>
      <w:r>
        <w:rPr>
          <w:rFonts w:hint="eastAsia" w:ascii="仿宋" w:hAnsi="仿宋" w:eastAsia="仿宋" w:cs="仿宋"/>
          <w:b/>
          <w:bCs/>
          <w:color w:val="auto"/>
          <w:kern w:val="0"/>
          <w:sz w:val="24"/>
          <w:szCs w:val="24"/>
          <w:highlight w:val="none"/>
          <w:u w:val="single"/>
        </w:rPr>
        <w:t>提供优质服务，须无条</w:t>
      </w:r>
      <w:r>
        <w:rPr>
          <w:rFonts w:hint="eastAsia" w:ascii="仿宋" w:hAnsi="仿宋" w:eastAsia="仿宋" w:cs="仿宋"/>
          <w:b/>
          <w:bCs/>
          <w:color w:val="auto"/>
          <w:kern w:val="0"/>
          <w:sz w:val="24"/>
          <w:szCs w:val="24"/>
          <w:highlight w:val="none"/>
          <w:u w:val="single"/>
        </w:rPr>
        <w:t>件接受发包人对施工质量、进度、安全、文明及造价等的监督管理。</w:t>
      </w:r>
      <w:r>
        <w:rPr>
          <w:rFonts w:hint="eastAsia" w:ascii="仿宋" w:hAnsi="仿宋" w:eastAsia="仿宋" w:cs="仿宋"/>
          <w:b/>
          <w:bCs/>
          <w:color w:val="auto"/>
          <w:kern w:val="0"/>
          <w:sz w:val="24"/>
          <w:szCs w:val="24"/>
          <w:highlight w:val="none"/>
          <w:u w:val="single"/>
          <w:lang w:eastAsia="zh-CN"/>
        </w:rPr>
        <w:t>（</w:t>
      </w:r>
      <w:r>
        <w:rPr>
          <w:rFonts w:hint="eastAsia" w:ascii="仿宋" w:hAnsi="仿宋" w:eastAsia="仿宋" w:cs="仿宋"/>
          <w:b/>
          <w:bCs/>
          <w:color w:val="auto"/>
          <w:kern w:val="0"/>
          <w:sz w:val="24"/>
          <w:szCs w:val="24"/>
          <w:highlight w:val="none"/>
          <w:u w:val="single"/>
        </w:rPr>
        <w:t>2）</w:t>
      </w:r>
      <w:r>
        <w:rPr>
          <w:rFonts w:hint="eastAsia" w:ascii="仿宋" w:hAnsi="仿宋" w:eastAsia="仿宋" w:cs="仿宋"/>
          <w:b/>
          <w:bCs/>
          <w:color w:val="auto"/>
          <w:kern w:val="0"/>
          <w:sz w:val="24"/>
          <w:szCs w:val="24"/>
          <w:highlight w:val="none"/>
          <w:u w:val="single"/>
          <w:lang w:eastAsia="zh-CN"/>
        </w:rPr>
        <w:t>安全文明施工措施到位，</w:t>
      </w:r>
      <w:r>
        <w:rPr>
          <w:rFonts w:hint="eastAsia" w:ascii="仿宋" w:hAnsi="仿宋" w:eastAsia="仿宋" w:cs="仿宋"/>
          <w:b/>
          <w:bCs/>
          <w:color w:val="auto"/>
          <w:kern w:val="0"/>
          <w:sz w:val="24"/>
          <w:szCs w:val="24"/>
          <w:highlight w:val="none"/>
          <w:u w:val="single"/>
        </w:rPr>
        <w:t>设置有关标语、标牌，做好安全文明施工工作，施工中注意环境保护</w:t>
      </w:r>
      <w:r>
        <w:rPr>
          <w:rFonts w:hint="eastAsia" w:ascii="仿宋" w:hAnsi="仿宋" w:eastAsia="仿宋" w:cs="仿宋"/>
          <w:b/>
          <w:bCs/>
          <w:color w:val="auto"/>
          <w:kern w:val="0"/>
          <w:sz w:val="24"/>
          <w:szCs w:val="24"/>
          <w:highlight w:val="none"/>
          <w:u w:val="single"/>
          <w:lang w:eastAsia="zh-CN"/>
        </w:rPr>
        <w:t>，现场必须至少配备一名安全员。（</w:t>
      </w:r>
      <w:r>
        <w:rPr>
          <w:rFonts w:hint="eastAsia" w:ascii="仿宋" w:hAnsi="仿宋" w:eastAsia="仿宋" w:cs="仿宋"/>
          <w:b/>
          <w:bCs/>
          <w:color w:val="auto"/>
          <w:kern w:val="0"/>
          <w:sz w:val="24"/>
          <w:szCs w:val="24"/>
          <w:highlight w:val="none"/>
          <w:u w:val="single"/>
          <w:lang w:val="en-US" w:eastAsia="zh-CN"/>
        </w:rPr>
        <w:t>3</w:t>
      </w:r>
      <w:r>
        <w:rPr>
          <w:rFonts w:hint="eastAsia" w:ascii="仿宋" w:hAnsi="仿宋" w:eastAsia="仿宋" w:cs="仿宋"/>
          <w:b/>
          <w:bCs/>
          <w:color w:val="auto"/>
          <w:kern w:val="0"/>
          <w:sz w:val="24"/>
          <w:szCs w:val="24"/>
          <w:highlight w:val="none"/>
          <w:u w:val="single"/>
          <w:lang w:eastAsia="zh-CN"/>
        </w:rPr>
        <w:t>）</w:t>
      </w:r>
      <w:r>
        <w:rPr>
          <w:rFonts w:hint="eastAsia" w:ascii="仿宋" w:hAnsi="仿宋" w:eastAsia="仿宋" w:cs="仿宋"/>
          <w:b/>
          <w:bCs/>
          <w:color w:val="auto"/>
          <w:kern w:val="0"/>
          <w:sz w:val="24"/>
          <w:szCs w:val="24"/>
          <w:highlight w:val="none"/>
          <w:u w:val="single"/>
          <w:lang w:val="en-US" w:eastAsia="zh-CN"/>
        </w:rPr>
        <w:t>承包人</w:t>
      </w:r>
      <w:r>
        <w:rPr>
          <w:rFonts w:hint="eastAsia" w:ascii="仿宋" w:hAnsi="仿宋" w:eastAsia="仿宋" w:cs="仿宋"/>
          <w:b/>
          <w:bCs/>
          <w:color w:val="auto"/>
          <w:kern w:val="0"/>
          <w:sz w:val="24"/>
          <w:szCs w:val="24"/>
          <w:highlight w:val="none"/>
          <w:u w:val="single"/>
          <w:lang w:eastAsia="zh-CN"/>
        </w:rPr>
        <w:t>接受南通市市政设施管理处的日常考核和管理，</w:t>
      </w:r>
      <w:r>
        <w:rPr>
          <w:rFonts w:hint="eastAsia" w:ascii="仿宋" w:hAnsi="仿宋" w:eastAsia="仿宋" w:cs="仿宋"/>
          <w:b/>
          <w:bCs/>
          <w:color w:val="auto"/>
          <w:kern w:val="0"/>
          <w:sz w:val="24"/>
          <w:szCs w:val="24"/>
          <w:highlight w:val="none"/>
          <w:u w:val="single"/>
          <w:lang w:val="en-US" w:eastAsia="zh-CN"/>
        </w:rPr>
        <w:t>具体考核要求见附件5。（4）</w:t>
      </w:r>
      <w:r>
        <w:rPr>
          <w:rFonts w:hint="eastAsia" w:ascii="仿宋" w:hAnsi="仿宋" w:eastAsia="仿宋" w:cs="仿宋"/>
          <w:b/>
          <w:bCs/>
          <w:color w:val="auto"/>
          <w:kern w:val="0"/>
          <w:sz w:val="24"/>
          <w:szCs w:val="24"/>
          <w:highlight w:val="none"/>
          <w:u w:val="single"/>
        </w:rPr>
        <w:t>签订合同后，承包人必须根据发包人安排的地点，实施样板段施工。由发包人组织样板段验收（或检测）合格后，方可开始正式工程施工。样板段不合格的，进行二次样板段的施工。如二次验收（或检测）不合格，终止合同，同时发包人有权没收履约保证金。</w:t>
      </w:r>
    </w:p>
    <w:p w14:paraId="4C98E99E">
      <w:pPr>
        <w:keepNext w:val="0"/>
        <w:keepLines w:val="0"/>
        <w:pageBreakBefore w:val="0"/>
        <w:widowControl w:val="0"/>
        <w:tabs>
          <w:tab w:val="left" w:pos="360"/>
        </w:tabs>
        <w:kinsoku/>
        <w:wordWrap/>
        <w:overflowPunct/>
        <w:topLinePunct w:val="0"/>
        <w:autoSpaceDE/>
        <w:autoSpaceDN/>
        <w:bidi w:val="0"/>
        <w:adjustRightInd w:val="0"/>
        <w:snapToGrid/>
        <w:spacing w:line="480" w:lineRule="exact"/>
        <w:jc w:val="center"/>
        <w:textAlignment w:val="auto"/>
        <w:rPr>
          <w:rFonts w:ascii="宋体" w:hAnsi="宋体"/>
          <w:b/>
          <w:color w:val="auto"/>
          <w:sz w:val="24"/>
          <w:szCs w:val="24"/>
          <w:highlight w:val="none"/>
        </w:rPr>
      </w:pPr>
    </w:p>
    <w:p w14:paraId="5E3DCA3B">
      <w:pPr>
        <w:keepNext w:val="0"/>
        <w:keepLines w:val="0"/>
        <w:pageBreakBefore w:val="0"/>
        <w:widowControl w:val="0"/>
        <w:tabs>
          <w:tab w:val="left" w:pos="360"/>
        </w:tabs>
        <w:kinsoku/>
        <w:wordWrap/>
        <w:overflowPunct/>
        <w:topLinePunct w:val="0"/>
        <w:autoSpaceDE/>
        <w:autoSpaceDN/>
        <w:bidi w:val="0"/>
        <w:adjustRightInd w:val="0"/>
        <w:snapToGrid/>
        <w:spacing w:line="480" w:lineRule="exact"/>
        <w:jc w:val="center"/>
        <w:textAlignment w:val="auto"/>
        <w:rPr>
          <w:rFonts w:ascii="宋体"/>
          <w:b/>
          <w:color w:val="auto"/>
          <w:sz w:val="24"/>
          <w:szCs w:val="24"/>
          <w:highlight w:val="none"/>
        </w:rPr>
      </w:pPr>
      <w:r>
        <w:rPr>
          <w:rFonts w:hint="eastAsia" w:ascii="宋体" w:hAnsi="宋体"/>
          <w:b/>
          <w:color w:val="auto"/>
          <w:sz w:val="24"/>
          <w:szCs w:val="24"/>
          <w:highlight w:val="none"/>
        </w:rPr>
        <w:t>三、施工组织设计和工期</w:t>
      </w:r>
    </w:p>
    <w:p w14:paraId="49C8DF49">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ascii="宋体" w:hAnsi="宋体"/>
          <w:color w:val="auto"/>
          <w:sz w:val="24"/>
          <w:szCs w:val="24"/>
          <w:highlight w:val="none"/>
        </w:rPr>
        <w:t>8</w:t>
      </w:r>
      <w:r>
        <w:rPr>
          <w:rFonts w:hint="eastAsia" w:ascii="宋体" w:hAnsi="宋体"/>
          <w:color w:val="auto"/>
          <w:sz w:val="24"/>
          <w:szCs w:val="24"/>
          <w:highlight w:val="none"/>
        </w:rPr>
        <w:t>、进度计划</w:t>
      </w:r>
    </w:p>
    <w:p w14:paraId="2E338E4D">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仿宋" w:hAnsi="仿宋" w:eastAsia="仿宋" w:cs="仿宋"/>
          <w:b/>
          <w:bCs/>
          <w:color w:val="auto"/>
          <w:kern w:val="0"/>
          <w:sz w:val="24"/>
          <w:szCs w:val="24"/>
          <w:highlight w:val="none"/>
          <w:u w:val="single"/>
        </w:rPr>
      </w:pPr>
      <w:r>
        <w:rPr>
          <w:rFonts w:ascii="宋体" w:hAnsi="宋体"/>
          <w:color w:val="auto"/>
          <w:sz w:val="24"/>
          <w:szCs w:val="24"/>
          <w:highlight w:val="none"/>
        </w:rPr>
        <w:t>8.1</w:t>
      </w:r>
      <w:r>
        <w:rPr>
          <w:rFonts w:hint="eastAsia" w:ascii="宋体" w:hAnsi="宋体"/>
          <w:color w:val="auto"/>
          <w:sz w:val="24"/>
          <w:szCs w:val="24"/>
          <w:highlight w:val="none"/>
        </w:rPr>
        <w:t>承包人提供施工组织设计（施工方案）和进度计划的时间：</w:t>
      </w:r>
      <w:r>
        <w:rPr>
          <w:rFonts w:hint="eastAsia" w:ascii="仿宋" w:hAnsi="仿宋" w:eastAsia="仿宋" w:cs="仿宋"/>
          <w:b/>
          <w:bCs/>
          <w:color w:val="auto"/>
          <w:kern w:val="0"/>
          <w:sz w:val="24"/>
          <w:szCs w:val="24"/>
          <w:highlight w:val="none"/>
          <w:u w:val="single"/>
        </w:rPr>
        <w:t>具体阶段性进度计划时间以发包人要求为准。</w:t>
      </w:r>
    </w:p>
    <w:p w14:paraId="3D7ABF21">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ascii="宋体" w:hAnsi="宋体"/>
          <w:color w:val="auto"/>
          <w:sz w:val="24"/>
          <w:szCs w:val="24"/>
          <w:highlight w:val="none"/>
        </w:rPr>
        <w:t>8.2</w:t>
      </w:r>
      <w:r>
        <w:rPr>
          <w:rFonts w:hint="eastAsia" w:ascii="宋体" w:hAnsi="宋体"/>
          <w:color w:val="auto"/>
          <w:sz w:val="24"/>
          <w:szCs w:val="24"/>
          <w:highlight w:val="none"/>
        </w:rPr>
        <w:t>群体工程中有关进度计划的要求：</w:t>
      </w:r>
      <w:r>
        <w:rPr>
          <w:rFonts w:ascii="宋体" w:hAnsi="宋体"/>
          <w:color w:val="auto"/>
          <w:sz w:val="24"/>
          <w:szCs w:val="24"/>
          <w:highlight w:val="none"/>
          <w:u w:val="single"/>
        </w:rPr>
        <w:t xml:space="preserve">   /   </w:t>
      </w:r>
      <w:r>
        <w:rPr>
          <w:rFonts w:hint="eastAsia" w:ascii="宋体" w:hAnsi="宋体"/>
          <w:color w:val="auto"/>
          <w:sz w:val="24"/>
          <w:szCs w:val="24"/>
          <w:highlight w:val="none"/>
        </w:rPr>
        <w:t>。</w:t>
      </w:r>
    </w:p>
    <w:p w14:paraId="38729955">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ascii="宋体" w:hAnsi="宋体"/>
          <w:color w:val="auto"/>
          <w:sz w:val="24"/>
          <w:szCs w:val="24"/>
          <w:highlight w:val="none"/>
        </w:rPr>
        <w:t>9</w:t>
      </w:r>
      <w:r>
        <w:rPr>
          <w:rFonts w:hint="eastAsia" w:ascii="宋体" w:hAnsi="宋体"/>
          <w:color w:val="auto"/>
          <w:sz w:val="24"/>
          <w:szCs w:val="24"/>
          <w:highlight w:val="none"/>
        </w:rPr>
        <w:t>、工期延误</w:t>
      </w:r>
    </w:p>
    <w:p w14:paraId="59137436">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ascii="宋体" w:hAnsi="宋体"/>
          <w:color w:val="auto"/>
          <w:sz w:val="24"/>
          <w:szCs w:val="24"/>
          <w:highlight w:val="none"/>
        </w:rPr>
        <w:t>9.1</w:t>
      </w:r>
      <w:r>
        <w:rPr>
          <w:rFonts w:hint="eastAsia" w:ascii="宋体" w:hAnsi="宋体"/>
          <w:color w:val="auto"/>
          <w:sz w:val="24"/>
          <w:szCs w:val="24"/>
          <w:highlight w:val="none"/>
        </w:rPr>
        <w:t>双方约定工期顺延的其他情况：</w:t>
      </w:r>
      <w:r>
        <w:rPr>
          <w:rFonts w:ascii="宋体" w:hAnsi="宋体"/>
          <w:color w:val="auto"/>
          <w:sz w:val="24"/>
          <w:szCs w:val="24"/>
          <w:highlight w:val="none"/>
          <w:u w:val="single"/>
        </w:rPr>
        <w:t xml:space="preserve">   /   </w:t>
      </w:r>
      <w:r>
        <w:rPr>
          <w:rFonts w:hint="eastAsia" w:ascii="宋体" w:hAnsi="宋体"/>
          <w:color w:val="auto"/>
          <w:sz w:val="24"/>
          <w:szCs w:val="24"/>
          <w:highlight w:val="none"/>
        </w:rPr>
        <w:t>。</w:t>
      </w:r>
    </w:p>
    <w:p w14:paraId="6149AD48">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2" w:firstLineChars="225"/>
        <w:jc w:val="center"/>
        <w:textAlignment w:val="auto"/>
        <w:rPr>
          <w:rFonts w:ascii="宋体" w:hAnsi="宋体"/>
          <w:b/>
          <w:color w:val="auto"/>
          <w:sz w:val="24"/>
          <w:szCs w:val="24"/>
          <w:highlight w:val="none"/>
        </w:rPr>
      </w:pPr>
    </w:p>
    <w:p w14:paraId="0B3FDE9A">
      <w:pPr>
        <w:keepNext w:val="0"/>
        <w:keepLines w:val="0"/>
        <w:pageBreakBefore w:val="0"/>
        <w:widowControl w:val="0"/>
        <w:tabs>
          <w:tab w:val="left" w:pos="360"/>
        </w:tabs>
        <w:kinsoku/>
        <w:wordWrap/>
        <w:overflowPunct/>
        <w:topLinePunct w:val="0"/>
        <w:autoSpaceDE/>
        <w:autoSpaceDN/>
        <w:bidi w:val="0"/>
        <w:adjustRightInd w:val="0"/>
        <w:snapToGrid/>
        <w:spacing w:line="480" w:lineRule="exact"/>
        <w:jc w:val="center"/>
        <w:textAlignment w:val="auto"/>
        <w:rPr>
          <w:rFonts w:ascii="宋体"/>
          <w:b/>
          <w:color w:val="auto"/>
          <w:sz w:val="24"/>
          <w:szCs w:val="24"/>
          <w:highlight w:val="none"/>
        </w:rPr>
      </w:pPr>
      <w:r>
        <w:rPr>
          <w:rFonts w:hint="eastAsia" w:ascii="宋体" w:hAnsi="宋体"/>
          <w:b/>
          <w:color w:val="auto"/>
          <w:sz w:val="24"/>
          <w:szCs w:val="24"/>
          <w:highlight w:val="none"/>
        </w:rPr>
        <w:t>四、质量与验收</w:t>
      </w:r>
    </w:p>
    <w:p w14:paraId="64E62494">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hint="eastAsia" w:ascii="宋体" w:hAnsi="宋体"/>
          <w:color w:val="auto"/>
          <w:sz w:val="24"/>
          <w:szCs w:val="24"/>
          <w:highlight w:val="none"/>
          <w:lang w:val="en-US" w:eastAsia="zh-CN"/>
        </w:rPr>
      </w:pPr>
      <w:r>
        <w:rPr>
          <w:rFonts w:ascii="宋体" w:hAnsi="宋体"/>
          <w:color w:val="auto"/>
          <w:sz w:val="24"/>
          <w:szCs w:val="24"/>
          <w:highlight w:val="none"/>
        </w:rPr>
        <w:t>10</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质量</w:t>
      </w:r>
    </w:p>
    <w:p w14:paraId="19166A6E">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10.1</w:t>
      </w:r>
      <w:r>
        <w:rPr>
          <w:rFonts w:hint="eastAsia" w:ascii="仿宋" w:hAnsi="仿宋" w:eastAsia="仿宋" w:cs="仿宋"/>
          <w:b/>
          <w:bCs/>
          <w:color w:val="auto"/>
          <w:kern w:val="0"/>
          <w:sz w:val="24"/>
          <w:szCs w:val="24"/>
          <w:highlight w:val="none"/>
          <w:u w:val="single"/>
        </w:rPr>
        <w:t>工程质量达到</w:t>
      </w:r>
      <w:r>
        <w:rPr>
          <w:rFonts w:hint="eastAsia" w:ascii="仿宋" w:hAnsi="仿宋" w:eastAsia="仿宋" w:cs="仿宋"/>
          <w:b/>
          <w:bCs/>
          <w:color w:val="auto"/>
          <w:kern w:val="0"/>
          <w:sz w:val="24"/>
          <w:szCs w:val="24"/>
          <w:highlight w:val="none"/>
          <w:u w:val="single"/>
          <w:lang w:val="en-US" w:eastAsia="zh-CN"/>
        </w:rPr>
        <w:t>发包人</w:t>
      </w:r>
      <w:r>
        <w:rPr>
          <w:rFonts w:hint="eastAsia" w:ascii="仿宋" w:hAnsi="仿宋" w:eastAsia="仿宋" w:cs="仿宋"/>
          <w:b/>
          <w:bCs/>
          <w:color w:val="auto"/>
          <w:kern w:val="0"/>
          <w:sz w:val="24"/>
          <w:szCs w:val="24"/>
          <w:highlight w:val="none"/>
          <w:u w:val="single"/>
        </w:rPr>
        <w:t>的要求。</w:t>
      </w:r>
    </w:p>
    <w:p w14:paraId="02CC5729">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hint="eastAsia" w:ascii="宋体" w:hAnsi="宋体"/>
          <w:color w:val="auto"/>
          <w:sz w:val="24"/>
          <w:szCs w:val="24"/>
          <w:highlight w:val="none"/>
          <w:lang w:val="en-US" w:eastAsia="zh-CN"/>
        </w:rPr>
        <w:t>11、</w:t>
      </w:r>
      <w:r>
        <w:rPr>
          <w:rFonts w:hint="eastAsia" w:ascii="宋体" w:hAnsi="宋体"/>
          <w:color w:val="auto"/>
          <w:sz w:val="24"/>
          <w:szCs w:val="24"/>
          <w:highlight w:val="none"/>
        </w:rPr>
        <w:t>隐蔽工程和中间验收</w:t>
      </w:r>
    </w:p>
    <w:p w14:paraId="2DFB898C">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hint="default" w:ascii="宋体"/>
          <w:color w:val="auto"/>
          <w:sz w:val="24"/>
          <w:szCs w:val="24"/>
          <w:highlight w:val="none"/>
          <w:lang w:val="en-US"/>
        </w:rPr>
      </w:pPr>
      <w:r>
        <w:rPr>
          <w:rFonts w:ascii="宋体" w:hAnsi="宋体"/>
          <w:color w:val="auto"/>
          <w:sz w:val="24"/>
          <w:szCs w:val="24"/>
          <w:highlight w:val="none"/>
        </w:rPr>
        <w:t>1</w:t>
      </w:r>
      <w:r>
        <w:rPr>
          <w:rFonts w:hint="eastAsia" w:ascii="宋体" w:hAnsi="宋体"/>
          <w:color w:val="auto"/>
          <w:sz w:val="24"/>
          <w:szCs w:val="24"/>
          <w:highlight w:val="none"/>
          <w:lang w:val="en-US" w:eastAsia="zh-CN"/>
        </w:rPr>
        <w:t>1</w:t>
      </w:r>
      <w:r>
        <w:rPr>
          <w:rFonts w:ascii="宋体" w:hAnsi="宋体"/>
          <w:color w:val="auto"/>
          <w:sz w:val="24"/>
          <w:szCs w:val="24"/>
          <w:highlight w:val="none"/>
        </w:rPr>
        <w:t>.1</w:t>
      </w:r>
      <w:r>
        <w:rPr>
          <w:rFonts w:hint="eastAsia" w:ascii="宋体" w:hAnsi="宋体"/>
          <w:color w:val="auto"/>
          <w:sz w:val="24"/>
          <w:szCs w:val="24"/>
          <w:highlight w:val="none"/>
        </w:rPr>
        <w:t>双方约定中间验收部位：</w:t>
      </w:r>
      <w:r>
        <w:rPr>
          <w:rFonts w:hint="eastAsia" w:ascii="仿宋" w:hAnsi="仿宋" w:eastAsia="仿宋" w:cs="仿宋"/>
          <w:b/>
          <w:bCs/>
          <w:color w:val="auto"/>
          <w:kern w:val="0"/>
          <w:sz w:val="24"/>
          <w:szCs w:val="24"/>
          <w:highlight w:val="none"/>
          <w:u w:val="single"/>
          <w:lang w:val="en-US" w:eastAsia="zh-CN"/>
        </w:rPr>
        <w:t>发包人</w:t>
      </w:r>
      <w:r>
        <w:rPr>
          <w:rFonts w:hint="eastAsia" w:ascii="仿宋" w:hAnsi="仿宋" w:eastAsia="仿宋" w:cs="仿宋"/>
          <w:b/>
          <w:bCs/>
          <w:color w:val="auto"/>
          <w:kern w:val="0"/>
          <w:sz w:val="24"/>
          <w:szCs w:val="24"/>
          <w:highlight w:val="none"/>
          <w:u w:val="single"/>
        </w:rPr>
        <w:t>按合同约定，约定需要验收的阶段，及时组织相关专业技术人员验收，并出具验收报告</w:t>
      </w:r>
      <w:r>
        <w:rPr>
          <w:rFonts w:hint="eastAsia" w:ascii="仿宋" w:hAnsi="仿宋" w:eastAsia="仿宋" w:cs="仿宋"/>
          <w:b/>
          <w:bCs/>
          <w:color w:val="auto"/>
          <w:kern w:val="0"/>
          <w:sz w:val="24"/>
          <w:szCs w:val="24"/>
          <w:highlight w:val="none"/>
          <w:u w:val="single"/>
          <w:lang w:val="en-US" w:eastAsia="zh-CN"/>
        </w:rPr>
        <w:t>。</w:t>
      </w:r>
    </w:p>
    <w:p w14:paraId="347F3D58">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2" w:firstLineChars="225"/>
        <w:jc w:val="center"/>
        <w:textAlignment w:val="auto"/>
        <w:rPr>
          <w:rFonts w:ascii="宋体" w:hAnsi="宋体"/>
          <w:b/>
          <w:color w:val="auto"/>
          <w:sz w:val="24"/>
          <w:szCs w:val="24"/>
          <w:highlight w:val="none"/>
        </w:rPr>
      </w:pPr>
    </w:p>
    <w:p w14:paraId="3C33C0A9">
      <w:pPr>
        <w:keepNext w:val="0"/>
        <w:keepLines w:val="0"/>
        <w:pageBreakBefore w:val="0"/>
        <w:widowControl w:val="0"/>
        <w:tabs>
          <w:tab w:val="left" w:pos="360"/>
        </w:tabs>
        <w:kinsoku/>
        <w:wordWrap/>
        <w:overflowPunct/>
        <w:topLinePunct w:val="0"/>
        <w:autoSpaceDE/>
        <w:autoSpaceDN/>
        <w:bidi w:val="0"/>
        <w:adjustRightInd w:val="0"/>
        <w:snapToGrid/>
        <w:spacing w:line="480" w:lineRule="exact"/>
        <w:jc w:val="center"/>
        <w:textAlignment w:val="auto"/>
        <w:rPr>
          <w:rFonts w:ascii="宋体"/>
          <w:b/>
          <w:color w:val="auto"/>
          <w:sz w:val="24"/>
          <w:szCs w:val="24"/>
          <w:highlight w:val="none"/>
        </w:rPr>
      </w:pPr>
      <w:r>
        <w:rPr>
          <w:rFonts w:hint="eastAsia" w:ascii="宋体" w:hAnsi="宋体"/>
          <w:b/>
          <w:color w:val="auto"/>
          <w:sz w:val="24"/>
          <w:szCs w:val="24"/>
          <w:highlight w:val="none"/>
        </w:rPr>
        <w:t>五、安全文明施工</w:t>
      </w:r>
    </w:p>
    <w:p w14:paraId="486EC0FE">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12.1</w:t>
      </w:r>
      <w:r>
        <w:rPr>
          <w:rFonts w:hint="eastAsia" w:ascii="仿宋" w:hAnsi="仿宋" w:eastAsia="仿宋" w:cs="仿宋"/>
          <w:b/>
          <w:bCs/>
          <w:color w:val="auto"/>
          <w:kern w:val="0"/>
          <w:sz w:val="24"/>
          <w:szCs w:val="24"/>
          <w:highlight w:val="none"/>
          <w:u w:val="single"/>
        </w:rPr>
        <w:t>施工现场应按国家相关规定做好安全措施，文明施工。施工现场做到无安全事故，如发生安全事故承包人承担全部责任及一切费用。</w:t>
      </w:r>
    </w:p>
    <w:p w14:paraId="702EBE33">
      <w:pPr>
        <w:keepNext w:val="0"/>
        <w:keepLines w:val="0"/>
        <w:pageBreakBefore w:val="0"/>
        <w:widowControl w:val="0"/>
        <w:kinsoku/>
        <w:wordWrap/>
        <w:overflowPunct/>
        <w:topLinePunct w:val="0"/>
        <w:autoSpaceDE/>
        <w:autoSpaceDN/>
        <w:bidi w:val="0"/>
        <w:adjustRightInd w:val="0"/>
        <w:spacing w:line="360" w:lineRule="auto"/>
        <w:ind w:firstLine="540" w:firstLineChars="225"/>
        <w:textAlignment w:val="auto"/>
        <w:rPr>
          <w:rFonts w:ascii="仿宋" w:hAnsi="仿宋" w:eastAsia="仿宋" w:cs="仿宋"/>
          <w:b/>
          <w:bCs/>
          <w:color w:val="auto"/>
          <w:kern w:val="0"/>
          <w:sz w:val="24"/>
          <w:szCs w:val="24"/>
          <w:highlight w:val="none"/>
          <w:u w:val="single"/>
        </w:rPr>
      </w:pPr>
      <w:r>
        <w:rPr>
          <w:rFonts w:hint="eastAsia" w:ascii="宋体" w:hAnsi="宋体" w:cs="宋体"/>
          <w:color w:val="auto"/>
          <w:kern w:val="0"/>
          <w:sz w:val="24"/>
          <w:szCs w:val="24"/>
          <w:highlight w:val="none"/>
        </w:rPr>
        <w:t>12.2</w:t>
      </w:r>
      <w:r>
        <w:rPr>
          <w:rFonts w:hint="eastAsia" w:ascii="仿宋" w:hAnsi="仿宋" w:eastAsia="仿宋" w:cs="仿宋"/>
          <w:b/>
          <w:bCs/>
          <w:color w:val="auto"/>
          <w:kern w:val="0"/>
          <w:sz w:val="24"/>
          <w:szCs w:val="24"/>
          <w:highlight w:val="none"/>
          <w:u w:val="single"/>
        </w:rPr>
        <w:t>承包人要对施工员工进行安全培训教育，进行施工前的安全技术交底，并进行三级教育、岗前培训。施工人员应统一着装、穿戴整洁、各类特殊工作作业人员必须持证上岗。</w:t>
      </w:r>
      <w:r>
        <w:rPr>
          <w:rFonts w:hint="eastAsia" w:ascii="仿宋" w:hAnsi="仿宋" w:eastAsia="仿宋" w:cs="仿宋"/>
          <w:b/>
          <w:bCs/>
          <w:color w:val="auto"/>
          <w:kern w:val="0"/>
          <w:sz w:val="24"/>
          <w:highlight w:val="none"/>
          <w:u w:val="single"/>
          <w:lang w:val="en-US" w:eastAsia="zh-CN"/>
        </w:rPr>
        <w:t>安全文明施工措施到位，现场必须至少配备一名安全员。</w:t>
      </w:r>
    </w:p>
    <w:p w14:paraId="29C04483">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仿宋" w:hAnsi="仿宋" w:eastAsia="仿宋" w:cs="仿宋"/>
          <w:b/>
          <w:bCs/>
          <w:color w:val="auto"/>
          <w:kern w:val="0"/>
          <w:sz w:val="24"/>
          <w:szCs w:val="24"/>
          <w:highlight w:val="none"/>
          <w:u w:val="single"/>
        </w:rPr>
      </w:pPr>
      <w:r>
        <w:rPr>
          <w:rFonts w:hint="eastAsia" w:ascii="宋体" w:hAnsi="宋体" w:cs="宋体"/>
          <w:color w:val="auto"/>
          <w:kern w:val="0"/>
          <w:sz w:val="24"/>
          <w:szCs w:val="24"/>
          <w:highlight w:val="none"/>
        </w:rPr>
        <w:t>12.3</w:t>
      </w:r>
      <w:r>
        <w:rPr>
          <w:rFonts w:hint="eastAsia" w:ascii="仿宋" w:hAnsi="仿宋" w:eastAsia="仿宋" w:cs="仿宋"/>
          <w:b/>
          <w:bCs/>
          <w:color w:val="auto"/>
          <w:kern w:val="0"/>
          <w:sz w:val="24"/>
          <w:szCs w:val="24"/>
          <w:highlight w:val="none"/>
          <w:u w:val="single"/>
        </w:rPr>
        <w:t>进行施工作业时，需做好地面道路的交通引导及安全维护，应在施工区域设置合理、明显的指示、警示、安全施工标志，安全警示标志必须符合国家标准。</w:t>
      </w:r>
    </w:p>
    <w:p w14:paraId="3711B65C">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12.4</w:t>
      </w:r>
      <w:r>
        <w:rPr>
          <w:rFonts w:hint="eastAsia" w:ascii="仿宋" w:hAnsi="仿宋" w:eastAsia="仿宋" w:cs="仿宋"/>
          <w:b/>
          <w:bCs/>
          <w:color w:val="auto"/>
          <w:kern w:val="0"/>
          <w:sz w:val="24"/>
          <w:szCs w:val="24"/>
          <w:highlight w:val="none"/>
          <w:u w:val="single"/>
        </w:rPr>
        <w:t>承包人需根据要求安排协管员负责施工区域周边、道路等出入口的交通组织、管理等，安全责任由承包人负责。协管员须统一接受当地交警支队的管理。</w:t>
      </w:r>
    </w:p>
    <w:p w14:paraId="0E09C9B1">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仿宋" w:hAnsi="仿宋" w:eastAsia="仿宋" w:cs="仿宋"/>
          <w:b/>
          <w:bCs/>
          <w:color w:val="auto"/>
          <w:kern w:val="0"/>
          <w:sz w:val="24"/>
          <w:szCs w:val="24"/>
          <w:highlight w:val="none"/>
          <w:u w:val="single"/>
        </w:rPr>
      </w:pPr>
      <w:r>
        <w:rPr>
          <w:rFonts w:hint="eastAsia" w:ascii="宋体" w:hAnsi="宋体" w:cs="宋体"/>
          <w:color w:val="auto"/>
          <w:kern w:val="0"/>
          <w:sz w:val="24"/>
          <w:szCs w:val="24"/>
          <w:highlight w:val="none"/>
        </w:rPr>
        <w:t>12.5</w:t>
      </w:r>
      <w:r>
        <w:rPr>
          <w:rFonts w:hint="eastAsia" w:ascii="仿宋" w:hAnsi="仿宋" w:eastAsia="仿宋" w:cs="仿宋"/>
          <w:b/>
          <w:bCs/>
          <w:color w:val="auto"/>
          <w:kern w:val="0"/>
          <w:sz w:val="24"/>
          <w:szCs w:val="24"/>
          <w:highlight w:val="none"/>
          <w:u w:val="single"/>
        </w:rPr>
        <w:t>施工中注意环境保护，施工现场原材料、设备堆放整齐，做好相应的扬尘污染防治措施，工程完工后应及时清理建材、垃圾，做到日产日清，不可造成其他道路市政设施的二次污染。</w:t>
      </w:r>
    </w:p>
    <w:p w14:paraId="3685F841">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hint="eastAsia" w:ascii="仿宋" w:hAnsi="仿宋" w:eastAsia="仿宋" w:cs="仿宋"/>
          <w:b/>
          <w:bCs/>
          <w:color w:val="auto"/>
          <w:kern w:val="0"/>
          <w:sz w:val="24"/>
          <w:szCs w:val="24"/>
          <w:highlight w:val="none"/>
          <w:u w:val="single"/>
        </w:rPr>
      </w:pPr>
      <w:r>
        <w:rPr>
          <w:rFonts w:hint="eastAsia" w:ascii="宋体" w:hAnsi="宋体" w:cs="宋体"/>
          <w:color w:val="auto"/>
          <w:kern w:val="0"/>
          <w:sz w:val="24"/>
          <w:szCs w:val="24"/>
          <w:highlight w:val="none"/>
        </w:rPr>
        <w:t>12.6</w:t>
      </w:r>
      <w:r>
        <w:rPr>
          <w:rFonts w:hint="eastAsia" w:ascii="仿宋" w:hAnsi="仿宋" w:eastAsia="仿宋" w:cs="仿宋"/>
          <w:b/>
          <w:bCs/>
          <w:color w:val="auto"/>
          <w:kern w:val="0"/>
          <w:sz w:val="24"/>
          <w:szCs w:val="24"/>
          <w:highlight w:val="none"/>
          <w:u w:val="single"/>
        </w:rPr>
        <w:t>做好专项施工作业</w:t>
      </w:r>
      <w:r>
        <w:rPr>
          <w:rFonts w:hint="eastAsia" w:ascii="仿宋" w:hAnsi="仿宋" w:eastAsia="仿宋" w:cs="仿宋"/>
          <w:b/>
          <w:bCs/>
          <w:color w:val="auto"/>
          <w:kern w:val="0"/>
          <w:sz w:val="24"/>
          <w:szCs w:val="24"/>
          <w:highlight w:val="none"/>
          <w:u w:val="single"/>
          <w:lang w:eastAsia="zh-CN"/>
        </w:rPr>
        <w:t>（</w:t>
      </w:r>
      <w:r>
        <w:rPr>
          <w:rFonts w:hint="eastAsia" w:ascii="仿宋" w:hAnsi="仿宋" w:eastAsia="仿宋" w:cs="仿宋"/>
          <w:b/>
          <w:bCs/>
          <w:color w:val="auto"/>
          <w:kern w:val="0"/>
          <w:sz w:val="24"/>
          <w:szCs w:val="24"/>
          <w:highlight w:val="none"/>
          <w:u w:val="single"/>
          <w:lang w:val="en-US" w:eastAsia="zh-CN"/>
        </w:rPr>
        <w:t>如有</w:t>
      </w:r>
      <w:r>
        <w:rPr>
          <w:rFonts w:hint="eastAsia" w:ascii="仿宋" w:hAnsi="仿宋" w:eastAsia="仿宋" w:cs="仿宋"/>
          <w:b/>
          <w:bCs/>
          <w:color w:val="auto"/>
          <w:kern w:val="0"/>
          <w:sz w:val="24"/>
          <w:szCs w:val="24"/>
          <w:highlight w:val="none"/>
          <w:u w:val="single"/>
          <w:lang w:eastAsia="zh-CN"/>
        </w:rPr>
        <w:t>）</w:t>
      </w:r>
      <w:r>
        <w:rPr>
          <w:rFonts w:hint="eastAsia" w:ascii="仿宋" w:hAnsi="仿宋" w:eastAsia="仿宋" w:cs="仿宋"/>
          <w:b/>
          <w:bCs/>
          <w:color w:val="auto"/>
          <w:kern w:val="0"/>
          <w:sz w:val="24"/>
          <w:szCs w:val="24"/>
          <w:highlight w:val="none"/>
          <w:u w:val="single"/>
        </w:rPr>
        <w:t>的方案报审及现场管理工作。</w:t>
      </w:r>
    </w:p>
    <w:p w14:paraId="5F40CAEA">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仿宋" w:hAnsi="仿宋" w:eastAsia="仿宋" w:cs="仿宋"/>
          <w:b/>
          <w:bCs/>
          <w:color w:val="auto"/>
          <w:kern w:val="0"/>
          <w:sz w:val="24"/>
          <w:szCs w:val="24"/>
          <w:highlight w:val="none"/>
          <w:u w:val="single"/>
        </w:rPr>
      </w:pPr>
      <w:r>
        <w:rPr>
          <w:rFonts w:hint="eastAsia" w:ascii="宋体" w:hAnsi="宋体" w:cs="宋体"/>
          <w:color w:val="auto"/>
          <w:kern w:val="0"/>
          <w:sz w:val="24"/>
          <w:szCs w:val="24"/>
          <w:highlight w:val="none"/>
        </w:rPr>
        <w:t>12.7</w:t>
      </w:r>
      <w:r>
        <w:rPr>
          <w:rFonts w:hint="eastAsia" w:ascii="仿宋" w:hAnsi="仿宋" w:eastAsia="仿宋" w:cs="仿宋"/>
          <w:b/>
          <w:bCs/>
          <w:color w:val="auto"/>
          <w:kern w:val="0"/>
          <w:sz w:val="24"/>
          <w:szCs w:val="24"/>
          <w:highlight w:val="none"/>
          <w:u w:val="single"/>
        </w:rPr>
        <w:t>遇强风、浓雾、大雨等恶劣天气时，应停止室外作业。</w:t>
      </w:r>
    </w:p>
    <w:p w14:paraId="2A8B2CA7">
      <w:pPr>
        <w:keepNext w:val="0"/>
        <w:keepLines w:val="0"/>
        <w:pageBreakBefore w:val="0"/>
        <w:widowControl w:val="0"/>
        <w:tabs>
          <w:tab w:val="left" w:pos="360"/>
        </w:tabs>
        <w:kinsoku/>
        <w:wordWrap/>
        <w:overflowPunct/>
        <w:topLinePunct w:val="0"/>
        <w:autoSpaceDE/>
        <w:autoSpaceDN/>
        <w:bidi w:val="0"/>
        <w:adjustRightInd w:val="0"/>
        <w:snapToGrid/>
        <w:spacing w:line="480" w:lineRule="exact"/>
        <w:jc w:val="center"/>
        <w:textAlignment w:val="auto"/>
        <w:rPr>
          <w:rFonts w:ascii="宋体" w:hAnsi="宋体"/>
          <w:b/>
          <w:color w:val="auto"/>
          <w:sz w:val="24"/>
          <w:szCs w:val="24"/>
          <w:highlight w:val="none"/>
        </w:rPr>
      </w:pPr>
    </w:p>
    <w:p w14:paraId="3F797DD5">
      <w:pPr>
        <w:keepNext w:val="0"/>
        <w:keepLines w:val="0"/>
        <w:pageBreakBefore w:val="0"/>
        <w:widowControl w:val="0"/>
        <w:tabs>
          <w:tab w:val="left" w:pos="360"/>
        </w:tabs>
        <w:kinsoku/>
        <w:wordWrap/>
        <w:overflowPunct/>
        <w:topLinePunct w:val="0"/>
        <w:autoSpaceDE/>
        <w:autoSpaceDN/>
        <w:bidi w:val="0"/>
        <w:adjustRightInd w:val="0"/>
        <w:snapToGrid/>
        <w:spacing w:line="480" w:lineRule="exact"/>
        <w:jc w:val="center"/>
        <w:textAlignment w:val="auto"/>
        <w:rPr>
          <w:rFonts w:ascii="宋体"/>
          <w:b/>
          <w:color w:val="auto"/>
          <w:sz w:val="24"/>
          <w:szCs w:val="24"/>
          <w:highlight w:val="none"/>
        </w:rPr>
      </w:pPr>
      <w:r>
        <w:rPr>
          <w:rFonts w:hint="eastAsia" w:ascii="宋体" w:hAnsi="宋体"/>
          <w:b/>
          <w:color w:val="auto"/>
          <w:sz w:val="24"/>
          <w:szCs w:val="24"/>
          <w:highlight w:val="none"/>
        </w:rPr>
        <w:t>六、合同价款与支付</w:t>
      </w:r>
    </w:p>
    <w:p w14:paraId="1B599E4D">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ascii="宋体" w:hAnsi="宋体"/>
          <w:bCs/>
          <w:color w:val="auto"/>
          <w:sz w:val="24"/>
          <w:szCs w:val="24"/>
          <w:highlight w:val="none"/>
        </w:rPr>
        <w:t>13</w:t>
      </w:r>
      <w:r>
        <w:rPr>
          <w:rFonts w:hint="eastAsia" w:ascii="宋体" w:hAnsi="宋体"/>
          <w:bCs/>
          <w:color w:val="auto"/>
          <w:sz w:val="24"/>
          <w:szCs w:val="24"/>
          <w:highlight w:val="none"/>
        </w:rPr>
        <w:t>、合同价款及调整</w:t>
      </w:r>
    </w:p>
    <w:p w14:paraId="2CD249DF">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hint="eastAsia" w:ascii="宋体" w:hAnsi="宋体"/>
          <w:color w:val="auto"/>
          <w:sz w:val="24"/>
          <w:szCs w:val="24"/>
          <w:highlight w:val="none"/>
        </w:rPr>
      </w:pPr>
      <w:r>
        <w:rPr>
          <w:rFonts w:ascii="宋体" w:hAnsi="宋体"/>
          <w:color w:val="auto"/>
          <w:sz w:val="24"/>
          <w:szCs w:val="24"/>
          <w:highlight w:val="none"/>
        </w:rPr>
        <w:t>13.1</w:t>
      </w:r>
      <w:r>
        <w:rPr>
          <w:rFonts w:hint="eastAsia" w:ascii="宋体" w:hAnsi="宋体"/>
          <w:color w:val="auto"/>
          <w:sz w:val="24"/>
          <w:szCs w:val="24"/>
          <w:highlight w:val="none"/>
        </w:rPr>
        <w:t>本合同价款采用</w:t>
      </w:r>
      <w:r>
        <w:rPr>
          <w:rFonts w:hint="eastAsia" w:ascii="仿宋" w:hAnsi="仿宋" w:eastAsia="仿宋" w:cs="仿宋"/>
          <w:b/>
          <w:bCs/>
          <w:color w:val="auto"/>
          <w:kern w:val="0"/>
          <w:sz w:val="24"/>
          <w:highlight w:val="none"/>
          <w:u w:val="single"/>
          <w:lang w:val="en-US" w:eastAsia="zh-CN"/>
        </w:rPr>
        <w:t>全费用综合单价</w:t>
      </w:r>
      <w:r>
        <w:rPr>
          <w:rFonts w:hint="eastAsia" w:ascii="宋体" w:hAnsi="宋体"/>
          <w:color w:val="auto"/>
          <w:sz w:val="24"/>
          <w:szCs w:val="24"/>
          <w:highlight w:val="none"/>
        </w:rPr>
        <w:t>方式</w:t>
      </w:r>
      <w:r>
        <w:rPr>
          <w:rFonts w:hint="eastAsia" w:ascii="宋体" w:hAnsi="宋体"/>
          <w:color w:val="auto"/>
          <w:sz w:val="24"/>
          <w:szCs w:val="24"/>
          <w:highlight w:val="none"/>
          <w:lang w:val="en-US" w:eastAsia="zh-CN"/>
        </w:rPr>
        <w:t>结算</w:t>
      </w:r>
      <w:r>
        <w:rPr>
          <w:rFonts w:hint="eastAsia" w:ascii="宋体" w:hAnsi="宋体"/>
          <w:color w:val="auto"/>
          <w:sz w:val="24"/>
          <w:szCs w:val="24"/>
          <w:highlight w:val="none"/>
        </w:rPr>
        <w:t>。</w:t>
      </w:r>
    </w:p>
    <w:p w14:paraId="19B14265">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hint="eastAsia"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合同价款中包括的风险范围：</w:t>
      </w:r>
      <w:r>
        <w:rPr>
          <w:rFonts w:hint="eastAsia" w:ascii="仿宋" w:hAnsi="仿宋" w:eastAsia="仿宋" w:cs="仿宋"/>
          <w:b/>
          <w:bCs/>
          <w:color w:val="auto"/>
          <w:kern w:val="0"/>
          <w:sz w:val="24"/>
          <w:szCs w:val="24"/>
          <w:highlight w:val="none"/>
          <w:u w:val="single"/>
        </w:rPr>
        <w:t>施工期间的政策性调整及市场风险。</w:t>
      </w:r>
    </w:p>
    <w:p w14:paraId="6F3BA2B0">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hint="eastAsia" w:ascii="宋体" w:hAnsi="宋体"/>
          <w:color w:val="auto"/>
          <w:sz w:val="24"/>
          <w:szCs w:val="24"/>
          <w:highlight w:val="none"/>
          <w:lang w:val="en-US" w:eastAsia="zh-CN"/>
        </w:rPr>
        <w:t>13.2</w:t>
      </w:r>
      <w:r>
        <w:rPr>
          <w:rFonts w:hint="eastAsia" w:ascii="宋体" w:hAnsi="宋体"/>
          <w:color w:val="auto"/>
          <w:sz w:val="24"/>
          <w:szCs w:val="24"/>
          <w:highlight w:val="none"/>
        </w:rPr>
        <w:t>扣回工程款的时间、比例：</w:t>
      </w:r>
      <w:r>
        <w:rPr>
          <w:rFonts w:ascii="宋体" w:hAnsi="宋体"/>
          <w:color w:val="auto"/>
          <w:sz w:val="24"/>
          <w:szCs w:val="24"/>
          <w:highlight w:val="none"/>
          <w:u w:val="single"/>
        </w:rPr>
        <w:t xml:space="preserve">     /     </w:t>
      </w:r>
      <w:r>
        <w:rPr>
          <w:rFonts w:hint="eastAsia" w:ascii="宋体" w:hAnsi="宋体"/>
          <w:color w:val="auto"/>
          <w:sz w:val="24"/>
          <w:szCs w:val="24"/>
          <w:highlight w:val="none"/>
        </w:rPr>
        <w:t>。</w:t>
      </w:r>
    </w:p>
    <w:p w14:paraId="129396EB">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ascii="宋体" w:hAnsi="宋体"/>
          <w:color w:val="auto"/>
          <w:sz w:val="24"/>
          <w:szCs w:val="24"/>
          <w:highlight w:val="none"/>
        </w:rPr>
        <w:t>13.</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本合同设履约保证金：</w:t>
      </w:r>
      <w:r>
        <w:rPr>
          <w:rFonts w:hint="eastAsia" w:ascii="仿宋" w:hAnsi="仿宋" w:eastAsia="仿宋" w:cs="仿宋"/>
          <w:b/>
          <w:bCs/>
          <w:color w:val="auto"/>
          <w:kern w:val="0"/>
          <w:sz w:val="24"/>
          <w:szCs w:val="24"/>
          <w:highlight w:val="none"/>
          <w:u w:val="single"/>
          <w:lang w:val="en-US" w:eastAsia="zh-CN"/>
        </w:rPr>
        <w:t>……</w:t>
      </w:r>
      <w:r>
        <w:rPr>
          <w:rFonts w:hint="eastAsia" w:ascii="宋体" w:hAnsi="宋体"/>
          <w:color w:val="auto"/>
          <w:sz w:val="24"/>
          <w:szCs w:val="24"/>
          <w:highlight w:val="none"/>
        </w:rPr>
        <w:t>，形式：</w:t>
      </w:r>
      <w:r>
        <w:rPr>
          <w:rFonts w:hint="eastAsia" w:ascii="仿宋" w:hAnsi="仿宋" w:eastAsia="仿宋" w:cs="仿宋"/>
          <w:b/>
          <w:bCs/>
          <w:color w:val="auto"/>
          <w:kern w:val="0"/>
          <w:sz w:val="24"/>
          <w:szCs w:val="24"/>
          <w:highlight w:val="none"/>
          <w:u w:val="single"/>
          <w:lang w:val="en-US" w:eastAsia="zh-CN"/>
        </w:rPr>
        <w:t>转账/履约保函</w:t>
      </w:r>
      <w:r>
        <w:rPr>
          <w:rFonts w:hint="eastAsia" w:ascii="宋体" w:hAnsi="宋体"/>
          <w:color w:val="auto"/>
          <w:sz w:val="24"/>
          <w:szCs w:val="24"/>
          <w:highlight w:val="none"/>
        </w:rPr>
        <w:t>。</w:t>
      </w:r>
    </w:p>
    <w:p w14:paraId="10D29921">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hint="eastAsia" w:ascii="宋体" w:hAnsi="宋体"/>
          <w:color w:val="auto"/>
          <w:sz w:val="24"/>
          <w:szCs w:val="24"/>
          <w:highlight w:val="none"/>
        </w:rPr>
        <w:t>13.</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履约保证金退还程序：</w:t>
      </w:r>
    </w:p>
    <w:p w14:paraId="77B838B1">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服务期满后，承包人全部</w:t>
      </w:r>
      <w:r>
        <w:rPr>
          <w:rFonts w:hint="eastAsia" w:ascii="宋体" w:hAnsi="宋体"/>
          <w:color w:val="auto"/>
          <w:sz w:val="24"/>
          <w:szCs w:val="24"/>
          <w:highlight w:val="none"/>
          <w:lang w:eastAsia="zh-CN"/>
        </w:rPr>
        <w:t>履行合同</w:t>
      </w:r>
      <w:r>
        <w:rPr>
          <w:rFonts w:hint="eastAsia" w:ascii="宋体" w:hAnsi="宋体"/>
          <w:color w:val="auto"/>
          <w:sz w:val="24"/>
          <w:szCs w:val="24"/>
          <w:highlight w:val="none"/>
        </w:rPr>
        <w:t>义务，经</w:t>
      </w:r>
      <w:r>
        <w:rPr>
          <w:rFonts w:hint="eastAsia" w:ascii="宋体" w:hAnsi="宋体"/>
          <w:color w:val="auto"/>
          <w:sz w:val="24"/>
          <w:szCs w:val="24"/>
          <w:highlight w:val="none"/>
          <w:lang w:val="en-US" w:eastAsia="zh-CN"/>
        </w:rPr>
        <w:t>发包</w:t>
      </w:r>
      <w:r>
        <w:rPr>
          <w:rFonts w:hint="eastAsia" w:ascii="宋体" w:hAnsi="宋体"/>
          <w:color w:val="auto"/>
          <w:sz w:val="24"/>
          <w:szCs w:val="24"/>
          <w:highlight w:val="none"/>
        </w:rPr>
        <w:t>人验收合格</w:t>
      </w:r>
      <w:r>
        <w:rPr>
          <w:rFonts w:hint="eastAsia" w:ascii="宋体" w:hAnsi="宋体"/>
          <w:color w:val="auto"/>
          <w:sz w:val="24"/>
          <w:szCs w:val="24"/>
          <w:highlight w:val="none"/>
          <w:shd w:val="clear" w:color="FFFFFF" w:fill="D9D9D9"/>
        </w:rPr>
        <w:t>无质量、进度等问题的，</w:t>
      </w:r>
      <w:r>
        <w:rPr>
          <w:rFonts w:hint="eastAsia" w:ascii="宋体" w:hAnsi="宋体"/>
          <w:color w:val="auto"/>
          <w:sz w:val="24"/>
          <w:szCs w:val="24"/>
          <w:highlight w:val="none"/>
          <w:lang w:val="en-US" w:eastAsia="zh-CN"/>
        </w:rPr>
        <w:t>承包人</w:t>
      </w:r>
      <w:r>
        <w:rPr>
          <w:rFonts w:hint="eastAsia" w:ascii="宋体" w:hAnsi="宋体"/>
          <w:color w:val="auto"/>
          <w:sz w:val="24"/>
          <w:szCs w:val="24"/>
          <w:highlight w:val="none"/>
        </w:rPr>
        <w:t>提交相应的申请材料，经发包人确认后</w:t>
      </w:r>
      <w:r>
        <w:rPr>
          <w:rFonts w:hint="eastAsia" w:ascii="宋体" w:hAnsi="宋体"/>
          <w:color w:val="auto"/>
          <w:sz w:val="24"/>
          <w:szCs w:val="24"/>
          <w:highlight w:val="none"/>
          <w:lang w:val="en-US" w:eastAsia="zh-CN"/>
        </w:rPr>
        <w:t>15个工作日</w:t>
      </w:r>
      <w:r>
        <w:rPr>
          <w:rFonts w:hint="eastAsia" w:ascii="宋体" w:hAnsi="宋体"/>
          <w:color w:val="auto"/>
          <w:sz w:val="24"/>
          <w:szCs w:val="24"/>
          <w:highlight w:val="none"/>
        </w:rPr>
        <w:t>内一次性退还履约保证金（扣除相关违约费用的剩余部分，不计息）。发生以下情况的，履约保证金不予退还或部分退还：</w:t>
      </w:r>
      <w:r>
        <w:rPr>
          <w:rFonts w:hint="eastAsia" w:ascii="仿宋" w:hAnsi="仿宋" w:eastAsia="仿宋" w:cs="仿宋"/>
          <w:b/>
          <w:bCs/>
          <w:color w:val="auto"/>
          <w:kern w:val="0"/>
          <w:sz w:val="24"/>
          <w:szCs w:val="24"/>
          <w:highlight w:val="none"/>
          <w:u w:val="single"/>
        </w:rPr>
        <w:t>a.签订合同后，乙方不履行合同义务的，甲方有权全额扣除履约保证金，全额不予退还，同时甲方亦有权单方面终止本合同，要求乙方承担因此给甲方造成的全部损失并承担违约责任。b.乙方在履约过程中发生违约行为，给甲方造成损失的，甲方有权在乙方缴纳的履约保证金中予以扣款，以弥补甲方经济损失，不足的部分乙方应在三个工作日内补齐；且乙方存在违约行为的，甲方有权选择是否解除本合同，若甲方选择解除本合同的，则乙方仍应赔偿因此给甲方造成的各种损失。</w:t>
      </w:r>
    </w:p>
    <w:p w14:paraId="580B8A5D">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hint="eastAsia" w:ascii="宋体" w:hAnsi="宋体"/>
          <w:color w:val="auto"/>
          <w:sz w:val="24"/>
          <w:szCs w:val="24"/>
          <w:highlight w:val="none"/>
        </w:rPr>
        <w:t>13.</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履约保证金按照如下标准进行扣除：</w:t>
      </w:r>
    </w:p>
    <w:p w14:paraId="79353339">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hint="eastAsia"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13.</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.1</w:t>
      </w:r>
      <w:r>
        <w:rPr>
          <w:rFonts w:hint="eastAsia" w:ascii="仿宋" w:hAnsi="仿宋" w:eastAsia="仿宋" w:cs="仿宋"/>
          <w:b/>
          <w:bCs/>
          <w:color w:val="auto"/>
          <w:kern w:val="0"/>
          <w:sz w:val="24"/>
          <w:szCs w:val="24"/>
          <w:highlight w:val="none"/>
          <w:u w:val="single"/>
        </w:rPr>
        <w:t>承包人不履行合同义务的，发包人有权全额扣除履约保证金，全额不予退还；</w:t>
      </w:r>
    </w:p>
    <w:p w14:paraId="699C8B93">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hint="eastAsia"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13.</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.2</w:t>
      </w:r>
      <w:r>
        <w:rPr>
          <w:rFonts w:hint="eastAsia" w:ascii="仿宋" w:hAnsi="仿宋" w:eastAsia="仿宋" w:cs="仿宋"/>
          <w:b/>
          <w:bCs/>
          <w:color w:val="auto"/>
          <w:kern w:val="0"/>
          <w:sz w:val="24"/>
          <w:szCs w:val="24"/>
          <w:highlight w:val="none"/>
          <w:u w:val="single"/>
        </w:rPr>
        <w:t>未达到工程质量要求标准且在发包人规定时间内整改不到位的，扣除履约保证金的30%。（具体按21.3.2执行）</w:t>
      </w:r>
    </w:p>
    <w:p w14:paraId="141568BA">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hint="eastAsia"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13.</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.3</w:t>
      </w:r>
      <w:r>
        <w:rPr>
          <w:rFonts w:hint="eastAsia" w:ascii="仿宋" w:hAnsi="仿宋" w:eastAsia="仿宋" w:cs="仿宋"/>
          <w:b/>
          <w:bCs/>
          <w:color w:val="auto"/>
          <w:kern w:val="0"/>
          <w:sz w:val="24"/>
          <w:szCs w:val="24"/>
          <w:highlight w:val="none"/>
          <w:u w:val="single"/>
        </w:rPr>
        <w:t>发生一次安全生产责任事故的，扣除履约保证金的30%；</w:t>
      </w:r>
    </w:p>
    <w:p w14:paraId="00B81B99">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hint="eastAsia"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13.</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.4</w:t>
      </w:r>
      <w:r>
        <w:rPr>
          <w:rFonts w:hint="eastAsia" w:ascii="仿宋" w:hAnsi="仿宋" w:eastAsia="仿宋" w:cs="仿宋"/>
          <w:b/>
          <w:bCs/>
          <w:color w:val="auto"/>
          <w:kern w:val="0"/>
          <w:sz w:val="24"/>
          <w:szCs w:val="24"/>
          <w:highlight w:val="none"/>
          <w:u w:val="single"/>
        </w:rPr>
        <w:t>不能按发包人约定的竣工日期竣工的，扣除履约保证金的20%（具体按21.3.5执行）。</w:t>
      </w:r>
    </w:p>
    <w:p w14:paraId="3FB76F64">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hint="eastAsia"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13.</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.5</w:t>
      </w:r>
      <w:r>
        <w:rPr>
          <w:rFonts w:hint="eastAsia" w:ascii="仿宋" w:hAnsi="仿宋" w:eastAsia="仿宋" w:cs="仿宋"/>
          <w:b/>
          <w:bCs/>
          <w:color w:val="auto"/>
          <w:kern w:val="0"/>
          <w:sz w:val="24"/>
          <w:szCs w:val="24"/>
          <w:highlight w:val="none"/>
          <w:u w:val="single"/>
        </w:rPr>
        <w:t>承包人存在违反</w:t>
      </w:r>
      <w:r>
        <w:rPr>
          <w:rFonts w:hint="eastAsia" w:ascii="仿宋" w:hAnsi="仿宋" w:eastAsia="仿宋" w:cs="仿宋"/>
          <w:b/>
          <w:bCs/>
          <w:color w:val="auto"/>
          <w:kern w:val="0"/>
          <w:sz w:val="24"/>
          <w:szCs w:val="24"/>
          <w:highlight w:val="none"/>
          <w:u w:val="single"/>
          <w:shd w:val="clear" w:color="FFFFFF" w:fill="D9D9D9"/>
        </w:rPr>
        <w:t>《</w:t>
      </w:r>
      <w:r>
        <w:rPr>
          <w:rFonts w:hint="eastAsia" w:ascii="仿宋" w:hAnsi="仿宋" w:eastAsia="仿宋" w:cs="仿宋"/>
          <w:b/>
          <w:bCs/>
          <w:color w:val="auto"/>
          <w:kern w:val="0"/>
          <w:sz w:val="24"/>
          <w:szCs w:val="24"/>
          <w:highlight w:val="none"/>
          <w:u w:val="single"/>
          <w:shd w:val="clear" w:color="FFFFFF" w:fill="D9D9D9"/>
          <w:lang w:eastAsia="zh-CN"/>
        </w:rPr>
        <w:t>建设工程廉政责任书</w:t>
      </w:r>
      <w:r>
        <w:rPr>
          <w:rFonts w:hint="eastAsia" w:ascii="仿宋" w:hAnsi="仿宋" w:eastAsia="仿宋" w:cs="仿宋"/>
          <w:b/>
          <w:bCs/>
          <w:color w:val="auto"/>
          <w:kern w:val="0"/>
          <w:sz w:val="24"/>
          <w:szCs w:val="24"/>
          <w:highlight w:val="none"/>
          <w:u w:val="single"/>
          <w:shd w:val="clear" w:color="FFFFFF" w:fill="D9D9D9"/>
        </w:rPr>
        <w:t>》</w:t>
      </w:r>
      <w:r>
        <w:rPr>
          <w:rFonts w:hint="eastAsia" w:ascii="仿宋" w:hAnsi="仿宋" w:eastAsia="仿宋" w:cs="仿宋"/>
          <w:b/>
          <w:bCs/>
          <w:color w:val="auto"/>
          <w:kern w:val="0"/>
          <w:sz w:val="24"/>
          <w:szCs w:val="24"/>
          <w:highlight w:val="none"/>
          <w:u w:val="single"/>
        </w:rPr>
        <w:t>约定行为的，</w:t>
      </w:r>
      <w:r>
        <w:rPr>
          <w:rFonts w:hint="eastAsia" w:ascii="仿宋" w:hAnsi="仿宋" w:eastAsia="仿宋" w:cs="仿宋"/>
          <w:b/>
          <w:bCs/>
          <w:color w:val="auto"/>
          <w:kern w:val="0"/>
          <w:sz w:val="24"/>
          <w:szCs w:val="24"/>
          <w:highlight w:val="none"/>
          <w:u w:val="single"/>
          <w:shd w:val="clear" w:color="FFFFFF" w:fill="D9D9D9"/>
          <w:lang w:val="en-US" w:eastAsia="zh-CN"/>
        </w:rPr>
        <w:t>每次</w:t>
      </w:r>
      <w:r>
        <w:rPr>
          <w:rFonts w:hint="eastAsia" w:ascii="仿宋" w:hAnsi="仿宋" w:eastAsia="仿宋" w:cs="仿宋"/>
          <w:b/>
          <w:bCs/>
          <w:color w:val="auto"/>
          <w:kern w:val="0"/>
          <w:sz w:val="24"/>
          <w:szCs w:val="24"/>
          <w:highlight w:val="none"/>
          <w:u w:val="single"/>
        </w:rPr>
        <w:t>扣</w:t>
      </w:r>
      <w:r>
        <w:rPr>
          <w:rFonts w:hint="eastAsia" w:ascii="仿宋" w:hAnsi="仿宋" w:eastAsia="仿宋" w:cs="仿宋"/>
          <w:b/>
          <w:bCs/>
          <w:color w:val="auto"/>
          <w:kern w:val="0"/>
          <w:sz w:val="24"/>
          <w:szCs w:val="24"/>
          <w:highlight w:val="none"/>
          <w:u w:val="single"/>
        </w:rPr>
        <w:t>除履约保证金的20%；</w:t>
      </w:r>
    </w:p>
    <w:p w14:paraId="04462AFB">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hint="eastAsia"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13.</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.6</w:t>
      </w:r>
      <w:r>
        <w:rPr>
          <w:rFonts w:hint="eastAsia" w:ascii="仿宋" w:hAnsi="仿宋" w:eastAsia="仿宋" w:cs="仿宋"/>
          <w:b/>
          <w:bCs/>
          <w:color w:val="auto"/>
          <w:kern w:val="0"/>
          <w:sz w:val="24"/>
          <w:szCs w:val="24"/>
          <w:highlight w:val="none"/>
          <w:u w:val="single"/>
        </w:rPr>
        <w:t>承包人其他违约行为给发包人造成损失的，发包人有权在履约保证金中予以扣款以弥补发包人经济损失。</w:t>
      </w:r>
    </w:p>
    <w:p w14:paraId="1A24B56D">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hint="eastAsia" w:ascii="宋体" w:hAnsi="宋体"/>
          <w:color w:val="auto"/>
          <w:sz w:val="24"/>
          <w:szCs w:val="24"/>
          <w:highlight w:val="none"/>
        </w:rPr>
        <w:t>13.</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履约保证金被扣除后，承包人应在</w:t>
      </w:r>
      <w:r>
        <w:rPr>
          <w:rFonts w:hint="eastAsia" w:ascii="仿宋" w:hAnsi="仿宋" w:eastAsia="仿宋" w:cs="仿宋"/>
          <w:b/>
          <w:bCs/>
          <w:color w:val="auto"/>
          <w:kern w:val="0"/>
          <w:sz w:val="24"/>
          <w:szCs w:val="24"/>
          <w:highlight w:val="none"/>
          <w:u w:val="single"/>
        </w:rPr>
        <w:t>三个工作日</w:t>
      </w:r>
      <w:r>
        <w:rPr>
          <w:rFonts w:hint="eastAsia" w:ascii="宋体" w:hAnsi="宋体"/>
          <w:color w:val="auto"/>
          <w:sz w:val="24"/>
          <w:szCs w:val="24"/>
          <w:highlight w:val="none"/>
        </w:rPr>
        <w:t>内予以补齐，否则发包方有权单方面解除合同，且剩余的保证金不予退还，并按照违约责任条款要求承包人承担违约责任。</w:t>
      </w:r>
    </w:p>
    <w:p w14:paraId="75B4C397">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hint="eastAsia" w:ascii="宋体" w:hAnsi="宋体"/>
          <w:color w:val="auto"/>
          <w:sz w:val="24"/>
          <w:szCs w:val="24"/>
          <w:highlight w:val="none"/>
        </w:rPr>
        <w:t>13.</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发包人无正当理由逾期退还履约保证金的，则自逾期之日起向乙方支付违约金，违约金以逾期未还履约保证金为基数，按全国银行间同业拆借中心公布的一年期贷款市场报价利率计算。</w:t>
      </w:r>
    </w:p>
    <w:p w14:paraId="52FA768A">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ascii="宋体" w:hAnsi="宋体"/>
          <w:color w:val="auto"/>
          <w:sz w:val="24"/>
          <w:szCs w:val="24"/>
          <w:highlight w:val="none"/>
        </w:rPr>
        <w:t>14</w:t>
      </w:r>
      <w:r>
        <w:rPr>
          <w:rFonts w:hint="eastAsia" w:ascii="宋体" w:hAnsi="宋体"/>
          <w:color w:val="auto"/>
          <w:sz w:val="24"/>
          <w:szCs w:val="24"/>
          <w:highlight w:val="none"/>
        </w:rPr>
        <w:t>、工程预付款</w:t>
      </w:r>
    </w:p>
    <w:p w14:paraId="275F090B">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hint="eastAsia" w:ascii="宋体" w:hAnsi="宋体"/>
          <w:color w:val="auto"/>
          <w:sz w:val="24"/>
          <w:szCs w:val="24"/>
          <w:highlight w:val="none"/>
        </w:rPr>
        <w:t>发包人向承包人预付工程款的时间和金额或占合同价款总额的比例：</w:t>
      </w:r>
      <w:r>
        <w:rPr>
          <w:rFonts w:ascii="宋体" w:hAnsi="宋体"/>
          <w:color w:val="auto"/>
          <w:sz w:val="24"/>
          <w:szCs w:val="24"/>
          <w:highlight w:val="none"/>
          <w:u w:val="single"/>
        </w:rPr>
        <w:t xml:space="preserve">  /  </w:t>
      </w:r>
    </w:p>
    <w:p w14:paraId="418AFF38">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hint="eastAsia" w:ascii="宋体" w:hAnsi="宋体"/>
          <w:color w:val="auto"/>
          <w:sz w:val="24"/>
          <w:szCs w:val="24"/>
          <w:highlight w:val="none"/>
        </w:rPr>
        <w:t>扣回工程款的时间、比例：</w:t>
      </w:r>
      <w:r>
        <w:rPr>
          <w:rFonts w:ascii="宋体" w:hAnsi="宋体"/>
          <w:color w:val="auto"/>
          <w:sz w:val="24"/>
          <w:szCs w:val="24"/>
          <w:highlight w:val="none"/>
          <w:u w:val="single"/>
        </w:rPr>
        <w:t xml:space="preserve">      /      </w:t>
      </w:r>
    </w:p>
    <w:p w14:paraId="093D09F0">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ascii="宋体" w:hAnsi="宋体"/>
          <w:bCs/>
          <w:color w:val="auto"/>
          <w:sz w:val="24"/>
          <w:szCs w:val="24"/>
          <w:highlight w:val="none"/>
        </w:rPr>
        <w:t>1</w:t>
      </w:r>
      <w:r>
        <w:rPr>
          <w:rFonts w:ascii="宋体" w:hAnsi="宋体"/>
          <w:color w:val="auto"/>
          <w:sz w:val="24"/>
          <w:szCs w:val="24"/>
          <w:highlight w:val="none"/>
        </w:rPr>
        <w:t>5</w:t>
      </w:r>
      <w:r>
        <w:rPr>
          <w:rFonts w:hint="eastAsia" w:ascii="宋体" w:hAnsi="宋体"/>
          <w:color w:val="auto"/>
          <w:sz w:val="24"/>
          <w:szCs w:val="24"/>
          <w:highlight w:val="none"/>
        </w:rPr>
        <w:t>、工程量确认</w:t>
      </w:r>
    </w:p>
    <w:p w14:paraId="2E26C297">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hint="eastAsia" w:ascii="宋体" w:hAnsi="宋体"/>
          <w:color w:val="auto"/>
          <w:sz w:val="24"/>
          <w:szCs w:val="24"/>
          <w:highlight w:val="none"/>
        </w:rPr>
      </w:pPr>
      <w:r>
        <w:rPr>
          <w:rFonts w:hint="eastAsia" w:ascii="宋体" w:hAnsi="宋体"/>
          <w:color w:val="auto"/>
          <w:sz w:val="24"/>
          <w:szCs w:val="24"/>
          <w:highlight w:val="none"/>
        </w:rPr>
        <w:t>承包人向发包人提交工程量计量，由双方现场签证确认。</w:t>
      </w:r>
    </w:p>
    <w:p w14:paraId="0684F71C">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480" w:firstLineChars="200"/>
        <w:textAlignment w:val="auto"/>
        <w:rPr>
          <w:rFonts w:ascii="宋体"/>
          <w:color w:val="auto"/>
          <w:sz w:val="24"/>
          <w:szCs w:val="24"/>
          <w:highlight w:val="none"/>
        </w:rPr>
      </w:pPr>
      <w:r>
        <w:rPr>
          <w:rFonts w:ascii="宋体" w:hAnsi="宋体"/>
          <w:color w:val="auto"/>
          <w:sz w:val="24"/>
          <w:szCs w:val="24"/>
          <w:highlight w:val="none"/>
        </w:rPr>
        <w:t>16</w:t>
      </w:r>
      <w:r>
        <w:rPr>
          <w:rFonts w:hint="eastAsia" w:ascii="宋体" w:hAnsi="宋体"/>
          <w:color w:val="auto"/>
          <w:sz w:val="24"/>
          <w:szCs w:val="24"/>
          <w:highlight w:val="none"/>
        </w:rPr>
        <w:t>、工程款（进度款）支付</w:t>
      </w:r>
    </w:p>
    <w:p w14:paraId="2A9001E9">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480" w:firstLineChars="200"/>
        <w:jc w:val="left"/>
        <w:textAlignment w:val="auto"/>
        <w:rPr>
          <w:rFonts w:ascii="宋体"/>
          <w:color w:val="auto"/>
          <w:sz w:val="24"/>
          <w:szCs w:val="24"/>
          <w:highlight w:val="none"/>
        </w:rPr>
      </w:pPr>
      <w:r>
        <w:rPr>
          <w:rFonts w:ascii="宋体" w:hAnsi="宋体"/>
          <w:color w:val="auto"/>
          <w:sz w:val="24"/>
          <w:szCs w:val="24"/>
          <w:highlight w:val="none"/>
        </w:rPr>
        <w:t>16.1</w:t>
      </w:r>
      <w:r>
        <w:rPr>
          <w:rFonts w:hint="eastAsia" w:ascii="宋体" w:hAnsi="宋体"/>
          <w:color w:val="auto"/>
          <w:sz w:val="24"/>
          <w:szCs w:val="24"/>
          <w:highlight w:val="none"/>
        </w:rPr>
        <w:t>支付流程</w:t>
      </w:r>
    </w:p>
    <w:p w14:paraId="2D24CDCF">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480" w:firstLineChars="200"/>
        <w:jc w:val="left"/>
        <w:textAlignment w:val="auto"/>
        <w:rPr>
          <w:rFonts w:hint="eastAsia" w:ascii="宋体" w:hAnsi="宋体" w:eastAsia="宋体"/>
          <w:color w:val="auto"/>
          <w:sz w:val="24"/>
          <w:szCs w:val="24"/>
          <w:highlight w:val="none"/>
          <w:lang w:val="en-US" w:eastAsia="zh-CN"/>
        </w:rPr>
      </w:pPr>
      <w:r>
        <w:rPr>
          <w:rFonts w:ascii="宋体" w:hAnsi="宋体"/>
          <w:color w:val="auto"/>
          <w:sz w:val="24"/>
          <w:szCs w:val="24"/>
          <w:highlight w:val="none"/>
        </w:rPr>
        <w:t>16.1.</w:t>
      </w:r>
      <w:r>
        <w:rPr>
          <w:rFonts w:hint="eastAsia" w:ascii="宋体" w:hAnsi="宋体"/>
          <w:color w:val="auto"/>
          <w:sz w:val="24"/>
          <w:szCs w:val="24"/>
          <w:highlight w:val="none"/>
        </w:rPr>
        <w:t>1发包人对承包人合格工程量进行计量，并审核结算。承包人应在约定的支付节点提交完整的结算资料给发包人，按合同约定的方式进行结算。</w:t>
      </w:r>
      <w:r>
        <w:rPr>
          <w:rFonts w:hint="eastAsia" w:ascii="宋体" w:hAnsi="宋体"/>
          <w:color w:val="auto"/>
          <w:sz w:val="24"/>
          <w:szCs w:val="24"/>
          <w:highlight w:val="none"/>
          <w:lang w:val="en-US" w:eastAsia="zh-CN"/>
        </w:rPr>
        <w:t xml:space="preserve"> </w:t>
      </w:r>
    </w:p>
    <w:p w14:paraId="5820C005">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480" w:firstLineChars="200"/>
        <w:jc w:val="left"/>
        <w:textAlignment w:val="auto"/>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16.1.</w:t>
      </w:r>
      <w:r>
        <w:rPr>
          <w:rFonts w:hint="eastAsia" w:ascii="宋体" w:hAnsi="宋体" w:eastAsia="宋体" w:cs="Times New Roman"/>
          <w:color w:val="auto"/>
          <w:sz w:val="24"/>
          <w:szCs w:val="24"/>
          <w:highlight w:val="none"/>
          <w:lang w:val="en-US" w:eastAsia="zh-CN"/>
        </w:rPr>
        <w:t>2双方约定的支付的方式和时间：</w:t>
      </w:r>
    </w:p>
    <w:p w14:paraId="573398C6">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482" w:firstLineChars="200"/>
        <w:jc w:val="left"/>
        <w:textAlignment w:val="auto"/>
        <w:rPr>
          <w:rFonts w:hint="eastAsia" w:ascii="仿宋" w:hAnsi="仿宋" w:eastAsia="仿宋" w:cs="仿宋"/>
          <w:b/>
          <w:bCs/>
          <w:color w:val="auto"/>
          <w:sz w:val="24"/>
          <w:szCs w:val="24"/>
          <w:highlight w:val="none"/>
          <w:u w:val="single"/>
          <w:lang w:val="en-US" w:eastAsia="zh-CN"/>
        </w:rPr>
      </w:pPr>
      <w:r>
        <w:rPr>
          <w:rFonts w:hint="eastAsia" w:ascii="仿宋" w:hAnsi="仿宋" w:eastAsia="仿宋" w:cs="仿宋"/>
          <w:b/>
          <w:bCs/>
          <w:color w:val="auto"/>
          <w:sz w:val="24"/>
          <w:szCs w:val="24"/>
          <w:highlight w:val="none"/>
          <w:u w:val="single"/>
          <w:lang w:val="en-US" w:eastAsia="zh-CN"/>
        </w:rPr>
        <w:t>1、日常小修养护工程：单项工程完工后按实结算，招标人支付至单项工程结算金额的50%，每年年底前支付至当年结算总额的97%，余款待缺陷责任期终止后一次性付清。</w:t>
      </w:r>
    </w:p>
    <w:p w14:paraId="793FEDB2">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482" w:firstLineChars="200"/>
        <w:jc w:val="left"/>
        <w:textAlignment w:val="auto"/>
        <w:rPr>
          <w:rFonts w:hint="eastAsia" w:ascii="仿宋" w:hAnsi="仿宋" w:eastAsia="仿宋" w:cs="仿宋"/>
          <w:b/>
          <w:bCs/>
          <w:color w:val="auto"/>
          <w:sz w:val="24"/>
          <w:szCs w:val="24"/>
          <w:highlight w:val="none"/>
          <w:u w:val="single"/>
          <w:lang w:val="en-US" w:eastAsia="zh-CN"/>
        </w:rPr>
      </w:pPr>
      <w:r>
        <w:rPr>
          <w:rFonts w:hint="eastAsia" w:ascii="仿宋" w:hAnsi="仿宋" w:eastAsia="仿宋" w:cs="仿宋"/>
          <w:b/>
          <w:bCs/>
          <w:color w:val="auto"/>
          <w:sz w:val="24"/>
          <w:szCs w:val="24"/>
          <w:highlight w:val="none"/>
          <w:u w:val="single"/>
          <w:lang w:val="en-US" w:eastAsia="zh-CN"/>
        </w:rPr>
        <w:t>2、中修等工程：工程完工后按实结算，监理审核完成后付至监理审核价的80%；第三方审计完成后付至第三方审计价的97%，余款待缺陷责任期终止后一次性付清。</w:t>
      </w:r>
    </w:p>
    <w:p w14:paraId="2E11D70D">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480" w:firstLineChars="200"/>
        <w:jc w:val="left"/>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16.1.3承包人不得因任何原因影响或中止正常施工，否则承包人将承担违约责任。</w:t>
      </w:r>
    </w:p>
    <w:p w14:paraId="70F783D3">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480" w:firstLineChars="200"/>
        <w:jc w:val="left"/>
        <w:textAlignment w:val="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16.1.4承包人应按发包人要求提交相应的进度款付款申请材料，经发包人审核通过后出具符合国家最新税法规定的增值税发票（9%），当国家法定增值税税率发生变更，双方约定以不含税价格不变作为基准，调整增值税税额。以上支付不计息。</w:t>
      </w:r>
    </w:p>
    <w:p w14:paraId="72006F31">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480" w:firstLineChars="200"/>
        <w:jc w:val="left"/>
        <w:textAlignment w:val="auto"/>
        <w:rPr>
          <w:rFonts w:hint="default" w:ascii="宋体" w:hAnsi="宋体" w:eastAsia="宋体" w:cs="Times New Roman"/>
          <w:color w:val="auto"/>
          <w:sz w:val="24"/>
          <w:szCs w:val="24"/>
          <w:highlight w:val="none"/>
          <w:shd w:val="clear" w:color="FFFFFF" w:fill="D9D9D9"/>
          <w:lang w:val="en-US" w:eastAsia="zh-CN"/>
        </w:rPr>
      </w:pPr>
      <w:r>
        <w:rPr>
          <w:rFonts w:hint="eastAsia" w:ascii="宋体" w:hAnsi="宋体" w:eastAsia="宋体" w:cs="Times New Roman"/>
          <w:color w:val="auto"/>
          <w:sz w:val="24"/>
          <w:szCs w:val="24"/>
          <w:highlight w:val="none"/>
          <w:shd w:val="clear" w:color="FFFFFF" w:fill="D9D9D9"/>
          <w:lang w:val="en-US" w:eastAsia="zh-CN"/>
        </w:rPr>
        <w:t>16.1.5承包人未能按照要求提供进度款付款申请材料或符合国家最新税法规定的增值税发票的，发包人有权拒绝支付相应的工程款，且不必承担任何违约责任。</w:t>
      </w:r>
    </w:p>
    <w:p w14:paraId="61F6413D">
      <w:pPr>
        <w:keepNext w:val="0"/>
        <w:keepLines w:val="0"/>
        <w:pageBreakBefore w:val="0"/>
        <w:widowControl w:val="0"/>
        <w:tabs>
          <w:tab w:val="left" w:pos="360"/>
        </w:tabs>
        <w:kinsoku/>
        <w:wordWrap/>
        <w:overflowPunct/>
        <w:topLinePunct w:val="0"/>
        <w:autoSpaceDE/>
        <w:autoSpaceDN/>
        <w:bidi w:val="0"/>
        <w:adjustRightInd w:val="0"/>
        <w:snapToGrid/>
        <w:spacing w:line="480" w:lineRule="exact"/>
        <w:jc w:val="center"/>
        <w:textAlignment w:val="auto"/>
        <w:rPr>
          <w:rFonts w:ascii="宋体" w:hAnsi="宋体"/>
          <w:b/>
          <w:color w:val="auto"/>
          <w:sz w:val="24"/>
          <w:szCs w:val="24"/>
          <w:highlight w:val="none"/>
        </w:rPr>
      </w:pPr>
    </w:p>
    <w:p w14:paraId="1B87D6A5">
      <w:pPr>
        <w:keepNext w:val="0"/>
        <w:keepLines w:val="0"/>
        <w:pageBreakBefore w:val="0"/>
        <w:widowControl w:val="0"/>
        <w:tabs>
          <w:tab w:val="left" w:pos="360"/>
        </w:tabs>
        <w:kinsoku/>
        <w:wordWrap/>
        <w:overflowPunct/>
        <w:topLinePunct w:val="0"/>
        <w:autoSpaceDE/>
        <w:autoSpaceDN/>
        <w:bidi w:val="0"/>
        <w:adjustRightInd w:val="0"/>
        <w:snapToGrid/>
        <w:spacing w:line="480" w:lineRule="exact"/>
        <w:jc w:val="center"/>
        <w:textAlignment w:val="auto"/>
        <w:rPr>
          <w:rFonts w:ascii="宋体"/>
          <w:b/>
          <w:color w:val="auto"/>
          <w:sz w:val="24"/>
          <w:szCs w:val="24"/>
          <w:highlight w:val="none"/>
        </w:rPr>
      </w:pPr>
      <w:r>
        <w:rPr>
          <w:rFonts w:hint="eastAsia" w:ascii="宋体" w:hAnsi="宋体"/>
          <w:b/>
          <w:color w:val="auto"/>
          <w:sz w:val="24"/>
          <w:szCs w:val="24"/>
          <w:highlight w:val="none"/>
        </w:rPr>
        <w:t>七、材料设备供应</w:t>
      </w:r>
    </w:p>
    <w:p w14:paraId="4ECC7850">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7</w:t>
      </w:r>
      <w:r>
        <w:rPr>
          <w:rFonts w:ascii="宋体" w:hAnsi="宋体"/>
          <w:color w:val="auto"/>
          <w:sz w:val="24"/>
          <w:szCs w:val="24"/>
          <w:highlight w:val="none"/>
        </w:rPr>
        <w:t>.1</w:t>
      </w:r>
      <w:r>
        <w:rPr>
          <w:rFonts w:hint="eastAsia" w:ascii="宋体" w:hAnsi="宋体"/>
          <w:color w:val="auto"/>
          <w:sz w:val="24"/>
          <w:szCs w:val="24"/>
          <w:highlight w:val="none"/>
        </w:rPr>
        <w:t>发包人供应材料设备：</w:t>
      </w:r>
      <w:r>
        <w:rPr>
          <w:rFonts w:ascii="宋体" w:hAnsi="宋体"/>
          <w:color w:val="auto"/>
          <w:sz w:val="24"/>
          <w:szCs w:val="24"/>
          <w:highlight w:val="none"/>
          <w:u w:val="single"/>
        </w:rPr>
        <w:t xml:space="preserve">    /    </w:t>
      </w:r>
    </w:p>
    <w:p w14:paraId="4DA7653F">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hint="eastAsia" w:ascii="仿宋_GB2312" w:hAnsi="仿宋_GB2312" w:eastAsia="仿宋" w:cs="仿宋_GB2312"/>
          <w:b/>
          <w:bCs/>
          <w:color w:val="auto"/>
          <w:kern w:val="0"/>
          <w:sz w:val="24"/>
          <w:szCs w:val="24"/>
          <w:highlight w:val="none"/>
          <w:u w:val="single"/>
          <w:lang w:eastAsia="zh-CN"/>
        </w:rPr>
      </w:pPr>
      <w:r>
        <w:rPr>
          <w:rFonts w:ascii="宋体" w:hAnsi="宋体"/>
          <w:color w:val="auto"/>
          <w:sz w:val="24"/>
          <w:szCs w:val="24"/>
          <w:highlight w:val="none"/>
        </w:rPr>
        <w:t>1</w:t>
      </w:r>
      <w:r>
        <w:rPr>
          <w:rFonts w:hint="eastAsia" w:ascii="宋体" w:hAnsi="宋体"/>
          <w:color w:val="auto"/>
          <w:sz w:val="24"/>
          <w:szCs w:val="24"/>
          <w:highlight w:val="none"/>
        </w:rPr>
        <w:t>7</w:t>
      </w:r>
      <w:r>
        <w:rPr>
          <w:rFonts w:ascii="宋体" w:hAnsi="宋体"/>
          <w:color w:val="auto"/>
          <w:sz w:val="24"/>
          <w:szCs w:val="24"/>
          <w:highlight w:val="none"/>
        </w:rPr>
        <w:t>.2</w:t>
      </w:r>
      <w:r>
        <w:rPr>
          <w:rFonts w:hint="eastAsia" w:ascii="宋体" w:hAnsi="宋体"/>
          <w:color w:val="auto"/>
          <w:sz w:val="24"/>
          <w:szCs w:val="24"/>
          <w:highlight w:val="none"/>
        </w:rPr>
        <w:t>承包人采购材料设备：</w:t>
      </w:r>
      <w:r>
        <w:rPr>
          <w:rFonts w:hint="eastAsia" w:ascii="仿宋" w:hAnsi="仿宋" w:eastAsia="仿宋" w:cs="仿宋"/>
          <w:b/>
          <w:bCs/>
          <w:color w:val="auto"/>
          <w:kern w:val="0"/>
          <w:sz w:val="24"/>
          <w:szCs w:val="24"/>
          <w:highlight w:val="none"/>
          <w:u w:val="single"/>
        </w:rPr>
        <w:t>本工程材料由承包人自行采购</w:t>
      </w:r>
      <w:r>
        <w:rPr>
          <w:rFonts w:hint="eastAsia" w:ascii="仿宋" w:hAnsi="仿宋" w:eastAsia="仿宋" w:cs="仿宋"/>
          <w:b/>
          <w:bCs/>
          <w:color w:val="auto"/>
          <w:kern w:val="0"/>
          <w:sz w:val="24"/>
          <w:szCs w:val="24"/>
          <w:highlight w:val="none"/>
          <w:u w:val="single"/>
          <w:lang w:eastAsia="zh-CN"/>
        </w:rPr>
        <w:t>，本项目严禁使用不合格的材料，一经发现，限期退场，不按要求退场的，造成的损失由</w:t>
      </w:r>
      <w:r>
        <w:rPr>
          <w:rFonts w:hint="eastAsia" w:ascii="仿宋" w:hAnsi="仿宋" w:eastAsia="仿宋" w:cs="仿宋"/>
          <w:b/>
          <w:bCs/>
          <w:color w:val="auto"/>
          <w:kern w:val="0"/>
          <w:sz w:val="24"/>
          <w:szCs w:val="24"/>
          <w:highlight w:val="none"/>
          <w:u w:val="single"/>
          <w:lang w:val="en-US" w:eastAsia="zh-CN"/>
        </w:rPr>
        <w:t>承包人</w:t>
      </w:r>
      <w:r>
        <w:rPr>
          <w:rFonts w:hint="eastAsia" w:ascii="仿宋" w:hAnsi="仿宋" w:eastAsia="仿宋" w:cs="仿宋"/>
          <w:b/>
          <w:bCs/>
          <w:color w:val="auto"/>
          <w:kern w:val="0"/>
          <w:sz w:val="24"/>
          <w:szCs w:val="24"/>
          <w:highlight w:val="none"/>
          <w:u w:val="single"/>
          <w:lang w:eastAsia="zh-CN"/>
        </w:rPr>
        <w:t>承担。</w:t>
      </w:r>
    </w:p>
    <w:p w14:paraId="6387C47E">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7</w:t>
      </w:r>
      <w:r>
        <w:rPr>
          <w:rFonts w:ascii="宋体" w:hAnsi="宋体"/>
          <w:color w:val="auto"/>
          <w:sz w:val="24"/>
          <w:szCs w:val="24"/>
          <w:highlight w:val="none"/>
        </w:rPr>
        <w:t>.</w:t>
      </w:r>
      <w:r>
        <w:rPr>
          <w:rFonts w:hint="eastAsia" w:ascii="宋体" w:hAnsi="宋体"/>
          <w:color w:val="auto"/>
          <w:sz w:val="24"/>
          <w:szCs w:val="24"/>
          <w:highlight w:val="none"/>
        </w:rPr>
        <w:t>3承包人采购材料设备的结算方法：</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   </w:t>
      </w:r>
    </w:p>
    <w:p w14:paraId="0E30D191">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17.4</w:t>
      </w:r>
      <w:r>
        <w:rPr>
          <w:rFonts w:hint="eastAsia" w:ascii="仿宋" w:hAnsi="仿宋" w:eastAsia="仿宋" w:cs="仿宋"/>
          <w:b/>
          <w:bCs/>
          <w:color w:val="auto"/>
          <w:sz w:val="24"/>
          <w:szCs w:val="24"/>
          <w:highlight w:val="none"/>
          <w:u w:val="single"/>
          <w:lang w:val="en-US" w:eastAsia="zh-CN"/>
        </w:rPr>
        <w:t>发包人</w:t>
      </w:r>
      <w:r>
        <w:rPr>
          <w:rFonts w:hint="eastAsia" w:ascii="仿宋" w:hAnsi="仿宋" w:eastAsia="仿宋" w:cs="仿宋"/>
          <w:b/>
          <w:bCs/>
          <w:color w:val="auto"/>
          <w:kern w:val="0"/>
          <w:sz w:val="24"/>
          <w:szCs w:val="24"/>
          <w:highlight w:val="none"/>
          <w:u w:val="single"/>
          <w:lang w:val="en-US" w:eastAsia="zh-CN"/>
        </w:rPr>
        <w:t>、承包人对所有进场材料的质量共同把关，承包人必须根据有关规定要求由具备相应专业资质的试验单位对材料、设备进行必要的试验、检验，如发现质量问题时，应及时退货。如承包人不按规定送检或明知有问题而不予处理，继续施工，由此引起返工而造成的材料、人工、机械、工期损失等一切费用全部由承包人承担。</w:t>
      </w:r>
      <w:r>
        <w:rPr>
          <w:rFonts w:hint="eastAsia" w:ascii="仿宋" w:hAnsi="仿宋" w:eastAsia="仿宋" w:cs="仿宋"/>
          <w:b/>
          <w:bCs/>
          <w:color w:val="auto"/>
          <w:sz w:val="24"/>
          <w:szCs w:val="24"/>
          <w:highlight w:val="none"/>
          <w:u w:val="single"/>
          <w:lang w:val="en-US" w:eastAsia="zh-CN"/>
        </w:rPr>
        <w:t>发包人</w:t>
      </w:r>
      <w:r>
        <w:rPr>
          <w:rFonts w:hint="eastAsia" w:ascii="仿宋" w:hAnsi="仿宋" w:eastAsia="仿宋" w:cs="仿宋"/>
          <w:b/>
          <w:bCs/>
          <w:color w:val="auto"/>
          <w:kern w:val="0"/>
          <w:sz w:val="24"/>
          <w:szCs w:val="24"/>
          <w:highlight w:val="none"/>
          <w:u w:val="single"/>
          <w:lang w:val="en-US" w:eastAsia="zh-CN"/>
        </w:rPr>
        <w:t>根据需要可在事前、事中、事后进行抽检，不论在哪个阶段查出问题，所造成的损失均由承包人负责。</w:t>
      </w:r>
    </w:p>
    <w:p w14:paraId="478D9E63">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2" w:firstLineChars="225"/>
        <w:jc w:val="center"/>
        <w:textAlignment w:val="auto"/>
        <w:rPr>
          <w:rFonts w:ascii="宋体" w:hAnsi="宋体"/>
          <w:b/>
          <w:color w:val="auto"/>
          <w:sz w:val="24"/>
          <w:szCs w:val="24"/>
          <w:highlight w:val="none"/>
        </w:rPr>
      </w:pPr>
    </w:p>
    <w:p w14:paraId="32551716">
      <w:pPr>
        <w:keepNext w:val="0"/>
        <w:keepLines w:val="0"/>
        <w:pageBreakBefore w:val="0"/>
        <w:widowControl w:val="0"/>
        <w:tabs>
          <w:tab w:val="left" w:pos="360"/>
        </w:tabs>
        <w:kinsoku/>
        <w:wordWrap/>
        <w:overflowPunct/>
        <w:topLinePunct w:val="0"/>
        <w:autoSpaceDE/>
        <w:autoSpaceDN/>
        <w:bidi w:val="0"/>
        <w:adjustRightInd w:val="0"/>
        <w:snapToGrid/>
        <w:spacing w:line="480" w:lineRule="exact"/>
        <w:jc w:val="center"/>
        <w:textAlignment w:val="auto"/>
        <w:rPr>
          <w:rFonts w:ascii="宋体"/>
          <w:b/>
          <w:color w:val="auto"/>
          <w:sz w:val="24"/>
          <w:szCs w:val="24"/>
          <w:highlight w:val="none"/>
        </w:rPr>
      </w:pPr>
      <w:r>
        <w:rPr>
          <w:rFonts w:hint="eastAsia" w:ascii="宋体" w:hAnsi="宋体"/>
          <w:b/>
          <w:color w:val="auto"/>
          <w:sz w:val="24"/>
          <w:szCs w:val="24"/>
          <w:highlight w:val="none"/>
        </w:rPr>
        <w:t>八、工程变更</w:t>
      </w:r>
    </w:p>
    <w:p w14:paraId="6E061609">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8、工程变更及结算</w:t>
      </w:r>
    </w:p>
    <w:p w14:paraId="00DD0028">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8</w:t>
      </w:r>
      <w:r>
        <w:rPr>
          <w:rFonts w:ascii="宋体" w:hAnsi="宋体"/>
          <w:color w:val="auto"/>
          <w:sz w:val="24"/>
          <w:szCs w:val="24"/>
          <w:highlight w:val="none"/>
        </w:rPr>
        <w:t>.1</w:t>
      </w:r>
      <w:r>
        <w:rPr>
          <w:rFonts w:hint="eastAsia" w:ascii="宋体" w:hAnsi="宋体"/>
          <w:color w:val="auto"/>
          <w:sz w:val="24"/>
          <w:szCs w:val="24"/>
          <w:highlight w:val="none"/>
        </w:rPr>
        <w:t>发包人有权增加或减少工作量，承包人应无条件接收。</w:t>
      </w:r>
    </w:p>
    <w:p w14:paraId="46971964">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hint="eastAsia" w:ascii="宋体" w:hAnsi="宋体"/>
          <w:color w:val="auto"/>
          <w:sz w:val="24"/>
          <w:szCs w:val="24"/>
          <w:highlight w:val="none"/>
        </w:rPr>
        <w:t>18.2为完成本合同相关工作的一切费用均已含在全费用综合单价中，竣工结算时不作任何调整。</w:t>
      </w:r>
    </w:p>
    <w:p w14:paraId="3923C709">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2" w:firstLineChars="225"/>
        <w:jc w:val="center"/>
        <w:textAlignment w:val="auto"/>
        <w:rPr>
          <w:rFonts w:ascii="宋体" w:hAnsi="宋体"/>
          <w:b/>
          <w:color w:val="auto"/>
          <w:sz w:val="24"/>
          <w:szCs w:val="24"/>
          <w:highlight w:val="none"/>
        </w:rPr>
      </w:pPr>
    </w:p>
    <w:p w14:paraId="203F9C89">
      <w:pPr>
        <w:keepNext w:val="0"/>
        <w:keepLines w:val="0"/>
        <w:pageBreakBefore w:val="0"/>
        <w:widowControl w:val="0"/>
        <w:tabs>
          <w:tab w:val="left" w:pos="360"/>
        </w:tabs>
        <w:kinsoku/>
        <w:wordWrap/>
        <w:overflowPunct/>
        <w:topLinePunct w:val="0"/>
        <w:autoSpaceDE/>
        <w:autoSpaceDN/>
        <w:bidi w:val="0"/>
        <w:adjustRightInd w:val="0"/>
        <w:snapToGrid/>
        <w:spacing w:line="480" w:lineRule="exact"/>
        <w:jc w:val="center"/>
        <w:textAlignment w:val="auto"/>
        <w:rPr>
          <w:rFonts w:ascii="宋体"/>
          <w:b/>
          <w:color w:val="auto"/>
          <w:sz w:val="24"/>
          <w:szCs w:val="24"/>
          <w:highlight w:val="none"/>
        </w:rPr>
      </w:pPr>
      <w:r>
        <w:rPr>
          <w:rFonts w:hint="eastAsia" w:ascii="宋体" w:hAnsi="宋体"/>
          <w:b/>
          <w:color w:val="auto"/>
          <w:sz w:val="24"/>
          <w:szCs w:val="24"/>
          <w:highlight w:val="none"/>
        </w:rPr>
        <w:t>九、竣工验收</w:t>
      </w:r>
    </w:p>
    <w:p w14:paraId="5D574241">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hint="eastAsia" w:ascii="宋体" w:hAnsi="宋体"/>
          <w:color w:val="auto"/>
          <w:sz w:val="24"/>
          <w:szCs w:val="24"/>
          <w:highlight w:val="none"/>
        </w:rPr>
        <w:t>19、竣工资料</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影像视频资料</w:t>
      </w:r>
    </w:p>
    <w:p w14:paraId="4C5A9420">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hint="eastAsia" w:ascii="宋体" w:hAnsi="宋体"/>
          <w:color w:val="auto"/>
          <w:sz w:val="24"/>
          <w:szCs w:val="24"/>
          <w:highlight w:val="none"/>
        </w:rPr>
      </w:pPr>
      <w:r>
        <w:rPr>
          <w:rFonts w:hint="eastAsia" w:ascii="宋体" w:hAnsi="宋体"/>
          <w:color w:val="auto"/>
          <w:sz w:val="24"/>
          <w:szCs w:val="24"/>
          <w:highlight w:val="none"/>
        </w:rPr>
        <w:t>19.1承包人应在工程通过验收后28日内递交符合要求的竣工结算报告及完整的结算资料</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套。</w:t>
      </w:r>
    </w:p>
    <w:p w14:paraId="01FA0A99">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hint="eastAsia" w:ascii="宋体" w:hAnsi="宋体"/>
          <w:color w:val="auto"/>
          <w:sz w:val="24"/>
          <w:szCs w:val="24"/>
          <w:highlight w:val="none"/>
          <w:lang w:val="en-US" w:eastAsia="zh-CN"/>
        </w:rPr>
        <w:t>19.2</w:t>
      </w:r>
      <w:r>
        <w:rPr>
          <w:rFonts w:hint="eastAsia" w:ascii="宋体" w:hAnsi="宋体"/>
          <w:color w:val="auto"/>
          <w:sz w:val="24"/>
          <w:szCs w:val="24"/>
          <w:highlight w:val="none"/>
        </w:rPr>
        <w:t>工程竣工验收时，竣工资料也作为验收内容之一。承包人提供的竣工资料必须符合国家及发包人有关工程档案管理的规范和规定。</w:t>
      </w:r>
    </w:p>
    <w:p w14:paraId="0B54C6EA">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hint="eastAsia" w:ascii="宋体" w:hAnsi="宋体"/>
          <w:color w:val="auto"/>
          <w:sz w:val="24"/>
          <w:szCs w:val="24"/>
          <w:highlight w:val="none"/>
          <w:lang w:val="en-US" w:eastAsia="zh-CN"/>
        </w:rPr>
        <w:t>19.3</w:t>
      </w:r>
      <w:r>
        <w:rPr>
          <w:rFonts w:hint="eastAsia" w:ascii="宋体" w:hAnsi="宋体"/>
          <w:color w:val="auto"/>
          <w:sz w:val="24"/>
          <w:szCs w:val="24"/>
          <w:highlight w:val="none"/>
        </w:rPr>
        <w:t>承包人在施工过程中必须收集隐蔽项目施工全过程影像视频资料以供后期审计使用，在送审结算资料时必须一并提交。所有签证资料必须附有详细影像彩色照片，所摄照片必须有可参照性。如影像资料未能反映签证、清单或招标文件列明的工作内容，则结算时该项内容不予认</w:t>
      </w:r>
      <w:r>
        <w:rPr>
          <w:rFonts w:hint="eastAsia" w:ascii="宋体" w:hAnsi="宋体"/>
          <w:color w:val="auto"/>
          <w:sz w:val="24"/>
          <w:szCs w:val="24"/>
          <w:highlight w:val="none"/>
        </w:rPr>
        <w:t>可</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不予结算</w:t>
      </w:r>
      <w:r>
        <w:rPr>
          <w:rFonts w:hint="eastAsia" w:ascii="宋体" w:hAnsi="宋体"/>
          <w:color w:val="auto"/>
          <w:sz w:val="24"/>
          <w:szCs w:val="24"/>
          <w:highlight w:val="none"/>
        </w:rPr>
        <w:t>。</w:t>
      </w:r>
    </w:p>
    <w:p w14:paraId="5399DB6A">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hint="default" w:ascii="宋体" w:hAnsi="宋体" w:eastAsia="宋体"/>
          <w:color w:val="auto"/>
          <w:sz w:val="24"/>
          <w:szCs w:val="24"/>
          <w:highlight w:val="none"/>
          <w:shd w:val="clear" w:color="FFFFFF" w:fill="D9D9D9"/>
          <w:lang w:val="en-US" w:eastAsia="zh-CN"/>
        </w:rPr>
      </w:pPr>
      <w:r>
        <w:rPr>
          <w:rFonts w:hint="eastAsia" w:ascii="宋体" w:hAnsi="宋体"/>
          <w:color w:val="auto"/>
          <w:sz w:val="24"/>
          <w:szCs w:val="24"/>
          <w:highlight w:val="none"/>
          <w:shd w:val="clear" w:color="FFFFFF" w:fill="D9D9D9"/>
        </w:rPr>
        <w:t>20、</w:t>
      </w:r>
      <w:r>
        <w:rPr>
          <w:rFonts w:hint="eastAsia" w:ascii="宋体" w:hAnsi="宋体"/>
          <w:color w:val="auto"/>
          <w:sz w:val="24"/>
          <w:szCs w:val="24"/>
          <w:highlight w:val="none"/>
          <w:shd w:val="clear" w:color="FFFFFF" w:fill="D9D9D9"/>
          <w:lang w:val="en-US" w:eastAsia="zh-CN"/>
        </w:rPr>
        <w:t>质量</w:t>
      </w:r>
      <w:r>
        <w:rPr>
          <w:rFonts w:hint="eastAsia" w:ascii="宋体" w:hAnsi="宋体"/>
          <w:color w:val="auto"/>
          <w:sz w:val="24"/>
          <w:szCs w:val="24"/>
          <w:highlight w:val="none"/>
          <w:shd w:val="clear" w:color="FFFFFF" w:fill="D9D9D9"/>
        </w:rPr>
        <w:t>保修期</w:t>
      </w:r>
      <w:r>
        <w:rPr>
          <w:rFonts w:hint="eastAsia" w:ascii="宋体" w:hAnsi="宋体"/>
          <w:color w:val="auto"/>
          <w:sz w:val="24"/>
          <w:szCs w:val="24"/>
          <w:highlight w:val="none"/>
          <w:shd w:val="clear" w:color="FFFFFF" w:fill="D9D9D9"/>
          <w:lang w:val="en-US" w:eastAsia="zh-CN"/>
        </w:rPr>
        <w:t>及缺陷责任期（缺陷责任期一般与质量保修期同时长，一般不超过24个月）</w:t>
      </w:r>
    </w:p>
    <w:p w14:paraId="25D5DDB3">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hint="eastAsia" w:ascii="仿宋" w:hAnsi="仿宋" w:eastAsia="仿宋" w:cs="仿宋"/>
          <w:b/>
          <w:bCs/>
          <w:color w:val="auto"/>
          <w:kern w:val="0"/>
          <w:sz w:val="24"/>
          <w:szCs w:val="24"/>
          <w:highlight w:val="none"/>
          <w:u w:val="single"/>
          <w:shd w:val="clear" w:color="FFFFFF" w:fill="D9D9D9"/>
        </w:rPr>
      </w:pPr>
      <w:r>
        <w:rPr>
          <w:rFonts w:hint="eastAsia" w:ascii="宋体" w:hAnsi="宋体"/>
          <w:color w:val="auto"/>
          <w:sz w:val="24"/>
          <w:szCs w:val="24"/>
          <w:highlight w:val="none"/>
          <w:shd w:val="clear" w:color="FFFFFF" w:fill="D9D9D9"/>
          <w:lang w:val="en-US" w:eastAsia="zh-CN"/>
        </w:rPr>
        <w:t>20</w:t>
      </w:r>
      <w:r>
        <w:rPr>
          <w:rFonts w:ascii="宋体" w:hAnsi="宋体"/>
          <w:color w:val="auto"/>
          <w:sz w:val="24"/>
          <w:szCs w:val="24"/>
          <w:highlight w:val="none"/>
          <w:shd w:val="clear" w:color="FFFFFF" w:fill="D9D9D9"/>
        </w:rPr>
        <w:t>.1</w:t>
      </w:r>
      <w:r>
        <w:rPr>
          <w:rFonts w:hint="eastAsia" w:ascii="宋体" w:hAnsi="宋体"/>
          <w:color w:val="auto"/>
          <w:sz w:val="24"/>
          <w:szCs w:val="24"/>
          <w:highlight w:val="none"/>
          <w:shd w:val="clear" w:color="FFFFFF" w:fill="D9D9D9"/>
        </w:rPr>
        <w:t>质量保修期：</w:t>
      </w:r>
      <w:r>
        <w:rPr>
          <w:rFonts w:hint="eastAsia" w:ascii="仿宋" w:hAnsi="仿宋" w:eastAsia="仿宋" w:cs="仿宋"/>
          <w:b/>
          <w:bCs/>
          <w:color w:val="auto"/>
          <w:sz w:val="24"/>
          <w:szCs w:val="24"/>
          <w:highlight w:val="none"/>
          <w:u w:val="single"/>
          <w:shd w:val="clear" w:color="FFFFFF" w:fill="D9D9D9"/>
          <w:lang w:val="en-US" w:eastAsia="zh-CN"/>
        </w:rPr>
        <w:t>两年</w:t>
      </w:r>
      <w:r>
        <w:rPr>
          <w:rFonts w:hint="eastAsia" w:ascii="仿宋" w:hAnsi="仿宋" w:eastAsia="仿宋" w:cs="仿宋"/>
          <w:b/>
          <w:bCs/>
          <w:color w:val="auto"/>
          <w:kern w:val="0"/>
          <w:sz w:val="24"/>
          <w:szCs w:val="24"/>
          <w:highlight w:val="none"/>
          <w:u w:val="single"/>
          <w:shd w:val="clear" w:color="FFFFFF" w:fill="D9D9D9"/>
          <w:lang w:eastAsia="zh-CN"/>
        </w:rPr>
        <w:t>，</w:t>
      </w:r>
      <w:r>
        <w:rPr>
          <w:rFonts w:hint="eastAsia" w:ascii="仿宋" w:hAnsi="仿宋" w:eastAsia="仿宋" w:cs="仿宋"/>
          <w:b/>
          <w:bCs/>
          <w:color w:val="auto"/>
          <w:kern w:val="0"/>
          <w:sz w:val="24"/>
          <w:szCs w:val="24"/>
          <w:highlight w:val="none"/>
          <w:u w:val="single"/>
          <w:shd w:val="clear" w:color="FFFFFF" w:fill="D9D9D9"/>
        </w:rPr>
        <w:t>自工程完工验收合格之日起算</w:t>
      </w:r>
      <w:r>
        <w:rPr>
          <w:rFonts w:hint="eastAsia" w:ascii="仿宋" w:hAnsi="仿宋" w:eastAsia="仿宋" w:cs="仿宋"/>
          <w:b/>
          <w:bCs/>
          <w:color w:val="auto"/>
          <w:kern w:val="0"/>
          <w:sz w:val="24"/>
          <w:szCs w:val="24"/>
          <w:highlight w:val="none"/>
          <w:u w:val="single"/>
          <w:shd w:val="clear" w:color="FFFFFF" w:fill="D9D9D9"/>
          <w:lang w:eastAsia="zh-CN"/>
        </w:rPr>
        <w:t>。承包人需对正常使用条件下的质量问题承担维修责任。承包人需对工程在保修范围和保修期限内出现的质量问题进行无偿修复，并对造成的损失承担赔偿责任。如承包人在发包人通知的时间内拒绝返工或无法达到修复标准的，发包人有权通知第三方进行修复，所发生的费用由承包人承担。</w:t>
      </w:r>
    </w:p>
    <w:p w14:paraId="743391C3">
      <w:pPr>
        <w:keepNext w:val="0"/>
        <w:keepLines w:val="0"/>
        <w:pageBreakBefore w:val="0"/>
        <w:widowControl w:val="0"/>
        <w:kinsoku/>
        <w:wordWrap/>
        <w:overflowPunct/>
        <w:topLinePunct w:val="0"/>
        <w:autoSpaceDE/>
        <w:autoSpaceDN/>
        <w:bidi w:val="0"/>
        <w:adjustRightInd w:val="0"/>
        <w:snapToGrid/>
        <w:spacing w:line="480" w:lineRule="exact"/>
        <w:ind w:firstLine="480" w:firstLineChars="200"/>
        <w:textAlignment w:val="auto"/>
        <w:rPr>
          <w:rFonts w:hint="default" w:ascii="仿宋" w:hAnsi="仿宋" w:eastAsia="仿宋" w:cs="仿宋"/>
          <w:b/>
          <w:bCs/>
          <w:color w:val="auto"/>
          <w:kern w:val="0"/>
          <w:sz w:val="24"/>
          <w:szCs w:val="24"/>
          <w:highlight w:val="none"/>
          <w:u w:val="single"/>
          <w:shd w:val="clear" w:color="FFFFFF" w:fill="D9D9D9"/>
          <w:lang w:val="en-US" w:eastAsia="zh-CN"/>
        </w:rPr>
      </w:pPr>
      <w:r>
        <w:rPr>
          <w:rFonts w:hint="eastAsia" w:ascii="宋体" w:hAnsi="宋体" w:eastAsia="宋体" w:cs="Times New Roman"/>
          <w:color w:val="auto"/>
          <w:sz w:val="24"/>
          <w:szCs w:val="24"/>
          <w:highlight w:val="none"/>
          <w:shd w:val="clear" w:color="FFFFFF" w:fill="D9D9D9"/>
          <w:lang w:val="en-US" w:eastAsia="zh-CN"/>
        </w:rPr>
        <w:t>20.2缺陷责任期：</w:t>
      </w:r>
      <w:r>
        <w:rPr>
          <w:rFonts w:hint="eastAsia" w:ascii="仿宋" w:hAnsi="仿宋" w:eastAsia="仿宋" w:cs="仿宋"/>
          <w:b/>
          <w:bCs/>
          <w:color w:val="auto"/>
          <w:kern w:val="0"/>
          <w:sz w:val="24"/>
          <w:szCs w:val="24"/>
          <w:highlight w:val="none"/>
          <w:u w:val="single"/>
          <w:shd w:val="clear" w:color="FFFFFF" w:fill="D9D9D9"/>
          <w:lang w:val="en-US" w:eastAsia="zh-CN"/>
        </w:rPr>
        <w:t>两年，自工程完工验收合格之日起算。承包人在缺陷责任期内无偿负责质量问题的修复。如承包人在发包人通知的时间内拒绝返工或无法达到修复标准的，发包人有权通知第三方实施隐患消除，所发生的费用在余款内扣除，超出部分由承包人承担。</w:t>
      </w:r>
    </w:p>
    <w:p w14:paraId="2AA51E3A">
      <w:pPr>
        <w:keepNext w:val="0"/>
        <w:keepLines w:val="0"/>
        <w:pageBreakBefore w:val="0"/>
        <w:widowControl w:val="0"/>
        <w:tabs>
          <w:tab w:val="left" w:pos="360"/>
        </w:tabs>
        <w:kinsoku/>
        <w:wordWrap/>
        <w:overflowPunct/>
        <w:topLinePunct w:val="0"/>
        <w:autoSpaceDE/>
        <w:autoSpaceDN/>
        <w:bidi w:val="0"/>
        <w:adjustRightInd w:val="0"/>
        <w:snapToGrid/>
        <w:spacing w:line="480" w:lineRule="exact"/>
        <w:jc w:val="center"/>
        <w:textAlignment w:val="auto"/>
        <w:rPr>
          <w:rFonts w:ascii="宋体" w:hAnsi="宋体"/>
          <w:b/>
          <w:color w:val="auto"/>
          <w:sz w:val="24"/>
          <w:szCs w:val="24"/>
          <w:highlight w:val="none"/>
        </w:rPr>
      </w:pPr>
    </w:p>
    <w:p w14:paraId="6FFCF50D">
      <w:pPr>
        <w:keepNext w:val="0"/>
        <w:keepLines w:val="0"/>
        <w:pageBreakBefore w:val="0"/>
        <w:widowControl w:val="0"/>
        <w:tabs>
          <w:tab w:val="left" w:pos="360"/>
        </w:tabs>
        <w:kinsoku/>
        <w:wordWrap/>
        <w:overflowPunct/>
        <w:topLinePunct w:val="0"/>
        <w:autoSpaceDE/>
        <w:autoSpaceDN/>
        <w:bidi w:val="0"/>
        <w:adjustRightInd w:val="0"/>
        <w:snapToGrid/>
        <w:spacing w:line="480" w:lineRule="exact"/>
        <w:jc w:val="center"/>
        <w:textAlignment w:val="auto"/>
        <w:rPr>
          <w:rFonts w:ascii="宋体"/>
          <w:b/>
          <w:color w:val="auto"/>
          <w:sz w:val="24"/>
          <w:szCs w:val="24"/>
          <w:highlight w:val="none"/>
        </w:rPr>
      </w:pPr>
      <w:r>
        <w:rPr>
          <w:rFonts w:hint="eastAsia" w:ascii="宋体" w:hAnsi="宋体"/>
          <w:b/>
          <w:color w:val="auto"/>
          <w:sz w:val="24"/>
          <w:szCs w:val="24"/>
          <w:highlight w:val="none"/>
        </w:rPr>
        <w:t>十、违约、索赔和争议</w:t>
      </w:r>
    </w:p>
    <w:p w14:paraId="1AC2B586">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ascii="宋体" w:hAnsi="宋体"/>
          <w:color w:val="auto"/>
          <w:sz w:val="24"/>
          <w:szCs w:val="24"/>
          <w:highlight w:val="none"/>
        </w:rPr>
        <w:t>21</w:t>
      </w:r>
      <w:r>
        <w:rPr>
          <w:rFonts w:hint="eastAsia" w:ascii="宋体" w:hAnsi="宋体"/>
          <w:color w:val="auto"/>
          <w:sz w:val="24"/>
          <w:szCs w:val="24"/>
          <w:highlight w:val="none"/>
        </w:rPr>
        <w:t>、违约</w:t>
      </w:r>
    </w:p>
    <w:p w14:paraId="6961968C">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ascii="宋体" w:hAnsi="宋体"/>
          <w:color w:val="auto"/>
          <w:sz w:val="24"/>
          <w:szCs w:val="24"/>
          <w:highlight w:val="none"/>
        </w:rPr>
        <w:t>21.1</w:t>
      </w:r>
      <w:r>
        <w:rPr>
          <w:rFonts w:hint="eastAsia" w:ascii="宋体" w:hAnsi="宋体"/>
          <w:color w:val="auto"/>
          <w:sz w:val="24"/>
          <w:szCs w:val="24"/>
          <w:highlight w:val="none"/>
        </w:rPr>
        <w:t>本合同中关于发包人违约的具体责任如下：</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 </w:t>
      </w:r>
      <w:r>
        <w:rPr>
          <w:rFonts w:hint="eastAsia" w:ascii="宋体" w:hAnsi="宋体"/>
          <w:color w:val="auto"/>
          <w:sz w:val="24"/>
          <w:szCs w:val="24"/>
          <w:highlight w:val="none"/>
        </w:rPr>
        <w:t>。</w:t>
      </w:r>
    </w:p>
    <w:p w14:paraId="09C6C280">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hint="eastAsia" w:ascii="宋体" w:hAnsi="宋体"/>
          <w:color w:val="auto"/>
          <w:sz w:val="24"/>
          <w:szCs w:val="24"/>
          <w:highlight w:val="none"/>
          <w:lang w:eastAsia="zh-CN"/>
        </w:rPr>
      </w:pPr>
      <w:r>
        <w:rPr>
          <w:rFonts w:ascii="宋体" w:hAnsi="宋体"/>
          <w:color w:val="auto"/>
          <w:sz w:val="24"/>
          <w:szCs w:val="24"/>
          <w:highlight w:val="none"/>
        </w:rPr>
        <w:t>21.2</w:t>
      </w:r>
      <w:r>
        <w:rPr>
          <w:rFonts w:hint="eastAsia" w:ascii="宋体" w:hAnsi="宋体"/>
          <w:color w:val="auto"/>
          <w:sz w:val="24"/>
          <w:szCs w:val="24"/>
          <w:highlight w:val="none"/>
        </w:rPr>
        <w:t>本合同中关于承包人违约的具体责任如下：</w:t>
      </w:r>
      <w:r>
        <w:rPr>
          <w:rFonts w:ascii="宋体" w:hAnsi="宋体"/>
          <w:color w:val="auto"/>
          <w:sz w:val="24"/>
          <w:szCs w:val="24"/>
          <w:highlight w:val="none"/>
          <w:u w:val="single"/>
        </w:rPr>
        <w:t xml:space="preserve">    /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w:t>
      </w:r>
    </w:p>
    <w:p w14:paraId="5C0C5AF9">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hint="eastAsia" w:ascii="宋体" w:hAnsi="宋体"/>
          <w:color w:val="auto"/>
          <w:sz w:val="24"/>
          <w:szCs w:val="24"/>
          <w:highlight w:val="none"/>
        </w:rPr>
        <w:t>21.3双方约定的承包人其他违约责任：</w:t>
      </w:r>
    </w:p>
    <w:p w14:paraId="665F7223">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仿宋_GB2312" w:hAnsi="仿宋_GB2312" w:eastAsia="仿宋_GB2312" w:cs="仿宋_GB2312"/>
          <w:b/>
          <w:bCs/>
          <w:color w:val="auto"/>
          <w:kern w:val="0"/>
          <w:sz w:val="24"/>
          <w:szCs w:val="24"/>
          <w:highlight w:val="none"/>
          <w:u w:val="single"/>
        </w:rPr>
      </w:pPr>
      <w:r>
        <w:rPr>
          <w:rFonts w:hint="eastAsia" w:ascii="宋体" w:hAnsi="宋体"/>
          <w:color w:val="auto"/>
          <w:sz w:val="24"/>
          <w:szCs w:val="24"/>
          <w:highlight w:val="none"/>
        </w:rPr>
        <w:t>21.3.1</w:t>
      </w:r>
      <w:r>
        <w:rPr>
          <w:rFonts w:hint="eastAsia" w:ascii="仿宋" w:hAnsi="仿宋" w:eastAsia="仿宋" w:cs="仿宋"/>
          <w:b/>
          <w:bCs/>
          <w:color w:val="auto"/>
          <w:kern w:val="0"/>
          <w:sz w:val="24"/>
          <w:szCs w:val="24"/>
          <w:highlight w:val="none"/>
          <w:u w:val="single"/>
        </w:rPr>
        <w:t>因承包人自身的原因，未能兑现其投标时承诺条件，发包人有权</w:t>
      </w:r>
      <w:r>
        <w:rPr>
          <w:rFonts w:hint="eastAsia" w:ascii="仿宋" w:hAnsi="仿宋" w:eastAsia="仿宋" w:cs="仿宋"/>
          <w:b/>
          <w:bCs/>
          <w:color w:val="auto"/>
          <w:kern w:val="0"/>
          <w:sz w:val="24"/>
          <w:szCs w:val="24"/>
          <w:highlight w:val="none"/>
          <w:u w:val="single"/>
          <w:lang w:val="en-US" w:eastAsia="zh-CN"/>
        </w:rPr>
        <w:t>单方面</w:t>
      </w:r>
      <w:r>
        <w:rPr>
          <w:rFonts w:hint="eastAsia" w:ascii="仿宋" w:hAnsi="仿宋" w:eastAsia="仿宋" w:cs="仿宋"/>
          <w:b/>
          <w:bCs/>
          <w:color w:val="auto"/>
          <w:kern w:val="0"/>
          <w:sz w:val="24"/>
          <w:szCs w:val="24"/>
          <w:highlight w:val="none"/>
          <w:u w:val="single"/>
        </w:rPr>
        <w:t>解除</w:t>
      </w:r>
      <w:r>
        <w:rPr>
          <w:rFonts w:hint="eastAsia" w:ascii="仿宋" w:hAnsi="仿宋" w:eastAsia="仿宋" w:cs="仿宋"/>
          <w:b/>
          <w:bCs/>
          <w:color w:val="auto"/>
          <w:kern w:val="0"/>
          <w:sz w:val="24"/>
          <w:szCs w:val="24"/>
          <w:highlight w:val="none"/>
          <w:u w:val="single"/>
          <w:lang w:val="en-US" w:eastAsia="zh-CN"/>
        </w:rPr>
        <w:t>本</w:t>
      </w:r>
      <w:r>
        <w:rPr>
          <w:rFonts w:hint="eastAsia" w:ascii="仿宋" w:hAnsi="仿宋" w:eastAsia="仿宋" w:cs="仿宋"/>
          <w:b/>
          <w:bCs/>
          <w:color w:val="auto"/>
          <w:kern w:val="0"/>
          <w:sz w:val="24"/>
          <w:szCs w:val="24"/>
          <w:highlight w:val="none"/>
          <w:u w:val="single"/>
        </w:rPr>
        <w:t>合同，并且已完成的合格工程量只按50%计量结算。</w:t>
      </w:r>
    </w:p>
    <w:p w14:paraId="6B156608">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hint="eastAsia"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21.3.2</w:t>
      </w:r>
      <w:r>
        <w:rPr>
          <w:rFonts w:hint="eastAsia" w:ascii="仿宋" w:hAnsi="仿宋" w:eastAsia="仿宋" w:cs="仿宋"/>
          <w:b/>
          <w:bCs/>
          <w:color w:val="auto"/>
          <w:kern w:val="0"/>
          <w:sz w:val="24"/>
          <w:szCs w:val="24"/>
          <w:highlight w:val="none"/>
          <w:u w:val="single"/>
        </w:rPr>
        <w:t>因承包人自身的原因，未达到工程质量要求标准，由承包人返工，直至达到合格要求，返工的费用由承包人承担。如在发包人规定时间内整改不到位的，除扣除履约保证金30%外，已完成的有效工程量只按50%计量结算，并承担因此造成发包人相应工程项目中的所有损失。</w:t>
      </w:r>
    </w:p>
    <w:p w14:paraId="05D3D37B">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hint="eastAsia"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21.3.3</w:t>
      </w:r>
      <w:r>
        <w:rPr>
          <w:rFonts w:hint="eastAsia" w:ascii="仿宋" w:hAnsi="仿宋" w:eastAsia="仿宋" w:cs="仿宋"/>
          <w:b/>
          <w:bCs/>
          <w:color w:val="auto"/>
          <w:kern w:val="0"/>
          <w:sz w:val="24"/>
          <w:szCs w:val="24"/>
          <w:highlight w:val="none"/>
          <w:u w:val="single"/>
        </w:rPr>
        <w:t>承包人不按时进场施工，在发包人发出书面通知后的5日内仍不进场的，发包人有权</w:t>
      </w:r>
      <w:r>
        <w:rPr>
          <w:rFonts w:hint="eastAsia" w:ascii="仿宋" w:hAnsi="仿宋" w:eastAsia="仿宋" w:cs="仿宋"/>
          <w:b/>
          <w:bCs/>
          <w:color w:val="auto"/>
          <w:kern w:val="0"/>
          <w:sz w:val="24"/>
          <w:szCs w:val="24"/>
          <w:highlight w:val="none"/>
          <w:u w:val="single"/>
          <w:lang w:val="en-US" w:eastAsia="zh-CN"/>
        </w:rPr>
        <w:t>单方面</w:t>
      </w:r>
      <w:r>
        <w:rPr>
          <w:rFonts w:hint="eastAsia" w:ascii="仿宋" w:hAnsi="仿宋" w:eastAsia="仿宋" w:cs="仿宋"/>
          <w:b/>
          <w:bCs/>
          <w:color w:val="auto"/>
          <w:kern w:val="0"/>
          <w:sz w:val="24"/>
          <w:szCs w:val="24"/>
          <w:highlight w:val="none"/>
          <w:u w:val="single"/>
        </w:rPr>
        <w:t>解除</w:t>
      </w:r>
      <w:r>
        <w:rPr>
          <w:rFonts w:hint="eastAsia" w:ascii="仿宋" w:hAnsi="仿宋" w:eastAsia="仿宋" w:cs="仿宋"/>
          <w:b/>
          <w:bCs/>
          <w:color w:val="auto"/>
          <w:kern w:val="0"/>
          <w:sz w:val="24"/>
          <w:szCs w:val="24"/>
          <w:highlight w:val="none"/>
          <w:u w:val="single"/>
          <w:lang w:val="en-US" w:eastAsia="zh-CN"/>
        </w:rPr>
        <w:t>本</w:t>
      </w:r>
      <w:r>
        <w:rPr>
          <w:rFonts w:hint="eastAsia" w:ascii="仿宋" w:hAnsi="仿宋" w:eastAsia="仿宋" w:cs="仿宋"/>
          <w:b/>
          <w:bCs/>
          <w:color w:val="auto"/>
          <w:kern w:val="0"/>
          <w:sz w:val="24"/>
          <w:szCs w:val="24"/>
          <w:highlight w:val="none"/>
          <w:u w:val="single"/>
        </w:rPr>
        <w:t>合同，造成发包人工期延误或其它损失的，承包人应予赔偿。</w:t>
      </w:r>
    </w:p>
    <w:p w14:paraId="010E4B5F">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hint="eastAsia"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21.3.4</w:t>
      </w:r>
      <w:r>
        <w:rPr>
          <w:rFonts w:hint="eastAsia" w:ascii="仿宋" w:hAnsi="仿宋" w:eastAsia="仿宋" w:cs="仿宋"/>
          <w:b/>
          <w:bCs/>
          <w:color w:val="auto"/>
          <w:kern w:val="0"/>
          <w:sz w:val="24"/>
          <w:szCs w:val="24"/>
          <w:highlight w:val="none"/>
          <w:u w:val="single"/>
        </w:rPr>
        <w:t>承包人在施工过程中，除不可抗力或发包人原因外不得以任何理由停工，非上述原因连续停工三个工作日以上的，发包人有权</w:t>
      </w:r>
      <w:r>
        <w:rPr>
          <w:rFonts w:hint="eastAsia" w:ascii="仿宋" w:hAnsi="仿宋" w:eastAsia="仿宋" w:cs="仿宋"/>
          <w:b/>
          <w:bCs/>
          <w:color w:val="auto"/>
          <w:kern w:val="0"/>
          <w:sz w:val="24"/>
          <w:szCs w:val="24"/>
          <w:highlight w:val="none"/>
          <w:u w:val="single"/>
          <w:lang w:val="en-US" w:eastAsia="zh-CN"/>
        </w:rPr>
        <w:t>单方面</w:t>
      </w:r>
      <w:r>
        <w:rPr>
          <w:rFonts w:hint="eastAsia" w:ascii="仿宋" w:hAnsi="仿宋" w:eastAsia="仿宋" w:cs="仿宋"/>
          <w:b/>
          <w:bCs/>
          <w:color w:val="auto"/>
          <w:kern w:val="0"/>
          <w:sz w:val="24"/>
          <w:szCs w:val="24"/>
          <w:highlight w:val="none"/>
          <w:u w:val="single"/>
        </w:rPr>
        <w:t>解除</w:t>
      </w:r>
      <w:r>
        <w:rPr>
          <w:rFonts w:hint="eastAsia" w:ascii="仿宋" w:hAnsi="仿宋" w:eastAsia="仿宋" w:cs="仿宋"/>
          <w:b/>
          <w:bCs/>
          <w:color w:val="auto"/>
          <w:kern w:val="0"/>
          <w:sz w:val="24"/>
          <w:szCs w:val="24"/>
          <w:highlight w:val="none"/>
          <w:u w:val="single"/>
          <w:lang w:val="en-US" w:eastAsia="zh-CN"/>
        </w:rPr>
        <w:t>本</w:t>
      </w:r>
      <w:r>
        <w:rPr>
          <w:rFonts w:hint="eastAsia" w:ascii="仿宋" w:hAnsi="仿宋" w:eastAsia="仿宋" w:cs="仿宋"/>
          <w:b/>
          <w:bCs/>
          <w:color w:val="auto"/>
          <w:kern w:val="0"/>
          <w:sz w:val="24"/>
          <w:szCs w:val="24"/>
          <w:highlight w:val="none"/>
          <w:u w:val="single"/>
        </w:rPr>
        <w:t>合同。造成发包人工期延误或其他损失的，承包人应予赔偿。</w:t>
      </w:r>
    </w:p>
    <w:p w14:paraId="3B5332A5">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hint="eastAsia"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21.3.5</w:t>
      </w:r>
      <w:r>
        <w:rPr>
          <w:rFonts w:hint="eastAsia" w:ascii="仿宋" w:hAnsi="仿宋" w:eastAsia="仿宋" w:cs="仿宋"/>
          <w:b/>
          <w:bCs/>
          <w:color w:val="auto"/>
          <w:kern w:val="0"/>
          <w:sz w:val="24"/>
          <w:szCs w:val="24"/>
          <w:highlight w:val="none"/>
          <w:u w:val="single"/>
        </w:rPr>
        <w:t>如因承包人责任未按发包人要求的工期竣工，除</w:t>
      </w:r>
      <w:r>
        <w:rPr>
          <w:rFonts w:hint="eastAsia" w:ascii="仿宋" w:hAnsi="仿宋" w:eastAsia="仿宋" w:cs="仿宋"/>
          <w:b/>
          <w:bCs/>
          <w:color w:val="auto"/>
          <w:kern w:val="0"/>
          <w:sz w:val="24"/>
          <w:szCs w:val="24"/>
          <w:highlight w:val="none"/>
          <w:u w:val="single"/>
          <w:lang w:val="en-US" w:eastAsia="zh-CN"/>
        </w:rPr>
        <w:t>扣除</w:t>
      </w:r>
      <w:r>
        <w:rPr>
          <w:rFonts w:hint="eastAsia" w:ascii="仿宋" w:hAnsi="仿宋" w:eastAsia="仿宋" w:cs="仿宋"/>
          <w:b/>
          <w:bCs/>
          <w:color w:val="auto"/>
          <w:kern w:val="0"/>
          <w:sz w:val="24"/>
          <w:szCs w:val="24"/>
          <w:highlight w:val="none"/>
          <w:u w:val="single"/>
        </w:rPr>
        <w:t>履约保证金的20%以外，并按每延迟壹天</w:t>
      </w:r>
      <w:r>
        <w:rPr>
          <w:rFonts w:hint="eastAsia" w:ascii="仿宋" w:hAnsi="仿宋" w:eastAsia="仿宋" w:cs="仿宋"/>
          <w:b/>
          <w:bCs/>
          <w:color w:val="auto"/>
          <w:kern w:val="0"/>
          <w:sz w:val="24"/>
          <w:szCs w:val="24"/>
          <w:highlight w:val="none"/>
          <w:u w:val="single"/>
          <w:lang w:val="en-US" w:eastAsia="zh-CN"/>
        </w:rPr>
        <w:t>扣</w:t>
      </w:r>
      <w:r>
        <w:rPr>
          <w:rFonts w:hint="eastAsia" w:ascii="仿宋" w:hAnsi="仿宋" w:eastAsia="仿宋" w:cs="仿宋"/>
          <w:b/>
          <w:bCs/>
          <w:color w:val="auto"/>
          <w:kern w:val="0"/>
          <w:sz w:val="24"/>
          <w:szCs w:val="24"/>
          <w:highlight w:val="none"/>
          <w:u w:val="single"/>
        </w:rPr>
        <w:t>1000元/天，不足一天的按一天计算，延误期超过30天的，发包人有权</w:t>
      </w:r>
      <w:r>
        <w:rPr>
          <w:rFonts w:hint="eastAsia" w:ascii="仿宋" w:hAnsi="仿宋" w:eastAsia="仿宋" w:cs="仿宋"/>
          <w:b/>
          <w:bCs/>
          <w:color w:val="auto"/>
          <w:kern w:val="0"/>
          <w:sz w:val="24"/>
          <w:szCs w:val="24"/>
          <w:highlight w:val="none"/>
          <w:u w:val="single"/>
          <w:lang w:val="en-US" w:eastAsia="zh-CN"/>
        </w:rPr>
        <w:t>单方面</w:t>
      </w:r>
      <w:r>
        <w:rPr>
          <w:rFonts w:hint="eastAsia" w:ascii="仿宋" w:hAnsi="仿宋" w:eastAsia="仿宋" w:cs="仿宋"/>
          <w:b/>
          <w:bCs/>
          <w:color w:val="auto"/>
          <w:kern w:val="0"/>
          <w:sz w:val="24"/>
          <w:szCs w:val="24"/>
          <w:highlight w:val="none"/>
          <w:u w:val="single"/>
        </w:rPr>
        <w:t>解除</w:t>
      </w:r>
      <w:r>
        <w:rPr>
          <w:rFonts w:hint="eastAsia" w:ascii="仿宋" w:hAnsi="仿宋" w:eastAsia="仿宋" w:cs="仿宋"/>
          <w:b/>
          <w:bCs/>
          <w:color w:val="auto"/>
          <w:kern w:val="0"/>
          <w:sz w:val="24"/>
          <w:szCs w:val="24"/>
          <w:highlight w:val="none"/>
          <w:u w:val="single"/>
          <w:lang w:val="en-US" w:eastAsia="zh-CN"/>
        </w:rPr>
        <w:t>本</w:t>
      </w:r>
      <w:r>
        <w:rPr>
          <w:rFonts w:hint="eastAsia" w:ascii="仿宋" w:hAnsi="仿宋" w:eastAsia="仿宋" w:cs="仿宋"/>
          <w:b/>
          <w:bCs/>
          <w:color w:val="auto"/>
          <w:kern w:val="0"/>
          <w:sz w:val="24"/>
          <w:szCs w:val="24"/>
          <w:highlight w:val="none"/>
          <w:u w:val="single"/>
        </w:rPr>
        <w:t>合同。如因发包人原因影响</w:t>
      </w:r>
      <w:r>
        <w:rPr>
          <w:rFonts w:hint="eastAsia" w:ascii="仿宋" w:hAnsi="仿宋" w:eastAsia="仿宋" w:cs="仿宋"/>
          <w:b/>
          <w:bCs/>
          <w:color w:val="auto"/>
          <w:kern w:val="0"/>
          <w:sz w:val="24"/>
          <w:szCs w:val="24"/>
          <w:highlight w:val="none"/>
          <w:u w:val="single"/>
          <w:lang w:val="en-US" w:eastAsia="zh-CN"/>
        </w:rPr>
        <w:t>工期</w:t>
      </w:r>
      <w:r>
        <w:rPr>
          <w:rFonts w:hint="eastAsia" w:ascii="仿宋" w:hAnsi="仿宋" w:eastAsia="仿宋" w:cs="仿宋"/>
          <w:b/>
          <w:bCs/>
          <w:color w:val="auto"/>
          <w:kern w:val="0"/>
          <w:sz w:val="24"/>
          <w:szCs w:val="24"/>
          <w:highlight w:val="none"/>
          <w:u w:val="single"/>
        </w:rPr>
        <w:t>，承包人须凭书面报告，得到发包人代表的签字认可，否则不顺延工期。</w:t>
      </w:r>
    </w:p>
    <w:p w14:paraId="176B6BD9">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hint="eastAsia"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21.3.6</w:t>
      </w:r>
      <w:r>
        <w:rPr>
          <w:rFonts w:hint="eastAsia" w:ascii="仿宋" w:hAnsi="仿宋" w:eastAsia="仿宋" w:cs="仿宋"/>
          <w:b/>
          <w:bCs/>
          <w:color w:val="auto"/>
          <w:kern w:val="0"/>
          <w:sz w:val="24"/>
          <w:szCs w:val="24"/>
          <w:highlight w:val="none"/>
          <w:u w:val="single"/>
        </w:rPr>
        <w:t>承包人项目负责人或现场代表不配合发包人工作或不能胜任工作，发包人有权要求承包人更换相应人员，承包人应在发包人要求更换之日起五日内更换。</w:t>
      </w:r>
      <w:r>
        <w:rPr>
          <w:rFonts w:hint="eastAsia" w:ascii="仿宋" w:hAnsi="仿宋" w:eastAsia="仿宋" w:cs="仿宋"/>
          <w:b/>
          <w:bCs/>
          <w:color w:val="auto"/>
          <w:kern w:val="0"/>
          <w:sz w:val="24"/>
          <w:szCs w:val="24"/>
          <w:highlight w:val="none"/>
          <w:u w:val="single"/>
        </w:rPr>
        <w:t>否则发包人有权</w:t>
      </w:r>
      <w:r>
        <w:rPr>
          <w:rFonts w:hint="eastAsia" w:ascii="仿宋" w:hAnsi="仿宋" w:eastAsia="仿宋" w:cs="仿宋"/>
          <w:b/>
          <w:bCs/>
          <w:color w:val="auto"/>
          <w:kern w:val="0"/>
          <w:sz w:val="24"/>
          <w:szCs w:val="24"/>
          <w:highlight w:val="none"/>
          <w:u w:val="single"/>
          <w:lang w:val="en-US" w:eastAsia="zh-CN"/>
        </w:rPr>
        <w:t>单方面</w:t>
      </w:r>
      <w:r>
        <w:rPr>
          <w:rFonts w:hint="eastAsia" w:ascii="仿宋" w:hAnsi="仿宋" w:eastAsia="仿宋" w:cs="仿宋"/>
          <w:b/>
          <w:bCs/>
          <w:color w:val="auto"/>
          <w:kern w:val="0"/>
          <w:sz w:val="24"/>
          <w:szCs w:val="24"/>
          <w:highlight w:val="none"/>
          <w:u w:val="single"/>
        </w:rPr>
        <w:t>要求停工或解除</w:t>
      </w:r>
      <w:r>
        <w:rPr>
          <w:rFonts w:hint="eastAsia" w:ascii="仿宋" w:hAnsi="仿宋" w:eastAsia="仿宋" w:cs="仿宋"/>
          <w:b/>
          <w:bCs/>
          <w:color w:val="auto"/>
          <w:kern w:val="0"/>
          <w:sz w:val="24"/>
          <w:szCs w:val="24"/>
          <w:highlight w:val="none"/>
          <w:u w:val="single"/>
          <w:lang w:val="en-US" w:eastAsia="zh-CN"/>
        </w:rPr>
        <w:t>本</w:t>
      </w:r>
      <w:r>
        <w:rPr>
          <w:rFonts w:hint="eastAsia" w:ascii="仿宋" w:hAnsi="仿宋" w:eastAsia="仿宋" w:cs="仿宋"/>
          <w:b/>
          <w:bCs/>
          <w:color w:val="auto"/>
          <w:kern w:val="0"/>
          <w:sz w:val="24"/>
          <w:szCs w:val="24"/>
          <w:highlight w:val="none"/>
          <w:u w:val="single"/>
        </w:rPr>
        <w:t>合同，由此造成的工期延误的违约责任及发包人的损失由承包人承担。</w:t>
      </w:r>
    </w:p>
    <w:p w14:paraId="0E3EE415">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hint="eastAsia"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21.3.7</w:t>
      </w:r>
      <w:r>
        <w:rPr>
          <w:rFonts w:hint="eastAsia" w:ascii="仿宋" w:hAnsi="仿宋" w:eastAsia="仿宋" w:cs="仿宋"/>
          <w:b/>
          <w:bCs/>
          <w:color w:val="auto"/>
          <w:kern w:val="0"/>
          <w:sz w:val="24"/>
          <w:szCs w:val="24"/>
          <w:highlight w:val="none"/>
          <w:u w:val="single"/>
        </w:rPr>
        <w:t>承包人须遵守发包人对工程管理的相关规定，人员在养护区内出现打架斗殴、损坏工程成品、安全事故等情况时，所产生的对承包人人员或第三人的损害由承包人承担责任并负责赔偿；由此造成的发包人的损失，由承包人负责全额赔偿。</w:t>
      </w:r>
    </w:p>
    <w:p w14:paraId="40CC09E2">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hint="eastAsia"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21.3.8</w:t>
      </w:r>
      <w:r>
        <w:rPr>
          <w:rFonts w:hint="eastAsia" w:ascii="仿宋" w:hAnsi="仿宋" w:eastAsia="仿宋" w:cs="仿宋"/>
          <w:b/>
          <w:bCs/>
          <w:color w:val="auto"/>
          <w:kern w:val="0"/>
          <w:sz w:val="24"/>
          <w:szCs w:val="24"/>
          <w:highlight w:val="none"/>
          <w:u w:val="single"/>
        </w:rPr>
        <w:t>发包人依据本合同约定行使解除权的，承包人所有人员、设备必须在发包人解除合同书面通知送达之日起三个工作日内撤离施工现场并向发包人移交有关的所有工程资料，</w:t>
      </w:r>
      <w:r>
        <w:rPr>
          <w:rFonts w:hint="eastAsia" w:ascii="仿宋" w:hAnsi="仿宋" w:eastAsia="仿宋" w:cs="仿宋"/>
          <w:b/>
          <w:bCs/>
          <w:color w:val="auto"/>
          <w:kern w:val="0"/>
          <w:sz w:val="24"/>
          <w:szCs w:val="24"/>
          <w:highlight w:val="none"/>
          <w:u w:val="single"/>
          <w:lang w:val="en-US" w:eastAsia="zh-CN"/>
        </w:rPr>
        <w:t>逾期的</w:t>
      </w:r>
      <w:r>
        <w:rPr>
          <w:rFonts w:hint="eastAsia" w:ascii="仿宋" w:hAnsi="仿宋" w:eastAsia="仿宋" w:cs="仿宋"/>
          <w:b/>
          <w:bCs/>
          <w:color w:val="auto"/>
          <w:kern w:val="0"/>
          <w:sz w:val="24"/>
          <w:szCs w:val="24"/>
          <w:highlight w:val="none"/>
          <w:u w:val="single"/>
        </w:rPr>
        <w:t>按每延迟壹天</w:t>
      </w:r>
      <w:r>
        <w:rPr>
          <w:rFonts w:hint="eastAsia" w:ascii="仿宋" w:hAnsi="仿宋" w:eastAsia="仿宋" w:cs="仿宋"/>
          <w:b/>
          <w:bCs/>
          <w:color w:val="auto"/>
          <w:kern w:val="0"/>
          <w:sz w:val="24"/>
          <w:szCs w:val="24"/>
          <w:highlight w:val="none"/>
          <w:u w:val="single"/>
          <w:lang w:val="en-US" w:eastAsia="zh-CN"/>
        </w:rPr>
        <w:t>扣</w:t>
      </w:r>
      <w:r>
        <w:rPr>
          <w:rFonts w:hint="eastAsia" w:ascii="仿宋" w:hAnsi="仿宋" w:eastAsia="仿宋" w:cs="仿宋"/>
          <w:b/>
          <w:bCs/>
          <w:color w:val="auto"/>
          <w:kern w:val="0"/>
          <w:sz w:val="24"/>
          <w:szCs w:val="24"/>
          <w:highlight w:val="none"/>
          <w:u w:val="single"/>
        </w:rPr>
        <w:t>1000元/天</w:t>
      </w:r>
      <w:r>
        <w:rPr>
          <w:rFonts w:hint="eastAsia" w:ascii="仿宋" w:hAnsi="仿宋" w:eastAsia="仿宋" w:cs="仿宋"/>
          <w:b/>
          <w:bCs/>
          <w:color w:val="auto"/>
          <w:kern w:val="0"/>
          <w:sz w:val="24"/>
          <w:szCs w:val="24"/>
          <w:highlight w:val="none"/>
          <w:u w:val="single"/>
          <w:lang w:val="en-US" w:eastAsia="zh-CN"/>
        </w:rPr>
        <w:t>计算违约金</w:t>
      </w:r>
      <w:r>
        <w:rPr>
          <w:rFonts w:hint="eastAsia" w:ascii="仿宋" w:hAnsi="仿宋" w:eastAsia="仿宋" w:cs="仿宋"/>
          <w:b/>
          <w:bCs/>
          <w:color w:val="auto"/>
          <w:kern w:val="0"/>
          <w:sz w:val="24"/>
          <w:szCs w:val="24"/>
          <w:highlight w:val="none"/>
          <w:u w:val="single"/>
        </w:rPr>
        <w:t>，不足一天的按一天计算</w:t>
      </w:r>
      <w:r>
        <w:rPr>
          <w:rFonts w:hint="eastAsia" w:ascii="仿宋" w:hAnsi="仿宋" w:eastAsia="仿宋" w:cs="仿宋"/>
          <w:b/>
          <w:bCs/>
          <w:color w:val="auto"/>
          <w:kern w:val="0"/>
          <w:sz w:val="24"/>
          <w:szCs w:val="24"/>
          <w:highlight w:val="none"/>
          <w:u w:val="single"/>
          <w:lang w:eastAsia="zh-CN"/>
        </w:rPr>
        <w:t>，</w:t>
      </w:r>
      <w:r>
        <w:rPr>
          <w:rFonts w:hint="eastAsia" w:ascii="仿宋" w:hAnsi="仿宋" w:eastAsia="仿宋" w:cs="仿宋"/>
          <w:b/>
          <w:bCs/>
          <w:color w:val="auto"/>
          <w:kern w:val="0"/>
          <w:sz w:val="24"/>
          <w:szCs w:val="24"/>
          <w:highlight w:val="none"/>
          <w:u w:val="single"/>
        </w:rPr>
        <w:t>并在此期限内与发包人共同签证已完成的工程量。未经甲乙双方共同签证的工程量不得再要求结算。</w:t>
      </w:r>
    </w:p>
    <w:p w14:paraId="33A64C30">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hint="eastAsia"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21.3.9</w:t>
      </w:r>
      <w:r>
        <w:rPr>
          <w:rFonts w:hint="eastAsia" w:ascii="仿宋" w:hAnsi="仿宋" w:eastAsia="仿宋" w:cs="仿宋"/>
          <w:b/>
          <w:bCs/>
          <w:color w:val="auto"/>
          <w:kern w:val="0"/>
          <w:sz w:val="24"/>
          <w:szCs w:val="24"/>
          <w:highlight w:val="none"/>
          <w:u w:val="single"/>
        </w:rPr>
        <w:t>承包人擅自把工程分包或转包给其他任何单位，发包人有权</w:t>
      </w:r>
      <w:r>
        <w:rPr>
          <w:rFonts w:hint="eastAsia" w:ascii="仿宋" w:hAnsi="仿宋" w:eastAsia="仿宋" w:cs="仿宋"/>
          <w:b/>
          <w:bCs/>
          <w:color w:val="auto"/>
          <w:kern w:val="0"/>
          <w:sz w:val="24"/>
          <w:szCs w:val="24"/>
          <w:highlight w:val="none"/>
          <w:u w:val="single"/>
          <w:lang w:val="en-US" w:eastAsia="zh-CN"/>
        </w:rPr>
        <w:t>单方面</w:t>
      </w:r>
      <w:r>
        <w:rPr>
          <w:rFonts w:hint="eastAsia" w:ascii="仿宋" w:hAnsi="仿宋" w:eastAsia="仿宋" w:cs="仿宋"/>
          <w:b/>
          <w:bCs/>
          <w:color w:val="auto"/>
          <w:kern w:val="0"/>
          <w:sz w:val="24"/>
          <w:szCs w:val="24"/>
          <w:highlight w:val="none"/>
          <w:u w:val="single"/>
        </w:rPr>
        <w:t>解除</w:t>
      </w:r>
      <w:r>
        <w:rPr>
          <w:rFonts w:hint="eastAsia" w:ascii="仿宋" w:hAnsi="仿宋" w:eastAsia="仿宋" w:cs="仿宋"/>
          <w:b/>
          <w:bCs/>
          <w:color w:val="auto"/>
          <w:kern w:val="0"/>
          <w:sz w:val="24"/>
          <w:szCs w:val="24"/>
          <w:highlight w:val="none"/>
          <w:u w:val="single"/>
          <w:lang w:val="en-US" w:eastAsia="zh-CN"/>
        </w:rPr>
        <w:t>本</w:t>
      </w:r>
      <w:r>
        <w:rPr>
          <w:rFonts w:hint="eastAsia" w:ascii="仿宋" w:hAnsi="仿宋" w:eastAsia="仿宋" w:cs="仿宋"/>
          <w:b/>
          <w:bCs/>
          <w:color w:val="auto"/>
          <w:kern w:val="0"/>
          <w:sz w:val="24"/>
          <w:szCs w:val="24"/>
          <w:highlight w:val="none"/>
          <w:u w:val="single"/>
        </w:rPr>
        <w:t>合同，</w:t>
      </w:r>
      <w:r>
        <w:rPr>
          <w:rFonts w:hint="eastAsia" w:ascii="仿宋" w:hAnsi="仿宋" w:eastAsia="仿宋" w:cs="仿宋"/>
          <w:b/>
          <w:bCs/>
          <w:color w:val="auto"/>
          <w:kern w:val="0"/>
          <w:sz w:val="24"/>
          <w:szCs w:val="24"/>
          <w:highlight w:val="none"/>
          <w:u w:val="single"/>
          <w:lang w:val="en-US" w:eastAsia="zh-CN"/>
        </w:rPr>
        <w:t>保证金不予退还，承包人</w:t>
      </w:r>
      <w:r>
        <w:rPr>
          <w:rFonts w:hint="eastAsia" w:ascii="仿宋" w:hAnsi="仿宋" w:eastAsia="仿宋" w:cs="仿宋"/>
          <w:b/>
          <w:bCs/>
          <w:color w:val="auto"/>
          <w:kern w:val="0"/>
          <w:sz w:val="24"/>
          <w:szCs w:val="24"/>
          <w:highlight w:val="none"/>
          <w:u w:val="single"/>
        </w:rPr>
        <w:t>赔偿发包人因此</w:t>
      </w:r>
      <w:r>
        <w:rPr>
          <w:rFonts w:hint="eastAsia" w:ascii="仿宋" w:hAnsi="仿宋" w:eastAsia="仿宋" w:cs="仿宋"/>
          <w:b/>
          <w:bCs/>
          <w:color w:val="auto"/>
          <w:kern w:val="0"/>
          <w:sz w:val="24"/>
          <w:szCs w:val="24"/>
          <w:highlight w:val="none"/>
          <w:u w:val="single"/>
          <w:lang w:val="en-US" w:eastAsia="zh-CN"/>
        </w:rPr>
        <w:t>承受</w:t>
      </w:r>
      <w:r>
        <w:rPr>
          <w:rFonts w:hint="eastAsia" w:ascii="仿宋" w:hAnsi="仿宋" w:eastAsia="仿宋" w:cs="仿宋"/>
          <w:b/>
          <w:bCs/>
          <w:color w:val="auto"/>
          <w:kern w:val="0"/>
          <w:sz w:val="24"/>
          <w:szCs w:val="24"/>
          <w:highlight w:val="none"/>
          <w:u w:val="single"/>
        </w:rPr>
        <w:t>的一切损失。</w:t>
      </w:r>
    </w:p>
    <w:p w14:paraId="59722512">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hint="eastAsia" w:ascii="仿宋" w:hAnsi="仿宋" w:eastAsia="仿宋" w:cs="仿宋"/>
          <w:b/>
          <w:bCs/>
          <w:color w:val="auto"/>
          <w:kern w:val="0"/>
          <w:sz w:val="24"/>
          <w:szCs w:val="24"/>
          <w:highlight w:val="none"/>
          <w:u w:val="single"/>
          <w:shd w:val="clear" w:color="FFFFFF" w:fill="D9D9D9"/>
        </w:rPr>
      </w:pPr>
      <w:r>
        <w:rPr>
          <w:rFonts w:hint="eastAsia" w:ascii="宋体" w:hAnsi="宋体"/>
          <w:color w:val="auto"/>
          <w:sz w:val="24"/>
          <w:szCs w:val="24"/>
          <w:highlight w:val="none"/>
          <w:shd w:val="clear" w:color="FFFFFF" w:fill="D9D9D9"/>
        </w:rPr>
        <w:t>21.3.10</w:t>
      </w:r>
      <w:r>
        <w:rPr>
          <w:rFonts w:hint="eastAsia" w:ascii="仿宋" w:hAnsi="仿宋" w:eastAsia="仿宋" w:cs="仿宋"/>
          <w:b/>
          <w:bCs/>
          <w:color w:val="auto"/>
          <w:kern w:val="0"/>
          <w:sz w:val="24"/>
          <w:szCs w:val="24"/>
          <w:highlight w:val="none"/>
          <w:u w:val="single"/>
          <w:shd w:val="clear" w:color="FFFFFF" w:fill="D9D9D9"/>
        </w:rPr>
        <w:t>项目组人员原则上须与</w:t>
      </w:r>
      <w:r>
        <w:rPr>
          <w:rFonts w:hint="eastAsia" w:ascii="仿宋" w:hAnsi="仿宋" w:eastAsia="仿宋" w:cs="仿宋"/>
          <w:b/>
          <w:bCs/>
          <w:color w:val="auto"/>
          <w:kern w:val="0"/>
          <w:sz w:val="24"/>
          <w:szCs w:val="24"/>
          <w:highlight w:val="none"/>
          <w:u w:val="single"/>
          <w:shd w:val="clear" w:color="FFFFFF" w:fill="D9D9D9"/>
          <w:lang w:val="en-US" w:eastAsia="zh-CN"/>
        </w:rPr>
        <w:t>承包人</w:t>
      </w:r>
      <w:r>
        <w:rPr>
          <w:rFonts w:hint="eastAsia" w:ascii="仿宋" w:hAnsi="仿宋" w:eastAsia="仿宋" w:cs="仿宋"/>
          <w:b/>
          <w:bCs/>
          <w:color w:val="auto"/>
          <w:kern w:val="0"/>
          <w:sz w:val="24"/>
          <w:szCs w:val="24"/>
          <w:highlight w:val="none"/>
          <w:u w:val="single"/>
          <w:shd w:val="clear" w:color="FFFFFF" w:fill="D9D9D9"/>
        </w:rPr>
        <w:t>投标文件中的拟派项目组人员一致，如确需更换项目组人员的，</w:t>
      </w:r>
      <w:r>
        <w:rPr>
          <w:rFonts w:hint="eastAsia" w:ascii="仿宋" w:hAnsi="仿宋" w:eastAsia="仿宋" w:cs="仿宋"/>
          <w:b/>
          <w:bCs/>
          <w:color w:val="auto"/>
          <w:kern w:val="0"/>
          <w:sz w:val="24"/>
          <w:szCs w:val="24"/>
          <w:highlight w:val="none"/>
          <w:u w:val="single"/>
          <w:shd w:val="clear" w:color="FFFFFF" w:fill="D9D9D9"/>
          <w:lang w:val="en-US" w:eastAsia="zh-CN"/>
        </w:rPr>
        <w:t>承包人</w:t>
      </w:r>
      <w:r>
        <w:rPr>
          <w:rFonts w:hint="eastAsia" w:ascii="仿宋" w:hAnsi="仿宋" w:eastAsia="仿宋" w:cs="仿宋"/>
          <w:b/>
          <w:bCs/>
          <w:color w:val="auto"/>
          <w:kern w:val="0"/>
          <w:sz w:val="24"/>
          <w:szCs w:val="24"/>
          <w:highlight w:val="none"/>
          <w:u w:val="single"/>
          <w:shd w:val="clear" w:color="FFFFFF" w:fill="D9D9D9"/>
        </w:rPr>
        <w:t>须以书面形式报</w:t>
      </w:r>
      <w:r>
        <w:rPr>
          <w:rFonts w:hint="eastAsia" w:ascii="仿宋" w:hAnsi="仿宋" w:eastAsia="仿宋" w:cs="仿宋"/>
          <w:b/>
          <w:bCs/>
          <w:color w:val="auto"/>
          <w:kern w:val="0"/>
          <w:sz w:val="24"/>
          <w:szCs w:val="24"/>
          <w:highlight w:val="none"/>
          <w:u w:val="single"/>
          <w:shd w:val="clear" w:color="FFFFFF" w:fill="D9D9D9"/>
          <w:lang w:val="en-US" w:eastAsia="zh-CN"/>
        </w:rPr>
        <w:t>发包人</w:t>
      </w:r>
      <w:r>
        <w:rPr>
          <w:rFonts w:hint="eastAsia" w:ascii="仿宋" w:hAnsi="仿宋" w:eastAsia="仿宋" w:cs="仿宋"/>
          <w:b/>
          <w:bCs/>
          <w:color w:val="auto"/>
          <w:kern w:val="0"/>
          <w:sz w:val="24"/>
          <w:szCs w:val="24"/>
          <w:highlight w:val="none"/>
          <w:u w:val="single"/>
          <w:shd w:val="clear" w:color="FFFFFF" w:fill="D9D9D9"/>
        </w:rPr>
        <w:t>，经</w:t>
      </w:r>
      <w:r>
        <w:rPr>
          <w:rFonts w:hint="eastAsia" w:ascii="仿宋" w:hAnsi="仿宋" w:eastAsia="仿宋" w:cs="仿宋"/>
          <w:b/>
          <w:bCs/>
          <w:color w:val="auto"/>
          <w:kern w:val="0"/>
          <w:sz w:val="24"/>
          <w:szCs w:val="24"/>
          <w:highlight w:val="none"/>
          <w:u w:val="single"/>
          <w:shd w:val="clear" w:color="FFFFFF" w:fill="D9D9D9"/>
          <w:lang w:val="en-US" w:eastAsia="zh-CN"/>
        </w:rPr>
        <w:t>发包人</w:t>
      </w:r>
      <w:r>
        <w:rPr>
          <w:rFonts w:hint="eastAsia" w:ascii="仿宋" w:hAnsi="仿宋" w:eastAsia="仿宋" w:cs="仿宋"/>
          <w:b/>
          <w:bCs/>
          <w:color w:val="auto"/>
          <w:kern w:val="0"/>
          <w:sz w:val="24"/>
          <w:szCs w:val="24"/>
          <w:highlight w:val="none"/>
          <w:u w:val="single"/>
          <w:shd w:val="clear" w:color="FFFFFF" w:fill="D9D9D9"/>
        </w:rPr>
        <w:t>书面同意后方可更换，且更换项目负责人罚款</w:t>
      </w:r>
      <w:r>
        <w:rPr>
          <w:rFonts w:hint="eastAsia" w:ascii="仿宋" w:hAnsi="仿宋" w:eastAsia="仿宋" w:cs="仿宋"/>
          <w:b/>
          <w:bCs/>
          <w:color w:val="auto"/>
          <w:kern w:val="0"/>
          <w:sz w:val="24"/>
          <w:szCs w:val="24"/>
          <w:highlight w:val="none"/>
          <w:u w:val="single"/>
          <w:shd w:val="clear" w:color="FFFFFF" w:fill="D9D9D9"/>
          <w:lang w:val="en-US" w:eastAsia="zh-CN"/>
        </w:rPr>
        <w:t>贰</w:t>
      </w:r>
      <w:r>
        <w:rPr>
          <w:rFonts w:hint="eastAsia" w:ascii="仿宋" w:hAnsi="仿宋" w:eastAsia="仿宋" w:cs="仿宋"/>
          <w:b/>
          <w:bCs/>
          <w:color w:val="auto"/>
          <w:kern w:val="0"/>
          <w:sz w:val="24"/>
          <w:szCs w:val="24"/>
          <w:highlight w:val="none"/>
          <w:u w:val="single"/>
          <w:shd w:val="clear" w:color="FFFFFF" w:fill="D9D9D9"/>
        </w:rPr>
        <w:t>万元/人/次，</w:t>
      </w:r>
      <w:r>
        <w:rPr>
          <w:rFonts w:hint="eastAsia" w:ascii="仿宋" w:hAnsi="仿宋" w:eastAsia="仿宋" w:cs="仿宋"/>
          <w:b/>
          <w:bCs/>
          <w:color w:val="auto"/>
          <w:kern w:val="0"/>
          <w:sz w:val="24"/>
          <w:szCs w:val="24"/>
          <w:highlight w:val="none"/>
          <w:u w:val="single"/>
          <w:shd w:val="clear" w:color="FFFFFF" w:fill="D9D9D9"/>
          <w:lang w:val="en-US" w:eastAsia="zh-CN"/>
        </w:rPr>
        <w:t>其</w:t>
      </w:r>
      <w:r>
        <w:rPr>
          <w:rFonts w:hint="eastAsia" w:ascii="仿宋" w:hAnsi="仿宋" w:eastAsia="仿宋" w:cs="仿宋"/>
          <w:b/>
          <w:bCs/>
          <w:color w:val="auto"/>
          <w:kern w:val="0"/>
          <w:sz w:val="24"/>
          <w:szCs w:val="24"/>
          <w:highlight w:val="none"/>
          <w:u w:val="single"/>
          <w:shd w:val="clear" w:color="FFFFFF" w:fill="D9D9D9"/>
        </w:rPr>
        <w:t>他人员罚款</w:t>
      </w:r>
      <w:r>
        <w:rPr>
          <w:rFonts w:hint="eastAsia" w:ascii="仿宋" w:hAnsi="仿宋" w:eastAsia="仿宋" w:cs="仿宋"/>
          <w:b/>
          <w:bCs/>
          <w:color w:val="auto"/>
          <w:kern w:val="0"/>
          <w:sz w:val="24"/>
          <w:szCs w:val="24"/>
          <w:highlight w:val="none"/>
          <w:u w:val="single"/>
          <w:shd w:val="clear" w:color="FFFFFF" w:fill="D9D9D9"/>
          <w:lang w:val="en-US" w:eastAsia="zh-CN"/>
        </w:rPr>
        <w:t>壹</w:t>
      </w:r>
      <w:r>
        <w:rPr>
          <w:rFonts w:hint="eastAsia" w:ascii="仿宋" w:hAnsi="仿宋" w:eastAsia="仿宋" w:cs="仿宋"/>
          <w:b/>
          <w:bCs/>
          <w:color w:val="auto"/>
          <w:kern w:val="0"/>
          <w:sz w:val="24"/>
          <w:szCs w:val="24"/>
          <w:highlight w:val="none"/>
          <w:u w:val="single"/>
          <w:shd w:val="clear" w:color="FFFFFF" w:fill="D9D9D9"/>
        </w:rPr>
        <w:t>万元/人/次，</w:t>
      </w:r>
      <w:r>
        <w:rPr>
          <w:rFonts w:hint="eastAsia" w:ascii="仿宋" w:hAnsi="仿宋" w:eastAsia="仿宋" w:cs="仿宋"/>
          <w:b/>
          <w:bCs/>
          <w:color w:val="auto"/>
          <w:kern w:val="0"/>
          <w:sz w:val="24"/>
          <w:szCs w:val="24"/>
          <w:highlight w:val="none"/>
          <w:u w:val="single"/>
          <w:shd w:val="clear" w:color="FFFFFF" w:fill="D9D9D9"/>
          <w:lang w:val="en-US" w:eastAsia="zh-CN"/>
        </w:rPr>
        <w:t>承包人</w:t>
      </w:r>
      <w:r>
        <w:rPr>
          <w:rFonts w:hint="eastAsia" w:ascii="仿宋" w:hAnsi="仿宋" w:eastAsia="仿宋" w:cs="仿宋"/>
          <w:b/>
          <w:bCs/>
          <w:color w:val="auto"/>
          <w:kern w:val="0"/>
          <w:sz w:val="24"/>
          <w:szCs w:val="24"/>
          <w:highlight w:val="none"/>
          <w:u w:val="single"/>
          <w:shd w:val="clear" w:color="FFFFFF" w:fill="D9D9D9"/>
        </w:rPr>
        <w:t>不得未经</w:t>
      </w:r>
      <w:r>
        <w:rPr>
          <w:rFonts w:hint="eastAsia" w:ascii="仿宋" w:hAnsi="仿宋" w:eastAsia="仿宋" w:cs="仿宋"/>
          <w:b/>
          <w:bCs/>
          <w:color w:val="auto"/>
          <w:kern w:val="0"/>
          <w:sz w:val="24"/>
          <w:szCs w:val="24"/>
          <w:highlight w:val="none"/>
          <w:u w:val="single"/>
          <w:shd w:val="clear" w:color="FFFFFF" w:fill="D9D9D9"/>
          <w:lang w:val="en-US" w:eastAsia="zh-CN"/>
        </w:rPr>
        <w:t>发包人</w:t>
      </w:r>
      <w:r>
        <w:rPr>
          <w:rFonts w:hint="eastAsia" w:ascii="仿宋" w:hAnsi="仿宋" w:eastAsia="仿宋" w:cs="仿宋"/>
          <w:b/>
          <w:bCs/>
          <w:color w:val="auto"/>
          <w:kern w:val="0"/>
          <w:sz w:val="24"/>
          <w:szCs w:val="24"/>
          <w:highlight w:val="none"/>
          <w:u w:val="single"/>
          <w:shd w:val="clear" w:color="FFFFFF" w:fill="D9D9D9"/>
        </w:rPr>
        <w:t>同意擅自更换。中标人未按本条要求执行的，按项目负责人、项目技术负责人发现一人次罚款</w:t>
      </w:r>
      <w:r>
        <w:rPr>
          <w:rFonts w:hint="eastAsia" w:ascii="仿宋" w:hAnsi="仿宋" w:eastAsia="仿宋" w:cs="仿宋"/>
          <w:b/>
          <w:bCs/>
          <w:color w:val="auto"/>
          <w:kern w:val="0"/>
          <w:sz w:val="24"/>
          <w:szCs w:val="24"/>
          <w:highlight w:val="none"/>
          <w:u w:val="single"/>
          <w:shd w:val="clear" w:color="FFFFFF" w:fill="D9D9D9"/>
          <w:lang w:val="en-US" w:eastAsia="zh-CN"/>
        </w:rPr>
        <w:t>伍</w:t>
      </w:r>
      <w:r>
        <w:rPr>
          <w:rFonts w:hint="eastAsia" w:ascii="仿宋" w:hAnsi="仿宋" w:eastAsia="仿宋" w:cs="仿宋"/>
          <w:b/>
          <w:bCs/>
          <w:color w:val="auto"/>
          <w:kern w:val="0"/>
          <w:sz w:val="24"/>
          <w:szCs w:val="24"/>
          <w:highlight w:val="none"/>
          <w:u w:val="single"/>
          <w:shd w:val="clear" w:color="FFFFFF" w:fill="D9D9D9"/>
        </w:rPr>
        <w:t>万元，其他人员发现一人次罚款</w:t>
      </w:r>
      <w:r>
        <w:rPr>
          <w:rFonts w:hint="eastAsia" w:ascii="仿宋" w:hAnsi="仿宋" w:eastAsia="仿宋" w:cs="仿宋"/>
          <w:b/>
          <w:bCs/>
          <w:color w:val="auto"/>
          <w:kern w:val="0"/>
          <w:sz w:val="24"/>
          <w:szCs w:val="24"/>
          <w:highlight w:val="none"/>
          <w:u w:val="single"/>
          <w:shd w:val="clear" w:color="FFFFFF" w:fill="D9D9D9"/>
          <w:lang w:val="en-US" w:eastAsia="zh-CN"/>
        </w:rPr>
        <w:t>贰</w:t>
      </w:r>
      <w:r>
        <w:rPr>
          <w:rFonts w:hint="eastAsia" w:ascii="仿宋" w:hAnsi="仿宋" w:eastAsia="仿宋" w:cs="仿宋"/>
          <w:b/>
          <w:bCs/>
          <w:color w:val="auto"/>
          <w:kern w:val="0"/>
          <w:sz w:val="24"/>
          <w:szCs w:val="24"/>
          <w:highlight w:val="none"/>
          <w:u w:val="single"/>
          <w:shd w:val="clear" w:color="FFFFFF" w:fill="D9D9D9"/>
        </w:rPr>
        <w:t>万元且采购人有权终止合同。</w:t>
      </w:r>
    </w:p>
    <w:p w14:paraId="455F4E1F">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hint="eastAsia"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21.3.11</w:t>
      </w:r>
      <w:r>
        <w:rPr>
          <w:rFonts w:hint="eastAsia" w:ascii="仿宋" w:hAnsi="仿宋" w:eastAsia="仿宋" w:cs="仿宋"/>
          <w:b/>
          <w:bCs/>
          <w:color w:val="auto"/>
          <w:kern w:val="0"/>
          <w:sz w:val="24"/>
          <w:szCs w:val="24"/>
          <w:highlight w:val="none"/>
          <w:u w:val="single"/>
        </w:rPr>
        <w:t>承包人未在发包人要求时间内提交完整工程竣工资料的，按每延迟壹天</w:t>
      </w:r>
      <w:r>
        <w:rPr>
          <w:rFonts w:hint="eastAsia" w:ascii="仿宋" w:hAnsi="仿宋" w:eastAsia="仿宋" w:cs="仿宋"/>
          <w:b/>
          <w:bCs/>
          <w:color w:val="auto"/>
          <w:kern w:val="0"/>
          <w:sz w:val="24"/>
          <w:szCs w:val="24"/>
          <w:highlight w:val="none"/>
          <w:u w:val="single"/>
          <w:lang w:val="en-US" w:eastAsia="zh-CN"/>
        </w:rPr>
        <w:t>扣除</w:t>
      </w:r>
      <w:r>
        <w:rPr>
          <w:rFonts w:hint="eastAsia" w:ascii="仿宋" w:hAnsi="仿宋" w:eastAsia="仿宋" w:cs="仿宋"/>
          <w:b/>
          <w:bCs/>
          <w:color w:val="auto"/>
          <w:kern w:val="0"/>
          <w:sz w:val="24"/>
          <w:szCs w:val="24"/>
          <w:highlight w:val="none"/>
          <w:u w:val="single"/>
        </w:rPr>
        <w:t>1000元/天，不足一天的按一天计算。</w:t>
      </w:r>
    </w:p>
    <w:p w14:paraId="3C047D88">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hint="eastAsia"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21.3.12</w:t>
      </w:r>
      <w:r>
        <w:rPr>
          <w:rFonts w:hint="eastAsia" w:ascii="仿宋" w:hAnsi="仿宋" w:eastAsia="仿宋" w:cs="仿宋"/>
          <w:b/>
          <w:bCs/>
          <w:color w:val="auto"/>
          <w:kern w:val="0"/>
          <w:sz w:val="24"/>
          <w:szCs w:val="24"/>
          <w:highlight w:val="none"/>
          <w:u w:val="single"/>
        </w:rPr>
        <w:t>承包人与发包人工作人员串通、虚构事实或使用其他方式虚报签证工程量的，承包人应当返还因虚报所获得的工程款，并按虚报工程款的数额向发包人支付三倍价款的损失赔偿金。</w:t>
      </w:r>
    </w:p>
    <w:p w14:paraId="1B136D0B">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hint="eastAsia"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21.3.13</w:t>
      </w:r>
      <w:r>
        <w:rPr>
          <w:rFonts w:hint="eastAsia" w:ascii="仿宋" w:hAnsi="仿宋" w:eastAsia="仿宋" w:cs="仿宋"/>
          <w:b/>
          <w:bCs/>
          <w:color w:val="auto"/>
          <w:kern w:val="0"/>
          <w:sz w:val="24"/>
          <w:szCs w:val="24"/>
          <w:highlight w:val="none"/>
          <w:u w:val="single"/>
        </w:rPr>
        <w:t>承包人应安全文明施工，因承包人原因造成环境污染，承包人承担全部责任及一切费用，且由承包人按有关部门要求负责及时清理，每逾期一天按相应单项项目结算总价的1％</w:t>
      </w:r>
      <w:r>
        <w:rPr>
          <w:rFonts w:hint="eastAsia" w:ascii="仿宋" w:hAnsi="仿宋" w:eastAsia="仿宋" w:cs="仿宋"/>
          <w:b/>
          <w:bCs/>
          <w:color w:val="auto"/>
          <w:kern w:val="0"/>
          <w:sz w:val="24"/>
          <w:szCs w:val="24"/>
          <w:highlight w:val="none"/>
          <w:u w:val="single"/>
          <w:lang w:val="en-US" w:eastAsia="zh-CN"/>
        </w:rPr>
        <w:t>扣除</w:t>
      </w:r>
      <w:r>
        <w:rPr>
          <w:rFonts w:hint="eastAsia" w:ascii="仿宋" w:hAnsi="仿宋" w:eastAsia="仿宋" w:cs="仿宋"/>
          <w:b/>
          <w:bCs/>
          <w:color w:val="auto"/>
          <w:kern w:val="0"/>
          <w:sz w:val="24"/>
          <w:szCs w:val="24"/>
          <w:highlight w:val="none"/>
          <w:u w:val="single"/>
        </w:rPr>
        <w:t>，逾期超过7日，发包人有权</w:t>
      </w:r>
      <w:r>
        <w:rPr>
          <w:rFonts w:hint="eastAsia" w:ascii="仿宋" w:hAnsi="仿宋" w:eastAsia="仿宋" w:cs="仿宋"/>
          <w:b/>
          <w:bCs/>
          <w:color w:val="auto"/>
          <w:kern w:val="0"/>
          <w:sz w:val="24"/>
          <w:szCs w:val="24"/>
          <w:highlight w:val="none"/>
          <w:u w:val="single"/>
          <w:lang w:val="en-US" w:eastAsia="zh-CN"/>
        </w:rPr>
        <w:t>单方面</w:t>
      </w:r>
      <w:r>
        <w:rPr>
          <w:rFonts w:hint="eastAsia" w:ascii="仿宋" w:hAnsi="仿宋" w:eastAsia="仿宋" w:cs="仿宋"/>
          <w:b/>
          <w:bCs/>
          <w:color w:val="auto"/>
          <w:kern w:val="0"/>
          <w:sz w:val="24"/>
          <w:szCs w:val="24"/>
          <w:highlight w:val="none"/>
          <w:u w:val="single"/>
        </w:rPr>
        <w:t>解除本合同。</w:t>
      </w:r>
    </w:p>
    <w:p w14:paraId="240D0594">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hint="eastAsia" w:ascii="宋体" w:hAnsi="宋体" w:eastAsia="宋体" w:cs="Times New Roman"/>
          <w:color w:val="auto"/>
          <w:sz w:val="24"/>
          <w:szCs w:val="24"/>
          <w:highlight w:val="none"/>
          <w:shd w:val="clear" w:color="FFFFFF" w:fill="D9D9D9"/>
          <w:lang w:val="en-US" w:eastAsia="zh-CN"/>
        </w:rPr>
      </w:pPr>
      <w:r>
        <w:rPr>
          <w:rFonts w:hint="eastAsia" w:ascii="宋体" w:hAnsi="宋体" w:eastAsia="宋体" w:cs="Times New Roman"/>
          <w:color w:val="auto"/>
          <w:sz w:val="24"/>
          <w:szCs w:val="24"/>
          <w:highlight w:val="none"/>
          <w:shd w:val="clear" w:color="FFFFFF" w:fill="D9D9D9"/>
          <w:lang w:val="en-US" w:eastAsia="zh-CN"/>
        </w:rPr>
        <w:t>21.3.14</w:t>
      </w:r>
      <w:r>
        <w:rPr>
          <w:rFonts w:hint="eastAsia" w:ascii="仿宋" w:hAnsi="仿宋" w:eastAsia="仿宋" w:cs="仿宋"/>
          <w:b/>
          <w:bCs/>
          <w:color w:val="auto"/>
          <w:kern w:val="0"/>
          <w:sz w:val="24"/>
          <w:szCs w:val="24"/>
          <w:highlight w:val="none"/>
          <w:u w:val="single"/>
          <w:shd w:val="clear" w:color="FFFFFF" w:fill="D9D9D9"/>
          <w:lang w:val="en-US" w:eastAsia="zh-CN"/>
        </w:rPr>
        <w:t>发包人依据本合同约定行使解除权的，承包人应赔偿因此给发包人造成的各种损失。</w:t>
      </w:r>
    </w:p>
    <w:p w14:paraId="3D6EF0EE">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hint="eastAsia" w:ascii="宋体" w:hAnsi="宋体" w:eastAsia="宋体" w:cs="Times New Roman"/>
          <w:color w:val="auto"/>
          <w:sz w:val="24"/>
          <w:szCs w:val="24"/>
          <w:highlight w:val="none"/>
          <w:shd w:val="clear" w:color="FFFFFF" w:fill="D9D9D9"/>
          <w:lang w:val="en-US" w:eastAsia="zh-CN"/>
        </w:rPr>
      </w:pPr>
      <w:r>
        <w:rPr>
          <w:rFonts w:hint="eastAsia" w:ascii="宋体" w:hAnsi="宋体" w:eastAsia="宋体" w:cs="Times New Roman"/>
          <w:color w:val="auto"/>
          <w:sz w:val="24"/>
          <w:szCs w:val="24"/>
          <w:highlight w:val="none"/>
          <w:shd w:val="clear" w:color="FFFFFF" w:fill="D9D9D9"/>
          <w:lang w:val="en-US" w:eastAsia="zh-CN"/>
        </w:rPr>
        <w:t>21.3.15</w:t>
      </w:r>
      <w:r>
        <w:rPr>
          <w:rFonts w:hint="eastAsia" w:ascii="仿宋" w:hAnsi="仿宋" w:eastAsia="仿宋" w:cs="仿宋"/>
          <w:b/>
          <w:bCs/>
          <w:color w:val="auto"/>
          <w:kern w:val="0"/>
          <w:sz w:val="24"/>
          <w:szCs w:val="24"/>
          <w:highlight w:val="none"/>
          <w:u w:val="single"/>
          <w:shd w:val="clear" w:color="FFFFFF" w:fill="D9D9D9"/>
          <w:lang w:val="en-US" w:eastAsia="zh-CN"/>
        </w:rPr>
        <w:t>本合同及附件中提及的承包人应赔偿的各项损失范围包括但不限于发包人为维权支出的律师费、诉讼费、保全费、保全保险费、公证费、差旅费、评估费等。</w:t>
      </w:r>
    </w:p>
    <w:p w14:paraId="0DEAA029">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ascii="宋体" w:hAnsi="宋体"/>
          <w:color w:val="auto"/>
          <w:sz w:val="24"/>
          <w:szCs w:val="24"/>
          <w:highlight w:val="none"/>
        </w:rPr>
        <w:t>22</w:t>
      </w:r>
      <w:r>
        <w:rPr>
          <w:rFonts w:hint="eastAsia" w:ascii="宋体" w:hAnsi="宋体"/>
          <w:color w:val="auto"/>
          <w:sz w:val="24"/>
          <w:szCs w:val="24"/>
          <w:highlight w:val="none"/>
        </w:rPr>
        <w:t>、争议</w:t>
      </w:r>
    </w:p>
    <w:p w14:paraId="4FD599C8">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ascii="宋体" w:hAnsi="宋体"/>
          <w:color w:val="auto"/>
          <w:sz w:val="24"/>
          <w:szCs w:val="24"/>
          <w:highlight w:val="none"/>
        </w:rPr>
        <w:t>22.1</w:t>
      </w:r>
      <w:r>
        <w:rPr>
          <w:rFonts w:hint="eastAsia" w:ascii="宋体" w:hAnsi="宋体"/>
          <w:color w:val="auto"/>
          <w:sz w:val="24"/>
          <w:szCs w:val="24"/>
          <w:highlight w:val="none"/>
        </w:rPr>
        <w:t>本合同在履行过程中发生的争议时：</w:t>
      </w:r>
    </w:p>
    <w:p w14:paraId="1065410E">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u w:val="single"/>
        </w:rPr>
      </w:pPr>
      <w:r>
        <w:rPr>
          <w:rFonts w:hint="eastAsia" w:ascii="宋体" w:hAnsi="宋体"/>
          <w:color w:val="auto"/>
          <w:sz w:val="24"/>
          <w:szCs w:val="24"/>
          <w:highlight w:val="none"/>
        </w:rPr>
        <w:t>22.1.1因合同及合同有关事项发生的争议，双方应本着诚实信用原则，通过友好协商解决。经协商仍无法达成一致的，向</w:t>
      </w:r>
      <w:r>
        <w:rPr>
          <w:rFonts w:hint="eastAsia" w:ascii="仿宋" w:hAnsi="仿宋" w:eastAsia="仿宋" w:cs="仿宋"/>
          <w:b/>
          <w:bCs/>
          <w:color w:val="auto"/>
          <w:kern w:val="0"/>
          <w:sz w:val="24"/>
          <w:szCs w:val="24"/>
          <w:highlight w:val="none"/>
          <w:u w:val="single"/>
        </w:rPr>
        <w:t>工程所在地</w:t>
      </w:r>
      <w:r>
        <w:rPr>
          <w:rFonts w:hint="eastAsia" w:ascii="宋体" w:hAnsi="宋体"/>
          <w:color w:val="auto"/>
          <w:sz w:val="24"/>
          <w:szCs w:val="24"/>
          <w:highlight w:val="none"/>
        </w:rPr>
        <w:t>人民法院提起诉讼。</w:t>
      </w:r>
    </w:p>
    <w:p w14:paraId="0CA0831E">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hint="eastAsia" w:ascii="宋体" w:hAnsi="宋体"/>
          <w:color w:val="auto"/>
          <w:sz w:val="24"/>
          <w:szCs w:val="24"/>
          <w:highlight w:val="none"/>
        </w:rPr>
        <w:t>22.1.2在争议解决期间，合同中未涉及争议部分的条款仍须履行。</w:t>
      </w:r>
    </w:p>
    <w:p w14:paraId="5BF9F2E4">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ascii="宋体" w:hAnsi="宋体"/>
          <w:color w:val="auto"/>
          <w:sz w:val="24"/>
          <w:szCs w:val="24"/>
          <w:highlight w:val="none"/>
        </w:rPr>
        <w:t>23</w:t>
      </w:r>
      <w:r>
        <w:rPr>
          <w:rFonts w:hint="eastAsia" w:ascii="宋体" w:hAnsi="宋体"/>
          <w:color w:val="auto"/>
          <w:sz w:val="24"/>
          <w:szCs w:val="24"/>
          <w:highlight w:val="none"/>
        </w:rPr>
        <w:t>、保险</w:t>
      </w:r>
    </w:p>
    <w:p w14:paraId="7EB58F51">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hint="eastAsia" w:ascii="宋体" w:hAnsi="宋体"/>
          <w:color w:val="auto"/>
          <w:sz w:val="24"/>
          <w:szCs w:val="24"/>
          <w:highlight w:val="none"/>
        </w:rPr>
        <w:t>23.1本工程双方约定投保内容如下：</w:t>
      </w:r>
    </w:p>
    <w:p w14:paraId="7EE1848F">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bCs/>
          <w:color w:val="auto"/>
          <w:sz w:val="24"/>
          <w:szCs w:val="24"/>
          <w:highlight w:val="none"/>
          <w:u w:val="singl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）发包人投保内容：</w:t>
      </w:r>
      <w:r>
        <w:rPr>
          <w:rFonts w:ascii="宋体" w:hAnsi="宋体"/>
          <w:bCs/>
          <w:color w:val="auto"/>
          <w:sz w:val="24"/>
          <w:szCs w:val="24"/>
          <w:highlight w:val="none"/>
          <w:u w:val="single"/>
        </w:rPr>
        <w:t xml:space="preserve">   /   </w:t>
      </w:r>
      <w:r>
        <w:rPr>
          <w:rFonts w:hint="eastAsia" w:ascii="宋体" w:hAnsi="宋体"/>
          <w:bCs/>
          <w:color w:val="auto"/>
          <w:sz w:val="24"/>
          <w:szCs w:val="24"/>
          <w:highlight w:val="none"/>
        </w:rPr>
        <w:t>。</w:t>
      </w:r>
    </w:p>
    <w:p w14:paraId="14DF61CE">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）承包人投保内容：</w:t>
      </w:r>
      <w:r>
        <w:rPr>
          <w:rFonts w:hint="eastAsia" w:ascii="宋体" w:hAnsi="宋体"/>
          <w:bCs/>
          <w:color w:val="auto"/>
          <w:sz w:val="24"/>
          <w:szCs w:val="24"/>
          <w:highlight w:val="none"/>
          <w:u w:val="single"/>
        </w:rPr>
        <w:t xml:space="preserve">   /   </w:t>
      </w:r>
      <w:r>
        <w:rPr>
          <w:rFonts w:hint="eastAsia" w:ascii="宋体" w:hAnsi="宋体"/>
          <w:bCs/>
          <w:color w:val="auto"/>
          <w:sz w:val="24"/>
          <w:szCs w:val="24"/>
          <w:highlight w:val="none"/>
        </w:rPr>
        <w:t>。</w:t>
      </w:r>
    </w:p>
    <w:p w14:paraId="5884CB28">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color w:val="auto"/>
          <w:sz w:val="24"/>
          <w:szCs w:val="24"/>
          <w:highlight w:val="none"/>
        </w:rPr>
      </w:pPr>
      <w:r>
        <w:rPr>
          <w:rFonts w:ascii="宋体" w:hAnsi="宋体"/>
          <w:color w:val="auto"/>
          <w:sz w:val="24"/>
          <w:szCs w:val="24"/>
          <w:highlight w:val="none"/>
        </w:rPr>
        <w:t>24</w:t>
      </w:r>
      <w:r>
        <w:rPr>
          <w:rFonts w:hint="eastAsia" w:ascii="宋体" w:hAnsi="宋体"/>
          <w:color w:val="auto"/>
          <w:sz w:val="24"/>
          <w:szCs w:val="24"/>
          <w:highlight w:val="none"/>
        </w:rPr>
        <w:t>、合同份数</w:t>
      </w:r>
    </w:p>
    <w:p w14:paraId="5E6E93FC">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hint="eastAsia"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24.1双方约定合同份数：</w:t>
      </w:r>
      <w:r>
        <w:rPr>
          <w:rFonts w:hint="eastAsia" w:ascii="仿宋" w:hAnsi="仿宋" w:eastAsia="仿宋" w:cs="仿宋"/>
          <w:b/>
          <w:bCs/>
          <w:color w:val="auto"/>
          <w:kern w:val="0"/>
          <w:sz w:val="24"/>
          <w:szCs w:val="24"/>
          <w:highlight w:val="none"/>
          <w:u w:val="single"/>
        </w:rPr>
        <w:t>共捌份，其中正本贰份，副本陆份，具有同等法律效力，发包人执伍份，承包人执叁份。</w:t>
      </w:r>
    </w:p>
    <w:p w14:paraId="37590274">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hint="eastAsia" w:ascii="宋体" w:hAnsi="宋体"/>
          <w:color w:val="auto"/>
          <w:sz w:val="24"/>
          <w:szCs w:val="24"/>
          <w:highlight w:val="none"/>
        </w:rPr>
        <w:t>25、补充条款</w:t>
      </w:r>
    </w:p>
    <w:p w14:paraId="7955AF74">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u w:val="single"/>
        </w:rPr>
      </w:pPr>
      <w:r>
        <w:rPr>
          <w:rFonts w:hint="eastAsia" w:ascii="宋体" w:hAnsi="宋体"/>
          <w:color w:val="auto"/>
          <w:sz w:val="24"/>
          <w:szCs w:val="24"/>
          <w:highlight w:val="none"/>
        </w:rPr>
        <w:t>（1）</w:t>
      </w:r>
      <w:r>
        <w:rPr>
          <w:rFonts w:hint="eastAsia" w:ascii="仿宋" w:hAnsi="仿宋" w:eastAsia="仿宋" w:cs="仿宋"/>
          <w:b/>
          <w:bCs/>
          <w:color w:val="auto"/>
          <w:kern w:val="0"/>
          <w:sz w:val="24"/>
          <w:szCs w:val="24"/>
          <w:highlight w:val="none"/>
          <w:u w:val="single"/>
        </w:rPr>
        <w:t>由于承包人原因而引起的额外增加的工作量和附加工作报酬,由发包人从承包人应得的工程款中扣除。</w:t>
      </w:r>
    </w:p>
    <w:p w14:paraId="5B909FFA">
      <w:pPr>
        <w:keepNext w:val="0"/>
        <w:keepLines w:val="0"/>
        <w:pageBreakBefore w:val="0"/>
        <w:widowControl w:val="0"/>
        <w:kinsoku/>
        <w:wordWrap/>
        <w:overflowPunct/>
        <w:topLinePunct w:val="0"/>
        <w:autoSpaceDE/>
        <w:autoSpaceDN/>
        <w:bidi w:val="0"/>
        <w:adjustRightInd w:val="0"/>
        <w:snapToGrid/>
        <w:spacing w:line="480" w:lineRule="exact"/>
        <w:ind w:firstLine="540" w:firstLineChars="225"/>
        <w:textAlignment w:val="auto"/>
        <w:rPr>
          <w:rFonts w:hint="eastAsia" w:ascii="仿宋" w:hAnsi="仿宋" w:eastAsia="仿宋" w:cs="仿宋"/>
          <w:b/>
          <w:bCs/>
          <w:color w:val="auto"/>
          <w:kern w:val="0"/>
          <w:sz w:val="24"/>
          <w:szCs w:val="24"/>
          <w:highlight w:val="none"/>
          <w:u w:val="single"/>
        </w:rPr>
      </w:pPr>
      <w:r>
        <w:rPr>
          <w:rFonts w:hint="eastAsia" w:ascii="宋体" w:hAnsi="宋体"/>
          <w:color w:val="auto"/>
          <w:sz w:val="24"/>
          <w:szCs w:val="24"/>
          <w:highlight w:val="none"/>
        </w:rPr>
        <w:t>（2）</w:t>
      </w:r>
      <w:r>
        <w:rPr>
          <w:rFonts w:hint="eastAsia" w:ascii="仿宋" w:hAnsi="仿宋" w:eastAsia="仿宋" w:cs="仿宋"/>
          <w:b/>
          <w:bCs/>
          <w:color w:val="auto"/>
          <w:kern w:val="0"/>
          <w:sz w:val="24"/>
          <w:szCs w:val="24"/>
          <w:highlight w:val="none"/>
          <w:u w:val="single"/>
        </w:rPr>
        <w:t>承包人承诺在本工程施工过程中，保证做到文明、安全施工，并遵守南通市建筑安全生产监督站关于印发《南通市区市政工程施工现场安全检查评分暂行标准》的通知（通建安监[2004]12号）。</w:t>
      </w:r>
    </w:p>
    <w:p w14:paraId="0FB43FDB">
      <w:pPr>
        <w:keepNext w:val="0"/>
        <w:keepLines w:val="0"/>
        <w:pageBreakBefore w:val="0"/>
        <w:widowControl w:val="0"/>
        <w:tabs>
          <w:tab w:val="left" w:pos="360"/>
        </w:tabs>
        <w:kinsoku/>
        <w:wordWrap/>
        <w:overflowPunct/>
        <w:topLinePunct w:val="0"/>
        <w:autoSpaceDE/>
        <w:autoSpaceDN/>
        <w:bidi w:val="0"/>
        <w:adjustRightInd w:val="0"/>
        <w:snapToGrid/>
        <w:spacing w:line="480" w:lineRule="exact"/>
        <w:ind w:firstLine="540" w:firstLineChars="225"/>
        <w:textAlignment w:val="auto"/>
        <w:rPr>
          <w:rFonts w:ascii="宋体" w:hAnsi="宋体"/>
          <w:color w:val="auto"/>
          <w:sz w:val="24"/>
          <w:szCs w:val="24"/>
          <w:highlight w:val="none"/>
        </w:rPr>
      </w:pPr>
      <w:r>
        <w:rPr>
          <w:rFonts w:hint="eastAsia" w:ascii="宋体" w:hAnsi="宋体"/>
          <w:color w:val="auto"/>
          <w:sz w:val="24"/>
          <w:szCs w:val="24"/>
          <w:highlight w:val="none"/>
        </w:rPr>
        <w:t>26、本合同未尽事宜，最终解释权归发包人所有。</w:t>
      </w:r>
    </w:p>
    <w:p w14:paraId="2CB2F13A">
      <w:pPr>
        <w:adjustRightInd w:val="0"/>
        <w:snapToGrid w:val="0"/>
        <w:spacing w:line="360" w:lineRule="exact"/>
        <w:ind w:firstLine="420" w:firstLineChars="200"/>
        <w:rPr>
          <w:rFonts w:hint="eastAsia" w:ascii="宋体" w:hAnsi="宋体"/>
          <w:color w:val="auto"/>
          <w:szCs w:val="21"/>
          <w:highlight w:val="none"/>
        </w:rPr>
      </w:pPr>
    </w:p>
    <w:p w14:paraId="16CEAFE4">
      <w:pPr>
        <w:adjustRightInd w:val="0"/>
        <w:snapToGrid w:val="0"/>
        <w:spacing w:line="360" w:lineRule="exact"/>
        <w:ind w:firstLine="420" w:firstLineChars="200"/>
        <w:rPr>
          <w:rFonts w:hint="default" w:ascii="宋体" w:hAnsi="宋体" w:eastAsia="宋体"/>
          <w:color w:val="auto"/>
          <w:szCs w:val="21"/>
          <w:highlight w:val="none"/>
          <w:lang w:val="en-US" w:eastAsia="zh-CN"/>
        </w:rPr>
      </w:pPr>
      <w:r>
        <w:rPr>
          <w:rFonts w:hint="eastAsia" w:ascii="宋体" w:hAnsi="宋体"/>
          <w:color w:val="auto"/>
          <w:szCs w:val="21"/>
          <w:highlight w:val="none"/>
        </w:rPr>
        <w:t>附件</w:t>
      </w:r>
      <w:r>
        <w:rPr>
          <w:rFonts w:ascii="宋体" w:hAnsi="宋体"/>
          <w:color w:val="auto"/>
          <w:szCs w:val="21"/>
          <w:highlight w:val="none"/>
        </w:rPr>
        <w:t>1</w:t>
      </w:r>
      <w:r>
        <w:rPr>
          <w:rFonts w:hint="eastAsia" w:ascii="宋体" w:hAnsi="宋体"/>
          <w:color w:val="auto"/>
          <w:szCs w:val="21"/>
          <w:highlight w:val="none"/>
        </w:rPr>
        <w:t>：</w:t>
      </w:r>
      <w:r>
        <w:rPr>
          <w:rFonts w:hint="eastAsia" w:ascii="宋体" w:hAnsi="宋体"/>
          <w:color w:val="auto"/>
          <w:szCs w:val="21"/>
          <w:highlight w:val="none"/>
          <w:lang w:val="en-US" w:eastAsia="zh-CN"/>
        </w:rPr>
        <w:t>技术指标</w:t>
      </w:r>
    </w:p>
    <w:p w14:paraId="6168DD2D">
      <w:pPr>
        <w:adjustRightInd w:val="0"/>
        <w:snapToGrid w:val="0"/>
        <w:spacing w:line="360" w:lineRule="exact"/>
        <w:ind w:firstLine="420" w:firstLineChars="200"/>
        <w:rPr>
          <w:rFonts w:ascii="宋体"/>
          <w:color w:val="auto"/>
          <w:szCs w:val="21"/>
          <w:highlight w:val="none"/>
          <w:u w:val="single"/>
        </w:rPr>
      </w:pPr>
      <w:r>
        <w:rPr>
          <w:rFonts w:hint="eastAsia" w:ascii="宋体" w:hAnsi="宋体"/>
          <w:color w:val="auto"/>
          <w:szCs w:val="21"/>
          <w:highlight w:val="none"/>
          <w:lang w:val="en-US" w:eastAsia="zh-CN"/>
        </w:rPr>
        <w:t>附件2：</w:t>
      </w:r>
      <w:r>
        <w:rPr>
          <w:rFonts w:hint="eastAsia" w:ascii="宋体" w:hAnsi="宋体"/>
          <w:color w:val="auto"/>
          <w:szCs w:val="21"/>
          <w:highlight w:val="none"/>
        </w:rPr>
        <w:t>建设工程廉政责任书</w:t>
      </w:r>
    </w:p>
    <w:p w14:paraId="66ADA18A">
      <w:pPr>
        <w:adjustRightInd w:val="0"/>
        <w:snapToGrid w:val="0"/>
        <w:spacing w:line="360" w:lineRule="exact"/>
        <w:ind w:firstLine="420" w:firstLineChars="200"/>
        <w:rPr>
          <w:rFonts w:ascii="宋体" w:hAnsi="宋体"/>
          <w:color w:val="auto"/>
          <w:szCs w:val="21"/>
          <w:highlight w:val="none"/>
        </w:rPr>
      </w:pPr>
      <w:r>
        <w:rPr>
          <w:rFonts w:hint="eastAsia" w:ascii="宋体" w:hAnsi="宋体"/>
          <w:color w:val="auto"/>
          <w:szCs w:val="21"/>
          <w:highlight w:val="none"/>
        </w:rPr>
        <w:t>附件</w:t>
      </w:r>
      <w:r>
        <w:rPr>
          <w:rFonts w:hint="eastAsia" w:ascii="宋体" w:hAnsi="宋体"/>
          <w:color w:val="auto"/>
          <w:szCs w:val="21"/>
          <w:highlight w:val="none"/>
          <w:lang w:val="en-US" w:eastAsia="zh-CN"/>
        </w:rPr>
        <w:t>3</w:t>
      </w:r>
      <w:r>
        <w:rPr>
          <w:rFonts w:hint="eastAsia" w:ascii="宋体" w:hAnsi="宋体"/>
          <w:color w:val="auto"/>
          <w:szCs w:val="21"/>
          <w:highlight w:val="none"/>
        </w:rPr>
        <w:t>：施工安全生产协议书</w:t>
      </w:r>
    </w:p>
    <w:p w14:paraId="11D51A01">
      <w:pPr>
        <w:adjustRightInd w:val="0"/>
        <w:snapToGrid w:val="0"/>
        <w:spacing w:line="360" w:lineRule="exact"/>
        <w:ind w:firstLine="420" w:firstLineChars="200"/>
        <w:rPr>
          <w:rFonts w:hint="eastAsia" w:ascii="宋体" w:hAnsi="宋体"/>
          <w:color w:val="auto"/>
          <w:szCs w:val="21"/>
          <w:highlight w:val="none"/>
        </w:rPr>
      </w:pPr>
      <w:r>
        <w:rPr>
          <w:rFonts w:hint="eastAsia" w:ascii="宋体" w:hAnsi="宋体"/>
          <w:color w:val="auto"/>
          <w:szCs w:val="21"/>
          <w:highlight w:val="none"/>
        </w:rPr>
        <w:t>附件</w:t>
      </w:r>
      <w:r>
        <w:rPr>
          <w:rFonts w:hint="eastAsia" w:ascii="宋体" w:hAnsi="宋体"/>
          <w:color w:val="auto"/>
          <w:szCs w:val="21"/>
          <w:highlight w:val="none"/>
          <w:lang w:val="en-US" w:eastAsia="zh-CN"/>
        </w:rPr>
        <w:t>4</w:t>
      </w:r>
      <w:r>
        <w:rPr>
          <w:rFonts w:hint="eastAsia" w:ascii="宋体" w:hAnsi="宋体"/>
          <w:color w:val="auto"/>
          <w:szCs w:val="21"/>
          <w:highlight w:val="none"/>
        </w:rPr>
        <w:t>：工程质量保修书</w:t>
      </w:r>
    </w:p>
    <w:p w14:paraId="6F80ED38">
      <w:pPr>
        <w:adjustRightInd w:val="0"/>
        <w:snapToGrid w:val="0"/>
        <w:spacing w:line="360" w:lineRule="exact"/>
        <w:ind w:firstLine="420" w:firstLineChars="200"/>
        <w:rPr>
          <w:rFonts w:hint="default" w:eastAsia="宋体"/>
          <w:color w:val="auto"/>
          <w:highlight w:val="none"/>
          <w:lang w:val="en-US" w:eastAsia="zh-CN"/>
        </w:rPr>
      </w:pPr>
      <w:r>
        <w:rPr>
          <w:rFonts w:hint="eastAsia" w:hAnsi="宋体"/>
          <w:color w:val="auto"/>
          <w:sz w:val="21"/>
          <w:szCs w:val="21"/>
          <w:highlight w:val="none"/>
          <w:lang w:val="en-US" w:eastAsia="zh-CN"/>
        </w:rPr>
        <w:t>附件5：履约考核要求</w:t>
      </w:r>
    </w:p>
    <w:p w14:paraId="36D71F14">
      <w:pPr>
        <w:pStyle w:val="21"/>
        <w:tabs>
          <w:tab w:val="left" w:pos="2020"/>
          <w:tab w:val="center" w:pos="4535"/>
        </w:tabs>
        <w:rPr>
          <w:color w:val="auto"/>
          <w:highlight w:val="none"/>
        </w:rPr>
      </w:pPr>
    </w:p>
    <w:tbl>
      <w:tblPr>
        <w:tblStyle w:val="23"/>
        <w:tblW w:w="8738" w:type="dxa"/>
        <w:jc w:val="center"/>
        <w:tblLayout w:type="fixed"/>
        <w:tblCellMar>
          <w:top w:w="0" w:type="dxa"/>
          <w:left w:w="108" w:type="dxa"/>
          <w:bottom w:w="0" w:type="dxa"/>
          <w:right w:w="108" w:type="dxa"/>
        </w:tblCellMar>
      </w:tblPr>
      <w:tblGrid>
        <w:gridCol w:w="4620"/>
        <w:gridCol w:w="4118"/>
      </w:tblGrid>
      <w:tr w14:paraId="5C35F12D">
        <w:tblPrEx>
          <w:tblCellMar>
            <w:top w:w="0" w:type="dxa"/>
            <w:left w:w="108" w:type="dxa"/>
            <w:bottom w:w="0" w:type="dxa"/>
            <w:right w:w="108" w:type="dxa"/>
          </w:tblCellMar>
        </w:tblPrEx>
        <w:trPr>
          <w:trHeight w:val="460" w:hRule="atLeast"/>
          <w:jc w:val="center"/>
        </w:trPr>
        <w:tc>
          <w:tcPr>
            <w:tcW w:w="4620" w:type="dxa"/>
            <w:noWrap/>
            <w:vAlign w:val="top"/>
          </w:tcPr>
          <w:p w14:paraId="68B2E845">
            <w:pPr>
              <w:tabs>
                <w:tab w:val="left" w:pos="360"/>
              </w:tabs>
              <w:spacing w:line="440" w:lineRule="exact"/>
              <w:rPr>
                <w:rFonts w:ascii="宋体" w:hAnsi="宋体"/>
                <w:color w:val="auto"/>
                <w:szCs w:val="21"/>
                <w:highlight w:val="none"/>
              </w:rPr>
            </w:pPr>
            <w:r>
              <w:rPr>
                <w:rFonts w:hint="eastAsia" w:ascii="宋体" w:hAnsi="宋体"/>
                <w:color w:val="auto"/>
                <w:szCs w:val="21"/>
                <w:highlight w:val="none"/>
              </w:rPr>
              <w:t>发包人：(公章)</w:t>
            </w:r>
          </w:p>
        </w:tc>
        <w:tc>
          <w:tcPr>
            <w:tcW w:w="4118" w:type="dxa"/>
            <w:noWrap/>
            <w:vAlign w:val="top"/>
          </w:tcPr>
          <w:p w14:paraId="2F36A678">
            <w:pPr>
              <w:tabs>
                <w:tab w:val="left" w:pos="360"/>
              </w:tabs>
              <w:spacing w:line="440" w:lineRule="exact"/>
              <w:rPr>
                <w:rFonts w:ascii="宋体" w:hAnsi="宋体"/>
                <w:color w:val="auto"/>
                <w:szCs w:val="21"/>
                <w:highlight w:val="none"/>
              </w:rPr>
            </w:pPr>
            <w:r>
              <w:rPr>
                <w:rFonts w:hint="eastAsia" w:ascii="宋体" w:hAnsi="宋体"/>
                <w:color w:val="auto"/>
                <w:szCs w:val="21"/>
                <w:highlight w:val="none"/>
              </w:rPr>
              <w:t>承包人：(公章)</w:t>
            </w:r>
          </w:p>
        </w:tc>
      </w:tr>
      <w:tr w14:paraId="68D7F012">
        <w:tblPrEx>
          <w:tblCellMar>
            <w:top w:w="0" w:type="dxa"/>
            <w:left w:w="108" w:type="dxa"/>
            <w:bottom w:w="0" w:type="dxa"/>
            <w:right w:w="108" w:type="dxa"/>
          </w:tblCellMar>
        </w:tblPrEx>
        <w:trPr>
          <w:trHeight w:val="460" w:hRule="atLeast"/>
          <w:jc w:val="center"/>
        </w:trPr>
        <w:tc>
          <w:tcPr>
            <w:tcW w:w="4620" w:type="dxa"/>
            <w:noWrap/>
            <w:vAlign w:val="top"/>
          </w:tcPr>
          <w:p w14:paraId="7FFC776A">
            <w:pPr>
              <w:tabs>
                <w:tab w:val="left" w:pos="360"/>
              </w:tabs>
              <w:snapToGrid w:val="0"/>
              <w:spacing w:line="440" w:lineRule="exact"/>
              <w:rPr>
                <w:rFonts w:ascii="宋体" w:hAnsi="宋体"/>
                <w:color w:val="auto"/>
                <w:szCs w:val="21"/>
                <w:highlight w:val="none"/>
              </w:rPr>
            </w:pPr>
            <w:r>
              <w:rPr>
                <w:rFonts w:hint="eastAsia" w:ascii="宋体" w:hAnsi="宋体"/>
                <w:color w:val="auto"/>
                <w:szCs w:val="21"/>
                <w:highlight w:val="none"/>
              </w:rPr>
              <w:t>法定代表人：（签章）</w:t>
            </w:r>
          </w:p>
        </w:tc>
        <w:tc>
          <w:tcPr>
            <w:tcW w:w="4118" w:type="dxa"/>
            <w:noWrap/>
            <w:vAlign w:val="top"/>
          </w:tcPr>
          <w:p w14:paraId="73158C4D">
            <w:pPr>
              <w:tabs>
                <w:tab w:val="left" w:pos="360"/>
              </w:tabs>
              <w:snapToGrid w:val="0"/>
              <w:spacing w:line="440" w:lineRule="exact"/>
              <w:rPr>
                <w:rFonts w:ascii="宋体" w:hAnsi="宋体"/>
                <w:color w:val="auto"/>
                <w:szCs w:val="21"/>
                <w:highlight w:val="none"/>
              </w:rPr>
            </w:pPr>
            <w:r>
              <w:rPr>
                <w:rFonts w:hint="eastAsia" w:ascii="宋体" w:hAnsi="宋体"/>
                <w:color w:val="auto"/>
                <w:szCs w:val="21"/>
                <w:highlight w:val="none"/>
              </w:rPr>
              <w:t>法定代表人：（签章）</w:t>
            </w:r>
          </w:p>
        </w:tc>
      </w:tr>
      <w:tr w14:paraId="2A74E405">
        <w:tblPrEx>
          <w:tblCellMar>
            <w:top w:w="0" w:type="dxa"/>
            <w:left w:w="108" w:type="dxa"/>
            <w:bottom w:w="0" w:type="dxa"/>
            <w:right w:w="108" w:type="dxa"/>
          </w:tblCellMar>
        </w:tblPrEx>
        <w:trPr>
          <w:trHeight w:val="460" w:hRule="atLeast"/>
          <w:jc w:val="center"/>
        </w:trPr>
        <w:tc>
          <w:tcPr>
            <w:tcW w:w="4620" w:type="dxa"/>
            <w:noWrap/>
            <w:vAlign w:val="top"/>
          </w:tcPr>
          <w:p w14:paraId="6651DD80">
            <w:pPr>
              <w:tabs>
                <w:tab w:val="left" w:pos="360"/>
              </w:tabs>
              <w:snapToGrid w:val="0"/>
              <w:spacing w:line="44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日期：</w:t>
            </w:r>
          </w:p>
        </w:tc>
        <w:tc>
          <w:tcPr>
            <w:tcW w:w="4118" w:type="dxa"/>
            <w:noWrap/>
            <w:vAlign w:val="top"/>
          </w:tcPr>
          <w:p w14:paraId="6591ED6B">
            <w:pPr>
              <w:tabs>
                <w:tab w:val="left" w:pos="360"/>
              </w:tabs>
              <w:snapToGrid w:val="0"/>
              <w:spacing w:line="44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日期：</w:t>
            </w:r>
          </w:p>
        </w:tc>
      </w:tr>
    </w:tbl>
    <w:p w14:paraId="530BE834">
      <w:pPr>
        <w:spacing w:after="120" w:line="360" w:lineRule="exact"/>
        <w:ind w:left="420" w:leftChars="200" w:firstLine="420" w:firstLineChars="200"/>
        <w:rPr>
          <w:color w:val="auto"/>
          <w:szCs w:val="21"/>
          <w:highlight w:val="none"/>
        </w:rPr>
      </w:pPr>
    </w:p>
    <w:p w14:paraId="350BADAA">
      <w:pPr>
        <w:rPr>
          <w:rFonts w:hint="eastAsia" w:ascii="宋体" w:hAnsi="宋体"/>
          <w:color w:val="auto"/>
          <w:sz w:val="24"/>
          <w:highlight w:val="none"/>
        </w:rPr>
      </w:pPr>
      <w:r>
        <w:rPr>
          <w:rFonts w:ascii="宋体"/>
          <w:color w:val="auto"/>
          <w:sz w:val="24"/>
          <w:highlight w:val="none"/>
        </w:rPr>
        <w:br w:type="column"/>
      </w:r>
      <w:r>
        <w:rPr>
          <w:rFonts w:hint="eastAsia" w:ascii="宋体" w:hAnsi="宋体"/>
          <w:color w:val="auto"/>
          <w:sz w:val="24"/>
          <w:highlight w:val="none"/>
        </w:rPr>
        <w:t>附件</w:t>
      </w:r>
      <w:r>
        <w:rPr>
          <w:rFonts w:ascii="宋体" w:hAnsi="宋体"/>
          <w:color w:val="auto"/>
          <w:sz w:val="24"/>
          <w:highlight w:val="none"/>
        </w:rPr>
        <w:t>1</w:t>
      </w:r>
      <w:r>
        <w:rPr>
          <w:rFonts w:hint="eastAsia" w:ascii="宋体" w:hAnsi="宋体"/>
          <w:color w:val="auto"/>
          <w:sz w:val="24"/>
          <w:highlight w:val="none"/>
        </w:rPr>
        <w:t>：</w:t>
      </w:r>
    </w:p>
    <w:p w14:paraId="6A059388">
      <w:pPr>
        <w:adjustRightInd w:val="0"/>
        <w:snapToGrid w:val="0"/>
        <w:spacing w:line="360" w:lineRule="auto"/>
        <w:ind w:firstLine="562" w:firstLineChars="200"/>
        <w:jc w:val="center"/>
        <w:rPr>
          <w:rFonts w:hint="default" w:ascii="宋体" w:hAnsi="宋体" w:eastAsia="宋体" w:cs="宋体"/>
          <w:color w:val="auto"/>
          <w:sz w:val="24"/>
          <w:szCs w:val="24"/>
          <w:highlight w:val="none"/>
          <w:lang w:val="en-US"/>
        </w:rPr>
      </w:pPr>
      <w:bookmarkStart w:id="120" w:name="_Toc37752329"/>
      <w:bookmarkStart w:id="121" w:name="_Toc41913713"/>
      <w:bookmarkStart w:id="122" w:name="_Toc420493849"/>
      <w:bookmarkStart w:id="123" w:name="_Toc19892595"/>
      <w:bookmarkStart w:id="124" w:name="_Toc23950412"/>
      <w:r>
        <w:rPr>
          <w:rFonts w:hint="eastAsia"/>
          <w:b/>
          <w:bCs/>
          <w:color w:val="auto"/>
          <w:kern w:val="0"/>
          <w:sz w:val="28"/>
          <w:szCs w:val="28"/>
          <w:highlight w:val="none"/>
          <w:lang w:val="en-US" w:eastAsia="zh-CN"/>
        </w:rPr>
        <w:t>技术指标</w:t>
      </w:r>
    </w:p>
    <w:p w14:paraId="65AD4DC1">
      <w:pPr>
        <w:keepNext/>
        <w:keepLines/>
        <w:snapToGrid w:val="0"/>
        <w:jc w:val="left"/>
        <w:outlineLvl w:val="2"/>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附件2：</w:t>
      </w:r>
    </w:p>
    <w:p w14:paraId="3D99E406">
      <w:pPr>
        <w:keepNext/>
        <w:keepLines/>
        <w:snapToGrid w:val="0"/>
        <w:ind w:firstLine="147"/>
        <w:jc w:val="center"/>
        <w:outlineLvl w:val="2"/>
        <w:rPr>
          <w:b/>
          <w:bCs/>
          <w:color w:val="auto"/>
          <w:kern w:val="0"/>
          <w:sz w:val="28"/>
          <w:szCs w:val="28"/>
          <w:highlight w:val="none"/>
        </w:rPr>
      </w:pPr>
      <w:r>
        <w:rPr>
          <w:rFonts w:hint="eastAsia"/>
          <w:b/>
          <w:bCs/>
          <w:color w:val="auto"/>
          <w:kern w:val="0"/>
          <w:sz w:val="28"/>
          <w:szCs w:val="28"/>
          <w:highlight w:val="none"/>
        </w:rPr>
        <w:t>建设工程廉政责任书</w:t>
      </w:r>
      <w:bookmarkEnd w:id="120"/>
      <w:bookmarkEnd w:id="121"/>
      <w:bookmarkEnd w:id="122"/>
      <w:bookmarkEnd w:id="123"/>
      <w:bookmarkEnd w:id="124"/>
    </w:p>
    <w:p w14:paraId="720454BF">
      <w:pPr>
        <w:snapToGrid w:val="0"/>
        <w:spacing w:line="360" w:lineRule="auto"/>
        <w:ind w:firstLine="420"/>
        <w:rPr>
          <w:rFonts w:ascii="宋体"/>
          <w:color w:val="auto"/>
          <w:szCs w:val="21"/>
          <w:highlight w:val="none"/>
        </w:rPr>
      </w:pPr>
      <w:r>
        <w:rPr>
          <w:rFonts w:hint="eastAsia" w:ascii="宋体" w:hAnsi="宋体"/>
          <w:color w:val="auto"/>
          <w:szCs w:val="21"/>
          <w:highlight w:val="none"/>
        </w:rPr>
        <w:t>发包人：</w:t>
      </w:r>
      <w:r>
        <w:rPr>
          <w:rFonts w:hint="eastAsia" w:ascii="仿宋" w:hAnsi="仿宋" w:eastAsia="仿宋" w:cs="仿宋"/>
          <w:b/>
          <w:bCs/>
          <w:color w:val="auto"/>
          <w:kern w:val="0"/>
          <w:szCs w:val="21"/>
          <w:highlight w:val="none"/>
          <w:u w:val="single"/>
        </w:rPr>
        <w:t>南通市市政设施管理处</w:t>
      </w:r>
    </w:p>
    <w:p w14:paraId="0CF16EE0">
      <w:pPr>
        <w:snapToGrid w:val="0"/>
        <w:spacing w:line="360" w:lineRule="auto"/>
        <w:ind w:firstLine="420"/>
        <w:rPr>
          <w:rFonts w:hint="eastAsia" w:ascii="宋体" w:eastAsia="宋体"/>
          <w:color w:val="auto"/>
          <w:szCs w:val="21"/>
          <w:highlight w:val="none"/>
          <w:u w:val="single"/>
          <w:lang w:eastAsia="zh-CN"/>
        </w:rPr>
      </w:pPr>
      <w:r>
        <w:rPr>
          <w:rFonts w:hint="eastAsia" w:ascii="宋体" w:hAnsi="宋体"/>
          <w:color w:val="auto"/>
          <w:szCs w:val="21"/>
          <w:highlight w:val="none"/>
        </w:rPr>
        <w:t>承包人：</w:t>
      </w:r>
      <w:r>
        <w:rPr>
          <w:rFonts w:hint="eastAsia" w:ascii="仿宋" w:hAnsi="仿宋" w:eastAsia="仿宋" w:cs="仿宋"/>
          <w:b/>
          <w:bCs/>
          <w:color w:val="auto"/>
          <w:kern w:val="0"/>
          <w:sz w:val="21"/>
          <w:szCs w:val="21"/>
          <w:highlight w:val="none"/>
          <w:u w:val="single"/>
          <w:lang w:val="en-US" w:eastAsia="zh-CN"/>
        </w:rPr>
        <w:t>成交单位</w:t>
      </w:r>
    </w:p>
    <w:p w14:paraId="4C2D8EDE">
      <w:pPr>
        <w:snapToGrid w:val="0"/>
        <w:spacing w:line="360" w:lineRule="auto"/>
        <w:ind w:firstLine="420" w:firstLineChars="200"/>
        <w:rPr>
          <w:rFonts w:ascii="宋体"/>
          <w:color w:val="auto"/>
          <w:szCs w:val="21"/>
          <w:highlight w:val="none"/>
        </w:rPr>
      </w:pPr>
      <w:r>
        <w:rPr>
          <w:rFonts w:hint="eastAsia" w:ascii="宋体" w:hAnsi="宋体"/>
          <w:color w:val="auto"/>
          <w:szCs w:val="21"/>
          <w:highlight w:val="none"/>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5EABAB49">
      <w:pPr>
        <w:snapToGrid w:val="0"/>
        <w:spacing w:line="360" w:lineRule="auto"/>
        <w:ind w:firstLine="420" w:firstLineChars="200"/>
        <w:rPr>
          <w:rFonts w:ascii="宋体"/>
          <w:color w:val="auto"/>
          <w:szCs w:val="21"/>
          <w:highlight w:val="none"/>
        </w:rPr>
      </w:pPr>
      <w:r>
        <w:rPr>
          <w:rFonts w:hint="eastAsia" w:ascii="宋体" w:hAnsi="宋体"/>
          <w:color w:val="auto"/>
          <w:szCs w:val="21"/>
          <w:highlight w:val="none"/>
        </w:rPr>
        <w:t>一、双方的责任</w:t>
      </w:r>
    </w:p>
    <w:p w14:paraId="6375DB43">
      <w:pPr>
        <w:snapToGrid w:val="0"/>
        <w:spacing w:line="360" w:lineRule="auto"/>
        <w:ind w:firstLine="420" w:firstLineChars="200"/>
        <w:rPr>
          <w:rFonts w:ascii="宋体"/>
          <w:color w:val="auto"/>
          <w:szCs w:val="21"/>
          <w:highlight w:val="none"/>
        </w:rPr>
      </w:pPr>
      <w:r>
        <w:rPr>
          <w:rFonts w:ascii="宋体" w:hAnsi="宋体"/>
          <w:color w:val="auto"/>
          <w:szCs w:val="21"/>
          <w:highlight w:val="none"/>
        </w:rPr>
        <w:t>1.1</w:t>
      </w:r>
      <w:r>
        <w:rPr>
          <w:rFonts w:hint="eastAsia" w:ascii="宋体" w:hAnsi="宋体"/>
          <w:color w:val="auto"/>
          <w:szCs w:val="21"/>
          <w:highlight w:val="none"/>
        </w:rPr>
        <w:t>应严格遵守国家关于建设工程的有关法律、法规，相关政策，以及廉政建设的各项规定。</w:t>
      </w:r>
    </w:p>
    <w:p w14:paraId="2B3F5BE5">
      <w:pPr>
        <w:snapToGrid w:val="0"/>
        <w:spacing w:line="360" w:lineRule="auto"/>
        <w:ind w:firstLine="420" w:firstLineChars="200"/>
        <w:rPr>
          <w:rFonts w:ascii="宋体"/>
          <w:color w:val="auto"/>
          <w:szCs w:val="21"/>
          <w:highlight w:val="none"/>
        </w:rPr>
      </w:pPr>
      <w:r>
        <w:rPr>
          <w:rFonts w:ascii="宋体" w:hAnsi="宋体"/>
          <w:color w:val="auto"/>
          <w:szCs w:val="21"/>
          <w:highlight w:val="none"/>
        </w:rPr>
        <w:t>1.2</w:t>
      </w:r>
      <w:r>
        <w:rPr>
          <w:rFonts w:hint="eastAsia" w:ascii="宋体" w:hAnsi="宋体"/>
          <w:color w:val="auto"/>
          <w:szCs w:val="21"/>
          <w:highlight w:val="none"/>
        </w:rPr>
        <w:t>严格执行建设工程合同文件，自觉按合同办事。</w:t>
      </w:r>
    </w:p>
    <w:p w14:paraId="526093CE">
      <w:pPr>
        <w:snapToGrid w:val="0"/>
        <w:spacing w:line="360" w:lineRule="auto"/>
        <w:ind w:firstLine="420" w:firstLineChars="200"/>
        <w:rPr>
          <w:rFonts w:ascii="宋体"/>
          <w:color w:val="auto"/>
          <w:szCs w:val="21"/>
          <w:highlight w:val="none"/>
        </w:rPr>
      </w:pPr>
      <w:r>
        <w:rPr>
          <w:rFonts w:ascii="宋体" w:hAnsi="宋体"/>
          <w:color w:val="auto"/>
          <w:szCs w:val="21"/>
          <w:highlight w:val="none"/>
        </w:rPr>
        <w:t>1.3</w:t>
      </w:r>
      <w:r>
        <w:rPr>
          <w:rFonts w:hint="eastAsia" w:ascii="宋体" w:hAnsi="宋体"/>
          <w:color w:val="auto"/>
          <w:szCs w:val="21"/>
          <w:highlight w:val="none"/>
        </w:rPr>
        <w:t>各项活动必须坚持公开、公平、公正、诚信、透明的原则</w:t>
      </w:r>
      <w:r>
        <w:rPr>
          <w:rFonts w:ascii="宋体" w:hAnsi="宋体"/>
          <w:color w:val="auto"/>
          <w:szCs w:val="21"/>
          <w:highlight w:val="none"/>
        </w:rPr>
        <w:t>(</w:t>
      </w:r>
      <w:r>
        <w:rPr>
          <w:rFonts w:hint="eastAsia" w:ascii="宋体" w:hAnsi="宋体"/>
          <w:color w:val="auto"/>
          <w:szCs w:val="21"/>
          <w:highlight w:val="none"/>
        </w:rPr>
        <w:t>除法律法规另有规定者外</w:t>
      </w:r>
      <w:r>
        <w:rPr>
          <w:rFonts w:ascii="宋体" w:hAnsi="宋体"/>
          <w:color w:val="auto"/>
          <w:szCs w:val="21"/>
          <w:highlight w:val="none"/>
        </w:rPr>
        <w:t>)</w:t>
      </w:r>
      <w:r>
        <w:rPr>
          <w:rFonts w:hint="eastAsia" w:ascii="宋体" w:hAnsi="宋体"/>
          <w:color w:val="auto"/>
          <w:szCs w:val="21"/>
          <w:highlight w:val="none"/>
        </w:rPr>
        <w:t>，不得为获取不正当的利益，损害国家、集体和对方利益，不得违反建设工程管理的规章制度。</w:t>
      </w:r>
    </w:p>
    <w:p w14:paraId="4BF92B0A">
      <w:pPr>
        <w:snapToGrid w:val="0"/>
        <w:spacing w:line="360" w:lineRule="auto"/>
        <w:ind w:firstLine="420" w:firstLineChars="200"/>
        <w:rPr>
          <w:rFonts w:ascii="宋体"/>
          <w:color w:val="auto"/>
          <w:szCs w:val="21"/>
          <w:highlight w:val="none"/>
        </w:rPr>
      </w:pPr>
      <w:r>
        <w:rPr>
          <w:rFonts w:ascii="宋体" w:hAnsi="宋体"/>
          <w:color w:val="auto"/>
          <w:szCs w:val="21"/>
          <w:highlight w:val="none"/>
        </w:rPr>
        <w:t>1.4</w:t>
      </w:r>
      <w:r>
        <w:rPr>
          <w:rFonts w:hint="eastAsia" w:ascii="宋体" w:hAnsi="宋体"/>
          <w:color w:val="auto"/>
          <w:szCs w:val="21"/>
          <w:highlight w:val="none"/>
        </w:rPr>
        <w:t>发现对方在业务活动中有违规、违纪、违法行为的，应及时提醒对方，情节严重的，应向其上级主管部门或纪检监察、司法等有关机关举报。</w:t>
      </w:r>
    </w:p>
    <w:p w14:paraId="00CC26D6">
      <w:pPr>
        <w:snapToGrid w:val="0"/>
        <w:spacing w:line="360" w:lineRule="auto"/>
        <w:ind w:firstLine="420" w:firstLineChars="200"/>
        <w:rPr>
          <w:rFonts w:ascii="宋体"/>
          <w:color w:val="auto"/>
          <w:szCs w:val="21"/>
          <w:highlight w:val="none"/>
        </w:rPr>
      </w:pPr>
      <w:r>
        <w:rPr>
          <w:rFonts w:hint="eastAsia" w:ascii="宋体" w:hAnsi="宋体"/>
          <w:color w:val="auto"/>
          <w:szCs w:val="21"/>
          <w:highlight w:val="none"/>
        </w:rPr>
        <w:t>二、发包人责任</w:t>
      </w:r>
    </w:p>
    <w:p w14:paraId="56037B93">
      <w:pPr>
        <w:snapToGrid w:val="0"/>
        <w:spacing w:line="360" w:lineRule="auto"/>
        <w:ind w:firstLine="420" w:firstLineChars="200"/>
        <w:rPr>
          <w:rFonts w:ascii="宋体"/>
          <w:color w:val="auto"/>
          <w:szCs w:val="21"/>
          <w:highlight w:val="none"/>
        </w:rPr>
      </w:pPr>
      <w:r>
        <w:rPr>
          <w:rFonts w:hint="eastAsia" w:ascii="宋体" w:hAnsi="宋体"/>
          <w:color w:val="auto"/>
          <w:szCs w:val="21"/>
          <w:highlight w:val="none"/>
        </w:rPr>
        <w:t>发包人的领导和从事该建设工程项目的工作人员，在工程建设的事前、事中、事后应遵守以下规定：</w:t>
      </w:r>
    </w:p>
    <w:p w14:paraId="3E27C96D">
      <w:pPr>
        <w:snapToGrid w:val="0"/>
        <w:spacing w:line="360" w:lineRule="auto"/>
        <w:ind w:firstLine="420" w:firstLineChars="200"/>
        <w:rPr>
          <w:rFonts w:ascii="宋体"/>
          <w:color w:val="auto"/>
          <w:szCs w:val="21"/>
          <w:highlight w:val="none"/>
        </w:rPr>
      </w:pPr>
      <w:r>
        <w:rPr>
          <w:rFonts w:ascii="宋体" w:hAnsi="宋体"/>
          <w:color w:val="auto"/>
          <w:szCs w:val="21"/>
          <w:highlight w:val="none"/>
        </w:rPr>
        <w:t>2.1</w:t>
      </w:r>
      <w:r>
        <w:rPr>
          <w:rFonts w:hint="eastAsia" w:ascii="宋体" w:hAnsi="宋体"/>
          <w:color w:val="auto"/>
          <w:szCs w:val="21"/>
          <w:highlight w:val="none"/>
        </w:rPr>
        <w:t>不得向承包人和相关单位索要或接受回扣、礼金、有价证券、贵重物品和好处费、感谢费等。</w:t>
      </w:r>
    </w:p>
    <w:p w14:paraId="3401DBB8">
      <w:pPr>
        <w:snapToGrid w:val="0"/>
        <w:spacing w:line="360" w:lineRule="auto"/>
        <w:ind w:firstLine="420" w:firstLineChars="200"/>
        <w:rPr>
          <w:rFonts w:ascii="宋体"/>
          <w:color w:val="auto"/>
          <w:szCs w:val="21"/>
          <w:highlight w:val="none"/>
        </w:rPr>
      </w:pPr>
      <w:r>
        <w:rPr>
          <w:rFonts w:ascii="宋体" w:hAnsi="宋体"/>
          <w:color w:val="auto"/>
          <w:szCs w:val="21"/>
          <w:highlight w:val="none"/>
        </w:rPr>
        <w:t>2.2</w:t>
      </w:r>
      <w:r>
        <w:rPr>
          <w:rFonts w:hint="eastAsia" w:ascii="宋体" w:hAnsi="宋体"/>
          <w:color w:val="auto"/>
          <w:szCs w:val="21"/>
          <w:highlight w:val="none"/>
        </w:rPr>
        <w:t>不得在承包人和相关单位报销任何应由发包人或个人支付的费用。</w:t>
      </w:r>
    </w:p>
    <w:p w14:paraId="2F8CE9F4">
      <w:pPr>
        <w:snapToGrid w:val="0"/>
        <w:spacing w:line="360" w:lineRule="auto"/>
        <w:ind w:firstLine="420" w:firstLineChars="200"/>
        <w:rPr>
          <w:rFonts w:ascii="宋体"/>
          <w:color w:val="auto"/>
          <w:szCs w:val="21"/>
          <w:highlight w:val="none"/>
        </w:rPr>
      </w:pPr>
      <w:r>
        <w:rPr>
          <w:rFonts w:ascii="宋体" w:hAnsi="宋体"/>
          <w:color w:val="auto"/>
          <w:szCs w:val="21"/>
          <w:highlight w:val="none"/>
        </w:rPr>
        <w:t>2.3</w:t>
      </w:r>
      <w:r>
        <w:rPr>
          <w:rFonts w:hint="eastAsia" w:ascii="宋体" w:hAnsi="宋体"/>
          <w:color w:val="auto"/>
          <w:szCs w:val="21"/>
          <w:highlight w:val="none"/>
        </w:rPr>
        <w:t>不得要求、暗示或接受承包人和相关单位为个人装修住房、婚丧嫁娶、配偶子女的工作安排以及出国</w:t>
      </w:r>
      <w:r>
        <w:rPr>
          <w:rFonts w:ascii="宋体" w:hAnsi="宋体"/>
          <w:color w:val="auto"/>
          <w:szCs w:val="21"/>
          <w:highlight w:val="none"/>
        </w:rPr>
        <w:t>(</w:t>
      </w:r>
      <w:r>
        <w:rPr>
          <w:rFonts w:hint="eastAsia" w:ascii="宋体" w:hAnsi="宋体"/>
          <w:color w:val="auto"/>
          <w:szCs w:val="21"/>
          <w:highlight w:val="none"/>
        </w:rPr>
        <w:t>境</w:t>
      </w:r>
      <w:r>
        <w:rPr>
          <w:rFonts w:ascii="宋体" w:hAnsi="宋体"/>
          <w:color w:val="auto"/>
          <w:szCs w:val="21"/>
          <w:highlight w:val="none"/>
        </w:rPr>
        <w:t>)</w:t>
      </w:r>
      <w:r>
        <w:rPr>
          <w:rFonts w:hint="eastAsia" w:ascii="宋体" w:hAnsi="宋体"/>
          <w:color w:val="auto"/>
          <w:szCs w:val="21"/>
          <w:highlight w:val="none"/>
        </w:rPr>
        <w:t>、旅游等提供方便。</w:t>
      </w:r>
    </w:p>
    <w:p w14:paraId="6DE621E3">
      <w:pPr>
        <w:snapToGrid w:val="0"/>
        <w:spacing w:line="360" w:lineRule="auto"/>
        <w:ind w:firstLine="420" w:firstLineChars="200"/>
        <w:rPr>
          <w:rFonts w:ascii="宋体"/>
          <w:color w:val="auto"/>
          <w:szCs w:val="21"/>
          <w:highlight w:val="none"/>
        </w:rPr>
      </w:pPr>
      <w:r>
        <w:rPr>
          <w:rFonts w:ascii="宋体" w:hAnsi="宋体"/>
          <w:color w:val="auto"/>
          <w:szCs w:val="21"/>
          <w:highlight w:val="none"/>
        </w:rPr>
        <w:t>2.4</w:t>
      </w:r>
      <w:r>
        <w:rPr>
          <w:rFonts w:hint="eastAsia" w:ascii="宋体" w:hAnsi="宋体"/>
          <w:color w:val="auto"/>
          <w:szCs w:val="21"/>
          <w:highlight w:val="none"/>
        </w:rPr>
        <w:t>不得参加有可能影响公正执行公务的承包人和相关单位的宴请、健身、娱乐等活动。</w:t>
      </w:r>
    </w:p>
    <w:p w14:paraId="73F66A40">
      <w:pPr>
        <w:snapToGrid w:val="0"/>
        <w:spacing w:line="360" w:lineRule="auto"/>
        <w:ind w:firstLine="420" w:firstLineChars="200"/>
        <w:rPr>
          <w:rFonts w:ascii="宋体"/>
          <w:color w:val="auto"/>
          <w:szCs w:val="21"/>
          <w:highlight w:val="none"/>
        </w:rPr>
      </w:pPr>
      <w:r>
        <w:rPr>
          <w:rFonts w:ascii="宋体" w:hAnsi="宋体"/>
          <w:color w:val="auto"/>
          <w:szCs w:val="21"/>
          <w:highlight w:val="none"/>
        </w:rPr>
        <w:t>2.5</w:t>
      </w:r>
      <w:r>
        <w:rPr>
          <w:rFonts w:hint="eastAsia" w:ascii="宋体" w:hAnsi="宋体"/>
          <w:color w:val="auto"/>
          <w:szCs w:val="21"/>
          <w:highlight w:val="none"/>
        </w:rPr>
        <w:t>不得向承包人和相关单位介绍或为配偶、子女、亲属参与同发包人工程建设管理合同有关的业务活动；不得以任何理由要求承包人和相关单位使用某种产品、材料和设备。</w:t>
      </w:r>
    </w:p>
    <w:p w14:paraId="18263835">
      <w:pPr>
        <w:snapToGrid w:val="0"/>
        <w:spacing w:line="360" w:lineRule="auto"/>
        <w:ind w:firstLine="420" w:firstLineChars="200"/>
        <w:rPr>
          <w:rFonts w:ascii="宋体"/>
          <w:color w:val="auto"/>
          <w:szCs w:val="21"/>
          <w:highlight w:val="none"/>
        </w:rPr>
      </w:pPr>
      <w:r>
        <w:rPr>
          <w:rFonts w:hint="eastAsia" w:ascii="宋体" w:hAnsi="宋体"/>
          <w:color w:val="auto"/>
          <w:szCs w:val="21"/>
          <w:highlight w:val="none"/>
        </w:rPr>
        <w:t>三、承包人责任</w:t>
      </w:r>
    </w:p>
    <w:p w14:paraId="58999749">
      <w:pPr>
        <w:snapToGrid w:val="0"/>
        <w:spacing w:line="360" w:lineRule="auto"/>
        <w:ind w:firstLine="420" w:firstLineChars="200"/>
        <w:rPr>
          <w:rFonts w:ascii="宋体"/>
          <w:color w:val="auto"/>
          <w:szCs w:val="21"/>
          <w:highlight w:val="none"/>
        </w:rPr>
      </w:pPr>
      <w:r>
        <w:rPr>
          <w:rFonts w:hint="eastAsia" w:ascii="宋体" w:hAnsi="宋体"/>
          <w:color w:val="auto"/>
          <w:szCs w:val="21"/>
          <w:highlight w:val="none"/>
        </w:rPr>
        <w:t>应与发包人保持正常的业务交往，按照有关法律法规和程序开展业务工作，严格执行工程建设的有关方针、政策，执行工程建设强制性标准，并遵守以下规定：</w:t>
      </w:r>
    </w:p>
    <w:p w14:paraId="3EE90383">
      <w:pPr>
        <w:snapToGrid w:val="0"/>
        <w:spacing w:line="360" w:lineRule="auto"/>
        <w:ind w:firstLine="420" w:firstLineChars="200"/>
        <w:rPr>
          <w:rFonts w:ascii="宋体"/>
          <w:color w:val="auto"/>
          <w:szCs w:val="21"/>
          <w:highlight w:val="none"/>
        </w:rPr>
      </w:pPr>
      <w:r>
        <w:rPr>
          <w:rFonts w:ascii="宋体" w:hAnsi="宋体"/>
          <w:color w:val="auto"/>
          <w:szCs w:val="21"/>
          <w:highlight w:val="none"/>
        </w:rPr>
        <w:t>3.1</w:t>
      </w:r>
      <w:r>
        <w:rPr>
          <w:rFonts w:hint="eastAsia" w:ascii="宋体" w:hAnsi="宋体"/>
          <w:color w:val="auto"/>
          <w:szCs w:val="21"/>
          <w:highlight w:val="none"/>
        </w:rPr>
        <w:t>不得以任何理由向发包人及其工作人员索要、接受或赠送礼金、有价证券、贵重物品及回扣、好处费、感谢费等。</w:t>
      </w:r>
    </w:p>
    <w:p w14:paraId="4CB591C8">
      <w:pPr>
        <w:snapToGrid w:val="0"/>
        <w:spacing w:line="360" w:lineRule="auto"/>
        <w:ind w:firstLine="420" w:firstLineChars="200"/>
        <w:rPr>
          <w:rFonts w:ascii="宋体"/>
          <w:color w:val="auto"/>
          <w:szCs w:val="21"/>
          <w:highlight w:val="none"/>
        </w:rPr>
      </w:pPr>
      <w:r>
        <w:rPr>
          <w:rFonts w:ascii="宋体" w:hAnsi="宋体"/>
          <w:color w:val="auto"/>
          <w:szCs w:val="21"/>
          <w:highlight w:val="none"/>
        </w:rPr>
        <w:t>3.8</w:t>
      </w:r>
      <w:r>
        <w:rPr>
          <w:rFonts w:hint="eastAsia" w:ascii="宋体" w:hAnsi="宋体"/>
          <w:color w:val="auto"/>
          <w:szCs w:val="21"/>
          <w:highlight w:val="none"/>
        </w:rPr>
        <w:t>不得以任何理由为发包人和相关单位报销应由对方或个人支付的费用。</w:t>
      </w:r>
    </w:p>
    <w:p w14:paraId="3A7B33FD">
      <w:pPr>
        <w:snapToGrid w:val="0"/>
        <w:spacing w:line="360" w:lineRule="auto"/>
        <w:ind w:firstLine="420" w:firstLineChars="200"/>
        <w:rPr>
          <w:rFonts w:ascii="宋体"/>
          <w:color w:val="auto"/>
          <w:szCs w:val="21"/>
          <w:highlight w:val="none"/>
        </w:rPr>
      </w:pPr>
      <w:r>
        <w:rPr>
          <w:rFonts w:ascii="宋体" w:hAnsi="宋体"/>
          <w:color w:val="auto"/>
          <w:szCs w:val="21"/>
          <w:highlight w:val="none"/>
        </w:rPr>
        <w:t>3.3</w:t>
      </w:r>
      <w:r>
        <w:rPr>
          <w:rFonts w:hint="eastAsia" w:ascii="宋体" w:hAnsi="宋体"/>
          <w:color w:val="auto"/>
          <w:szCs w:val="21"/>
          <w:highlight w:val="none"/>
        </w:rPr>
        <w:t>不得接受或暗示为发包人、相关单位或个人装修住房、婚丧嫁娶、配偶子女的工作安排以及出国</w:t>
      </w:r>
      <w:r>
        <w:rPr>
          <w:rFonts w:ascii="宋体" w:hAnsi="宋体"/>
          <w:color w:val="auto"/>
          <w:szCs w:val="21"/>
          <w:highlight w:val="none"/>
        </w:rPr>
        <w:t>(</w:t>
      </w:r>
      <w:r>
        <w:rPr>
          <w:rFonts w:hint="eastAsia" w:ascii="宋体" w:hAnsi="宋体"/>
          <w:color w:val="auto"/>
          <w:szCs w:val="21"/>
          <w:highlight w:val="none"/>
        </w:rPr>
        <w:t>境</w:t>
      </w:r>
      <w:r>
        <w:rPr>
          <w:rFonts w:ascii="宋体" w:hAnsi="宋体"/>
          <w:color w:val="auto"/>
          <w:szCs w:val="21"/>
          <w:highlight w:val="none"/>
        </w:rPr>
        <w:t>)</w:t>
      </w:r>
      <w:r>
        <w:rPr>
          <w:rFonts w:hint="eastAsia" w:ascii="宋体" w:hAnsi="宋体"/>
          <w:color w:val="auto"/>
          <w:szCs w:val="21"/>
          <w:highlight w:val="none"/>
        </w:rPr>
        <w:t>、旅游等提供方便。</w:t>
      </w:r>
    </w:p>
    <w:p w14:paraId="1513FCB2">
      <w:pPr>
        <w:snapToGrid w:val="0"/>
        <w:spacing w:line="360" w:lineRule="auto"/>
        <w:ind w:firstLine="420" w:firstLineChars="200"/>
        <w:rPr>
          <w:rFonts w:ascii="宋体"/>
          <w:color w:val="auto"/>
          <w:szCs w:val="21"/>
          <w:highlight w:val="none"/>
        </w:rPr>
      </w:pPr>
      <w:r>
        <w:rPr>
          <w:rFonts w:ascii="宋体" w:hAnsi="宋体"/>
          <w:color w:val="auto"/>
          <w:szCs w:val="21"/>
          <w:highlight w:val="none"/>
        </w:rPr>
        <w:t>3.4</w:t>
      </w:r>
      <w:r>
        <w:rPr>
          <w:rFonts w:hint="eastAsia" w:ascii="宋体" w:hAnsi="宋体"/>
          <w:color w:val="auto"/>
          <w:szCs w:val="21"/>
          <w:highlight w:val="none"/>
        </w:rPr>
        <w:t>不得以任何理由为发包人、相关单位或个人组织有可能影响公正执行公务的宴请、健身、娱乐等活动。</w:t>
      </w:r>
    </w:p>
    <w:p w14:paraId="7FFAB286">
      <w:pPr>
        <w:snapToGrid w:val="0"/>
        <w:spacing w:line="360" w:lineRule="auto"/>
        <w:ind w:firstLine="420" w:firstLineChars="200"/>
        <w:rPr>
          <w:rFonts w:ascii="宋体"/>
          <w:color w:val="auto"/>
          <w:szCs w:val="21"/>
          <w:highlight w:val="none"/>
        </w:rPr>
      </w:pPr>
      <w:r>
        <w:rPr>
          <w:rFonts w:hint="eastAsia" w:ascii="宋体" w:hAnsi="宋体"/>
          <w:color w:val="auto"/>
          <w:szCs w:val="21"/>
          <w:highlight w:val="none"/>
        </w:rPr>
        <w:t>四、违约责任</w:t>
      </w:r>
    </w:p>
    <w:p w14:paraId="07757B90">
      <w:pPr>
        <w:snapToGrid w:val="0"/>
        <w:spacing w:line="360" w:lineRule="auto"/>
        <w:ind w:firstLine="420" w:firstLineChars="200"/>
        <w:rPr>
          <w:rFonts w:ascii="宋体"/>
          <w:color w:val="auto"/>
          <w:szCs w:val="21"/>
          <w:highlight w:val="none"/>
        </w:rPr>
      </w:pPr>
      <w:r>
        <w:rPr>
          <w:rFonts w:ascii="宋体" w:hAnsi="宋体"/>
          <w:color w:val="auto"/>
          <w:szCs w:val="21"/>
          <w:highlight w:val="none"/>
        </w:rPr>
        <w:t>4.1</w:t>
      </w:r>
      <w:r>
        <w:rPr>
          <w:rFonts w:hint="eastAsia" w:ascii="宋体" w:hAnsi="宋体"/>
          <w:color w:val="auto"/>
          <w:szCs w:val="21"/>
          <w:highlight w:val="none"/>
        </w:rPr>
        <w:t>发包人工作人员有违反本责任书第一、二条责任行为的，依据有关法律、法规给予处理；涉嫌犯罪的，移交司法机关追究刑事责任；给承包人单位造成经济损失的，应予以赔偿。</w:t>
      </w:r>
    </w:p>
    <w:p w14:paraId="3D6A0EF0">
      <w:pPr>
        <w:snapToGrid w:val="0"/>
        <w:spacing w:line="360" w:lineRule="auto"/>
        <w:ind w:firstLine="420" w:firstLineChars="200"/>
        <w:rPr>
          <w:rFonts w:ascii="宋体"/>
          <w:color w:val="auto"/>
          <w:szCs w:val="21"/>
          <w:highlight w:val="none"/>
        </w:rPr>
      </w:pPr>
      <w:r>
        <w:rPr>
          <w:rFonts w:ascii="宋体" w:hAnsi="宋体"/>
          <w:color w:val="auto"/>
          <w:szCs w:val="21"/>
          <w:highlight w:val="none"/>
        </w:rPr>
        <w:t>4.2</w:t>
      </w:r>
      <w:r>
        <w:rPr>
          <w:rFonts w:hint="eastAsia" w:ascii="宋体" w:hAnsi="宋体"/>
          <w:color w:val="auto"/>
          <w:szCs w:val="21"/>
          <w:highlight w:val="none"/>
        </w:rPr>
        <w:t>承包人工作人员有违反本责任书第一、三条责任行为的，依据有关法律法规处理；涉嫌犯罪的，移交司法机关追究刑事责任；</w:t>
      </w:r>
      <w:r>
        <w:rPr>
          <w:rFonts w:hint="eastAsia" w:ascii="宋体" w:hAnsi="宋体"/>
          <w:color w:val="auto"/>
          <w:szCs w:val="21"/>
          <w:highlight w:val="none"/>
          <w:lang w:val="en-US" w:eastAsia="zh-CN"/>
        </w:rPr>
        <w:t>发包人</w:t>
      </w:r>
      <w:r>
        <w:rPr>
          <w:rFonts w:hint="eastAsia" w:ascii="宋体" w:hAnsi="宋体"/>
          <w:color w:val="auto"/>
          <w:szCs w:val="21"/>
          <w:highlight w:val="none"/>
        </w:rPr>
        <w:t>有权选择单方面解除主合同</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因此</w:t>
      </w:r>
      <w:r>
        <w:rPr>
          <w:rFonts w:hint="eastAsia" w:ascii="宋体" w:hAnsi="宋体"/>
          <w:color w:val="auto"/>
          <w:szCs w:val="21"/>
          <w:highlight w:val="none"/>
        </w:rPr>
        <w:t>给发包人单位造成经济损失的，</w:t>
      </w:r>
      <w:r>
        <w:rPr>
          <w:rFonts w:hint="eastAsia" w:ascii="宋体" w:hAnsi="宋体"/>
          <w:color w:val="auto"/>
          <w:szCs w:val="21"/>
          <w:highlight w:val="none"/>
          <w:lang w:val="en-US" w:eastAsia="zh-CN"/>
        </w:rPr>
        <w:t>承包人</w:t>
      </w:r>
      <w:r>
        <w:rPr>
          <w:rFonts w:hint="eastAsia" w:ascii="宋体" w:hAnsi="宋体"/>
          <w:color w:val="auto"/>
          <w:szCs w:val="21"/>
          <w:highlight w:val="none"/>
        </w:rPr>
        <w:t>应予以赔偿。</w:t>
      </w:r>
    </w:p>
    <w:p w14:paraId="0AF94B1D">
      <w:pPr>
        <w:snapToGrid w:val="0"/>
        <w:spacing w:line="360" w:lineRule="auto"/>
        <w:ind w:firstLine="420" w:firstLineChars="200"/>
        <w:rPr>
          <w:rFonts w:ascii="宋体"/>
          <w:color w:val="auto"/>
          <w:szCs w:val="21"/>
          <w:highlight w:val="none"/>
        </w:rPr>
      </w:pPr>
      <w:r>
        <w:rPr>
          <w:rFonts w:ascii="宋体" w:hAnsi="宋体"/>
          <w:color w:val="auto"/>
          <w:szCs w:val="21"/>
          <w:highlight w:val="none"/>
        </w:rPr>
        <w:t>4.3</w:t>
      </w:r>
      <w:r>
        <w:rPr>
          <w:rFonts w:hint="eastAsia" w:ascii="宋体" w:hAnsi="宋体"/>
          <w:color w:val="auto"/>
          <w:szCs w:val="21"/>
          <w:highlight w:val="none"/>
        </w:rPr>
        <w:t>本责任书作为建设工程合同的组成部分，与建设工程合同具有同等法律效力。经双方签署后立即生效。</w:t>
      </w:r>
    </w:p>
    <w:p w14:paraId="441E1AE2">
      <w:pPr>
        <w:snapToGrid w:val="0"/>
        <w:spacing w:line="360" w:lineRule="auto"/>
        <w:ind w:firstLine="420" w:firstLineChars="200"/>
        <w:rPr>
          <w:rFonts w:ascii="宋体"/>
          <w:color w:val="auto"/>
          <w:szCs w:val="21"/>
          <w:highlight w:val="none"/>
        </w:rPr>
      </w:pPr>
      <w:r>
        <w:rPr>
          <w:rFonts w:hint="eastAsia" w:ascii="宋体" w:hAnsi="宋体"/>
          <w:color w:val="auto"/>
          <w:szCs w:val="21"/>
          <w:highlight w:val="none"/>
        </w:rPr>
        <w:t>五、责任书有效期</w:t>
      </w:r>
    </w:p>
    <w:p w14:paraId="07EB3D1D">
      <w:pPr>
        <w:snapToGrid w:val="0"/>
        <w:spacing w:line="360" w:lineRule="auto"/>
        <w:ind w:firstLine="420" w:firstLineChars="200"/>
        <w:rPr>
          <w:rFonts w:ascii="宋体"/>
          <w:color w:val="auto"/>
          <w:szCs w:val="21"/>
          <w:highlight w:val="none"/>
        </w:rPr>
      </w:pPr>
      <w:r>
        <w:rPr>
          <w:rFonts w:hint="eastAsia" w:ascii="宋体" w:hAnsi="宋体"/>
          <w:color w:val="auto"/>
          <w:szCs w:val="21"/>
          <w:highlight w:val="none"/>
        </w:rPr>
        <w:t>本责任书的有效期为双方签署之日起至主合同有效期结束止。</w:t>
      </w:r>
    </w:p>
    <w:p w14:paraId="76284FB7">
      <w:pPr>
        <w:snapToGrid w:val="0"/>
        <w:spacing w:line="360" w:lineRule="auto"/>
        <w:ind w:firstLine="420" w:firstLineChars="200"/>
        <w:rPr>
          <w:rFonts w:ascii="宋体"/>
          <w:color w:val="auto"/>
          <w:szCs w:val="21"/>
          <w:highlight w:val="none"/>
        </w:rPr>
      </w:pPr>
      <w:r>
        <w:rPr>
          <w:rFonts w:hint="eastAsia" w:ascii="宋体" w:hAnsi="宋体"/>
          <w:color w:val="auto"/>
          <w:szCs w:val="21"/>
          <w:highlight w:val="none"/>
        </w:rPr>
        <w:t>六、责任书份数</w:t>
      </w:r>
    </w:p>
    <w:p w14:paraId="24D7310E">
      <w:pPr>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本责任书一式捌份，发包人执伍份，承包人执叁份，具有同等效力。</w:t>
      </w:r>
    </w:p>
    <w:p w14:paraId="3794CD0B">
      <w:pPr>
        <w:spacing w:after="120"/>
        <w:ind w:left="420" w:leftChars="200" w:firstLine="420" w:firstLineChars="200"/>
        <w:rPr>
          <w:color w:val="auto"/>
          <w:szCs w:val="21"/>
          <w:highlight w:val="none"/>
        </w:rPr>
      </w:pPr>
    </w:p>
    <w:tbl>
      <w:tblPr>
        <w:tblStyle w:val="23"/>
        <w:tblW w:w="8738" w:type="dxa"/>
        <w:jc w:val="center"/>
        <w:tblLayout w:type="fixed"/>
        <w:tblCellMar>
          <w:top w:w="0" w:type="dxa"/>
          <w:left w:w="108" w:type="dxa"/>
          <w:bottom w:w="0" w:type="dxa"/>
          <w:right w:w="108" w:type="dxa"/>
        </w:tblCellMar>
      </w:tblPr>
      <w:tblGrid>
        <w:gridCol w:w="4620"/>
        <w:gridCol w:w="4118"/>
      </w:tblGrid>
      <w:tr w14:paraId="75379D63">
        <w:tblPrEx>
          <w:tblCellMar>
            <w:top w:w="0" w:type="dxa"/>
            <w:left w:w="108" w:type="dxa"/>
            <w:bottom w:w="0" w:type="dxa"/>
            <w:right w:w="108" w:type="dxa"/>
          </w:tblCellMar>
        </w:tblPrEx>
        <w:trPr>
          <w:trHeight w:val="460" w:hRule="atLeast"/>
          <w:jc w:val="center"/>
        </w:trPr>
        <w:tc>
          <w:tcPr>
            <w:tcW w:w="4620" w:type="dxa"/>
            <w:noWrap/>
            <w:vAlign w:val="top"/>
          </w:tcPr>
          <w:p w14:paraId="46BC5B89">
            <w:pPr>
              <w:tabs>
                <w:tab w:val="left" w:pos="360"/>
              </w:tabs>
              <w:spacing w:line="440" w:lineRule="exact"/>
              <w:rPr>
                <w:rFonts w:ascii="宋体" w:hAnsi="宋体"/>
                <w:color w:val="auto"/>
                <w:szCs w:val="21"/>
                <w:highlight w:val="none"/>
              </w:rPr>
            </w:pPr>
            <w:r>
              <w:rPr>
                <w:rFonts w:hint="eastAsia" w:ascii="宋体" w:hAnsi="宋体"/>
                <w:color w:val="auto"/>
                <w:szCs w:val="21"/>
                <w:highlight w:val="none"/>
              </w:rPr>
              <w:t>发包人：(公章)</w:t>
            </w:r>
          </w:p>
        </w:tc>
        <w:tc>
          <w:tcPr>
            <w:tcW w:w="4118" w:type="dxa"/>
            <w:noWrap/>
            <w:vAlign w:val="top"/>
          </w:tcPr>
          <w:p w14:paraId="6908E48A">
            <w:pPr>
              <w:tabs>
                <w:tab w:val="left" w:pos="360"/>
              </w:tabs>
              <w:spacing w:line="440" w:lineRule="exact"/>
              <w:rPr>
                <w:rFonts w:ascii="宋体" w:hAnsi="宋体"/>
                <w:color w:val="auto"/>
                <w:szCs w:val="21"/>
                <w:highlight w:val="none"/>
              </w:rPr>
            </w:pPr>
            <w:r>
              <w:rPr>
                <w:rFonts w:hint="eastAsia" w:ascii="宋体" w:hAnsi="宋体"/>
                <w:color w:val="auto"/>
                <w:szCs w:val="21"/>
                <w:highlight w:val="none"/>
              </w:rPr>
              <w:t>承包人：(公章)</w:t>
            </w:r>
          </w:p>
        </w:tc>
      </w:tr>
      <w:tr w14:paraId="7922DDB4">
        <w:tblPrEx>
          <w:tblCellMar>
            <w:top w:w="0" w:type="dxa"/>
            <w:left w:w="108" w:type="dxa"/>
            <w:bottom w:w="0" w:type="dxa"/>
            <w:right w:w="108" w:type="dxa"/>
          </w:tblCellMar>
        </w:tblPrEx>
        <w:trPr>
          <w:trHeight w:val="460" w:hRule="atLeast"/>
          <w:jc w:val="center"/>
        </w:trPr>
        <w:tc>
          <w:tcPr>
            <w:tcW w:w="4620" w:type="dxa"/>
            <w:noWrap/>
            <w:vAlign w:val="top"/>
          </w:tcPr>
          <w:p w14:paraId="47E52071">
            <w:pPr>
              <w:tabs>
                <w:tab w:val="left" w:pos="360"/>
              </w:tabs>
              <w:snapToGrid w:val="0"/>
              <w:spacing w:line="440" w:lineRule="exact"/>
              <w:rPr>
                <w:rFonts w:ascii="宋体" w:hAnsi="宋体"/>
                <w:color w:val="auto"/>
                <w:szCs w:val="21"/>
                <w:highlight w:val="none"/>
              </w:rPr>
            </w:pPr>
            <w:r>
              <w:rPr>
                <w:rFonts w:hint="eastAsia" w:ascii="宋体" w:hAnsi="宋体"/>
                <w:color w:val="auto"/>
                <w:szCs w:val="21"/>
                <w:highlight w:val="none"/>
              </w:rPr>
              <w:t>法定代表人：（签章）</w:t>
            </w:r>
          </w:p>
        </w:tc>
        <w:tc>
          <w:tcPr>
            <w:tcW w:w="4118" w:type="dxa"/>
            <w:noWrap/>
            <w:vAlign w:val="top"/>
          </w:tcPr>
          <w:p w14:paraId="63A0932E">
            <w:pPr>
              <w:tabs>
                <w:tab w:val="left" w:pos="360"/>
              </w:tabs>
              <w:snapToGrid w:val="0"/>
              <w:spacing w:line="440" w:lineRule="exact"/>
              <w:rPr>
                <w:rFonts w:ascii="宋体" w:hAnsi="宋体"/>
                <w:color w:val="auto"/>
                <w:szCs w:val="21"/>
                <w:highlight w:val="none"/>
              </w:rPr>
            </w:pPr>
            <w:r>
              <w:rPr>
                <w:rFonts w:hint="eastAsia" w:ascii="宋体" w:hAnsi="宋体"/>
                <w:color w:val="auto"/>
                <w:szCs w:val="21"/>
                <w:highlight w:val="none"/>
              </w:rPr>
              <w:t>法定代表人：（签章）</w:t>
            </w:r>
          </w:p>
        </w:tc>
      </w:tr>
      <w:tr w14:paraId="653FBF31">
        <w:tblPrEx>
          <w:tblCellMar>
            <w:top w:w="0" w:type="dxa"/>
            <w:left w:w="108" w:type="dxa"/>
            <w:bottom w:w="0" w:type="dxa"/>
            <w:right w:w="108" w:type="dxa"/>
          </w:tblCellMar>
        </w:tblPrEx>
        <w:trPr>
          <w:trHeight w:val="460" w:hRule="atLeast"/>
          <w:jc w:val="center"/>
        </w:trPr>
        <w:tc>
          <w:tcPr>
            <w:tcW w:w="4620" w:type="dxa"/>
            <w:noWrap/>
            <w:vAlign w:val="top"/>
          </w:tcPr>
          <w:p w14:paraId="55EB3F00">
            <w:pPr>
              <w:tabs>
                <w:tab w:val="left" w:pos="360"/>
              </w:tabs>
              <w:snapToGrid w:val="0"/>
              <w:spacing w:line="44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日期：</w:t>
            </w:r>
          </w:p>
        </w:tc>
        <w:tc>
          <w:tcPr>
            <w:tcW w:w="4118" w:type="dxa"/>
            <w:noWrap/>
            <w:vAlign w:val="top"/>
          </w:tcPr>
          <w:p w14:paraId="7E89413C">
            <w:pPr>
              <w:tabs>
                <w:tab w:val="left" w:pos="360"/>
              </w:tabs>
              <w:snapToGrid w:val="0"/>
              <w:spacing w:line="44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日期：</w:t>
            </w:r>
          </w:p>
        </w:tc>
      </w:tr>
    </w:tbl>
    <w:p w14:paraId="081DA359">
      <w:pPr>
        <w:rPr>
          <w:rFonts w:ascii="宋体" w:hAnsi="宋体"/>
          <w:color w:val="auto"/>
          <w:sz w:val="24"/>
          <w:highlight w:val="none"/>
        </w:rPr>
      </w:pPr>
    </w:p>
    <w:p w14:paraId="7241C567">
      <w:pPr>
        <w:rPr>
          <w:rFonts w:ascii="宋体" w:hAnsi="宋体"/>
          <w:color w:val="auto"/>
          <w:sz w:val="24"/>
          <w:highlight w:val="none"/>
        </w:rPr>
      </w:pPr>
      <w:r>
        <w:rPr>
          <w:rFonts w:hint="eastAsia" w:ascii="宋体" w:hAnsi="宋体"/>
          <w:color w:val="auto"/>
          <w:sz w:val="24"/>
          <w:highlight w:val="none"/>
        </w:rPr>
        <w:br w:type="page"/>
      </w:r>
      <w:r>
        <w:rPr>
          <w:rFonts w:hint="eastAsia" w:ascii="宋体" w:hAnsi="宋体"/>
          <w:color w:val="auto"/>
          <w:sz w:val="24"/>
          <w:highlight w:val="none"/>
        </w:rPr>
        <w:t>附件</w:t>
      </w:r>
      <w:r>
        <w:rPr>
          <w:rFonts w:hint="eastAsia" w:ascii="宋体" w:hAnsi="宋体"/>
          <w:color w:val="auto"/>
          <w:sz w:val="24"/>
          <w:highlight w:val="none"/>
          <w:lang w:val="en-US" w:eastAsia="zh-CN"/>
        </w:rPr>
        <w:t>3</w:t>
      </w:r>
      <w:r>
        <w:rPr>
          <w:rFonts w:ascii="宋体" w:hAnsi="宋体"/>
          <w:color w:val="auto"/>
          <w:sz w:val="24"/>
          <w:highlight w:val="none"/>
        </w:rPr>
        <w:t>:</w:t>
      </w:r>
    </w:p>
    <w:p w14:paraId="56584A47">
      <w:pPr>
        <w:snapToGrid w:val="0"/>
        <w:ind w:left="1" w:firstLine="424" w:firstLineChars="151"/>
        <w:jc w:val="center"/>
        <w:rPr>
          <w:rFonts w:ascii="宋体" w:hAnsi="宋体"/>
          <w:b/>
          <w:color w:val="auto"/>
          <w:sz w:val="28"/>
          <w:szCs w:val="28"/>
          <w:highlight w:val="none"/>
        </w:rPr>
      </w:pPr>
      <w:r>
        <w:rPr>
          <w:rFonts w:hint="eastAsia" w:ascii="宋体" w:hAnsi="宋体"/>
          <w:b/>
          <w:color w:val="auto"/>
          <w:sz w:val="28"/>
          <w:szCs w:val="28"/>
          <w:highlight w:val="none"/>
        </w:rPr>
        <w:t>施工安全生产协议书</w:t>
      </w:r>
    </w:p>
    <w:p w14:paraId="7DD3E99A">
      <w:pPr>
        <w:snapToGrid w:val="0"/>
        <w:spacing w:line="360" w:lineRule="auto"/>
        <w:ind w:left="-140" w:firstLine="317" w:firstLineChars="151"/>
        <w:jc w:val="left"/>
        <w:rPr>
          <w:rFonts w:ascii="宋体" w:hAnsi="宋体"/>
          <w:color w:val="auto"/>
          <w:szCs w:val="21"/>
          <w:highlight w:val="none"/>
        </w:rPr>
      </w:pPr>
      <w:r>
        <w:rPr>
          <w:rFonts w:hint="eastAsia" w:ascii="宋体" w:hAnsi="宋体"/>
          <w:color w:val="auto"/>
          <w:szCs w:val="21"/>
          <w:highlight w:val="none"/>
        </w:rPr>
        <w:t>发包人：</w:t>
      </w:r>
      <w:r>
        <w:rPr>
          <w:rFonts w:hint="eastAsia" w:ascii="仿宋" w:hAnsi="仿宋" w:eastAsia="仿宋" w:cs="仿宋"/>
          <w:b/>
          <w:bCs/>
          <w:color w:val="auto"/>
          <w:kern w:val="0"/>
          <w:szCs w:val="21"/>
          <w:highlight w:val="none"/>
          <w:u w:val="single"/>
        </w:rPr>
        <w:t>南通市市政设施管理处</w:t>
      </w:r>
    </w:p>
    <w:p w14:paraId="6F66D1D3">
      <w:pPr>
        <w:snapToGrid w:val="0"/>
        <w:spacing w:line="360" w:lineRule="auto"/>
        <w:ind w:left="-140" w:firstLine="317" w:firstLineChars="151"/>
        <w:jc w:val="left"/>
        <w:rPr>
          <w:rFonts w:hint="eastAsia" w:ascii="仿宋" w:hAnsi="仿宋" w:eastAsia="仿宋" w:cs="仿宋"/>
          <w:b/>
          <w:bCs/>
          <w:color w:val="auto"/>
          <w:kern w:val="0"/>
          <w:sz w:val="21"/>
          <w:szCs w:val="21"/>
          <w:highlight w:val="none"/>
          <w:u w:val="single"/>
          <w:lang w:val="en-US" w:eastAsia="zh-CN"/>
        </w:rPr>
      </w:pPr>
      <w:r>
        <w:rPr>
          <w:rFonts w:hint="eastAsia" w:ascii="宋体" w:hAnsi="宋体"/>
          <w:color w:val="auto"/>
          <w:szCs w:val="21"/>
          <w:highlight w:val="none"/>
        </w:rPr>
        <w:t>承包人：</w:t>
      </w:r>
      <w:r>
        <w:rPr>
          <w:rFonts w:hint="eastAsia" w:ascii="仿宋" w:hAnsi="仿宋" w:eastAsia="仿宋" w:cs="仿宋"/>
          <w:b/>
          <w:bCs/>
          <w:color w:val="auto"/>
          <w:kern w:val="0"/>
          <w:sz w:val="21"/>
          <w:szCs w:val="21"/>
          <w:highlight w:val="none"/>
          <w:u w:val="single"/>
          <w:lang w:val="en-US" w:eastAsia="zh-CN"/>
        </w:rPr>
        <w:t>成交单位</w:t>
      </w:r>
    </w:p>
    <w:p w14:paraId="2FF584EB">
      <w:pPr>
        <w:snapToGrid w:val="0"/>
        <w:spacing w:line="360" w:lineRule="auto"/>
        <w:ind w:left="-140" w:firstLine="317" w:firstLineChars="151"/>
        <w:rPr>
          <w:rFonts w:ascii="宋体"/>
          <w:color w:val="auto"/>
          <w:szCs w:val="21"/>
          <w:highlight w:val="none"/>
        </w:rPr>
      </w:pPr>
      <w:r>
        <w:rPr>
          <w:rFonts w:hint="eastAsia" w:ascii="宋体" w:hAnsi="宋体"/>
          <w:color w:val="auto"/>
          <w:szCs w:val="21"/>
          <w:highlight w:val="none"/>
        </w:rPr>
        <w:t>为了进一步贯彻落实“安全第一、预防为主”的安全生产方针，严格执行劳动保护和安全生产的法令、法规，强化安全生产管理，落实安全生产责任制。依法从严治理施工现场，确保施工现场操作人员的安全与健康，促进施工顺利进行。经双方协商，一致同意签订本施工现场安全生产协议。本协议为工程合同补充条款，与工程合同具有同等法律效力，双方应认真履行。</w:t>
      </w:r>
    </w:p>
    <w:p w14:paraId="40A2E88A">
      <w:pPr>
        <w:snapToGrid w:val="0"/>
        <w:spacing w:line="360" w:lineRule="auto"/>
        <w:ind w:left="-140" w:firstLine="317" w:firstLineChars="151"/>
        <w:jc w:val="left"/>
        <w:rPr>
          <w:rFonts w:ascii="宋体"/>
          <w:color w:val="auto"/>
          <w:szCs w:val="21"/>
          <w:highlight w:val="none"/>
        </w:rPr>
      </w:pPr>
      <w:r>
        <w:rPr>
          <w:rFonts w:hint="eastAsia" w:ascii="宋体" w:hAnsi="宋体"/>
          <w:color w:val="auto"/>
          <w:szCs w:val="21"/>
          <w:highlight w:val="none"/>
        </w:rPr>
        <w:t>一、承包人管理目标</w:t>
      </w:r>
    </w:p>
    <w:p w14:paraId="50D41CBC">
      <w:pPr>
        <w:snapToGrid w:val="0"/>
        <w:spacing w:line="360" w:lineRule="auto"/>
        <w:ind w:left="-140" w:firstLine="317" w:firstLineChars="151"/>
        <w:jc w:val="left"/>
        <w:rPr>
          <w:rFonts w:asci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、负责施工期间的现场安全工作，相关安全文明措施费用由承包人先行垫付。</w:t>
      </w:r>
    </w:p>
    <w:p w14:paraId="732AAD22">
      <w:pPr>
        <w:snapToGrid w:val="0"/>
        <w:spacing w:line="360" w:lineRule="auto"/>
        <w:ind w:left="-140" w:firstLine="317" w:firstLineChars="151"/>
        <w:jc w:val="left"/>
        <w:rPr>
          <w:rFonts w:asci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、杜绝重大安全事故发生，死亡事故为零。</w:t>
      </w:r>
    </w:p>
    <w:p w14:paraId="51B38D91">
      <w:pPr>
        <w:snapToGrid w:val="0"/>
        <w:spacing w:line="360" w:lineRule="auto"/>
        <w:ind w:left="-140" w:firstLine="317" w:firstLineChars="151"/>
        <w:jc w:val="left"/>
        <w:rPr>
          <w:rFonts w:asci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、重伤事故频率控制为零。</w:t>
      </w:r>
    </w:p>
    <w:p w14:paraId="35BD9CFF">
      <w:pPr>
        <w:snapToGrid w:val="0"/>
        <w:spacing w:line="360" w:lineRule="auto"/>
        <w:ind w:left="-140" w:firstLine="317" w:firstLineChars="151"/>
        <w:jc w:val="left"/>
        <w:rPr>
          <w:rFonts w:ascii="宋体"/>
          <w:color w:val="auto"/>
          <w:szCs w:val="21"/>
          <w:highlight w:val="none"/>
        </w:rPr>
      </w:pPr>
      <w:r>
        <w:rPr>
          <w:rFonts w:ascii="宋体" w:hAnsi="宋体"/>
          <w:color w:val="auto"/>
          <w:szCs w:val="21"/>
          <w:highlight w:val="none"/>
        </w:rPr>
        <w:t>4</w:t>
      </w:r>
      <w:r>
        <w:rPr>
          <w:rFonts w:hint="eastAsia" w:ascii="宋体" w:hAnsi="宋体"/>
          <w:color w:val="auto"/>
          <w:szCs w:val="21"/>
          <w:highlight w:val="none"/>
        </w:rPr>
        <w:t>、施工现场内的安全隐患整改率达到</w:t>
      </w:r>
      <w:r>
        <w:rPr>
          <w:rFonts w:ascii="宋体" w:hAnsi="宋体"/>
          <w:color w:val="auto"/>
          <w:szCs w:val="21"/>
          <w:highlight w:val="none"/>
        </w:rPr>
        <w:t>100%</w:t>
      </w:r>
      <w:r>
        <w:rPr>
          <w:rFonts w:hint="eastAsia" w:ascii="宋体" w:hAnsi="宋体"/>
          <w:color w:val="auto"/>
          <w:szCs w:val="21"/>
          <w:highlight w:val="none"/>
        </w:rPr>
        <w:t>。</w:t>
      </w:r>
    </w:p>
    <w:p w14:paraId="232DFCE1">
      <w:pPr>
        <w:snapToGrid w:val="0"/>
        <w:spacing w:line="360" w:lineRule="auto"/>
        <w:ind w:left="-140" w:firstLine="317" w:firstLineChars="151"/>
        <w:jc w:val="left"/>
        <w:rPr>
          <w:rFonts w:asci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、施工现场内不发生火灾事故、治安事件，防范措施达到</w:t>
      </w:r>
      <w:r>
        <w:rPr>
          <w:rFonts w:ascii="宋体" w:hAnsi="宋体"/>
          <w:color w:val="auto"/>
          <w:szCs w:val="21"/>
          <w:highlight w:val="none"/>
        </w:rPr>
        <w:t>100%</w:t>
      </w:r>
      <w:r>
        <w:rPr>
          <w:rFonts w:hint="eastAsia" w:ascii="宋体" w:hAnsi="宋体"/>
          <w:color w:val="auto"/>
          <w:szCs w:val="21"/>
          <w:highlight w:val="none"/>
        </w:rPr>
        <w:t>。</w:t>
      </w:r>
    </w:p>
    <w:p w14:paraId="61B17492">
      <w:pPr>
        <w:snapToGrid w:val="0"/>
        <w:spacing w:line="360" w:lineRule="auto"/>
        <w:ind w:left="-140" w:firstLine="317" w:firstLineChars="151"/>
        <w:jc w:val="left"/>
        <w:rPr>
          <w:rFonts w:asci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、保证作业人员佩戴防护用品，高空作业防护措施达到</w:t>
      </w:r>
      <w:r>
        <w:rPr>
          <w:rFonts w:ascii="宋体" w:hAnsi="宋体"/>
          <w:color w:val="auto"/>
          <w:szCs w:val="21"/>
          <w:highlight w:val="none"/>
        </w:rPr>
        <w:t>100%</w:t>
      </w:r>
      <w:r>
        <w:rPr>
          <w:rFonts w:hint="eastAsia" w:ascii="宋体" w:hAnsi="宋体"/>
          <w:color w:val="auto"/>
          <w:szCs w:val="21"/>
          <w:highlight w:val="none"/>
        </w:rPr>
        <w:t>。</w:t>
      </w:r>
    </w:p>
    <w:p w14:paraId="724D4387">
      <w:pPr>
        <w:snapToGrid w:val="0"/>
        <w:spacing w:line="360" w:lineRule="auto"/>
        <w:ind w:left="-140" w:firstLine="317" w:firstLineChars="151"/>
        <w:jc w:val="left"/>
        <w:rPr>
          <w:rFonts w:asci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、职工消防、安全生产培训率达到</w:t>
      </w:r>
      <w:r>
        <w:rPr>
          <w:rFonts w:ascii="宋体" w:hAnsi="宋体"/>
          <w:color w:val="auto"/>
          <w:szCs w:val="21"/>
          <w:highlight w:val="none"/>
        </w:rPr>
        <w:t>100%</w:t>
      </w:r>
      <w:r>
        <w:rPr>
          <w:rFonts w:hint="eastAsia" w:ascii="宋体" w:hAnsi="宋体"/>
          <w:color w:val="auto"/>
          <w:szCs w:val="21"/>
          <w:highlight w:val="none"/>
        </w:rPr>
        <w:t>，特种操作工须持有效上岗证上岗达到</w:t>
      </w:r>
      <w:r>
        <w:rPr>
          <w:rFonts w:ascii="宋体" w:hAnsi="宋体"/>
          <w:color w:val="auto"/>
          <w:szCs w:val="21"/>
          <w:highlight w:val="none"/>
        </w:rPr>
        <w:t>100%</w:t>
      </w:r>
      <w:r>
        <w:rPr>
          <w:rFonts w:hint="eastAsia" w:ascii="宋体" w:hAnsi="宋体"/>
          <w:color w:val="auto"/>
          <w:szCs w:val="21"/>
          <w:highlight w:val="none"/>
        </w:rPr>
        <w:t>。</w:t>
      </w:r>
    </w:p>
    <w:p w14:paraId="7D555BE4">
      <w:pPr>
        <w:snapToGrid w:val="0"/>
        <w:spacing w:line="360" w:lineRule="auto"/>
        <w:ind w:left="-140" w:firstLine="317" w:firstLineChars="151"/>
        <w:jc w:val="left"/>
        <w:rPr>
          <w:rFonts w:ascii="宋体"/>
          <w:color w:val="auto"/>
          <w:szCs w:val="21"/>
          <w:highlight w:val="none"/>
        </w:rPr>
      </w:pPr>
      <w:r>
        <w:rPr>
          <w:rFonts w:ascii="宋体" w:hAnsi="宋体"/>
          <w:color w:val="auto"/>
          <w:szCs w:val="21"/>
          <w:highlight w:val="none"/>
        </w:rPr>
        <w:t>8</w:t>
      </w:r>
      <w:r>
        <w:rPr>
          <w:rFonts w:hint="eastAsia" w:ascii="宋体" w:hAnsi="宋体"/>
          <w:color w:val="auto"/>
          <w:szCs w:val="21"/>
          <w:highlight w:val="none"/>
        </w:rPr>
        <w:t>、重大危险源控制率达到</w:t>
      </w:r>
      <w:r>
        <w:rPr>
          <w:rFonts w:ascii="宋体" w:hAnsi="宋体"/>
          <w:color w:val="auto"/>
          <w:szCs w:val="21"/>
          <w:highlight w:val="none"/>
        </w:rPr>
        <w:t>100%</w:t>
      </w:r>
      <w:r>
        <w:rPr>
          <w:rFonts w:hint="eastAsia" w:ascii="宋体" w:hAnsi="宋体"/>
          <w:color w:val="auto"/>
          <w:szCs w:val="21"/>
          <w:highlight w:val="none"/>
        </w:rPr>
        <w:t>。</w:t>
      </w:r>
    </w:p>
    <w:p w14:paraId="4C891629">
      <w:pPr>
        <w:snapToGrid w:val="0"/>
        <w:spacing w:line="360" w:lineRule="auto"/>
        <w:ind w:left="-140" w:firstLine="317" w:firstLineChars="151"/>
        <w:jc w:val="left"/>
        <w:rPr>
          <w:rFonts w:ascii="宋体"/>
          <w:color w:val="auto"/>
          <w:szCs w:val="21"/>
          <w:highlight w:val="none"/>
        </w:rPr>
      </w:pPr>
      <w:r>
        <w:rPr>
          <w:rFonts w:ascii="宋体" w:hAnsi="宋体"/>
          <w:color w:val="auto"/>
          <w:szCs w:val="21"/>
          <w:highlight w:val="none"/>
        </w:rPr>
        <w:t>9</w:t>
      </w:r>
      <w:r>
        <w:rPr>
          <w:rFonts w:hint="eastAsia" w:ascii="宋体" w:hAnsi="宋体"/>
          <w:color w:val="auto"/>
          <w:szCs w:val="21"/>
          <w:highlight w:val="none"/>
        </w:rPr>
        <w:t>、施工现场内不发生危险品中毒、食物中毒以及群发性传染病。</w:t>
      </w:r>
    </w:p>
    <w:p w14:paraId="007DACC4">
      <w:pPr>
        <w:snapToGrid w:val="0"/>
        <w:spacing w:line="360" w:lineRule="auto"/>
        <w:ind w:left="-140" w:firstLine="317" w:firstLineChars="151"/>
        <w:jc w:val="left"/>
        <w:rPr>
          <w:rFonts w:ascii="宋体"/>
          <w:color w:val="auto"/>
          <w:szCs w:val="21"/>
          <w:highlight w:val="none"/>
        </w:rPr>
      </w:pPr>
      <w:r>
        <w:rPr>
          <w:rFonts w:ascii="宋体" w:hAnsi="宋体"/>
          <w:color w:val="auto"/>
          <w:szCs w:val="21"/>
          <w:highlight w:val="none"/>
        </w:rPr>
        <w:t>10</w:t>
      </w:r>
      <w:r>
        <w:rPr>
          <w:rFonts w:hint="eastAsia" w:ascii="宋体" w:hAnsi="宋体"/>
          <w:color w:val="auto"/>
          <w:szCs w:val="21"/>
          <w:highlight w:val="none"/>
        </w:rPr>
        <w:t>、创建文明安全施工工地。</w:t>
      </w:r>
    </w:p>
    <w:p w14:paraId="66B2CA37">
      <w:pPr>
        <w:snapToGrid w:val="0"/>
        <w:spacing w:line="360" w:lineRule="auto"/>
        <w:ind w:left="-140" w:firstLine="317" w:firstLineChars="151"/>
        <w:jc w:val="left"/>
        <w:rPr>
          <w:rFonts w:ascii="宋体"/>
          <w:color w:val="auto"/>
          <w:szCs w:val="21"/>
          <w:highlight w:val="none"/>
        </w:rPr>
      </w:pPr>
      <w:r>
        <w:rPr>
          <w:rFonts w:hint="eastAsia" w:ascii="宋体" w:hAnsi="宋体"/>
          <w:color w:val="auto"/>
          <w:szCs w:val="21"/>
          <w:highlight w:val="none"/>
        </w:rPr>
        <w:t>二、安全生产要求</w:t>
      </w:r>
    </w:p>
    <w:p w14:paraId="09F7E90F">
      <w:pPr>
        <w:snapToGrid w:val="0"/>
        <w:spacing w:line="360" w:lineRule="auto"/>
        <w:ind w:left="-140" w:firstLine="317" w:firstLineChars="151"/>
        <w:jc w:val="left"/>
        <w:rPr>
          <w:rFonts w:asci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、承包人应坚持“安全第一、预防为主”的方针，不得违章指挥和违章作业</w:t>
      </w:r>
      <w:r>
        <w:rPr>
          <w:rFonts w:ascii="宋体"/>
          <w:color w:val="auto"/>
          <w:szCs w:val="21"/>
          <w:highlight w:val="none"/>
        </w:rPr>
        <w:t>,</w:t>
      </w:r>
      <w:r>
        <w:rPr>
          <w:rFonts w:hint="eastAsia" w:ascii="宋体" w:hAnsi="宋体"/>
          <w:color w:val="auto"/>
          <w:szCs w:val="21"/>
          <w:highlight w:val="none"/>
        </w:rPr>
        <w:t>在组织施工生产时必须落实安全技术措施，防止事故发生。对本单位的施工人员应登记造册，如实向发包人报告，切实做好入场前的三级安全教育，建立三级安全教育卡，组织消防实操培训。负责班前班后安全教育和工种变换的安全教育，不得录用无身份证的人员和未满十六岁未</w:t>
      </w:r>
      <w:r>
        <w:rPr>
          <w:rFonts w:hint="eastAsia" w:ascii="宋体" w:hAnsi="宋体"/>
          <w:color w:val="auto"/>
          <w:szCs w:val="21"/>
          <w:highlight w:val="none"/>
          <w:lang w:eastAsia="zh-CN"/>
        </w:rPr>
        <w:t>成年</w:t>
      </w:r>
      <w:r>
        <w:rPr>
          <w:rFonts w:hint="eastAsia" w:ascii="宋体" w:hAnsi="宋体"/>
          <w:color w:val="auto"/>
          <w:szCs w:val="21"/>
          <w:highlight w:val="none"/>
        </w:rPr>
        <w:t>人。</w:t>
      </w:r>
    </w:p>
    <w:p w14:paraId="385E7D2A">
      <w:pPr>
        <w:snapToGrid w:val="0"/>
        <w:spacing w:line="360" w:lineRule="auto"/>
        <w:ind w:left="-140" w:firstLine="317" w:firstLineChars="151"/>
        <w:jc w:val="left"/>
        <w:rPr>
          <w:rFonts w:asci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承包人应成立施工现场安全生产领导机构，定期召开安全工作会议，建立、健全安全生产责任制和群防群治制度，制定各项安全生产规章和安全生产目标责任，形成一体化的安全生产监督管理体系，并按照职责分工抓好落实。</w:t>
      </w:r>
    </w:p>
    <w:p w14:paraId="2C4178A3">
      <w:pPr>
        <w:snapToGrid w:val="0"/>
        <w:spacing w:line="360" w:lineRule="auto"/>
        <w:ind w:left="-140" w:firstLine="317" w:firstLineChars="151"/>
        <w:jc w:val="left"/>
        <w:rPr>
          <w:rFonts w:asci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、承包人必须虚心接受发包人的各项安全隐患排查、安全管理标准及整改规定，建立自身的定期和不定期的安全生产自查排查机制，并且严格贯彻实施，否则造成的罚款等损失均由承包人承担。</w:t>
      </w:r>
    </w:p>
    <w:p w14:paraId="3CEBFA2A">
      <w:pPr>
        <w:snapToGrid w:val="0"/>
        <w:spacing w:line="360" w:lineRule="auto"/>
        <w:ind w:left="-140" w:firstLine="317" w:firstLineChars="151"/>
        <w:jc w:val="left"/>
        <w:rPr>
          <w:rFonts w:ascii="宋体" w:hAnsi="宋体"/>
          <w:color w:val="auto"/>
          <w:szCs w:val="21"/>
          <w:highlight w:val="none"/>
        </w:rPr>
      </w:pPr>
      <w:r>
        <w:rPr>
          <w:rFonts w:ascii="宋体" w:hAnsi="宋体"/>
          <w:color w:val="auto"/>
          <w:szCs w:val="21"/>
          <w:highlight w:val="none"/>
        </w:rPr>
        <w:t>4</w:t>
      </w:r>
      <w:r>
        <w:rPr>
          <w:rFonts w:hint="eastAsia" w:ascii="宋体" w:hAnsi="宋体"/>
          <w:color w:val="auto"/>
          <w:szCs w:val="21"/>
          <w:highlight w:val="none"/>
        </w:rPr>
        <w:t>、承包人必须采取一切严密的、符合安全标准的预防措施，确保所有施工场所的安全，不得存在危及本公司及其他施工方人员的人身安全和健康，并保证施工现场所有人员或附近人员免遭施工现场可能发生的一切危险。否则造成的一切后果由承包人负责。</w:t>
      </w:r>
    </w:p>
    <w:p w14:paraId="4368BCAC">
      <w:pPr>
        <w:snapToGrid w:val="0"/>
        <w:spacing w:line="360" w:lineRule="auto"/>
        <w:ind w:left="-140" w:firstLine="317" w:firstLineChars="151"/>
        <w:jc w:val="left"/>
        <w:rPr>
          <w:rFonts w:asci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施工现场和施工人员的操作场所，必须严格按国家、政府规定的安全生产、文明施工标准做好防护工作，保证施工人员有安全可靠、卫生的工作环境。对不符合安全规定、违章操作的，发包人或监理单位有权要求停工和强行整改使之达到安全标准，所须费用从承包人单位工程款中扣除。</w:t>
      </w:r>
    </w:p>
    <w:p w14:paraId="37564AE1">
      <w:pPr>
        <w:snapToGrid w:val="0"/>
        <w:spacing w:line="360" w:lineRule="auto"/>
        <w:ind w:left="-140" w:firstLine="317" w:firstLineChars="151"/>
        <w:jc w:val="left"/>
        <w:rPr>
          <w:rFonts w:asci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、对电气焊等特种作业人员应持上岗，并坚持现场检查验收制度，禁止非特种作业人员从事特种作业。</w:t>
      </w:r>
    </w:p>
    <w:p w14:paraId="690A45DA">
      <w:pPr>
        <w:snapToGrid w:val="0"/>
        <w:spacing w:line="360" w:lineRule="auto"/>
        <w:ind w:left="-140" w:firstLine="317" w:firstLineChars="151"/>
        <w:jc w:val="left"/>
        <w:rPr>
          <w:rFonts w:asci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凡重要的劳动防护用品，购买必须符合国家标准。如：安全帽、安全带、安全网、漏电保护器、电焊机二次线保护器、配电箱、电缆、脚手架扣件等。承包人应给现场施工人员提供必须的和有效的安全用品，由于承包人防护用品不符合要求或安全防护用具不到位，所造成的安全事故均</w:t>
      </w:r>
      <w:r>
        <w:rPr>
          <w:rFonts w:hint="eastAsia" w:ascii="宋体" w:hAnsi="宋体"/>
          <w:color w:val="auto"/>
          <w:szCs w:val="21"/>
          <w:highlight w:val="none"/>
          <w:lang w:eastAsia="zh-CN"/>
        </w:rPr>
        <w:t>由</w:t>
      </w:r>
      <w:r>
        <w:rPr>
          <w:rFonts w:hint="eastAsia" w:ascii="宋体" w:hAnsi="宋体"/>
          <w:color w:val="auto"/>
          <w:szCs w:val="21"/>
          <w:highlight w:val="none"/>
        </w:rPr>
        <w:t>承包人自行负责。</w:t>
      </w:r>
    </w:p>
    <w:p w14:paraId="7B66F7F7">
      <w:pPr>
        <w:snapToGrid w:val="0"/>
        <w:spacing w:line="360" w:lineRule="auto"/>
        <w:ind w:left="-140" w:firstLine="317" w:firstLineChars="151"/>
        <w:jc w:val="left"/>
        <w:rPr>
          <w:rFonts w:ascii="宋体"/>
          <w:color w:val="auto"/>
          <w:szCs w:val="21"/>
          <w:highlight w:val="none"/>
        </w:rPr>
      </w:pPr>
      <w:r>
        <w:rPr>
          <w:rFonts w:ascii="宋体" w:hAnsi="宋体"/>
          <w:color w:val="auto"/>
          <w:szCs w:val="21"/>
          <w:highlight w:val="none"/>
        </w:rPr>
        <w:t>8</w:t>
      </w:r>
      <w:r>
        <w:rPr>
          <w:rFonts w:hint="eastAsia" w:ascii="宋体" w:hAnsi="宋体"/>
          <w:color w:val="auto"/>
          <w:szCs w:val="21"/>
          <w:highlight w:val="none"/>
        </w:rPr>
        <w:t>、承包人必须指定至少一名合格的且有经验的安全人员负责安全生产检查和防护措施落实，并配合发包人安全管理人员共同抓好安全工作。</w:t>
      </w:r>
    </w:p>
    <w:p w14:paraId="1668DB97">
      <w:pPr>
        <w:snapToGrid w:val="0"/>
        <w:spacing w:line="360" w:lineRule="auto"/>
        <w:ind w:left="-140" w:firstLine="317" w:firstLineChars="151"/>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9、承包人应严格按照发包人的消防安全管理制度以及施工现场的特殊要求组织施工，并接受发包人的安全检查。对发包人或监理单位所签发的隐患整改通知，承包人应在发包人指定的期限内立即整改完毕，逾期不改或整改不符合要求的，发包人或监理单位有权按规定要求承包人支付相应违约金。</w:t>
      </w:r>
    </w:p>
    <w:p w14:paraId="5F5ECE49">
      <w:pPr>
        <w:snapToGrid w:val="0"/>
        <w:spacing w:line="360" w:lineRule="auto"/>
        <w:ind w:left="-140" w:firstLine="317" w:firstLineChars="151"/>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10、发生事故应立即采取措施，保护现场，抢救伤员，防止事故扩大，并及时报告发包人和上级主管部门，组织事故调查小组，查清事故原因，确定事故责任，按照“四不放过”原则制定改进措施，提出对事故责任者的处理意见。</w:t>
      </w:r>
    </w:p>
    <w:p w14:paraId="3F65D871">
      <w:pPr>
        <w:snapToGrid w:val="0"/>
        <w:spacing w:line="360" w:lineRule="auto"/>
        <w:ind w:left="-140" w:firstLine="317" w:firstLineChars="151"/>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11、承包人因管理不善以及自身防范措施不力或施工人员责任造成的火灾、交通，人身伤亡等灾害事故。事故经济责任、事故法律责任以及事故的善后处理均由承包人独自承担。因此给发包人造成的经济损失由承包人负责赔偿。</w:t>
      </w:r>
    </w:p>
    <w:p w14:paraId="376B9023">
      <w:pPr>
        <w:snapToGrid w:val="0"/>
        <w:spacing w:line="360" w:lineRule="auto"/>
        <w:ind w:left="-140" w:firstLine="317" w:firstLineChars="151"/>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12、设置必要的职工生活设施，并符合卫生、通风、照明等要求。职员的膳食、饮水符合卫生要求，由于承包人管理不到位，所造成安全事故均</w:t>
      </w:r>
      <w:r>
        <w:rPr>
          <w:rFonts w:hint="eastAsia" w:ascii="宋体" w:hAnsi="宋体" w:eastAsia="宋体" w:cs="Times New Roman"/>
          <w:color w:val="auto"/>
          <w:szCs w:val="21"/>
          <w:highlight w:val="none"/>
          <w:lang w:eastAsia="zh-CN"/>
        </w:rPr>
        <w:t>由</w:t>
      </w:r>
      <w:r>
        <w:rPr>
          <w:rFonts w:hint="eastAsia" w:ascii="宋体" w:hAnsi="宋体" w:eastAsia="宋体" w:cs="Times New Roman"/>
          <w:color w:val="auto"/>
          <w:szCs w:val="21"/>
          <w:highlight w:val="none"/>
        </w:rPr>
        <w:t>承包人自行负责, 搭建的活动板房必须使用岩棉防火材料。</w:t>
      </w:r>
    </w:p>
    <w:p w14:paraId="4595C0B5">
      <w:pPr>
        <w:snapToGrid w:val="0"/>
        <w:spacing w:line="360" w:lineRule="auto"/>
        <w:ind w:left="-140" w:firstLine="317" w:firstLineChars="151"/>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13、所进入施工现场的化学品、易燃易爆等危险品，必须经门卫进行登记，仓库储存须有专人负责保管。由于承包人管理不到位，所造成安全事故均</w:t>
      </w:r>
      <w:r>
        <w:rPr>
          <w:rFonts w:hint="eastAsia" w:ascii="宋体" w:hAnsi="宋体" w:eastAsia="宋体" w:cs="Times New Roman"/>
          <w:color w:val="auto"/>
          <w:szCs w:val="21"/>
          <w:highlight w:val="none"/>
          <w:lang w:eastAsia="zh-CN"/>
        </w:rPr>
        <w:t>由</w:t>
      </w:r>
      <w:r>
        <w:rPr>
          <w:rFonts w:hint="eastAsia" w:ascii="宋体" w:hAnsi="宋体" w:eastAsia="宋体" w:cs="Times New Roman"/>
          <w:color w:val="auto"/>
          <w:szCs w:val="21"/>
          <w:highlight w:val="none"/>
        </w:rPr>
        <w:t>承包人自行负责。</w:t>
      </w:r>
    </w:p>
    <w:p w14:paraId="5504035F">
      <w:pPr>
        <w:snapToGrid w:val="0"/>
        <w:spacing w:line="360" w:lineRule="auto"/>
        <w:ind w:left="-140" w:firstLine="317" w:firstLineChars="151"/>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14、施工现场需动用明火时要按照规定严格执行动火审批制度，临时动火时要做到“五有”：有动火证、有防火责任人、有安全监护人、有足够的消防器材、有可靠的安全措施。因承包人未按规定程序要求操作，所造成安全事故均</w:t>
      </w:r>
      <w:r>
        <w:rPr>
          <w:rFonts w:hint="eastAsia" w:ascii="宋体" w:hAnsi="宋体" w:eastAsia="宋体" w:cs="Times New Roman"/>
          <w:color w:val="auto"/>
          <w:szCs w:val="21"/>
          <w:highlight w:val="none"/>
          <w:lang w:eastAsia="zh-CN"/>
        </w:rPr>
        <w:t>由</w:t>
      </w:r>
      <w:r>
        <w:rPr>
          <w:rFonts w:hint="eastAsia" w:ascii="宋体" w:hAnsi="宋体" w:eastAsia="宋体" w:cs="Times New Roman"/>
          <w:color w:val="auto"/>
          <w:szCs w:val="21"/>
          <w:highlight w:val="none"/>
        </w:rPr>
        <w:t>承包人自行负责。</w:t>
      </w:r>
    </w:p>
    <w:p w14:paraId="393BCDA5">
      <w:pPr>
        <w:snapToGrid w:val="0"/>
        <w:spacing w:line="360" w:lineRule="auto"/>
        <w:ind w:left="-140" w:firstLine="317" w:firstLineChars="151"/>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15、施工现场临时用电必须由现场专业电工统一接线，其他人员不得私自搭接临时电线，否则发生一切后果由承包人负责。</w:t>
      </w:r>
    </w:p>
    <w:p w14:paraId="2ABF7AB7">
      <w:pPr>
        <w:snapToGrid w:val="0"/>
        <w:spacing w:line="360" w:lineRule="auto"/>
        <w:ind w:left="-140" w:firstLine="317" w:firstLineChars="151"/>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三、处理</w:t>
      </w:r>
    </w:p>
    <w:p w14:paraId="635343C2">
      <w:pPr>
        <w:snapToGrid w:val="0"/>
        <w:spacing w:line="360" w:lineRule="auto"/>
        <w:ind w:left="-140" w:firstLine="317" w:firstLineChars="151"/>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承包人应认真接受发包人和监理单位对安全生产、文明施工的监督管理。凡安全隐患问题屡教不改的或整改措施不力的，每项每次承包人应承担500-50000元的违约金（违约金数额由发包人单独确认，承包人不得有异议），施工方负责人及当事人也应当承担违约责任,违约金（违约金数额由发包人单独确认，承包人不得有异议）也从工程款中扣除，承包人对此无异议；如因承包人管理责任或操作人员违反操作规范、规程发生人员伤亡事故或建设工地发生火灾事故，每项每次承包人应承担2-30万元违约金（违约金数额由发包人单独确认，承包人不得有异议），从工程款中扣除，施工负责人及当事人也应当承担违约责任，违约金（违约金数额由发包人单独确认，承包人不得有异议）也从工程款中扣除，承包人对此无异议。</w:t>
      </w:r>
    </w:p>
    <w:p w14:paraId="6E2DBA1D">
      <w:pPr>
        <w:snapToGrid w:val="0"/>
        <w:spacing w:line="360" w:lineRule="auto"/>
        <w:ind w:left="-140" w:firstLine="317" w:firstLineChars="151"/>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四、其他</w:t>
      </w:r>
    </w:p>
    <w:p w14:paraId="6710222F">
      <w:pPr>
        <w:snapToGrid w:val="0"/>
        <w:spacing w:line="360" w:lineRule="auto"/>
        <w:ind w:left="-140" w:firstLine="317" w:firstLineChars="151"/>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1、本协议一式捌份，发包人执伍份，承包人执叁份。</w:t>
      </w:r>
    </w:p>
    <w:p w14:paraId="7A426CFC">
      <w:pPr>
        <w:snapToGrid w:val="0"/>
        <w:spacing w:line="360" w:lineRule="auto"/>
        <w:ind w:left="-140" w:firstLine="317" w:firstLineChars="151"/>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2、本协议经双方签订后生效。</w:t>
      </w:r>
    </w:p>
    <w:p w14:paraId="66B06B70">
      <w:pPr>
        <w:snapToGrid w:val="0"/>
        <w:spacing w:line="360" w:lineRule="auto"/>
        <w:ind w:left="-140" w:firstLine="317" w:firstLineChars="151"/>
        <w:jc w:val="lef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3、本协议有效期自双方签字之日起至施工结束退场完毕时终止。</w:t>
      </w:r>
    </w:p>
    <w:p w14:paraId="242DE7D4">
      <w:pPr>
        <w:pStyle w:val="10"/>
        <w:rPr>
          <w:rFonts w:hint="eastAsia"/>
          <w:color w:val="auto"/>
          <w:highlight w:val="none"/>
        </w:rPr>
      </w:pPr>
    </w:p>
    <w:tbl>
      <w:tblPr>
        <w:tblStyle w:val="23"/>
        <w:tblW w:w="8738" w:type="dxa"/>
        <w:jc w:val="center"/>
        <w:tblLayout w:type="fixed"/>
        <w:tblCellMar>
          <w:top w:w="0" w:type="dxa"/>
          <w:left w:w="108" w:type="dxa"/>
          <w:bottom w:w="0" w:type="dxa"/>
          <w:right w:w="108" w:type="dxa"/>
        </w:tblCellMar>
      </w:tblPr>
      <w:tblGrid>
        <w:gridCol w:w="4620"/>
        <w:gridCol w:w="4118"/>
      </w:tblGrid>
      <w:tr w14:paraId="6B01A91D">
        <w:tblPrEx>
          <w:tblCellMar>
            <w:top w:w="0" w:type="dxa"/>
            <w:left w:w="108" w:type="dxa"/>
            <w:bottom w:w="0" w:type="dxa"/>
            <w:right w:w="108" w:type="dxa"/>
          </w:tblCellMar>
        </w:tblPrEx>
        <w:trPr>
          <w:trHeight w:val="460" w:hRule="atLeast"/>
          <w:jc w:val="center"/>
        </w:trPr>
        <w:tc>
          <w:tcPr>
            <w:tcW w:w="4620" w:type="dxa"/>
            <w:noWrap/>
            <w:vAlign w:val="top"/>
          </w:tcPr>
          <w:p w14:paraId="3BF6D807">
            <w:pPr>
              <w:tabs>
                <w:tab w:val="left" w:pos="360"/>
              </w:tabs>
              <w:spacing w:line="440" w:lineRule="exact"/>
              <w:rPr>
                <w:rFonts w:ascii="宋体" w:hAnsi="宋体"/>
                <w:color w:val="auto"/>
                <w:szCs w:val="21"/>
                <w:highlight w:val="none"/>
              </w:rPr>
            </w:pPr>
            <w:r>
              <w:rPr>
                <w:rFonts w:hint="eastAsia" w:ascii="宋体" w:hAnsi="宋体"/>
                <w:color w:val="auto"/>
                <w:szCs w:val="21"/>
                <w:highlight w:val="none"/>
              </w:rPr>
              <w:t>发包人：(公章)</w:t>
            </w:r>
          </w:p>
        </w:tc>
        <w:tc>
          <w:tcPr>
            <w:tcW w:w="4118" w:type="dxa"/>
            <w:noWrap/>
            <w:vAlign w:val="top"/>
          </w:tcPr>
          <w:p w14:paraId="57CC6E2D">
            <w:pPr>
              <w:tabs>
                <w:tab w:val="left" w:pos="360"/>
              </w:tabs>
              <w:spacing w:line="440" w:lineRule="exact"/>
              <w:rPr>
                <w:rFonts w:ascii="宋体" w:hAnsi="宋体"/>
                <w:color w:val="auto"/>
                <w:szCs w:val="21"/>
                <w:highlight w:val="none"/>
              </w:rPr>
            </w:pPr>
            <w:r>
              <w:rPr>
                <w:rFonts w:hint="eastAsia" w:ascii="宋体" w:hAnsi="宋体"/>
                <w:color w:val="auto"/>
                <w:szCs w:val="21"/>
                <w:highlight w:val="none"/>
              </w:rPr>
              <w:t>承包人：(公章)</w:t>
            </w:r>
          </w:p>
        </w:tc>
      </w:tr>
      <w:tr w14:paraId="17046C72">
        <w:tblPrEx>
          <w:tblCellMar>
            <w:top w:w="0" w:type="dxa"/>
            <w:left w:w="108" w:type="dxa"/>
            <w:bottom w:w="0" w:type="dxa"/>
            <w:right w:w="108" w:type="dxa"/>
          </w:tblCellMar>
        </w:tblPrEx>
        <w:trPr>
          <w:trHeight w:val="460" w:hRule="atLeast"/>
          <w:jc w:val="center"/>
        </w:trPr>
        <w:tc>
          <w:tcPr>
            <w:tcW w:w="4620" w:type="dxa"/>
            <w:noWrap/>
            <w:vAlign w:val="top"/>
          </w:tcPr>
          <w:p w14:paraId="74A29B0C">
            <w:pPr>
              <w:tabs>
                <w:tab w:val="left" w:pos="360"/>
              </w:tabs>
              <w:snapToGrid w:val="0"/>
              <w:spacing w:line="440" w:lineRule="exact"/>
              <w:rPr>
                <w:rFonts w:ascii="宋体" w:hAnsi="宋体"/>
                <w:color w:val="auto"/>
                <w:szCs w:val="21"/>
                <w:highlight w:val="none"/>
              </w:rPr>
            </w:pPr>
            <w:r>
              <w:rPr>
                <w:rFonts w:hint="eastAsia" w:ascii="宋体" w:hAnsi="宋体"/>
                <w:color w:val="auto"/>
                <w:szCs w:val="21"/>
                <w:highlight w:val="none"/>
              </w:rPr>
              <w:t>法定代表人：（签章）</w:t>
            </w:r>
          </w:p>
        </w:tc>
        <w:tc>
          <w:tcPr>
            <w:tcW w:w="4118" w:type="dxa"/>
            <w:noWrap/>
            <w:vAlign w:val="top"/>
          </w:tcPr>
          <w:p w14:paraId="7BF66892">
            <w:pPr>
              <w:tabs>
                <w:tab w:val="left" w:pos="360"/>
              </w:tabs>
              <w:snapToGrid w:val="0"/>
              <w:spacing w:line="440" w:lineRule="exact"/>
              <w:rPr>
                <w:rFonts w:ascii="宋体" w:hAnsi="宋体"/>
                <w:color w:val="auto"/>
                <w:szCs w:val="21"/>
                <w:highlight w:val="none"/>
              </w:rPr>
            </w:pPr>
            <w:r>
              <w:rPr>
                <w:rFonts w:hint="eastAsia" w:ascii="宋体" w:hAnsi="宋体"/>
                <w:color w:val="auto"/>
                <w:szCs w:val="21"/>
                <w:highlight w:val="none"/>
              </w:rPr>
              <w:t>法定代表人：（签章）</w:t>
            </w:r>
          </w:p>
        </w:tc>
      </w:tr>
      <w:tr w14:paraId="12729FF3">
        <w:tblPrEx>
          <w:tblCellMar>
            <w:top w:w="0" w:type="dxa"/>
            <w:left w:w="108" w:type="dxa"/>
            <w:bottom w:w="0" w:type="dxa"/>
            <w:right w:w="108" w:type="dxa"/>
          </w:tblCellMar>
        </w:tblPrEx>
        <w:trPr>
          <w:trHeight w:val="460" w:hRule="atLeast"/>
          <w:jc w:val="center"/>
        </w:trPr>
        <w:tc>
          <w:tcPr>
            <w:tcW w:w="4620" w:type="dxa"/>
            <w:noWrap/>
            <w:vAlign w:val="top"/>
          </w:tcPr>
          <w:p w14:paraId="4A3EC602">
            <w:pPr>
              <w:tabs>
                <w:tab w:val="left" w:pos="360"/>
              </w:tabs>
              <w:snapToGrid w:val="0"/>
              <w:spacing w:line="44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日期：</w:t>
            </w:r>
          </w:p>
        </w:tc>
        <w:tc>
          <w:tcPr>
            <w:tcW w:w="4118" w:type="dxa"/>
            <w:noWrap/>
            <w:vAlign w:val="top"/>
          </w:tcPr>
          <w:p w14:paraId="396A9979">
            <w:pPr>
              <w:tabs>
                <w:tab w:val="left" w:pos="360"/>
              </w:tabs>
              <w:snapToGrid w:val="0"/>
              <w:spacing w:line="44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日期：</w:t>
            </w:r>
          </w:p>
        </w:tc>
      </w:tr>
    </w:tbl>
    <w:p w14:paraId="4F4B155A">
      <w:pPr>
        <w:spacing w:line="520" w:lineRule="exact"/>
        <w:ind w:firstLine="539" w:firstLineChars="184"/>
        <w:rPr>
          <w:rFonts w:ascii="宋体"/>
          <w:b/>
          <w:color w:val="auto"/>
          <w:spacing w:val="6"/>
          <w:sz w:val="28"/>
          <w:highlight w:val="none"/>
        </w:rPr>
      </w:pPr>
    </w:p>
    <w:p w14:paraId="11396C08">
      <w:pPr>
        <w:rPr>
          <w:rFonts w:ascii="宋体" w:hAnsi="宋体"/>
          <w:color w:val="auto"/>
          <w:sz w:val="24"/>
          <w:highlight w:val="none"/>
        </w:rPr>
      </w:pPr>
      <w:r>
        <w:rPr>
          <w:rFonts w:hint="eastAsia" w:ascii="宋体" w:hAnsi="宋体"/>
          <w:color w:val="auto"/>
          <w:sz w:val="24"/>
          <w:highlight w:val="none"/>
        </w:rPr>
        <w:br w:type="page"/>
      </w:r>
      <w:r>
        <w:rPr>
          <w:rFonts w:hint="eastAsia" w:ascii="宋体" w:hAnsi="宋体"/>
          <w:color w:val="auto"/>
          <w:sz w:val="24"/>
          <w:highlight w:val="none"/>
        </w:rPr>
        <w:t>附件</w:t>
      </w:r>
      <w:r>
        <w:rPr>
          <w:rFonts w:hint="eastAsia" w:ascii="宋体" w:hAnsi="宋体"/>
          <w:color w:val="auto"/>
          <w:sz w:val="24"/>
          <w:highlight w:val="none"/>
          <w:lang w:val="en-US" w:eastAsia="zh-CN"/>
        </w:rPr>
        <w:t>4</w:t>
      </w:r>
      <w:r>
        <w:rPr>
          <w:rFonts w:hint="eastAsia" w:ascii="宋体" w:hAnsi="宋体"/>
          <w:color w:val="auto"/>
          <w:sz w:val="24"/>
          <w:highlight w:val="none"/>
        </w:rPr>
        <w:t>：</w:t>
      </w:r>
    </w:p>
    <w:p w14:paraId="5D96753B">
      <w:pPr>
        <w:snapToGrid w:val="0"/>
        <w:ind w:left="1" w:firstLine="424" w:firstLineChars="151"/>
        <w:jc w:val="center"/>
        <w:rPr>
          <w:rFonts w:ascii="宋体" w:hAnsi="宋体"/>
          <w:b/>
          <w:color w:val="auto"/>
          <w:sz w:val="28"/>
          <w:szCs w:val="28"/>
          <w:highlight w:val="none"/>
        </w:rPr>
      </w:pPr>
      <w:r>
        <w:rPr>
          <w:rFonts w:hint="eastAsia" w:ascii="宋体" w:hAnsi="宋体"/>
          <w:b/>
          <w:color w:val="auto"/>
          <w:sz w:val="28"/>
          <w:szCs w:val="28"/>
          <w:highlight w:val="none"/>
        </w:rPr>
        <w:t>工程质量保修书</w:t>
      </w:r>
    </w:p>
    <w:p w14:paraId="2330102D">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发包人：</w:t>
      </w:r>
      <w:r>
        <w:rPr>
          <w:rFonts w:hint="eastAsia" w:ascii="仿宋" w:hAnsi="仿宋" w:eastAsia="仿宋" w:cs="仿宋"/>
          <w:b/>
          <w:bCs/>
          <w:color w:val="auto"/>
          <w:szCs w:val="21"/>
          <w:highlight w:val="none"/>
          <w:u w:val="single"/>
        </w:rPr>
        <w:t>南</w:t>
      </w:r>
      <w:r>
        <w:rPr>
          <w:rFonts w:hint="eastAsia" w:ascii="仿宋" w:hAnsi="仿宋" w:eastAsia="仿宋" w:cs="仿宋"/>
          <w:b/>
          <w:bCs/>
          <w:color w:val="auto"/>
          <w:kern w:val="0"/>
          <w:szCs w:val="21"/>
          <w:highlight w:val="none"/>
          <w:u w:val="single"/>
        </w:rPr>
        <w:t>通市市政设施管理处</w:t>
      </w:r>
    </w:p>
    <w:p w14:paraId="6B54660F">
      <w:pPr>
        <w:spacing w:line="360" w:lineRule="auto"/>
        <w:ind w:firstLine="420" w:firstLineChars="200"/>
        <w:rPr>
          <w:rFonts w:hint="eastAsia" w:ascii="仿宋" w:hAnsi="仿宋" w:eastAsia="宋体" w:cs="仿宋"/>
          <w:b/>
          <w:bCs/>
          <w:color w:val="auto"/>
          <w:kern w:val="0"/>
          <w:szCs w:val="21"/>
          <w:highlight w:val="none"/>
          <w:u w:val="single"/>
          <w:lang w:eastAsia="zh-CN"/>
        </w:rPr>
      </w:pPr>
      <w:r>
        <w:rPr>
          <w:rFonts w:hint="eastAsia" w:ascii="宋体" w:hAnsi="宋体" w:cs="宋体"/>
          <w:color w:val="auto"/>
          <w:szCs w:val="21"/>
          <w:highlight w:val="none"/>
        </w:rPr>
        <w:t>承包人：</w:t>
      </w:r>
      <w:r>
        <w:rPr>
          <w:rFonts w:hint="eastAsia" w:ascii="仿宋" w:hAnsi="仿宋" w:eastAsia="仿宋" w:cs="仿宋"/>
          <w:b/>
          <w:bCs/>
          <w:color w:val="auto"/>
          <w:kern w:val="0"/>
          <w:sz w:val="21"/>
          <w:szCs w:val="21"/>
          <w:highlight w:val="none"/>
          <w:u w:val="single"/>
          <w:lang w:val="en-US" w:eastAsia="zh-CN"/>
        </w:rPr>
        <w:t>成交单位</w:t>
      </w:r>
    </w:p>
    <w:p w14:paraId="00E25E6A">
      <w:pPr>
        <w:spacing w:line="360" w:lineRule="auto"/>
        <w:ind w:firstLine="420" w:firstLineChars="200"/>
        <w:rPr>
          <w:rFonts w:eastAsia="仿宋_GB2312"/>
          <w:color w:val="auto"/>
          <w:szCs w:val="21"/>
          <w:highlight w:val="none"/>
        </w:rPr>
      </w:pPr>
      <w:r>
        <w:rPr>
          <w:rFonts w:hint="eastAsia" w:ascii="宋体" w:hAnsi="宋体" w:cs="宋体"/>
          <w:color w:val="auto"/>
          <w:szCs w:val="21"/>
          <w:highlight w:val="none"/>
        </w:rPr>
        <w:t>发包人、承包人根据《中华人民共和国建筑法》、《建设工程质量管理条例》和《房屋建筑工程质量保修办法》，经协商一致，签订工程质量保修书。</w:t>
      </w:r>
    </w:p>
    <w:p w14:paraId="443EAF3A">
      <w:pPr>
        <w:spacing w:line="360" w:lineRule="auto"/>
        <w:ind w:firstLine="420" w:firstLineChars="200"/>
        <w:rPr>
          <w:rFonts w:eastAsia="仿宋_GB2312"/>
          <w:color w:val="auto"/>
          <w:szCs w:val="21"/>
          <w:highlight w:val="none"/>
        </w:rPr>
      </w:pPr>
      <w:r>
        <w:rPr>
          <w:rFonts w:hint="eastAsia" w:ascii="宋体" w:hAnsi="宋体" w:cs="宋体"/>
          <w:color w:val="auto"/>
          <w:szCs w:val="21"/>
          <w:highlight w:val="none"/>
        </w:rPr>
        <w:t>一、工程质量保修范围和内容</w:t>
      </w:r>
    </w:p>
    <w:p w14:paraId="439ED29B">
      <w:pPr>
        <w:spacing w:line="360" w:lineRule="auto"/>
        <w:ind w:firstLine="200"/>
        <w:rPr>
          <w:rFonts w:eastAsia="仿宋_GB2312"/>
          <w:color w:val="auto"/>
          <w:szCs w:val="21"/>
          <w:highlight w:val="none"/>
        </w:rPr>
      </w:pPr>
      <w:r>
        <w:rPr>
          <w:rFonts w:hint="eastAsia" w:ascii="宋体" w:hAnsi="宋体" w:cs="宋体"/>
          <w:color w:val="auto"/>
          <w:szCs w:val="21"/>
          <w:highlight w:val="none"/>
        </w:rPr>
        <w:t>　承包人在质量保修期内，按照有关法律规定和合同约定，承担工程质量保修责任。建设工程在保修范围和保修期限内发生质量问题的，</w:t>
      </w:r>
      <w:r>
        <w:rPr>
          <w:rFonts w:hint="eastAsia" w:ascii="宋体" w:hAnsi="宋体" w:cs="宋体"/>
          <w:color w:val="auto"/>
          <w:szCs w:val="21"/>
          <w:highlight w:val="none"/>
          <w:lang w:val="en-US" w:eastAsia="zh-CN"/>
        </w:rPr>
        <w:t>承包人</w:t>
      </w:r>
      <w:r>
        <w:rPr>
          <w:rFonts w:hint="eastAsia" w:ascii="宋体" w:hAnsi="宋体" w:cs="宋体"/>
          <w:color w:val="auto"/>
          <w:szCs w:val="21"/>
          <w:highlight w:val="none"/>
        </w:rPr>
        <w:t>应当履行保修义务，并对造成的损失承担赔偿责任。</w:t>
      </w:r>
    </w:p>
    <w:p w14:paraId="65B28B7B">
      <w:pPr>
        <w:spacing w:line="360" w:lineRule="auto"/>
        <w:ind w:firstLine="200"/>
        <w:rPr>
          <w:rFonts w:eastAsia="仿宋_GB2312"/>
          <w:color w:val="auto"/>
          <w:szCs w:val="21"/>
          <w:highlight w:val="none"/>
        </w:rPr>
      </w:pPr>
      <w:r>
        <w:rPr>
          <w:rFonts w:hint="eastAsia" w:ascii="宋体" w:hAnsi="宋体" w:cs="宋体"/>
          <w:color w:val="auto"/>
          <w:szCs w:val="21"/>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b/>
          <w:bCs/>
          <w:color w:val="auto"/>
          <w:szCs w:val="21"/>
          <w:highlight w:val="none"/>
          <w:u w:val="single"/>
        </w:rPr>
        <w:t>承包人所施工的内容。</w:t>
      </w:r>
    </w:p>
    <w:p w14:paraId="00D468E4">
      <w:pPr>
        <w:spacing w:line="360" w:lineRule="auto"/>
        <w:ind w:firstLine="200"/>
        <w:rPr>
          <w:rFonts w:eastAsia="仿宋_GB2312"/>
          <w:color w:val="auto"/>
          <w:szCs w:val="21"/>
          <w:highlight w:val="none"/>
        </w:rPr>
      </w:pPr>
      <w:r>
        <w:rPr>
          <w:rFonts w:hint="eastAsia" w:ascii="宋体" w:hAnsi="宋体" w:cs="宋体"/>
          <w:b/>
          <w:color w:val="auto"/>
          <w:szCs w:val="21"/>
          <w:highlight w:val="none"/>
        </w:rPr>
        <w:t>　</w:t>
      </w:r>
      <w:r>
        <w:rPr>
          <w:rFonts w:hint="eastAsia" w:ascii="宋体" w:hAnsi="宋体" w:cs="宋体"/>
          <w:color w:val="auto"/>
          <w:szCs w:val="21"/>
          <w:highlight w:val="none"/>
        </w:rPr>
        <w:t>二、质量保修期</w:t>
      </w:r>
    </w:p>
    <w:p w14:paraId="788CF482">
      <w:pPr>
        <w:spacing w:line="360" w:lineRule="auto"/>
        <w:ind w:firstLine="420" w:firstLineChars="200"/>
        <w:rPr>
          <w:rFonts w:eastAsia="仿宋_GB2312"/>
          <w:color w:val="auto"/>
          <w:szCs w:val="21"/>
          <w:highlight w:val="none"/>
        </w:rPr>
      </w:pPr>
      <w:r>
        <w:rPr>
          <w:rFonts w:hint="eastAsia" w:ascii="宋体" w:hAnsi="宋体" w:cs="宋体"/>
          <w:color w:val="auto"/>
          <w:szCs w:val="21"/>
          <w:highlight w:val="none"/>
        </w:rPr>
        <w:t>根据《建设工程质量管理条例》及有关规定，工程的质量保修期如下：</w:t>
      </w:r>
    </w:p>
    <w:p w14:paraId="6A485EFA">
      <w:pPr>
        <w:spacing w:line="360" w:lineRule="auto"/>
        <w:ind w:firstLine="420" w:firstLineChars="200"/>
        <w:rPr>
          <w:rFonts w:eastAsia="仿宋_GB2312"/>
          <w:color w:val="auto"/>
          <w:szCs w:val="21"/>
          <w:highlight w:val="none"/>
        </w:rPr>
      </w:pPr>
      <w:r>
        <w:rPr>
          <w:rFonts w:eastAsia="仿宋_GB2312"/>
          <w:color w:val="auto"/>
          <w:szCs w:val="21"/>
          <w:highlight w:val="none"/>
        </w:rPr>
        <w:t>1</w:t>
      </w:r>
      <w:r>
        <w:rPr>
          <w:rFonts w:hint="eastAsia" w:ascii="宋体" w:hAnsi="宋体" w:cs="宋体"/>
          <w:color w:val="auto"/>
          <w:szCs w:val="21"/>
          <w:highlight w:val="none"/>
        </w:rPr>
        <w:t>．地基基础工程和主体结构工程为设计文件规定的工程合理使用年限；</w:t>
      </w:r>
    </w:p>
    <w:p w14:paraId="66DABBEF">
      <w:pPr>
        <w:spacing w:line="360" w:lineRule="auto"/>
        <w:ind w:firstLine="420" w:firstLineChars="200"/>
        <w:rPr>
          <w:rFonts w:eastAsia="仿宋_GB2312"/>
          <w:color w:val="auto"/>
          <w:szCs w:val="21"/>
          <w:highlight w:val="none"/>
        </w:rPr>
      </w:pPr>
      <w:r>
        <w:rPr>
          <w:rFonts w:eastAsia="仿宋_GB2312"/>
          <w:color w:val="auto"/>
          <w:szCs w:val="21"/>
          <w:highlight w:val="none"/>
        </w:rPr>
        <w:t>2</w:t>
      </w:r>
      <w:r>
        <w:rPr>
          <w:rFonts w:hint="eastAsia" w:ascii="宋体" w:hAnsi="宋体" w:cs="宋体"/>
          <w:color w:val="auto"/>
          <w:szCs w:val="21"/>
          <w:highlight w:val="none"/>
        </w:rPr>
        <w:t>．屋面防水工程、有防水要求的卫生间、房间和外墙面的防渗为</w:t>
      </w:r>
      <w:r>
        <w:rPr>
          <w:rFonts w:eastAsia="仿宋_GB2312"/>
          <w:color w:val="auto"/>
          <w:szCs w:val="21"/>
          <w:highlight w:val="none"/>
          <w:u w:val="single"/>
        </w:rPr>
        <w:t>5</w:t>
      </w:r>
      <w:r>
        <w:rPr>
          <w:rFonts w:hint="eastAsia" w:ascii="宋体" w:hAnsi="宋体" w:cs="宋体"/>
          <w:color w:val="auto"/>
          <w:szCs w:val="21"/>
          <w:highlight w:val="none"/>
        </w:rPr>
        <w:t>年；</w:t>
      </w:r>
    </w:p>
    <w:p w14:paraId="014EB62C">
      <w:pPr>
        <w:spacing w:line="360" w:lineRule="auto"/>
        <w:ind w:firstLine="420" w:firstLineChars="200"/>
        <w:rPr>
          <w:rFonts w:eastAsia="仿宋_GB2312"/>
          <w:color w:val="auto"/>
          <w:szCs w:val="21"/>
          <w:highlight w:val="none"/>
        </w:rPr>
      </w:pPr>
      <w:r>
        <w:rPr>
          <w:rFonts w:eastAsia="仿宋_GB2312"/>
          <w:color w:val="auto"/>
          <w:szCs w:val="21"/>
          <w:highlight w:val="none"/>
        </w:rPr>
        <w:t>3</w:t>
      </w:r>
      <w:r>
        <w:rPr>
          <w:rFonts w:hint="eastAsia" w:ascii="宋体" w:hAnsi="宋体" w:cs="宋体"/>
          <w:color w:val="auto"/>
          <w:szCs w:val="21"/>
          <w:highlight w:val="none"/>
        </w:rPr>
        <w:t>．装修工程为</w:t>
      </w:r>
      <w:r>
        <w:rPr>
          <w:rFonts w:eastAsia="仿宋_GB2312"/>
          <w:color w:val="auto"/>
          <w:szCs w:val="21"/>
          <w:highlight w:val="none"/>
          <w:u w:val="single"/>
        </w:rPr>
        <w:t>2</w:t>
      </w:r>
      <w:r>
        <w:rPr>
          <w:rFonts w:hint="eastAsia" w:ascii="宋体" w:hAnsi="宋体" w:cs="宋体"/>
          <w:color w:val="auto"/>
          <w:szCs w:val="21"/>
          <w:highlight w:val="none"/>
        </w:rPr>
        <w:t>年；</w:t>
      </w:r>
    </w:p>
    <w:p w14:paraId="093D3FEA">
      <w:pPr>
        <w:spacing w:line="360" w:lineRule="auto"/>
        <w:ind w:firstLine="420" w:firstLineChars="200"/>
        <w:rPr>
          <w:rFonts w:eastAsia="仿宋_GB2312"/>
          <w:color w:val="auto"/>
          <w:szCs w:val="21"/>
          <w:highlight w:val="none"/>
        </w:rPr>
      </w:pPr>
      <w:r>
        <w:rPr>
          <w:rFonts w:eastAsia="仿宋_GB2312"/>
          <w:color w:val="auto"/>
          <w:szCs w:val="21"/>
          <w:highlight w:val="none"/>
        </w:rPr>
        <w:t>4</w:t>
      </w:r>
      <w:r>
        <w:rPr>
          <w:rFonts w:hint="eastAsia" w:ascii="宋体" w:hAnsi="宋体" w:cs="宋体"/>
          <w:color w:val="auto"/>
          <w:szCs w:val="21"/>
          <w:highlight w:val="none"/>
        </w:rPr>
        <w:t>．电气管线、给排水管道、设备安装工程为</w:t>
      </w:r>
      <w:r>
        <w:rPr>
          <w:rFonts w:eastAsia="仿宋_GB2312"/>
          <w:color w:val="auto"/>
          <w:szCs w:val="21"/>
          <w:highlight w:val="none"/>
          <w:u w:val="single"/>
        </w:rPr>
        <w:t>2</w:t>
      </w:r>
      <w:r>
        <w:rPr>
          <w:rFonts w:hint="eastAsia" w:ascii="宋体" w:hAnsi="宋体" w:cs="宋体"/>
          <w:color w:val="auto"/>
          <w:szCs w:val="21"/>
          <w:highlight w:val="none"/>
        </w:rPr>
        <w:t>年；</w:t>
      </w:r>
    </w:p>
    <w:p w14:paraId="03EE0FC2">
      <w:pPr>
        <w:spacing w:line="360" w:lineRule="auto"/>
        <w:ind w:firstLine="420" w:firstLineChars="200"/>
        <w:rPr>
          <w:rFonts w:eastAsia="仿宋_GB2312"/>
          <w:color w:val="auto"/>
          <w:szCs w:val="21"/>
          <w:highlight w:val="none"/>
        </w:rPr>
      </w:pPr>
      <w:r>
        <w:rPr>
          <w:rFonts w:eastAsia="仿宋_GB2312"/>
          <w:color w:val="auto"/>
          <w:szCs w:val="21"/>
          <w:highlight w:val="none"/>
        </w:rPr>
        <w:t>5</w:t>
      </w:r>
      <w:r>
        <w:rPr>
          <w:rFonts w:hint="eastAsia" w:ascii="宋体" w:hAnsi="宋体" w:cs="宋体"/>
          <w:color w:val="auto"/>
          <w:szCs w:val="21"/>
          <w:highlight w:val="none"/>
        </w:rPr>
        <w:t>．供热与供冷系统为</w:t>
      </w:r>
      <w:r>
        <w:rPr>
          <w:rFonts w:eastAsia="仿宋_GB2312"/>
          <w:color w:val="auto"/>
          <w:szCs w:val="21"/>
          <w:highlight w:val="none"/>
          <w:u w:val="single"/>
        </w:rPr>
        <w:t>2</w:t>
      </w:r>
      <w:r>
        <w:rPr>
          <w:rFonts w:hint="eastAsia" w:ascii="宋体" w:hAnsi="宋体" w:cs="宋体"/>
          <w:color w:val="auto"/>
          <w:szCs w:val="21"/>
          <w:highlight w:val="none"/>
        </w:rPr>
        <w:t>个采暖期、供冷期；</w:t>
      </w:r>
    </w:p>
    <w:p w14:paraId="28D29F61">
      <w:pPr>
        <w:spacing w:line="360" w:lineRule="auto"/>
        <w:ind w:firstLine="420" w:firstLineChars="200"/>
        <w:rPr>
          <w:rFonts w:eastAsia="仿宋_GB2312"/>
          <w:color w:val="auto"/>
          <w:szCs w:val="21"/>
          <w:highlight w:val="none"/>
        </w:rPr>
      </w:pPr>
      <w:r>
        <w:rPr>
          <w:rFonts w:eastAsia="仿宋_GB2312"/>
          <w:color w:val="auto"/>
          <w:szCs w:val="21"/>
          <w:highlight w:val="none"/>
        </w:rPr>
        <w:t>6</w:t>
      </w:r>
      <w:r>
        <w:rPr>
          <w:rFonts w:hint="eastAsia" w:ascii="宋体" w:hAnsi="宋体" w:cs="宋体"/>
          <w:color w:val="auto"/>
          <w:szCs w:val="21"/>
          <w:highlight w:val="none"/>
        </w:rPr>
        <w:t>．住宅小区内的给排水设施、道路等配套工程为</w:t>
      </w:r>
      <w:r>
        <w:rPr>
          <w:rFonts w:eastAsia="仿宋_GB2312"/>
          <w:color w:val="auto"/>
          <w:szCs w:val="21"/>
          <w:highlight w:val="none"/>
          <w:u w:val="single"/>
        </w:rPr>
        <w:t>2</w:t>
      </w:r>
      <w:r>
        <w:rPr>
          <w:rFonts w:hint="eastAsia" w:ascii="宋体" w:hAnsi="宋体" w:cs="宋体"/>
          <w:color w:val="auto"/>
          <w:szCs w:val="21"/>
          <w:highlight w:val="none"/>
        </w:rPr>
        <w:t>年；</w:t>
      </w:r>
    </w:p>
    <w:p w14:paraId="7334C832">
      <w:pPr>
        <w:spacing w:line="360" w:lineRule="auto"/>
        <w:ind w:firstLine="420" w:firstLineChars="200"/>
        <w:rPr>
          <w:rFonts w:eastAsia="仿宋_GB2312"/>
          <w:color w:val="auto"/>
          <w:szCs w:val="21"/>
          <w:highlight w:val="none"/>
        </w:rPr>
      </w:pPr>
      <w:r>
        <w:rPr>
          <w:rFonts w:eastAsia="仿宋_GB2312"/>
          <w:color w:val="auto"/>
          <w:szCs w:val="21"/>
          <w:highlight w:val="none"/>
        </w:rPr>
        <w:t>7</w:t>
      </w:r>
      <w:r>
        <w:rPr>
          <w:rFonts w:hint="eastAsia" w:ascii="宋体" w:hAnsi="宋体" w:cs="宋体"/>
          <w:color w:val="auto"/>
          <w:szCs w:val="21"/>
          <w:highlight w:val="none"/>
        </w:rPr>
        <w:t>．其他项目保修期限约定如下：</w:t>
      </w:r>
      <w:r>
        <w:rPr>
          <w:rFonts w:hint="eastAsia" w:ascii="仿宋" w:hAnsi="仿宋" w:eastAsia="仿宋" w:cs="仿宋"/>
          <w:b/>
          <w:bCs/>
          <w:color w:val="auto"/>
          <w:szCs w:val="21"/>
          <w:highlight w:val="none"/>
          <w:u w:val="single"/>
          <w:lang w:val="en-US" w:eastAsia="zh-CN"/>
        </w:rPr>
        <w:t>……</w:t>
      </w:r>
      <w:r>
        <w:rPr>
          <w:rFonts w:hint="eastAsia" w:ascii="宋体" w:hAnsi="宋体" w:cs="宋体"/>
          <w:color w:val="auto"/>
          <w:szCs w:val="21"/>
          <w:highlight w:val="none"/>
        </w:rPr>
        <w:t>。</w:t>
      </w:r>
    </w:p>
    <w:p w14:paraId="0AB9AAEB">
      <w:pPr>
        <w:spacing w:line="360" w:lineRule="auto"/>
        <w:ind w:firstLine="200"/>
        <w:rPr>
          <w:rFonts w:eastAsia="仿宋_GB2312"/>
          <w:color w:val="auto"/>
          <w:szCs w:val="21"/>
          <w:highlight w:val="none"/>
        </w:rPr>
      </w:pPr>
      <w:r>
        <w:rPr>
          <w:rFonts w:hint="eastAsia" w:ascii="宋体" w:hAnsi="宋体" w:cs="宋体"/>
          <w:color w:val="auto"/>
          <w:szCs w:val="21"/>
          <w:highlight w:val="none"/>
        </w:rPr>
        <w:t>　　质量保修期自</w:t>
      </w:r>
      <w:r>
        <w:rPr>
          <w:rFonts w:hint="eastAsia" w:ascii="宋体" w:hAnsi="宋体" w:cs="宋体"/>
          <w:b/>
          <w:bCs/>
          <w:color w:val="auto"/>
          <w:szCs w:val="21"/>
          <w:highlight w:val="none"/>
        </w:rPr>
        <w:t>工程竣工验收合格之日</w:t>
      </w:r>
      <w:r>
        <w:rPr>
          <w:rFonts w:hint="eastAsia" w:ascii="宋体" w:hAnsi="宋体" w:cs="宋体"/>
          <w:color w:val="auto"/>
          <w:szCs w:val="21"/>
          <w:highlight w:val="none"/>
        </w:rPr>
        <w:t>起计算。</w:t>
      </w:r>
    </w:p>
    <w:p w14:paraId="269C9E4E">
      <w:pPr>
        <w:spacing w:line="360" w:lineRule="auto"/>
        <w:ind w:firstLine="420" w:firstLineChars="200"/>
        <w:rPr>
          <w:rFonts w:eastAsia="仿宋_GB2312"/>
          <w:color w:val="auto"/>
          <w:szCs w:val="21"/>
          <w:highlight w:val="none"/>
        </w:rPr>
      </w:pPr>
      <w:r>
        <w:rPr>
          <w:rFonts w:hint="eastAsia" w:ascii="宋体" w:hAnsi="宋体" w:cs="宋体"/>
          <w:color w:val="auto"/>
          <w:szCs w:val="21"/>
          <w:highlight w:val="none"/>
        </w:rPr>
        <w:t>三、缺陷责任期</w:t>
      </w:r>
    </w:p>
    <w:p w14:paraId="10BD36D0">
      <w:pPr>
        <w:spacing w:line="360" w:lineRule="auto"/>
        <w:ind w:firstLine="420" w:firstLineChars="200"/>
        <w:rPr>
          <w:rFonts w:eastAsia="仿宋_GB2312"/>
          <w:color w:val="auto"/>
          <w:szCs w:val="21"/>
          <w:highlight w:val="none"/>
        </w:rPr>
      </w:pPr>
      <w:r>
        <w:rPr>
          <w:rFonts w:hint="eastAsia" w:ascii="宋体" w:hAnsi="宋体" w:cs="宋体"/>
          <w:color w:val="auto"/>
          <w:szCs w:val="21"/>
          <w:highlight w:val="none"/>
        </w:rPr>
        <w:t>工程缺陷责任期为</w:t>
      </w:r>
      <w:r>
        <w:rPr>
          <w:rFonts w:hint="eastAsia" w:ascii="仿宋" w:hAnsi="仿宋" w:eastAsia="仿宋" w:cs="仿宋"/>
          <w:b/>
          <w:bCs/>
          <w:color w:val="auto"/>
          <w:szCs w:val="21"/>
          <w:highlight w:val="none"/>
          <w:u w:val="single"/>
          <w:lang w:val="en-US" w:eastAsia="zh-CN"/>
        </w:rPr>
        <w:t>……</w:t>
      </w:r>
      <w:r>
        <w:rPr>
          <w:rFonts w:hint="eastAsia" w:ascii="宋体" w:hAnsi="宋体" w:cs="宋体"/>
          <w:color w:val="auto"/>
          <w:szCs w:val="21"/>
          <w:highlight w:val="none"/>
        </w:rPr>
        <w:t>个月，缺陷责任期自工程竣工验收合格之日起计算。单位工程先于全部工程进行验收，单位工程缺陷责任期自单位工程验收合格之日起算。</w:t>
      </w:r>
    </w:p>
    <w:p w14:paraId="177DFF8F">
      <w:pPr>
        <w:spacing w:line="360" w:lineRule="auto"/>
        <w:ind w:firstLine="420" w:firstLineChars="200"/>
        <w:rPr>
          <w:rFonts w:eastAsia="仿宋_GB2312"/>
          <w:color w:val="auto"/>
          <w:szCs w:val="21"/>
          <w:highlight w:val="none"/>
        </w:rPr>
      </w:pPr>
      <w:r>
        <w:rPr>
          <w:rFonts w:hint="eastAsia" w:ascii="宋体" w:hAnsi="宋体" w:cs="宋体"/>
          <w:color w:val="auto"/>
          <w:szCs w:val="21"/>
          <w:highlight w:val="none"/>
        </w:rPr>
        <w:t>四、质量保修责任</w:t>
      </w:r>
    </w:p>
    <w:p w14:paraId="17F26D5C">
      <w:pPr>
        <w:spacing w:line="360" w:lineRule="auto"/>
        <w:ind w:firstLine="420" w:firstLineChars="200"/>
        <w:rPr>
          <w:rFonts w:eastAsia="仿宋_GB2312"/>
          <w:color w:val="auto"/>
          <w:szCs w:val="21"/>
          <w:highlight w:val="none"/>
        </w:rPr>
      </w:pPr>
      <w:r>
        <w:rPr>
          <w:rFonts w:eastAsia="仿宋_GB2312"/>
          <w:color w:val="auto"/>
          <w:szCs w:val="21"/>
          <w:highlight w:val="none"/>
        </w:rPr>
        <w:t>1.</w:t>
      </w:r>
      <w:r>
        <w:rPr>
          <w:rFonts w:hint="eastAsia" w:ascii="宋体" w:hAnsi="宋体" w:cs="宋体"/>
          <w:color w:val="auto"/>
          <w:szCs w:val="21"/>
          <w:highlight w:val="none"/>
        </w:rPr>
        <w:t>属于保修范围、内容的项目，承包人应当在接到保修通知之日起</w:t>
      </w:r>
      <w:r>
        <w:rPr>
          <w:rFonts w:eastAsia="仿宋_GB2312"/>
          <w:color w:val="auto"/>
          <w:szCs w:val="21"/>
          <w:highlight w:val="none"/>
        </w:rPr>
        <w:t>7</w:t>
      </w:r>
      <w:r>
        <w:rPr>
          <w:rFonts w:hint="eastAsia" w:ascii="宋体" w:hAnsi="宋体" w:cs="宋体"/>
          <w:color w:val="auto"/>
          <w:szCs w:val="21"/>
          <w:highlight w:val="none"/>
        </w:rPr>
        <w:t>天内派人保修。承包人不在约定期限内派人保修的，发包人可以委托他人修理，保修费从工程质量保修金内扣除。</w:t>
      </w:r>
    </w:p>
    <w:p w14:paraId="43A40EFE">
      <w:pPr>
        <w:spacing w:line="360" w:lineRule="auto"/>
        <w:ind w:firstLine="420" w:firstLineChars="200"/>
        <w:rPr>
          <w:rFonts w:eastAsia="仿宋_GB2312"/>
          <w:color w:val="auto"/>
          <w:szCs w:val="21"/>
          <w:highlight w:val="none"/>
        </w:rPr>
      </w:pPr>
      <w:r>
        <w:rPr>
          <w:rFonts w:eastAsia="仿宋_GB2312"/>
          <w:color w:val="auto"/>
          <w:szCs w:val="21"/>
          <w:highlight w:val="none"/>
        </w:rPr>
        <w:t>2.</w:t>
      </w:r>
      <w:r>
        <w:rPr>
          <w:rFonts w:hint="eastAsia" w:ascii="宋体" w:hAnsi="宋体" w:cs="宋体"/>
          <w:color w:val="auto"/>
          <w:szCs w:val="21"/>
          <w:highlight w:val="none"/>
        </w:rPr>
        <w:t>发生紧急抢修事故的，承包人在接到事故通知后，应当立即到达事故现场抢修。</w:t>
      </w:r>
    </w:p>
    <w:p w14:paraId="3CB86737">
      <w:pPr>
        <w:spacing w:line="360" w:lineRule="auto"/>
        <w:ind w:firstLine="420" w:firstLineChars="200"/>
        <w:rPr>
          <w:rFonts w:eastAsia="仿宋_GB2312"/>
          <w:color w:val="auto"/>
          <w:szCs w:val="21"/>
          <w:highlight w:val="none"/>
        </w:rPr>
      </w:pPr>
      <w:r>
        <w:rPr>
          <w:rFonts w:eastAsia="仿宋_GB2312"/>
          <w:color w:val="auto"/>
          <w:szCs w:val="21"/>
          <w:highlight w:val="none"/>
        </w:rPr>
        <w:t>3.</w:t>
      </w:r>
      <w:r>
        <w:rPr>
          <w:rFonts w:hint="eastAsia" w:ascii="宋体" w:hAnsi="宋体" w:cs="宋体"/>
          <w:color w:val="auto"/>
          <w:szCs w:val="21"/>
          <w:highlight w:val="none"/>
        </w:rPr>
        <w:t>对于涉及结构安全的质量问题，应当按照《建设工程质量管理条例》的规定，立即向当地建设行政主管部门报告，采取安全防范措施，由原设计单位或者具有相应资质等级的设计单位提出保修方案，承包人实施保修。</w:t>
      </w:r>
    </w:p>
    <w:p w14:paraId="1FE19C51">
      <w:pPr>
        <w:spacing w:line="360" w:lineRule="auto"/>
        <w:ind w:firstLine="420" w:firstLineChars="200"/>
        <w:rPr>
          <w:rFonts w:eastAsia="仿宋_GB2312"/>
          <w:color w:val="auto"/>
          <w:szCs w:val="21"/>
          <w:highlight w:val="none"/>
        </w:rPr>
      </w:pPr>
      <w:r>
        <w:rPr>
          <w:rFonts w:eastAsia="仿宋_GB2312"/>
          <w:color w:val="auto"/>
          <w:szCs w:val="21"/>
          <w:highlight w:val="none"/>
        </w:rPr>
        <w:t>4.</w:t>
      </w:r>
      <w:r>
        <w:rPr>
          <w:rFonts w:hint="eastAsia" w:ascii="宋体" w:hAnsi="宋体" w:cs="宋体"/>
          <w:color w:val="auto"/>
          <w:szCs w:val="21"/>
          <w:highlight w:val="none"/>
        </w:rPr>
        <w:t>质量保修完成后，由发包人组织验收。</w:t>
      </w:r>
    </w:p>
    <w:p w14:paraId="1E4B580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五</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双方约定的其他工程质量保修事项：</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4C33AC9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工程质量保修书由发包人、承包人在工程竣工验收前共同签署，作为施工合同附件，其有效期限至保修期满。</w:t>
      </w:r>
    </w:p>
    <w:p w14:paraId="733FC565">
      <w:pPr>
        <w:spacing w:after="120" w:line="360" w:lineRule="auto"/>
        <w:ind w:left="420" w:leftChars="200"/>
        <w:rPr>
          <w:color w:val="auto"/>
          <w:szCs w:val="21"/>
          <w:highlight w:val="none"/>
        </w:rPr>
      </w:pPr>
    </w:p>
    <w:tbl>
      <w:tblPr>
        <w:tblStyle w:val="23"/>
        <w:tblW w:w="8738" w:type="dxa"/>
        <w:jc w:val="center"/>
        <w:tblLayout w:type="fixed"/>
        <w:tblCellMar>
          <w:top w:w="0" w:type="dxa"/>
          <w:left w:w="108" w:type="dxa"/>
          <w:bottom w:w="0" w:type="dxa"/>
          <w:right w:w="108" w:type="dxa"/>
        </w:tblCellMar>
      </w:tblPr>
      <w:tblGrid>
        <w:gridCol w:w="4620"/>
        <w:gridCol w:w="4118"/>
      </w:tblGrid>
      <w:tr w14:paraId="05FDC643">
        <w:tblPrEx>
          <w:tblCellMar>
            <w:top w:w="0" w:type="dxa"/>
            <w:left w:w="108" w:type="dxa"/>
            <w:bottom w:w="0" w:type="dxa"/>
            <w:right w:w="108" w:type="dxa"/>
          </w:tblCellMar>
        </w:tblPrEx>
        <w:trPr>
          <w:trHeight w:val="460" w:hRule="atLeast"/>
          <w:jc w:val="center"/>
        </w:trPr>
        <w:tc>
          <w:tcPr>
            <w:tcW w:w="4620" w:type="dxa"/>
            <w:noWrap/>
            <w:vAlign w:val="top"/>
          </w:tcPr>
          <w:p w14:paraId="3DFD1063">
            <w:pPr>
              <w:tabs>
                <w:tab w:val="left" w:pos="360"/>
              </w:tabs>
              <w:spacing w:line="440" w:lineRule="exact"/>
              <w:rPr>
                <w:rFonts w:ascii="宋体" w:hAnsi="宋体"/>
                <w:color w:val="auto"/>
                <w:szCs w:val="21"/>
                <w:highlight w:val="none"/>
              </w:rPr>
            </w:pPr>
            <w:r>
              <w:rPr>
                <w:rFonts w:hint="eastAsia" w:ascii="宋体" w:hAnsi="宋体"/>
                <w:color w:val="auto"/>
                <w:szCs w:val="21"/>
                <w:highlight w:val="none"/>
              </w:rPr>
              <w:t>发包人：(公章)</w:t>
            </w:r>
          </w:p>
        </w:tc>
        <w:tc>
          <w:tcPr>
            <w:tcW w:w="4118" w:type="dxa"/>
            <w:noWrap/>
            <w:vAlign w:val="top"/>
          </w:tcPr>
          <w:p w14:paraId="55AECD96">
            <w:pPr>
              <w:tabs>
                <w:tab w:val="left" w:pos="360"/>
              </w:tabs>
              <w:spacing w:line="440" w:lineRule="exact"/>
              <w:rPr>
                <w:rFonts w:ascii="宋体" w:hAnsi="宋体"/>
                <w:color w:val="auto"/>
                <w:szCs w:val="21"/>
                <w:highlight w:val="none"/>
              </w:rPr>
            </w:pPr>
            <w:r>
              <w:rPr>
                <w:rFonts w:hint="eastAsia" w:ascii="宋体" w:hAnsi="宋体"/>
                <w:color w:val="auto"/>
                <w:szCs w:val="21"/>
                <w:highlight w:val="none"/>
              </w:rPr>
              <w:t>承包人：(公章)</w:t>
            </w:r>
          </w:p>
        </w:tc>
      </w:tr>
      <w:tr w14:paraId="29733F50">
        <w:tblPrEx>
          <w:tblCellMar>
            <w:top w:w="0" w:type="dxa"/>
            <w:left w:w="108" w:type="dxa"/>
            <w:bottom w:w="0" w:type="dxa"/>
            <w:right w:w="108" w:type="dxa"/>
          </w:tblCellMar>
        </w:tblPrEx>
        <w:trPr>
          <w:trHeight w:val="460" w:hRule="atLeast"/>
          <w:jc w:val="center"/>
        </w:trPr>
        <w:tc>
          <w:tcPr>
            <w:tcW w:w="4620" w:type="dxa"/>
            <w:noWrap/>
            <w:vAlign w:val="top"/>
          </w:tcPr>
          <w:p w14:paraId="4CB42D44">
            <w:pPr>
              <w:tabs>
                <w:tab w:val="left" w:pos="360"/>
              </w:tabs>
              <w:snapToGrid w:val="0"/>
              <w:spacing w:line="440" w:lineRule="exact"/>
              <w:rPr>
                <w:rFonts w:ascii="宋体" w:hAnsi="宋体"/>
                <w:color w:val="auto"/>
                <w:szCs w:val="21"/>
                <w:highlight w:val="none"/>
              </w:rPr>
            </w:pPr>
            <w:r>
              <w:rPr>
                <w:rFonts w:hint="eastAsia" w:ascii="宋体" w:hAnsi="宋体"/>
                <w:color w:val="auto"/>
                <w:szCs w:val="21"/>
                <w:highlight w:val="none"/>
              </w:rPr>
              <w:t>法定代表人：（签章）</w:t>
            </w:r>
          </w:p>
        </w:tc>
        <w:tc>
          <w:tcPr>
            <w:tcW w:w="4118" w:type="dxa"/>
            <w:noWrap/>
            <w:vAlign w:val="top"/>
          </w:tcPr>
          <w:p w14:paraId="7BB27AA0">
            <w:pPr>
              <w:tabs>
                <w:tab w:val="left" w:pos="360"/>
              </w:tabs>
              <w:snapToGrid w:val="0"/>
              <w:spacing w:line="440" w:lineRule="exact"/>
              <w:rPr>
                <w:rFonts w:ascii="宋体" w:hAnsi="宋体"/>
                <w:color w:val="auto"/>
                <w:szCs w:val="21"/>
                <w:highlight w:val="none"/>
              </w:rPr>
            </w:pPr>
            <w:r>
              <w:rPr>
                <w:rFonts w:hint="eastAsia" w:ascii="宋体" w:hAnsi="宋体"/>
                <w:color w:val="auto"/>
                <w:szCs w:val="21"/>
                <w:highlight w:val="none"/>
              </w:rPr>
              <w:t>法定代表人：（签章）</w:t>
            </w:r>
          </w:p>
        </w:tc>
      </w:tr>
      <w:tr w14:paraId="70492767">
        <w:tblPrEx>
          <w:tblCellMar>
            <w:top w:w="0" w:type="dxa"/>
            <w:left w:w="108" w:type="dxa"/>
            <w:bottom w:w="0" w:type="dxa"/>
            <w:right w:w="108" w:type="dxa"/>
          </w:tblCellMar>
        </w:tblPrEx>
        <w:trPr>
          <w:trHeight w:val="460" w:hRule="atLeast"/>
          <w:jc w:val="center"/>
        </w:trPr>
        <w:tc>
          <w:tcPr>
            <w:tcW w:w="4620" w:type="dxa"/>
            <w:noWrap/>
            <w:vAlign w:val="top"/>
          </w:tcPr>
          <w:p w14:paraId="7F3B605E">
            <w:pPr>
              <w:tabs>
                <w:tab w:val="left" w:pos="360"/>
              </w:tabs>
              <w:snapToGrid w:val="0"/>
              <w:spacing w:line="44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日期：</w:t>
            </w:r>
          </w:p>
        </w:tc>
        <w:tc>
          <w:tcPr>
            <w:tcW w:w="4118" w:type="dxa"/>
            <w:noWrap/>
            <w:vAlign w:val="top"/>
          </w:tcPr>
          <w:p w14:paraId="437C71AD">
            <w:pPr>
              <w:tabs>
                <w:tab w:val="left" w:pos="360"/>
              </w:tabs>
              <w:snapToGrid w:val="0"/>
              <w:spacing w:line="44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日期：</w:t>
            </w:r>
          </w:p>
        </w:tc>
      </w:tr>
    </w:tbl>
    <w:p w14:paraId="49976829">
      <w:pPr>
        <w:rPr>
          <w:color w:val="auto"/>
          <w:highlight w:val="none"/>
        </w:rPr>
      </w:pPr>
    </w:p>
    <w:p w14:paraId="2E00389F">
      <w:pPr>
        <w:pStyle w:val="13"/>
        <w:keepNext w:val="0"/>
        <w:keepLines w:val="0"/>
        <w:pageBreakBefore w:val="0"/>
        <w:widowControl w:val="0"/>
        <w:kinsoku/>
        <w:wordWrap/>
        <w:overflowPunct/>
        <w:topLinePunct w:val="0"/>
        <w:autoSpaceDE/>
        <w:autoSpaceDN/>
        <w:bidi w:val="0"/>
        <w:adjustRightInd/>
        <w:spacing w:line="440" w:lineRule="exact"/>
        <w:ind w:left="0" w:leftChars="0" w:firstLine="0" w:firstLineChars="0"/>
        <w:textAlignment w:val="auto"/>
        <w:rPr>
          <w:rFonts w:hint="eastAsia"/>
          <w:color w:val="auto"/>
          <w:sz w:val="24"/>
          <w:szCs w:val="24"/>
          <w:highlight w:val="none"/>
          <w:lang w:eastAsia="zh-CN"/>
        </w:rPr>
      </w:pPr>
    </w:p>
    <w:p w14:paraId="6D512E1C">
      <w:pPr>
        <w:pStyle w:val="14"/>
        <w:rPr>
          <w:rFonts w:hint="eastAsia"/>
          <w:color w:val="auto"/>
          <w:sz w:val="24"/>
          <w:szCs w:val="24"/>
          <w:highlight w:val="none"/>
          <w:lang w:eastAsia="zh-CN"/>
        </w:rPr>
      </w:pPr>
    </w:p>
    <w:p w14:paraId="5BE6B556">
      <w:pPr>
        <w:pStyle w:val="14"/>
        <w:rPr>
          <w:rFonts w:hint="eastAsia"/>
          <w:color w:val="auto"/>
          <w:sz w:val="24"/>
          <w:szCs w:val="24"/>
          <w:highlight w:val="none"/>
          <w:lang w:eastAsia="zh-CN"/>
        </w:rPr>
      </w:pPr>
    </w:p>
    <w:p w14:paraId="1F6586D5">
      <w:pPr>
        <w:pStyle w:val="14"/>
        <w:rPr>
          <w:rFonts w:hint="eastAsia"/>
          <w:color w:val="auto"/>
          <w:sz w:val="24"/>
          <w:szCs w:val="24"/>
          <w:highlight w:val="none"/>
          <w:lang w:eastAsia="zh-CN"/>
        </w:rPr>
      </w:pPr>
    </w:p>
    <w:p w14:paraId="6047E5F4">
      <w:pPr>
        <w:pStyle w:val="14"/>
        <w:rPr>
          <w:rFonts w:hint="eastAsia"/>
          <w:color w:val="auto"/>
          <w:sz w:val="24"/>
          <w:szCs w:val="24"/>
          <w:highlight w:val="none"/>
          <w:lang w:eastAsia="zh-CN"/>
        </w:rPr>
      </w:pPr>
    </w:p>
    <w:p w14:paraId="697ABF67">
      <w:pPr>
        <w:pStyle w:val="14"/>
        <w:rPr>
          <w:rFonts w:hint="eastAsia"/>
          <w:color w:val="auto"/>
          <w:sz w:val="24"/>
          <w:szCs w:val="24"/>
          <w:highlight w:val="none"/>
          <w:lang w:eastAsia="zh-CN"/>
        </w:rPr>
      </w:pPr>
    </w:p>
    <w:p w14:paraId="62C1E6A7">
      <w:pPr>
        <w:pStyle w:val="14"/>
        <w:rPr>
          <w:rFonts w:hint="eastAsia"/>
          <w:color w:val="auto"/>
          <w:sz w:val="24"/>
          <w:szCs w:val="24"/>
          <w:highlight w:val="none"/>
          <w:lang w:eastAsia="zh-CN"/>
        </w:rPr>
      </w:pPr>
    </w:p>
    <w:p w14:paraId="6E7B850A">
      <w:pPr>
        <w:pStyle w:val="14"/>
        <w:rPr>
          <w:rFonts w:hint="eastAsia"/>
          <w:color w:val="auto"/>
          <w:sz w:val="24"/>
          <w:szCs w:val="24"/>
          <w:highlight w:val="none"/>
          <w:lang w:eastAsia="zh-CN"/>
        </w:rPr>
      </w:pPr>
    </w:p>
    <w:p w14:paraId="066F2A5F">
      <w:pPr>
        <w:pStyle w:val="14"/>
        <w:rPr>
          <w:rFonts w:hint="eastAsia"/>
          <w:color w:val="auto"/>
          <w:sz w:val="24"/>
          <w:szCs w:val="24"/>
          <w:highlight w:val="none"/>
          <w:lang w:eastAsia="zh-CN"/>
        </w:rPr>
      </w:pPr>
    </w:p>
    <w:p w14:paraId="2B1BAE2A">
      <w:pPr>
        <w:pStyle w:val="14"/>
        <w:rPr>
          <w:rFonts w:hint="eastAsia"/>
          <w:color w:val="auto"/>
          <w:sz w:val="24"/>
          <w:szCs w:val="24"/>
          <w:highlight w:val="none"/>
          <w:lang w:eastAsia="zh-CN"/>
        </w:rPr>
      </w:pPr>
    </w:p>
    <w:p w14:paraId="72E3BB16">
      <w:pPr>
        <w:pStyle w:val="14"/>
        <w:rPr>
          <w:rFonts w:hint="eastAsia"/>
          <w:color w:val="auto"/>
          <w:sz w:val="24"/>
          <w:szCs w:val="24"/>
          <w:highlight w:val="none"/>
          <w:lang w:eastAsia="zh-CN"/>
        </w:rPr>
      </w:pPr>
    </w:p>
    <w:p w14:paraId="40626B0B">
      <w:pPr>
        <w:pStyle w:val="14"/>
        <w:rPr>
          <w:rFonts w:hint="eastAsia"/>
          <w:color w:val="auto"/>
          <w:sz w:val="24"/>
          <w:szCs w:val="24"/>
          <w:highlight w:val="none"/>
          <w:lang w:eastAsia="zh-CN"/>
        </w:rPr>
      </w:pPr>
    </w:p>
    <w:p w14:paraId="4147D549">
      <w:pPr>
        <w:pStyle w:val="14"/>
        <w:rPr>
          <w:rFonts w:hint="eastAsia"/>
          <w:color w:val="auto"/>
          <w:sz w:val="24"/>
          <w:szCs w:val="24"/>
          <w:highlight w:val="none"/>
          <w:lang w:eastAsia="zh-CN"/>
        </w:rPr>
      </w:pPr>
    </w:p>
    <w:p w14:paraId="69C8D5AF">
      <w:pPr>
        <w:pStyle w:val="14"/>
        <w:rPr>
          <w:rFonts w:hint="eastAsia"/>
          <w:color w:val="auto"/>
          <w:sz w:val="24"/>
          <w:szCs w:val="24"/>
          <w:highlight w:val="none"/>
          <w:lang w:eastAsia="zh-CN"/>
        </w:rPr>
      </w:pPr>
    </w:p>
    <w:p w14:paraId="0494D78E">
      <w:pPr>
        <w:pStyle w:val="14"/>
        <w:rPr>
          <w:rFonts w:hint="eastAsia"/>
          <w:color w:val="auto"/>
          <w:sz w:val="24"/>
          <w:szCs w:val="24"/>
          <w:highlight w:val="none"/>
          <w:lang w:eastAsia="zh-CN"/>
        </w:rPr>
      </w:pPr>
    </w:p>
    <w:p w14:paraId="2FDD5C2A">
      <w:pPr>
        <w:pStyle w:val="14"/>
        <w:rPr>
          <w:rFonts w:hint="eastAsia"/>
          <w:color w:val="auto"/>
          <w:sz w:val="24"/>
          <w:szCs w:val="24"/>
          <w:highlight w:val="none"/>
          <w:lang w:eastAsia="zh-CN"/>
        </w:rPr>
      </w:pPr>
    </w:p>
    <w:p w14:paraId="3C7338EE">
      <w:pPr>
        <w:pStyle w:val="14"/>
        <w:rPr>
          <w:rFonts w:hint="eastAsia"/>
          <w:color w:val="auto"/>
          <w:sz w:val="24"/>
          <w:szCs w:val="24"/>
          <w:highlight w:val="none"/>
          <w:lang w:eastAsia="zh-CN"/>
        </w:rPr>
      </w:pPr>
    </w:p>
    <w:p w14:paraId="2C949288">
      <w:pPr>
        <w:pStyle w:val="14"/>
        <w:rPr>
          <w:rFonts w:hint="eastAsia"/>
          <w:color w:val="auto"/>
          <w:sz w:val="24"/>
          <w:szCs w:val="24"/>
          <w:highlight w:val="none"/>
          <w:lang w:eastAsia="zh-CN"/>
        </w:rPr>
      </w:pPr>
    </w:p>
    <w:p w14:paraId="1038645B">
      <w:pPr>
        <w:pStyle w:val="14"/>
        <w:rPr>
          <w:rFonts w:hint="eastAsia"/>
          <w:color w:val="auto"/>
          <w:sz w:val="24"/>
          <w:szCs w:val="24"/>
          <w:highlight w:val="none"/>
          <w:lang w:eastAsia="zh-CN"/>
        </w:rPr>
      </w:pPr>
    </w:p>
    <w:p w14:paraId="0D1385D5">
      <w:pPr>
        <w:pStyle w:val="14"/>
        <w:rPr>
          <w:rFonts w:hint="eastAsia"/>
          <w:color w:val="auto"/>
          <w:sz w:val="24"/>
          <w:szCs w:val="24"/>
          <w:highlight w:val="none"/>
          <w:lang w:eastAsia="zh-CN"/>
        </w:rPr>
      </w:pPr>
    </w:p>
    <w:p w14:paraId="1A1EDEC7">
      <w:pPr>
        <w:pStyle w:val="14"/>
        <w:rPr>
          <w:rFonts w:hint="eastAsia"/>
          <w:color w:val="auto"/>
          <w:sz w:val="24"/>
          <w:szCs w:val="24"/>
          <w:highlight w:val="none"/>
          <w:lang w:eastAsia="zh-CN"/>
        </w:rPr>
      </w:pPr>
    </w:p>
    <w:p w14:paraId="660FEC3C">
      <w:pPr>
        <w:pStyle w:val="14"/>
        <w:rPr>
          <w:rFonts w:hint="eastAsia"/>
          <w:color w:val="auto"/>
          <w:sz w:val="24"/>
          <w:szCs w:val="24"/>
          <w:highlight w:val="none"/>
          <w:lang w:eastAsia="zh-CN"/>
        </w:rPr>
      </w:pPr>
    </w:p>
    <w:p w14:paraId="19347F25">
      <w:pPr>
        <w:pStyle w:val="14"/>
        <w:rPr>
          <w:rFonts w:hint="eastAsia"/>
          <w:color w:val="auto"/>
          <w:sz w:val="24"/>
          <w:szCs w:val="24"/>
          <w:highlight w:val="none"/>
          <w:lang w:eastAsia="zh-CN"/>
        </w:rPr>
      </w:pPr>
    </w:p>
    <w:p w14:paraId="35304C01">
      <w:pPr>
        <w:pStyle w:val="14"/>
        <w:rPr>
          <w:rFonts w:hint="eastAsia"/>
          <w:color w:val="auto"/>
          <w:sz w:val="24"/>
          <w:szCs w:val="24"/>
          <w:highlight w:val="none"/>
          <w:lang w:eastAsia="zh-CN"/>
        </w:rPr>
      </w:pPr>
    </w:p>
    <w:p w14:paraId="07797DD4">
      <w:pPr>
        <w:pStyle w:val="14"/>
        <w:rPr>
          <w:rFonts w:hint="eastAsia"/>
          <w:color w:val="auto"/>
          <w:sz w:val="24"/>
          <w:szCs w:val="24"/>
          <w:highlight w:val="none"/>
          <w:lang w:eastAsia="zh-CN"/>
        </w:rPr>
      </w:pPr>
    </w:p>
    <w:p w14:paraId="2CD8514E">
      <w:pPr>
        <w:pStyle w:val="14"/>
        <w:rPr>
          <w:rFonts w:hint="eastAsia"/>
          <w:color w:val="auto"/>
          <w:sz w:val="24"/>
          <w:szCs w:val="24"/>
          <w:highlight w:val="none"/>
          <w:lang w:eastAsia="zh-CN"/>
        </w:rPr>
      </w:pPr>
    </w:p>
    <w:p w14:paraId="2D40F985">
      <w:pPr>
        <w:pStyle w:val="14"/>
        <w:rPr>
          <w:rFonts w:hint="eastAsia"/>
          <w:color w:val="auto"/>
          <w:sz w:val="24"/>
          <w:szCs w:val="24"/>
          <w:highlight w:val="none"/>
          <w:lang w:eastAsia="zh-CN"/>
        </w:rPr>
      </w:pPr>
    </w:p>
    <w:p w14:paraId="17BB5A04">
      <w:pPr>
        <w:pStyle w:val="14"/>
        <w:rPr>
          <w:rFonts w:hint="eastAsia"/>
          <w:color w:val="auto"/>
          <w:sz w:val="24"/>
          <w:szCs w:val="24"/>
          <w:highlight w:val="none"/>
          <w:lang w:eastAsia="zh-CN"/>
        </w:rPr>
      </w:pPr>
    </w:p>
    <w:p w14:paraId="661AF3D6">
      <w:pPr>
        <w:pStyle w:val="14"/>
        <w:rPr>
          <w:rFonts w:hint="eastAsia"/>
          <w:color w:val="auto"/>
          <w:sz w:val="24"/>
          <w:szCs w:val="24"/>
          <w:highlight w:val="none"/>
          <w:lang w:eastAsia="zh-CN"/>
        </w:rPr>
      </w:pPr>
    </w:p>
    <w:p w14:paraId="55014028">
      <w:pPr>
        <w:pStyle w:val="14"/>
        <w:rPr>
          <w:rFonts w:hint="eastAsia"/>
          <w:color w:val="auto"/>
          <w:sz w:val="24"/>
          <w:szCs w:val="24"/>
          <w:highlight w:val="none"/>
          <w:lang w:eastAsia="zh-CN"/>
        </w:rPr>
      </w:pPr>
    </w:p>
    <w:p w14:paraId="4EA3665C">
      <w:pPr>
        <w:pStyle w:val="14"/>
        <w:rPr>
          <w:rFonts w:hint="default"/>
          <w:color w:val="auto"/>
          <w:sz w:val="24"/>
          <w:szCs w:val="24"/>
          <w:highlight w:val="none"/>
          <w:lang w:val="en-US" w:eastAsia="zh-CN"/>
        </w:rPr>
      </w:pPr>
    </w:p>
    <w:p w14:paraId="20E4248D">
      <w:pPr>
        <w:adjustRightInd w:val="0"/>
        <w:snapToGrid w:val="0"/>
        <w:spacing w:line="360" w:lineRule="auto"/>
        <w:ind w:firstLine="723"/>
        <w:jc w:val="center"/>
        <w:outlineLvl w:val="0"/>
        <w:rPr>
          <w:rFonts w:hint="eastAsia" w:ascii="黑体" w:hAnsi="Times New Roman" w:eastAsia="黑体" w:cs="Times New Roman"/>
          <w:bCs/>
          <w:color w:val="auto"/>
          <w:sz w:val="44"/>
          <w:szCs w:val="21"/>
          <w:highlight w:val="none"/>
        </w:rPr>
      </w:pPr>
    </w:p>
    <w:p w14:paraId="77E9F460">
      <w:pPr>
        <w:adjustRightInd w:val="0"/>
        <w:snapToGrid w:val="0"/>
        <w:spacing w:line="360" w:lineRule="auto"/>
        <w:ind w:firstLine="723"/>
        <w:jc w:val="center"/>
        <w:outlineLvl w:val="0"/>
        <w:rPr>
          <w:rFonts w:hint="eastAsia" w:ascii="黑体" w:hAnsi="Times New Roman" w:eastAsia="黑体" w:cs="Times New Roman"/>
          <w:bCs/>
          <w:color w:val="auto"/>
          <w:sz w:val="44"/>
          <w:szCs w:val="21"/>
          <w:highlight w:val="none"/>
        </w:rPr>
      </w:pPr>
    </w:p>
    <w:p w14:paraId="4FD76540">
      <w:pPr>
        <w:adjustRightInd w:val="0"/>
        <w:snapToGrid w:val="0"/>
        <w:spacing w:line="360" w:lineRule="auto"/>
        <w:ind w:firstLine="723"/>
        <w:jc w:val="center"/>
        <w:outlineLvl w:val="0"/>
        <w:rPr>
          <w:rFonts w:ascii="黑体" w:hAnsi="Times New Roman" w:eastAsia="黑体" w:cs="Times New Roman"/>
          <w:bCs/>
          <w:color w:val="auto"/>
          <w:sz w:val="44"/>
          <w:szCs w:val="21"/>
          <w:highlight w:val="none"/>
        </w:rPr>
      </w:pPr>
      <w:r>
        <w:rPr>
          <w:rFonts w:hint="eastAsia" w:ascii="黑体" w:hAnsi="Times New Roman" w:eastAsia="黑体" w:cs="Times New Roman"/>
          <w:bCs/>
          <w:color w:val="auto"/>
          <w:sz w:val="44"/>
          <w:szCs w:val="21"/>
          <w:highlight w:val="none"/>
        </w:rPr>
        <w:t>第六章  响应文件格式</w:t>
      </w:r>
    </w:p>
    <w:p w14:paraId="65895C1E">
      <w:pPr>
        <w:widowControl/>
        <w:spacing w:line="360" w:lineRule="auto"/>
        <w:ind w:firstLine="482" w:firstLineChars="200"/>
        <w:contextualSpacing/>
        <w:jc w:val="left"/>
        <w:rPr>
          <w:rFonts w:ascii="宋体" w:hAnsi="宋体" w:eastAsia="宋体" w:cs="Times New Roman"/>
          <w:b/>
          <w:bCs/>
          <w:color w:val="auto"/>
          <w:sz w:val="24"/>
          <w:highlight w:val="none"/>
        </w:rPr>
      </w:pPr>
      <w:bookmarkStart w:id="125" w:name="_Hlk180412700"/>
      <w:r>
        <w:rPr>
          <w:rFonts w:hint="eastAsia" w:ascii="宋体" w:hAnsi="宋体" w:eastAsia="宋体" w:cs="Times New Roman"/>
          <w:b/>
          <w:bCs/>
          <w:color w:val="auto"/>
          <w:sz w:val="24"/>
          <w:highlight w:val="none"/>
        </w:rPr>
        <w:t>投标</w:t>
      </w:r>
      <w:r>
        <w:rPr>
          <w:rFonts w:ascii="宋体" w:hAnsi="宋体" w:eastAsia="宋体" w:cs="Times New Roman"/>
          <w:b/>
          <w:bCs/>
          <w:color w:val="auto"/>
          <w:sz w:val="24"/>
          <w:highlight w:val="none"/>
        </w:rPr>
        <w:t>文件由资格审查证明材料、</w:t>
      </w:r>
      <w:r>
        <w:rPr>
          <w:rFonts w:hint="eastAsia" w:ascii="宋体" w:hAnsi="宋体" w:eastAsia="宋体" w:cs="Times New Roman"/>
          <w:b/>
          <w:bCs/>
          <w:color w:val="auto"/>
          <w:sz w:val="24"/>
          <w:highlight w:val="none"/>
        </w:rPr>
        <w:t>符合性审查文件、商务技术文件、</w:t>
      </w:r>
      <w:r>
        <w:rPr>
          <w:rFonts w:ascii="宋体" w:hAnsi="宋体" w:eastAsia="宋体" w:cs="Times New Roman"/>
          <w:b/>
          <w:bCs/>
          <w:color w:val="auto"/>
          <w:sz w:val="24"/>
          <w:highlight w:val="none"/>
        </w:rPr>
        <w:t>价格文件</w:t>
      </w:r>
      <w:r>
        <w:rPr>
          <w:rFonts w:hint="eastAsia" w:ascii="宋体" w:hAnsi="宋体" w:eastAsia="宋体" w:cs="Times New Roman"/>
          <w:b/>
          <w:bCs/>
          <w:color w:val="auto"/>
          <w:sz w:val="24"/>
          <w:highlight w:val="none"/>
        </w:rPr>
        <w:t>四</w:t>
      </w:r>
      <w:r>
        <w:rPr>
          <w:rFonts w:ascii="宋体" w:hAnsi="宋体" w:eastAsia="宋体" w:cs="Times New Roman"/>
          <w:b/>
          <w:bCs/>
          <w:color w:val="auto"/>
          <w:sz w:val="24"/>
          <w:highlight w:val="none"/>
        </w:rPr>
        <w:t>部分组成</w:t>
      </w:r>
      <w:r>
        <w:rPr>
          <w:rFonts w:ascii="宋体" w:hAnsi="宋体" w:eastAsia="宋体" w:cs="Times New Roman"/>
          <w:color w:val="auto"/>
          <w:sz w:val="24"/>
          <w:highlight w:val="none"/>
        </w:rPr>
        <w:t>。供应商提供的</w:t>
      </w:r>
      <w:r>
        <w:rPr>
          <w:rFonts w:hint="eastAsia" w:ascii="宋体" w:hAnsi="宋体" w:eastAsia="宋体" w:cs="Times New Roman"/>
          <w:color w:val="auto"/>
          <w:sz w:val="24"/>
          <w:highlight w:val="none"/>
        </w:rPr>
        <w:t>投标</w:t>
      </w:r>
      <w:r>
        <w:rPr>
          <w:rFonts w:ascii="宋体" w:hAnsi="宋体" w:eastAsia="宋体" w:cs="Times New Roman"/>
          <w:color w:val="auto"/>
          <w:sz w:val="24"/>
          <w:highlight w:val="none"/>
        </w:rPr>
        <w:t>文件材料须字迹清晰。</w:t>
      </w:r>
      <w:r>
        <w:rPr>
          <w:rFonts w:ascii="宋体" w:hAnsi="宋体" w:eastAsia="宋体" w:cs="Times New Roman"/>
          <w:b/>
          <w:bCs/>
          <w:color w:val="auto"/>
          <w:sz w:val="24"/>
          <w:highlight w:val="none"/>
        </w:rPr>
        <w:t>如</w:t>
      </w:r>
      <w:r>
        <w:rPr>
          <w:rFonts w:hint="eastAsia" w:ascii="宋体" w:hAnsi="宋体" w:eastAsia="宋体" w:cs="Times New Roman"/>
          <w:b/>
          <w:bCs/>
          <w:color w:val="auto"/>
          <w:sz w:val="24"/>
          <w:highlight w:val="none"/>
        </w:rPr>
        <w:t>投标</w:t>
      </w:r>
      <w:r>
        <w:rPr>
          <w:rFonts w:ascii="宋体" w:hAnsi="宋体" w:eastAsia="宋体" w:cs="Times New Roman"/>
          <w:b/>
          <w:bCs/>
          <w:color w:val="auto"/>
          <w:sz w:val="24"/>
          <w:highlight w:val="none"/>
        </w:rPr>
        <w:t>文件字迹模糊</w:t>
      </w:r>
      <w:r>
        <w:rPr>
          <w:rFonts w:hint="eastAsia" w:ascii="宋体" w:hAnsi="宋体" w:eastAsia="宋体" w:cs="Times New Roman"/>
          <w:b/>
          <w:bCs/>
          <w:color w:val="auto"/>
          <w:sz w:val="24"/>
          <w:highlight w:val="none"/>
        </w:rPr>
        <w:t>，</w:t>
      </w:r>
      <w:r>
        <w:rPr>
          <w:rFonts w:ascii="宋体" w:hAnsi="宋体" w:eastAsia="宋体" w:cs="Times New Roman"/>
          <w:b/>
          <w:bCs/>
          <w:color w:val="auto"/>
          <w:sz w:val="24"/>
          <w:highlight w:val="none"/>
        </w:rPr>
        <w:t>造成的废标或不得分等后果由供应商自行承担。</w:t>
      </w:r>
    </w:p>
    <w:p w14:paraId="03AC9C8B">
      <w:pPr>
        <w:widowControl/>
        <w:spacing w:line="360" w:lineRule="auto"/>
        <w:ind w:firstLine="482" w:firstLineChars="200"/>
        <w:contextualSpacing/>
        <w:jc w:val="lef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一、基本目录</w:t>
      </w:r>
    </w:p>
    <w:p w14:paraId="20161B5E">
      <w:pPr>
        <w:widowControl/>
        <w:spacing w:line="360" w:lineRule="auto"/>
        <w:ind w:firstLine="480" w:firstLineChars="200"/>
        <w:contextualSpacing/>
        <w:jc w:val="left"/>
        <w:rPr>
          <w:rFonts w:ascii="宋体" w:hAnsi="宋体" w:eastAsia="宋体" w:cs="Times New Roman"/>
          <w:color w:val="auto"/>
          <w:sz w:val="24"/>
          <w:highlight w:val="none"/>
        </w:rPr>
      </w:pPr>
      <w:r>
        <w:rPr>
          <w:rFonts w:ascii="宋体" w:hAnsi="宋体" w:eastAsia="宋体" w:cs="Times New Roman"/>
          <w:color w:val="auto"/>
          <w:sz w:val="24"/>
          <w:highlight w:val="none"/>
        </w:rPr>
        <w:t>1</w:t>
      </w:r>
      <w:r>
        <w:rPr>
          <w:rFonts w:hint="eastAsia" w:ascii="宋体" w:hAnsi="宋体" w:eastAsia="宋体" w:cs="Times New Roman"/>
          <w:color w:val="auto"/>
          <w:sz w:val="24"/>
          <w:highlight w:val="none"/>
        </w:rPr>
        <w:t>、开标一览表（格式见附件</w:t>
      </w:r>
      <w:r>
        <w:rPr>
          <w:rFonts w:ascii="宋体" w:hAnsi="宋体" w:eastAsia="宋体" w:cs="Times New Roman"/>
          <w:color w:val="auto"/>
          <w:sz w:val="24"/>
          <w:highlight w:val="none"/>
        </w:rPr>
        <w:t>1</w:t>
      </w:r>
      <w:r>
        <w:rPr>
          <w:rFonts w:hint="eastAsia" w:ascii="宋体" w:hAnsi="宋体" w:eastAsia="宋体" w:cs="Times New Roman"/>
          <w:color w:val="auto"/>
          <w:sz w:val="24"/>
          <w:highlight w:val="none"/>
        </w:rPr>
        <w:t>）</w:t>
      </w:r>
    </w:p>
    <w:p w14:paraId="4DCFE53B">
      <w:pPr>
        <w:widowControl/>
        <w:spacing w:line="360" w:lineRule="auto"/>
        <w:ind w:firstLine="480" w:firstLineChars="200"/>
        <w:contextualSpacing/>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2、分项报价明细表（格式见附件2）；</w:t>
      </w:r>
    </w:p>
    <w:p w14:paraId="337491EB">
      <w:pPr>
        <w:widowControl/>
        <w:spacing w:line="360" w:lineRule="auto"/>
        <w:ind w:firstLine="480" w:firstLineChars="200"/>
        <w:contextualSpacing/>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3、技术要求响应及偏离表（格式见</w:t>
      </w:r>
      <w:r>
        <w:rPr>
          <w:rFonts w:ascii="宋体" w:hAnsi="宋体" w:eastAsia="宋体" w:cs="Times New Roman"/>
          <w:color w:val="auto"/>
          <w:sz w:val="24"/>
          <w:highlight w:val="none"/>
        </w:rPr>
        <w:t>附件</w:t>
      </w:r>
      <w:r>
        <w:rPr>
          <w:rFonts w:hint="eastAsia" w:ascii="宋体" w:hAnsi="宋体" w:eastAsia="宋体" w:cs="Times New Roman"/>
          <w:color w:val="auto"/>
          <w:sz w:val="24"/>
          <w:highlight w:val="none"/>
        </w:rPr>
        <w:t>3）</w:t>
      </w:r>
    </w:p>
    <w:p w14:paraId="001E7D14">
      <w:pPr>
        <w:widowControl/>
        <w:spacing w:line="360" w:lineRule="auto"/>
        <w:ind w:firstLine="480" w:firstLineChars="200"/>
        <w:contextualSpacing/>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4、商务要求响应及偏离表（格式见</w:t>
      </w:r>
      <w:r>
        <w:rPr>
          <w:rFonts w:ascii="宋体" w:hAnsi="宋体" w:eastAsia="宋体" w:cs="Times New Roman"/>
          <w:color w:val="auto"/>
          <w:sz w:val="24"/>
          <w:highlight w:val="none"/>
        </w:rPr>
        <w:t>附件</w:t>
      </w:r>
      <w:r>
        <w:rPr>
          <w:rFonts w:hint="eastAsia" w:ascii="宋体" w:hAnsi="宋体" w:eastAsia="宋体" w:cs="Times New Roman"/>
          <w:color w:val="auto"/>
          <w:sz w:val="24"/>
          <w:highlight w:val="none"/>
        </w:rPr>
        <w:t>4）</w:t>
      </w:r>
    </w:p>
    <w:bookmarkEnd w:id="125"/>
    <w:p w14:paraId="54CA6E17">
      <w:pPr>
        <w:widowControl/>
        <w:spacing w:line="360" w:lineRule="auto"/>
        <w:ind w:firstLine="482" w:firstLineChars="200"/>
        <w:contextualSpacing/>
        <w:jc w:val="lef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二</w:t>
      </w:r>
      <w:r>
        <w:rPr>
          <w:rFonts w:ascii="宋体" w:hAnsi="宋体" w:eastAsia="宋体" w:cs="Times New Roman"/>
          <w:b/>
          <w:bCs/>
          <w:color w:val="auto"/>
          <w:sz w:val="24"/>
          <w:highlight w:val="none"/>
        </w:rPr>
        <w:t>、资格审查证明材料</w:t>
      </w:r>
      <w:r>
        <w:rPr>
          <w:rFonts w:hint="eastAsia" w:ascii="宋体" w:hAnsi="宋体" w:eastAsia="宋体" w:cs="Times New Roman"/>
          <w:b/>
          <w:bCs/>
          <w:color w:val="auto"/>
          <w:sz w:val="24"/>
          <w:highlight w:val="none"/>
        </w:rPr>
        <w:t>（不能出现商务技术文件、价格文件）</w:t>
      </w:r>
    </w:p>
    <w:p w14:paraId="2AC47783">
      <w:pPr>
        <w:widowControl/>
        <w:spacing w:line="360" w:lineRule="auto"/>
        <w:ind w:firstLine="480" w:firstLineChars="200"/>
        <w:contextualSpacing/>
        <w:jc w:val="left"/>
        <w:rPr>
          <w:rFonts w:ascii="宋体" w:hAnsi="宋体" w:eastAsia="宋体" w:cs="Times New Roman"/>
          <w:color w:val="auto"/>
          <w:sz w:val="24"/>
          <w:highlight w:val="none"/>
        </w:rPr>
      </w:pPr>
      <w:bookmarkStart w:id="126" w:name="_Hlk166848945"/>
      <w:bookmarkStart w:id="127" w:name="_Hlk169617498"/>
      <w:r>
        <w:rPr>
          <w:rFonts w:hint="eastAsia" w:ascii="宋体" w:hAnsi="宋体" w:eastAsia="宋体" w:cs="Times New Roman"/>
          <w:color w:val="auto"/>
          <w:sz w:val="24"/>
          <w:highlight w:val="none"/>
        </w:rPr>
        <w:t>1、投标供应商符合《政府采购法》第二十二条规定条件的声明函（格式见附件5）；</w:t>
      </w:r>
    </w:p>
    <w:p w14:paraId="19500BD7">
      <w:pPr>
        <w:widowControl/>
        <w:spacing w:line="360" w:lineRule="auto"/>
        <w:ind w:firstLine="480" w:firstLineChars="200"/>
        <w:contextualSpacing/>
        <w:jc w:val="left"/>
        <w:rPr>
          <w:rFonts w:ascii="宋体" w:hAnsi="宋体" w:eastAsia="宋体" w:cs="Times New Roman"/>
          <w:color w:val="auto"/>
          <w:spacing w:val="-4"/>
          <w:sz w:val="24"/>
          <w:highlight w:val="none"/>
        </w:rPr>
      </w:pPr>
      <w:r>
        <w:rPr>
          <w:rFonts w:hint="eastAsia" w:ascii="宋体" w:hAnsi="宋体" w:eastAsia="宋体" w:cs="Times New Roman"/>
          <w:color w:val="auto"/>
          <w:sz w:val="24"/>
          <w:highlight w:val="none"/>
        </w:rPr>
        <w:t>2、</w:t>
      </w:r>
      <w:r>
        <w:rPr>
          <w:rFonts w:hint="eastAsia" w:ascii="宋体" w:hAnsi="宋体" w:eastAsia="宋体" w:cs="Times New Roman"/>
          <w:color w:val="auto"/>
          <w:spacing w:val="-4"/>
          <w:sz w:val="24"/>
          <w:highlight w:val="none"/>
        </w:rPr>
        <w:t>特定资格要求的证明文件（如果本项目对投标人</w:t>
      </w:r>
      <w:r>
        <w:rPr>
          <w:rFonts w:ascii="宋体" w:hAnsi="宋体" w:eastAsia="宋体" w:cs="Times New Roman"/>
          <w:color w:val="auto"/>
          <w:spacing w:val="-4"/>
          <w:sz w:val="24"/>
          <w:highlight w:val="none"/>
        </w:rPr>
        <w:t>做出特定资格要求的</w:t>
      </w:r>
      <w:r>
        <w:rPr>
          <w:rFonts w:hint="eastAsia" w:ascii="宋体" w:hAnsi="宋体" w:eastAsia="宋体" w:cs="Times New Roman"/>
          <w:color w:val="auto"/>
          <w:spacing w:val="-4"/>
          <w:sz w:val="24"/>
          <w:highlight w:val="none"/>
        </w:rPr>
        <w:t>，必须提供）</w:t>
      </w:r>
    </w:p>
    <w:p w14:paraId="5C1E98E6">
      <w:pPr>
        <w:widowControl/>
        <w:spacing w:line="360" w:lineRule="auto"/>
        <w:ind w:firstLine="480" w:firstLineChars="200"/>
        <w:contextualSpacing/>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2.1供应商资质证书复印件加盖公章扫描件；</w:t>
      </w:r>
    </w:p>
    <w:p w14:paraId="7C075542">
      <w:pPr>
        <w:widowControl/>
        <w:spacing w:line="360" w:lineRule="auto"/>
        <w:ind w:firstLine="480" w:firstLineChars="200"/>
        <w:contextualSpacing/>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2.2供应商安全生产许可证复印件加盖公章扫描件；</w:t>
      </w:r>
    </w:p>
    <w:p w14:paraId="05FB5126">
      <w:pPr>
        <w:widowControl/>
        <w:spacing w:line="360" w:lineRule="auto"/>
        <w:ind w:firstLine="480" w:firstLineChars="200"/>
        <w:contextualSpacing/>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3、供应商营业执照副本复印件加盖公章扫描件；</w:t>
      </w:r>
    </w:p>
    <w:p w14:paraId="60D1C869">
      <w:pPr>
        <w:widowControl/>
        <w:spacing w:line="360" w:lineRule="auto"/>
        <w:ind w:firstLine="480" w:firstLineChars="200"/>
        <w:contextualSpacing/>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4、法定代表人身份证明书（格式见附件6）；</w:t>
      </w:r>
    </w:p>
    <w:p w14:paraId="6B667CE8">
      <w:pPr>
        <w:widowControl/>
        <w:spacing w:line="360" w:lineRule="auto"/>
        <w:ind w:firstLine="480" w:firstLineChars="200"/>
        <w:contextualSpacing/>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5、法人授权书（如有授权则须提供，格式见附件7）；</w:t>
      </w:r>
    </w:p>
    <w:p w14:paraId="5AACFD0D">
      <w:pPr>
        <w:widowControl/>
        <w:spacing w:line="360" w:lineRule="auto"/>
        <w:ind w:firstLine="480" w:firstLineChars="200"/>
        <w:contextualSpacing/>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6、投标函（格式见附件8）；</w:t>
      </w:r>
    </w:p>
    <w:p w14:paraId="4DC6CDD0">
      <w:pPr>
        <w:widowControl/>
        <w:spacing w:line="360" w:lineRule="auto"/>
        <w:ind w:firstLine="480" w:firstLineChars="200"/>
        <w:contextualSpacing/>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7、中小微企业声明函（如果本项目</w:t>
      </w:r>
      <w:r>
        <w:rPr>
          <w:rFonts w:ascii="宋体" w:hAnsi="宋体" w:eastAsia="宋体" w:cs="Times New Roman"/>
          <w:color w:val="auto"/>
          <w:sz w:val="24"/>
          <w:highlight w:val="none"/>
        </w:rPr>
        <w:t>专门面向中小微型企业采购，则必须提供</w:t>
      </w:r>
      <w:r>
        <w:rPr>
          <w:rFonts w:hint="eastAsia" w:ascii="宋体" w:hAnsi="宋体" w:eastAsia="宋体" w:cs="Times New Roman"/>
          <w:color w:val="auto"/>
          <w:sz w:val="24"/>
          <w:highlight w:val="none"/>
        </w:rPr>
        <w:t>。</w:t>
      </w:r>
      <w:r>
        <w:rPr>
          <w:rFonts w:ascii="宋体" w:hAnsi="宋体" w:eastAsia="宋体" w:cs="Times New Roman"/>
          <w:color w:val="auto"/>
          <w:sz w:val="24"/>
          <w:highlight w:val="none"/>
        </w:rPr>
        <w:t>格式</w:t>
      </w:r>
      <w:r>
        <w:rPr>
          <w:rFonts w:hint="eastAsia" w:ascii="宋体" w:hAnsi="宋体" w:eastAsia="宋体" w:cs="Times New Roman"/>
          <w:color w:val="auto"/>
          <w:sz w:val="24"/>
          <w:highlight w:val="none"/>
        </w:rPr>
        <w:t>见</w:t>
      </w:r>
      <w:r>
        <w:rPr>
          <w:rFonts w:ascii="宋体" w:hAnsi="宋体" w:eastAsia="宋体" w:cs="Times New Roman"/>
          <w:color w:val="auto"/>
          <w:sz w:val="24"/>
          <w:highlight w:val="none"/>
        </w:rPr>
        <w:t>附件</w:t>
      </w:r>
      <w:r>
        <w:rPr>
          <w:rFonts w:hint="eastAsia" w:ascii="宋体" w:hAnsi="宋体" w:eastAsia="宋体" w:cs="Times New Roman"/>
          <w:color w:val="auto"/>
          <w:sz w:val="24"/>
          <w:highlight w:val="none"/>
        </w:rPr>
        <w:t>9）；</w:t>
      </w:r>
    </w:p>
    <w:p w14:paraId="155986D9">
      <w:pPr>
        <w:widowControl/>
        <w:spacing w:line="360" w:lineRule="auto"/>
        <w:ind w:firstLine="480" w:firstLineChars="200"/>
        <w:contextualSpacing/>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8、残疾人福利性单位声明函（如果本项目</w:t>
      </w:r>
      <w:r>
        <w:rPr>
          <w:rFonts w:ascii="宋体" w:hAnsi="宋体" w:eastAsia="宋体" w:cs="Times New Roman"/>
          <w:color w:val="auto"/>
          <w:sz w:val="24"/>
          <w:highlight w:val="none"/>
        </w:rPr>
        <w:t>专门面向中小微型企业采购，</w:t>
      </w:r>
      <w:r>
        <w:rPr>
          <w:rFonts w:hint="eastAsia" w:ascii="宋体" w:hAnsi="宋体" w:eastAsia="宋体" w:cs="Times New Roman"/>
          <w:color w:val="auto"/>
          <w:sz w:val="24"/>
          <w:highlight w:val="none"/>
        </w:rPr>
        <w:t>供应商为</w:t>
      </w:r>
      <w:r>
        <w:rPr>
          <w:rFonts w:ascii="宋体" w:hAnsi="宋体" w:eastAsia="宋体" w:cs="Times New Roman"/>
          <w:color w:val="auto"/>
          <w:sz w:val="24"/>
          <w:highlight w:val="none"/>
        </w:rPr>
        <w:t>残疾人福利性单位并</w:t>
      </w:r>
      <w:r>
        <w:rPr>
          <w:rFonts w:hint="eastAsia" w:ascii="宋体" w:hAnsi="宋体" w:eastAsia="宋体" w:cs="Times New Roman"/>
          <w:color w:val="auto"/>
          <w:sz w:val="24"/>
          <w:highlight w:val="none"/>
        </w:rPr>
        <w:t>提供本单位制造的货物，或者提供其他残疾人福利性单位制造的货物，</w:t>
      </w:r>
      <w:r>
        <w:rPr>
          <w:rFonts w:ascii="宋体" w:hAnsi="宋体" w:eastAsia="宋体" w:cs="Times New Roman"/>
          <w:color w:val="auto"/>
          <w:sz w:val="24"/>
          <w:highlight w:val="none"/>
        </w:rPr>
        <w:t>则必须提供</w:t>
      </w:r>
      <w:r>
        <w:rPr>
          <w:rFonts w:hint="eastAsia" w:ascii="宋体" w:hAnsi="宋体" w:eastAsia="宋体" w:cs="Times New Roman"/>
          <w:color w:val="auto"/>
          <w:sz w:val="24"/>
          <w:highlight w:val="none"/>
        </w:rPr>
        <w:t>。</w:t>
      </w:r>
      <w:r>
        <w:rPr>
          <w:rFonts w:ascii="宋体" w:hAnsi="宋体" w:eastAsia="宋体" w:cs="Times New Roman"/>
          <w:color w:val="auto"/>
          <w:sz w:val="24"/>
          <w:highlight w:val="none"/>
        </w:rPr>
        <w:t>格式</w:t>
      </w:r>
      <w:r>
        <w:rPr>
          <w:rFonts w:hint="eastAsia" w:ascii="宋体" w:hAnsi="宋体" w:eastAsia="宋体" w:cs="Times New Roman"/>
          <w:color w:val="auto"/>
          <w:sz w:val="24"/>
          <w:highlight w:val="none"/>
        </w:rPr>
        <w:t>见</w:t>
      </w:r>
      <w:r>
        <w:rPr>
          <w:rFonts w:ascii="宋体" w:hAnsi="宋体" w:eastAsia="宋体" w:cs="Times New Roman"/>
          <w:color w:val="auto"/>
          <w:sz w:val="24"/>
          <w:highlight w:val="none"/>
        </w:rPr>
        <w:t>附件</w:t>
      </w:r>
      <w:r>
        <w:rPr>
          <w:rFonts w:hint="eastAsia" w:ascii="宋体" w:hAnsi="宋体" w:eastAsia="宋体" w:cs="Times New Roman"/>
          <w:color w:val="auto"/>
          <w:sz w:val="24"/>
          <w:highlight w:val="none"/>
        </w:rPr>
        <w:t>9）</w:t>
      </w:r>
    </w:p>
    <w:p w14:paraId="4461B46C">
      <w:pPr>
        <w:widowControl/>
        <w:spacing w:line="360" w:lineRule="auto"/>
        <w:ind w:firstLine="480" w:firstLineChars="200"/>
        <w:contextualSpacing/>
        <w:jc w:val="lef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9、投标及履约承诺书（格式见附件10）；</w:t>
      </w:r>
    </w:p>
    <w:p w14:paraId="2144063C">
      <w:pPr>
        <w:widowControl/>
        <w:spacing w:line="360" w:lineRule="auto"/>
        <w:ind w:firstLine="480" w:firstLineChars="200"/>
        <w:contextualSpacing/>
        <w:jc w:val="left"/>
        <w:rPr>
          <w:rFonts w:hint="eastAsia" w:ascii="宋体" w:hAnsi="宋体" w:eastAsia="宋体" w:cs="Times New Roman"/>
          <w:color w:val="auto"/>
          <w:sz w:val="24"/>
          <w:highlight w:val="none"/>
          <w:shd w:val="clear" w:color="FFFFFF" w:fill="D9D9D9"/>
          <w:lang w:val="zh-CN"/>
        </w:rPr>
      </w:pPr>
      <w:r>
        <w:rPr>
          <w:rFonts w:hint="eastAsia" w:ascii="宋体" w:hAnsi="宋体" w:eastAsia="宋体" w:cs="Times New Roman"/>
          <w:color w:val="auto"/>
          <w:sz w:val="24"/>
          <w:highlight w:val="none"/>
          <w:shd w:val="clear" w:color="FFFFFF" w:fill="D9D9D9"/>
          <w:lang w:val="en-US" w:eastAsia="zh-CN"/>
        </w:rPr>
        <w:t>10</w:t>
      </w:r>
      <w:r>
        <w:rPr>
          <w:rFonts w:hint="eastAsia" w:ascii="宋体" w:hAnsi="宋体" w:eastAsia="宋体" w:cs="Times New Roman"/>
          <w:color w:val="auto"/>
          <w:sz w:val="24"/>
          <w:highlight w:val="none"/>
          <w:shd w:val="clear" w:color="FFFFFF" w:fill="D9D9D9"/>
        </w:rPr>
        <w:t>、投标供应商与其他单位存在控股、管理关系情况表</w:t>
      </w:r>
      <w:r>
        <w:rPr>
          <w:rFonts w:hint="eastAsia" w:ascii="宋体" w:hAnsi="宋体" w:eastAsia="宋体" w:cs="Times New Roman"/>
          <w:color w:val="auto"/>
          <w:sz w:val="24"/>
          <w:highlight w:val="none"/>
          <w:shd w:val="clear" w:color="FFFFFF" w:fill="D9D9D9"/>
          <w:lang w:val="zh-CN"/>
        </w:rPr>
        <w:t>（格式见附件</w:t>
      </w:r>
      <w:r>
        <w:rPr>
          <w:rFonts w:hint="eastAsia" w:ascii="宋体" w:hAnsi="宋体" w:eastAsia="宋体" w:cs="Times New Roman"/>
          <w:color w:val="auto"/>
          <w:sz w:val="24"/>
          <w:highlight w:val="none"/>
          <w:shd w:val="clear" w:color="FFFFFF" w:fill="D9D9D9"/>
          <w:lang w:val="en-US" w:eastAsia="zh-CN"/>
        </w:rPr>
        <w:t>11</w:t>
      </w:r>
      <w:r>
        <w:rPr>
          <w:rFonts w:hint="eastAsia" w:ascii="宋体" w:hAnsi="宋体" w:eastAsia="宋体" w:cs="Times New Roman"/>
          <w:color w:val="auto"/>
          <w:sz w:val="24"/>
          <w:highlight w:val="none"/>
          <w:shd w:val="clear" w:color="FFFFFF" w:fill="D9D9D9"/>
          <w:lang w:val="zh-CN"/>
        </w:rPr>
        <w:t>）；</w:t>
      </w:r>
    </w:p>
    <w:bookmarkEnd w:id="126"/>
    <w:p w14:paraId="6B764CB3">
      <w:pPr>
        <w:widowControl/>
        <w:spacing w:line="360" w:lineRule="auto"/>
        <w:ind w:firstLine="482" w:firstLineChars="200"/>
        <w:contextualSpacing/>
        <w:jc w:val="left"/>
        <w:rPr>
          <w:rFonts w:ascii="宋体" w:hAnsi="宋体" w:eastAsia="宋体" w:cs="Times New Roman"/>
          <w:color w:val="auto"/>
          <w:sz w:val="24"/>
          <w:highlight w:val="none"/>
        </w:rPr>
      </w:pPr>
      <w:r>
        <w:rPr>
          <w:rFonts w:hint="eastAsia" w:ascii="宋体" w:hAnsi="宋体" w:eastAsia="宋体" w:cs="Times New Roman"/>
          <w:b/>
          <w:bCs/>
          <w:color w:val="auto"/>
          <w:sz w:val="24"/>
          <w:highlight w:val="none"/>
        </w:rPr>
        <w:t>三</w:t>
      </w:r>
      <w:r>
        <w:rPr>
          <w:rFonts w:ascii="宋体" w:hAnsi="宋体" w:eastAsia="宋体" w:cs="Times New Roman"/>
          <w:b/>
          <w:bCs/>
          <w:color w:val="auto"/>
          <w:sz w:val="24"/>
          <w:highlight w:val="none"/>
        </w:rPr>
        <w:t>、</w:t>
      </w:r>
      <w:r>
        <w:rPr>
          <w:rFonts w:hint="eastAsia" w:ascii="宋体" w:hAnsi="宋体" w:eastAsia="宋体" w:cs="Times New Roman"/>
          <w:b/>
          <w:bCs/>
          <w:color w:val="auto"/>
          <w:sz w:val="24"/>
          <w:highlight w:val="none"/>
        </w:rPr>
        <w:t>符合性</w:t>
      </w:r>
      <w:r>
        <w:rPr>
          <w:rFonts w:ascii="宋体" w:hAnsi="宋体" w:eastAsia="宋体" w:cs="Times New Roman"/>
          <w:b/>
          <w:bCs/>
          <w:color w:val="auto"/>
          <w:sz w:val="24"/>
          <w:highlight w:val="none"/>
        </w:rPr>
        <w:t>审查内容</w:t>
      </w:r>
    </w:p>
    <w:p w14:paraId="1E9B39EB">
      <w:pPr>
        <w:widowControl/>
        <w:spacing w:line="360" w:lineRule="auto"/>
        <w:ind w:firstLine="480" w:firstLineChars="200"/>
        <w:contextualSpacing/>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投标人必须</w:t>
      </w:r>
      <w:r>
        <w:rPr>
          <w:rFonts w:ascii="宋体" w:hAnsi="宋体" w:eastAsia="宋体" w:cs="Times New Roman"/>
          <w:color w:val="auto"/>
          <w:sz w:val="24"/>
          <w:highlight w:val="none"/>
        </w:rPr>
        <w:t>对</w:t>
      </w:r>
      <w:r>
        <w:rPr>
          <w:rFonts w:hint="eastAsia" w:ascii="宋体" w:hAnsi="宋体" w:eastAsia="宋体" w:cs="Times New Roman"/>
          <w:color w:val="auto"/>
          <w:sz w:val="24"/>
          <w:highlight w:val="none"/>
        </w:rPr>
        <w:t>采购需求中</w:t>
      </w:r>
      <w:r>
        <w:rPr>
          <w:rFonts w:ascii="宋体" w:hAnsi="宋体" w:eastAsia="宋体" w:cs="Times New Roman"/>
          <w:color w:val="auto"/>
          <w:sz w:val="24"/>
          <w:highlight w:val="none"/>
        </w:rPr>
        <w:t>加斜体下划线的实质性要求</w:t>
      </w:r>
      <w:r>
        <w:rPr>
          <w:rFonts w:hint="eastAsia" w:ascii="宋体" w:hAnsi="宋体" w:eastAsia="宋体" w:cs="Times New Roman"/>
          <w:color w:val="auto"/>
          <w:sz w:val="24"/>
          <w:highlight w:val="none"/>
        </w:rPr>
        <w:t>逐条</w:t>
      </w:r>
      <w:r>
        <w:rPr>
          <w:rFonts w:ascii="宋体" w:hAnsi="宋体" w:eastAsia="宋体" w:cs="Times New Roman"/>
          <w:color w:val="auto"/>
          <w:sz w:val="24"/>
          <w:highlight w:val="none"/>
        </w:rPr>
        <w:t>做出响应，并按照磋商文件要求提供</w:t>
      </w:r>
      <w:r>
        <w:rPr>
          <w:rFonts w:hint="eastAsia" w:ascii="宋体" w:hAnsi="宋体" w:eastAsia="宋体" w:cs="Times New Roman"/>
          <w:color w:val="auto"/>
          <w:sz w:val="24"/>
          <w:highlight w:val="none"/>
        </w:rPr>
        <w:t>证明</w:t>
      </w:r>
      <w:r>
        <w:rPr>
          <w:rFonts w:ascii="宋体" w:hAnsi="宋体" w:eastAsia="宋体" w:cs="Times New Roman"/>
          <w:color w:val="auto"/>
          <w:sz w:val="24"/>
          <w:highlight w:val="none"/>
        </w:rPr>
        <w:t>材料</w:t>
      </w:r>
      <w:r>
        <w:rPr>
          <w:rFonts w:hint="eastAsia" w:ascii="宋体" w:hAnsi="宋体" w:eastAsia="宋体" w:cs="Times New Roman"/>
          <w:color w:val="auto"/>
          <w:sz w:val="24"/>
          <w:highlight w:val="none"/>
        </w:rPr>
        <w:t>，否则做无效投标处理。（格式见附件1</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rPr>
        <w:t>、附件1</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rPr>
        <w:t>）</w:t>
      </w:r>
    </w:p>
    <w:p w14:paraId="5BA84B22">
      <w:pPr>
        <w:widowControl/>
        <w:spacing w:line="360" w:lineRule="auto"/>
        <w:ind w:firstLine="482" w:firstLineChars="200"/>
        <w:contextualSpacing/>
        <w:jc w:val="left"/>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四、商务技术文件（不能出现价格文件）</w:t>
      </w:r>
    </w:p>
    <w:p w14:paraId="1C0C35AF">
      <w:pPr>
        <w:widowControl/>
        <w:spacing w:line="360" w:lineRule="auto"/>
        <w:ind w:firstLine="480" w:firstLineChars="200"/>
        <w:contextualSpacing/>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1、业绩证明（格式见附件1</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rPr>
        <w:t>）</w:t>
      </w:r>
    </w:p>
    <w:p w14:paraId="4C5B0A76">
      <w:pPr>
        <w:widowControl/>
        <w:spacing w:line="360" w:lineRule="auto"/>
        <w:ind w:firstLine="480" w:firstLineChars="200"/>
        <w:contextualSpacing/>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2、商务技术评分标准中须提供的相关得分佐证材料；为方便评委评审，请供应商按评审办法中所涉及的事项顺序进行编制，可以补充相关材料；</w:t>
      </w:r>
    </w:p>
    <w:p w14:paraId="1AA0EF12">
      <w:pPr>
        <w:widowControl/>
        <w:spacing w:line="360" w:lineRule="auto"/>
        <w:ind w:firstLine="480" w:firstLineChars="200"/>
        <w:contextualSpacing/>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3、供应商认为需要提交的其他商务技术材料。</w:t>
      </w:r>
    </w:p>
    <w:bookmarkEnd w:id="127"/>
    <w:p w14:paraId="0DAD3F4F">
      <w:pPr>
        <w:widowControl/>
        <w:spacing w:line="360" w:lineRule="auto"/>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br w:type="page"/>
      </w:r>
    </w:p>
    <w:p w14:paraId="236DEC42">
      <w:pPr>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附件1 </w:t>
      </w:r>
    </w:p>
    <w:p w14:paraId="7AF0EAB9">
      <w:pPr>
        <w:spacing w:line="0" w:lineRule="atLeast"/>
        <w:ind w:firstLine="480"/>
        <w:jc w:val="center"/>
        <w:rPr>
          <w:rFonts w:ascii="宋体" w:hAnsi="宋体" w:eastAsia="宋体" w:cs="Times New Roman"/>
          <w:color w:val="auto"/>
          <w:sz w:val="30"/>
          <w:szCs w:val="30"/>
          <w:highlight w:val="none"/>
        </w:rPr>
      </w:pPr>
      <w:r>
        <w:rPr>
          <w:rFonts w:hint="eastAsia" w:ascii="宋体" w:hAnsi="宋体" w:eastAsia="宋体" w:cs="Times New Roman"/>
          <w:b/>
          <w:color w:val="auto"/>
          <w:sz w:val="30"/>
          <w:szCs w:val="30"/>
          <w:highlight w:val="none"/>
        </w:rPr>
        <w:t>磋商报价表</w:t>
      </w:r>
    </w:p>
    <w:p w14:paraId="7E9AD7F6">
      <w:pPr>
        <w:spacing w:line="360" w:lineRule="auto"/>
        <w:ind w:firstLine="482"/>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项目名称：</w:t>
      </w:r>
    </w:p>
    <w:p w14:paraId="34CE5C58">
      <w:pPr>
        <w:spacing w:line="360" w:lineRule="auto"/>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项目编号：                                   </w:t>
      </w:r>
    </w:p>
    <w:p w14:paraId="4BEFBCEF">
      <w:pPr>
        <w:spacing w:line="360" w:lineRule="auto"/>
        <w:ind w:firstLine="482"/>
        <w:rPr>
          <w:rFonts w:ascii="宋体" w:hAnsi="宋体" w:eastAsia="宋体" w:cs="Times New Roman"/>
          <w:color w:val="auto"/>
          <w:sz w:val="24"/>
          <w:szCs w:val="24"/>
          <w:highlight w:val="none"/>
        </w:rPr>
      </w:pPr>
    </w:p>
    <w:tbl>
      <w:tblPr>
        <w:tblStyle w:val="23"/>
        <w:tblW w:w="86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4"/>
        <w:gridCol w:w="2874"/>
        <w:gridCol w:w="2874"/>
      </w:tblGrid>
      <w:tr w14:paraId="26D87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874" w:type="dxa"/>
            <w:vAlign w:val="center"/>
          </w:tcPr>
          <w:p w14:paraId="177BE6F4">
            <w:pPr>
              <w:spacing w:line="360" w:lineRule="auto"/>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投标人名称</w:t>
            </w:r>
          </w:p>
        </w:tc>
        <w:tc>
          <w:tcPr>
            <w:tcW w:w="2874" w:type="dxa"/>
            <w:vAlign w:val="center"/>
          </w:tcPr>
          <w:p w14:paraId="512EECD3">
            <w:pPr>
              <w:spacing w:line="360" w:lineRule="auto"/>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总价报价（元）</w:t>
            </w:r>
          </w:p>
        </w:tc>
        <w:tc>
          <w:tcPr>
            <w:tcW w:w="2874" w:type="dxa"/>
            <w:vAlign w:val="center"/>
          </w:tcPr>
          <w:p w14:paraId="66CFF47B">
            <w:pPr>
              <w:spacing w:line="360" w:lineRule="auto"/>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w:t>
            </w:r>
          </w:p>
        </w:tc>
      </w:tr>
      <w:tr w14:paraId="47102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3" w:hRule="atLeast"/>
        </w:trPr>
        <w:tc>
          <w:tcPr>
            <w:tcW w:w="2874" w:type="dxa"/>
            <w:vAlign w:val="center"/>
          </w:tcPr>
          <w:p w14:paraId="4420D038">
            <w:pPr>
              <w:adjustRightInd w:val="0"/>
              <w:spacing w:line="360" w:lineRule="auto"/>
              <w:ind w:firstLine="482"/>
              <w:jc w:val="left"/>
              <w:textAlignment w:val="baseline"/>
              <w:rPr>
                <w:rFonts w:ascii="宋体" w:hAnsi="宋体" w:eastAsia="宋体" w:cs="Times New Roman"/>
                <w:color w:val="auto"/>
                <w:sz w:val="24"/>
                <w:szCs w:val="24"/>
                <w:highlight w:val="none"/>
              </w:rPr>
            </w:pPr>
          </w:p>
        </w:tc>
        <w:tc>
          <w:tcPr>
            <w:tcW w:w="2874" w:type="dxa"/>
          </w:tcPr>
          <w:p w14:paraId="6F5A6A89">
            <w:pPr>
              <w:adjustRightInd w:val="0"/>
              <w:spacing w:line="360" w:lineRule="auto"/>
              <w:ind w:firstLine="482"/>
              <w:jc w:val="left"/>
              <w:textAlignment w:val="baseline"/>
              <w:rPr>
                <w:rFonts w:ascii="宋体" w:hAnsi="宋体" w:eastAsia="宋体" w:cs="宋体"/>
                <w:color w:val="auto"/>
                <w:kern w:val="0"/>
                <w:sz w:val="24"/>
                <w:szCs w:val="24"/>
                <w:highlight w:val="none"/>
              </w:rPr>
            </w:pPr>
          </w:p>
        </w:tc>
        <w:tc>
          <w:tcPr>
            <w:tcW w:w="2874" w:type="dxa"/>
          </w:tcPr>
          <w:p w14:paraId="66415B99">
            <w:pPr>
              <w:adjustRightInd w:val="0"/>
              <w:spacing w:line="360" w:lineRule="auto"/>
              <w:ind w:firstLine="482"/>
              <w:jc w:val="left"/>
              <w:textAlignment w:val="baseline"/>
              <w:rPr>
                <w:rFonts w:ascii="宋体" w:hAnsi="宋体" w:eastAsia="宋体" w:cs="宋体"/>
                <w:color w:val="auto"/>
                <w:kern w:val="0"/>
                <w:sz w:val="24"/>
                <w:szCs w:val="24"/>
                <w:highlight w:val="none"/>
              </w:rPr>
            </w:pPr>
          </w:p>
        </w:tc>
      </w:tr>
    </w:tbl>
    <w:p w14:paraId="7346509D">
      <w:pPr>
        <w:spacing w:line="360" w:lineRule="auto"/>
        <w:ind w:firstLine="482"/>
        <w:rPr>
          <w:rFonts w:ascii="宋体" w:hAnsi="宋体" w:eastAsia="宋体" w:cs="Times New Roman"/>
          <w:color w:val="auto"/>
          <w:sz w:val="24"/>
          <w:szCs w:val="24"/>
          <w:highlight w:val="none"/>
        </w:rPr>
      </w:pPr>
    </w:p>
    <w:p w14:paraId="74D0957A">
      <w:pPr>
        <w:widowControl/>
        <w:spacing w:before="48" w:beforeAutospacing="1" w:after="48" w:afterAutospacing="1" w:line="360" w:lineRule="auto"/>
        <w:ind w:firstLine="482"/>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响应单位（公章）：</w:t>
      </w:r>
    </w:p>
    <w:p w14:paraId="495B5FFB">
      <w:pPr>
        <w:widowControl/>
        <w:spacing w:before="48" w:beforeAutospacing="1" w:after="48" w:afterAutospacing="1" w:line="360" w:lineRule="auto"/>
        <w:ind w:firstLine="482"/>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法定代表人或授权代表（签字或盖章）： </w:t>
      </w:r>
    </w:p>
    <w:p w14:paraId="1CD21F04">
      <w:pPr>
        <w:widowControl/>
        <w:ind w:firstLine="480"/>
        <w:jc w:val="lef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br w:type="page"/>
      </w:r>
    </w:p>
    <w:p w14:paraId="485500F4">
      <w:pPr>
        <w:spacing w:line="360" w:lineRule="auto"/>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附件2 </w:t>
      </w:r>
    </w:p>
    <w:p w14:paraId="677708E4">
      <w:pPr>
        <w:spacing w:line="360" w:lineRule="auto"/>
        <w:ind w:firstLine="482"/>
        <w:jc w:val="center"/>
        <w:rPr>
          <w:rFonts w:ascii="Times New Roman" w:hAnsi="Times New Roman" w:eastAsia="方正仿宋_GB2312" w:cs="Times New Roman"/>
          <w:color w:val="auto"/>
          <w:sz w:val="30"/>
          <w:szCs w:val="30"/>
          <w:highlight w:val="none"/>
        </w:rPr>
      </w:pPr>
      <w:r>
        <w:rPr>
          <w:rFonts w:hint="eastAsia" w:ascii="宋体" w:hAnsi="宋体" w:eastAsia="宋体" w:cs="Times New Roman"/>
          <w:b/>
          <w:color w:val="auto"/>
          <w:sz w:val="30"/>
          <w:szCs w:val="30"/>
          <w:highlight w:val="none"/>
        </w:rPr>
        <w:t>分项报价明细表</w:t>
      </w:r>
    </w:p>
    <w:p w14:paraId="1DD388E6">
      <w:pPr>
        <w:spacing w:line="360" w:lineRule="auto"/>
        <w:ind w:firstLine="561"/>
        <w:rPr>
          <w:rFonts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项目名称：</w:t>
      </w:r>
    </w:p>
    <w:p w14:paraId="555F8C88">
      <w:pPr>
        <w:spacing w:line="360" w:lineRule="auto"/>
        <w:ind w:firstLine="561"/>
        <w:rPr>
          <w:rFonts w:ascii="宋体" w:hAnsi="宋体" w:eastAsia="宋体" w:cs="宋体"/>
          <w:color w:val="auto"/>
          <w:kern w:val="0"/>
          <w:sz w:val="28"/>
          <w:szCs w:val="28"/>
          <w:highlight w:val="none"/>
        </w:rPr>
      </w:pPr>
      <w:r>
        <w:rPr>
          <w:rFonts w:hint="eastAsia" w:ascii="宋体" w:hAnsi="宋体" w:eastAsia="宋体" w:cs="宋体"/>
          <w:color w:val="auto"/>
          <w:kern w:val="0"/>
          <w:sz w:val="24"/>
          <w:szCs w:val="24"/>
          <w:highlight w:val="none"/>
        </w:rPr>
        <w:t>项目编号</w:t>
      </w:r>
      <w:r>
        <w:rPr>
          <w:rFonts w:hint="eastAsia" w:ascii="宋体" w:hAnsi="宋体" w:eastAsia="宋体" w:cs="宋体"/>
          <w:color w:val="auto"/>
          <w:kern w:val="0"/>
          <w:sz w:val="28"/>
          <w:szCs w:val="28"/>
          <w:highlight w:val="none"/>
        </w:rPr>
        <w:t>：</w:t>
      </w:r>
    </w:p>
    <w:tbl>
      <w:tblPr>
        <w:tblStyle w:val="23"/>
        <w:tblW w:w="10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709"/>
        <w:gridCol w:w="951"/>
        <w:gridCol w:w="1459"/>
        <w:gridCol w:w="3111"/>
        <w:gridCol w:w="425"/>
        <w:gridCol w:w="709"/>
        <w:gridCol w:w="1134"/>
        <w:gridCol w:w="709"/>
        <w:gridCol w:w="841"/>
      </w:tblGrid>
      <w:tr w14:paraId="1218E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blHeader/>
          <w:jc w:val="center"/>
        </w:trPr>
        <w:tc>
          <w:tcPr>
            <w:tcW w:w="426" w:type="dxa"/>
            <w:noWrap/>
            <w:vAlign w:val="center"/>
          </w:tcPr>
          <w:p w14:paraId="32C8A431">
            <w:pPr>
              <w:rPr>
                <w:rFonts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序号</w:t>
            </w:r>
          </w:p>
        </w:tc>
        <w:tc>
          <w:tcPr>
            <w:tcW w:w="709" w:type="dxa"/>
            <w:noWrap/>
            <w:vAlign w:val="center"/>
          </w:tcPr>
          <w:p w14:paraId="18F35D62">
            <w:pPr>
              <w:rPr>
                <w:rFonts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项目名称</w:t>
            </w:r>
          </w:p>
        </w:tc>
        <w:tc>
          <w:tcPr>
            <w:tcW w:w="951" w:type="dxa"/>
            <w:noWrap/>
            <w:vAlign w:val="center"/>
          </w:tcPr>
          <w:p w14:paraId="7865A043">
            <w:pPr>
              <w:rPr>
                <w:rFonts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工作步骤</w:t>
            </w:r>
          </w:p>
        </w:tc>
        <w:tc>
          <w:tcPr>
            <w:tcW w:w="4570" w:type="dxa"/>
            <w:gridSpan w:val="2"/>
            <w:noWrap/>
            <w:vAlign w:val="center"/>
          </w:tcPr>
          <w:p w14:paraId="7A26E2CA">
            <w:pPr>
              <w:jc w:val="center"/>
              <w:rPr>
                <w:rFonts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具体工作要求</w:t>
            </w:r>
          </w:p>
        </w:tc>
        <w:tc>
          <w:tcPr>
            <w:tcW w:w="425" w:type="dxa"/>
            <w:noWrap/>
            <w:vAlign w:val="center"/>
          </w:tcPr>
          <w:p w14:paraId="53650FD2">
            <w:pPr>
              <w:rPr>
                <w:rFonts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单位</w:t>
            </w:r>
          </w:p>
        </w:tc>
        <w:tc>
          <w:tcPr>
            <w:tcW w:w="709" w:type="dxa"/>
            <w:noWrap/>
            <w:vAlign w:val="center"/>
          </w:tcPr>
          <w:p w14:paraId="4FC4C1C1">
            <w:pPr>
              <w:rPr>
                <w:rFonts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工程量（暂估）</w:t>
            </w:r>
          </w:p>
        </w:tc>
        <w:tc>
          <w:tcPr>
            <w:tcW w:w="1134" w:type="dxa"/>
            <w:vAlign w:val="center"/>
          </w:tcPr>
          <w:p w14:paraId="7D35F883">
            <w:pPr>
              <w:jc w:val="center"/>
              <w:rPr>
                <w:rFonts w:ascii="宋体" w:hAnsi="宋体" w:eastAsia="宋体" w:cs="Times New Roman"/>
                <w:b/>
                <w:color w:val="auto"/>
                <w:sz w:val="18"/>
                <w:szCs w:val="18"/>
                <w:highlight w:val="none"/>
              </w:rPr>
            </w:pPr>
            <w:r>
              <w:rPr>
                <w:rFonts w:hint="eastAsia" w:asciiTheme="minorEastAsia" w:hAnsiTheme="minorEastAsia"/>
                <w:b/>
                <w:color w:val="auto"/>
                <w:sz w:val="18"/>
                <w:szCs w:val="18"/>
                <w:highlight w:val="none"/>
              </w:rPr>
              <w:t>全费用综合单价最高限价（元）</w:t>
            </w:r>
          </w:p>
        </w:tc>
        <w:tc>
          <w:tcPr>
            <w:tcW w:w="709" w:type="dxa"/>
            <w:vAlign w:val="center"/>
          </w:tcPr>
          <w:p w14:paraId="6AFD8489">
            <w:pPr>
              <w:jc w:val="center"/>
              <w:rPr>
                <w:rFonts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投标单价（元）</w:t>
            </w:r>
          </w:p>
        </w:tc>
        <w:tc>
          <w:tcPr>
            <w:tcW w:w="841" w:type="dxa"/>
            <w:vAlign w:val="center"/>
          </w:tcPr>
          <w:p w14:paraId="63BB0A13">
            <w:pPr>
              <w:jc w:val="center"/>
              <w:rPr>
                <w:rFonts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投标</w:t>
            </w:r>
          </w:p>
          <w:p w14:paraId="5F85D8BE">
            <w:pPr>
              <w:jc w:val="center"/>
              <w:rPr>
                <w:rFonts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合价（元）</w:t>
            </w:r>
          </w:p>
        </w:tc>
      </w:tr>
      <w:tr w14:paraId="63C75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426" w:type="dxa"/>
            <w:noWrap/>
            <w:vAlign w:val="center"/>
          </w:tcPr>
          <w:p w14:paraId="616EEBB5">
            <w:pPr>
              <w:jc w:val="center"/>
              <w:rPr>
                <w:rFonts w:ascii="宋体" w:hAnsi="宋体" w:eastAsia="宋体" w:cs="Times New Roman"/>
                <w:color w:val="auto"/>
                <w:sz w:val="18"/>
                <w:szCs w:val="18"/>
                <w:highlight w:val="none"/>
              </w:rPr>
            </w:pPr>
            <w:r>
              <w:rPr>
                <w:rFonts w:hint="eastAsia" w:ascii="宋体" w:hAnsi="宋体"/>
                <w:color w:val="auto"/>
                <w:sz w:val="18"/>
                <w:szCs w:val="18"/>
                <w:highlight w:val="none"/>
              </w:rPr>
              <w:t>1</w:t>
            </w:r>
          </w:p>
        </w:tc>
        <w:tc>
          <w:tcPr>
            <w:tcW w:w="709" w:type="dxa"/>
            <w:noWrap/>
            <w:vAlign w:val="center"/>
          </w:tcPr>
          <w:p w14:paraId="4F6838EA">
            <w:pPr>
              <w:jc w:val="left"/>
              <w:rPr>
                <w:rFonts w:ascii="宋体" w:hAnsi="宋体" w:eastAsia="宋体" w:cs="Times New Roman"/>
                <w:color w:val="auto"/>
                <w:sz w:val="18"/>
                <w:szCs w:val="18"/>
                <w:highlight w:val="none"/>
              </w:rPr>
            </w:pPr>
            <w:r>
              <w:rPr>
                <w:rFonts w:ascii="宋体"/>
                <w:color w:val="auto"/>
                <w:sz w:val="18"/>
                <w:szCs w:val="18"/>
                <w:highlight w:val="none"/>
              </w:rPr>
              <w:t>改性地聚合物注浆加固</w:t>
            </w:r>
            <w:r>
              <w:rPr>
                <w:rFonts w:hint="eastAsia" w:ascii="宋体"/>
                <w:color w:val="auto"/>
                <w:sz w:val="18"/>
                <w:szCs w:val="18"/>
                <w:highlight w:val="none"/>
              </w:rPr>
              <w:t>（早强型）</w:t>
            </w:r>
          </w:p>
        </w:tc>
        <w:tc>
          <w:tcPr>
            <w:tcW w:w="951" w:type="dxa"/>
            <w:vMerge w:val="restart"/>
            <w:noWrap/>
            <w:vAlign w:val="center"/>
          </w:tcPr>
          <w:p w14:paraId="7D07B428">
            <w:pPr>
              <w:jc w:val="center"/>
              <w:rPr>
                <w:rFonts w:ascii="宋体" w:hAnsi="宋体" w:eastAsia="宋体" w:cs="Times New Roman"/>
                <w:color w:val="auto"/>
                <w:sz w:val="18"/>
                <w:szCs w:val="18"/>
                <w:highlight w:val="none"/>
              </w:rPr>
            </w:pPr>
            <w:r>
              <w:rPr>
                <w:rFonts w:hint="eastAsia" w:ascii="宋体" w:hAnsi="宋体"/>
                <w:color w:val="auto"/>
                <w:sz w:val="18"/>
                <w:szCs w:val="18"/>
                <w:highlight w:val="none"/>
              </w:rPr>
              <w:t>交通维护，布孔，钻孔，除尘，注浆，养护，现场清理</w:t>
            </w:r>
          </w:p>
        </w:tc>
        <w:tc>
          <w:tcPr>
            <w:tcW w:w="4570" w:type="dxa"/>
            <w:gridSpan w:val="2"/>
            <w:noWrap/>
            <w:vAlign w:val="center"/>
          </w:tcPr>
          <w:p w14:paraId="18FAE1B3">
            <w:pPr>
              <w:numPr>
                <w:ilvl w:val="0"/>
                <w:numId w:val="8"/>
              </w:numPr>
              <w:jc w:val="left"/>
              <w:rPr>
                <w:color w:val="auto"/>
                <w:sz w:val="18"/>
                <w:szCs w:val="18"/>
                <w:highlight w:val="none"/>
              </w:rPr>
            </w:pPr>
            <w:r>
              <w:rPr>
                <w:rFonts w:hint="eastAsia"/>
                <w:color w:val="auto"/>
                <w:sz w:val="18"/>
                <w:szCs w:val="18"/>
                <w:highlight w:val="none"/>
              </w:rPr>
              <w:t>间距:孔距1.5m，可根据现场实际情况微调，宜为1.5-2.0m</w:t>
            </w:r>
          </w:p>
          <w:p w14:paraId="4D20D7D2">
            <w:pPr>
              <w:numPr>
                <w:ilvl w:val="0"/>
                <w:numId w:val="8"/>
              </w:numPr>
              <w:jc w:val="left"/>
              <w:rPr>
                <w:color w:val="auto"/>
                <w:sz w:val="18"/>
                <w:szCs w:val="18"/>
                <w:highlight w:val="none"/>
              </w:rPr>
            </w:pPr>
            <w:r>
              <w:rPr>
                <w:rFonts w:hint="eastAsia"/>
                <w:color w:val="auto"/>
                <w:sz w:val="18"/>
                <w:szCs w:val="18"/>
                <w:highlight w:val="none"/>
              </w:rPr>
              <w:t>孔径：满足现场实际情况，综合考虑</w:t>
            </w:r>
          </w:p>
          <w:p w14:paraId="10AB8CCD">
            <w:pPr>
              <w:jc w:val="left"/>
              <w:rPr>
                <w:color w:val="auto"/>
                <w:sz w:val="18"/>
                <w:szCs w:val="18"/>
                <w:highlight w:val="none"/>
              </w:rPr>
            </w:pPr>
            <w:r>
              <w:rPr>
                <w:rFonts w:hint="eastAsia"/>
                <w:color w:val="auto"/>
                <w:sz w:val="18"/>
                <w:szCs w:val="18"/>
                <w:highlight w:val="none"/>
              </w:rPr>
              <w:t>3、孔深：0.8-1m,如有障碍物可适当缩减.</w:t>
            </w:r>
          </w:p>
          <w:p w14:paraId="133BB5B3">
            <w:pPr>
              <w:jc w:val="left"/>
              <w:rPr>
                <w:color w:val="auto"/>
                <w:sz w:val="18"/>
                <w:szCs w:val="18"/>
                <w:highlight w:val="none"/>
              </w:rPr>
            </w:pPr>
            <w:r>
              <w:rPr>
                <w:rFonts w:hint="eastAsia"/>
                <w:color w:val="auto"/>
                <w:sz w:val="18"/>
                <w:szCs w:val="18"/>
                <w:highlight w:val="none"/>
              </w:rPr>
              <w:t>4、浆液参数:早强型地聚物注浆加固，配比、流动度、凝结时间、泌水率、抗压强度等满足《城镇道路改性地聚合物注浆加固技术规程》（DGJ32TJ225-2017）要求.</w:t>
            </w:r>
          </w:p>
          <w:p w14:paraId="4A6E2310">
            <w:pPr>
              <w:rPr>
                <w:color w:val="auto"/>
                <w:sz w:val="18"/>
                <w:szCs w:val="18"/>
                <w:highlight w:val="none"/>
              </w:rPr>
            </w:pPr>
            <w:r>
              <w:rPr>
                <w:rFonts w:hint="eastAsia"/>
                <w:color w:val="auto"/>
                <w:sz w:val="18"/>
                <w:szCs w:val="18"/>
                <w:highlight w:val="none"/>
              </w:rPr>
              <w:t>5、注浆结束后根据要求进行路面弯沉检测，符合相关要求</w:t>
            </w:r>
          </w:p>
          <w:p w14:paraId="1F291C23">
            <w:pPr>
              <w:jc w:val="left"/>
              <w:rPr>
                <w:color w:val="auto"/>
                <w:sz w:val="18"/>
                <w:szCs w:val="18"/>
                <w:highlight w:val="none"/>
              </w:rPr>
            </w:pPr>
            <w:r>
              <w:rPr>
                <w:rFonts w:hint="eastAsia"/>
                <w:color w:val="auto"/>
                <w:sz w:val="18"/>
                <w:szCs w:val="18"/>
                <w:highlight w:val="none"/>
              </w:rPr>
              <w:t>6、机械使用费、发电机、交通组织、施工护栏等综合考虑在报价中</w:t>
            </w:r>
          </w:p>
          <w:p w14:paraId="5C01B4E1">
            <w:pPr>
              <w:jc w:val="left"/>
              <w:rPr>
                <w:color w:val="auto"/>
                <w:sz w:val="18"/>
                <w:szCs w:val="18"/>
                <w:highlight w:val="none"/>
              </w:rPr>
            </w:pPr>
            <w:r>
              <w:rPr>
                <w:rFonts w:hint="eastAsia"/>
                <w:color w:val="auto"/>
                <w:sz w:val="18"/>
                <w:szCs w:val="18"/>
                <w:highlight w:val="none"/>
              </w:rPr>
              <w:t>7、适用范围：路基、路面</w:t>
            </w:r>
          </w:p>
          <w:p w14:paraId="72670C14">
            <w:pPr>
              <w:jc w:val="left"/>
              <w:rPr>
                <w:rFonts w:ascii="宋体" w:hAnsi="宋体" w:eastAsia="宋体" w:cs="Times New Roman"/>
                <w:color w:val="auto"/>
                <w:sz w:val="18"/>
                <w:szCs w:val="18"/>
                <w:highlight w:val="none"/>
              </w:rPr>
            </w:pPr>
            <w:r>
              <w:rPr>
                <w:rFonts w:hint="eastAsia"/>
                <w:color w:val="auto"/>
                <w:sz w:val="18"/>
                <w:szCs w:val="18"/>
                <w:highlight w:val="none"/>
              </w:rPr>
              <w:t>8、满足技术和质量要求</w:t>
            </w:r>
          </w:p>
        </w:tc>
        <w:tc>
          <w:tcPr>
            <w:tcW w:w="425" w:type="dxa"/>
            <w:noWrap/>
            <w:vAlign w:val="center"/>
          </w:tcPr>
          <w:p w14:paraId="7BDAA68C">
            <w:pPr>
              <w:jc w:val="center"/>
              <w:rPr>
                <w:rFonts w:ascii="宋体" w:hAnsi="宋体" w:eastAsia="宋体" w:cs="Times New Roman"/>
                <w:color w:val="auto"/>
                <w:sz w:val="18"/>
                <w:szCs w:val="18"/>
                <w:highlight w:val="none"/>
              </w:rPr>
            </w:pPr>
            <w:r>
              <w:rPr>
                <w:rFonts w:hint="eastAsia" w:ascii="宋体" w:hAnsi="宋体"/>
                <w:color w:val="auto"/>
                <w:sz w:val="18"/>
                <w:szCs w:val="18"/>
                <w:highlight w:val="none"/>
              </w:rPr>
              <w:t>㎡</w:t>
            </w:r>
          </w:p>
        </w:tc>
        <w:tc>
          <w:tcPr>
            <w:tcW w:w="709" w:type="dxa"/>
            <w:noWrap/>
            <w:vAlign w:val="center"/>
          </w:tcPr>
          <w:p w14:paraId="235A0F6E">
            <w:pPr>
              <w:jc w:val="center"/>
              <w:rPr>
                <w:rFonts w:ascii="宋体" w:hAnsi="宋体" w:eastAsia="宋体" w:cs="Times New Roman"/>
                <w:b/>
                <w:bCs/>
                <w:color w:val="auto"/>
                <w:sz w:val="18"/>
                <w:szCs w:val="18"/>
                <w:highlight w:val="none"/>
              </w:rPr>
            </w:pPr>
            <w:r>
              <w:rPr>
                <w:rFonts w:hint="eastAsia" w:ascii="宋体"/>
                <w:b/>
                <w:bCs/>
                <w:color w:val="auto"/>
                <w:sz w:val="18"/>
                <w:szCs w:val="18"/>
                <w:highlight w:val="none"/>
                <w:lang w:val="en-US" w:eastAsia="zh-CN"/>
              </w:rPr>
              <w:t>18500</w:t>
            </w:r>
          </w:p>
        </w:tc>
        <w:tc>
          <w:tcPr>
            <w:tcW w:w="1134" w:type="dxa"/>
            <w:vAlign w:val="center"/>
          </w:tcPr>
          <w:p w14:paraId="628DD916">
            <w:pPr>
              <w:jc w:val="center"/>
              <w:rPr>
                <w:rFonts w:ascii="宋体" w:hAnsi="宋体" w:eastAsia="宋体" w:cs="Times New Roman"/>
                <w:color w:val="auto"/>
                <w:sz w:val="18"/>
                <w:szCs w:val="18"/>
                <w:highlight w:val="none"/>
              </w:rPr>
            </w:pPr>
            <w:r>
              <w:rPr>
                <w:rFonts w:hint="eastAsia" w:asciiTheme="minorEastAsia" w:hAnsiTheme="minorEastAsia"/>
                <w:color w:val="auto"/>
                <w:sz w:val="18"/>
                <w:szCs w:val="18"/>
                <w:highlight w:val="none"/>
                <w:lang w:val="en-US" w:eastAsia="zh-CN"/>
              </w:rPr>
              <w:t>105.54</w:t>
            </w:r>
          </w:p>
        </w:tc>
        <w:tc>
          <w:tcPr>
            <w:tcW w:w="709" w:type="dxa"/>
          </w:tcPr>
          <w:p w14:paraId="0221EC86">
            <w:pPr>
              <w:rPr>
                <w:rFonts w:ascii="宋体" w:hAnsi="宋体" w:eastAsia="宋体" w:cs="Times New Roman"/>
                <w:color w:val="auto"/>
                <w:sz w:val="18"/>
                <w:szCs w:val="18"/>
                <w:highlight w:val="none"/>
              </w:rPr>
            </w:pPr>
          </w:p>
        </w:tc>
        <w:tc>
          <w:tcPr>
            <w:tcW w:w="841" w:type="dxa"/>
            <w:vAlign w:val="center"/>
          </w:tcPr>
          <w:p w14:paraId="6F963281">
            <w:pPr>
              <w:rPr>
                <w:rFonts w:ascii="宋体" w:hAnsi="宋体" w:eastAsia="宋体" w:cs="Times New Roman"/>
                <w:color w:val="auto"/>
                <w:sz w:val="18"/>
                <w:szCs w:val="18"/>
                <w:highlight w:val="none"/>
              </w:rPr>
            </w:pPr>
          </w:p>
        </w:tc>
      </w:tr>
      <w:tr w14:paraId="2B87F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426" w:type="dxa"/>
            <w:noWrap/>
            <w:vAlign w:val="center"/>
          </w:tcPr>
          <w:p w14:paraId="72B908C8">
            <w:pPr>
              <w:jc w:val="center"/>
              <w:rPr>
                <w:rFonts w:ascii="宋体" w:hAnsi="宋体" w:eastAsia="宋体" w:cs="Times New Roman"/>
                <w:color w:val="auto"/>
                <w:sz w:val="18"/>
                <w:szCs w:val="18"/>
                <w:highlight w:val="none"/>
              </w:rPr>
            </w:pPr>
            <w:r>
              <w:rPr>
                <w:rFonts w:hint="eastAsia" w:ascii="宋体" w:hAnsi="宋体"/>
                <w:color w:val="auto"/>
                <w:sz w:val="18"/>
                <w:szCs w:val="18"/>
                <w:highlight w:val="none"/>
              </w:rPr>
              <w:t>2</w:t>
            </w:r>
          </w:p>
        </w:tc>
        <w:tc>
          <w:tcPr>
            <w:tcW w:w="709" w:type="dxa"/>
            <w:noWrap/>
            <w:vAlign w:val="center"/>
          </w:tcPr>
          <w:p w14:paraId="24B3F469">
            <w:pPr>
              <w:jc w:val="left"/>
              <w:rPr>
                <w:rFonts w:ascii="宋体" w:hAnsi="宋体" w:eastAsia="宋体" w:cs="Times New Roman"/>
                <w:color w:val="auto"/>
                <w:sz w:val="18"/>
                <w:szCs w:val="18"/>
                <w:highlight w:val="none"/>
              </w:rPr>
            </w:pPr>
            <w:r>
              <w:rPr>
                <w:rFonts w:ascii="宋体"/>
                <w:color w:val="auto"/>
                <w:sz w:val="18"/>
                <w:szCs w:val="18"/>
                <w:highlight w:val="none"/>
              </w:rPr>
              <w:t>改性地聚合物注浆加固</w:t>
            </w:r>
            <w:r>
              <w:rPr>
                <w:rFonts w:hint="eastAsia" w:ascii="宋体"/>
                <w:color w:val="auto"/>
                <w:sz w:val="18"/>
                <w:szCs w:val="18"/>
                <w:highlight w:val="none"/>
              </w:rPr>
              <w:t>（普通型）</w:t>
            </w:r>
          </w:p>
        </w:tc>
        <w:tc>
          <w:tcPr>
            <w:tcW w:w="951" w:type="dxa"/>
            <w:vMerge w:val="continue"/>
            <w:noWrap/>
            <w:vAlign w:val="center"/>
          </w:tcPr>
          <w:p w14:paraId="3FAB233E">
            <w:pPr>
              <w:jc w:val="center"/>
              <w:rPr>
                <w:rFonts w:ascii="宋体" w:hAnsi="宋体" w:eastAsia="宋体" w:cs="Times New Roman"/>
                <w:color w:val="auto"/>
                <w:sz w:val="18"/>
                <w:szCs w:val="18"/>
                <w:highlight w:val="none"/>
              </w:rPr>
            </w:pPr>
          </w:p>
        </w:tc>
        <w:tc>
          <w:tcPr>
            <w:tcW w:w="4570" w:type="dxa"/>
            <w:gridSpan w:val="2"/>
            <w:noWrap/>
            <w:vAlign w:val="center"/>
          </w:tcPr>
          <w:p w14:paraId="1F0BEEEF">
            <w:pPr>
              <w:numPr>
                <w:ilvl w:val="0"/>
                <w:numId w:val="9"/>
              </w:numPr>
              <w:jc w:val="left"/>
              <w:rPr>
                <w:color w:val="auto"/>
                <w:sz w:val="18"/>
                <w:szCs w:val="18"/>
                <w:highlight w:val="none"/>
              </w:rPr>
            </w:pPr>
            <w:r>
              <w:rPr>
                <w:rFonts w:hint="eastAsia"/>
                <w:color w:val="auto"/>
                <w:sz w:val="18"/>
                <w:szCs w:val="18"/>
                <w:highlight w:val="none"/>
              </w:rPr>
              <w:t>间距:孔距1.5m，可根据现场实际情况微调，宜为1.5-2.0m</w:t>
            </w:r>
          </w:p>
          <w:p w14:paraId="5B1C3ED2">
            <w:pPr>
              <w:jc w:val="left"/>
              <w:rPr>
                <w:color w:val="auto"/>
                <w:sz w:val="18"/>
                <w:szCs w:val="18"/>
                <w:highlight w:val="none"/>
              </w:rPr>
            </w:pPr>
            <w:r>
              <w:rPr>
                <w:rFonts w:hint="eastAsia"/>
                <w:color w:val="auto"/>
                <w:sz w:val="18"/>
                <w:szCs w:val="18"/>
                <w:highlight w:val="none"/>
              </w:rPr>
              <w:t>2、孔径：满足现场实际情况，综合考虑</w:t>
            </w:r>
          </w:p>
          <w:p w14:paraId="619B6710">
            <w:pPr>
              <w:jc w:val="left"/>
              <w:rPr>
                <w:color w:val="auto"/>
                <w:sz w:val="18"/>
                <w:szCs w:val="18"/>
                <w:highlight w:val="none"/>
              </w:rPr>
            </w:pPr>
            <w:r>
              <w:rPr>
                <w:rFonts w:hint="eastAsia"/>
                <w:color w:val="auto"/>
                <w:sz w:val="18"/>
                <w:szCs w:val="18"/>
                <w:highlight w:val="none"/>
              </w:rPr>
              <w:t>3、孔深：0.8-1m,如有障碍物可适当缩减.</w:t>
            </w:r>
          </w:p>
          <w:p w14:paraId="30FB3C7C">
            <w:pPr>
              <w:jc w:val="left"/>
              <w:rPr>
                <w:color w:val="auto"/>
                <w:sz w:val="18"/>
                <w:szCs w:val="18"/>
                <w:highlight w:val="none"/>
              </w:rPr>
            </w:pPr>
            <w:r>
              <w:rPr>
                <w:rFonts w:hint="eastAsia"/>
                <w:color w:val="auto"/>
                <w:sz w:val="18"/>
                <w:szCs w:val="18"/>
                <w:highlight w:val="none"/>
              </w:rPr>
              <w:t>4、浆液参数:普通型地聚物注浆加固，配比、流动度、凝结时间、泌水率、抗压强度等满足《城镇道路改性地聚合物注浆加固技术规程》（DGJ32TJ225-2017）要求.</w:t>
            </w:r>
          </w:p>
          <w:p w14:paraId="64ED6D90">
            <w:pPr>
              <w:rPr>
                <w:color w:val="auto"/>
                <w:sz w:val="18"/>
                <w:szCs w:val="18"/>
                <w:highlight w:val="none"/>
              </w:rPr>
            </w:pPr>
            <w:r>
              <w:rPr>
                <w:rFonts w:hint="eastAsia"/>
                <w:color w:val="auto"/>
                <w:sz w:val="18"/>
                <w:szCs w:val="18"/>
                <w:highlight w:val="none"/>
              </w:rPr>
              <w:t>5、注浆结束后根据要求进行路面弯沉检测，符合相关要求</w:t>
            </w:r>
          </w:p>
          <w:p w14:paraId="7773D9AE">
            <w:pPr>
              <w:jc w:val="left"/>
              <w:rPr>
                <w:color w:val="auto"/>
                <w:sz w:val="18"/>
                <w:szCs w:val="18"/>
                <w:highlight w:val="none"/>
              </w:rPr>
            </w:pPr>
            <w:r>
              <w:rPr>
                <w:rFonts w:hint="eastAsia"/>
                <w:color w:val="auto"/>
                <w:sz w:val="18"/>
                <w:szCs w:val="18"/>
                <w:highlight w:val="none"/>
              </w:rPr>
              <w:t>6、</w:t>
            </w:r>
            <w:r>
              <w:rPr>
                <w:color w:val="auto"/>
                <w:sz w:val="18"/>
                <w:szCs w:val="18"/>
                <w:highlight w:val="none"/>
              </w:rPr>
              <w:t>机械使用费、发电机、交通组织、施工护栏等综合考虑在报价中，报价为完成此项工作的所有费用</w:t>
            </w:r>
          </w:p>
          <w:p w14:paraId="25B9BF89">
            <w:pPr>
              <w:jc w:val="left"/>
              <w:rPr>
                <w:color w:val="auto"/>
                <w:sz w:val="18"/>
                <w:szCs w:val="18"/>
                <w:highlight w:val="none"/>
              </w:rPr>
            </w:pPr>
            <w:r>
              <w:rPr>
                <w:rFonts w:hint="eastAsia"/>
                <w:color w:val="auto"/>
                <w:sz w:val="18"/>
                <w:szCs w:val="18"/>
                <w:highlight w:val="none"/>
              </w:rPr>
              <w:t>7、适用范围：路基、路面</w:t>
            </w:r>
          </w:p>
          <w:p w14:paraId="74A04DBD">
            <w:pPr>
              <w:jc w:val="left"/>
              <w:rPr>
                <w:rFonts w:ascii="宋体" w:hAnsi="宋体" w:eastAsia="宋体" w:cs="Times New Roman"/>
                <w:color w:val="auto"/>
                <w:sz w:val="18"/>
                <w:szCs w:val="18"/>
                <w:highlight w:val="none"/>
              </w:rPr>
            </w:pPr>
            <w:r>
              <w:rPr>
                <w:rFonts w:hint="eastAsia"/>
                <w:color w:val="auto"/>
                <w:sz w:val="18"/>
                <w:szCs w:val="18"/>
                <w:highlight w:val="none"/>
              </w:rPr>
              <w:t>8、满足技术和质量要求</w:t>
            </w:r>
          </w:p>
        </w:tc>
        <w:tc>
          <w:tcPr>
            <w:tcW w:w="425" w:type="dxa"/>
            <w:noWrap/>
            <w:vAlign w:val="center"/>
          </w:tcPr>
          <w:p w14:paraId="36E9CBD5">
            <w:pPr>
              <w:jc w:val="center"/>
              <w:rPr>
                <w:rFonts w:ascii="宋体" w:hAnsi="宋体" w:eastAsia="宋体" w:cs="Times New Roman"/>
                <w:color w:val="auto"/>
                <w:sz w:val="18"/>
                <w:szCs w:val="18"/>
                <w:highlight w:val="none"/>
              </w:rPr>
            </w:pPr>
            <w:r>
              <w:rPr>
                <w:rFonts w:hint="eastAsia" w:ascii="宋体" w:hAnsi="宋体"/>
                <w:color w:val="auto"/>
                <w:sz w:val="18"/>
                <w:szCs w:val="18"/>
                <w:highlight w:val="none"/>
              </w:rPr>
              <w:t>㎡</w:t>
            </w:r>
          </w:p>
        </w:tc>
        <w:tc>
          <w:tcPr>
            <w:tcW w:w="709" w:type="dxa"/>
            <w:noWrap/>
            <w:vAlign w:val="center"/>
          </w:tcPr>
          <w:p w14:paraId="36D850BE">
            <w:pPr>
              <w:jc w:val="center"/>
              <w:rPr>
                <w:rFonts w:ascii="宋体" w:hAnsi="宋体" w:eastAsia="宋体" w:cs="Times New Roman"/>
                <w:color w:val="auto"/>
                <w:sz w:val="18"/>
                <w:szCs w:val="18"/>
                <w:highlight w:val="none"/>
              </w:rPr>
            </w:pPr>
            <w:r>
              <w:rPr>
                <w:rFonts w:hint="eastAsia" w:ascii="宋体"/>
                <w:b/>
                <w:bCs/>
                <w:color w:val="auto"/>
                <w:sz w:val="18"/>
                <w:szCs w:val="18"/>
                <w:highlight w:val="none"/>
                <w:lang w:val="en-US" w:eastAsia="zh-CN"/>
              </w:rPr>
              <w:t>3200</w:t>
            </w:r>
          </w:p>
        </w:tc>
        <w:tc>
          <w:tcPr>
            <w:tcW w:w="1134" w:type="dxa"/>
            <w:vAlign w:val="center"/>
          </w:tcPr>
          <w:p w14:paraId="11985BDD">
            <w:pPr>
              <w:jc w:val="center"/>
              <w:rPr>
                <w:rFonts w:ascii="宋体" w:hAnsi="宋体" w:eastAsia="宋体" w:cs="Times New Roman"/>
                <w:color w:val="auto"/>
                <w:sz w:val="18"/>
                <w:szCs w:val="18"/>
                <w:highlight w:val="none"/>
              </w:rPr>
            </w:pPr>
            <w:r>
              <w:rPr>
                <w:rFonts w:hint="eastAsia" w:asciiTheme="minorEastAsia" w:hAnsiTheme="minorEastAsia"/>
                <w:color w:val="auto"/>
                <w:sz w:val="18"/>
                <w:szCs w:val="18"/>
                <w:highlight w:val="none"/>
                <w:lang w:val="en-US" w:eastAsia="zh-CN"/>
              </w:rPr>
              <w:t>88.22</w:t>
            </w:r>
          </w:p>
        </w:tc>
        <w:tc>
          <w:tcPr>
            <w:tcW w:w="709" w:type="dxa"/>
          </w:tcPr>
          <w:p w14:paraId="601A8B66">
            <w:pPr>
              <w:rPr>
                <w:rFonts w:ascii="宋体" w:hAnsi="宋体" w:eastAsia="宋体" w:cs="Times New Roman"/>
                <w:color w:val="auto"/>
                <w:sz w:val="18"/>
                <w:szCs w:val="18"/>
                <w:highlight w:val="none"/>
              </w:rPr>
            </w:pPr>
          </w:p>
        </w:tc>
        <w:tc>
          <w:tcPr>
            <w:tcW w:w="841" w:type="dxa"/>
            <w:vAlign w:val="center"/>
          </w:tcPr>
          <w:p w14:paraId="55215371">
            <w:pPr>
              <w:rPr>
                <w:rFonts w:ascii="宋体" w:hAnsi="宋体" w:eastAsia="宋体" w:cs="Times New Roman"/>
                <w:color w:val="auto"/>
                <w:sz w:val="18"/>
                <w:szCs w:val="18"/>
                <w:highlight w:val="none"/>
              </w:rPr>
            </w:pPr>
          </w:p>
        </w:tc>
      </w:tr>
      <w:tr w14:paraId="1FF00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8" w:hRule="atLeast"/>
          <w:jc w:val="center"/>
        </w:trPr>
        <w:tc>
          <w:tcPr>
            <w:tcW w:w="426" w:type="dxa"/>
            <w:vMerge w:val="restart"/>
            <w:noWrap/>
            <w:vAlign w:val="center"/>
          </w:tcPr>
          <w:p w14:paraId="5906BE6C">
            <w:pPr>
              <w:jc w:val="center"/>
              <w:rPr>
                <w:rFonts w:ascii="宋体" w:hAnsi="宋体" w:eastAsia="宋体" w:cs="Times New Roman"/>
                <w:color w:val="auto"/>
                <w:sz w:val="18"/>
                <w:szCs w:val="18"/>
                <w:highlight w:val="none"/>
              </w:rPr>
            </w:pPr>
            <w:r>
              <w:rPr>
                <w:rFonts w:hint="eastAsia" w:ascii="宋体" w:hAnsi="宋体"/>
                <w:color w:val="auto"/>
                <w:sz w:val="18"/>
                <w:szCs w:val="18"/>
                <w:highlight w:val="none"/>
              </w:rPr>
              <w:t>3</w:t>
            </w:r>
          </w:p>
        </w:tc>
        <w:tc>
          <w:tcPr>
            <w:tcW w:w="709" w:type="dxa"/>
            <w:vMerge w:val="restart"/>
            <w:noWrap/>
            <w:vAlign w:val="center"/>
          </w:tcPr>
          <w:p w14:paraId="388D7346">
            <w:pPr>
              <w:jc w:val="left"/>
              <w:rPr>
                <w:rFonts w:ascii="宋体" w:hAnsi="宋体" w:eastAsia="宋体" w:cs="Times New Roman"/>
                <w:color w:val="auto"/>
                <w:sz w:val="18"/>
                <w:szCs w:val="18"/>
                <w:highlight w:val="none"/>
              </w:rPr>
            </w:pPr>
            <w:r>
              <w:rPr>
                <w:rFonts w:ascii="宋体"/>
                <w:color w:val="auto"/>
                <w:sz w:val="18"/>
                <w:szCs w:val="18"/>
                <w:highlight w:val="none"/>
              </w:rPr>
              <w:t>改性地聚合物注浆加固</w:t>
            </w:r>
            <w:r>
              <w:rPr>
                <w:rFonts w:hint="eastAsia" w:ascii="宋体"/>
                <w:color w:val="auto"/>
                <w:sz w:val="18"/>
                <w:szCs w:val="18"/>
                <w:highlight w:val="none"/>
              </w:rPr>
              <w:t>地下空洞（或疏松）（早强型）</w:t>
            </w:r>
          </w:p>
        </w:tc>
        <w:tc>
          <w:tcPr>
            <w:tcW w:w="951" w:type="dxa"/>
            <w:vMerge w:val="continue"/>
            <w:noWrap/>
            <w:vAlign w:val="center"/>
          </w:tcPr>
          <w:p w14:paraId="49C4065A">
            <w:pPr>
              <w:jc w:val="center"/>
              <w:rPr>
                <w:rFonts w:ascii="宋体" w:hAnsi="宋体" w:eastAsia="宋体" w:cs="Times New Roman"/>
                <w:color w:val="auto"/>
                <w:sz w:val="18"/>
                <w:szCs w:val="18"/>
                <w:highlight w:val="none"/>
              </w:rPr>
            </w:pPr>
          </w:p>
        </w:tc>
        <w:tc>
          <w:tcPr>
            <w:tcW w:w="1459" w:type="dxa"/>
            <w:noWrap/>
            <w:vAlign w:val="center"/>
          </w:tcPr>
          <w:p w14:paraId="7DB79D2F">
            <w:pPr>
              <w:jc w:val="left"/>
              <w:rPr>
                <w:rFonts w:ascii="宋体" w:hAnsi="宋体" w:eastAsia="宋体" w:cs="Times New Roman"/>
                <w:color w:val="auto"/>
                <w:sz w:val="18"/>
                <w:szCs w:val="18"/>
                <w:highlight w:val="none"/>
              </w:rPr>
            </w:pPr>
            <w:r>
              <w:rPr>
                <w:rFonts w:hint="eastAsia" w:ascii="宋体" w:hAnsi="宋体"/>
                <w:color w:val="auto"/>
                <w:sz w:val="18"/>
                <w:szCs w:val="18"/>
                <w:highlight w:val="none"/>
              </w:rPr>
              <w:t>深层</w:t>
            </w:r>
            <w:r>
              <w:rPr>
                <w:rFonts w:ascii="宋体" w:hAnsi="宋体"/>
                <w:color w:val="auto"/>
                <w:sz w:val="18"/>
                <w:szCs w:val="18"/>
                <w:highlight w:val="none"/>
              </w:rPr>
              <w:t>注浆</w:t>
            </w:r>
            <w:r>
              <w:rPr>
                <w:rFonts w:hint="eastAsia" w:ascii="宋体" w:hAnsi="宋体"/>
                <w:color w:val="auto"/>
                <w:sz w:val="18"/>
                <w:szCs w:val="18"/>
                <w:highlight w:val="none"/>
              </w:rPr>
              <w:t>钻孔</w:t>
            </w:r>
          </w:p>
        </w:tc>
        <w:tc>
          <w:tcPr>
            <w:tcW w:w="3111" w:type="dxa"/>
            <w:noWrap/>
            <w:vAlign w:val="center"/>
          </w:tcPr>
          <w:p w14:paraId="00125A3C">
            <w:pPr>
              <w:jc w:val="left"/>
              <w:rPr>
                <w:color w:val="auto"/>
                <w:sz w:val="18"/>
                <w:szCs w:val="18"/>
                <w:highlight w:val="none"/>
              </w:rPr>
            </w:pPr>
            <w:r>
              <w:rPr>
                <w:rFonts w:hint="eastAsia"/>
                <w:color w:val="auto"/>
                <w:sz w:val="18"/>
                <w:szCs w:val="18"/>
                <w:highlight w:val="none"/>
              </w:rPr>
              <w:t>1、钻孔直径：满足规范要求，综合考虑</w:t>
            </w:r>
          </w:p>
          <w:p w14:paraId="735006EB">
            <w:pPr>
              <w:jc w:val="left"/>
              <w:rPr>
                <w:color w:val="auto"/>
                <w:sz w:val="18"/>
                <w:szCs w:val="18"/>
                <w:highlight w:val="none"/>
              </w:rPr>
            </w:pPr>
            <w:r>
              <w:rPr>
                <w:rFonts w:hint="eastAsia"/>
                <w:color w:val="auto"/>
                <w:sz w:val="18"/>
                <w:szCs w:val="18"/>
                <w:highlight w:val="none"/>
              </w:rPr>
              <w:t>2、布孔间距：自行考虑</w:t>
            </w:r>
          </w:p>
          <w:p w14:paraId="061D54FE">
            <w:pPr>
              <w:jc w:val="left"/>
              <w:rPr>
                <w:color w:val="auto"/>
                <w:sz w:val="18"/>
                <w:szCs w:val="18"/>
                <w:highlight w:val="none"/>
              </w:rPr>
            </w:pPr>
            <w:r>
              <w:rPr>
                <w:rFonts w:hint="eastAsia"/>
                <w:color w:val="auto"/>
                <w:sz w:val="18"/>
                <w:szCs w:val="18"/>
                <w:highlight w:val="none"/>
              </w:rPr>
              <w:t>3、钻孔深度：综合考虑</w:t>
            </w:r>
          </w:p>
          <w:p w14:paraId="2E6FD1BB">
            <w:pPr>
              <w:rPr>
                <w:color w:val="auto"/>
                <w:sz w:val="18"/>
                <w:szCs w:val="18"/>
                <w:highlight w:val="none"/>
              </w:rPr>
            </w:pPr>
            <w:r>
              <w:rPr>
                <w:rFonts w:hint="eastAsia"/>
                <w:color w:val="auto"/>
                <w:sz w:val="18"/>
                <w:szCs w:val="18"/>
                <w:highlight w:val="none"/>
              </w:rPr>
              <w:t>4、交通组织、施工护栏等综合考虑在报价中</w:t>
            </w:r>
          </w:p>
          <w:p w14:paraId="534A3774">
            <w:pPr>
              <w:spacing w:after="120"/>
              <w:rPr>
                <w:rFonts w:ascii="宋体" w:hAnsi="宋体" w:eastAsia="宋体" w:cs="Times New Roman"/>
                <w:color w:val="auto"/>
                <w:kern w:val="0"/>
                <w:sz w:val="18"/>
                <w:szCs w:val="18"/>
                <w:highlight w:val="none"/>
              </w:rPr>
            </w:pPr>
            <w:r>
              <w:rPr>
                <w:rFonts w:hint="eastAsia"/>
                <w:color w:val="auto"/>
                <w:sz w:val="18"/>
                <w:szCs w:val="18"/>
                <w:highlight w:val="none"/>
              </w:rPr>
              <w:t>5、满足技术和质量要求</w:t>
            </w:r>
          </w:p>
        </w:tc>
        <w:tc>
          <w:tcPr>
            <w:tcW w:w="425" w:type="dxa"/>
            <w:noWrap/>
            <w:vAlign w:val="center"/>
          </w:tcPr>
          <w:p w14:paraId="26E5431C">
            <w:pPr>
              <w:jc w:val="center"/>
              <w:rPr>
                <w:rFonts w:ascii="宋体" w:hAnsi="宋体" w:eastAsia="宋体" w:cs="Times New Roman"/>
                <w:color w:val="auto"/>
                <w:sz w:val="18"/>
                <w:szCs w:val="18"/>
                <w:highlight w:val="none"/>
              </w:rPr>
            </w:pPr>
            <w:r>
              <w:rPr>
                <w:rFonts w:hint="eastAsia" w:ascii="宋体"/>
                <w:color w:val="auto"/>
                <w:sz w:val="18"/>
                <w:szCs w:val="18"/>
                <w:highlight w:val="none"/>
              </w:rPr>
              <w:t>m</w:t>
            </w:r>
          </w:p>
        </w:tc>
        <w:tc>
          <w:tcPr>
            <w:tcW w:w="709" w:type="dxa"/>
            <w:noWrap/>
            <w:vAlign w:val="center"/>
          </w:tcPr>
          <w:p w14:paraId="2701995C">
            <w:pPr>
              <w:jc w:val="center"/>
              <w:rPr>
                <w:rFonts w:ascii="宋体" w:hAnsi="宋体" w:eastAsia="宋体" w:cs="Times New Roman"/>
                <w:color w:val="auto"/>
                <w:sz w:val="18"/>
                <w:szCs w:val="18"/>
                <w:highlight w:val="none"/>
              </w:rPr>
            </w:pPr>
            <w:r>
              <w:rPr>
                <w:rFonts w:hint="eastAsia" w:ascii="宋体"/>
                <w:b/>
                <w:bCs/>
                <w:color w:val="auto"/>
                <w:sz w:val="18"/>
                <w:szCs w:val="18"/>
                <w:highlight w:val="none"/>
                <w:lang w:val="en-US" w:eastAsia="zh-CN"/>
              </w:rPr>
              <w:t>40</w:t>
            </w:r>
          </w:p>
        </w:tc>
        <w:tc>
          <w:tcPr>
            <w:tcW w:w="1134" w:type="dxa"/>
            <w:vAlign w:val="center"/>
          </w:tcPr>
          <w:p w14:paraId="46DC2BB8">
            <w:pPr>
              <w:jc w:val="center"/>
              <w:rPr>
                <w:rFonts w:ascii="宋体" w:hAnsi="宋体" w:eastAsia="宋体" w:cs="Times New Roman"/>
                <w:color w:val="auto"/>
                <w:sz w:val="18"/>
                <w:szCs w:val="18"/>
                <w:highlight w:val="none"/>
              </w:rPr>
            </w:pPr>
            <w:r>
              <w:rPr>
                <w:rFonts w:hint="eastAsia" w:asciiTheme="minorEastAsia" w:hAnsiTheme="minorEastAsia"/>
                <w:color w:val="auto"/>
                <w:sz w:val="18"/>
                <w:szCs w:val="18"/>
                <w:highlight w:val="none"/>
                <w:lang w:val="en-US" w:eastAsia="zh-CN"/>
              </w:rPr>
              <w:t>41.62</w:t>
            </w:r>
          </w:p>
        </w:tc>
        <w:tc>
          <w:tcPr>
            <w:tcW w:w="709" w:type="dxa"/>
          </w:tcPr>
          <w:p w14:paraId="133B2D96">
            <w:pPr>
              <w:rPr>
                <w:rFonts w:ascii="宋体" w:hAnsi="宋体" w:eastAsia="宋体" w:cs="Times New Roman"/>
                <w:color w:val="auto"/>
                <w:sz w:val="18"/>
                <w:szCs w:val="18"/>
                <w:highlight w:val="none"/>
              </w:rPr>
            </w:pPr>
          </w:p>
        </w:tc>
        <w:tc>
          <w:tcPr>
            <w:tcW w:w="841" w:type="dxa"/>
            <w:vAlign w:val="center"/>
          </w:tcPr>
          <w:p w14:paraId="31B5FEBA">
            <w:pPr>
              <w:rPr>
                <w:rFonts w:ascii="宋体" w:hAnsi="宋体" w:eastAsia="宋体" w:cs="Times New Roman"/>
                <w:color w:val="auto"/>
                <w:sz w:val="18"/>
                <w:szCs w:val="18"/>
                <w:highlight w:val="none"/>
              </w:rPr>
            </w:pPr>
          </w:p>
        </w:tc>
      </w:tr>
      <w:tr w14:paraId="229DE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426" w:type="dxa"/>
            <w:vMerge w:val="continue"/>
            <w:noWrap/>
            <w:vAlign w:val="center"/>
          </w:tcPr>
          <w:p w14:paraId="43D215A0">
            <w:pPr>
              <w:jc w:val="center"/>
              <w:rPr>
                <w:rFonts w:ascii="宋体" w:hAnsi="宋体" w:eastAsia="宋体" w:cs="Times New Roman"/>
                <w:color w:val="auto"/>
                <w:sz w:val="18"/>
                <w:szCs w:val="18"/>
                <w:highlight w:val="none"/>
              </w:rPr>
            </w:pPr>
          </w:p>
        </w:tc>
        <w:tc>
          <w:tcPr>
            <w:tcW w:w="709" w:type="dxa"/>
            <w:vMerge w:val="continue"/>
            <w:noWrap/>
            <w:vAlign w:val="center"/>
          </w:tcPr>
          <w:p w14:paraId="4E51AAB5">
            <w:pPr>
              <w:jc w:val="left"/>
              <w:rPr>
                <w:rFonts w:ascii="宋体" w:hAnsi="宋体" w:eastAsia="宋体" w:cs="Times New Roman"/>
                <w:color w:val="auto"/>
                <w:sz w:val="18"/>
                <w:szCs w:val="18"/>
                <w:highlight w:val="none"/>
              </w:rPr>
            </w:pPr>
          </w:p>
        </w:tc>
        <w:tc>
          <w:tcPr>
            <w:tcW w:w="951" w:type="dxa"/>
            <w:vMerge w:val="continue"/>
            <w:noWrap/>
            <w:vAlign w:val="center"/>
          </w:tcPr>
          <w:p w14:paraId="5AFBC97B">
            <w:pPr>
              <w:jc w:val="center"/>
              <w:rPr>
                <w:rFonts w:ascii="宋体" w:hAnsi="宋体" w:eastAsia="宋体" w:cs="Times New Roman"/>
                <w:color w:val="auto"/>
                <w:sz w:val="18"/>
                <w:szCs w:val="18"/>
                <w:highlight w:val="none"/>
              </w:rPr>
            </w:pPr>
          </w:p>
        </w:tc>
        <w:tc>
          <w:tcPr>
            <w:tcW w:w="1459" w:type="dxa"/>
            <w:noWrap/>
            <w:vAlign w:val="center"/>
          </w:tcPr>
          <w:p w14:paraId="16231E83">
            <w:pPr>
              <w:jc w:val="left"/>
              <w:rPr>
                <w:rFonts w:ascii="宋体" w:hAnsi="宋体" w:eastAsia="宋体" w:cs="Times New Roman"/>
                <w:color w:val="auto"/>
                <w:sz w:val="18"/>
                <w:szCs w:val="18"/>
                <w:highlight w:val="none"/>
              </w:rPr>
            </w:pPr>
            <w:r>
              <w:rPr>
                <w:rFonts w:hint="eastAsia" w:ascii="宋体" w:hAnsi="宋体"/>
                <w:color w:val="auto"/>
                <w:sz w:val="18"/>
                <w:szCs w:val="18"/>
                <w:highlight w:val="none"/>
              </w:rPr>
              <w:t>深层注浆设备使用费（含人工）</w:t>
            </w:r>
          </w:p>
        </w:tc>
        <w:tc>
          <w:tcPr>
            <w:tcW w:w="3111" w:type="dxa"/>
            <w:noWrap/>
            <w:vAlign w:val="center"/>
          </w:tcPr>
          <w:p w14:paraId="779B2AAF">
            <w:pPr>
              <w:jc w:val="left"/>
              <w:rPr>
                <w:color w:val="auto"/>
                <w:sz w:val="18"/>
                <w:szCs w:val="18"/>
                <w:highlight w:val="none"/>
              </w:rPr>
            </w:pPr>
            <w:r>
              <w:rPr>
                <w:rFonts w:hint="eastAsia"/>
                <w:color w:val="auto"/>
                <w:sz w:val="18"/>
                <w:szCs w:val="18"/>
                <w:highlight w:val="none"/>
              </w:rPr>
              <w:t>1、按使用时间计</w:t>
            </w:r>
          </w:p>
          <w:p w14:paraId="63CAB984">
            <w:pPr>
              <w:jc w:val="left"/>
              <w:rPr>
                <w:color w:val="auto"/>
                <w:sz w:val="18"/>
                <w:szCs w:val="18"/>
                <w:highlight w:val="none"/>
              </w:rPr>
            </w:pPr>
            <w:r>
              <w:rPr>
                <w:rFonts w:hint="eastAsia"/>
                <w:color w:val="auto"/>
                <w:sz w:val="18"/>
                <w:szCs w:val="18"/>
                <w:highlight w:val="none"/>
              </w:rPr>
              <w:t>2、机械短驳、转场、进退场产生的费用不另计</w:t>
            </w:r>
          </w:p>
          <w:p w14:paraId="184037A2">
            <w:pPr>
              <w:rPr>
                <w:rFonts w:ascii="宋体" w:hAnsi="宋体" w:eastAsia="宋体" w:cs="Times New Roman"/>
                <w:color w:val="auto"/>
                <w:kern w:val="0"/>
                <w:sz w:val="18"/>
                <w:szCs w:val="18"/>
                <w:highlight w:val="none"/>
              </w:rPr>
            </w:pPr>
            <w:r>
              <w:rPr>
                <w:rFonts w:hint="eastAsia"/>
                <w:color w:val="auto"/>
                <w:sz w:val="18"/>
                <w:szCs w:val="18"/>
                <w:highlight w:val="none"/>
              </w:rPr>
              <w:t>3、注浆设备为完成此项工作用到的所有机械（含发电机）</w:t>
            </w:r>
          </w:p>
        </w:tc>
        <w:tc>
          <w:tcPr>
            <w:tcW w:w="425" w:type="dxa"/>
            <w:noWrap/>
            <w:vAlign w:val="center"/>
          </w:tcPr>
          <w:p w14:paraId="58E84F60">
            <w:pPr>
              <w:jc w:val="center"/>
              <w:rPr>
                <w:rFonts w:ascii="宋体" w:hAnsi="宋体" w:eastAsia="宋体" w:cs="Times New Roman"/>
                <w:color w:val="auto"/>
                <w:sz w:val="18"/>
                <w:szCs w:val="18"/>
                <w:highlight w:val="none"/>
              </w:rPr>
            </w:pPr>
            <w:r>
              <w:rPr>
                <w:rFonts w:hint="eastAsia" w:ascii="宋体"/>
                <w:color w:val="auto"/>
                <w:sz w:val="18"/>
                <w:szCs w:val="18"/>
                <w:highlight w:val="none"/>
              </w:rPr>
              <w:t>台班</w:t>
            </w:r>
          </w:p>
        </w:tc>
        <w:tc>
          <w:tcPr>
            <w:tcW w:w="709" w:type="dxa"/>
            <w:noWrap/>
            <w:vAlign w:val="center"/>
          </w:tcPr>
          <w:p w14:paraId="3E08EC66">
            <w:pPr>
              <w:jc w:val="center"/>
              <w:rPr>
                <w:rFonts w:ascii="宋体" w:hAnsi="宋体" w:eastAsia="宋体" w:cs="Times New Roman"/>
                <w:color w:val="auto"/>
                <w:sz w:val="18"/>
                <w:szCs w:val="18"/>
                <w:highlight w:val="none"/>
              </w:rPr>
            </w:pPr>
            <w:r>
              <w:rPr>
                <w:rFonts w:hint="eastAsia" w:ascii="宋体"/>
                <w:b/>
                <w:bCs/>
                <w:color w:val="auto"/>
                <w:sz w:val="18"/>
                <w:szCs w:val="18"/>
                <w:highlight w:val="none"/>
                <w:lang w:val="en-US" w:eastAsia="zh-CN"/>
              </w:rPr>
              <w:t>4</w:t>
            </w:r>
          </w:p>
        </w:tc>
        <w:tc>
          <w:tcPr>
            <w:tcW w:w="1134" w:type="dxa"/>
            <w:vAlign w:val="center"/>
          </w:tcPr>
          <w:p w14:paraId="686789E1">
            <w:pPr>
              <w:jc w:val="center"/>
              <w:rPr>
                <w:rFonts w:ascii="宋体" w:hAnsi="宋体" w:eastAsia="宋体" w:cs="Times New Roman"/>
                <w:color w:val="auto"/>
                <w:sz w:val="18"/>
                <w:szCs w:val="18"/>
                <w:highlight w:val="none"/>
              </w:rPr>
            </w:pPr>
            <w:r>
              <w:rPr>
                <w:rFonts w:hint="eastAsia" w:asciiTheme="minorEastAsia" w:hAnsiTheme="minorEastAsia"/>
                <w:color w:val="auto"/>
                <w:sz w:val="18"/>
                <w:szCs w:val="18"/>
                <w:highlight w:val="none"/>
                <w:lang w:val="en-US" w:eastAsia="zh-CN"/>
              </w:rPr>
              <w:t>2828.87</w:t>
            </w:r>
          </w:p>
        </w:tc>
        <w:tc>
          <w:tcPr>
            <w:tcW w:w="709" w:type="dxa"/>
          </w:tcPr>
          <w:p w14:paraId="0F574FAF">
            <w:pPr>
              <w:rPr>
                <w:rFonts w:ascii="宋体" w:hAnsi="宋体" w:eastAsia="宋体" w:cs="Times New Roman"/>
                <w:color w:val="auto"/>
                <w:sz w:val="18"/>
                <w:szCs w:val="18"/>
                <w:highlight w:val="none"/>
              </w:rPr>
            </w:pPr>
          </w:p>
        </w:tc>
        <w:tc>
          <w:tcPr>
            <w:tcW w:w="841" w:type="dxa"/>
            <w:vAlign w:val="center"/>
          </w:tcPr>
          <w:p w14:paraId="4E3ACDFA">
            <w:pPr>
              <w:rPr>
                <w:rFonts w:ascii="宋体" w:hAnsi="宋体" w:eastAsia="宋体" w:cs="Times New Roman"/>
                <w:color w:val="auto"/>
                <w:sz w:val="18"/>
                <w:szCs w:val="18"/>
                <w:highlight w:val="none"/>
              </w:rPr>
            </w:pPr>
          </w:p>
        </w:tc>
      </w:tr>
      <w:tr w14:paraId="65293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2" w:hRule="atLeast"/>
          <w:jc w:val="center"/>
        </w:trPr>
        <w:tc>
          <w:tcPr>
            <w:tcW w:w="426" w:type="dxa"/>
            <w:vMerge w:val="continue"/>
            <w:noWrap/>
            <w:vAlign w:val="center"/>
          </w:tcPr>
          <w:p w14:paraId="1D4645F7">
            <w:pPr>
              <w:jc w:val="center"/>
              <w:rPr>
                <w:rFonts w:ascii="宋体" w:hAnsi="宋体" w:eastAsia="宋体" w:cs="Times New Roman"/>
                <w:color w:val="auto"/>
                <w:sz w:val="18"/>
                <w:szCs w:val="18"/>
                <w:highlight w:val="none"/>
              </w:rPr>
            </w:pPr>
          </w:p>
        </w:tc>
        <w:tc>
          <w:tcPr>
            <w:tcW w:w="709" w:type="dxa"/>
            <w:vMerge w:val="continue"/>
            <w:noWrap/>
            <w:vAlign w:val="center"/>
          </w:tcPr>
          <w:p w14:paraId="0341BB22">
            <w:pPr>
              <w:jc w:val="left"/>
              <w:rPr>
                <w:rFonts w:ascii="宋体" w:hAnsi="宋体" w:eastAsia="宋体" w:cs="Times New Roman"/>
                <w:color w:val="auto"/>
                <w:sz w:val="18"/>
                <w:szCs w:val="18"/>
                <w:highlight w:val="none"/>
              </w:rPr>
            </w:pPr>
          </w:p>
        </w:tc>
        <w:tc>
          <w:tcPr>
            <w:tcW w:w="951" w:type="dxa"/>
            <w:vMerge w:val="continue"/>
            <w:noWrap/>
            <w:vAlign w:val="center"/>
          </w:tcPr>
          <w:p w14:paraId="5197C3CC">
            <w:pPr>
              <w:jc w:val="center"/>
              <w:rPr>
                <w:rFonts w:ascii="宋体" w:hAnsi="宋体" w:eastAsia="宋体" w:cs="Times New Roman"/>
                <w:color w:val="auto"/>
                <w:sz w:val="18"/>
                <w:szCs w:val="18"/>
                <w:highlight w:val="none"/>
              </w:rPr>
            </w:pPr>
          </w:p>
        </w:tc>
        <w:tc>
          <w:tcPr>
            <w:tcW w:w="1459" w:type="dxa"/>
            <w:noWrap/>
            <w:vAlign w:val="center"/>
          </w:tcPr>
          <w:p w14:paraId="07C92118">
            <w:pPr>
              <w:jc w:val="left"/>
              <w:rPr>
                <w:rFonts w:ascii="宋体" w:hAnsi="宋体" w:eastAsia="宋体" w:cs="Times New Roman"/>
                <w:color w:val="auto"/>
                <w:sz w:val="18"/>
                <w:szCs w:val="18"/>
                <w:highlight w:val="none"/>
              </w:rPr>
            </w:pPr>
            <w:r>
              <w:rPr>
                <w:rFonts w:hint="eastAsia" w:ascii="宋体" w:hAnsi="宋体"/>
                <w:color w:val="auto"/>
                <w:sz w:val="18"/>
                <w:szCs w:val="18"/>
                <w:highlight w:val="none"/>
              </w:rPr>
              <w:t>地聚合物（早强型）</w:t>
            </w:r>
          </w:p>
        </w:tc>
        <w:tc>
          <w:tcPr>
            <w:tcW w:w="3111" w:type="dxa"/>
            <w:noWrap/>
            <w:vAlign w:val="center"/>
          </w:tcPr>
          <w:p w14:paraId="72E4F69C">
            <w:pPr>
              <w:jc w:val="left"/>
              <w:rPr>
                <w:color w:val="auto"/>
                <w:sz w:val="18"/>
                <w:szCs w:val="18"/>
                <w:highlight w:val="none"/>
              </w:rPr>
            </w:pPr>
            <w:r>
              <w:rPr>
                <w:rFonts w:hint="eastAsia"/>
                <w:color w:val="auto"/>
                <w:sz w:val="18"/>
                <w:szCs w:val="18"/>
                <w:highlight w:val="none"/>
              </w:rPr>
              <w:t>1、注浆压力：满足规范要求，自行考虑</w:t>
            </w:r>
          </w:p>
          <w:p w14:paraId="09DD083A">
            <w:pPr>
              <w:jc w:val="left"/>
              <w:rPr>
                <w:color w:val="auto"/>
                <w:sz w:val="18"/>
                <w:szCs w:val="18"/>
                <w:highlight w:val="none"/>
              </w:rPr>
            </w:pPr>
            <w:r>
              <w:rPr>
                <w:rFonts w:hint="eastAsia"/>
                <w:color w:val="auto"/>
                <w:sz w:val="18"/>
                <w:szCs w:val="18"/>
                <w:highlight w:val="none"/>
              </w:rPr>
              <w:t>2、布孔间距：自行考虑</w:t>
            </w:r>
          </w:p>
          <w:p w14:paraId="3660D2F5">
            <w:pPr>
              <w:jc w:val="left"/>
              <w:rPr>
                <w:color w:val="auto"/>
                <w:sz w:val="18"/>
                <w:szCs w:val="18"/>
                <w:highlight w:val="none"/>
              </w:rPr>
            </w:pPr>
            <w:r>
              <w:rPr>
                <w:rFonts w:hint="eastAsia"/>
                <w:color w:val="auto"/>
                <w:sz w:val="18"/>
                <w:szCs w:val="18"/>
                <w:highlight w:val="none"/>
              </w:rPr>
              <w:t>3、</w:t>
            </w:r>
            <w:r>
              <w:rPr>
                <w:color w:val="auto"/>
                <w:sz w:val="18"/>
                <w:szCs w:val="18"/>
                <w:highlight w:val="none"/>
              </w:rPr>
              <w:t>注浆材料：</w:t>
            </w:r>
            <w:r>
              <w:rPr>
                <w:rFonts w:hint="eastAsia"/>
                <w:color w:val="auto"/>
                <w:sz w:val="18"/>
                <w:szCs w:val="18"/>
                <w:highlight w:val="none"/>
              </w:rPr>
              <w:t>地聚合物（早强型），材料满足施工及规范要求</w:t>
            </w:r>
          </w:p>
          <w:p w14:paraId="72DBA4CF">
            <w:pPr>
              <w:jc w:val="left"/>
              <w:rPr>
                <w:color w:val="auto"/>
                <w:sz w:val="18"/>
                <w:szCs w:val="18"/>
                <w:highlight w:val="none"/>
              </w:rPr>
            </w:pPr>
            <w:r>
              <w:rPr>
                <w:rFonts w:hint="eastAsia"/>
                <w:color w:val="auto"/>
                <w:sz w:val="18"/>
                <w:szCs w:val="18"/>
                <w:highlight w:val="none"/>
              </w:rPr>
              <w:t>4、计量方式：吨位现场计量</w:t>
            </w:r>
          </w:p>
          <w:p w14:paraId="7FEE262A">
            <w:pPr>
              <w:rPr>
                <w:color w:val="auto"/>
                <w:sz w:val="18"/>
                <w:szCs w:val="18"/>
                <w:highlight w:val="none"/>
              </w:rPr>
            </w:pPr>
            <w:r>
              <w:rPr>
                <w:rFonts w:hint="eastAsia"/>
                <w:color w:val="auto"/>
                <w:sz w:val="18"/>
                <w:szCs w:val="18"/>
                <w:highlight w:val="none"/>
              </w:rPr>
              <w:t>5、注浆结束后根据要求进行路面弯沉检测，符合相关要求</w:t>
            </w:r>
          </w:p>
          <w:p w14:paraId="19189776">
            <w:pPr>
              <w:jc w:val="left"/>
              <w:rPr>
                <w:rFonts w:ascii="宋体" w:hAnsi="宋体" w:eastAsia="宋体" w:cs="Times New Roman"/>
                <w:color w:val="auto"/>
                <w:sz w:val="18"/>
                <w:szCs w:val="18"/>
                <w:highlight w:val="none"/>
              </w:rPr>
            </w:pPr>
            <w:r>
              <w:rPr>
                <w:rFonts w:hint="eastAsia"/>
                <w:color w:val="auto"/>
                <w:sz w:val="18"/>
                <w:szCs w:val="18"/>
                <w:highlight w:val="none"/>
              </w:rPr>
              <w:t>6、满足技术和质量要求</w:t>
            </w:r>
          </w:p>
        </w:tc>
        <w:tc>
          <w:tcPr>
            <w:tcW w:w="425" w:type="dxa"/>
            <w:noWrap/>
            <w:vAlign w:val="center"/>
          </w:tcPr>
          <w:p w14:paraId="570ACA0F">
            <w:pPr>
              <w:jc w:val="center"/>
              <w:rPr>
                <w:rFonts w:ascii="宋体" w:hAnsi="宋体" w:eastAsia="宋体" w:cs="Times New Roman"/>
                <w:color w:val="auto"/>
                <w:sz w:val="18"/>
                <w:szCs w:val="18"/>
                <w:highlight w:val="none"/>
              </w:rPr>
            </w:pPr>
            <w:r>
              <w:rPr>
                <w:rFonts w:hint="eastAsia" w:ascii="宋体"/>
                <w:color w:val="auto"/>
                <w:sz w:val="18"/>
                <w:szCs w:val="18"/>
                <w:highlight w:val="none"/>
              </w:rPr>
              <w:t>t</w:t>
            </w:r>
          </w:p>
        </w:tc>
        <w:tc>
          <w:tcPr>
            <w:tcW w:w="709" w:type="dxa"/>
            <w:noWrap/>
            <w:vAlign w:val="center"/>
          </w:tcPr>
          <w:p w14:paraId="3F56DFB1">
            <w:pPr>
              <w:jc w:val="center"/>
              <w:rPr>
                <w:rFonts w:ascii="宋体" w:hAnsi="宋体" w:eastAsia="宋体" w:cs="Times New Roman"/>
                <w:color w:val="auto"/>
                <w:sz w:val="18"/>
                <w:szCs w:val="18"/>
                <w:highlight w:val="none"/>
              </w:rPr>
            </w:pPr>
            <w:r>
              <w:rPr>
                <w:rFonts w:hint="eastAsia" w:ascii="宋体"/>
                <w:b/>
                <w:bCs/>
                <w:color w:val="auto"/>
                <w:sz w:val="18"/>
                <w:szCs w:val="18"/>
                <w:highlight w:val="none"/>
                <w:lang w:val="en-US" w:eastAsia="zh-CN"/>
              </w:rPr>
              <w:t>35</w:t>
            </w:r>
          </w:p>
        </w:tc>
        <w:tc>
          <w:tcPr>
            <w:tcW w:w="1134" w:type="dxa"/>
            <w:vAlign w:val="center"/>
          </w:tcPr>
          <w:p w14:paraId="04CE6C12">
            <w:pPr>
              <w:jc w:val="center"/>
              <w:rPr>
                <w:rFonts w:ascii="宋体" w:hAnsi="宋体" w:eastAsia="宋体" w:cs="Times New Roman"/>
                <w:color w:val="auto"/>
                <w:sz w:val="18"/>
                <w:szCs w:val="18"/>
                <w:highlight w:val="none"/>
              </w:rPr>
            </w:pPr>
            <w:r>
              <w:rPr>
                <w:rFonts w:hint="eastAsia" w:asciiTheme="minorEastAsia" w:hAnsiTheme="minorEastAsia"/>
                <w:color w:val="auto"/>
                <w:sz w:val="18"/>
                <w:szCs w:val="18"/>
                <w:highlight w:val="none"/>
                <w:lang w:val="en-US" w:eastAsia="zh-CN"/>
              </w:rPr>
              <w:t>1431.78</w:t>
            </w:r>
          </w:p>
        </w:tc>
        <w:tc>
          <w:tcPr>
            <w:tcW w:w="709" w:type="dxa"/>
          </w:tcPr>
          <w:p w14:paraId="6FDC60D3">
            <w:pPr>
              <w:rPr>
                <w:rFonts w:ascii="宋体" w:hAnsi="宋体" w:eastAsia="宋体" w:cs="Times New Roman"/>
                <w:color w:val="auto"/>
                <w:sz w:val="18"/>
                <w:szCs w:val="18"/>
                <w:highlight w:val="none"/>
              </w:rPr>
            </w:pPr>
          </w:p>
        </w:tc>
        <w:tc>
          <w:tcPr>
            <w:tcW w:w="841" w:type="dxa"/>
            <w:vAlign w:val="center"/>
          </w:tcPr>
          <w:p w14:paraId="6E1305FB">
            <w:pPr>
              <w:rPr>
                <w:rFonts w:ascii="宋体" w:hAnsi="宋体" w:eastAsia="宋体" w:cs="Times New Roman"/>
                <w:color w:val="auto"/>
                <w:sz w:val="18"/>
                <w:szCs w:val="18"/>
                <w:highlight w:val="none"/>
              </w:rPr>
            </w:pPr>
          </w:p>
        </w:tc>
      </w:tr>
      <w:tr w14:paraId="51465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426" w:type="dxa"/>
            <w:vMerge w:val="restart"/>
            <w:noWrap/>
            <w:vAlign w:val="center"/>
          </w:tcPr>
          <w:p w14:paraId="7130B031">
            <w:pPr>
              <w:jc w:val="center"/>
              <w:rPr>
                <w:rFonts w:ascii="宋体" w:hAnsi="宋体" w:eastAsia="宋体" w:cs="Times New Roman"/>
                <w:color w:val="auto"/>
                <w:sz w:val="18"/>
                <w:szCs w:val="18"/>
                <w:highlight w:val="none"/>
              </w:rPr>
            </w:pPr>
            <w:r>
              <w:rPr>
                <w:rFonts w:hint="eastAsia" w:ascii="宋体" w:hAnsi="宋体"/>
                <w:color w:val="auto"/>
                <w:sz w:val="18"/>
                <w:szCs w:val="18"/>
                <w:highlight w:val="none"/>
              </w:rPr>
              <w:t>4</w:t>
            </w:r>
          </w:p>
        </w:tc>
        <w:tc>
          <w:tcPr>
            <w:tcW w:w="709" w:type="dxa"/>
            <w:vMerge w:val="restart"/>
            <w:noWrap/>
            <w:vAlign w:val="center"/>
          </w:tcPr>
          <w:p w14:paraId="53D06695">
            <w:pPr>
              <w:jc w:val="left"/>
              <w:rPr>
                <w:rFonts w:ascii="宋体" w:hAnsi="宋体" w:eastAsia="宋体" w:cs="Times New Roman"/>
                <w:color w:val="auto"/>
                <w:sz w:val="18"/>
                <w:szCs w:val="18"/>
                <w:highlight w:val="none"/>
              </w:rPr>
            </w:pPr>
            <w:r>
              <w:rPr>
                <w:rFonts w:ascii="宋体"/>
                <w:color w:val="auto"/>
                <w:sz w:val="18"/>
                <w:szCs w:val="18"/>
                <w:highlight w:val="none"/>
              </w:rPr>
              <w:t>改性地聚合物注浆加固</w:t>
            </w:r>
            <w:r>
              <w:rPr>
                <w:rFonts w:hint="eastAsia" w:ascii="宋体"/>
                <w:color w:val="auto"/>
                <w:sz w:val="18"/>
                <w:szCs w:val="18"/>
                <w:highlight w:val="none"/>
              </w:rPr>
              <w:t>地下空洞（或疏松）（普通型）</w:t>
            </w:r>
          </w:p>
        </w:tc>
        <w:tc>
          <w:tcPr>
            <w:tcW w:w="951" w:type="dxa"/>
            <w:vMerge w:val="continue"/>
            <w:noWrap/>
            <w:vAlign w:val="center"/>
          </w:tcPr>
          <w:p w14:paraId="50F426BE">
            <w:pPr>
              <w:jc w:val="center"/>
              <w:rPr>
                <w:rFonts w:ascii="宋体" w:hAnsi="宋体" w:eastAsia="宋体" w:cs="Times New Roman"/>
                <w:color w:val="auto"/>
                <w:sz w:val="18"/>
                <w:szCs w:val="18"/>
                <w:highlight w:val="none"/>
              </w:rPr>
            </w:pPr>
          </w:p>
        </w:tc>
        <w:tc>
          <w:tcPr>
            <w:tcW w:w="1459" w:type="dxa"/>
            <w:noWrap/>
            <w:vAlign w:val="center"/>
          </w:tcPr>
          <w:p w14:paraId="188D83B9">
            <w:pPr>
              <w:jc w:val="left"/>
              <w:rPr>
                <w:rFonts w:ascii="宋体" w:hAnsi="宋体" w:eastAsia="宋体" w:cs="Times New Roman"/>
                <w:color w:val="auto"/>
                <w:sz w:val="18"/>
                <w:szCs w:val="18"/>
                <w:highlight w:val="none"/>
              </w:rPr>
            </w:pPr>
            <w:r>
              <w:rPr>
                <w:rFonts w:hint="eastAsia" w:ascii="宋体" w:hAnsi="宋体"/>
                <w:color w:val="auto"/>
                <w:sz w:val="18"/>
                <w:szCs w:val="18"/>
                <w:highlight w:val="none"/>
              </w:rPr>
              <w:t>深层</w:t>
            </w:r>
            <w:r>
              <w:rPr>
                <w:rFonts w:ascii="宋体" w:hAnsi="宋体"/>
                <w:color w:val="auto"/>
                <w:sz w:val="18"/>
                <w:szCs w:val="18"/>
                <w:highlight w:val="none"/>
              </w:rPr>
              <w:t>注浆</w:t>
            </w:r>
            <w:r>
              <w:rPr>
                <w:rFonts w:hint="eastAsia" w:ascii="宋体" w:hAnsi="宋体"/>
                <w:color w:val="auto"/>
                <w:sz w:val="18"/>
                <w:szCs w:val="18"/>
                <w:highlight w:val="none"/>
              </w:rPr>
              <w:t>钻孔</w:t>
            </w:r>
          </w:p>
        </w:tc>
        <w:tc>
          <w:tcPr>
            <w:tcW w:w="3111" w:type="dxa"/>
            <w:noWrap/>
            <w:vAlign w:val="center"/>
          </w:tcPr>
          <w:p w14:paraId="788E81F1">
            <w:pPr>
              <w:jc w:val="left"/>
              <w:rPr>
                <w:color w:val="auto"/>
                <w:sz w:val="18"/>
                <w:szCs w:val="18"/>
                <w:highlight w:val="none"/>
              </w:rPr>
            </w:pPr>
            <w:r>
              <w:rPr>
                <w:rFonts w:hint="eastAsia"/>
                <w:color w:val="auto"/>
                <w:sz w:val="18"/>
                <w:szCs w:val="18"/>
                <w:highlight w:val="none"/>
              </w:rPr>
              <w:t>1、钻孔直径：满足规范要求，综合考虑</w:t>
            </w:r>
          </w:p>
          <w:p w14:paraId="43EA4C16">
            <w:pPr>
              <w:jc w:val="left"/>
              <w:rPr>
                <w:color w:val="auto"/>
                <w:sz w:val="18"/>
                <w:szCs w:val="18"/>
                <w:highlight w:val="none"/>
              </w:rPr>
            </w:pPr>
            <w:r>
              <w:rPr>
                <w:rFonts w:hint="eastAsia"/>
                <w:color w:val="auto"/>
                <w:sz w:val="18"/>
                <w:szCs w:val="18"/>
                <w:highlight w:val="none"/>
              </w:rPr>
              <w:t>2、布孔间距：自行考虑</w:t>
            </w:r>
          </w:p>
          <w:p w14:paraId="0668C5E7">
            <w:pPr>
              <w:jc w:val="left"/>
              <w:rPr>
                <w:color w:val="auto"/>
                <w:sz w:val="18"/>
                <w:szCs w:val="18"/>
                <w:highlight w:val="none"/>
              </w:rPr>
            </w:pPr>
            <w:r>
              <w:rPr>
                <w:rFonts w:hint="eastAsia"/>
                <w:color w:val="auto"/>
                <w:sz w:val="18"/>
                <w:szCs w:val="18"/>
                <w:highlight w:val="none"/>
              </w:rPr>
              <w:t>3、钻孔深度：综合考虑</w:t>
            </w:r>
          </w:p>
          <w:p w14:paraId="70077791">
            <w:pPr>
              <w:rPr>
                <w:color w:val="auto"/>
                <w:sz w:val="18"/>
                <w:szCs w:val="18"/>
                <w:highlight w:val="none"/>
              </w:rPr>
            </w:pPr>
            <w:r>
              <w:rPr>
                <w:rFonts w:hint="eastAsia"/>
                <w:color w:val="auto"/>
                <w:sz w:val="18"/>
                <w:szCs w:val="18"/>
                <w:highlight w:val="none"/>
              </w:rPr>
              <w:t>4、交通组织、施工护栏等综合考虑在报价中</w:t>
            </w:r>
          </w:p>
          <w:p w14:paraId="392DA5C7">
            <w:pPr>
              <w:spacing w:after="120"/>
              <w:rPr>
                <w:rFonts w:ascii="宋体" w:hAnsi="宋体" w:eastAsia="宋体" w:cs="Times New Roman"/>
                <w:color w:val="auto"/>
                <w:kern w:val="0"/>
                <w:sz w:val="18"/>
                <w:szCs w:val="18"/>
                <w:highlight w:val="none"/>
              </w:rPr>
            </w:pPr>
            <w:r>
              <w:rPr>
                <w:rFonts w:hint="eastAsia"/>
                <w:color w:val="auto"/>
                <w:sz w:val="18"/>
                <w:szCs w:val="18"/>
                <w:highlight w:val="none"/>
              </w:rPr>
              <w:t>5、满足技术和质量要求</w:t>
            </w:r>
          </w:p>
        </w:tc>
        <w:tc>
          <w:tcPr>
            <w:tcW w:w="425" w:type="dxa"/>
            <w:noWrap/>
            <w:vAlign w:val="center"/>
          </w:tcPr>
          <w:p w14:paraId="5E796812">
            <w:pPr>
              <w:jc w:val="center"/>
              <w:rPr>
                <w:rFonts w:ascii="宋体" w:hAnsi="宋体" w:eastAsia="宋体" w:cs="Times New Roman"/>
                <w:color w:val="auto"/>
                <w:sz w:val="18"/>
                <w:szCs w:val="18"/>
                <w:highlight w:val="none"/>
              </w:rPr>
            </w:pPr>
            <w:r>
              <w:rPr>
                <w:rFonts w:hint="eastAsia" w:ascii="宋体"/>
                <w:color w:val="auto"/>
                <w:sz w:val="18"/>
                <w:szCs w:val="18"/>
                <w:highlight w:val="none"/>
              </w:rPr>
              <w:t>m</w:t>
            </w:r>
          </w:p>
        </w:tc>
        <w:tc>
          <w:tcPr>
            <w:tcW w:w="709" w:type="dxa"/>
            <w:noWrap/>
            <w:vAlign w:val="center"/>
          </w:tcPr>
          <w:p w14:paraId="5C2C8ADA">
            <w:pPr>
              <w:jc w:val="center"/>
              <w:rPr>
                <w:rFonts w:ascii="宋体" w:hAnsi="宋体" w:eastAsia="宋体" w:cs="Times New Roman"/>
                <w:color w:val="auto"/>
                <w:sz w:val="18"/>
                <w:szCs w:val="18"/>
                <w:highlight w:val="none"/>
              </w:rPr>
            </w:pPr>
            <w:r>
              <w:rPr>
                <w:rFonts w:hint="eastAsia" w:ascii="宋体"/>
                <w:b/>
                <w:bCs/>
                <w:color w:val="auto"/>
                <w:sz w:val="18"/>
                <w:szCs w:val="18"/>
                <w:highlight w:val="none"/>
                <w:lang w:val="en-US" w:eastAsia="zh-CN"/>
              </w:rPr>
              <w:t>40</w:t>
            </w:r>
          </w:p>
        </w:tc>
        <w:tc>
          <w:tcPr>
            <w:tcW w:w="1134" w:type="dxa"/>
            <w:vAlign w:val="center"/>
          </w:tcPr>
          <w:p w14:paraId="31275C72">
            <w:pPr>
              <w:jc w:val="center"/>
              <w:rPr>
                <w:rFonts w:ascii="宋体" w:hAnsi="宋体" w:eastAsia="宋体" w:cs="Times New Roman"/>
                <w:color w:val="auto"/>
                <w:sz w:val="18"/>
                <w:szCs w:val="18"/>
                <w:highlight w:val="none"/>
              </w:rPr>
            </w:pPr>
            <w:r>
              <w:rPr>
                <w:rFonts w:hint="eastAsia" w:asciiTheme="minorEastAsia" w:hAnsiTheme="minorEastAsia"/>
                <w:color w:val="auto"/>
                <w:sz w:val="18"/>
                <w:szCs w:val="18"/>
                <w:highlight w:val="none"/>
                <w:lang w:val="en-US" w:eastAsia="zh-CN"/>
              </w:rPr>
              <w:t>41.62</w:t>
            </w:r>
          </w:p>
        </w:tc>
        <w:tc>
          <w:tcPr>
            <w:tcW w:w="709" w:type="dxa"/>
          </w:tcPr>
          <w:p w14:paraId="287FF349">
            <w:pPr>
              <w:rPr>
                <w:rFonts w:ascii="宋体" w:hAnsi="宋体" w:eastAsia="宋体" w:cs="Times New Roman"/>
                <w:color w:val="auto"/>
                <w:sz w:val="18"/>
                <w:szCs w:val="18"/>
                <w:highlight w:val="none"/>
              </w:rPr>
            </w:pPr>
          </w:p>
        </w:tc>
        <w:tc>
          <w:tcPr>
            <w:tcW w:w="841" w:type="dxa"/>
            <w:vAlign w:val="center"/>
          </w:tcPr>
          <w:p w14:paraId="1D5607F5">
            <w:pPr>
              <w:rPr>
                <w:rFonts w:ascii="宋体" w:hAnsi="宋体" w:eastAsia="宋体" w:cs="Times New Roman"/>
                <w:color w:val="auto"/>
                <w:sz w:val="18"/>
                <w:szCs w:val="18"/>
                <w:highlight w:val="none"/>
              </w:rPr>
            </w:pPr>
          </w:p>
        </w:tc>
      </w:tr>
      <w:tr w14:paraId="09752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426" w:type="dxa"/>
            <w:vMerge w:val="continue"/>
            <w:noWrap/>
            <w:vAlign w:val="center"/>
          </w:tcPr>
          <w:p w14:paraId="57B6492B">
            <w:pPr>
              <w:jc w:val="center"/>
              <w:rPr>
                <w:rFonts w:ascii="宋体" w:hAnsi="宋体" w:eastAsia="宋体" w:cs="Times New Roman"/>
                <w:color w:val="auto"/>
                <w:sz w:val="18"/>
                <w:szCs w:val="18"/>
                <w:highlight w:val="none"/>
              </w:rPr>
            </w:pPr>
            <w:r>
              <w:rPr>
                <w:rFonts w:hint="eastAsia" w:ascii="宋体" w:hAnsi="宋体"/>
                <w:color w:val="auto"/>
                <w:sz w:val="18"/>
                <w:szCs w:val="18"/>
                <w:highlight w:val="none"/>
                <w:lang w:eastAsia="zh-CN"/>
              </w:rPr>
              <w:t>0</w:t>
            </w:r>
          </w:p>
        </w:tc>
        <w:tc>
          <w:tcPr>
            <w:tcW w:w="709" w:type="dxa"/>
            <w:vMerge w:val="continue"/>
            <w:noWrap/>
            <w:vAlign w:val="center"/>
          </w:tcPr>
          <w:p w14:paraId="21ACAAD4">
            <w:pPr>
              <w:jc w:val="left"/>
              <w:rPr>
                <w:rFonts w:ascii="宋体" w:hAnsi="宋体" w:eastAsia="宋体" w:cs="Times New Roman"/>
                <w:color w:val="auto"/>
                <w:sz w:val="18"/>
                <w:szCs w:val="18"/>
                <w:highlight w:val="none"/>
              </w:rPr>
            </w:pPr>
          </w:p>
        </w:tc>
        <w:tc>
          <w:tcPr>
            <w:tcW w:w="951" w:type="dxa"/>
            <w:vMerge w:val="continue"/>
            <w:noWrap/>
            <w:vAlign w:val="center"/>
          </w:tcPr>
          <w:p w14:paraId="66DF8480">
            <w:pPr>
              <w:jc w:val="center"/>
              <w:rPr>
                <w:rFonts w:ascii="宋体" w:hAnsi="宋体" w:eastAsia="宋体" w:cs="Times New Roman"/>
                <w:color w:val="auto"/>
                <w:sz w:val="18"/>
                <w:szCs w:val="18"/>
                <w:highlight w:val="none"/>
              </w:rPr>
            </w:pPr>
          </w:p>
        </w:tc>
        <w:tc>
          <w:tcPr>
            <w:tcW w:w="1459" w:type="dxa"/>
            <w:noWrap/>
            <w:vAlign w:val="center"/>
          </w:tcPr>
          <w:p w14:paraId="3426CF45">
            <w:pPr>
              <w:jc w:val="left"/>
              <w:rPr>
                <w:rFonts w:ascii="宋体" w:hAnsi="宋体" w:eastAsia="宋体" w:cs="Times New Roman"/>
                <w:color w:val="auto"/>
                <w:sz w:val="18"/>
                <w:szCs w:val="18"/>
                <w:highlight w:val="none"/>
              </w:rPr>
            </w:pPr>
            <w:r>
              <w:rPr>
                <w:rFonts w:hint="eastAsia" w:ascii="宋体" w:hAnsi="宋体"/>
                <w:color w:val="auto"/>
                <w:sz w:val="18"/>
                <w:szCs w:val="18"/>
                <w:highlight w:val="none"/>
              </w:rPr>
              <w:t>深层注浆设备使用费（含人工）</w:t>
            </w:r>
          </w:p>
        </w:tc>
        <w:tc>
          <w:tcPr>
            <w:tcW w:w="3111" w:type="dxa"/>
            <w:noWrap/>
            <w:vAlign w:val="center"/>
          </w:tcPr>
          <w:p w14:paraId="6C1EFDEE">
            <w:pPr>
              <w:jc w:val="left"/>
              <w:rPr>
                <w:color w:val="auto"/>
                <w:sz w:val="18"/>
                <w:szCs w:val="18"/>
                <w:highlight w:val="none"/>
              </w:rPr>
            </w:pPr>
            <w:r>
              <w:rPr>
                <w:rFonts w:hint="eastAsia"/>
                <w:color w:val="auto"/>
                <w:sz w:val="18"/>
                <w:szCs w:val="18"/>
                <w:highlight w:val="none"/>
              </w:rPr>
              <w:t>1、按使用时间计</w:t>
            </w:r>
          </w:p>
          <w:p w14:paraId="776AB9C6">
            <w:pPr>
              <w:jc w:val="left"/>
              <w:rPr>
                <w:color w:val="auto"/>
                <w:sz w:val="18"/>
                <w:szCs w:val="18"/>
                <w:highlight w:val="none"/>
              </w:rPr>
            </w:pPr>
            <w:r>
              <w:rPr>
                <w:rFonts w:hint="eastAsia"/>
                <w:color w:val="auto"/>
                <w:sz w:val="18"/>
                <w:szCs w:val="18"/>
                <w:highlight w:val="none"/>
              </w:rPr>
              <w:t>2、机械短驳、转场、进退场产生的费用不另计</w:t>
            </w:r>
          </w:p>
          <w:p w14:paraId="52C5EFC8">
            <w:pPr>
              <w:rPr>
                <w:rFonts w:ascii="宋体" w:hAnsi="宋体" w:eastAsia="宋体" w:cs="Times New Roman"/>
                <w:color w:val="auto"/>
                <w:kern w:val="0"/>
                <w:sz w:val="18"/>
                <w:szCs w:val="18"/>
                <w:highlight w:val="none"/>
              </w:rPr>
            </w:pPr>
            <w:r>
              <w:rPr>
                <w:rFonts w:hint="eastAsia"/>
                <w:color w:val="auto"/>
                <w:sz w:val="18"/>
                <w:szCs w:val="18"/>
                <w:highlight w:val="none"/>
              </w:rPr>
              <w:t>3、注浆设备为完成此项工作用到的所有机械（含发电机）</w:t>
            </w:r>
          </w:p>
        </w:tc>
        <w:tc>
          <w:tcPr>
            <w:tcW w:w="425" w:type="dxa"/>
            <w:noWrap/>
            <w:vAlign w:val="center"/>
          </w:tcPr>
          <w:p w14:paraId="4E92028C">
            <w:pPr>
              <w:jc w:val="center"/>
              <w:rPr>
                <w:rFonts w:ascii="宋体" w:hAnsi="宋体" w:eastAsia="宋体" w:cs="Times New Roman"/>
                <w:color w:val="auto"/>
                <w:sz w:val="18"/>
                <w:szCs w:val="18"/>
                <w:highlight w:val="none"/>
              </w:rPr>
            </w:pPr>
            <w:r>
              <w:rPr>
                <w:rFonts w:hint="eastAsia" w:ascii="宋体"/>
                <w:color w:val="auto"/>
                <w:sz w:val="18"/>
                <w:szCs w:val="18"/>
                <w:highlight w:val="none"/>
              </w:rPr>
              <w:t>台班</w:t>
            </w:r>
          </w:p>
        </w:tc>
        <w:tc>
          <w:tcPr>
            <w:tcW w:w="709" w:type="dxa"/>
            <w:noWrap/>
            <w:vAlign w:val="center"/>
          </w:tcPr>
          <w:p w14:paraId="598563BA">
            <w:pPr>
              <w:jc w:val="center"/>
              <w:rPr>
                <w:rFonts w:ascii="宋体" w:hAnsi="宋体" w:eastAsia="宋体" w:cs="Times New Roman"/>
                <w:color w:val="auto"/>
                <w:sz w:val="18"/>
                <w:szCs w:val="18"/>
                <w:highlight w:val="none"/>
              </w:rPr>
            </w:pPr>
            <w:r>
              <w:rPr>
                <w:rFonts w:hint="eastAsia" w:ascii="宋体"/>
                <w:b/>
                <w:bCs/>
                <w:color w:val="auto"/>
                <w:sz w:val="18"/>
                <w:szCs w:val="18"/>
                <w:highlight w:val="none"/>
                <w:lang w:val="en-US" w:eastAsia="zh-CN"/>
              </w:rPr>
              <w:t>4</w:t>
            </w:r>
          </w:p>
        </w:tc>
        <w:tc>
          <w:tcPr>
            <w:tcW w:w="1134" w:type="dxa"/>
            <w:vAlign w:val="center"/>
          </w:tcPr>
          <w:p w14:paraId="5A9078BF">
            <w:pPr>
              <w:jc w:val="center"/>
              <w:rPr>
                <w:rFonts w:ascii="宋体" w:hAnsi="宋体" w:eastAsia="宋体" w:cs="Times New Roman"/>
                <w:color w:val="auto"/>
                <w:sz w:val="18"/>
                <w:szCs w:val="18"/>
                <w:highlight w:val="none"/>
              </w:rPr>
            </w:pPr>
            <w:r>
              <w:rPr>
                <w:rFonts w:hint="eastAsia" w:asciiTheme="minorEastAsia" w:hAnsiTheme="minorEastAsia"/>
                <w:color w:val="auto"/>
                <w:sz w:val="18"/>
                <w:szCs w:val="18"/>
                <w:highlight w:val="none"/>
                <w:lang w:val="en-US" w:eastAsia="zh-CN"/>
              </w:rPr>
              <w:t>2828.87</w:t>
            </w:r>
          </w:p>
        </w:tc>
        <w:tc>
          <w:tcPr>
            <w:tcW w:w="709" w:type="dxa"/>
          </w:tcPr>
          <w:p w14:paraId="56DDCED5">
            <w:pPr>
              <w:rPr>
                <w:rFonts w:ascii="宋体" w:hAnsi="宋体" w:eastAsia="宋体" w:cs="Times New Roman"/>
                <w:color w:val="auto"/>
                <w:sz w:val="18"/>
                <w:szCs w:val="18"/>
                <w:highlight w:val="none"/>
              </w:rPr>
            </w:pPr>
          </w:p>
        </w:tc>
        <w:tc>
          <w:tcPr>
            <w:tcW w:w="841" w:type="dxa"/>
            <w:vAlign w:val="center"/>
          </w:tcPr>
          <w:p w14:paraId="32AB4470">
            <w:pPr>
              <w:rPr>
                <w:rFonts w:ascii="宋体" w:hAnsi="宋体" w:eastAsia="宋体" w:cs="Times New Roman"/>
                <w:color w:val="auto"/>
                <w:sz w:val="18"/>
                <w:szCs w:val="18"/>
                <w:highlight w:val="none"/>
              </w:rPr>
            </w:pPr>
          </w:p>
        </w:tc>
      </w:tr>
      <w:tr w14:paraId="31437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426" w:type="dxa"/>
            <w:vMerge w:val="continue"/>
            <w:noWrap/>
            <w:vAlign w:val="center"/>
          </w:tcPr>
          <w:p w14:paraId="2C6CDB36">
            <w:pPr>
              <w:jc w:val="center"/>
              <w:rPr>
                <w:rFonts w:ascii="宋体" w:hAnsi="宋体" w:eastAsia="宋体" w:cs="Times New Roman"/>
                <w:color w:val="auto"/>
                <w:sz w:val="18"/>
                <w:szCs w:val="18"/>
                <w:highlight w:val="none"/>
              </w:rPr>
            </w:pPr>
          </w:p>
        </w:tc>
        <w:tc>
          <w:tcPr>
            <w:tcW w:w="709" w:type="dxa"/>
            <w:vMerge w:val="continue"/>
            <w:noWrap/>
            <w:vAlign w:val="center"/>
          </w:tcPr>
          <w:p w14:paraId="66395336">
            <w:pPr>
              <w:jc w:val="left"/>
              <w:rPr>
                <w:rFonts w:ascii="宋体" w:hAnsi="宋体" w:eastAsia="宋体" w:cs="Times New Roman"/>
                <w:color w:val="auto"/>
                <w:sz w:val="18"/>
                <w:szCs w:val="18"/>
                <w:highlight w:val="none"/>
              </w:rPr>
            </w:pPr>
          </w:p>
        </w:tc>
        <w:tc>
          <w:tcPr>
            <w:tcW w:w="951" w:type="dxa"/>
            <w:vMerge w:val="continue"/>
            <w:noWrap/>
            <w:vAlign w:val="center"/>
          </w:tcPr>
          <w:p w14:paraId="5CB79247">
            <w:pPr>
              <w:jc w:val="center"/>
              <w:rPr>
                <w:rFonts w:ascii="宋体" w:hAnsi="宋体" w:eastAsia="宋体" w:cs="Times New Roman"/>
                <w:color w:val="auto"/>
                <w:sz w:val="18"/>
                <w:szCs w:val="18"/>
                <w:highlight w:val="none"/>
              </w:rPr>
            </w:pPr>
          </w:p>
        </w:tc>
        <w:tc>
          <w:tcPr>
            <w:tcW w:w="1459" w:type="dxa"/>
            <w:noWrap/>
            <w:vAlign w:val="center"/>
          </w:tcPr>
          <w:p w14:paraId="11840B4B">
            <w:pPr>
              <w:jc w:val="left"/>
              <w:rPr>
                <w:rFonts w:ascii="宋体" w:hAnsi="宋体" w:eastAsia="宋体" w:cs="Times New Roman"/>
                <w:color w:val="auto"/>
                <w:sz w:val="18"/>
                <w:szCs w:val="18"/>
                <w:highlight w:val="none"/>
              </w:rPr>
            </w:pPr>
            <w:r>
              <w:rPr>
                <w:rFonts w:hint="eastAsia" w:ascii="宋体" w:hAnsi="宋体"/>
                <w:color w:val="auto"/>
                <w:sz w:val="18"/>
                <w:szCs w:val="18"/>
                <w:highlight w:val="none"/>
              </w:rPr>
              <w:t>地聚合物（</w:t>
            </w:r>
            <w:r>
              <w:rPr>
                <w:rFonts w:hint="eastAsia" w:ascii="宋体"/>
                <w:color w:val="auto"/>
                <w:sz w:val="18"/>
                <w:szCs w:val="18"/>
                <w:highlight w:val="none"/>
              </w:rPr>
              <w:t>普通型</w:t>
            </w:r>
            <w:r>
              <w:rPr>
                <w:rFonts w:hint="eastAsia" w:ascii="宋体" w:hAnsi="宋体"/>
                <w:color w:val="auto"/>
                <w:sz w:val="18"/>
                <w:szCs w:val="18"/>
                <w:highlight w:val="none"/>
              </w:rPr>
              <w:t>）</w:t>
            </w:r>
          </w:p>
        </w:tc>
        <w:tc>
          <w:tcPr>
            <w:tcW w:w="3111" w:type="dxa"/>
            <w:noWrap/>
            <w:vAlign w:val="center"/>
          </w:tcPr>
          <w:p w14:paraId="46542712">
            <w:pPr>
              <w:jc w:val="left"/>
              <w:rPr>
                <w:color w:val="auto"/>
                <w:sz w:val="18"/>
                <w:szCs w:val="18"/>
                <w:highlight w:val="none"/>
              </w:rPr>
            </w:pPr>
            <w:r>
              <w:rPr>
                <w:rFonts w:hint="eastAsia"/>
                <w:color w:val="auto"/>
                <w:sz w:val="18"/>
                <w:szCs w:val="18"/>
                <w:highlight w:val="none"/>
              </w:rPr>
              <w:t>1、注浆压力：满足规范要求，自行考虑</w:t>
            </w:r>
          </w:p>
          <w:p w14:paraId="6ECF0D46">
            <w:pPr>
              <w:jc w:val="left"/>
              <w:rPr>
                <w:color w:val="auto"/>
                <w:sz w:val="18"/>
                <w:szCs w:val="18"/>
                <w:highlight w:val="none"/>
              </w:rPr>
            </w:pPr>
            <w:r>
              <w:rPr>
                <w:rFonts w:hint="eastAsia"/>
                <w:color w:val="auto"/>
                <w:sz w:val="18"/>
                <w:szCs w:val="18"/>
                <w:highlight w:val="none"/>
              </w:rPr>
              <w:t>2、布孔间距：自行考虑</w:t>
            </w:r>
          </w:p>
          <w:p w14:paraId="75B0B705">
            <w:pPr>
              <w:jc w:val="left"/>
              <w:rPr>
                <w:color w:val="auto"/>
                <w:sz w:val="18"/>
                <w:szCs w:val="18"/>
                <w:highlight w:val="none"/>
              </w:rPr>
            </w:pPr>
            <w:r>
              <w:rPr>
                <w:rFonts w:hint="eastAsia"/>
                <w:color w:val="auto"/>
                <w:sz w:val="18"/>
                <w:szCs w:val="18"/>
                <w:highlight w:val="none"/>
              </w:rPr>
              <w:t>3、</w:t>
            </w:r>
            <w:r>
              <w:rPr>
                <w:color w:val="auto"/>
                <w:sz w:val="18"/>
                <w:szCs w:val="18"/>
                <w:highlight w:val="none"/>
              </w:rPr>
              <w:t>注浆材料：</w:t>
            </w:r>
            <w:r>
              <w:rPr>
                <w:rFonts w:hint="eastAsia"/>
                <w:color w:val="auto"/>
                <w:sz w:val="18"/>
                <w:szCs w:val="18"/>
                <w:highlight w:val="none"/>
              </w:rPr>
              <w:t>地聚合物（普通型），材料满足施工及规范要求</w:t>
            </w:r>
          </w:p>
          <w:p w14:paraId="0D1BBCBC">
            <w:pPr>
              <w:jc w:val="left"/>
              <w:rPr>
                <w:color w:val="auto"/>
                <w:sz w:val="18"/>
                <w:szCs w:val="18"/>
                <w:highlight w:val="none"/>
              </w:rPr>
            </w:pPr>
            <w:r>
              <w:rPr>
                <w:rFonts w:hint="eastAsia"/>
                <w:color w:val="auto"/>
                <w:sz w:val="18"/>
                <w:szCs w:val="18"/>
                <w:highlight w:val="none"/>
              </w:rPr>
              <w:t>4、计量方式：吨位现场计量</w:t>
            </w:r>
          </w:p>
          <w:p w14:paraId="166D551E">
            <w:pPr>
              <w:rPr>
                <w:color w:val="auto"/>
                <w:sz w:val="18"/>
                <w:szCs w:val="18"/>
                <w:highlight w:val="none"/>
              </w:rPr>
            </w:pPr>
            <w:r>
              <w:rPr>
                <w:rFonts w:hint="eastAsia"/>
                <w:color w:val="auto"/>
                <w:sz w:val="18"/>
                <w:szCs w:val="18"/>
                <w:highlight w:val="none"/>
              </w:rPr>
              <w:t>5、注浆结束后根据要求进行路面弯沉检测，符合相关要求</w:t>
            </w:r>
          </w:p>
          <w:p w14:paraId="4F353B5B">
            <w:pPr>
              <w:rPr>
                <w:rFonts w:ascii="宋体" w:hAnsi="宋体" w:eastAsia="宋体" w:cs="Times New Roman"/>
                <w:color w:val="auto"/>
                <w:kern w:val="0"/>
                <w:sz w:val="18"/>
                <w:szCs w:val="18"/>
                <w:highlight w:val="none"/>
              </w:rPr>
            </w:pPr>
            <w:r>
              <w:rPr>
                <w:rFonts w:hint="eastAsia" w:ascii="仿宋_GB2312" w:eastAsia="仿宋_GB2312"/>
                <w:color w:val="auto"/>
                <w:sz w:val="18"/>
                <w:szCs w:val="18"/>
                <w:highlight w:val="none"/>
              </w:rPr>
              <w:t>6</w:t>
            </w:r>
            <w:r>
              <w:rPr>
                <w:rFonts w:hint="eastAsia"/>
                <w:color w:val="auto"/>
                <w:sz w:val="18"/>
                <w:szCs w:val="18"/>
                <w:highlight w:val="none"/>
              </w:rPr>
              <w:t>、满足技术和质量要求</w:t>
            </w:r>
          </w:p>
        </w:tc>
        <w:tc>
          <w:tcPr>
            <w:tcW w:w="425" w:type="dxa"/>
            <w:noWrap/>
            <w:vAlign w:val="center"/>
          </w:tcPr>
          <w:p w14:paraId="0CB8A460">
            <w:pPr>
              <w:jc w:val="center"/>
              <w:rPr>
                <w:rFonts w:ascii="宋体" w:hAnsi="宋体" w:eastAsia="宋体" w:cs="Times New Roman"/>
                <w:color w:val="auto"/>
                <w:sz w:val="18"/>
                <w:szCs w:val="18"/>
                <w:highlight w:val="none"/>
              </w:rPr>
            </w:pPr>
            <w:r>
              <w:rPr>
                <w:rFonts w:hint="eastAsia" w:ascii="宋体"/>
                <w:color w:val="auto"/>
                <w:sz w:val="18"/>
                <w:szCs w:val="18"/>
                <w:highlight w:val="none"/>
              </w:rPr>
              <w:t>t</w:t>
            </w:r>
          </w:p>
        </w:tc>
        <w:tc>
          <w:tcPr>
            <w:tcW w:w="709" w:type="dxa"/>
            <w:noWrap/>
            <w:vAlign w:val="center"/>
          </w:tcPr>
          <w:p w14:paraId="523C1F98">
            <w:pPr>
              <w:jc w:val="center"/>
              <w:rPr>
                <w:rFonts w:ascii="宋体" w:hAnsi="宋体" w:eastAsia="宋体" w:cs="Times New Roman"/>
                <w:color w:val="auto"/>
                <w:sz w:val="18"/>
                <w:szCs w:val="18"/>
                <w:highlight w:val="none"/>
              </w:rPr>
            </w:pPr>
            <w:r>
              <w:rPr>
                <w:rFonts w:hint="eastAsia" w:ascii="宋体"/>
                <w:b/>
                <w:bCs/>
                <w:color w:val="auto"/>
                <w:sz w:val="18"/>
                <w:szCs w:val="18"/>
                <w:highlight w:val="none"/>
                <w:lang w:val="en-US" w:eastAsia="zh-CN"/>
              </w:rPr>
              <w:t>35</w:t>
            </w:r>
          </w:p>
        </w:tc>
        <w:tc>
          <w:tcPr>
            <w:tcW w:w="1134" w:type="dxa"/>
            <w:vAlign w:val="center"/>
          </w:tcPr>
          <w:p w14:paraId="74FF6B3A">
            <w:pPr>
              <w:jc w:val="center"/>
              <w:rPr>
                <w:rFonts w:ascii="宋体" w:hAnsi="宋体" w:eastAsia="宋体" w:cs="Times New Roman"/>
                <w:color w:val="auto"/>
                <w:sz w:val="18"/>
                <w:szCs w:val="18"/>
                <w:highlight w:val="none"/>
              </w:rPr>
            </w:pPr>
            <w:r>
              <w:rPr>
                <w:rFonts w:hint="eastAsia" w:asciiTheme="minorEastAsia" w:hAnsiTheme="minorEastAsia"/>
                <w:color w:val="auto"/>
                <w:sz w:val="18"/>
                <w:szCs w:val="18"/>
                <w:highlight w:val="none"/>
                <w:lang w:val="en-US" w:eastAsia="zh-CN"/>
              </w:rPr>
              <w:t>1397.83</w:t>
            </w:r>
          </w:p>
        </w:tc>
        <w:tc>
          <w:tcPr>
            <w:tcW w:w="709" w:type="dxa"/>
          </w:tcPr>
          <w:p w14:paraId="205F13FE">
            <w:pPr>
              <w:rPr>
                <w:rFonts w:ascii="宋体" w:hAnsi="宋体" w:eastAsia="宋体" w:cs="Times New Roman"/>
                <w:color w:val="auto"/>
                <w:sz w:val="18"/>
                <w:szCs w:val="18"/>
                <w:highlight w:val="none"/>
              </w:rPr>
            </w:pPr>
          </w:p>
        </w:tc>
        <w:tc>
          <w:tcPr>
            <w:tcW w:w="841" w:type="dxa"/>
            <w:vAlign w:val="center"/>
          </w:tcPr>
          <w:p w14:paraId="5E86EB78">
            <w:pPr>
              <w:rPr>
                <w:rFonts w:ascii="宋体" w:hAnsi="宋体" w:eastAsia="宋体" w:cs="Times New Roman"/>
                <w:color w:val="auto"/>
                <w:sz w:val="18"/>
                <w:szCs w:val="18"/>
                <w:highlight w:val="none"/>
              </w:rPr>
            </w:pPr>
          </w:p>
        </w:tc>
      </w:tr>
      <w:tr w14:paraId="3A2BE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426" w:type="dxa"/>
            <w:noWrap/>
            <w:vAlign w:val="center"/>
          </w:tcPr>
          <w:p w14:paraId="48EFAEE9">
            <w:pPr>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5</w:t>
            </w:r>
          </w:p>
        </w:tc>
        <w:tc>
          <w:tcPr>
            <w:tcW w:w="6230" w:type="dxa"/>
            <w:gridSpan w:val="4"/>
            <w:noWrap/>
            <w:vAlign w:val="center"/>
          </w:tcPr>
          <w:p w14:paraId="6CF0C0DC">
            <w:pPr>
              <w:jc w:val="center"/>
              <w:rPr>
                <w:rFonts w:ascii="宋体" w:hAnsi="宋体" w:eastAsia="宋体" w:cs="Times New Roman"/>
                <w:b/>
                <w:bCs/>
                <w:color w:val="auto"/>
                <w:sz w:val="18"/>
                <w:szCs w:val="18"/>
                <w:highlight w:val="none"/>
              </w:rPr>
            </w:pPr>
            <w:r>
              <w:rPr>
                <w:rFonts w:hint="eastAsia" w:ascii="宋体" w:hAnsi="宋体" w:eastAsia="宋体" w:cs="Times New Roman"/>
                <w:b/>
                <w:bCs/>
                <w:color w:val="auto"/>
                <w:sz w:val="18"/>
                <w:szCs w:val="18"/>
                <w:highlight w:val="none"/>
              </w:rPr>
              <w:t>合计</w:t>
            </w:r>
          </w:p>
        </w:tc>
        <w:tc>
          <w:tcPr>
            <w:tcW w:w="425" w:type="dxa"/>
            <w:noWrap/>
            <w:vAlign w:val="center"/>
          </w:tcPr>
          <w:p w14:paraId="4EF13B87">
            <w:pPr>
              <w:rPr>
                <w:rFonts w:ascii="宋体" w:hAnsi="宋体" w:eastAsia="宋体" w:cs="Times New Roman"/>
                <w:color w:val="auto"/>
                <w:sz w:val="18"/>
                <w:szCs w:val="18"/>
                <w:highlight w:val="none"/>
              </w:rPr>
            </w:pPr>
          </w:p>
        </w:tc>
        <w:tc>
          <w:tcPr>
            <w:tcW w:w="709" w:type="dxa"/>
            <w:noWrap/>
            <w:vAlign w:val="center"/>
          </w:tcPr>
          <w:p w14:paraId="162285F9">
            <w:pPr>
              <w:rPr>
                <w:rFonts w:ascii="宋体" w:hAnsi="宋体" w:eastAsia="宋体" w:cs="Times New Roman"/>
                <w:color w:val="auto"/>
                <w:sz w:val="18"/>
                <w:szCs w:val="18"/>
                <w:highlight w:val="none"/>
              </w:rPr>
            </w:pPr>
          </w:p>
        </w:tc>
        <w:tc>
          <w:tcPr>
            <w:tcW w:w="1134" w:type="dxa"/>
            <w:vAlign w:val="center"/>
          </w:tcPr>
          <w:p w14:paraId="63FD783B">
            <w:pPr>
              <w:rPr>
                <w:rFonts w:ascii="宋体" w:hAnsi="宋体" w:eastAsia="宋体" w:cs="Times New Roman"/>
                <w:color w:val="auto"/>
                <w:sz w:val="18"/>
                <w:szCs w:val="18"/>
                <w:highlight w:val="none"/>
              </w:rPr>
            </w:pPr>
          </w:p>
        </w:tc>
        <w:tc>
          <w:tcPr>
            <w:tcW w:w="709" w:type="dxa"/>
          </w:tcPr>
          <w:p w14:paraId="00049F7D">
            <w:pPr>
              <w:rPr>
                <w:rFonts w:ascii="宋体" w:hAnsi="宋体" w:eastAsia="宋体" w:cs="Times New Roman"/>
                <w:b/>
                <w:bCs/>
                <w:color w:val="auto"/>
                <w:sz w:val="18"/>
                <w:szCs w:val="18"/>
                <w:highlight w:val="none"/>
              </w:rPr>
            </w:pPr>
          </w:p>
        </w:tc>
        <w:tc>
          <w:tcPr>
            <w:tcW w:w="841" w:type="dxa"/>
            <w:vAlign w:val="center"/>
          </w:tcPr>
          <w:p w14:paraId="3CCABD4B">
            <w:pPr>
              <w:rPr>
                <w:rFonts w:ascii="宋体" w:hAnsi="宋体" w:eastAsia="宋体" w:cs="Times New Roman"/>
                <w:b/>
                <w:bCs/>
                <w:color w:val="auto"/>
                <w:sz w:val="18"/>
                <w:szCs w:val="18"/>
                <w:highlight w:val="none"/>
              </w:rPr>
            </w:pPr>
          </w:p>
        </w:tc>
      </w:tr>
    </w:tbl>
    <w:p w14:paraId="791A2FF6">
      <w:pPr>
        <w:spacing w:line="360" w:lineRule="auto"/>
        <w:ind w:firstLine="482"/>
        <w:contextualSpacing/>
        <w:rPr>
          <w:rFonts w:ascii="宋体" w:hAnsi="宋体" w:eastAsia="宋体" w:cs="Times New Roman"/>
          <w:color w:val="auto"/>
          <w:sz w:val="24"/>
          <w:szCs w:val="24"/>
          <w:highlight w:val="none"/>
        </w:rPr>
      </w:pPr>
    </w:p>
    <w:p w14:paraId="740FA508">
      <w:pPr>
        <w:spacing w:line="360" w:lineRule="auto"/>
        <w:ind w:firstLine="482"/>
        <w:contextualSpacing/>
        <w:rPr>
          <w:rFonts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供应商名称：</w:t>
      </w:r>
      <w:r>
        <w:rPr>
          <w:rFonts w:ascii="宋体" w:hAnsi="宋体" w:eastAsia="宋体" w:cs="Times New Roman"/>
          <w:color w:val="auto"/>
          <w:sz w:val="24"/>
          <w:szCs w:val="24"/>
          <w:highlight w:val="none"/>
        </w:rPr>
        <w:t>_________________________</w:t>
      </w:r>
    </w:p>
    <w:p w14:paraId="75AA20F0">
      <w:pPr>
        <w:spacing w:line="360" w:lineRule="auto"/>
        <w:ind w:firstLine="482"/>
        <w:contextualSpacing/>
        <w:rPr>
          <w:rFonts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授权委托人（签字）：</w:t>
      </w:r>
      <w:r>
        <w:rPr>
          <w:rFonts w:ascii="宋体" w:hAnsi="宋体" w:eastAsia="宋体" w:cs="Times New Roman"/>
          <w:color w:val="auto"/>
          <w:sz w:val="24"/>
          <w:szCs w:val="24"/>
          <w:highlight w:val="none"/>
        </w:rPr>
        <w:t>_____________________</w:t>
      </w:r>
    </w:p>
    <w:p w14:paraId="04013A29">
      <w:pPr>
        <w:spacing w:beforeLines="50" w:afterLines="50" w:line="360" w:lineRule="auto"/>
        <w:ind w:firstLine="482"/>
        <w:contextualSpacing/>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日期：</w:t>
      </w:r>
      <w:r>
        <w:rPr>
          <w:rFonts w:hint="eastAsia" w:ascii="宋体" w:hAnsi="宋体" w:eastAsia="宋体" w:cs="Times New Roman"/>
          <w:color w:val="auto"/>
          <w:sz w:val="24"/>
          <w:szCs w:val="24"/>
          <w:highlight w:val="none"/>
          <w:u w:val="single"/>
        </w:rPr>
        <w:t>　　　　　</w:t>
      </w:r>
    </w:p>
    <w:p w14:paraId="6A47FF1A">
      <w:pPr>
        <w:spacing w:beforeLines="50" w:afterLines="50" w:line="360" w:lineRule="auto"/>
        <w:ind w:firstLine="482"/>
        <w:contextualSpacing/>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备注：</w:t>
      </w:r>
    </w:p>
    <w:p w14:paraId="5F101712">
      <w:pPr>
        <w:spacing w:beforeLines="50" w:afterLines="50" w:line="360" w:lineRule="auto"/>
        <w:ind w:firstLine="482"/>
        <w:contextualSpacing/>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1、本项目报价采用全费用综合单价×预估数量的总价进行报价，本清单涉及的所有数量均为预估量，以实际发生数量为准，结算单价不予调整。</w:t>
      </w:r>
    </w:p>
    <w:p w14:paraId="54B422C7">
      <w:pPr>
        <w:spacing w:beforeLines="50" w:afterLines="50" w:line="360" w:lineRule="auto"/>
        <w:ind w:firstLine="482"/>
        <w:contextualSpacing/>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全费用综合单价报价包含材料费、人工费、机械费、作业现场清理费、施工水电费、安全文明施工费、短驳、维修、管理费、规费、利润、税金（税率为</w:t>
      </w:r>
      <w:r>
        <w:rPr>
          <w:rFonts w:ascii="宋体" w:hAnsi="宋体" w:eastAsia="宋体" w:cs="Times New Roman"/>
          <w:color w:val="auto"/>
          <w:sz w:val="24"/>
          <w:szCs w:val="24"/>
          <w:highlight w:val="none"/>
        </w:rPr>
        <w:t>9%</w:t>
      </w:r>
      <w:r>
        <w:rPr>
          <w:rFonts w:hint="eastAsia" w:ascii="宋体" w:hAnsi="宋体" w:eastAsia="宋体" w:cs="Times New Roman"/>
          <w:color w:val="auto"/>
          <w:sz w:val="24"/>
          <w:szCs w:val="24"/>
          <w:highlight w:val="none"/>
        </w:rPr>
        <w:t>）、风险费等直至验收合格交付使用以及维保期间的维保费等所有费用。结算时工程量按实结算，</w:t>
      </w:r>
      <w:r>
        <w:rPr>
          <w:rFonts w:hint="eastAsia" w:ascii="宋体" w:hAnsi="宋体" w:eastAsia="宋体" w:cs="Times New Roman"/>
          <w:color w:val="auto"/>
          <w:sz w:val="24"/>
          <w:szCs w:val="24"/>
          <w:highlight w:val="none"/>
          <w:lang w:val="en-US" w:eastAsia="zh-CN"/>
        </w:rPr>
        <w:t>全费用</w:t>
      </w:r>
      <w:r>
        <w:rPr>
          <w:rFonts w:hint="eastAsia" w:ascii="宋体" w:hAnsi="宋体" w:eastAsia="宋体" w:cs="Times New Roman"/>
          <w:color w:val="auto"/>
          <w:sz w:val="24"/>
          <w:szCs w:val="24"/>
          <w:highlight w:val="none"/>
        </w:rPr>
        <w:t>综合单价不作调整。</w:t>
      </w:r>
    </w:p>
    <w:p w14:paraId="1B955E47">
      <w:pPr>
        <w:snapToGrid w:val="0"/>
        <w:spacing w:line="360" w:lineRule="auto"/>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3、供应商的报价（单价及合价）不得高于采购人提供的最高投标限价（单价及合价），否则作无效投标处理。</w:t>
      </w:r>
    </w:p>
    <w:p w14:paraId="7C42A75E">
      <w:pPr>
        <w:spacing w:beforeLines="50" w:afterLines="50" w:line="360" w:lineRule="auto"/>
        <w:ind w:firstLine="482"/>
        <w:contextualSpacing/>
        <w:rPr>
          <w:rFonts w:ascii="宋体" w:hAnsi="宋体" w:eastAsia="宋体" w:cs="Times New Roman"/>
          <w:color w:val="auto"/>
          <w:szCs w:val="21"/>
          <w:highlight w:val="none"/>
        </w:rPr>
      </w:pPr>
      <w:r>
        <w:rPr>
          <w:rFonts w:hint="eastAsia" w:ascii="宋体" w:hAnsi="宋体" w:eastAsia="宋体" w:cs="Times New Roman"/>
          <w:color w:val="auto"/>
          <w:sz w:val="24"/>
          <w:szCs w:val="24"/>
          <w:highlight w:val="none"/>
        </w:rPr>
        <w:t>4、响应文件加密提交时只需填写磋商响应报价表（首次）的报价。最终报价将在开标时填写。</w:t>
      </w:r>
      <w:r>
        <w:rPr>
          <w:rFonts w:hint="eastAsia" w:ascii="宋体" w:hAnsi="宋体" w:eastAsia="宋体" w:cs="Times New Roman"/>
          <w:b/>
          <w:color w:val="auto"/>
          <w:sz w:val="24"/>
          <w:szCs w:val="24"/>
          <w:highlight w:val="none"/>
        </w:rPr>
        <w:br w:type="page"/>
      </w:r>
    </w:p>
    <w:p w14:paraId="2B8345FF">
      <w:pP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附件3、技术要求响应及偏离表</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5E65E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151F1543">
            <w:pPr>
              <w:spacing w:line="400" w:lineRule="exact"/>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3063" w:type="dxa"/>
            <w:vAlign w:val="center"/>
          </w:tcPr>
          <w:p w14:paraId="0B73C0C9">
            <w:pPr>
              <w:spacing w:line="400" w:lineRule="exact"/>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技术要求</w:t>
            </w:r>
          </w:p>
        </w:tc>
        <w:tc>
          <w:tcPr>
            <w:tcW w:w="3191" w:type="dxa"/>
            <w:vAlign w:val="center"/>
          </w:tcPr>
          <w:p w14:paraId="5D86A937">
            <w:pPr>
              <w:spacing w:line="400" w:lineRule="exact"/>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投标响应情况</w:t>
            </w:r>
          </w:p>
        </w:tc>
        <w:tc>
          <w:tcPr>
            <w:tcW w:w="2128" w:type="dxa"/>
            <w:vAlign w:val="center"/>
          </w:tcPr>
          <w:p w14:paraId="1F1D4D2C">
            <w:pPr>
              <w:spacing w:line="400" w:lineRule="exact"/>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超出、符合或偏离</w:t>
            </w:r>
          </w:p>
        </w:tc>
      </w:tr>
      <w:tr w14:paraId="3A2F8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7CD544D5">
            <w:pPr>
              <w:spacing w:line="400" w:lineRule="exact"/>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3063" w:type="dxa"/>
          </w:tcPr>
          <w:p w14:paraId="1567E8B6">
            <w:pPr>
              <w:spacing w:line="400" w:lineRule="exact"/>
              <w:ind w:firstLine="482"/>
              <w:jc w:val="center"/>
              <w:rPr>
                <w:rFonts w:ascii="宋体" w:hAnsi="宋体" w:eastAsia="宋体" w:cs="Times New Roman"/>
                <w:color w:val="auto"/>
                <w:sz w:val="24"/>
                <w:szCs w:val="24"/>
                <w:highlight w:val="none"/>
              </w:rPr>
            </w:pPr>
          </w:p>
        </w:tc>
        <w:tc>
          <w:tcPr>
            <w:tcW w:w="3191" w:type="dxa"/>
          </w:tcPr>
          <w:p w14:paraId="43259404">
            <w:pPr>
              <w:spacing w:line="400" w:lineRule="exact"/>
              <w:ind w:firstLine="482"/>
              <w:jc w:val="center"/>
              <w:rPr>
                <w:rFonts w:ascii="宋体" w:hAnsi="宋体" w:eastAsia="宋体" w:cs="Times New Roman"/>
                <w:color w:val="auto"/>
                <w:sz w:val="24"/>
                <w:szCs w:val="24"/>
                <w:highlight w:val="none"/>
              </w:rPr>
            </w:pPr>
          </w:p>
        </w:tc>
        <w:tc>
          <w:tcPr>
            <w:tcW w:w="2128" w:type="dxa"/>
          </w:tcPr>
          <w:p w14:paraId="165246AB">
            <w:pPr>
              <w:spacing w:line="400" w:lineRule="exact"/>
              <w:ind w:firstLine="482"/>
              <w:jc w:val="center"/>
              <w:rPr>
                <w:rFonts w:ascii="宋体" w:hAnsi="宋体" w:eastAsia="宋体" w:cs="Times New Roman"/>
                <w:color w:val="auto"/>
                <w:sz w:val="24"/>
                <w:szCs w:val="24"/>
                <w:highlight w:val="none"/>
              </w:rPr>
            </w:pPr>
          </w:p>
        </w:tc>
      </w:tr>
      <w:tr w14:paraId="52D65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77C4F779">
            <w:pPr>
              <w:spacing w:line="400" w:lineRule="exact"/>
              <w:ind w:firstLine="482"/>
              <w:jc w:val="center"/>
              <w:rPr>
                <w:rFonts w:ascii="宋体" w:hAnsi="宋体" w:eastAsia="宋体" w:cs="Times New Roman"/>
                <w:color w:val="auto"/>
                <w:sz w:val="24"/>
                <w:szCs w:val="24"/>
                <w:highlight w:val="none"/>
              </w:rPr>
            </w:pPr>
          </w:p>
        </w:tc>
        <w:tc>
          <w:tcPr>
            <w:tcW w:w="3063" w:type="dxa"/>
          </w:tcPr>
          <w:p w14:paraId="3C96D34E">
            <w:pPr>
              <w:spacing w:line="400" w:lineRule="exact"/>
              <w:ind w:firstLine="482"/>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tc>
        <w:tc>
          <w:tcPr>
            <w:tcW w:w="3191" w:type="dxa"/>
          </w:tcPr>
          <w:p w14:paraId="37140668">
            <w:pPr>
              <w:spacing w:line="400" w:lineRule="exact"/>
              <w:ind w:firstLine="482"/>
              <w:jc w:val="center"/>
              <w:rPr>
                <w:rFonts w:ascii="宋体" w:hAnsi="宋体" w:eastAsia="宋体" w:cs="Times New Roman"/>
                <w:color w:val="auto"/>
                <w:sz w:val="24"/>
                <w:szCs w:val="24"/>
                <w:highlight w:val="none"/>
              </w:rPr>
            </w:pPr>
          </w:p>
        </w:tc>
        <w:tc>
          <w:tcPr>
            <w:tcW w:w="2128" w:type="dxa"/>
          </w:tcPr>
          <w:p w14:paraId="59942880">
            <w:pPr>
              <w:spacing w:line="400" w:lineRule="exact"/>
              <w:ind w:firstLine="482"/>
              <w:jc w:val="center"/>
              <w:rPr>
                <w:rFonts w:ascii="宋体" w:hAnsi="宋体" w:eastAsia="宋体" w:cs="Times New Roman"/>
                <w:color w:val="auto"/>
                <w:sz w:val="24"/>
                <w:szCs w:val="24"/>
                <w:highlight w:val="none"/>
              </w:rPr>
            </w:pPr>
          </w:p>
        </w:tc>
      </w:tr>
    </w:tbl>
    <w:p w14:paraId="097DB9AD">
      <w:pPr>
        <w:spacing w:line="400" w:lineRule="exact"/>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附件</w:t>
      </w:r>
      <w:r>
        <w:rPr>
          <w:rFonts w:ascii="宋体" w:hAnsi="宋体" w:eastAsia="宋体" w:cs="Times New Roman"/>
          <w:color w:val="auto"/>
          <w:sz w:val="24"/>
          <w:szCs w:val="24"/>
          <w:highlight w:val="none"/>
        </w:rPr>
        <w:t>3</w:t>
      </w:r>
      <w:r>
        <w:rPr>
          <w:rFonts w:hint="eastAsia" w:ascii="宋体" w:hAnsi="宋体" w:eastAsia="宋体" w:cs="Times New Roman"/>
          <w:color w:val="auto"/>
          <w:sz w:val="24"/>
          <w:szCs w:val="24"/>
          <w:highlight w:val="none"/>
        </w:rPr>
        <w:t>-1  证明</w:t>
      </w:r>
      <w:r>
        <w:rPr>
          <w:rFonts w:ascii="宋体" w:hAnsi="宋体" w:eastAsia="宋体" w:cs="Times New Roman"/>
          <w:color w:val="auto"/>
          <w:sz w:val="24"/>
          <w:szCs w:val="24"/>
          <w:highlight w:val="none"/>
        </w:rPr>
        <w:t>材料</w:t>
      </w:r>
      <w:r>
        <w:rPr>
          <w:rFonts w:hint="eastAsia" w:ascii="宋体" w:hAnsi="宋体" w:eastAsia="宋体" w:cs="Times New Roman"/>
          <w:color w:val="auto"/>
          <w:sz w:val="24"/>
          <w:szCs w:val="24"/>
          <w:highlight w:val="none"/>
        </w:rPr>
        <w:t>1，证明</w:t>
      </w:r>
      <w:r>
        <w:rPr>
          <w:rFonts w:ascii="宋体" w:hAnsi="宋体" w:eastAsia="宋体" w:cs="Times New Roman"/>
          <w:color w:val="auto"/>
          <w:sz w:val="24"/>
          <w:szCs w:val="24"/>
          <w:highlight w:val="none"/>
        </w:rPr>
        <w:t>材料</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w:t>
      </w:r>
    </w:p>
    <w:p w14:paraId="1179D9DE">
      <w:pPr>
        <w:spacing w:line="400" w:lineRule="exact"/>
        <w:ind w:firstLine="482"/>
        <w:rPr>
          <w:rFonts w:ascii="宋体" w:hAnsi="宋体" w:eastAsia="宋体" w:cs="Times New Roman"/>
          <w:color w:val="auto"/>
          <w:sz w:val="24"/>
          <w:szCs w:val="24"/>
          <w:highlight w:val="none"/>
        </w:rPr>
      </w:pPr>
    </w:p>
    <w:p w14:paraId="599D8F2D">
      <w:pPr>
        <w:spacing w:line="400" w:lineRule="exact"/>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w:t>
      </w:r>
      <w:r>
        <w:rPr>
          <w:rFonts w:ascii="宋体" w:hAnsi="宋体" w:eastAsia="宋体" w:cs="Times New Roman"/>
          <w:color w:val="auto"/>
          <w:sz w:val="24"/>
          <w:szCs w:val="24"/>
          <w:highlight w:val="none"/>
        </w:rPr>
        <w:t>：</w:t>
      </w:r>
    </w:p>
    <w:p w14:paraId="6C4940F4">
      <w:pPr>
        <w:spacing w:line="400" w:lineRule="exact"/>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1.投标人需</w:t>
      </w:r>
      <w:r>
        <w:rPr>
          <w:rFonts w:ascii="宋体" w:hAnsi="宋体" w:eastAsia="宋体" w:cs="Times New Roman"/>
          <w:color w:val="auto"/>
          <w:sz w:val="24"/>
          <w:szCs w:val="24"/>
          <w:highlight w:val="none"/>
        </w:rPr>
        <w:t>对技术</w:t>
      </w:r>
      <w:r>
        <w:rPr>
          <w:rFonts w:hint="eastAsia" w:ascii="宋体" w:hAnsi="宋体" w:eastAsia="宋体" w:cs="Times New Roman"/>
          <w:color w:val="auto"/>
          <w:sz w:val="24"/>
          <w:szCs w:val="24"/>
          <w:highlight w:val="none"/>
        </w:rPr>
        <w:t>要求（未加斜体</w:t>
      </w:r>
      <w:r>
        <w:rPr>
          <w:rFonts w:ascii="宋体" w:hAnsi="宋体" w:eastAsia="宋体" w:cs="Times New Roman"/>
          <w:color w:val="auto"/>
          <w:sz w:val="24"/>
          <w:szCs w:val="24"/>
          <w:highlight w:val="none"/>
        </w:rPr>
        <w:t>下划线的</w:t>
      </w:r>
      <w:r>
        <w:rPr>
          <w:rFonts w:hint="eastAsia" w:ascii="宋体" w:hAnsi="宋体" w:eastAsia="宋体" w:cs="Times New Roman"/>
          <w:color w:val="auto"/>
          <w:sz w:val="24"/>
          <w:szCs w:val="24"/>
          <w:highlight w:val="none"/>
        </w:rPr>
        <w:t>非</w:t>
      </w:r>
      <w:r>
        <w:rPr>
          <w:rFonts w:ascii="宋体" w:hAnsi="宋体" w:eastAsia="宋体" w:cs="Times New Roman"/>
          <w:color w:val="auto"/>
          <w:sz w:val="24"/>
          <w:szCs w:val="24"/>
          <w:highlight w:val="none"/>
        </w:rPr>
        <w:t>实质性</w:t>
      </w:r>
      <w:r>
        <w:rPr>
          <w:rFonts w:hint="eastAsia" w:ascii="宋体" w:hAnsi="宋体" w:eastAsia="宋体" w:cs="Times New Roman"/>
          <w:color w:val="auto"/>
          <w:sz w:val="24"/>
          <w:szCs w:val="24"/>
          <w:highlight w:val="none"/>
        </w:rPr>
        <w:t>要求）</w:t>
      </w:r>
      <w:r>
        <w:rPr>
          <w:rFonts w:ascii="宋体" w:hAnsi="宋体" w:eastAsia="宋体" w:cs="Times New Roman"/>
          <w:color w:val="auto"/>
          <w:sz w:val="24"/>
          <w:szCs w:val="24"/>
          <w:highlight w:val="none"/>
        </w:rPr>
        <w:t>做出响应</w:t>
      </w:r>
      <w:r>
        <w:rPr>
          <w:rFonts w:hint="eastAsia" w:ascii="宋体" w:hAnsi="宋体" w:eastAsia="宋体" w:cs="Times New Roman"/>
          <w:color w:val="auto"/>
          <w:sz w:val="24"/>
          <w:szCs w:val="24"/>
          <w:highlight w:val="none"/>
        </w:rPr>
        <w:t>，未响应的作无效投标处理。</w:t>
      </w:r>
    </w:p>
    <w:p w14:paraId="3EBEB6EF">
      <w:pPr>
        <w:spacing w:line="400" w:lineRule="exact"/>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2.如果磋商文件</w:t>
      </w:r>
      <w:r>
        <w:rPr>
          <w:rFonts w:ascii="宋体" w:hAnsi="宋体" w:eastAsia="宋体" w:cs="Times New Roman"/>
          <w:color w:val="auto"/>
          <w:sz w:val="24"/>
          <w:szCs w:val="24"/>
          <w:highlight w:val="none"/>
        </w:rPr>
        <w:t>要求提供</w:t>
      </w:r>
      <w:r>
        <w:rPr>
          <w:rFonts w:hint="eastAsia" w:ascii="宋体" w:hAnsi="宋体" w:eastAsia="宋体" w:cs="Times New Roman"/>
          <w:color w:val="auto"/>
          <w:sz w:val="24"/>
          <w:szCs w:val="24"/>
          <w:highlight w:val="none"/>
        </w:rPr>
        <w:t>证明</w:t>
      </w:r>
      <w:r>
        <w:rPr>
          <w:rFonts w:ascii="宋体" w:hAnsi="宋体" w:eastAsia="宋体" w:cs="Times New Roman"/>
          <w:color w:val="auto"/>
          <w:sz w:val="24"/>
          <w:szCs w:val="24"/>
          <w:highlight w:val="none"/>
        </w:rPr>
        <w:t>材料，</w:t>
      </w:r>
      <w:r>
        <w:rPr>
          <w:rFonts w:hint="eastAsia" w:ascii="宋体" w:hAnsi="宋体" w:eastAsia="宋体" w:cs="Times New Roman"/>
          <w:color w:val="auto"/>
          <w:sz w:val="24"/>
          <w:szCs w:val="24"/>
          <w:highlight w:val="none"/>
        </w:rPr>
        <w:t>投标人需</w:t>
      </w:r>
      <w:r>
        <w:rPr>
          <w:rFonts w:ascii="宋体" w:hAnsi="宋体" w:eastAsia="宋体" w:cs="Times New Roman"/>
          <w:color w:val="auto"/>
          <w:sz w:val="24"/>
          <w:szCs w:val="24"/>
          <w:highlight w:val="none"/>
        </w:rPr>
        <w:t>将证明材料</w:t>
      </w:r>
      <w:r>
        <w:rPr>
          <w:rFonts w:hint="eastAsia" w:ascii="宋体" w:hAnsi="宋体" w:eastAsia="宋体" w:cs="Times New Roman"/>
          <w:color w:val="auto"/>
          <w:sz w:val="24"/>
          <w:szCs w:val="24"/>
          <w:highlight w:val="none"/>
        </w:rPr>
        <w:t>列于</w:t>
      </w:r>
      <w:r>
        <w:rPr>
          <w:rFonts w:ascii="宋体" w:hAnsi="宋体" w:eastAsia="宋体" w:cs="Times New Roman"/>
          <w:color w:val="auto"/>
          <w:sz w:val="24"/>
          <w:szCs w:val="24"/>
          <w:highlight w:val="none"/>
        </w:rPr>
        <w:t>该表之下。</w:t>
      </w:r>
    </w:p>
    <w:p w14:paraId="4C62C512">
      <w:pPr>
        <w:spacing w:line="400" w:lineRule="exact"/>
        <w:ind w:firstLine="482"/>
        <w:rPr>
          <w:rFonts w:ascii="宋体" w:hAnsi="宋体" w:eastAsia="宋体" w:cs="Times New Roman"/>
          <w:color w:val="auto"/>
          <w:sz w:val="24"/>
          <w:szCs w:val="24"/>
          <w:highlight w:val="none"/>
        </w:rPr>
      </w:pPr>
    </w:p>
    <w:p w14:paraId="442F4AEA">
      <w:pP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附件4、商务要求响应及偏离表</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3265A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56C6CB78">
            <w:pPr>
              <w:spacing w:line="400" w:lineRule="exact"/>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3063" w:type="dxa"/>
            <w:vAlign w:val="center"/>
          </w:tcPr>
          <w:p w14:paraId="56E5930F">
            <w:pPr>
              <w:spacing w:line="400" w:lineRule="exact"/>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商务要求 </w:t>
            </w:r>
          </w:p>
        </w:tc>
        <w:tc>
          <w:tcPr>
            <w:tcW w:w="3191" w:type="dxa"/>
            <w:vAlign w:val="center"/>
          </w:tcPr>
          <w:p w14:paraId="6D3CBEF2">
            <w:pPr>
              <w:spacing w:line="400" w:lineRule="exact"/>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投标响应情况</w:t>
            </w:r>
          </w:p>
        </w:tc>
        <w:tc>
          <w:tcPr>
            <w:tcW w:w="2128" w:type="dxa"/>
            <w:vAlign w:val="center"/>
          </w:tcPr>
          <w:p w14:paraId="7387DF06">
            <w:pPr>
              <w:spacing w:line="400" w:lineRule="exact"/>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超出、符合或偏离</w:t>
            </w:r>
          </w:p>
        </w:tc>
      </w:tr>
      <w:tr w14:paraId="0E478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4830DAD3">
            <w:pPr>
              <w:spacing w:line="400" w:lineRule="exact"/>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3063" w:type="dxa"/>
          </w:tcPr>
          <w:p w14:paraId="5D7F2D64">
            <w:pPr>
              <w:spacing w:line="400" w:lineRule="exact"/>
              <w:ind w:firstLine="482"/>
              <w:jc w:val="center"/>
              <w:rPr>
                <w:rFonts w:ascii="宋体" w:hAnsi="宋体" w:eastAsia="宋体" w:cs="Times New Roman"/>
                <w:color w:val="auto"/>
                <w:sz w:val="24"/>
                <w:szCs w:val="24"/>
                <w:highlight w:val="none"/>
              </w:rPr>
            </w:pPr>
          </w:p>
        </w:tc>
        <w:tc>
          <w:tcPr>
            <w:tcW w:w="3191" w:type="dxa"/>
          </w:tcPr>
          <w:p w14:paraId="139B7373">
            <w:pPr>
              <w:spacing w:line="400" w:lineRule="exact"/>
              <w:ind w:firstLine="482"/>
              <w:jc w:val="center"/>
              <w:rPr>
                <w:rFonts w:ascii="宋体" w:hAnsi="宋体" w:eastAsia="宋体" w:cs="Times New Roman"/>
                <w:color w:val="auto"/>
                <w:sz w:val="24"/>
                <w:szCs w:val="24"/>
                <w:highlight w:val="none"/>
              </w:rPr>
            </w:pPr>
          </w:p>
        </w:tc>
        <w:tc>
          <w:tcPr>
            <w:tcW w:w="2128" w:type="dxa"/>
          </w:tcPr>
          <w:p w14:paraId="6B22B981">
            <w:pPr>
              <w:spacing w:line="400" w:lineRule="exact"/>
              <w:ind w:firstLine="482"/>
              <w:jc w:val="center"/>
              <w:rPr>
                <w:rFonts w:ascii="宋体" w:hAnsi="宋体" w:eastAsia="宋体" w:cs="Times New Roman"/>
                <w:color w:val="auto"/>
                <w:sz w:val="24"/>
                <w:szCs w:val="24"/>
                <w:highlight w:val="none"/>
              </w:rPr>
            </w:pPr>
          </w:p>
        </w:tc>
      </w:tr>
      <w:tr w14:paraId="547F8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4F9B6DBC">
            <w:pPr>
              <w:spacing w:line="400" w:lineRule="exact"/>
              <w:ind w:firstLine="482"/>
              <w:jc w:val="center"/>
              <w:rPr>
                <w:rFonts w:ascii="宋体" w:hAnsi="宋体" w:eastAsia="宋体" w:cs="Times New Roman"/>
                <w:color w:val="auto"/>
                <w:sz w:val="24"/>
                <w:szCs w:val="24"/>
                <w:highlight w:val="none"/>
              </w:rPr>
            </w:pPr>
          </w:p>
        </w:tc>
        <w:tc>
          <w:tcPr>
            <w:tcW w:w="3063" w:type="dxa"/>
          </w:tcPr>
          <w:p w14:paraId="6AA80DC1">
            <w:pPr>
              <w:spacing w:line="400" w:lineRule="exact"/>
              <w:ind w:firstLine="482"/>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tc>
        <w:tc>
          <w:tcPr>
            <w:tcW w:w="3191" w:type="dxa"/>
          </w:tcPr>
          <w:p w14:paraId="402F6C50">
            <w:pPr>
              <w:spacing w:line="400" w:lineRule="exact"/>
              <w:ind w:firstLine="482"/>
              <w:jc w:val="center"/>
              <w:rPr>
                <w:rFonts w:ascii="宋体" w:hAnsi="宋体" w:eastAsia="宋体" w:cs="Times New Roman"/>
                <w:color w:val="auto"/>
                <w:sz w:val="24"/>
                <w:szCs w:val="24"/>
                <w:highlight w:val="none"/>
              </w:rPr>
            </w:pPr>
          </w:p>
        </w:tc>
        <w:tc>
          <w:tcPr>
            <w:tcW w:w="2128" w:type="dxa"/>
          </w:tcPr>
          <w:p w14:paraId="488D8FF0">
            <w:pPr>
              <w:spacing w:line="400" w:lineRule="exact"/>
              <w:ind w:firstLine="482"/>
              <w:jc w:val="center"/>
              <w:rPr>
                <w:rFonts w:ascii="宋体" w:hAnsi="宋体" w:eastAsia="宋体" w:cs="Times New Roman"/>
                <w:color w:val="auto"/>
                <w:sz w:val="24"/>
                <w:szCs w:val="24"/>
                <w:highlight w:val="none"/>
              </w:rPr>
            </w:pPr>
          </w:p>
        </w:tc>
      </w:tr>
    </w:tbl>
    <w:p w14:paraId="53243074">
      <w:pPr>
        <w:spacing w:line="400" w:lineRule="exact"/>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附件</w:t>
      </w:r>
      <w:r>
        <w:rPr>
          <w:rFonts w:ascii="宋体" w:hAnsi="宋体" w:eastAsia="宋体" w:cs="Times New Roman"/>
          <w:color w:val="auto"/>
          <w:sz w:val="24"/>
          <w:szCs w:val="24"/>
          <w:highlight w:val="none"/>
        </w:rPr>
        <w:t>4</w:t>
      </w:r>
      <w:r>
        <w:rPr>
          <w:rFonts w:hint="eastAsia" w:ascii="宋体" w:hAnsi="宋体" w:eastAsia="宋体" w:cs="Times New Roman"/>
          <w:color w:val="auto"/>
          <w:sz w:val="24"/>
          <w:szCs w:val="24"/>
          <w:highlight w:val="none"/>
        </w:rPr>
        <w:t>-1  证明</w:t>
      </w:r>
      <w:r>
        <w:rPr>
          <w:rFonts w:ascii="宋体" w:hAnsi="宋体" w:eastAsia="宋体" w:cs="Times New Roman"/>
          <w:color w:val="auto"/>
          <w:sz w:val="24"/>
          <w:szCs w:val="24"/>
          <w:highlight w:val="none"/>
        </w:rPr>
        <w:t>材料</w:t>
      </w:r>
      <w:r>
        <w:rPr>
          <w:rFonts w:hint="eastAsia" w:ascii="宋体" w:hAnsi="宋体" w:eastAsia="宋体" w:cs="Times New Roman"/>
          <w:color w:val="auto"/>
          <w:sz w:val="24"/>
          <w:szCs w:val="24"/>
          <w:highlight w:val="none"/>
        </w:rPr>
        <w:t>1，证明</w:t>
      </w:r>
      <w:r>
        <w:rPr>
          <w:rFonts w:ascii="宋体" w:hAnsi="宋体" w:eastAsia="宋体" w:cs="Times New Roman"/>
          <w:color w:val="auto"/>
          <w:sz w:val="24"/>
          <w:szCs w:val="24"/>
          <w:highlight w:val="none"/>
        </w:rPr>
        <w:t>材料</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w:t>
      </w:r>
    </w:p>
    <w:p w14:paraId="3A4D27BD">
      <w:pPr>
        <w:spacing w:line="400" w:lineRule="exact"/>
        <w:ind w:firstLine="482"/>
        <w:rPr>
          <w:rFonts w:ascii="宋体" w:hAnsi="宋体" w:eastAsia="宋体" w:cs="Times New Roman"/>
          <w:color w:val="auto"/>
          <w:sz w:val="24"/>
          <w:szCs w:val="24"/>
          <w:highlight w:val="none"/>
        </w:rPr>
      </w:pPr>
    </w:p>
    <w:p w14:paraId="2D264294">
      <w:pPr>
        <w:spacing w:line="400" w:lineRule="exact"/>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w:t>
      </w:r>
      <w:r>
        <w:rPr>
          <w:rFonts w:ascii="宋体" w:hAnsi="宋体" w:eastAsia="宋体" w:cs="Times New Roman"/>
          <w:color w:val="auto"/>
          <w:sz w:val="24"/>
          <w:szCs w:val="24"/>
          <w:highlight w:val="none"/>
        </w:rPr>
        <w:t>：</w:t>
      </w:r>
    </w:p>
    <w:p w14:paraId="1ACE9AC2">
      <w:pPr>
        <w:spacing w:line="400" w:lineRule="exact"/>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1.投标人需</w:t>
      </w:r>
      <w:r>
        <w:rPr>
          <w:rFonts w:ascii="宋体" w:hAnsi="宋体" w:eastAsia="宋体" w:cs="Times New Roman"/>
          <w:color w:val="auto"/>
          <w:sz w:val="24"/>
          <w:szCs w:val="24"/>
          <w:highlight w:val="none"/>
        </w:rPr>
        <w:t>对技术</w:t>
      </w:r>
      <w:r>
        <w:rPr>
          <w:rFonts w:hint="eastAsia" w:ascii="宋体" w:hAnsi="宋体" w:eastAsia="宋体" w:cs="Times New Roman"/>
          <w:color w:val="auto"/>
          <w:sz w:val="24"/>
          <w:szCs w:val="24"/>
          <w:highlight w:val="none"/>
        </w:rPr>
        <w:t>要求（未加斜体</w:t>
      </w:r>
      <w:r>
        <w:rPr>
          <w:rFonts w:ascii="宋体" w:hAnsi="宋体" w:eastAsia="宋体" w:cs="Times New Roman"/>
          <w:color w:val="auto"/>
          <w:sz w:val="24"/>
          <w:szCs w:val="24"/>
          <w:highlight w:val="none"/>
        </w:rPr>
        <w:t>下划线的</w:t>
      </w:r>
      <w:r>
        <w:rPr>
          <w:rFonts w:hint="eastAsia" w:ascii="宋体" w:hAnsi="宋体" w:eastAsia="宋体" w:cs="Times New Roman"/>
          <w:color w:val="auto"/>
          <w:sz w:val="24"/>
          <w:szCs w:val="24"/>
          <w:highlight w:val="none"/>
        </w:rPr>
        <w:t>非</w:t>
      </w:r>
      <w:r>
        <w:rPr>
          <w:rFonts w:ascii="宋体" w:hAnsi="宋体" w:eastAsia="宋体" w:cs="Times New Roman"/>
          <w:color w:val="auto"/>
          <w:sz w:val="24"/>
          <w:szCs w:val="24"/>
          <w:highlight w:val="none"/>
        </w:rPr>
        <w:t>实质性</w:t>
      </w:r>
      <w:r>
        <w:rPr>
          <w:rFonts w:hint="eastAsia" w:ascii="宋体" w:hAnsi="宋体" w:eastAsia="宋体" w:cs="Times New Roman"/>
          <w:color w:val="auto"/>
          <w:sz w:val="24"/>
          <w:szCs w:val="24"/>
          <w:highlight w:val="none"/>
        </w:rPr>
        <w:t>要求）</w:t>
      </w:r>
      <w:r>
        <w:rPr>
          <w:rFonts w:ascii="宋体" w:hAnsi="宋体" w:eastAsia="宋体" w:cs="Times New Roman"/>
          <w:color w:val="auto"/>
          <w:sz w:val="24"/>
          <w:szCs w:val="24"/>
          <w:highlight w:val="none"/>
        </w:rPr>
        <w:t>做出响应</w:t>
      </w:r>
      <w:r>
        <w:rPr>
          <w:rFonts w:hint="eastAsia" w:ascii="宋体" w:hAnsi="宋体" w:eastAsia="宋体" w:cs="Times New Roman"/>
          <w:color w:val="auto"/>
          <w:sz w:val="24"/>
          <w:szCs w:val="24"/>
          <w:highlight w:val="none"/>
        </w:rPr>
        <w:t>，未响应的作无效投标处理。</w:t>
      </w:r>
    </w:p>
    <w:p w14:paraId="66025A2A">
      <w:pPr>
        <w:spacing w:line="400" w:lineRule="exact"/>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2.如果磋商文件</w:t>
      </w:r>
      <w:r>
        <w:rPr>
          <w:rFonts w:ascii="宋体" w:hAnsi="宋体" w:eastAsia="宋体" w:cs="Times New Roman"/>
          <w:color w:val="auto"/>
          <w:sz w:val="24"/>
          <w:szCs w:val="24"/>
          <w:highlight w:val="none"/>
        </w:rPr>
        <w:t>要求提供</w:t>
      </w:r>
      <w:r>
        <w:rPr>
          <w:rFonts w:hint="eastAsia" w:ascii="宋体" w:hAnsi="宋体" w:eastAsia="宋体" w:cs="Times New Roman"/>
          <w:color w:val="auto"/>
          <w:sz w:val="24"/>
          <w:szCs w:val="24"/>
          <w:highlight w:val="none"/>
        </w:rPr>
        <w:t>证明</w:t>
      </w:r>
      <w:r>
        <w:rPr>
          <w:rFonts w:ascii="宋体" w:hAnsi="宋体" w:eastAsia="宋体" w:cs="Times New Roman"/>
          <w:color w:val="auto"/>
          <w:sz w:val="24"/>
          <w:szCs w:val="24"/>
          <w:highlight w:val="none"/>
        </w:rPr>
        <w:t>材料，</w:t>
      </w:r>
      <w:r>
        <w:rPr>
          <w:rFonts w:hint="eastAsia" w:ascii="宋体" w:hAnsi="宋体" w:eastAsia="宋体" w:cs="Times New Roman"/>
          <w:color w:val="auto"/>
          <w:sz w:val="24"/>
          <w:szCs w:val="24"/>
          <w:highlight w:val="none"/>
        </w:rPr>
        <w:t>投标人需</w:t>
      </w:r>
      <w:r>
        <w:rPr>
          <w:rFonts w:ascii="宋体" w:hAnsi="宋体" w:eastAsia="宋体" w:cs="Times New Roman"/>
          <w:color w:val="auto"/>
          <w:sz w:val="24"/>
          <w:szCs w:val="24"/>
          <w:highlight w:val="none"/>
        </w:rPr>
        <w:t>将证明材料</w:t>
      </w:r>
      <w:r>
        <w:rPr>
          <w:rFonts w:hint="eastAsia" w:ascii="宋体" w:hAnsi="宋体" w:eastAsia="宋体" w:cs="Times New Roman"/>
          <w:color w:val="auto"/>
          <w:sz w:val="24"/>
          <w:szCs w:val="24"/>
          <w:highlight w:val="none"/>
        </w:rPr>
        <w:t>列于</w:t>
      </w:r>
      <w:r>
        <w:rPr>
          <w:rFonts w:ascii="宋体" w:hAnsi="宋体" w:eastAsia="宋体" w:cs="Times New Roman"/>
          <w:color w:val="auto"/>
          <w:sz w:val="24"/>
          <w:szCs w:val="24"/>
          <w:highlight w:val="none"/>
        </w:rPr>
        <w:t>该表之下。</w:t>
      </w:r>
    </w:p>
    <w:p w14:paraId="00BAE969">
      <w:pPr>
        <w:widowControl/>
        <w:ind w:firstLine="480"/>
        <w:jc w:val="lef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br w:type="page"/>
      </w:r>
    </w:p>
    <w:p w14:paraId="06FF09A0">
      <w:pPr>
        <w:spacing w:line="360" w:lineRule="auto"/>
        <w:rPr>
          <w:rFonts w:ascii="宋体" w:hAnsi="宋体" w:eastAsia="方正仿宋_GB2312" w:cs="Times New Roman"/>
          <w:b/>
          <w:bCs/>
          <w:color w:val="auto"/>
          <w:kern w:val="0"/>
          <w:sz w:val="30"/>
          <w:szCs w:val="30"/>
          <w:highlight w:val="none"/>
        </w:rPr>
      </w:pPr>
      <w:r>
        <w:rPr>
          <w:rFonts w:hint="eastAsia" w:ascii="宋体" w:hAnsi="宋体" w:eastAsia="宋体" w:cs="Times New Roman"/>
          <w:b/>
          <w:color w:val="auto"/>
          <w:sz w:val="30"/>
          <w:szCs w:val="30"/>
          <w:highlight w:val="none"/>
        </w:rPr>
        <w:t>附件5、投标人符合《政府采购法》第二十二条规定条件的声明函</w:t>
      </w:r>
    </w:p>
    <w:p w14:paraId="2E6ABBD1">
      <w:pPr>
        <w:spacing w:line="480" w:lineRule="exact"/>
        <w:ind w:firstLine="480" w:firstLineChars="200"/>
        <w:rPr>
          <w:rFonts w:ascii="宋体" w:hAnsi="宋体" w:eastAsia="宋体" w:cs="Times New Roman"/>
          <w:bCs/>
          <w:color w:val="auto"/>
          <w:sz w:val="24"/>
          <w:szCs w:val="21"/>
          <w:highlight w:val="none"/>
        </w:rPr>
      </w:pPr>
    </w:p>
    <w:p w14:paraId="366A4484">
      <w:pPr>
        <w:spacing w:line="360" w:lineRule="auto"/>
        <w:ind w:firstLine="480" w:firstLineChars="200"/>
        <w:rPr>
          <w:rFonts w:ascii="宋体" w:hAnsi="宋体" w:eastAsia="宋体" w:cs="Times New Roman"/>
          <w:b/>
          <w:bCs/>
          <w:color w:val="auto"/>
          <w:sz w:val="24"/>
          <w:szCs w:val="21"/>
          <w:highlight w:val="none"/>
        </w:rPr>
      </w:pPr>
      <w:r>
        <w:rPr>
          <w:rFonts w:hint="eastAsia" w:ascii="宋体" w:hAnsi="宋体" w:eastAsia="宋体" w:cs="Times New Roman"/>
          <w:bCs/>
          <w:color w:val="auto"/>
          <w:sz w:val="24"/>
          <w:szCs w:val="21"/>
          <w:highlight w:val="none"/>
        </w:rPr>
        <w:t>我单位参加</w:t>
      </w:r>
      <w:r>
        <w:rPr>
          <w:rFonts w:hint="eastAsia" w:ascii="宋体" w:hAnsi="宋体" w:eastAsia="宋体" w:cs="Times New Roman"/>
          <w:bCs/>
          <w:color w:val="auto"/>
          <w:sz w:val="24"/>
          <w:szCs w:val="21"/>
          <w:highlight w:val="none"/>
          <w:u w:val="single"/>
        </w:rPr>
        <w:t>________________ _</w:t>
      </w:r>
      <w:r>
        <w:rPr>
          <w:rFonts w:hint="eastAsia" w:ascii="宋体" w:hAnsi="宋体" w:eastAsia="宋体" w:cs="Times New Roman"/>
          <w:bCs/>
          <w:color w:val="auto"/>
          <w:sz w:val="24"/>
          <w:szCs w:val="21"/>
          <w:highlight w:val="none"/>
        </w:rPr>
        <w:t>（项目名称），</w:t>
      </w:r>
      <w:r>
        <w:rPr>
          <w:rFonts w:hint="eastAsia" w:ascii="宋体" w:hAnsi="宋体" w:eastAsia="宋体" w:cs="Times New Roman"/>
          <w:bCs/>
          <w:color w:val="auto"/>
          <w:sz w:val="24"/>
          <w:szCs w:val="21"/>
          <w:highlight w:val="none"/>
          <w:u w:val="single"/>
        </w:rPr>
        <w:t>_______ __________</w:t>
      </w:r>
      <w:r>
        <w:rPr>
          <w:rFonts w:hint="eastAsia" w:ascii="宋体" w:hAnsi="宋体" w:eastAsia="宋体" w:cs="Times New Roman"/>
          <w:bCs/>
          <w:color w:val="auto"/>
          <w:sz w:val="24"/>
          <w:szCs w:val="21"/>
          <w:highlight w:val="none"/>
        </w:rPr>
        <w:t>（项目编号）投标活动。针对《中华人民共和国政府采购法》第二十二条规定做出如下声明：</w:t>
      </w:r>
    </w:p>
    <w:p w14:paraId="6E155609">
      <w:pPr>
        <w:spacing w:line="360" w:lineRule="auto"/>
        <w:ind w:firstLine="482"/>
        <w:rPr>
          <w:rFonts w:ascii="宋体" w:hAnsi="宋体" w:eastAsia="宋体" w:cs="Times New Roman"/>
          <w:color w:val="auto"/>
          <w:sz w:val="24"/>
          <w:szCs w:val="21"/>
          <w:highlight w:val="none"/>
        </w:rPr>
      </w:pPr>
      <w:r>
        <w:rPr>
          <w:rFonts w:hint="eastAsia" w:ascii="宋体" w:hAnsi="宋体" w:eastAsia="宋体" w:cs="Times New Roman"/>
          <w:bCs/>
          <w:color w:val="auto"/>
          <w:sz w:val="24"/>
          <w:szCs w:val="21"/>
          <w:highlight w:val="none"/>
        </w:rPr>
        <w:t>1.我单位具有独立承担民事责任的能力；</w:t>
      </w:r>
    </w:p>
    <w:p w14:paraId="600461BB">
      <w:pPr>
        <w:spacing w:line="360" w:lineRule="auto"/>
        <w:ind w:firstLine="482"/>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2.我单位具有良好的商业信誉和健全的财务会计制度；</w:t>
      </w:r>
    </w:p>
    <w:p w14:paraId="19DB066A">
      <w:pPr>
        <w:spacing w:line="360" w:lineRule="auto"/>
        <w:ind w:firstLine="482"/>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3.我单位具有履行合同所必需的设备和专业技术能力；</w:t>
      </w:r>
    </w:p>
    <w:p w14:paraId="5B3D084A">
      <w:pPr>
        <w:spacing w:line="360" w:lineRule="auto"/>
        <w:ind w:firstLine="482"/>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4.我单位有依法缴纳税收和社会保障资金的良好记录；</w:t>
      </w:r>
    </w:p>
    <w:p w14:paraId="0025A130">
      <w:pPr>
        <w:spacing w:line="360" w:lineRule="auto"/>
        <w:ind w:firstLine="482"/>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081717F">
      <w:pPr>
        <w:spacing w:line="360" w:lineRule="auto"/>
        <w:ind w:firstLine="482"/>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6.我单位满足法律、行政法规规定的其他条件。</w:t>
      </w:r>
    </w:p>
    <w:p w14:paraId="2E2A0A27">
      <w:pPr>
        <w:widowControl/>
        <w:spacing w:line="360" w:lineRule="auto"/>
        <w:ind w:firstLine="480"/>
        <w:jc w:val="left"/>
        <w:rPr>
          <w:rFonts w:ascii="宋体" w:hAnsi="宋体" w:eastAsia="宋体" w:cs="Times New Roman"/>
          <w:b/>
          <w:color w:val="auto"/>
          <w:sz w:val="24"/>
          <w:szCs w:val="24"/>
          <w:highlight w:val="none"/>
        </w:rPr>
      </w:pPr>
    </w:p>
    <w:p w14:paraId="6DFBAD78">
      <w:pPr>
        <w:spacing w:line="360" w:lineRule="auto"/>
        <w:ind w:firstLine="480"/>
        <w:jc w:val="center"/>
        <w:rPr>
          <w:rFonts w:ascii="宋体" w:hAnsi="宋体" w:eastAsia="宋体" w:cs="仿宋_GB2312"/>
          <w:bCs/>
          <w:color w:val="auto"/>
          <w:sz w:val="24"/>
          <w:szCs w:val="21"/>
          <w:highlight w:val="none"/>
        </w:rPr>
      </w:pPr>
      <w:r>
        <w:rPr>
          <w:rFonts w:hint="eastAsia" w:ascii="宋体" w:hAnsi="宋体" w:eastAsia="宋体" w:cs="仿宋_GB2312"/>
          <w:bCs/>
          <w:color w:val="auto"/>
          <w:sz w:val="24"/>
          <w:szCs w:val="21"/>
          <w:highlight w:val="none"/>
        </w:rPr>
        <w:t xml:space="preserve">                承诺人名称（公章）：</w:t>
      </w:r>
    </w:p>
    <w:p w14:paraId="4C731856">
      <w:pPr>
        <w:spacing w:line="360" w:lineRule="auto"/>
        <w:ind w:firstLine="480"/>
        <w:jc w:val="right"/>
        <w:rPr>
          <w:rFonts w:ascii="宋体" w:hAnsi="宋体" w:eastAsia="宋体" w:cs="仿宋_GB2312"/>
          <w:bCs/>
          <w:color w:val="auto"/>
          <w:sz w:val="24"/>
          <w:szCs w:val="21"/>
          <w:highlight w:val="none"/>
        </w:rPr>
      </w:pPr>
    </w:p>
    <w:p w14:paraId="3CCF9775">
      <w:pPr>
        <w:spacing w:line="360" w:lineRule="auto"/>
        <w:ind w:firstLine="480"/>
        <w:jc w:val="right"/>
        <w:rPr>
          <w:rFonts w:ascii="宋体" w:hAnsi="宋体" w:eastAsia="宋体" w:cs="仿宋_GB2312"/>
          <w:bCs/>
          <w:color w:val="auto"/>
          <w:sz w:val="24"/>
          <w:szCs w:val="21"/>
          <w:highlight w:val="none"/>
        </w:rPr>
      </w:pPr>
      <w:r>
        <w:rPr>
          <w:rFonts w:hint="eastAsia" w:ascii="宋体" w:hAnsi="宋体" w:eastAsia="宋体" w:cs="仿宋_GB2312"/>
          <w:bCs/>
          <w:color w:val="auto"/>
          <w:sz w:val="24"/>
          <w:szCs w:val="21"/>
          <w:highlight w:val="none"/>
        </w:rPr>
        <w:t>日期：年 月 日</w:t>
      </w:r>
    </w:p>
    <w:p w14:paraId="151222A2">
      <w:pPr>
        <w:widowControl/>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br w:type="page"/>
      </w:r>
    </w:p>
    <w:p w14:paraId="2CD482AB">
      <w:pPr>
        <w:widowControl/>
        <w:jc w:val="left"/>
        <w:rPr>
          <w:rFonts w:ascii="宋体" w:hAnsi="宋体" w:eastAsia="宋体" w:cs="仿宋_GB2312"/>
          <w:b/>
          <w:bCs/>
          <w:color w:val="auto"/>
          <w:sz w:val="30"/>
          <w:szCs w:val="30"/>
          <w:highlight w:val="none"/>
        </w:rPr>
      </w:pPr>
      <w:r>
        <w:rPr>
          <w:rFonts w:hint="eastAsia" w:ascii="宋体" w:hAnsi="宋体" w:eastAsia="宋体" w:cs="仿宋_GB2312"/>
          <w:b/>
          <w:bCs/>
          <w:color w:val="auto"/>
          <w:sz w:val="30"/>
          <w:szCs w:val="30"/>
          <w:highlight w:val="none"/>
        </w:rPr>
        <w:t>附件6</w:t>
      </w:r>
    </w:p>
    <w:p w14:paraId="4DF5BF10">
      <w:pPr>
        <w:spacing w:line="360" w:lineRule="auto"/>
        <w:jc w:val="center"/>
        <w:rPr>
          <w:rFonts w:ascii="宋体" w:hAnsi="宋体" w:eastAsia="宋体" w:cs="仿宋_GB2312"/>
          <w:b/>
          <w:bCs/>
          <w:color w:val="auto"/>
          <w:sz w:val="30"/>
          <w:szCs w:val="30"/>
          <w:highlight w:val="none"/>
        </w:rPr>
      </w:pPr>
      <w:r>
        <w:rPr>
          <w:rFonts w:hint="eastAsia" w:ascii="宋体" w:hAnsi="宋体" w:eastAsia="宋体" w:cs="仿宋_GB2312"/>
          <w:b/>
          <w:bCs/>
          <w:color w:val="auto"/>
          <w:sz w:val="30"/>
          <w:szCs w:val="30"/>
          <w:highlight w:val="none"/>
        </w:rPr>
        <w:t>法定代表人身份证明</w:t>
      </w:r>
    </w:p>
    <w:p w14:paraId="2DBA1663">
      <w:pPr>
        <w:spacing w:line="360" w:lineRule="auto"/>
        <w:rPr>
          <w:rFonts w:ascii="宋体" w:hAnsi="宋体" w:eastAsia="宋体" w:cs="仿宋_GB2312"/>
          <w:color w:val="auto"/>
          <w:sz w:val="24"/>
          <w:highlight w:val="none"/>
        </w:rPr>
      </w:pPr>
    </w:p>
    <w:p w14:paraId="06F015DA">
      <w:pPr>
        <w:widowControl/>
        <w:spacing w:before="380" w:after="380" w:line="360" w:lineRule="auto"/>
        <w:rPr>
          <w:rFonts w:ascii="Calibri" w:hAnsi="Calibri" w:eastAsia="宋体" w:cs="Times New Roman"/>
          <w:color w:val="auto"/>
          <w:sz w:val="24"/>
          <w:highlight w:val="none"/>
        </w:rPr>
      </w:pPr>
      <w:bookmarkStart w:id="128" w:name="_Hlk49178957"/>
      <w:r>
        <w:rPr>
          <w:rFonts w:hint="eastAsia" w:ascii="Calibri" w:hAnsi="Calibri" w:eastAsia="宋体" w:cs="宋体"/>
          <w:color w:val="auto"/>
          <w:sz w:val="24"/>
          <w:highlight w:val="none"/>
        </w:rPr>
        <w:t>南通市市政设施管理处：</w:t>
      </w:r>
      <w:bookmarkEnd w:id="128"/>
    </w:p>
    <w:p w14:paraId="76C337C2">
      <w:pPr>
        <w:widowControl/>
        <w:spacing w:line="360" w:lineRule="auto"/>
        <w:ind w:firstLine="480"/>
        <w:rPr>
          <w:rFonts w:ascii="Calibri" w:hAnsi="Calibri" w:eastAsia="宋体" w:cs="Times New Roman"/>
          <w:color w:val="auto"/>
          <w:sz w:val="24"/>
          <w:highlight w:val="none"/>
        </w:rPr>
      </w:pPr>
      <w:r>
        <w:rPr>
          <w:rFonts w:hint="eastAsia" w:ascii="Calibri" w:hAnsi="Calibri" w:eastAsia="宋体" w:cs="宋体"/>
          <w:color w:val="auto"/>
          <w:sz w:val="24"/>
          <w:highlight w:val="none"/>
        </w:rPr>
        <w:t>（先生／女士）现任我单位</w:t>
      </w:r>
      <w:r>
        <w:rPr>
          <w:rFonts w:hint="eastAsia" w:ascii="Calibri" w:hAnsi="Calibri" w:eastAsia="宋体" w:cs="宋体"/>
          <w:color w:val="auto"/>
          <w:sz w:val="24"/>
          <w:highlight w:val="none"/>
          <w:u w:val="single"/>
        </w:rPr>
        <w:t>　　　　　　　</w:t>
      </w:r>
      <w:r>
        <w:rPr>
          <w:rFonts w:hint="eastAsia" w:ascii="Calibri" w:hAnsi="Calibri" w:eastAsia="宋体" w:cs="宋体"/>
          <w:color w:val="auto"/>
          <w:sz w:val="24"/>
          <w:highlight w:val="none"/>
        </w:rPr>
        <w:t>职务，为法定代表人，特此证明。</w:t>
      </w:r>
    </w:p>
    <w:p w14:paraId="4592069D">
      <w:pPr>
        <w:widowControl/>
        <w:spacing w:line="360" w:lineRule="auto"/>
        <w:ind w:firstLine="480"/>
        <w:rPr>
          <w:rFonts w:ascii="Calibri" w:hAnsi="Calibri" w:eastAsia="宋体" w:cs="Times New Roman"/>
          <w:color w:val="auto"/>
          <w:sz w:val="24"/>
          <w:highlight w:val="none"/>
          <w:u w:val="single"/>
        </w:rPr>
      </w:pPr>
      <w:r>
        <w:rPr>
          <w:rFonts w:hint="eastAsia" w:ascii="Calibri" w:hAnsi="Calibri" w:eastAsia="宋体" w:cs="宋体"/>
          <w:color w:val="auto"/>
          <w:sz w:val="24"/>
          <w:highlight w:val="none"/>
        </w:rPr>
        <w:t>身份证号码：</w:t>
      </w:r>
    </w:p>
    <w:p w14:paraId="3BFC0E90">
      <w:pPr>
        <w:widowControl/>
        <w:spacing w:line="360" w:lineRule="auto"/>
        <w:ind w:firstLine="485"/>
        <w:jc w:val="right"/>
        <w:rPr>
          <w:rFonts w:ascii="Calibri" w:hAnsi="Calibri" w:eastAsia="宋体" w:cs="Times New Roman"/>
          <w:color w:val="auto"/>
          <w:sz w:val="24"/>
          <w:highlight w:val="none"/>
        </w:rPr>
      </w:pPr>
      <w:r>
        <w:rPr>
          <w:rFonts w:hint="eastAsia" w:ascii="Calibri" w:hAnsi="Calibri" w:eastAsia="宋体" w:cs="宋体"/>
          <w:color w:val="auto"/>
          <w:sz w:val="24"/>
          <w:highlight w:val="none"/>
        </w:rPr>
        <w:t>供应商（盖章）</w:t>
      </w:r>
    </w:p>
    <w:p w14:paraId="5745312B">
      <w:pPr>
        <w:widowControl/>
        <w:spacing w:line="360" w:lineRule="auto"/>
        <w:ind w:firstLine="485"/>
        <w:jc w:val="right"/>
        <w:rPr>
          <w:rFonts w:ascii="Calibri" w:hAnsi="Calibri" w:eastAsia="宋体" w:cs="Times New Roman"/>
          <w:color w:val="auto"/>
          <w:sz w:val="24"/>
          <w:highlight w:val="none"/>
        </w:rPr>
      </w:pPr>
      <w:r>
        <w:rPr>
          <w:rFonts w:hint="eastAsia" w:ascii="Calibri" w:hAnsi="Calibri" w:eastAsia="宋体" w:cs="宋体"/>
          <w:color w:val="auto"/>
          <w:sz w:val="24"/>
          <w:highlight w:val="none"/>
        </w:rPr>
        <w:t>年 月 日</w:t>
      </w:r>
    </w:p>
    <w:p w14:paraId="6EDC44D5">
      <w:pPr>
        <w:widowControl/>
        <w:spacing w:line="360" w:lineRule="auto"/>
        <w:ind w:firstLine="485"/>
        <w:jc w:val="left"/>
        <w:rPr>
          <w:rFonts w:ascii="Calibri" w:hAnsi="Calibri" w:eastAsia="宋体" w:cs="Times New Roman"/>
          <w:color w:val="auto"/>
          <w:sz w:val="24"/>
          <w:highlight w:val="none"/>
        </w:rPr>
      </w:pPr>
    </w:p>
    <w:p w14:paraId="11554B4F">
      <w:pPr>
        <w:widowControl/>
        <w:spacing w:line="360" w:lineRule="auto"/>
        <w:ind w:firstLine="485"/>
        <w:jc w:val="left"/>
        <w:rPr>
          <w:rFonts w:ascii="Calibri" w:hAnsi="Calibri" w:eastAsia="宋体" w:cs="Times New Roman"/>
          <w:color w:val="auto"/>
          <w:sz w:val="24"/>
          <w:highlight w:val="none"/>
        </w:rPr>
      </w:pPr>
    </w:p>
    <w:p w14:paraId="649462AD">
      <w:pPr>
        <w:widowControl/>
        <w:spacing w:line="360" w:lineRule="auto"/>
        <w:ind w:firstLine="482"/>
        <w:jc w:val="center"/>
        <w:rPr>
          <w:rFonts w:ascii="Calibri" w:hAnsi="Calibri" w:eastAsia="宋体" w:cs="Times New Roman"/>
          <w:b/>
          <w:bCs/>
          <w:color w:val="auto"/>
          <w:sz w:val="24"/>
          <w:highlight w:val="none"/>
        </w:rPr>
      </w:pPr>
      <w:r>
        <w:rPr>
          <w:rFonts w:hint="eastAsia" w:ascii="宋体" w:hAnsi="宋体" w:eastAsia="宋体" w:cs="仿宋_GB2312"/>
          <w:b/>
          <w:color w:val="auto"/>
          <w:sz w:val="24"/>
          <w:highlight w:val="none"/>
        </w:rPr>
        <w:t>注：提供</w:t>
      </w:r>
      <w:r>
        <w:rPr>
          <w:rFonts w:hint="eastAsia" w:ascii="Calibri" w:hAnsi="Calibri" w:eastAsia="宋体" w:cs="宋体"/>
          <w:b/>
          <w:bCs/>
          <w:color w:val="auto"/>
          <w:sz w:val="24"/>
          <w:highlight w:val="none"/>
        </w:rPr>
        <w:t>法定代表人的身份证扫描件（正、反面）</w:t>
      </w:r>
    </w:p>
    <w:p w14:paraId="4798FD69">
      <w:pPr>
        <w:widowControl/>
        <w:spacing w:line="360" w:lineRule="auto"/>
        <w:ind w:firstLine="480"/>
        <w:jc w:val="left"/>
        <w:rPr>
          <w:rFonts w:ascii="宋体" w:hAnsi="宋体" w:eastAsia="宋体" w:cs="Times New Roman"/>
          <w:b/>
          <w:color w:val="auto"/>
          <w:sz w:val="24"/>
          <w:szCs w:val="24"/>
          <w:highlight w:val="none"/>
        </w:rPr>
      </w:pPr>
    </w:p>
    <w:p w14:paraId="45CBF1D9">
      <w:pPr>
        <w:widowControl/>
        <w:ind w:firstLine="480"/>
        <w:jc w:val="left"/>
        <w:rPr>
          <w:rFonts w:ascii="宋体" w:hAnsi="宋体" w:eastAsia="宋体" w:cs="Times New Roman"/>
          <w:b/>
          <w:color w:val="auto"/>
          <w:sz w:val="24"/>
          <w:szCs w:val="24"/>
          <w:highlight w:val="none"/>
        </w:rPr>
      </w:pPr>
    </w:p>
    <w:p w14:paraId="55483370">
      <w:pPr>
        <w:widowControl/>
        <w:ind w:firstLine="480"/>
        <w:jc w:val="left"/>
        <w:rPr>
          <w:rFonts w:ascii="宋体" w:hAnsi="宋体" w:eastAsia="宋体" w:cs="Times New Roman"/>
          <w:b/>
          <w:color w:val="auto"/>
          <w:sz w:val="24"/>
          <w:szCs w:val="24"/>
          <w:highlight w:val="none"/>
        </w:rPr>
      </w:pPr>
    </w:p>
    <w:p w14:paraId="708D5787">
      <w:pPr>
        <w:widowControl/>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br w:type="page"/>
      </w:r>
    </w:p>
    <w:p w14:paraId="3A9BF96A">
      <w:pPr>
        <w:widowControl/>
        <w:jc w:val="left"/>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附件7</w:t>
      </w:r>
    </w:p>
    <w:p w14:paraId="29985C12">
      <w:pPr>
        <w:widowControl/>
        <w:ind w:firstLine="480"/>
        <w:jc w:val="center"/>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法人授权书</w:t>
      </w:r>
    </w:p>
    <w:p w14:paraId="0DC90532">
      <w:pPr>
        <w:pStyle w:val="21"/>
        <w:rPr>
          <w:color w:val="auto"/>
          <w:highlight w:val="none"/>
        </w:rPr>
      </w:pPr>
    </w:p>
    <w:p w14:paraId="6B5ABC29">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本人------（姓名）系————（授权单位名称）的法定代表人，现委托-------（姓名）（身份证号——————）为我方代理人，以我方名义全权处理与本次采购项目（编号：----------）有关的一切事务，其法律后果由我方承担。</w:t>
      </w:r>
    </w:p>
    <w:p w14:paraId="460B5E8C">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本授权书于---年---月---日起生效。代理人无转委托权。</w:t>
      </w:r>
    </w:p>
    <w:p w14:paraId="27873D28">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代理人(被授权人):------</w:t>
      </w:r>
    </w:p>
    <w:p w14:paraId="45C43E82">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授权单位名称（盖章）：-----</w:t>
      </w:r>
    </w:p>
    <w:p w14:paraId="078F3995">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授权单位法定代表人（签字或盖章）：-----</w:t>
      </w:r>
    </w:p>
    <w:p w14:paraId="790DF128">
      <w:pPr>
        <w:spacing w:line="360" w:lineRule="auto"/>
        <w:ind w:firstLine="480"/>
        <w:jc w:val="right"/>
        <w:rPr>
          <w:rFonts w:ascii="宋体" w:hAnsi="宋体" w:eastAsia="宋体" w:cs="宋体"/>
          <w:color w:val="auto"/>
          <w:sz w:val="24"/>
          <w:highlight w:val="none"/>
        </w:rPr>
      </w:pPr>
    </w:p>
    <w:p w14:paraId="20A75856">
      <w:pPr>
        <w:spacing w:line="360" w:lineRule="auto"/>
        <w:ind w:firstLine="480"/>
        <w:jc w:val="right"/>
        <w:rPr>
          <w:rFonts w:ascii="宋体" w:hAnsi="宋体" w:eastAsia="宋体" w:cs="宋体"/>
          <w:color w:val="auto"/>
          <w:sz w:val="24"/>
          <w:highlight w:val="none"/>
        </w:rPr>
      </w:pPr>
      <w:r>
        <w:rPr>
          <w:rFonts w:hint="eastAsia" w:ascii="宋体" w:hAnsi="宋体" w:eastAsia="宋体" w:cs="宋体"/>
          <w:color w:val="auto"/>
          <w:sz w:val="24"/>
          <w:highlight w:val="none"/>
        </w:rPr>
        <w:t>XXXX年XX月XX日</w:t>
      </w:r>
    </w:p>
    <w:p w14:paraId="3685986B">
      <w:pPr>
        <w:spacing w:line="360" w:lineRule="auto"/>
        <w:ind w:firstLine="482"/>
        <w:contextualSpacing/>
        <w:rPr>
          <w:rFonts w:ascii="宋体" w:hAnsi="宋体" w:eastAsia="宋体" w:cs="宋体"/>
          <w:b/>
          <w:color w:val="auto"/>
          <w:sz w:val="24"/>
          <w:highlight w:val="none"/>
        </w:rPr>
      </w:pPr>
    </w:p>
    <w:p w14:paraId="67FA1088">
      <w:pPr>
        <w:widowControl/>
        <w:spacing w:after="200" w:line="360" w:lineRule="auto"/>
        <w:ind w:firstLine="487"/>
        <w:jc w:val="center"/>
        <w:rPr>
          <w:rFonts w:ascii="宋体" w:hAnsi="宋体" w:eastAsia="宋体" w:cs="宋体"/>
          <w:b/>
          <w:color w:val="auto"/>
          <w:sz w:val="24"/>
          <w:highlight w:val="none"/>
        </w:rPr>
      </w:pPr>
    </w:p>
    <w:p w14:paraId="1CF74D80">
      <w:pPr>
        <w:widowControl/>
        <w:spacing w:after="200" w:line="360" w:lineRule="auto"/>
        <w:ind w:firstLine="487"/>
        <w:jc w:val="center"/>
        <w:rPr>
          <w:rFonts w:ascii="宋体" w:hAnsi="宋体" w:eastAsia="宋体" w:cs="宋体"/>
          <w:b/>
          <w:bCs/>
          <w:color w:val="auto"/>
          <w:sz w:val="24"/>
          <w:highlight w:val="none"/>
        </w:rPr>
      </w:pPr>
      <w:r>
        <w:rPr>
          <w:rFonts w:hint="eastAsia" w:ascii="宋体" w:hAnsi="宋体" w:eastAsia="宋体" w:cs="宋体"/>
          <w:b/>
          <w:color w:val="auto"/>
          <w:sz w:val="24"/>
          <w:highlight w:val="none"/>
        </w:rPr>
        <w:t>注：提供</w:t>
      </w:r>
      <w:r>
        <w:rPr>
          <w:rFonts w:hint="eastAsia" w:ascii="宋体" w:hAnsi="宋体" w:eastAsia="宋体" w:cs="宋体"/>
          <w:b/>
          <w:bCs/>
          <w:color w:val="auto"/>
          <w:sz w:val="24"/>
          <w:highlight w:val="none"/>
        </w:rPr>
        <w:t>被委托授权人的身份证扫描件（正、反面）</w:t>
      </w:r>
    </w:p>
    <w:p w14:paraId="78B75B71">
      <w:pPr>
        <w:spacing w:line="360" w:lineRule="auto"/>
        <w:ind w:firstLine="482"/>
        <w:rPr>
          <w:rFonts w:ascii="楷体" w:hAnsi="楷体" w:eastAsia="楷体" w:cs="Times New Roman"/>
          <w:bCs/>
          <w:color w:val="auto"/>
          <w:sz w:val="24"/>
          <w:szCs w:val="24"/>
          <w:highlight w:val="none"/>
        </w:rPr>
      </w:pPr>
    </w:p>
    <w:p w14:paraId="281160D0">
      <w:pPr>
        <w:widowControl/>
        <w:ind w:firstLine="480"/>
        <w:jc w:val="lef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br w:type="page"/>
      </w:r>
    </w:p>
    <w:p w14:paraId="70990F12">
      <w:pPr>
        <w:spacing w:line="360" w:lineRule="auto"/>
        <w:ind w:firstLine="480"/>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附件8</w:t>
      </w:r>
    </w:p>
    <w:p w14:paraId="43B4E8EB">
      <w:pPr>
        <w:spacing w:line="360" w:lineRule="auto"/>
        <w:ind w:firstLine="480"/>
        <w:jc w:val="center"/>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投标函</w:t>
      </w:r>
    </w:p>
    <w:p w14:paraId="00C8EDE6">
      <w:pPr>
        <w:adjustRightInd w:val="0"/>
        <w:spacing w:line="360" w:lineRule="auto"/>
        <w:ind w:firstLine="482"/>
        <w:jc w:val="left"/>
        <w:textAlignment w:val="baseline"/>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致：南通城建工程项目管理有限公司</w:t>
      </w:r>
    </w:p>
    <w:p w14:paraId="073B3B52">
      <w:pPr>
        <w:adjustRightInd w:val="0"/>
        <w:spacing w:line="360" w:lineRule="auto"/>
        <w:ind w:firstLine="480" w:firstLineChars="200"/>
        <w:jc w:val="left"/>
        <w:textAlignment w:val="baseline"/>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根据贵方的JSZC-***</w:t>
      </w:r>
      <w:r>
        <w:rPr>
          <w:rFonts w:ascii="宋体" w:hAnsi="宋体" w:eastAsia="宋体" w:cs="Times New Roman"/>
          <w:color w:val="auto"/>
          <w:sz w:val="24"/>
          <w:szCs w:val="21"/>
          <w:highlight w:val="none"/>
        </w:rPr>
        <w:t>-***</w:t>
      </w:r>
      <w:r>
        <w:rPr>
          <w:rFonts w:hint="eastAsia" w:ascii="宋体" w:hAnsi="宋体" w:eastAsia="宋体" w:cs="Times New Roman"/>
          <w:color w:val="auto"/>
          <w:sz w:val="24"/>
          <w:szCs w:val="21"/>
          <w:highlight w:val="none"/>
        </w:rPr>
        <w:t>号磋商文件，正式授权下述签字人______(姓名)代表我方______________（投标人的名称），全权处理本次项目投标的有关事宜。</w:t>
      </w:r>
    </w:p>
    <w:p w14:paraId="7A637D48">
      <w:pPr>
        <w:adjustRightInd w:val="0"/>
        <w:spacing w:line="360" w:lineRule="auto"/>
        <w:ind w:firstLine="480" w:firstLineChars="200"/>
        <w:jc w:val="left"/>
        <w:textAlignment w:val="baseline"/>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据此函，__________签字人兹宣布同意如下：</w:t>
      </w:r>
    </w:p>
    <w:p w14:paraId="2C628C46">
      <w:pPr>
        <w:adjustRightInd w:val="0"/>
        <w:spacing w:line="360" w:lineRule="auto"/>
        <w:ind w:firstLine="482"/>
        <w:jc w:val="left"/>
        <w:textAlignment w:val="baseline"/>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1.按磋商文件规定的各项要求，向买方提供所需服务（包含与服务相关的货物）。</w:t>
      </w:r>
    </w:p>
    <w:p w14:paraId="4C585662">
      <w:pPr>
        <w:adjustRightInd w:val="0"/>
        <w:spacing w:line="360" w:lineRule="auto"/>
        <w:ind w:firstLine="480" w:firstLineChars="200"/>
        <w:jc w:val="left"/>
        <w:textAlignment w:val="baseline"/>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2.我们完全理解贵方不一定将合同授予最低报价的投标人。</w:t>
      </w:r>
    </w:p>
    <w:p w14:paraId="7E0FC42E">
      <w:pPr>
        <w:adjustRightInd w:val="0"/>
        <w:spacing w:line="360" w:lineRule="auto"/>
        <w:ind w:firstLine="480" w:firstLineChars="200"/>
        <w:jc w:val="left"/>
        <w:textAlignment w:val="baseline"/>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3.我们已详细审核全部磋商文件及其有效补充文件，我们知道必须放弃提出含糊不清或误解问题的权利。</w:t>
      </w:r>
    </w:p>
    <w:p w14:paraId="51BABD25">
      <w:pPr>
        <w:adjustRightInd w:val="0"/>
        <w:spacing w:line="360" w:lineRule="auto"/>
        <w:ind w:firstLine="482"/>
        <w:jc w:val="left"/>
        <w:textAlignment w:val="baseline"/>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4.我们同意从规定的开标日期起遵循本投标文件，并在规定的投标有效期期满之前均具有约束力。</w:t>
      </w:r>
    </w:p>
    <w:p w14:paraId="65C0B4DC">
      <w:pPr>
        <w:adjustRightInd w:val="0"/>
        <w:spacing w:line="360" w:lineRule="auto"/>
        <w:ind w:firstLine="482"/>
        <w:jc w:val="left"/>
        <w:textAlignment w:val="baseline"/>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5</w:t>
      </w:r>
      <w:r>
        <w:rPr>
          <w:rFonts w:hint="eastAsia" w:ascii="宋体" w:hAnsi="宋体" w:eastAsia="宋体" w:cs="Times New Roman"/>
          <w:color w:val="auto"/>
          <w:sz w:val="24"/>
          <w:szCs w:val="21"/>
          <w:highlight w:val="none"/>
        </w:rPr>
        <w:t>.同意向贵方提供贵方可能另外要求的与投标有关的任何证据或资料，并保证我方已提供和将要提供的文件是真实的、准确的。</w:t>
      </w:r>
    </w:p>
    <w:p w14:paraId="2B5AC338">
      <w:pPr>
        <w:adjustRightInd w:val="0"/>
        <w:spacing w:line="360" w:lineRule="auto"/>
        <w:ind w:firstLine="482"/>
        <w:jc w:val="left"/>
        <w:textAlignment w:val="baseline"/>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6</w:t>
      </w:r>
      <w:r>
        <w:rPr>
          <w:rFonts w:hint="eastAsia" w:ascii="宋体" w:hAnsi="宋体" w:eastAsia="宋体" w:cs="Times New Roman"/>
          <w:color w:val="auto"/>
          <w:sz w:val="24"/>
          <w:szCs w:val="21"/>
          <w:highlight w:val="none"/>
        </w:rPr>
        <w:t>.一旦我方成交,我方将根据磋商文件的规定，严格履行合同的责任和义务,并保证在磋商文件规定的时间完成项目，交付买方验收、使用。</w:t>
      </w:r>
    </w:p>
    <w:p w14:paraId="3AC21FFE">
      <w:pPr>
        <w:adjustRightInd w:val="0"/>
        <w:spacing w:line="360" w:lineRule="auto"/>
        <w:ind w:firstLine="480" w:firstLineChars="200"/>
        <w:jc w:val="left"/>
        <w:textAlignment w:val="baseline"/>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7</w:t>
      </w:r>
      <w:r>
        <w:rPr>
          <w:rFonts w:hint="eastAsia" w:ascii="宋体" w:hAnsi="宋体" w:eastAsia="宋体" w:cs="Times New Roman"/>
          <w:color w:val="auto"/>
          <w:sz w:val="24"/>
          <w:szCs w:val="21"/>
          <w:highlight w:val="none"/>
        </w:rPr>
        <w:t>.与本投标有关的正式通讯地址为：</w:t>
      </w:r>
    </w:p>
    <w:p w14:paraId="195C5091">
      <w:pPr>
        <w:adjustRightInd w:val="0"/>
        <w:spacing w:line="360" w:lineRule="auto"/>
        <w:ind w:left="420" w:leftChars="200" w:firstLine="480" w:firstLineChars="200"/>
        <w:jc w:val="left"/>
        <w:textAlignment w:val="baseline"/>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地          址：</w:t>
      </w:r>
    </w:p>
    <w:p w14:paraId="0562DB68">
      <w:pPr>
        <w:adjustRightInd w:val="0"/>
        <w:spacing w:line="360" w:lineRule="auto"/>
        <w:ind w:left="420" w:leftChars="200" w:firstLine="480" w:firstLineChars="200"/>
        <w:jc w:val="left"/>
        <w:textAlignment w:val="baseline"/>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邮          编：</w:t>
      </w:r>
    </w:p>
    <w:p w14:paraId="1BF60023">
      <w:pPr>
        <w:adjustRightInd w:val="0"/>
        <w:spacing w:line="360" w:lineRule="auto"/>
        <w:ind w:left="420" w:leftChars="200" w:firstLine="480" w:firstLineChars="200"/>
        <w:jc w:val="left"/>
        <w:textAlignment w:val="baseline"/>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电          话：</w:t>
      </w:r>
    </w:p>
    <w:p w14:paraId="3231B0A0">
      <w:pPr>
        <w:adjustRightInd w:val="0"/>
        <w:spacing w:line="360" w:lineRule="auto"/>
        <w:ind w:left="420" w:leftChars="200" w:firstLine="480" w:firstLineChars="200"/>
        <w:jc w:val="left"/>
        <w:textAlignment w:val="baseline"/>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传          真：</w:t>
      </w:r>
    </w:p>
    <w:p w14:paraId="28266A39">
      <w:pPr>
        <w:adjustRightInd w:val="0"/>
        <w:spacing w:line="360" w:lineRule="auto"/>
        <w:ind w:left="420" w:leftChars="200" w:firstLine="480" w:firstLineChars="200"/>
        <w:jc w:val="left"/>
        <w:textAlignment w:val="baseline"/>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投标人开户行：</w:t>
      </w:r>
    </w:p>
    <w:p w14:paraId="56054B9B">
      <w:pPr>
        <w:adjustRightInd w:val="0"/>
        <w:spacing w:line="360" w:lineRule="auto"/>
        <w:ind w:left="420" w:leftChars="200" w:firstLine="480" w:firstLineChars="200"/>
        <w:jc w:val="left"/>
        <w:textAlignment w:val="baseline"/>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 </w:t>
      </w:r>
    </w:p>
    <w:p w14:paraId="104C02EE">
      <w:pPr>
        <w:adjustRightInd w:val="0"/>
        <w:spacing w:line="360" w:lineRule="auto"/>
        <w:ind w:left="420" w:leftChars="200" w:firstLine="480" w:firstLineChars="200"/>
        <w:jc w:val="left"/>
        <w:textAlignment w:val="baseline"/>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日           期：________年____月____日</w:t>
      </w:r>
    </w:p>
    <w:p w14:paraId="4BD886D8">
      <w:pPr>
        <w:spacing w:line="360" w:lineRule="auto"/>
        <w:ind w:firstLine="641"/>
        <w:rPr>
          <w:rFonts w:ascii="宋体" w:hAnsi="宋体" w:eastAsia="方正仿宋_GB2312" w:cs="Times New Roman"/>
          <w:color w:val="auto"/>
          <w:kern w:val="0"/>
          <w:sz w:val="32"/>
          <w:szCs w:val="32"/>
          <w:highlight w:val="none"/>
        </w:rPr>
      </w:pPr>
    </w:p>
    <w:p w14:paraId="2452A8BB">
      <w:pPr>
        <w:widowControl/>
        <w:ind w:firstLine="480"/>
        <w:jc w:val="lef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br w:type="page"/>
      </w:r>
    </w:p>
    <w:p w14:paraId="4B6BEAC3">
      <w:pPr>
        <w:spacing w:line="360" w:lineRule="auto"/>
        <w:ind w:firstLine="480"/>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附件9</w:t>
      </w:r>
    </w:p>
    <w:p w14:paraId="4C9C2982">
      <w:pPr>
        <w:spacing w:line="360" w:lineRule="auto"/>
        <w:ind w:firstLine="480"/>
        <w:jc w:val="center"/>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（一）中小微企业声明函（工程）</w:t>
      </w:r>
    </w:p>
    <w:p w14:paraId="11CF4711">
      <w:pPr>
        <w:spacing w:line="360" w:lineRule="auto"/>
        <w:ind w:firstLine="420"/>
        <w:rPr>
          <w:rFonts w:cs="Times New Roman" w:asciiTheme="majorEastAsia" w:hAnsiTheme="majorEastAsia" w:eastAsiaTheme="majorEastAsia"/>
          <w:color w:val="auto"/>
          <w:sz w:val="24"/>
          <w:szCs w:val="24"/>
          <w:highlight w:val="none"/>
        </w:rPr>
      </w:pPr>
      <w:r>
        <w:rPr>
          <w:rFonts w:hint="eastAsia" w:cs="Times New Roman" w:asciiTheme="majorEastAsia" w:hAnsiTheme="majorEastAsia" w:eastAsiaTheme="majorEastAsia"/>
          <w:color w:val="auto"/>
          <w:sz w:val="24"/>
          <w:szCs w:val="24"/>
          <w:highlight w:val="none"/>
        </w:rPr>
        <w:t>本公司（联合体）郑重声明，根据《政府采购促进中小企业发展管理办法》(财库[2020]46号)的规定，本公司（联合体）参加</w:t>
      </w:r>
      <w:r>
        <w:rPr>
          <w:rFonts w:hint="eastAsia" w:cs="Times New Roman" w:asciiTheme="majorEastAsia" w:hAnsiTheme="majorEastAsia" w:eastAsiaTheme="majorEastAsia"/>
          <w:color w:val="auto"/>
          <w:sz w:val="24"/>
          <w:szCs w:val="24"/>
          <w:highlight w:val="none"/>
          <w:u w:val="single"/>
        </w:rPr>
        <w:t>南通市市政设施管理处</w:t>
      </w:r>
      <w:r>
        <w:rPr>
          <w:rFonts w:hint="eastAsia" w:cs="Times New Roman" w:asciiTheme="majorEastAsia" w:hAnsiTheme="majorEastAsia" w:eastAsiaTheme="majorEastAsia"/>
          <w:color w:val="auto"/>
          <w:sz w:val="24"/>
          <w:szCs w:val="24"/>
          <w:highlight w:val="none"/>
        </w:rPr>
        <w:t>组织的采购编号为  ，</w:t>
      </w:r>
      <w:r>
        <w:rPr>
          <w:rFonts w:hint="eastAsia" w:cs="Times New Roman" w:asciiTheme="majorEastAsia" w:hAnsiTheme="majorEastAsia" w:eastAsiaTheme="majorEastAsia"/>
          <w:color w:val="auto"/>
          <w:sz w:val="24"/>
          <w:szCs w:val="24"/>
          <w:highlight w:val="none"/>
          <w:u w:val="single"/>
        </w:rPr>
        <w:t>（项目名称）</w:t>
      </w:r>
      <w:r>
        <w:rPr>
          <w:rFonts w:hint="eastAsia" w:cs="Times New Roman" w:asciiTheme="majorEastAsia" w:hAnsiTheme="majorEastAsia" w:eastAsiaTheme="majorEastAsia"/>
          <w:color w:val="auto"/>
          <w:sz w:val="24"/>
          <w:szCs w:val="24"/>
          <w:highlight w:val="none"/>
        </w:rPr>
        <w:t>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4502617F">
      <w:pPr>
        <w:spacing w:line="360" w:lineRule="auto"/>
        <w:ind w:firstLine="420"/>
        <w:rPr>
          <w:rFonts w:cs="Times New Roman" w:asciiTheme="majorEastAsia" w:hAnsiTheme="majorEastAsia" w:eastAsiaTheme="majorEastAsia"/>
          <w:i/>
          <w:color w:val="auto"/>
          <w:sz w:val="24"/>
          <w:szCs w:val="24"/>
          <w:highlight w:val="none"/>
          <w:u w:val="single"/>
        </w:rPr>
      </w:pPr>
      <w:r>
        <w:rPr>
          <w:rFonts w:hint="eastAsia" w:cs="Times New Roman" w:asciiTheme="majorEastAsia" w:hAnsiTheme="majorEastAsia" w:eastAsiaTheme="majorEastAsia"/>
          <w:color w:val="auto"/>
          <w:sz w:val="24"/>
          <w:szCs w:val="24"/>
          <w:highlight w:val="none"/>
        </w:rPr>
        <w:t>1.</w:t>
      </w:r>
      <w:r>
        <w:rPr>
          <w:rFonts w:hint="eastAsia" w:cs="Times New Roman" w:asciiTheme="majorEastAsia" w:hAnsiTheme="majorEastAsia" w:eastAsiaTheme="majorEastAsia"/>
          <w:color w:val="auto"/>
          <w:sz w:val="24"/>
          <w:szCs w:val="24"/>
          <w:highlight w:val="none"/>
          <w:u w:val="single"/>
        </w:rPr>
        <w:t>（标的名称）</w:t>
      </w:r>
      <w:r>
        <w:rPr>
          <w:rFonts w:hint="eastAsia" w:cs="Times New Roman" w:asciiTheme="majorEastAsia" w:hAnsiTheme="majorEastAsia" w:eastAsiaTheme="majorEastAsia"/>
          <w:i/>
          <w:color w:val="auto"/>
          <w:sz w:val="24"/>
          <w:szCs w:val="24"/>
          <w:highlight w:val="none"/>
        </w:rPr>
        <w:t>，</w:t>
      </w:r>
      <w:r>
        <w:rPr>
          <w:rFonts w:hint="eastAsia" w:cs="Times New Roman" w:asciiTheme="majorEastAsia" w:hAnsiTheme="majorEastAsia" w:eastAsiaTheme="majorEastAsia"/>
          <w:color w:val="auto"/>
          <w:sz w:val="24"/>
          <w:szCs w:val="24"/>
          <w:highlight w:val="none"/>
        </w:rPr>
        <w:t>属于行业；制造商为</w:t>
      </w:r>
      <w:r>
        <w:rPr>
          <w:rFonts w:hint="eastAsia" w:cs="Times New Roman" w:asciiTheme="majorEastAsia" w:hAnsiTheme="majorEastAsia" w:eastAsiaTheme="majorEastAsia"/>
          <w:color w:val="auto"/>
          <w:sz w:val="24"/>
          <w:szCs w:val="24"/>
          <w:highlight w:val="none"/>
          <w:u w:val="single"/>
        </w:rPr>
        <w:t>（企业名称）</w:t>
      </w:r>
      <w:r>
        <w:rPr>
          <w:rFonts w:hint="eastAsia" w:cs="Times New Roman" w:asciiTheme="majorEastAsia" w:hAnsiTheme="majorEastAsia" w:eastAsiaTheme="majorEastAsia"/>
          <w:color w:val="auto"/>
          <w:sz w:val="24"/>
          <w:szCs w:val="24"/>
          <w:highlight w:val="none"/>
        </w:rPr>
        <w:t>，从业人员人，营业收入为万元，资产总额为万元，属于</w:t>
      </w:r>
      <w:r>
        <w:rPr>
          <w:rFonts w:hint="eastAsia" w:cs="Times New Roman" w:asciiTheme="majorEastAsia" w:hAnsiTheme="majorEastAsia" w:eastAsiaTheme="majorEastAsia"/>
          <w:color w:val="auto"/>
          <w:sz w:val="24"/>
          <w:szCs w:val="24"/>
          <w:highlight w:val="none"/>
          <w:u w:val="single"/>
        </w:rPr>
        <w:t>（□中型企业 □小型企业 □微型企业）；</w:t>
      </w:r>
    </w:p>
    <w:p w14:paraId="51C85B20">
      <w:pPr>
        <w:spacing w:line="360" w:lineRule="auto"/>
        <w:ind w:firstLine="420"/>
        <w:rPr>
          <w:rFonts w:cs="Times New Roman" w:asciiTheme="majorEastAsia" w:hAnsiTheme="majorEastAsia" w:eastAsiaTheme="majorEastAsia"/>
          <w:i/>
          <w:color w:val="auto"/>
          <w:sz w:val="24"/>
          <w:szCs w:val="24"/>
          <w:highlight w:val="none"/>
          <w:u w:val="single"/>
        </w:rPr>
      </w:pPr>
      <w:r>
        <w:rPr>
          <w:rFonts w:hint="eastAsia" w:cs="Times New Roman" w:asciiTheme="majorEastAsia" w:hAnsiTheme="majorEastAsia" w:eastAsiaTheme="majorEastAsia"/>
          <w:color w:val="auto"/>
          <w:sz w:val="24"/>
          <w:szCs w:val="24"/>
          <w:highlight w:val="none"/>
        </w:rPr>
        <w:t>2.</w:t>
      </w:r>
      <w:r>
        <w:rPr>
          <w:rFonts w:hint="eastAsia" w:cs="Times New Roman" w:asciiTheme="majorEastAsia" w:hAnsiTheme="majorEastAsia" w:eastAsiaTheme="majorEastAsia"/>
          <w:color w:val="auto"/>
          <w:sz w:val="24"/>
          <w:szCs w:val="24"/>
          <w:highlight w:val="none"/>
          <w:u w:val="single"/>
        </w:rPr>
        <w:t>（标的名称）</w:t>
      </w:r>
      <w:r>
        <w:rPr>
          <w:rFonts w:hint="eastAsia" w:cs="Times New Roman" w:asciiTheme="majorEastAsia" w:hAnsiTheme="majorEastAsia" w:eastAsiaTheme="majorEastAsia"/>
          <w:i/>
          <w:color w:val="auto"/>
          <w:sz w:val="24"/>
          <w:szCs w:val="24"/>
          <w:highlight w:val="none"/>
        </w:rPr>
        <w:t>，</w:t>
      </w:r>
      <w:r>
        <w:rPr>
          <w:rFonts w:hint="eastAsia" w:cs="Times New Roman" w:asciiTheme="majorEastAsia" w:hAnsiTheme="majorEastAsia" w:eastAsiaTheme="majorEastAsia"/>
          <w:color w:val="auto"/>
          <w:sz w:val="24"/>
          <w:szCs w:val="24"/>
          <w:highlight w:val="none"/>
        </w:rPr>
        <w:t>属于行业；制造商为</w:t>
      </w:r>
      <w:r>
        <w:rPr>
          <w:rFonts w:hint="eastAsia" w:cs="Times New Roman" w:asciiTheme="majorEastAsia" w:hAnsiTheme="majorEastAsia" w:eastAsiaTheme="majorEastAsia"/>
          <w:color w:val="auto"/>
          <w:sz w:val="24"/>
          <w:szCs w:val="24"/>
          <w:highlight w:val="none"/>
          <w:u w:val="single"/>
        </w:rPr>
        <w:t>（企业名称）</w:t>
      </w:r>
      <w:r>
        <w:rPr>
          <w:rFonts w:hint="eastAsia" w:cs="Times New Roman" w:asciiTheme="majorEastAsia" w:hAnsiTheme="majorEastAsia" w:eastAsiaTheme="majorEastAsia"/>
          <w:color w:val="auto"/>
          <w:sz w:val="24"/>
          <w:szCs w:val="24"/>
          <w:highlight w:val="none"/>
        </w:rPr>
        <w:t>，从业人员人，营业收入为万元，资产总额为万元，属于</w:t>
      </w:r>
      <w:r>
        <w:rPr>
          <w:rFonts w:hint="eastAsia" w:cs="Times New Roman" w:asciiTheme="majorEastAsia" w:hAnsiTheme="majorEastAsia" w:eastAsiaTheme="majorEastAsia"/>
          <w:color w:val="auto"/>
          <w:sz w:val="24"/>
          <w:szCs w:val="24"/>
          <w:highlight w:val="none"/>
          <w:u w:val="single"/>
        </w:rPr>
        <w:t>（□中型企业 □小型企业 □微型企业）；</w:t>
      </w:r>
    </w:p>
    <w:p w14:paraId="43B9309D">
      <w:pPr>
        <w:spacing w:line="360" w:lineRule="auto"/>
        <w:ind w:firstLine="420"/>
        <w:rPr>
          <w:rFonts w:cs="Times New Roman" w:asciiTheme="majorEastAsia" w:hAnsiTheme="majorEastAsia" w:eastAsiaTheme="majorEastAsia"/>
          <w:color w:val="auto"/>
          <w:sz w:val="24"/>
          <w:szCs w:val="24"/>
          <w:highlight w:val="none"/>
        </w:rPr>
      </w:pPr>
      <w:r>
        <w:rPr>
          <w:rFonts w:hint="eastAsia" w:cs="Times New Roman" w:asciiTheme="majorEastAsia" w:hAnsiTheme="majorEastAsia" w:eastAsiaTheme="majorEastAsia"/>
          <w:color w:val="auto"/>
          <w:sz w:val="24"/>
          <w:szCs w:val="24"/>
          <w:highlight w:val="none"/>
        </w:rPr>
        <w:t>……</w:t>
      </w:r>
    </w:p>
    <w:p w14:paraId="7BF010C8">
      <w:pPr>
        <w:spacing w:line="360" w:lineRule="auto"/>
        <w:ind w:firstLine="420"/>
        <w:rPr>
          <w:rFonts w:cs="Times New Roman" w:asciiTheme="majorEastAsia" w:hAnsiTheme="majorEastAsia" w:eastAsiaTheme="majorEastAsia"/>
          <w:color w:val="auto"/>
          <w:sz w:val="24"/>
          <w:szCs w:val="24"/>
          <w:highlight w:val="none"/>
        </w:rPr>
      </w:pPr>
      <w:r>
        <w:rPr>
          <w:rFonts w:hint="eastAsia" w:cs="Times New Roman" w:asciiTheme="majorEastAsia" w:hAnsiTheme="majorEastAsia" w:eastAsiaTheme="majorEastAsia"/>
          <w:color w:val="auto"/>
          <w:sz w:val="24"/>
          <w:szCs w:val="24"/>
          <w:highlight w:val="none"/>
        </w:rPr>
        <w:t>以上企业，不属于大企业的分支机构，不存在控股股东为大企业的情形，也不存在与大企业的负责人为同一人的情形。</w:t>
      </w:r>
    </w:p>
    <w:p w14:paraId="20D471EC">
      <w:pPr>
        <w:spacing w:line="360" w:lineRule="auto"/>
        <w:ind w:firstLine="420"/>
        <w:rPr>
          <w:rFonts w:cs="Times New Roman" w:asciiTheme="majorEastAsia" w:hAnsiTheme="majorEastAsia" w:eastAsiaTheme="majorEastAsia"/>
          <w:color w:val="auto"/>
          <w:sz w:val="24"/>
          <w:szCs w:val="24"/>
          <w:highlight w:val="none"/>
        </w:rPr>
      </w:pPr>
      <w:r>
        <w:rPr>
          <w:rFonts w:hint="eastAsia" w:cs="Times New Roman" w:asciiTheme="majorEastAsia" w:hAnsiTheme="majorEastAsia" w:eastAsiaTheme="majorEastAsia"/>
          <w:color w:val="auto"/>
          <w:sz w:val="24"/>
          <w:szCs w:val="24"/>
          <w:highlight w:val="none"/>
        </w:rPr>
        <w:t>本企业对上述声明内容的真实性负责。如有虚假，将依法承担相应责任</w:t>
      </w:r>
    </w:p>
    <w:p w14:paraId="7071A0D0">
      <w:pPr>
        <w:spacing w:line="360" w:lineRule="auto"/>
        <w:ind w:right="720"/>
        <w:rPr>
          <w:rFonts w:cs="Times New Roman" w:asciiTheme="majorEastAsia" w:hAnsiTheme="majorEastAsia" w:eastAsiaTheme="majorEastAsia"/>
          <w:color w:val="auto"/>
          <w:sz w:val="24"/>
          <w:szCs w:val="24"/>
          <w:highlight w:val="none"/>
        </w:rPr>
      </w:pPr>
    </w:p>
    <w:p w14:paraId="03E6755A">
      <w:pPr>
        <w:spacing w:line="360" w:lineRule="auto"/>
        <w:ind w:right="180" w:firstLine="420"/>
        <w:jc w:val="right"/>
        <w:rPr>
          <w:rFonts w:cs="Times New Roman" w:asciiTheme="majorEastAsia" w:hAnsiTheme="majorEastAsia" w:eastAsiaTheme="majorEastAsia"/>
          <w:color w:val="auto"/>
          <w:sz w:val="24"/>
          <w:szCs w:val="24"/>
          <w:highlight w:val="none"/>
        </w:rPr>
      </w:pPr>
      <w:r>
        <w:rPr>
          <w:rFonts w:hint="eastAsia" w:cs="Times New Roman" w:asciiTheme="majorEastAsia" w:hAnsiTheme="majorEastAsia" w:eastAsiaTheme="majorEastAsia"/>
          <w:color w:val="auto"/>
          <w:sz w:val="24"/>
          <w:szCs w:val="24"/>
          <w:highlight w:val="none"/>
        </w:rPr>
        <w:t>企业名称（加盖CA电子公章）：</w:t>
      </w:r>
    </w:p>
    <w:p w14:paraId="12E466B1">
      <w:pPr>
        <w:spacing w:line="360" w:lineRule="auto"/>
        <w:ind w:right="480" w:firstLine="6300"/>
        <w:rPr>
          <w:rFonts w:cs="Times New Roman" w:asciiTheme="majorEastAsia" w:hAnsiTheme="majorEastAsia" w:eastAsiaTheme="majorEastAsia"/>
          <w:color w:val="auto"/>
          <w:sz w:val="24"/>
          <w:szCs w:val="24"/>
          <w:highlight w:val="none"/>
        </w:rPr>
      </w:pPr>
      <w:r>
        <w:rPr>
          <w:rFonts w:hint="eastAsia" w:cs="Times New Roman" w:asciiTheme="majorEastAsia" w:hAnsiTheme="majorEastAsia" w:eastAsiaTheme="majorEastAsia"/>
          <w:color w:val="auto"/>
          <w:sz w:val="24"/>
          <w:szCs w:val="24"/>
          <w:highlight w:val="none"/>
        </w:rPr>
        <w:t>日  期：</w:t>
      </w:r>
    </w:p>
    <w:p w14:paraId="0F6FBDF9">
      <w:pPr>
        <w:spacing w:line="360" w:lineRule="auto"/>
        <w:rPr>
          <w:rFonts w:cs="Times New Roman" w:asciiTheme="majorEastAsia" w:hAnsiTheme="majorEastAsia" w:eastAsiaTheme="majorEastAsia"/>
          <w:color w:val="auto"/>
          <w:sz w:val="24"/>
          <w:szCs w:val="24"/>
          <w:highlight w:val="none"/>
        </w:rPr>
      </w:pPr>
    </w:p>
    <w:p w14:paraId="5F804F26">
      <w:pPr>
        <w:spacing w:line="360" w:lineRule="auto"/>
        <w:ind w:firstLine="560"/>
        <w:rPr>
          <w:rFonts w:cs="Times New Roman" w:asciiTheme="majorEastAsia" w:hAnsiTheme="majorEastAsia" w:eastAsiaTheme="majorEastAsia"/>
          <w:color w:val="auto"/>
          <w:sz w:val="24"/>
          <w:szCs w:val="24"/>
          <w:highlight w:val="none"/>
        </w:rPr>
      </w:pPr>
      <w:r>
        <w:rPr>
          <w:rFonts w:hint="eastAsia" w:cs="Times New Roman" w:asciiTheme="majorEastAsia" w:hAnsiTheme="majorEastAsia" w:eastAsiaTheme="majorEastAsia"/>
          <w:color w:val="auto"/>
          <w:sz w:val="24"/>
          <w:szCs w:val="24"/>
          <w:highlight w:val="none"/>
        </w:rPr>
        <w:t>备注：</w:t>
      </w:r>
    </w:p>
    <w:p w14:paraId="4762E20A">
      <w:pPr>
        <w:spacing w:line="360" w:lineRule="auto"/>
        <w:ind w:firstLine="560"/>
        <w:rPr>
          <w:rFonts w:cs="Times New Roman" w:asciiTheme="majorEastAsia" w:hAnsiTheme="majorEastAsia" w:eastAsiaTheme="majorEastAsia"/>
          <w:color w:val="auto"/>
          <w:sz w:val="24"/>
          <w:szCs w:val="24"/>
          <w:highlight w:val="none"/>
        </w:rPr>
      </w:pPr>
      <w:r>
        <w:rPr>
          <w:rFonts w:hint="eastAsia" w:cs="Times New Roman" w:asciiTheme="majorEastAsia" w:hAnsiTheme="majorEastAsia" w:eastAsiaTheme="majorEastAsia"/>
          <w:color w:val="auto"/>
          <w:sz w:val="24"/>
          <w:szCs w:val="24"/>
          <w:highlight w:val="none"/>
        </w:rPr>
        <w:t>1.从业人员、营业收入、资产总额填报上一年度数据，无上一年度数据的新成立企业可不填报。</w:t>
      </w:r>
    </w:p>
    <w:p w14:paraId="2E832621">
      <w:pPr>
        <w:spacing w:line="360" w:lineRule="auto"/>
        <w:ind w:firstLine="562"/>
        <w:rPr>
          <w:rFonts w:cs="Times New Roman" w:asciiTheme="majorEastAsia" w:hAnsiTheme="majorEastAsia" w:eastAsiaTheme="majorEastAsia"/>
          <w:b/>
          <w:color w:val="auto"/>
          <w:sz w:val="24"/>
          <w:szCs w:val="24"/>
          <w:highlight w:val="none"/>
        </w:rPr>
      </w:pPr>
      <w:r>
        <w:rPr>
          <w:rFonts w:hint="eastAsia" w:cs="Times New Roman" w:asciiTheme="majorEastAsia" w:hAnsiTheme="majorEastAsia" w:eastAsiaTheme="majorEastAsia"/>
          <w:b/>
          <w:color w:val="auto"/>
          <w:sz w:val="24"/>
          <w:szCs w:val="24"/>
          <w:highlight w:val="none"/>
        </w:rPr>
        <w:t>2.专门</w:t>
      </w:r>
      <w:r>
        <w:rPr>
          <w:rFonts w:cs="Times New Roman" w:asciiTheme="majorEastAsia" w:hAnsiTheme="majorEastAsia" w:eastAsiaTheme="majorEastAsia"/>
          <w:b/>
          <w:color w:val="auto"/>
          <w:sz w:val="24"/>
          <w:szCs w:val="24"/>
          <w:highlight w:val="none"/>
        </w:rPr>
        <w:t>面向中小微型企业</w:t>
      </w:r>
      <w:r>
        <w:rPr>
          <w:rFonts w:hint="eastAsia" w:cs="Times New Roman" w:asciiTheme="majorEastAsia" w:hAnsiTheme="majorEastAsia" w:eastAsiaTheme="majorEastAsia"/>
          <w:b/>
          <w:color w:val="auto"/>
          <w:sz w:val="24"/>
          <w:szCs w:val="24"/>
          <w:highlight w:val="none"/>
        </w:rPr>
        <w:t>采购</w:t>
      </w:r>
      <w:r>
        <w:rPr>
          <w:rFonts w:cs="Times New Roman" w:asciiTheme="majorEastAsia" w:hAnsiTheme="majorEastAsia" w:eastAsiaTheme="majorEastAsia"/>
          <w:b/>
          <w:color w:val="auto"/>
          <w:sz w:val="24"/>
          <w:szCs w:val="24"/>
          <w:highlight w:val="none"/>
        </w:rPr>
        <w:t>的项目，</w:t>
      </w:r>
      <w:r>
        <w:rPr>
          <w:rFonts w:hint="eastAsia" w:cs="Times New Roman" w:asciiTheme="majorEastAsia" w:hAnsiTheme="majorEastAsia" w:eastAsiaTheme="majorEastAsia"/>
          <w:b/>
          <w:color w:val="auto"/>
          <w:sz w:val="24"/>
          <w:szCs w:val="24"/>
          <w:highlight w:val="none"/>
        </w:rPr>
        <w:t>供应商如不提供此声明函，则</w:t>
      </w:r>
      <w:r>
        <w:rPr>
          <w:rFonts w:cs="Times New Roman" w:asciiTheme="majorEastAsia" w:hAnsiTheme="majorEastAsia" w:eastAsiaTheme="majorEastAsia"/>
          <w:b/>
          <w:color w:val="auto"/>
          <w:sz w:val="24"/>
          <w:szCs w:val="24"/>
          <w:highlight w:val="none"/>
        </w:rPr>
        <w:t>不能通过资格审查</w:t>
      </w:r>
      <w:r>
        <w:rPr>
          <w:rFonts w:hint="eastAsia" w:cs="Times New Roman" w:asciiTheme="majorEastAsia" w:hAnsiTheme="majorEastAsia" w:eastAsiaTheme="majorEastAsia"/>
          <w:b/>
          <w:color w:val="auto"/>
          <w:sz w:val="24"/>
          <w:szCs w:val="24"/>
          <w:highlight w:val="none"/>
        </w:rPr>
        <w:t>。</w:t>
      </w:r>
    </w:p>
    <w:p w14:paraId="69F9B16D">
      <w:pPr>
        <w:spacing w:line="360" w:lineRule="auto"/>
        <w:ind w:firstLine="360" w:firstLineChars="150"/>
        <w:rPr>
          <w:rFonts w:cs="Times New Roman" w:asciiTheme="majorEastAsia" w:hAnsiTheme="majorEastAsia" w:eastAsiaTheme="majorEastAsia"/>
          <w:color w:val="auto"/>
          <w:sz w:val="24"/>
          <w:szCs w:val="24"/>
          <w:highlight w:val="none"/>
        </w:rPr>
      </w:pPr>
      <w:r>
        <w:rPr>
          <w:rFonts w:hint="eastAsia" w:cs="Times New Roman" w:asciiTheme="majorEastAsia" w:hAnsiTheme="majorEastAsia" w:eastAsiaTheme="majorEastAsia"/>
          <w:color w:val="auto"/>
          <w:sz w:val="24"/>
          <w:szCs w:val="24"/>
          <w:highlight w:val="none"/>
        </w:rPr>
        <w:t>3.供应商</w:t>
      </w:r>
      <w:r>
        <w:rPr>
          <w:rFonts w:cs="Times New Roman" w:asciiTheme="majorEastAsia" w:hAnsiTheme="majorEastAsia" w:eastAsiaTheme="majorEastAsia"/>
          <w:color w:val="auto"/>
          <w:sz w:val="24"/>
          <w:szCs w:val="24"/>
          <w:highlight w:val="none"/>
        </w:rPr>
        <w:t>自行勾选</w:t>
      </w:r>
      <w:r>
        <w:rPr>
          <w:rFonts w:hint="eastAsia" w:cs="Times New Roman" w:asciiTheme="majorEastAsia" w:hAnsiTheme="majorEastAsia" w:eastAsiaTheme="majorEastAsia"/>
          <w:color w:val="auto"/>
          <w:sz w:val="24"/>
          <w:szCs w:val="24"/>
          <w:highlight w:val="none"/>
        </w:rPr>
        <w:t>制造商</w:t>
      </w:r>
      <w:r>
        <w:rPr>
          <w:rFonts w:cs="Times New Roman" w:asciiTheme="majorEastAsia" w:hAnsiTheme="majorEastAsia" w:eastAsiaTheme="majorEastAsia"/>
          <w:color w:val="auto"/>
          <w:sz w:val="24"/>
          <w:szCs w:val="24"/>
          <w:highlight w:val="none"/>
        </w:rPr>
        <w:t>的企业</w:t>
      </w:r>
      <w:r>
        <w:rPr>
          <w:rFonts w:hint="eastAsia" w:cs="Times New Roman" w:asciiTheme="majorEastAsia" w:hAnsiTheme="majorEastAsia" w:eastAsiaTheme="majorEastAsia"/>
          <w:color w:val="auto"/>
          <w:sz w:val="24"/>
          <w:szCs w:val="24"/>
          <w:highlight w:val="none"/>
        </w:rPr>
        <w:t>规模类型</w:t>
      </w:r>
      <w:r>
        <w:rPr>
          <w:rFonts w:cs="Times New Roman" w:asciiTheme="majorEastAsia" w:hAnsiTheme="majorEastAsia" w:eastAsiaTheme="majorEastAsia"/>
          <w:color w:val="auto"/>
          <w:sz w:val="24"/>
          <w:szCs w:val="24"/>
          <w:highlight w:val="none"/>
        </w:rPr>
        <w:t>。</w:t>
      </w:r>
    </w:p>
    <w:p w14:paraId="5076BF26">
      <w:pPr>
        <w:widowControl/>
        <w:ind w:firstLine="480"/>
        <w:jc w:val="left"/>
        <w:rPr>
          <w:rFonts w:ascii="宋体" w:hAnsi="宋体" w:eastAsia="宋体" w:cs="Times New Roman"/>
          <w:b/>
          <w:color w:val="auto"/>
          <w:sz w:val="24"/>
          <w:szCs w:val="24"/>
          <w:highlight w:val="none"/>
        </w:rPr>
      </w:pPr>
    </w:p>
    <w:p w14:paraId="7EDDA505">
      <w:pPr>
        <w:widowControl/>
        <w:ind w:firstLine="480"/>
        <w:jc w:val="left"/>
        <w:rPr>
          <w:rFonts w:ascii="宋体" w:hAnsi="宋体" w:eastAsia="宋体" w:cs="Times New Roman"/>
          <w:b/>
          <w:color w:val="auto"/>
          <w:sz w:val="24"/>
          <w:szCs w:val="24"/>
          <w:highlight w:val="none"/>
        </w:rPr>
      </w:pPr>
    </w:p>
    <w:p w14:paraId="29F8AF15">
      <w:pPr>
        <w:widowControl/>
        <w:ind w:firstLine="480"/>
        <w:jc w:val="left"/>
        <w:rPr>
          <w:rFonts w:ascii="宋体" w:hAnsi="宋体" w:eastAsia="宋体" w:cs="Times New Roman"/>
          <w:b/>
          <w:color w:val="auto"/>
          <w:sz w:val="24"/>
          <w:szCs w:val="24"/>
          <w:highlight w:val="none"/>
        </w:rPr>
      </w:pPr>
    </w:p>
    <w:p w14:paraId="791207BB">
      <w:pPr>
        <w:pStyle w:val="21"/>
        <w:rPr>
          <w:color w:val="auto"/>
          <w:highlight w:val="none"/>
        </w:rPr>
      </w:pPr>
    </w:p>
    <w:p w14:paraId="1062178C">
      <w:pPr>
        <w:widowControl/>
        <w:ind w:firstLine="480"/>
        <w:jc w:val="center"/>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（二）残疾人福利性单位声明函</w:t>
      </w:r>
    </w:p>
    <w:p w14:paraId="137E8DF5">
      <w:pPr>
        <w:spacing w:line="588" w:lineRule="exact"/>
        <w:ind w:firstLine="480" w:firstLineChars="200"/>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p>
    <w:p w14:paraId="7DCAA570">
      <w:pPr>
        <w:spacing w:line="588" w:lineRule="exact"/>
        <w:ind w:firstLine="480" w:firstLineChars="200"/>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本单位对上述声明的真实性负责。如有虚假，将依法承担相应责任。</w:t>
      </w:r>
    </w:p>
    <w:p w14:paraId="2736B0FA">
      <w:pPr>
        <w:spacing w:line="588" w:lineRule="exact"/>
        <w:ind w:firstLine="480" w:firstLineChars="200"/>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（备注：1、供应商如不提供此声明函，价格将不做相应扣除。2、成交人为残疾人福利单位的，此声明函将随成交结果同时公告，接受社会监督）</w:t>
      </w:r>
    </w:p>
    <w:p w14:paraId="4C6527BB">
      <w:pPr>
        <w:spacing w:line="588" w:lineRule="exact"/>
        <w:ind w:firstLine="624" w:firstLineChars="200"/>
        <w:rPr>
          <w:rFonts w:ascii="方正仿宋_GB2312" w:hAnsi="Times New Roman" w:eastAsia="方正仿宋_GB2312" w:cs="Times New Roman"/>
          <w:color w:val="auto"/>
          <w:spacing w:val="6"/>
          <w:sz w:val="30"/>
          <w:szCs w:val="30"/>
          <w:highlight w:val="none"/>
        </w:rPr>
      </w:pPr>
    </w:p>
    <w:p w14:paraId="03FF53D4">
      <w:pPr>
        <w:tabs>
          <w:tab w:val="left" w:pos="4860"/>
        </w:tabs>
        <w:spacing w:line="588" w:lineRule="exact"/>
        <w:ind w:right="105" w:firstLine="480" w:firstLineChars="200"/>
        <w:jc w:val="center"/>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          供应商全称（加盖CA电子公章）：</w:t>
      </w:r>
    </w:p>
    <w:p w14:paraId="2AA9675C">
      <w:pPr>
        <w:tabs>
          <w:tab w:val="left" w:pos="4860"/>
        </w:tabs>
        <w:spacing w:line="588" w:lineRule="exact"/>
        <w:ind w:right="105" w:firstLine="480" w:firstLineChars="200"/>
        <w:jc w:val="center"/>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        日  期：</w:t>
      </w:r>
    </w:p>
    <w:p w14:paraId="5832DCFA">
      <w:pPr>
        <w:snapToGrid w:val="0"/>
        <w:spacing w:line="420" w:lineRule="exact"/>
        <w:jc w:val="center"/>
        <w:outlineLvl w:val="3"/>
        <w:rPr>
          <w:rFonts w:ascii="Calibri" w:hAnsi="Calibri" w:eastAsia="宋体" w:cs="Calibri"/>
          <w:b/>
          <w:bCs/>
          <w:color w:val="auto"/>
          <w:sz w:val="32"/>
          <w:szCs w:val="32"/>
          <w:highlight w:val="none"/>
        </w:rPr>
      </w:pPr>
      <w:r>
        <w:rPr>
          <w:rFonts w:hint="eastAsia" w:ascii="宋体" w:hAnsi="宋体" w:eastAsia="宋体" w:cs="Times New Roman"/>
          <w:b/>
          <w:color w:val="auto"/>
          <w:sz w:val="24"/>
          <w:szCs w:val="24"/>
          <w:highlight w:val="none"/>
        </w:rPr>
        <w:br w:type="page"/>
      </w:r>
      <w:r>
        <w:rPr>
          <w:rFonts w:hint="eastAsia" w:ascii="Calibri" w:hAnsi="Calibri" w:eastAsia="宋体" w:cs="宋体"/>
          <w:b/>
          <w:bCs/>
          <w:color w:val="auto"/>
          <w:sz w:val="32"/>
          <w:szCs w:val="32"/>
          <w:highlight w:val="none"/>
        </w:rPr>
        <w:t>（三）监狱和戒毒企业证明材料</w:t>
      </w:r>
    </w:p>
    <w:p w14:paraId="46B71940">
      <w:pPr>
        <w:snapToGrid w:val="0"/>
        <w:spacing w:line="420" w:lineRule="exact"/>
        <w:ind w:firstLine="495" w:firstLineChars="177"/>
        <w:rPr>
          <w:rFonts w:ascii="宋体" w:hAnsi="宋体" w:eastAsia="宋体" w:cs="宋体"/>
          <w:color w:val="auto"/>
          <w:sz w:val="28"/>
          <w:szCs w:val="28"/>
          <w:highlight w:val="none"/>
        </w:rPr>
      </w:pPr>
    </w:p>
    <w:p w14:paraId="403CC893">
      <w:pPr>
        <w:snapToGrid w:val="0"/>
        <w:spacing w:line="420" w:lineRule="exact"/>
        <w:ind w:firstLine="498" w:firstLineChars="177"/>
        <w:jc w:val="cente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（格式自拟）</w:t>
      </w:r>
    </w:p>
    <w:p w14:paraId="19A6BC58">
      <w:pPr>
        <w:snapToGrid w:val="0"/>
        <w:spacing w:line="420" w:lineRule="exact"/>
        <w:ind w:firstLine="495" w:firstLineChars="177"/>
        <w:rPr>
          <w:rFonts w:ascii="宋体" w:hAnsi="宋体" w:eastAsia="宋体" w:cs="宋体"/>
          <w:color w:val="auto"/>
          <w:sz w:val="28"/>
          <w:szCs w:val="28"/>
          <w:highlight w:val="none"/>
        </w:rPr>
      </w:pPr>
    </w:p>
    <w:p w14:paraId="47F8DE05">
      <w:pPr>
        <w:snapToGrid w:val="0"/>
        <w:spacing w:line="360" w:lineRule="auto"/>
        <w:ind w:firstLine="566" w:firstLineChars="236"/>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50BAE0E5">
      <w:pPr>
        <w:spacing w:after="120" w:line="360" w:lineRule="auto"/>
        <w:ind w:firstLine="240" w:firstLineChars="100"/>
        <w:rPr>
          <w:rFonts w:ascii="宋体" w:hAnsi="宋体" w:eastAsia="宋体" w:cs="仿宋_GB2312"/>
          <w:color w:val="auto"/>
          <w:sz w:val="24"/>
          <w:szCs w:val="24"/>
          <w:highlight w:val="none"/>
        </w:rPr>
      </w:pPr>
    </w:p>
    <w:p w14:paraId="11F039A0">
      <w:pPr>
        <w:widowControl/>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br w:type="page"/>
      </w:r>
    </w:p>
    <w:p w14:paraId="1A13CC45">
      <w:pPr>
        <w:spacing w:line="360" w:lineRule="auto"/>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附件10</w:t>
      </w:r>
    </w:p>
    <w:p w14:paraId="6ECC3C52">
      <w:pPr>
        <w:spacing w:line="360" w:lineRule="auto"/>
        <w:ind w:left="843" w:hanging="843"/>
        <w:jc w:val="center"/>
        <w:rPr>
          <w:rFonts w:ascii="Calibri" w:hAnsi="Calibri" w:eastAsia="宋体" w:cs="Times New Roman"/>
          <w:b/>
          <w:color w:val="auto"/>
          <w:sz w:val="30"/>
          <w:szCs w:val="30"/>
          <w:highlight w:val="none"/>
        </w:rPr>
      </w:pPr>
      <w:r>
        <w:rPr>
          <w:rFonts w:hint="eastAsia" w:ascii="Calibri" w:hAnsi="Calibri" w:eastAsia="宋体" w:cs="Times New Roman"/>
          <w:b/>
          <w:color w:val="auto"/>
          <w:sz w:val="30"/>
          <w:szCs w:val="30"/>
          <w:highlight w:val="none"/>
        </w:rPr>
        <w:t>投标及履约承诺书</w:t>
      </w:r>
    </w:p>
    <w:p w14:paraId="3ABCD749">
      <w:pPr>
        <w:spacing w:line="360" w:lineRule="auto"/>
        <w:jc w:val="left"/>
        <w:rPr>
          <w:rFonts w:ascii="Calibri" w:hAnsi="Calibri" w:eastAsia="宋体" w:cs="Times New Roman"/>
          <w:color w:val="auto"/>
          <w:sz w:val="24"/>
          <w:highlight w:val="none"/>
          <w:u w:val="single"/>
        </w:rPr>
      </w:pPr>
    </w:p>
    <w:p w14:paraId="47466EBE">
      <w:pPr>
        <w:spacing w:line="360" w:lineRule="auto"/>
        <w:jc w:val="left"/>
        <w:rPr>
          <w:rFonts w:ascii="Calibri" w:hAnsi="Calibri" w:eastAsia="宋体" w:cs="Times New Roman"/>
          <w:b/>
          <w:bCs/>
          <w:color w:val="auto"/>
          <w:sz w:val="24"/>
          <w:highlight w:val="none"/>
        </w:rPr>
      </w:pPr>
      <w:r>
        <w:rPr>
          <w:rFonts w:hint="eastAsia" w:ascii="Calibri" w:hAnsi="Calibri" w:eastAsia="宋体" w:cs="Times New Roman"/>
          <w:color w:val="auto"/>
          <w:sz w:val="24"/>
          <w:highlight w:val="none"/>
          <w:u w:val="single"/>
        </w:rPr>
        <w:t>南通市市政设施管理处</w:t>
      </w:r>
      <w:r>
        <w:rPr>
          <w:rFonts w:ascii="Calibri" w:hAnsi="Calibri" w:eastAsia="宋体" w:cs="Times New Roman"/>
          <w:color w:val="auto"/>
          <w:sz w:val="24"/>
          <w:highlight w:val="none"/>
        </w:rPr>
        <w:t>：</w:t>
      </w:r>
    </w:p>
    <w:p w14:paraId="7C1FF33C">
      <w:pPr>
        <w:spacing w:line="360" w:lineRule="auto"/>
        <w:ind w:firstLine="480"/>
        <w:jc w:val="left"/>
        <w:rPr>
          <w:rFonts w:ascii="Calibri" w:hAnsi="Calibri" w:eastAsia="宋体" w:cs="Times New Roman"/>
          <w:color w:val="auto"/>
          <w:sz w:val="24"/>
          <w:highlight w:val="none"/>
        </w:rPr>
      </w:pPr>
      <w:r>
        <w:rPr>
          <w:rFonts w:ascii="Calibri" w:hAnsi="Calibri" w:eastAsia="宋体" w:cs="Times New Roman"/>
          <w:color w:val="auto"/>
          <w:sz w:val="24"/>
          <w:highlight w:val="none"/>
        </w:rPr>
        <w:t>我单位（供应商名称）郑重</w:t>
      </w:r>
      <w:r>
        <w:rPr>
          <w:rFonts w:hint="eastAsia" w:ascii="Calibri" w:hAnsi="Calibri" w:eastAsia="宋体" w:cs="Times New Roman"/>
          <w:color w:val="auto"/>
          <w:sz w:val="24"/>
          <w:highlight w:val="none"/>
        </w:rPr>
        <w:t>承诺</w:t>
      </w:r>
      <w:r>
        <w:rPr>
          <w:rFonts w:ascii="Calibri" w:hAnsi="Calibri" w:eastAsia="宋体" w:cs="Times New Roman"/>
          <w:color w:val="auto"/>
          <w:sz w:val="24"/>
          <w:highlight w:val="none"/>
        </w:rPr>
        <w:t>：</w:t>
      </w:r>
    </w:p>
    <w:p w14:paraId="668DEFEE">
      <w:pPr>
        <w:spacing w:line="360" w:lineRule="auto"/>
        <w:ind w:firstLine="48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rPr>
        <w:t>1、在本次采购活动中，不存在《中华人民共和国政府采购法实施条例》 第七十二条、第七十四条 阐述的相关情形。</w:t>
      </w:r>
      <w:r>
        <w:rPr>
          <w:rFonts w:ascii="Calibri" w:hAnsi="Calibri" w:eastAsia="宋体" w:cs="Times New Roman"/>
          <w:color w:val="auto"/>
          <w:sz w:val="24"/>
          <w:highlight w:val="none"/>
        </w:rPr>
        <w:t>若与</w:t>
      </w:r>
      <w:r>
        <w:rPr>
          <w:rFonts w:hint="eastAsia" w:ascii="Calibri" w:hAnsi="Calibri" w:eastAsia="宋体" w:cs="Times New Roman"/>
          <w:color w:val="auto"/>
          <w:sz w:val="24"/>
          <w:highlight w:val="none"/>
        </w:rPr>
        <w:t>实际</w:t>
      </w:r>
      <w:r>
        <w:rPr>
          <w:rFonts w:ascii="Calibri" w:hAnsi="Calibri" w:eastAsia="宋体" w:cs="Times New Roman"/>
          <w:color w:val="auto"/>
          <w:sz w:val="24"/>
          <w:highlight w:val="none"/>
        </w:rPr>
        <w:t>情况不符，</w:t>
      </w:r>
      <w:r>
        <w:rPr>
          <w:rFonts w:hint="eastAsia" w:ascii="Calibri" w:hAnsi="Calibri" w:eastAsia="宋体" w:cs="Times New Roman"/>
          <w:color w:val="auto"/>
          <w:sz w:val="24"/>
          <w:highlight w:val="none"/>
        </w:rPr>
        <w:t>我单位</w:t>
      </w:r>
      <w:r>
        <w:rPr>
          <w:rFonts w:ascii="Calibri" w:hAnsi="Calibri" w:eastAsia="宋体" w:cs="Times New Roman"/>
          <w:color w:val="auto"/>
          <w:sz w:val="24"/>
          <w:highlight w:val="none"/>
        </w:rPr>
        <w:t>愿意承担由此而产生的一切后果</w:t>
      </w:r>
      <w:r>
        <w:rPr>
          <w:rFonts w:hint="eastAsia" w:ascii="Calibri" w:hAnsi="Calibri" w:eastAsia="宋体" w:cs="Times New Roman"/>
          <w:color w:val="auto"/>
          <w:sz w:val="24"/>
          <w:highlight w:val="none"/>
        </w:rPr>
        <w:t>；</w:t>
      </w:r>
    </w:p>
    <w:p w14:paraId="6A5D6792">
      <w:pPr>
        <w:spacing w:line="360" w:lineRule="auto"/>
        <w:ind w:firstLine="480"/>
        <w:jc w:val="left"/>
        <w:rPr>
          <w:rFonts w:ascii="Calibri" w:hAnsi="Calibri" w:eastAsia="宋体" w:cs="Times New Roman"/>
          <w:color w:val="auto"/>
          <w:sz w:val="24"/>
          <w:highlight w:val="none"/>
        </w:rPr>
      </w:pPr>
      <w:r>
        <w:rPr>
          <w:rFonts w:hint="eastAsia" w:ascii="宋体" w:hAnsi="宋体" w:eastAsia="宋体" w:cs="Times New Roman"/>
          <w:color w:val="auto"/>
          <w:sz w:val="24"/>
          <w:highlight w:val="none"/>
        </w:rPr>
        <w:t>2、我单位在成交后充分响应磋商文件“项目需求”中各项要求，保质、保量、按时向采购人提供优质服务；</w:t>
      </w:r>
    </w:p>
    <w:p w14:paraId="38BD3219">
      <w:pPr>
        <w:tabs>
          <w:tab w:val="left" w:pos="2020"/>
          <w:tab w:val="center" w:pos="4535"/>
        </w:tabs>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3、在合同期内如因自身原因不能履行投标承诺，采购人为保证工作进度可立即通知第三方供应。如因不可抗拒力导致无法履约的，我单位将以书面形式向采购人作出说明，否则作违约处理；</w:t>
      </w:r>
    </w:p>
    <w:p w14:paraId="28F2333F">
      <w:pPr>
        <w:tabs>
          <w:tab w:val="left" w:pos="2020"/>
          <w:tab w:val="center" w:pos="4535"/>
        </w:tabs>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4、在合同期内无条件配合采购人在数量、质量、服务等方面对我单位进行的各项检查、抽查工作，并承担由此产生的费用。如在检查过程中发现不符合的情况，我单位接受相应处罚，并无条件承担由此造成的一切损失及一切后果。</w:t>
      </w:r>
    </w:p>
    <w:p w14:paraId="7ADC0106">
      <w:pPr>
        <w:tabs>
          <w:tab w:val="left" w:pos="2020"/>
          <w:tab w:val="center" w:pos="4535"/>
        </w:tabs>
        <w:spacing w:line="360" w:lineRule="auto"/>
        <w:rPr>
          <w:rFonts w:ascii="宋体" w:hAnsi="宋体" w:eastAsia="宋体" w:cs="宋体"/>
          <w:color w:val="auto"/>
          <w:sz w:val="24"/>
          <w:highlight w:val="none"/>
        </w:rPr>
      </w:pPr>
    </w:p>
    <w:p w14:paraId="5438C76C">
      <w:pPr>
        <w:tabs>
          <w:tab w:val="left" w:pos="2020"/>
          <w:tab w:val="center" w:pos="4535"/>
        </w:tabs>
        <w:spacing w:line="360" w:lineRule="auto"/>
        <w:ind w:firstLine="240"/>
        <w:rPr>
          <w:rFonts w:ascii="Calibri" w:hAnsi="Calibri" w:eastAsia="宋体" w:cs="Times New Roman"/>
          <w:color w:val="auto"/>
          <w:sz w:val="24"/>
          <w:highlight w:val="none"/>
        </w:rPr>
      </w:pPr>
    </w:p>
    <w:p w14:paraId="6CEAA67C">
      <w:pPr>
        <w:spacing w:line="360" w:lineRule="auto"/>
        <w:ind w:firstLine="2289"/>
        <w:jc w:val="right"/>
        <w:rPr>
          <w:rFonts w:ascii="Calibri" w:hAnsi="Calibri" w:eastAsia="宋体" w:cs="Times New Roman"/>
          <w:b/>
          <w:color w:val="auto"/>
          <w:sz w:val="24"/>
          <w:highlight w:val="none"/>
        </w:rPr>
      </w:pPr>
    </w:p>
    <w:p w14:paraId="0D915347">
      <w:pPr>
        <w:spacing w:line="360" w:lineRule="auto"/>
        <w:ind w:firstLine="3480"/>
        <w:jc w:val="right"/>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承诺人</w:t>
      </w:r>
      <w:r>
        <w:rPr>
          <w:rFonts w:ascii="Calibri" w:hAnsi="Calibri" w:eastAsia="宋体" w:cs="Times New Roman"/>
          <w:color w:val="auto"/>
          <w:sz w:val="24"/>
          <w:highlight w:val="none"/>
        </w:rPr>
        <w:t>：（公章）</w:t>
      </w:r>
    </w:p>
    <w:p w14:paraId="2DEAC468">
      <w:pPr>
        <w:tabs>
          <w:tab w:val="left" w:pos="2020"/>
          <w:tab w:val="center" w:pos="4535"/>
        </w:tabs>
        <w:spacing w:line="360" w:lineRule="auto"/>
        <w:ind w:firstLine="240"/>
        <w:jc w:val="right"/>
        <w:rPr>
          <w:rFonts w:ascii="宋体" w:hAnsi="宋体" w:eastAsia="宋体" w:cs="宋体"/>
          <w:color w:val="auto"/>
          <w:sz w:val="24"/>
          <w:highlight w:val="none"/>
        </w:rPr>
      </w:pPr>
      <w:r>
        <w:rPr>
          <w:rFonts w:hint="eastAsia" w:ascii="宋体" w:hAnsi="宋体" w:eastAsia="宋体" w:cs="宋体"/>
          <w:color w:val="auto"/>
          <w:sz w:val="24"/>
          <w:highlight w:val="none"/>
        </w:rPr>
        <w:t>法定代表人：（签字或盖章）</w:t>
      </w:r>
    </w:p>
    <w:p w14:paraId="01DBC503">
      <w:pPr>
        <w:widowControl/>
        <w:jc w:val="left"/>
        <w:rPr>
          <w:rFonts w:ascii="宋体" w:hAnsi="宋体" w:eastAsia="宋体" w:cs="Times New Roman"/>
          <w:b/>
          <w:color w:val="auto"/>
          <w:sz w:val="24"/>
          <w:szCs w:val="24"/>
          <w:highlight w:val="none"/>
        </w:rPr>
      </w:pPr>
    </w:p>
    <w:p w14:paraId="7860DE78">
      <w:pPr>
        <w:widowControl/>
        <w:jc w:val="lef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br w:type="page"/>
      </w:r>
    </w:p>
    <w:p w14:paraId="7107D099">
      <w:pPr>
        <w:keepNext/>
        <w:keepLines w:val="0"/>
        <w:pageBreakBefore/>
        <w:widowControl w:val="0"/>
        <w:spacing w:line="340" w:lineRule="exact"/>
        <w:rPr>
          <w:rFonts w:hint="eastAsia" w:ascii="宋体" w:hAnsi="宋体" w:eastAsia="宋体" w:cs="宋体"/>
          <w:bCs/>
          <w:color w:val="auto"/>
          <w:sz w:val="24"/>
          <w:highlight w:val="none"/>
        </w:rPr>
      </w:pPr>
      <w:r>
        <w:rPr>
          <w:rFonts w:hint="eastAsia" w:ascii="宋体" w:hAnsi="宋体" w:eastAsia="宋体" w:cs="Times New Roman"/>
          <w:b/>
          <w:color w:val="auto"/>
          <w:sz w:val="30"/>
          <w:szCs w:val="30"/>
          <w:highlight w:val="none"/>
        </w:rPr>
        <w:t>附件11</w:t>
      </w:r>
    </w:p>
    <w:p w14:paraId="34D3AF75">
      <w:pPr>
        <w:pStyle w:val="99"/>
        <w:spacing w:after="0"/>
        <w:rPr>
          <w:rFonts w:hint="eastAsia" w:ascii="宋体" w:hAnsi="宋体" w:eastAsia="宋体" w:cs="宋体"/>
          <w:color w:val="auto"/>
          <w:highlight w:val="none"/>
        </w:rPr>
      </w:pPr>
    </w:p>
    <w:p w14:paraId="3B4F49A0">
      <w:pPr>
        <w:spacing w:line="360" w:lineRule="auto"/>
        <w:ind w:left="843" w:hanging="843"/>
        <w:jc w:val="center"/>
        <w:rPr>
          <w:rFonts w:hint="eastAsia" w:ascii="Calibri" w:hAnsi="Calibri" w:eastAsia="宋体" w:cs="Times New Roman"/>
          <w:b/>
          <w:color w:val="auto"/>
          <w:sz w:val="30"/>
          <w:szCs w:val="30"/>
          <w:highlight w:val="none"/>
        </w:rPr>
      </w:pPr>
      <w:r>
        <w:rPr>
          <w:rFonts w:hint="eastAsia" w:ascii="Calibri" w:hAnsi="Calibri" w:eastAsia="宋体" w:cs="Times New Roman"/>
          <w:b/>
          <w:color w:val="auto"/>
          <w:sz w:val="30"/>
          <w:szCs w:val="30"/>
          <w:highlight w:val="none"/>
        </w:rPr>
        <w:t>投标</w:t>
      </w:r>
      <w:r>
        <w:rPr>
          <w:rFonts w:hint="eastAsia" w:ascii="Calibri" w:hAnsi="Calibri" w:eastAsia="宋体" w:cs="Times New Roman"/>
          <w:b/>
          <w:color w:val="auto"/>
          <w:sz w:val="30"/>
          <w:szCs w:val="30"/>
          <w:highlight w:val="none"/>
          <w:lang w:val="en-US" w:eastAsia="zh-CN"/>
        </w:rPr>
        <w:t>供应商</w:t>
      </w:r>
      <w:r>
        <w:rPr>
          <w:rFonts w:hint="eastAsia" w:ascii="Calibri" w:hAnsi="Calibri" w:eastAsia="宋体" w:cs="Times New Roman"/>
          <w:b/>
          <w:color w:val="auto"/>
          <w:sz w:val="30"/>
          <w:szCs w:val="30"/>
          <w:highlight w:val="none"/>
        </w:rPr>
        <w:t>与其他单位存在控股、管理关系情况表</w:t>
      </w:r>
    </w:p>
    <w:p w14:paraId="3E9584E6">
      <w:pPr>
        <w:spacing w:line="360" w:lineRule="auto"/>
        <w:ind w:firstLine="600"/>
        <w:jc w:val="center"/>
        <w:rPr>
          <w:rFonts w:hint="eastAsia" w:ascii="宋体" w:hAnsi="宋体" w:eastAsia="宋体" w:cs="宋体"/>
          <w:b/>
          <w:color w:val="auto"/>
          <w:sz w:val="24"/>
          <w:highlight w:val="none"/>
        </w:rPr>
      </w:pPr>
    </w:p>
    <w:tbl>
      <w:tblPr>
        <w:tblStyle w:val="23"/>
        <w:tblW w:w="9155" w:type="dxa"/>
        <w:jc w:val="center"/>
        <w:tblLayout w:type="fixed"/>
        <w:tblCellMar>
          <w:top w:w="0" w:type="dxa"/>
          <w:left w:w="108" w:type="dxa"/>
          <w:bottom w:w="0" w:type="dxa"/>
          <w:right w:w="108" w:type="dxa"/>
        </w:tblCellMar>
      </w:tblPr>
      <w:tblGrid>
        <w:gridCol w:w="5245"/>
        <w:gridCol w:w="3910"/>
      </w:tblGrid>
      <w:tr w14:paraId="1488D921">
        <w:tblPrEx>
          <w:tblCellMar>
            <w:top w:w="0" w:type="dxa"/>
            <w:left w:w="108" w:type="dxa"/>
            <w:bottom w:w="0" w:type="dxa"/>
            <w:right w:w="108" w:type="dxa"/>
          </w:tblCellMar>
        </w:tblPrEx>
        <w:trPr>
          <w:trHeight w:val="637" w:hRule="atLeast"/>
          <w:jc w:val="center"/>
        </w:trPr>
        <w:tc>
          <w:tcPr>
            <w:tcW w:w="5245" w:type="dxa"/>
            <w:tcBorders>
              <w:top w:val="single" w:color="000000" w:sz="4" w:space="0"/>
              <w:left w:val="single" w:color="000000" w:sz="4" w:space="0"/>
              <w:bottom w:val="single" w:color="000000" w:sz="4" w:space="0"/>
              <w:right w:val="single" w:color="000000" w:sz="4" w:space="0"/>
            </w:tcBorders>
            <w:noWrap w:val="0"/>
            <w:vAlign w:val="center"/>
          </w:tcPr>
          <w:p w14:paraId="4FECD32D">
            <w:pPr>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rPr>
              <w:t>与投标供应商存在控股、管理关系的单位名称</w:t>
            </w:r>
          </w:p>
        </w:tc>
        <w:tc>
          <w:tcPr>
            <w:tcW w:w="3910" w:type="dxa"/>
            <w:tcBorders>
              <w:top w:val="single" w:color="000000" w:sz="4" w:space="0"/>
              <w:left w:val="nil"/>
              <w:bottom w:val="single" w:color="000000" w:sz="4" w:space="0"/>
              <w:right w:val="single" w:color="000000" w:sz="4" w:space="0"/>
            </w:tcBorders>
            <w:noWrap w:val="0"/>
            <w:vAlign w:val="center"/>
          </w:tcPr>
          <w:p w14:paraId="249A2D16">
            <w:pPr>
              <w:spacing w:line="360" w:lineRule="auto"/>
              <w:ind w:firstLine="600"/>
              <w:rPr>
                <w:rFonts w:hint="eastAsia" w:ascii="宋体" w:hAnsi="宋体" w:eastAsia="宋体" w:cs="宋体"/>
                <w:color w:val="auto"/>
                <w:sz w:val="24"/>
                <w:highlight w:val="none"/>
              </w:rPr>
            </w:pPr>
            <w:r>
              <w:rPr>
                <w:rFonts w:hint="eastAsia" w:ascii="宋体" w:hAnsi="宋体" w:eastAsia="宋体" w:cs="宋体"/>
                <w:color w:val="auto"/>
                <w:sz w:val="24"/>
                <w:highlight w:val="none"/>
              </w:rPr>
              <w:t>控股、管理关系情况说明</w:t>
            </w:r>
          </w:p>
        </w:tc>
      </w:tr>
      <w:tr w14:paraId="54965AF1">
        <w:tblPrEx>
          <w:tblCellMar>
            <w:top w:w="0" w:type="dxa"/>
            <w:left w:w="108" w:type="dxa"/>
            <w:bottom w:w="0" w:type="dxa"/>
            <w:right w:w="108" w:type="dxa"/>
          </w:tblCellMar>
        </w:tblPrEx>
        <w:trPr>
          <w:trHeight w:val="850" w:hRule="atLeast"/>
          <w:jc w:val="center"/>
        </w:trPr>
        <w:tc>
          <w:tcPr>
            <w:tcW w:w="5245" w:type="dxa"/>
            <w:tcBorders>
              <w:top w:val="single" w:color="000000" w:sz="4" w:space="0"/>
              <w:left w:val="single" w:color="000000" w:sz="4" w:space="0"/>
              <w:bottom w:val="single" w:color="000000" w:sz="4" w:space="0"/>
              <w:right w:val="single" w:color="000000" w:sz="4" w:space="0"/>
            </w:tcBorders>
            <w:noWrap w:val="0"/>
            <w:vAlign w:val="center"/>
          </w:tcPr>
          <w:p w14:paraId="4EE11973">
            <w:pPr>
              <w:spacing w:line="360" w:lineRule="auto"/>
              <w:ind w:firstLine="600"/>
              <w:rPr>
                <w:rFonts w:hint="eastAsia" w:ascii="宋体" w:hAnsi="宋体" w:eastAsia="宋体" w:cs="宋体"/>
                <w:color w:val="auto"/>
                <w:sz w:val="24"/>
                <w:highlight w:val="none"/>
              </w:rPr>
            </w:pPr>
          </w:p>
        </w:tc>
        <w:tc>
          <w:tcPr>
            <w:tcW w:w="3910" w:type="dxa"/>
            <w:tcBorders>
              <w:top w:val="single" w:color="000000" w:sz="4" w:space="0"/>
              <w:left w:val="nil"/>
              <w:bottom w:val="single" w:color="000000" w:sz="4" w:space="0"/>
              <w:right w:val="single" w:color="000000" w:sz="4" w:space="0"/>
            </w:tcBorders>
            <w:noWrap w:val="0"/>
            <w:vAlign w:val="center"/>
          </w:tcPr>
          <w:p w14:paraId="16ADB9CF">
            <w:pPr>
              <w:spacing w:line="360" w:lineRule="auto"/>
              <w:ind w:firstLine="600"/>
              <w:rPr>
                <w:rFonts w:hint="eastAsia" w:ascii="宋体" w:hAnsi="宋体" w:eastAsia="宋体" w:cs="宋体"/>
                <w:color w:val="auto"/>
                <w:sz w:val="24"/>
                <w:highlight w:val="none"/>
              </w:rPr>
            </w:pPr>
          </w:p>
        </w:tc>
      </w:tr>
      <w:tr w14:paraId="58E09C83">
        <w:tblPrEx>
          <w:tblCellMar>
            <w:top w:w="0" w:type="dxa"/>
            <w:left w:w="108" w:type="dxa"/>
            <w:bottom w:w="0" w:type="dxa"/>
            <w:right w:w="108" w:type="dxa"/>
          </w:tblCellMar>
        </w:tblPrEx>
        <w:trPr>
          <w:trHeight w:val="850" w:hRule="atLeast"/>
          <w:jc w:val="center"/>
        </w:trPr>
        <w:tc>
          <w:tcPr>
            <w:tcW w:w="5245" w:type="dxa"/>
            <w:tcBorders>
              <w:top w:val="single" w:color="000000" w:sz="4" w:space="0"/>
              <w:left w:val="single" w:color="000000" w:sz="4" w:space="0"/>
              <w:bottom w:val="single" w:color="000000" w:sz="4" w:space="0"/>
              <w:right w:val="single" w:color="000000" w:sz="4" w:space="0"/>
            </w:tcBorders>
            <w:noWrap w:val="0"/>
            <w:vAlign w:val="center"/>
          </w:tcPr>
          <w:p w14:paraId="65D338FD">
            <w:pPr>
              <w:spacing w:line="360" w:lineRule="auto"/>
              <w:ind w:firstLine="600"/>
              <w:rPr>
                <w:rFonts w:hint="eastAsia" w:ascii="宋体" w:hAnsi="宋体" w:eastAsia="宋体" w:cs="宋体"/>
                <w:color w:val="auto"/>
                <w:sz w:val="24"/>
                <w:highlight w:val="none"/>
              </w:rPr>
            </w:pPr>
          </w:p>
        </w:tc>
        <w:tc>
          <w:tcPr>
            <w:tcW w:w="3910" w:type="dxa"/>
            <w:tcBorders>
              <w:top w:val="single" w:color="000000" w:sz="4" w:space="0"/>
              <w:left w:val="nil"/>
              <w:bottom w:val="single" w:color="000000" w:sz="4" w:space="0"/>
              <w:right w:val="single" w:color="000000" w:sz="4" w:space="0"/>
            </w:tcBorders>
            <w:noWrap w:val="0"/>
            <w:vAlign w:val="center"/>
          </w:tcPr>
          <w:p w14:paraId="18251097">
            <w:pPr>
              <w:spacing w:line="360" w:lineRule="auto"/>
              <w:ind w:firstLine="600"/>
              <w:rPr>
                <w:rFonts w:hint="eastAsia" w:ascii="宋体" w:hAnsi="宋体" w:eastAsia="宋体" w:cs="宋体"/>
                <w:color w:val="auto"/>
                <w:sz w:val="24"/>
                <w:highlight w:val="none"/>
              </w:rPr>
            </w:pPr>
          </w:p>
        </w:tc>
      </w:tr>
      <w:tr w14:paraId="5C8C539A">
        <w:tblPrEx>
          <w:tblCellMar>
            <w:top w:w="0" w:type="dxa"/>
            <w:left w:w="108" w:type="dxa"/>
            <w:bottom w:w="0" w:type="dxa"/>
            <w:right w:w="108" w:type="dxa"/>
          </w:tblCellMar>
        </w:tblPrEx>
        <w:trPr>
          <w:trHeight w:val="850" w:hRule="atLeast"/>
          <w:jc w:val="center"/>
        </w:trPr>
        <w:tc>
          <w:tcPr>
            <w:tcW w:w="5245" w:type="dxa"/>
            <w:tcBorders>
              <w:top w:val="single" w:color="000000" w:sz="4" w:space="0"/>
              <w:left w:val="single" w:color="000000" w:sz="4" w:space="0"/>
              <w:bottom w:val="single" w:color="000000" w:sz="4" w:space="0"/>
              <w:right w:val="single" w:color="000000" w:sz="4" w:space="0"/>
            </w:tcBorders>
            <w:noWrap w:val="0"/>
            <w:vAlign w:val="center"/>
          </w:tcPr>
          <w:p w14:paraId="71EECB48">
            <w:pPr>
              <w:spacing w:line="360" w:lineRule="auto"/>
              <w:ind w:firstLine="600"/>
              <w:rPr>
                <w:rFonts w:hint="eastAsia" w:ascii="宋体" w:hAnsi="宋体" w:eastAsia="宋体" w:cs="宋体"/>
                <w:color w:val="auto"/>
                <w:sz w:val="24"/>
                <w:highlight w:val="none"/>
              </w:rPr>
            </w:pPr>
          </w:p>
        </w:tc>
        <w:tc>
          <w:tcPr>
            <w:tcW w:w="3910" w:type="dxa"/>
            <w:tcBorders>
              <w:top w:val="single" w:color="000000" w:sz="4" w:space="0"/>
              <w:left w:val="nil"/>
              <w:bottom w:val="single" w:color="000000" w:sz="4" w:space="0"/>
              <w:right w:val="single" w:color="000000" w:sz="4" w:space="0"/>
            </w:tcBorders>
            <w:noWrap w:val="0"/>
            <w:vAlign w:val="center"/>
          </w:tcPr>
          <w:p w14:paraId="65F8041D">
            <w:pPr>
              <w:spacing w:line="360" w:lineRule="auto"/>
              <w:ind w:firstLine="600"/>
              <w:rPr>
                <w:rFonts w:hint="eastAsia" w:ascii="宋体" w:hAnsi="宋体" w:eastAsia="宋体" w:cs="宋体"/>
                <w:color w:val="auto"/>
                <w:sz w:val="24"/>
                <w:highlight w:val="none"/>
              </w:rPr>
            </w:pPr>
          </w:p>
        </w:tc>
      </w:tr>
      <w:tr w14:paraId="786AE946">
        <w:tblPrEx>
          <w:tblCellMar>
            <w:top w:w="0" w:type="dxa"/>
            <w:left w:w="108" w:type="dxa"/>
            <w:bottom w:w="0" w:type="dxa"/>
            <w:right w:w="108" w:type="dxa"/>
          </w:tblCellMar>
        </w:tblPrEx>
        <w:trPr>
          <w:trHeight w:val="850" w:hRule="atLeast"/>
          <w:jc w:val="center"/>
        </w:trPr>
        <w:tc>
          <w:tcPr>
            <w:tcW w:w="5245" w:type="dxa"/>
            <w:tcBorders>
              <w:top w:val="single" w:color="000000" w:sz="4" w:space="0"/>
              <w:left w:val="single" w:color="000000" w:sz="4" w:space="0"/>
              <w:bottom w:val="single" w:color="000000" w:sz="4" w:space="0"/>
              <w:right w:val="single" w:color="000000" w:sz="4" w:space="0"/>
            </w:tcBorders>
            <w:noWrap w:val="0"/>
            <w:vAlign w:val="center"/>
          </w:tcPr>
          <w:p w14:paraId="0204A5C2">
            <w:pPr>
              <w:spacing w:line="360" w:lineRule="auto"/>
              <w:ind w:firstLine="600"/>
              <w:rPr>
                <w:rFonts w:hint="eastAsia" w:ascii="宋体" w:hAnsi="宋体" w:eastAsia="宋体" w:cs="宋体"/>
                <w:color w:val="auto"/>
                <w:sz w:val="24"/>
                <w:highlight w:val="none"/>
              </w:rPr>
            </w:pPr>
          </w:p>
        </w:tc>
        <w:tc>
          <w:tcPr>
            <w:tcW w:w="3910" w:type="dxa"/>
            <w:tcBorders>
              <w:top w:val="single" w:color="000000" w:sz="4" w:space="0"/>
              <w:left w:val="nil"/>
              <w:bottom w:val="single" w:color="000000" w:sz="4" w:space="0"/>
              <w:right w:val="single" w:color="000000" w:sz="4" w:space="0"/>
            </w:tcBorders>
            <w:noWrap w:val="0"/>
            <w:vAlign w:val="center"/>
          </w:tcPr>
          <w:p w14:paraId="57E65B47">
            <w:pPr>
              <w:spacing w:line="360" w:lineRule="auto"/>
              <w:ind w:firstLine="600"/>
              <w:rPr>
                <w:rFonts w:hint="eastAsia" w:ascii="宋体" w:hAnsi="宋体" w:eastAsia="宋体" w:cs="宋体"/>
                <w:color w:val="auto"/>
                <w:sz w:val="24"/>
                <w:highlight w:val="none"/>
              </w:rPr>
            </w:pPr>
          </w:p>
        </w:tc>
      </w:tr>
      <w:tr w14:paraId="03988EA1">
        <w:tblPrEx>
          <w:tblCellMar>
            <w:top w:w="0" w:type="dxa"/>
            <w:left w:w="108" w:type="dxa"/>
            <w:bottom w:w="0" w:type="dxa"/>
            <w:right w:w="108" w:type="dxa"/>
          </w:tblCellMar>
        </w:tblPrEx>
        <w:trPr>
          <w:trHeight w:val="850" w:hRule="atLeast"/>
          <w:jc w:val="center"/>
        </w:trPr>
        <w:tc>
          <w:tcPr>
            <w:tcW w:w="5245" w:type="dxa"/>
            <w:tcBorders>
              <w:top w:val="single" w:color="000000" w:sz="4" w:space="0"/>
              <w:left w:val="single" w:color="000000" w:sz="4" w:space="0"/>
              <w:bottom w:val="single" w:color="000000" w:sz="4" w:space="0"/>
              <w:right w:val="single" w:color="000000" w:sz="4" w:space="0"/>
            </w:tcBorders>
            <w:noWrap w:val="0"/>
            <w:vAlign w:val="center"/>
          </w:tcPr>
          <w:p w14:paraId="5D9956BD">
            <w:pPr>
              <w:spacing w:line="360" w:lineRule="auto"/>
              <w:ind w:firstLine="600"/>
              <w:rPr>
                <w:rFonts w:hint="eastAsia" w:ascii="宋体" w:hAnsi="宋体" w:eastAsia="宋体" w:cs="宋体"/>
                <w:color w:val="auto"/>
                <w:sz w:val="24"/>
                <w:highlight w:val="none"/>
              </w:rPr>
            </w:pPr>
          </w:p>
        </w:tc>
        <w:tc>
          <w:tcPr>
            <w:tcW w:w="3910" w:type="dxa"/>
            <w:tcBorders>
              <w:top w:val="single" w:color="000000" w:sz="4" w:space="0"/>
              <w:left w:val="nil"/>
              <w:bottom w:val="single" w:color="000000" w:sz="4" w:space="0"/>
              <w:right w:val="single" w:color="000000" w:sz="4" w:space="0"/>
            </w:tcBorders>
            <w:noWrap w:val="0"/>
            <w:vAlign w:val="center"/>
          </w:tcPr>
          <w:p w14:paraId="545531B8">
            <w:pPr>
              <w:spacing w:line="360" w:lineRule="auto"/>
              <w:ind w:firstLine="600"/>
              <w:rPr>
                <w:rFonts w:hint="eastAsia" w:ascii="宋体" w:hAnsi="宋体" w:eastAsia="宋体" w:cs="宋体"/>
                <w:color w:val="auto"/>
                <w:sz w:val="24"/>
                <w:highlight w:val="none"/>
              </w:rPr>
            </w:pPr>
          </w:p>
        </w:tc>
      </w:tr>
      <w:tr w14:paraId="6FE175DA">
        <w:tblPrEx>
          <w:tblCellMar>
            <w:top w:w="0" w:type="dxa"/>
            <w:left w:w="108" w:type="dxa"/>
            <w:bottom w:w="0" w:type="dxa"/>
            <w:right w:w="108" w:type="dxa"/>
          </w:tblCellMar>
        </w:tblPrEx>
        <w:trPr>
          <w:trHeight w:val="850" w:hRule="atLeast"/>
          <w:jc w:val="center"/>
        </w:trPr>
        <w:tc>
          <w:tcPr>
            <w:tcW w:w="5245" w:type="dxa"/>
            <w:tcBorders>
              <w:top w:val="single" w:color="000000" w:sz="4" w:space="0"/>
              <w:left w:val="single" w:color="000000" w:sz="4" w:space="0"/>
              <w:bottom w:val="single" w:color="000000" w:sz="4" w:space="0"/>
              <w:right w:val="single" w:color="000000" w:sz="4" w:space="0"/>
            </w:tcBorders>
            <w:noWrap w:val="0"/>
            <w:vAlign w:val="center"/>
          </w:tcPr>
          <w:p w14:paraId="1DD30B94">
            <w:pPr>
              <w:spacing w:line="360" w:lineRule="auto"/>
              <w:ind w:firstLine="600"/>
              <w:rPr>
                <w:rFonts w:hint="eastAsia" w:ascii="宋体" w:hAnsi="宋体" w:eastAsia="宋体" w:cs="宋体"/>
                <w:color w:val="auto"/>
                <w:sz w:val="24"/>
                <w:highlight w:val="none"/>
              </w:rPr>
            </w:pPr>
          </w:p>
        </w:tc>
        <w:tc>
          <w:tcPr>
            <w:tcW w:w="3910" w:type="dxa"/>
            <w:tcBorders>
              <w:top w:val="single" w:color="000000" w:sz="4" w:space="0"/>
              <w:left w:val="nil"/>
              <w:bottom w:val="single" w:color="000000" w:sz="4" w:space="0"/>
              <w:right w:val="single" w:color="000000" w:sz="4" w:space="0"/>
            </w:tcBorders>
            <w:noWrap w:val="0"/>
            <w:vAlign w:val="center"/>
          </w:tcPr>
          <w:p w14:paraId="536C9657">
            <w:pPr>
              <w:spacing w:line="360" w:lineRule="auto"/>
              <w:ind w:firstLine="600"/>
              <w:rPr>
                <w:rFonts w:hint="eastAsia" w:ascii="宋体" w:hAnsi="宋体" w:eastAsia="宋体" w:cs="宋体"/>
                <w:color w:val="auto"/>
                <w:sz w:val="24"/>
                <w:highlight w:val="none"/>
              </w:rPr>
            </w:pPr>
          </w:p>
        </w:tc>
      </w:tr>
    </w:tbl>
    <w:p w14:paraId="7BD5FC23">
      <w:pPr>
        <w:spacing w:line="360" w:lineRule="auto"/>
        <w:ind w:firstLine="6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7BFCE03D">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注：投标供应商应当按实填写所有与之有控股、管理关系的情况，如果没有请填“无”。</w:t>
      </w:r>
    </w:p>
    <w:p w14:paraId="48704F90">
      <w:pPr>
        <w:spacing w:line="300" w:lineRule="auto"/>
        <w:rPr>
          <w:rFonts w:hint="eastAsia" w:ascii="宋体" w:hAnsi="宋体" w:eastAsia="宋体" w:cs="宋体"/>
          <w:color w:val="auto"/>
          <w:sz w:val="24"/>
          <w:highlight w:val="none"/>
        </w:rPr>
      </w:pPr>
    </w:p>
    <w:p w14:paraId="3D98276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050021E8">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投标人签章:</w:t>
      </w:r>
      <w:r>
        <w:rPr>
          <w:rFonts w:hint="eastAsia" w:ascii="宋体" w:hAnsi="宋体" w:eastAsia="宋体" w:cs="宋体"/>
          <w:color w:val="auto"/>
          <w:sz w:val="24"/>
          <w:highlight w:val="none"/>
          <w:u w:val="single"/>
        </w:rPr>
        <w:t xml:space="preserve">                 </w:t>
      </w:r>
    </w:p>
    <w:p w14:paraId="16508726">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法定代表人或委托代理人（签字或签章）:</w:t>
      </w:r>
      <w:r>
        <w:rPr>
          <w:rFonts w:hint="eastAsia" w:ascii="宋体" w:hAnsi="宋体" w:eastAsia="宋体" w:cs="宋体"/>
          <w:color w:val="auto"/>
          <w:sz w:val="24"/>
          <w:highlight w:val="none"/>
          <w:u w:val="single"/>
        </w:rPr>
        <w:t xml:space="preserve">                </w:t>
      </w:r>
    </w:p>
    <w:p w14:paraId="7D684E2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p>
    <w:p w14:paraId="79F8629C">
      <w:pPr>
        <w:widowControl/>
        <w:spacing w:line="435"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34C930EB">
      <w:pPr>
        <w:spacing w:line="34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p>
    <w:p w14:paraId="1AD7EE87">
      <w:pPr>
        <w:spacing w:line="34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p>
    <w:p w14:paraId="4784A2B9">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p>
    <w:p w14:paraId="3466B6A8">
      <w:pPr>
        <w:rPr>
          <w:color w:val="auto"/>
          <w:highlight w:val="none"/>
        </w:rPr>
      </w:pPr>
    </w:p>
    <w:p w14:paraId="74A93DBF">
      <w:pPr>
        <w:spacing w:line="560" w:lineRule="exact"/>
        <w:rPr>
          <w:rFonts w:ascii="宋体" w:hAnsi="宋体" w:eastAsia="宋体" w:cs="Times New Roman"/>
          <w:b/>
          <w:color w:val="auto"/>
          <w:sz w:val="30"/>
          <w:szCs w:val="30"/>
          <w:highlight w:val="none"/>
        </w:rPr>
      </w:pPr>
    </w:p>
    <w:p w14:paraId="78009C18">
      <w:pPr>
        <w:spacing w:line="360" w:lineRule="auto"/>
        <w:ind w:firstLine="480"/>
        <w:jc w:val="center"/>
        <w:rPr>
          <w:rFonts w:hint="eastAsia" w:ascii="宋体" w:hAnsi="宋体" w:eastAsia="宋体" w:cs="Times New Roman"/>
          <w:b/>
          <w:color w:val="auto"/>
          <w:sz w:val="30"/>
          <w:szCs w:val="30"/>
          <w:highlight w:val="none"/>
        </w:rPr>
      </w:pPr>
    </w:p>
    <w:p w14:paraId="6B1DD2D7">
      <w:pPr>
        <w:spacing w:line="360" w:lineRule="auto"/>
        <w:ind w:firstLine="480"/>
        <w:jc w:val="center"/>
        <w:rPr>
          <w:rFonts w:hint="eastAsia" w:ascii="宋体" w:hAnsi="宋体" w:eastAsia="宋体" w:cs="Times New Roman"/>
          <w:b/>
          <w:color w:val="auto"/>
          <w:sz w:val="30"/>
          <w:szCs w:val="30"/>
          <w:highlight w:val="none"/>
        </w:rPr>
      </w:pPr>
    </w:p>
    <w:p w14:paraId="07756166">
      <w:pPr>
        <w:keepNext/>
        <w:keepLines w:val="0"/>
        <w:pageBreakBefore/>
        <w:widowControl w:val="0"/>
        <w:spacing w:line="340" w:lineRule="exact"/>
        <w:rPr>
          <w:rFonts w:hint="eastAsia" w:ascii="宋体" w:hAnsi="宋体" w:eastAsia="宋体" w:cs="宋体"/>
          <w:bCs/>
          <w:color w:val="auto"/>
          <w:sz w:val="24"/>
          <w:highlight w:val="none"/>
          <w:lang w:eastAsia="zh-CN"/>
        </w:rPr>
      </w:pPr>
      <w:r>
        <w:rPr>
          <w:rFonts w:hint="eastAsia" w:ascii="宋体" w:hAnsi="宋体" w:eastAsia="宋体" w:cs="Times New Roman"/>
          <w:b/>
          <w:color w:val="auto"/>
          <w:sz w:val="30"/>
          <w:szCs w:val="30"/>
          <w:highlight w:val="none"/>
        </w:rPr>
        <w:t>附件1</w:t>
      </w:r>
      <w:r>
        <w:rPr>
          <w:rFonts w:hint="eastAsia" w:ascii="宋体" w:hAnsi="宋体" w:eastAsia="宋体" w:cs="Times New Roman"/>
          <w:b/>
          <w:color w:val="auto"/>
          <w:sz w:val="30"/>
          <w:szCs w:val="30"/>
          <w:highlight w:val="none"/>
          <w:lang w:val="en-US" w:eastAsia="zh-CN"/>
        </w:rPr>
        <w:t>2</w:t>
      </w:r>
    </w:p>
    <w:p w14:paraId="76E37272">
      <w:pPr>
        <w:spacing w:line="360" w:lineRule="auto"/>
        <w:ind w:firstLine="480"/>
        <w:jc w:val="center"/>
        <w:rPr>
          <w:rFonts w:hint="eastAsia" w:ascii="宋体" w:hAnsi="宋体" w:eastAsia="宋体" w:cs="Times New Roman"/>
          <w:b/>
          <w:color w:val="auto"/>
          <w:sz w:val="30"/>
          <w:szCs w:val="30"/>
          <w:highlight w:val="none"/>
        </w:rPr>
      </w:pPr>
    </w:p>
    <w:p w14:paraId="3AD6C0AD">
      <w:pPr>
        <w:spacing w:line="360" w:lineRule="auto"/>
        <w:ind w:firstLine="480"/>
        <w:jc w:val="center"/>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实质性技术要求响应及偏离表</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317"/>
        <w:gridCol w:w="1526"/>
      </w:tblGrid>
      <w:tr w14:paraId="0BE84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25C304AF">
            <w:pPr>
              <w:spacing w:line="360" w:lineRule="auto"/>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3609" w:type="dxa"/>
            <w:vAlign w:val="center"/>
          </w:tcPr>
          <w:p w14:paraId="408BC554">
            <w:pPr>
              <w:spacing w:line="360" w:lineRule="auto"/>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技术</w:t>
            </w:r>
            <w:r>
              <w:rPr>
                <w:rFonts w:ascii="宋体" w:hAnsi="宋体" w:eastAsia="宋体" w:cs="Times New Roman"/>
                <w:color w:val="auto"/>
                <w:sz w:val="24"/>
                <w:szCs w:val="24"/>
                <w:highlight w:val="none"/>
              </w:rPr>
              <w:t>要求中的实质性要求</w:t>
            </w:r>
            <w:r>
              <w:rPr>
                <w:rFonts w:hint="eastAsia" w:ascii="宋体" w:hAnsi="宋体" w:eastAsia="宋体" w:cs="Times New Roman"/>
                <w:i/>
                <w:color w:val="auto"/>
                <w:sz w:val="24"/>
                <w:szCs w:val="24"/>
                <w:highlight w:val="none"/>
                <w:u w:val="single"/>
              </w:rPr>
              <w:t>（加</w:t>
            </w:r>
            <w:r>
              <w:rPr>
                <w:rFonts w:ascii="宋体" w:hAnsi="宋体" w:eastAsia="宋体" w:cs="Times New Roman"/>
                <w:i/>
                <w:color w:val="auto"/>
                <w:sz w:val="24"/>
                <w:szCs w:val="24"/>
                <w:highlight w:val="none"/>
                <w:u w:val="single"/>
              </w:rPr>
              <w:t>斜体下划线内容</w:t>
            </w:r>
            <w:r>
              <w:rPr>
                <w:rFonts w:hint="eastAsia" w:ascii="宋体" w:hAnsi="宋体" w:eastAsia="宋体" w:cs="Times New Roman"/>
                <w:i/>
                <w:color w:val="auto"/>
                <w:sz w:val="24"/>
                <w:szCs w:val="24"/>
                <w:highlight w:val="none"/>
                <w:u w:val="single"/>
              </w:rPr>
              <w:t>）</w:t>
            </w:r>
          </w:p>
        </w:tc>
        <w:tc>
          <w:tcPr>
            <w:tcW w:w="3317" w:type="dxa"/>
            <w:vAlign w:val="center"/>
          </w:tcPr>
          <w:p w14:paraId="1BD5C5BE">
            <w:pPr>
              <w:spacing w:line="360" w:lineRule="auto"/>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投标响应情况</w:t>
            </w:r>
          </w:p>
        </w:tc>
        <w:tc>
          <w:tcPr>
            <w:tcW w:w="1526" w:type="dxa"/>
            <w:vAlign w:val="center"/>
          </w:tcPr>
          <w:p w14:paraId="7563C58F">
            <w:pPr>
              <w:spacing w:line="360" w:lineRule="auto"/>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超出、符合或偏离</w:t>
            </w:r>
          </w:p>
        </w:tc>
      </w:tr>
      <w:tr w14:paraId="5FD5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08C1F0AE">
            <w:pPr>
              <w:spacing w:line="360" w:lineRule="auto"/>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3609" w:type="dxa"/>
          </w:tcPr>
          <w:p w14:paraId="6B9B5B63">
            <w:pPr>
              <w:spacing w:line="360" w:lineRule="auto"/>
              <w:ind w:firstLine="482"/>
              <w:jc w:val="center"/>
              <w:rPr>
                <w:rFonts w:ascii="宋体" w:hAnsi="宋体" w:eastAsia="宋体" w:cs="Times New Roman"/>
                <w:color w:val="auto"/>
                <w:sz w:val="24"/>
                <w:szCs w:val="24"/>
                <w:highlight w:val="none"/>
              </w:rPr>
            </w:pPr>
          </w:p>
        </w:tc>
        <w:tc>
          <w:tcPr>
            <w:tcW w:w="3317" w:type="dxa"/>
          </w:tcPr>
          <w:p w14:paraId="3EDDB4A4">
            <w:pPr>
              <w:spacing w:line="360" w:lineRule="auto"/>
              <w:ind w:firstLine="482"/>
              <w:jc w:val="center"/>
              <w:rPr>
                <w:rFonts w:ascii="宋体" w:hAnsi="宋体" w:eastAsia="宋体" w:cs="Times New Roman"/>
                <w:color w:val="auto"/>
                <w:sz w:val="24"/>
                <w:szCs w:val="24"/>
                <w:highlight w:val="none"/>
              </w:rPr>
            </w:pPr>
          </w:p>
        </w:tc>
        <w:tc>
          <w:tcPr>
            <w:tcW w:w="1526" w:type="dxa"/>
          </w:tcPr>
          <w:p w14:paraId="1543ECE3">
            <w:pPr>
              <w:spacing w:line="360" w:lineRule="auto"/>
              <w:ind w:firstLine="482"/>
              <w:jc w:val="center"/>
              <w:rPr>
                <w:rFonts w:ascii="宋体" w:hAnsi="宋体" w:eastAsia="宋体" w:cs="Times New Roman"/>
                <w:color w:val="auto"/>
                <w:sz w:val="24"/>
                <w:szCs w:val="24"/>
                <w:highlight w:val="none"/>
              </w:rPr>
            </w:pPr>
          </w:p>
        </w:tc>
      </w:tr>
      <w:tr w14:paraId="5F415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1048037C">
            <w:pPr>
              <w:spacing w:line="360" w:lineRule="auto"/>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3609" w:type="dxa"/>
          </w:tcPr>
          <w:p w14:paraId="06ABD5FC">
            <w:pPr>
              <w:spacing w:line="360" w:lineRule="auto"/>
              <w:ind w:firstLine="482"/>
              <w:jc w:val="center"/>
              <w:rPr>
                <w:rFonts w:ascii="宋体" w:hAnsi="宋体" w:eastAsia="宋体" w:cs="Times New Roman"/>
                <w:color w:val="auto"/>
                <w:sz w:val="24"/>
                <w:szCs w:val="24"/>
                <w:highlight w:val="none"/>
              </w:rPr>
            </w:pPr>
          </w:p>
        </w:tc>
        <w:tc>
          <w:tcPr>
            <w:tcW w:w="3317" w:type="dxa"/>
          </w:tcPr>
          <w:p w14:paraId="2C4C95F1">
            <w:pPr>
              <w:spacing w:line="360" w:lineRule="auto"/>
              <w:ind w:firstLine="482"/>
              <w:jc w:val="center"/>
              <w:rPr>
                <w:rFonts w:ascii="宋体" w:hAnsi="宋体" w:eastAsia="宋体" w:cs="Times New Roman"/>
                <w:color w:val="auto"/>
                <w:sz w:val="24"/>
                <w:szCs w:val="24"/>
                <w:highlight w:val="none"/>
              </w:rPr>
            </w:pPr>
          </w:p>
        </w:tc>
        <w:tc>
          <w:tcPr>
            <w:tcW w:w="1526" w:type="dxa"/>
          </w:tcPr>
          <w:p w14:paraId="10539FEE">
            <w:pPr>
              <w:spacing w:line="360" w:lineRule="auto"/>
              <w:ind w:firstLine="482"/>
              <w:jc w:val="center"/>
              <w:rPr>
                <w:rFonts w:ascii="宋体" w:hAnsi="宋体" w:eastAsia="宋体" w:cs="Times New Roman"/>
                <w:color w:val="auto"/>
                <w:sz w:val="24"/>
                <w:szCs w:val="24"/>
                <w:highlight w:val="none"/>
              </w:rPr>
            </w:pPr>
          </w:p>
        </w:tc>
      </w:tr>
      <w:tr w14:paraId="65981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14790A82">
            <w:pPr>
              <w:spacing w:line="360" w:lineRule="auto"/>
              <w:ind w:firstLine="482"/>
              <w:jc w:val="center"/>
              <w:rPr>
                <w:rFonts w:ascii="宋体" w:hAnsi="宋体" w:eastAsia="宋体" w:cs="Times New Roman"/>
                <w:color w:val="auto"/>
                <w:sz w:val="24"/>
                <w:szCs w:val="24"/>
                <w:highlight w:val="none"/>
              </w:rPr>
            </w:pPr>
          </w:p>
        </w:tc>
        <w:tc>
          <w:tcPr>
            <w:tcW w:w="3609" w:type="dxa"/>
          </w:tcPr>
          <w:p w14:paraId="2B689DC6">
            <w:pPr>
              <w:spacing w:line="360" w:lineRule="auto"/>
              <w:ind w:firstLine="482"/>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tc>
        <w:tc>
          <w:tcPr>
            <w:tcW w:w="3317" w:type="dxa"/>
          </w:tcPr>
          <w:p w14:paraId="7F79311B">
            <w:pPr>
              <w:spacing w:line="360" w:lineRule="auto"/>
              <w:ind w:firstLine="482"/>
              <w:jc w:val="center"/>
              <w:rPr>
                <w:rFonts w:ascii="宋体" w:hAnsi="宋体" w:eastAsia="宋体" w:cs="Times New Roman"/>
                <w:color w:val="auto"/>
                <w:sz w:val="24"/>
                <w:szCs w:val="24"/>
                <w:highlight w:val="none"/>
              </w:rPr>
            </w:pPr>
          </w:p>
        </w:tc>
        <w:tc>
          <w:tcPr>
            <w:tcW w:w="1526" w:type="dxa"/>
          </w:tcPr>
          <w:p w14:paraId="0164186D">
            <w:pPr>
              <w:spacing w:line="360" w:lineRule="auto"/>
              <w:ind w:firstLine="482"/>
              <w:jc w:val="center"/>
              <w:rPr>
                <w:rFonts w:ascii="宋体" w:hAnsi="宋体" w:eastAsia="宋体" w:cs="Times New Roman"/>
                <w:color w:val="auto"/>
                <w:sz w:val="24"/>
                <w:szCs w:val="24"/>
                <w:highlight w:val="none"/>
              </w:rPr>
            </w:pPr>
          </w:p>
        </w:tc>
      </w:tr>
    </w:tbl>
    <w:p w14:paraId="711D02FC">
      <w:pPr>
        <w:spacing w:line="360" w:lineRule="auto"/>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附件</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2</w:t>
      </w:r>
      <w:r>
        <w:rPr>
          <w:rFonts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rPr>
        <w:t>证明</w:t>
      </w:r>
      <w:r>
        <w:rPr>
          <w:rFonts w:ascii="宋体" w:hAnsi="宋体" w:eastAsia="宋体" w:cs="Times New Roman"/>
          <w:color w:val="auto"/>
          <w:sz w:val="24"/>
          <w:szCs w:val="24"/>
          <w:highlight w:val="none"/>
        </w:rPr>
        <w:t>材料</w:t>
      </w:r>
      <w:r>
        <w:rPr>
          <w:rFonts w:hint="eastAsia" w:ascii="宋体" w:hAnsi="宋体" w:eastAsia="宋体" w:cs="Times New Roman"/>
          <w:color w:val="auto"/>
          <w:sz w:val="24"/>
          <w:szCs w:val="24"/>
          <w:highlight w:val="none"/>
        </w:rPr>
        <w:t>1，证明</w:t>
      </w:r>
      <w:r>
        <w:rPr>
          <w:rFonts w:ascii="宋体" w:hAnsi="宋体" w:eastAsia="宋体" w:cs="Times New Roman"/>
          <w:color w:val="auto"/>
          <w:sz w:val="24"/>
          <w:szCs w:val="24"/>
          <w:highlight w:val="none"/>
        </w:rPr>
        <w:t>材料</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w:t>
      </w:r>
    </w:p>
    <w:p w14:paraId="6C1F2BA8">
      <w:pPr>
        <w:spacing w:line="360" w:lineRule="auto"/>
        <w:ind w:firstLine="482"/>
        <w:rPr>
          <w:rFonts w:ascii="宋体" w:hAnsi="宋体" w:eastAsia="宋体" w:cs="Times New Roman"/>
          <w:color w:val="auto"/>
          <w:sz w:val="24"/>
          <w:szCs w:val="24"/>
          <w:highlight w:val="none"/>
        </w:rPr>
      </w:pPr>
    </w:p>
    <w:p w14:paraId="0A7B4000">
      <w:pPr>
        <w:spacing w:line="360" w:lineRule="auto"/>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w:t>
      </w:r>
      <w:r>
        <w:rPr>
          <w:rFonts w:ascii="宋体" w:hAnsi="宋体" w:eastAsia="宋体" w:cs="Times New Roman"/>
          <w:color w:val="auto"/>
          <w:sz w:val="24"/>
          <w:szCs w:val="24"/>
          <w:highlight w:val="none"/>
        </w:rPr>
        <w:t>：</w:t>
      </w:r>
    </w:p>
    <w:p w14:paraId="03CEFB0B">
      <w:pPr>
        <w:spacing w:line="360" w:lineRule="auto"/>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1.投标人必须</w:t>
      </w:r>
      <w:r>
        <w:rPr>
          <w:rFonts w:ascii="宋体" w:hAnsi="宋体" w:eastAsia="宋体" w:cs="Times New Roman"/>
          <w:color w:val="auto"/>
          <w:sz w:val="24"/>
          <w:szCs w:val="24"/>
          <w:highlight w:val="none"/>
        </w:rPr>
        <w:t>对技术要求中的实质性要求</w:t>
      </w:r>
      <w:r>
        <w:rPr>
          <w:rFonts w:hint="eastAsia" w:ascii="宋体" w:hAnsi="宋体" w:eastAsia="宋体" w:cs="Times New Roman"/>
          <w:i/>
          <w:color w:val="auto"/>
          <w:sz w:val="24"/>
          <w:szCs w:val="24"/>
          <w:highlight w:val="none"/>
          <w:u w:val="single"/>
        </w:rPr>
        <w:t>（加</w:t>
      </w:r>
      <w:r>
        <w:rPr>
          <w:rFonts w:ascii="宋体" w:hAnsi="宋体" w:eastAsia="宋体" w:cs="Times New Roman"/>
          <w:i/>
          <w:color w:val="auto"/>
          <w:sz w:val="24"/>
          <w:szCs w:val="24"/>
          <w:highlight w:val="none"/>
          <w:u w:val="single"/>
        </w:rPr>
        <w:t>斜体下划线内容</w:t>
      </w:r>
      <w:r>
        <w:rPr>
          <w:rFonts w:hint="eastAsia" w:ascii="宋体" w:hAnsi="宋体" w:eastAsia="宋体" w:cs="Times New Roman"/>
          <w:i/>
          <w:color w:val="auto"/>
          <w:sz w:val="24"/>
          <w:szCs w:val="24"/>
          <w:highlight w:val="none"/>
          <w:u w:val="single"/>
        </w:rPr>
        <w:t>）</w:t>
      </w:r>
      <w:r>
        <w:rPr>
          <w:rFonts w:ascii="宋体" w:hAnsi="宋体" w:eastAsia="宋体" w:cs="Times New Roman"/>
          <w:color w:val="auto"/>
          <w:sz w:val="24"/>
          <w:szCs w:val="24"/>
          <w:highlight w:val="none"/>
        </w:rPr>
        <w:t>逐条做出明确响应</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1"/>
          <w:highlight w:val="none"/>
        </w:rPr>
        <w:t>否则作无效投标处理</w:t>
      </w:r>
      <w:r>
        <w:rPr>
          <w:rFonts w:ascii="宋体" w:hAnsi="宋体" w:eastAsia="宋体" w:cs="Times New Roman"/>
          <w:color w:val="auto"/>
          <w:sz w:val="24"/>
          <w:szCs w:val="21"/>
          <w:highlight w:val="none"/>
        </w:rPr>
        <w:t>。</w:t>
      </w:r>
    </w:p>
    <w:p w14:paraId="79558F22">
      <w:pPr>
        <w:spacing w:line="360" w:lineRule="auto"/>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2.如果磋商文件</w:t>
      </w:r>
      <w:r>
        <w:rPr>
          <w:rFonts w:ascii="宋体" w:hAnsi="宋体" w:eastAsia="宋体" w:cs="Times New Roman"/>
          <w:color w:val="auto"/>
          <w:sz w:val="24"/>
          <w:szCs w:val="24"/>
          <w:highlight w:val="none"/>
        </w:rPr>
        <w:t>要求提供</w:t>
      </w:r>
      <w:r>
        <w:rPr>
          <w:rFonts w:hint="eastAsia" w:ascii="宋体" w:hAnsi="宋体" w:eastAsia="宋体" w:cs="Times New Roman"/>
          <w:color w:val="auto"/>
          <w:sz w:val="24"/>
          <w:szCs w:val="24"/>
          <w:highlight w:val="none"/>
        </w:rPr>
        <w:t>证明</w:t>
      </w:r>
      <w:r>
        <w:rPr>
          <w:rFonts w:ascii="宋体" w:hAnsi="宋体" w:eastAsia="宋体" w:cs="Times New Roman"/>
          <w:color w:val="auto"/>
          <w:sz w:val="24"/>
          <w:szCs w:val="24"/>
          <w:highlight w:val="none"/>
        </w:rPr>
        <w:t>材料，</w:t>
      </w:r>
      <w:r>
        <w:rPr>
          <w:rFonts w:hint="eastAsia" w:ascii="宋体" w:hAnsi="宋体" w:eastAsia="宋体" w:cs="Times New Roman"/>
          <w:color w:val="auto"/>
          <w:sz w:val="24"/>
          <w:szCs w:val="24"/>
          <w:highlight w:val="none"/>
        </w:rPr>
        <w:t>投标人必须</w:t>
      </w:r>
      <w:r>
        <w:rPr>
          <w:rFonts w:ascii="宋体" w:hAnsi="宋体" w:eastAsia="宋体" w:cs="Times New Roman"/>
          <w:color w:val="auto"/>
          <w:sz w:val="24"/>
          <w:szCs w:val="24"/>
          <w:highlight w:val="none"/>
        </w:rPr>
        <w:t>将证明材料</w:t>
      </w:r>
      <w:r>
        <w:rPr>
          <w:rFonts w:hint="eastAsia" w:ascii="宋体" w:hAnsi="宋体" w:eastAsia="宋体" w:cs="Times New Roman"/>
          <w:color w:val="auto"/>
          <w:sz w:val="24"/>
          <w:szCs w:val="24"/>
          <w:highlight w:val="none"/>
        </w:rPr>
        <w:t>列于</w:t>
      </w:r>
      <w:r>
        <w:rPr>
          <w:rFonts w:ascii="宋体" w:hAnsi="宋体" w:eastAsia="宋体" w:cs="Times New Roman"/>
          <w:color w:val="auto"/>
          <w:sz w:val="24"/>
          <w:szCs w:val="24"/>
          <w:highlight w:val="none"/>
        </w:rPr>
        <w:t>该表之下。</w:t>
      </w:r>
    </w:p>
    <w:p w14:paraId="6A5ED0FE">
      <w:pPr>
        <w:spacing w:line="360" w:lineRule="auto"/>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3.投标人未对实质性要求逐条作出明确响应的，或未按磋商文件要求提供证明材料的，该分包作无效投标处理。</w:t>
      </w:r>
    </w:p>
    <w:p w14:paraId="4ADFE807">
      <w:pPr>
        <w:widowControl/>
        <w:spacing w:line="360" w:lineRule="auto"/>
        <w:ind w:firstLine="480"/>
        <w:jc w:val="left"/>
        <w:rPr>
          <w:rFonts w:ascii="宋体" w:hAnsi="宋体" w:eastAsia="宋体" w:cs="Times New Roman"/>
          <w:b/>
          <w:color w:val="auto"/>
          <w:sz w:val="24"/>
          <w:szCs w:val="24"/>
          <w:highlight w:val="none"/>
        </w:rPr>
      </w:pPr>
    </w:p>
    <w:p w14:paraId="364352EF">
      <w:pPr>
        <w:spacing w:line="360" w:lineRule="auto"/>
        <w:ind w:firstLine="480"/>
        <w:jc w:val="center"/>
        <w:rPr>
          <w:rFonts w:ascii="宋体" w:hAnsi="宋体" w:eastAsia="宋体" w:cs="Times New Roman"/>
          <w:b/>
          <w:color w:val="auto"/>
          <w:sz w:val="24"/>
          <w:szCs w:val="24"/>
          <w:highlight w:val="none"/>
        </w:rPr>
      </w:pPr>
    </w:p>
    <w:p w14:paraId="340F0F62">
      <w:pPr>
        <w:spacing w:line="360" w:lineRule="auto"/>
        <w:ind w:firstLine="480"/>
        <w:jc w:val="center"/>
        <w:rPr>
          <w:rFonts w:ascii="宋体" w:hAnsi="宋体" w:eastAsia="宋体" w:cs="Times New Roman"/>
          <w:b/>
          <w:color w:val="auto"/>
          <w:sz w:val="24"/>
          <w:szCs w:val="24"/>
          <w:highlight w:val="none"/>
        </w:rPr>
      </w:pPr>
    </w:p>
    <w:p w14:paraId="64226C3B">
      <w:pPr>
        <w:spacing w:line="360" w:lineRule="auto"/>
        <w:ind w:firstLine="480"/>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承诺书</w:t>
      </w:r>
    </w:p>
    <w:p w14:paraId="71A13E96">
      <w:pPr>
        <w:spacing w:line="360" w:lineRule="auto"/>
        <w:ind w:firstLine="480"/>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（格式自拟）</w:t>
      </w:r>
    </w:p>
    <w:p w14:paraId="6FBF5F68">
      <w:pPr>
        <w:spacing w:line="360" w:lineRule="auto"/>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供应商除了填写上述“实质性技术要求响应及偏离表”，还应根据采购需求中的</w:t>
      </w:r>
      <w:r>
        <w:rPr>
          <w:rFonts w:ascii="宋体" w:hAnsi="宋体" w:eastAsia="宋体" w:cs="Times New Roman"/>
          <w:color w:val="auto"/>
          <w:sz w:val="24"/>
          <w:szCs w:val="24"/>
          <w:highlight w:val="none"/>
        </w:rPr>
        <w:t>技术</w:t>
      </w:r>
      <w:r>
        <w:rPr>
          <w:rFonts w:hint="eastAsia" w:ascii="宋体" w:hAnsi="宋体" w:eastAsia="宋体" w:cs="Times New Roman"/>
          <w:color w:val="auto"/>
          <w:sz w:val="24"/>
          <w:szCs w:val="24"/>
          <w:highlight w:val="none"/>
        </w:rPr>
        <w:t>部分</w:t>
      </w:r>
      <w:r>
        <w:rPr>
          <w:rFonts w:ascii="宋体" w:hAnsi="宋体" w:eastAsia="宋体" w:cs="Times New Roman"/>
          <w:color w:val="auto"/>
          <w:sz w:val="24"/>
          <w:szCs w:val="24"/>
          <w:highlight w:val="none"/>
        </w:rPr>
        <w:t>实质性要求</w:t>
      </w:r>
      <w:r>
        <w:rPr>
          <w:rFonts w:hint="eastAsia" w:ascii="宋体" w:hAnsi="宋体" w:eastAsia="宋体" w:cs="Times New Roman"/>
          <w:color w:val="auto"/>
          <w:sz w:val="24"/>
          <w:szCs w:val="24"/>
          <w:highlight w:val="none"/>
        </w:rPr>
        <w:t>提供承诺函，格式自拟。</w:t>
      </w:r>
    </w:p>
    <w:p w14:paraId="76E2AC66">
      <w:pPr>
        <w:widowControl/>
        <w:spacing w:line="360" w:lineRule="auto"/>
        <w:ind w:firstLine="480"/>
        <w:jc w:val="center"/>
        <w:rPr>
          <w:rFonts w:ascii="宋体" w:hAnsi="宋体" w:eastAsia="宋体" w:cs="Times New Roman"/>
          <w:b/>
          <w:color w:val="auto"/>
          <w:sz w:val="24"/>
          <w:szCs w:val="24"/>
          <w:highlight w:val="none"/>
        </w:rPr>
      </w:pPr>
    </w:p>
    <w:p w14:paraId="2EEA30F5">
      <w:pPr>
        <w:spacing w:line="560" w:lineRule="exact"/>
        <w:ind w:firstLine="480"/>
        <w:rPr>
          <w:rFonts w:ascii="宋体" w:hAnsi="宋体" w:eastAsia="宋体" w:cs="Times New Roman"/>
          <w:b/>
          <w:color w:val="auto"/>
          <w:sz w:val="24"/>
          <w:szCs w:val="24"/>
          <w:highlight w:val="none"/>
        </w:rPr>
      </w:pPr>
    </w:p>
    <w:p w14:paraId="4DC69C5E">
      <w:pPr>
        <w:spacing w:line="560" w:lineRule="exact"/>
        <w:ind w:firstLine="480"/>
        <w:rPr>
          <w:rFonts w:ascii="宋体" w:hAnsi="宋体" w:eastAsia="宋体" w:cs="Times New Roman"/>
          <w:b/>
          <w:color w:val="auto"/>
          <w:sz w:val="24"/>
          <w:szCs w:val="24"/>
          <w:highlight w:val="none"/>
        </w:rPr>
      </w:pPr>
    </w:p>
    <w:p w14:paraId="0291768B">
      <w:pPr>
        <w:spacing w:line="560" w:lineRule="exact"/>
        <w:ind w:firstLine="480"/>
        <w:rPr>
          <w:rFonts w:ascii="宋体" w:hAnsi="宋体" w:eastAsia="宋体" w:cs="Times New Roman"/>
          <w:b/>
          <w:color w:val="auto"/>
          <w:sz w:val="24"/>
          <w:szCs w:val="24"/>
          <w:highlight w:val="none"/>
        </w:rPr>
      </w:pPr>
    </w:p>
    <w:p w14:paraId="15A50A78">
      <w:pPr>
        <w:spacing w:line="560" w:lineRule="exact"/>
        <w:rPr>
          <w:rFonts w:hint="eastAsia" w:ascii="宋体" w:hAnsi="宋体" w:eastAsia="宋体" w:cs="Times New Roman"/>
          <w:b/>
          <w:color w:val="auto"/>
          <w:sz w:val="30"/>
          <w:szCs w:val="30"/>
          <w:highlight w:val="none"/>
          <w:lang w:eastAsia="zh-CN"/>
        </w:rPr>
      </w:pPr>
      <w:r>
        <w:rPr>
          <w:rFonts w:hint="eastAsia" w:ascii="宋体" w:hAnsi="宋体" w:eastAsia="宋体" w:cs="Times New Roman"/>
          <w:b/>
          <w:color w:val="auto"/>
          <w:sz w:val="30"/>
          <w:szCs w:val="30"/>
          <w:highlight w:val="none"/>
        </w:rPr>
        <w:t>附件1</w:t>
      </w:r>
      <w:r>
        <w:rPr>
          <w:rFonts w:hint="eastAsia" w:ascii="宋体" w:hAnsi="宋体" w:eastAsia="宋体" w:cs="Times New Roman"/>
          <w:b/>
          <w:color w:val="auto"/>
          <w:sz w:val="30"/>
          <w:szCs w:val="30"/>
          <w:highlight w:val="none"/>
          <w:lang w:val="en-US" w:eastAsia="zh-CN"/>
        </w:rPr>
        <w:t>3</w:t>
      </w:r>
    </w:p>
    <w:p w14:paraId="740D96BE">
      <w:pPr>
        <w:spacing w:before="65" w:line="360" w:lineRule="auto"/>
        <w:ind w:left="107"/>
        <w:jc w:val="center"/>
        <w:rPr>
          <w:rFonts w:ascii="宋体" w:hAnsi="宋体" w:eastAsia="宋体" w:cs="宋体"/>
          <w:color w:val="auto"/>
          <w:kern w:val="0"/>
          <w:sz w:val="28"/>
          <w:szCs w:val="28"/>
          <w:highlight w:val="none"/>
        </w:rPr>
      </w:pPr>
      <w:r>
        <w:rPr>
          <w:rFonts w:hint="eastAsia" w:ascii="宋体" w:hAnsi="宋体" w:eastAsia="宋体" w:cs="宋体"/>
          <w:b/>
          <w:bCs/>
          <w:color w:val="auto"/>
          <w:spacing w:val="-5"/>
          <w:kern w:val="0"/>
          <w:sz w:val="32"/>
          <w:szCs w:val="28"/>
          <w:highlight w:val="none"/>
        </w:rPr>
        <w:t>实质性商务要求响应及偏离表</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317"/>
        <w:gridCol w:w="1526"/>
      </w:tblGrid>
      <w:tr w14:paraId="4D592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03459453">
            <w:pPr>
              <w:spacing w:line="360" w:lineRule="auto"/>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3609" w:type="dxa"/>
            <w:vAlign w:val="center"/>
          </w:tcPr>
          <w:p w14:paraId="0E9AC784">
            <w:pPr>
              <w:spacing w:line="360" w:lineRule="auto"/>
              <w:ind w:firstLine="482"/>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商务要求中的实质性要求</w:t>
            </w:r>
            <w:r>
              <w:rPr>
                <w:rFonts w:hint="eastAsia" w:ascii="宋体" w:hAnsi="宋体" w:eastAsia="宋体" w:cs="Times New Roman"/>
                <w:i/>
                <w:color w:val="auto"/>
                <w:sz w:val="24"/>
                <w:szCs w:val="24"/>
                <w:highlight w:val="none"/>
                <w:u w:val="single"/>
              </w:rPr>
              <w:t>（加</w:t>
            </w:r>
            <w:r>
              <w:rPr>
                <w:rFonts w:ascii="宋体" w:hAnsi="宋体" w:eastAsia="宋体" w:cs="Times New Roman"/>
                <w:i/>
                <w:color w:val="auto"/>
                <w:sz w:val="24"/>
                <w:szCs w:val="24"/>
                <w:highlight w:val="none"/>
                <w:u w:val="single"/>
              </w:rPr>
              <w:t>斜体下划线内容</w:t>
            </w:r>
            <w:r>
              <w:rPr>
                <w:rFonts w:hint="eastAsia" w:ascii="宋体" w:hAnsi="宋体" w:eastAsia="宋体" w:cs="Times New Roman"/>
                <w:i/>
                <w:color w:val="auto"/>
                <w:sz w:val="24"/>
                <w:szCs w:val="24"/>
                <w:highlight w:val="none"/>
                <w:u w:val="single"/>
              </w:rPr>
              <w:t>）</w:t>
            </w:r>
          </w:p>
        </w:tc>
        <w:tc>
          <w:tcPr>
            <w:tcW w:w="3317" w:type="dxa"/>
            <w:vAlign w:val="center"/>
          </w:tcPr>
          <w:p w14:paraId="3C31AFFB">
            <w:pPr>
              <w:spacing w:line="360" w:lineRule="auto"/>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投标响应情况</w:t>
            </w:r>
          </w:p>
        </w:tc>
        <w:tc>
          <w:tcPr>
            <w:tcW w:w="1526" w:type="dxa"/>
            <w:vAlign w:val="center"/>
          </w:tcPr>
          <w:p w14:paraId="65DC7A8B">
            <w:pPr>
              <w:spacing w:line="360" w:lineRule="auto"/>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超出、符合或偏离</w:t>
            </w:r>
          </w:p>
        </w:tc>
      </w:tr>
      <w:tr w14:paraId="51A70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1BE34955">
            <w:pPr>
              <w:spacing w:line="360" w:lineRule="auto"/>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3609" w:type="dxa"/>
          </w:tcPr>
          <w:p w14:paraId="7F0E9FD2">
            <w:pPr>
              <w:spacing w:line="360" w:lineRule="auto"/>
              <w:ind w:firstLine="482"/>
              <w:jc w:val="center"/>
              <w:rPr>
                <w:rFonts w:ascii="宋体" w:hAnsi="宋体" w:eastAsia="宋体" w:cs="Times New Roman"/>
                <w:color w:val="auto"/>
                <w:sz w:val="24"/>
                <w:szCs w:val="24"/>
                <w:highlight w:val="none"/>
              </w:rPr>
            </w:pPr>
          </w:p>
        </w:tc>
        <w:tc>
          <w:tcPr>
            <w:tcW w:w="3317" w:type="dxa"/>
          </w:tcPr>
          <w:p w14:paraId="1C2C3521">
            <w:pPr>
              <w:spacing w:line="360" w:lineRule="auto"/>
              <w:ind w:firstLine="482"/>
              <w:jc w:val="center"/>
              <w:rPr>
                <w:rFonts w:ascii="宋体" w:hAnsi="宋体" w:eastAsia="宋体" w:cs="Times New Roman"/>
                <w:color w:val="auto"/>
                <w:sz w:val="24"/>
                <w:szCs w:val="24"/>
                <w:highlight w:val="none"/>
              </w:rPr>
            </w:pPr>
          </w:p>
        </w:tc>
        <w:tc>
          <w:tcPr>
            <w:tcW w:w="1526" w:type="dxa"/>
          </w:tcPr>
          <w:p w14:paraId="0B82FD03">
            <w:pPr>
              <w:spacing w:line="360" w:lineRule="auto"/>
              <w:ind w:firstLine="482"/>
              <w:jc w:val="center"/>
              <w:rPr>
                <w:rFonts w:ascii="宋体" w:hAnsi="宋体" w:eastAsia="宋体" w:cs="Times New Roman"/>
                <w:color w:val="auto"/>
                <w:sz w:val="24"/>
                <w:szCs w:val="24"/>
                <w:highlight w:val="none"/>
              </w:rPr>
            </w:pPr>
          </w:p>
        </w:tc>
      </w:tr>
      <w:tr w14:paraId="1BB9F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7A6C63D8">
            <w:pPr>
              <w:spacing w:line="360" w:lineRule="auto"/>
              <w:ind w:firstLine="482"/>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3609" w:type="dxa"/>
          </w:tcPr>
          <w:p w14:paraId="30149188">
            <w:pPr>
              <w:spacing w:line="360" w:lineRule="auto"/>
              <w:ind w:firstLine="482"/>
              <w:jc w:val="center"/>
              <w:rPr>
                <w:rFonts w:ascii="宋体" w:hAnsi="宋体" w:eastAsia="宋体" w:cs="Times New Roman"/>
                <w:color w:val="auto"/>
                <w:sz w:val="24"/>
                <w:szCs w:val="24"/>
                <w:highlight w:val="none"/>
              </w:rPr>
            </w:pPr>
          </w:p>
        </w:tc>
        <w:tc>
          <w:tcPr>
            <w:tcW w:w="3317" w:type="dxa"/>
          </w:tcPr>
          <w:p w14:paraId="54BB3176">
            <w:pPr>
              <w:spacing w:line="360" w:lineRule="auto"/>
              <w:ind w:firstLine="482"/>
              <w:jc w:val="center"/>
              <w:rPr>
                <w:rFonts w:ascii="宋体" w:hAnsi="宋体" w:eastAsia="宋体" w:cs="Times New Roman"/>
                <w:color w:val="auto"/>
                <w:sz w:val="24"/>
                <w:szCs w:val="24"/>
                <w:highlight w:val="none"/>
              </w:rPr>
            </w:pPr>
          </w:p>
        </w:tc>
        <w:tc>
          <w:tcPr>
            <w:tcW w:w="1526" w:type="dxa"/>
          </w:tcPr>
          <w:p w14:paraId="75291F2C">
            <w:pPr>
              <w:spacing w:line="360" w:lineRule="auto"/>
              <w:ind w:firstLine="482"/>
              <w:jc w:val="center"/>
              <w:rPr>
                <w:rFonts w:ascii="宋体" w:hAnsi="宋体" w:eastAsia="宋体" w:cs="Times New Roman"/>
                <w:color w:val="auto"/>
                <w:sz w:val="24"/>
                <w:szCs w:val="24"/>
                <w:highlight w:val="none"/>
              </w:rPr>
            </w:pPr>
          </w:p>
        </w:tc>
      </w:tr>
      <w:tr w14:paraId="59199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1E393C02">
            <w:pPr>
              <w:spacing w:line="360" w:lineRule="auto"/>
              <w:ind w:firstLine="482"/>
              <w:jc w:val="center"/>
              <w:rPr>
                <w:rFonts w:ascii="宋体" w:hAnsi="宋体" w:eastAsia="宋体" w:cs="Times New Roman"/>
                <w:color w:val="auto"/>
                <w:sz w:val="24"/>
                <w:szCs w:val="24"/>
                <w:highlight w:val="none"/>
              </w:rPr>
            </w:pPr>
          </w:p>
        </w:tc>
        <w:tc>
          <w:tcPr>
            <w:tcW w:w="3609" w:type="dxa"/>
          </w:tcPr>
          <w:p w14:paraId="225A62E0">
            <w:pPr>
              <w:spacing w:line="360" w:lineRule="auto"/>
              <w:ind w:firstLine="482"/>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tc>
        <w:tc>
          <w:tcPr>
            <w:tcW w:w="3317" w:type="dxa"/>
          </w:tcPr>
          <w:p w14:paraId="5A0C53E7">
            <w:pPr>
              <w:spacing w:line="360" w:lineRule="auto"/>
              <w:ind w:firstLine="482"/>
              <w:jc w:val="center"/>
              <w:rPr>
                <w:rFonts w:ascii="宋体" w:hAnsi="宋体" w:eastAsia="宋体" w:cs="Times New Roman"/>
                <w:color w:val="auto"/>
                <w:sz w:val="24"/>
                <w:szCs w:val="24"/>
                <w:highlight w:val="none"/>
              </w:rPr>
            </w:pPr>
          </w:p>
        </w:tc>
        <w:tc>
          <w:tcPr>
            <w:tcW w:w="1526" w:type="dxa"/>
          </w:tcPr>
          <w:p w14:paraId="586C6926">
            <w:pPr>
              <w:spacing w:line="360" w:lineRule="auto"/>
              <w:ind w:firstLine="482"/>
              <w:jc w:val="center"/>
              <w:rPr>
                <w:rFonts w:ascii="宋体" w:hAnsi="宋体" w:eastAsia="宋体" w:cs="Times New Roman"/>
                <w:color w:val="auto"/>
                <w:sz w:val="24"/>
                <w:szCs w:val="24"/>
                <w:highlight w:val="none"/>
              </w:rPr>
            </w:pPr>
          </w:p>
        </w:tc>
      </w:tr>
    </w:tbl>
    <w:p w14:paraId="5A408E73">
      <w:pPr>
        <w:spacing w:line="360" w:lineRule="auto"/>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附件</w:t>
      </w:r>
      <w:r>
        <w:rPr>
          <w:rFonts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3</w:t>
      </w:r>
      <w:r>
        <w:rPr>
          <w:rFonts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rPr>
        <w:t>证明</w:t>
      </w:r>
      <w:r>
        <w:rPr>
          <w:rFonts w:ascii="宋体" w:hAnsi="宋体" w:eastAsia="宋体" w:cs="Times New Roman"/>
          <w:color w:val="auto"/>
          <w:sz w:val="24"/>
          <w:szCs w:val="24"/>
          <w:highlight w:val="none"/>
        </w:rPr>
        <w:t>材料</w:t>
      </w:r>
      <w:r>
        <w:rPr>
          <w:rFonts w:hint="eastAsia" w:ascii="宋体" w:hAnsi="宋体" w:eastAsia="宋体" w:cs="Times New Roman"/>
          <w:color w:val="auto"/>
          <w:sz w:val="24"/>
          <w:szCs w:val="24"/>
          <w:highlight w:val="none"/>
        </w:rPr>
        <w:t>1，证明</w:t>
      </w:r>
      <w:r>
        <w:rPr>
          <w:rFonts w:ascii="宋体" w:hAnsi="宋体" w:eastAsia="宋体" w:cs="Times New Roman"/>
          <w:color w:val="auto"/>
          <w:sz w:val="24"/>
          <w:szCs w:val="24"/>
          <w:highlight w:val="none"/>
        </w:rPr>
        <w:t>材料</w:t>
      </w: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w:t>
      </w:r>
    </w:p>
    <w:p w14:paraId="6B8F8CF4">
      <w:pPr>
        <w:spacing w:line="360" w:lineRule="auto"/>
        <w:ind w:firstLine="482"/>
        <w:rPr>
          <w:rFonts w:ascii="宋体" w:hAnsi="宋体" w:eastAsia="宋体" w:cs="Times New Roman"/>
          <w:color w:val="auto"/>
          <w:sz w:val="24"/>
          <w:szCs w:val="24"/>
          <w:highlight w:val="none"/>
        </w:rPr>
      </w:pPr>
    </w:p>
    <w:p w14:paraId="2DD38F24">
      <w:pPr>
        <w:spacing w:line="360" w:lineRule="auto"/>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w:t>
      </w:r>
      <w:r>
        <w:rPr>
          <w:rFonts w:ascii="宋体" w:hAnsi="宋体" w:eastAsia="宋体" w:cs="Times New Roman"/>
          <w:color w:val="auto"/>
          <w:sz w:val="24"/>
          <w:szCs w:val="24"/>
          <w:highlight w:val="none"/>
        </w:rPr>
        <w:t>：</w:t>
      </w:r>
    </w:p>
    <w:p w14:paraId="1FDFC5CF">
      <w:pPr>
        <w:spacing w:line="360" w:lineRule="auto"/>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1.投标人必须</w:t>
      </w:r>
      <w:r>
        <w:rPr>
          <w:rFonts w:ascii="宋体" w:hAnsi="宋体" w:eastAsia="宋体" w:cs="Times New Roman"/>
          <w:color w:val="auto"/>
          <w:sz w:val="24"/>
          <w:szCs w:val="24"/>
          <w:highlight w:val="none"/>
        </w:rPr>
        <w:t>对商务要求中的实质性要求</w:t>
      </w:r>
      <w:r>
        <w:rPr>
          <w:rFonts w:hint="eastAsia" w:ascii="宋体" w:hAnsi="宋体" w:eastAsia="宋体" w:cs="Times New Roman"/>
          <w:i/>
          <w:color w:val="auto"/>
          <w:sz w:val="24"/>
          <w:szCs w:val="24"/>
          <w:highlight w:val="none"/>
          <w:u w:val="single"/>
        </w:rPr>
        <w:t>（加</w:t>
      </w:r>
      <w:r>
        <w:rPr>
          <w:rFonts w:ascii="宋体" w:hAnsi="宋体" w:eastAsia="宋体" w:cs="Times New Roman"/>
          <w:i/>
          <w:color w:val="auto"/>
          <w:sz w:val="24"/>
          <w:szCs w:val="24"/>
          <w:highlight w:val="none"/>
          <w:u w:val="single"/>
        </w:rPr>
        <w:t>斜体下划线内容</w:t>
      </w:r>
      <w:r>
        <w:rPr>
          <w:rFonts w:hint="eastAsia" w:ascii="宋体" w:hAnsi="宋体" w:eastAsia="宋体" w:cs="Times New Roman"/>
          <w:i/>
          <w:color w:val="auto"/>
          <w:sz w:val="24"/>
          <w:szCs w:val="24"/>
          <w:highlight w:val="none"/>
          <w:u w:val="single"/>
        </w:rPr>
        <w:t>）</w:t>
      </w:r>
      <w:r>
        <w:rPr>
          <w:rFonts w:ascii="宋体" w:hAnsi="宋体" w:eastAsia="宋体" w:cs="Times New Roman"/>
          <w:color w:val="auto"/>
          <w:sz w:val="24"/>
          <w:szCs w:val="24"/>
          <w:highlight w:val="none"/>
        </w:rPr>
        <w:t>逐条做出明确响应</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1"/>
          <w:highlight w:val="none"/>
        </w:rPr>
        <w:t>否则作无效投标处理</w:t>
      </w:r>
      <w:r>
        <w:rPr>
          <w:rFonts w:ascii="宋体" w:hAnsi="宋体" w:eastAsia="宋体" w:cs="Times New Roman"/>
          <w:color w:val="auto"/>
          <w:sz w:val="24"/>
          <w:szCs w:val="21"/>
          <w:highlight w:val="none"/>
        </w:rPr>
        <w:t>。</w:t>
      </w:r>
    </w:p>
    <w:p w14:paraId="2BC6A5DA">
      <w:pPr>
        <w:spacing w:line="360" w:lineRule="auto"/>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2.如果磋商文件</w:t>
      </w:r>
      <w:r>
        <w:rPr>
          <w:rFonts w:ascii="宋体" w:hAnsi="宋体" w:eastAsia="宋体" w:cs="Times New Roman"/>
          <w:color w:val="auto"/>
          <w:sz w:val="24"/>
          <w:szCs w:val="24"/>
          <w:highlight w:val="none"/>
        </w:rPr>
        <w:t>要求提供</w:t>
      </w:r>
      <w:r>
        <w:rPr>
          <w:rFonts w:hint="eastAsia" w:ascii="宋体" w:hAnsi="宋体" w:eastAsia="宋体" w:cs="Times New Roman"/>
          <w:color w:val="auto"/>
          <w:sz w:val="24"/>
          <w:szCs w:val="24"/>
          <w:highlight w:val="none"/>
        </w:rPr>
        <w:t>证明</w:t>
      </w:r>
      <w:r>
        <w:rPr>
          <w:rFonts w:ascii="宋体" w:hAnsi="宋体" w:eastAsia="宋体" w:cs="Times New Roman"/>
          <w:color w:val="auto"/>
          <w:sz w:val="24"/>
          <w:szCs w:val="24"/>
          <w:highlight w:val="none"/>
        </w:rPr>
        <w:t>材料，</w:t>
      </w:r>
      <w:r>
        <w:rPr>
          <w:rFonts w:hint="eastAsia" w:ascii="宋体" w:hAnsi="宋体" w:eastAsia="宋体" w:cs="Times New Roman"/>
          <w:color w:val="auto"/>
          <w:sz w:val="24"/>
          <w:szCs w:val="24"/>
          <w:highlight w:val="none"/>
        </w:rPr>
        <w:t>投标人必须</w:t>
      </w:r>
      <w:r>
        <w:rPr>
          <w:rFonts w:ascii="宋体" w:hAnsi="宋体" w:eastAsia="宋体" w:cs="Times New Roman"/>
          <w:color w:val="auto"/>
          <w:sz w:val="24"/>
          <w:szCs w:val="24"/>
          <w:highlight w:val="none"/>
        </w:rPr>
        <w:t>将证明材料</w:t>
      </w:r>
      <w:r>
        <w:rPr>
          <w:rFonts w:hint="eastAsia" w:ascii="宋体" w:hAnsi="宋体" w:eastAsia="宋体" w:cs="Times New Roman"/>
          <w:color w:val="auto"/>
          <w:sz w:val="24"/>
          <w:szCs w:val="24"/>
          <w:highlight w:val="none"/>
        </w:rPr>
        <w:t>列于</w:t>
      </w:r>
      <w:r>
        <w:rPr>
          <w:rFonts w:ascii="宋体" w:hAnsi="宋体" w:eastAsia="宋体" w:cs="Times New Roman"/>
          <w:color w:val="auto"/>
          <w:sz w:val="24"/>
          <w:szCs w:val="24"/>
          <w:highlight w:val="none"/>
        </w:rPr>
        <w:t>该表之下。</w:t>
      </w:r>
    </w:p>
    <w:p w14:paraId="76F5D025">
      <w:pPr>
        <w:spacing w:line="360" w:lineRule="auto"/>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3.投标人未对实质性要求逐条作出明确响应的，或未按磋商文件要求提供证明材料的，该分包作无效投标处理。</w:t>
      </w:r>
    </w:p>
    <w:p w14:paraId="5072C691">
      <w:pPr>
        <w:widowControl/>
        <w:spacing w:line="360" w:lineRule="auto"/>
        <w:ind w:firstLine="480"/>
        <w:jc w:val="center"/>
        <w:rPr>
          <w:rFonts w:ascii="宋体" w:hAnsi="宋体" w:eastAsia="宋体" w:cs="Times New Roman"/>
          <w:b/>
          <w:color w:val="auto"/>
          <w:sz w:val="24"/>
          <w:szCs w:val="24"/>
          <w:highlight w:val="none"/>
        </w:rPr>
      </w:pPr>
    </w:p>
    <w:p w14:paraId="42B9B267">
      <w:pPr>
        <w:pStyle w:val="21"/>
        <w:spacing w:line="360" w:lineRule="auto"/>
        <w:rPr>
          <w:color w:val="auto"/>
          <w:highlight w:val="none"/>
        </w:rPr>
      </w:pPr>
    </w:p>
    <w:p w14:paraId="42ED94A1">
      <w:pPr>
        <w:pStyle w:val="21"/>
        <w:rPr>
          <w:color w:val="auto"/>
          <w:highlight w:val="none"/>
        </w:rPr>
      </w:pPr>
    </w:p>
    <w:p w14:paraId="2BD53064">
      <w:pPr>
        <w:spacing w:line="360" w:lineRule="auto"/>
        <w:ind w:firstLine="480"/>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承诺书</w:t>
      </w:r>
    </w:p>
    <w:p w14:paraId="0BAD8D23">
      <w:pPr>
        <w:spacing w:line="360" w:lineRule="auto"/>
        <w:ind w:firstLine="480"/>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（格式自拟）</w:t>
      </w:r>
    </w:p>
    <w:p w14:paraId="189D6167">
      <w:pPr>
        <w:spacing w:line="360" w:lineRule="auto"/>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供应商除了填写上述“实质性商务要求响应及偏离表”，还应根据采购需求中的</w:t>
      </w:r>
      <w:r>
        <w:rPr>
          <w:rFonts w:ascii="宋体" w:hAnsi="宋体" w:eastAsia="宋体" w:cs="Times New Roman"/>
          <w:color w:val="auto"/>
          <w:sz w:val="24"/>
          <w:szCs w:val="24"/>
          <w:highlight w:val="none"/>
        </w:rPr>
        <w:t>商务</w:t>
      </w:r>
      <w:r>
        <w:rPr>
          <w:rFonts w:hint="eastAsia" w:ascii="宋体" w:hAnsi="宋体" w:eastAsia="宋体" w:cs="Times New Roman"/>
          <w:color w:val="auto"/>
          <w:sz w:val="24"/>
          <w:szCs w:val="24"/>
          <w:highlight w:val="none"/>
        </w:rPr>
        <w:t>部分</w:t>
      </w:r>
      <w:r>
        <w:rPr>
          <w:rFonts w:ascii="宋体" w:hAnsi="宋体" w:eastAsia="宋体" w:cs="Times New Roman"/>
          <w:color w:val="auto"/>
          <w:sz w:val="24"/>
          <w:szCs w:val="24"/>
          <w:highlight w:val="none"/>
        </w:rPr>
        <w:t>实质性要求</w:t>
      </w:r>
      <w:r>
        <w:rPr>
          <w:rFonts w:hint="eastAsia" w:ascii="宋体" w:hAnsi="宋体" w:eastAsia="宋体" w:cs="Times New Roman"/>
          <w:color w:val="auto"/>
          <w:sz w:val="24"/>
          <w:szCs w:val="24"/>
          <w:highlight w:val="none"/>
        </w:rPr>
        <w:t>提供承诺函，格式自拟。</w:t>
      </w:r>
    </w:p>
    <w:p w14:paraId="74C24CAB">
      <w:pPr>
        <w:spacing w:line="360" w:lineRule="auto"/>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br w:type="page"/>
      </w:r>
    </w:p>
    <w:p w14:paraId="2767964C">
      <w:pPr>
        <w:spacing w:line="560" w:lineRule="exact"/>
        <w:rPr>
          <w:rFonts w:hint="eastAsia" w:ascii="宋体" w:hAnsi="宋体" w:eastAsia="宋体" w:cs="Times New Roman"/>
          <w:b/>
          <w:color w:val="auto"/>
          <w:sz w:val="30"/>
          <w:szCs w:val="30"/>
          <w:highlight w:val="none"/>
          <w:lang w:eastAsia="zh-CN"/>
        </w:rPr>
      </w:pPr>
      <w:r>
        <w:rPr>
          <w:rFonts w:hint="eastAsia" w:ascii="宋体" w:hAnsi="宋体" w:eastAsia="宋体" w:cs="Times New Roman"/>
          <w:b/>
          <w:color w:val="auto"/>
          <w:sz w:val="30"/>
          <w:szCs w:val="30"/>
          <w:highlight w:val="none"/>
        </w:rPr>
        <w:t>附件1</w:t>
      </w:r>
      <w:r>
        <w:rPr>
          <w:rFonts w:hint="eastAsia" w:ascii="宋体" w:hAnsi="宋体" w:eastAsia="宋体" w:cs="Times New Roman"/>
          <w:b/>
          <w:color w:val="auto"/>
          <w:sz w:val="30"/>
          <w:szCs w:val="30"/>
          <w:highlight w:val="none"/>
          <w:lang w:val="en-US" w:eastAsia="zh-CN"/>
        </w:rPr>
        <w:t>4</w:t>
      </w:r>
    </w:p>
    <w:p w14:paraId="39BE9A59">
      <w:pPr>
        <w:widowControl/>
        <w:shd w:val="clear" w:color="auto" w:fill="FFFFFF"/>
        <w:snapToGrid w:val="0"/>
        <w:spacing w:beforeLines="200" w:afterLines="200" w:line="480" w:lineRule="auto"/>
        <w:ind w:firstLine="602" w:firstLineChars="200"/>
        <w:contextualSpacing/>
        <w:jc w:val="center"/>
        <w:rPr>
          <w:rFonts w:ascii="Calibri" w:hAnsi="Calibri" w:eastAsia="宋体" w:cs="Times New Roman"/>
          <w:b/>
          <w:color w:val="auto"/>
          <w:sz w:val="30"/>
          <w:szCs w:val="30"/>
          <w:highlight w:val="none"/>
        </w:rPr>
      </w:pPr>
      <w:r>
        <w:rPr>
          <w:rFonts w:hint="eastAsia" w:ascii="宋体" w:hAnsi="宋体" w:eastAsia="宋体" w:cs="Times New Roman"/>
          <w:b/>
          <w:bCs/>
          <w:color w:val="auto"/>
          <w:sz w:val="30"/>
          <w:szCs w:val="30"/>
          <w:highlight w:val="none"/>
        </w:rPr>
        <w:t xml:space="preserve"> 业绩</w:t>
      </w:r>
      <w:r>
        <w:rPr>
          <w:rFonts w:hint="eastAsia" w:ascii="宋体" w:hAnsi="宋体" w:eastAsia="宋体" w:cs="Times New Roman"/>
          <w:b/>
          <w:color w:val="auto"/>
          <w:sz w:val="30"/>
          <w:szCs w:val="30"/>
          <w:highlight w:val="none"/>
        </w:rPr>
        <w:t>证明</w:t>
      </w:r>
    </w:p>
    <w:p w14:paraId="2183DC57">
      <w:pPr>
        <w:widowControl/>
        <w:spacing w:line="360" w:lineRule="auto"/>
        <w:ind w:firstLine="482"/>
        <w:jc w:val="left"/>
        <w:rPr>
          <w:rFonts w:ascii="Calibri" w:hAnsi="Calibri"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兹证明：</w:t>
      </w:r>
    </w:p>
    <w:p w14:paraId="705978C9">
      <w:pPr>
        <w:adjustRightInd w:val="0"/>
        <w:spacing w:before="48" w:after="48" w:line="360" w:lineRule="auto"/>
        <w:ind w:left="105" w:right="105" w:firstLine="482"/>
        <w:jc w:val="left"/>
        <w:textAlignment w:val="baseline"/>
        <w:rPr>
          <w:rFonts w:ascii="Calibri" w:hAnsi="Calibri"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u w:val="single"/>
        </w:rPr>
        <w:t>（供应商名称）</w:t>
      </w:r>
      <w:r>
        <w:rPr>
          <w:rFonts w:hint="eastAsia" w:ascii="宋体" w:hAnsi="宋体" w:eastAsia="宋体" w:cs="Times New Roman"/>
          <w:color w:val="auto"/>
          <w:kern w:val="0"/>
          <w:sz w:val="24"/>
          <w:szCs w:val="24"/>
          <w:highlight w:val="none"/>
        </w:rPr>
        <w:t>在我单位的</w:t>
      </w:r>
      <w:r>
        <w:rPr>
          <w:rFonts w:hint="eastAsia" w:ascii="宋体" w:hAnsi="宋体" w:eastAsia="宋体" w:cs="Times New Roman"/>
          <w:color w:val="auto"/>
          <w:kern w:val="0"/>
          <w:sz w:val="24"/>
          <w:szCs w:val="24"/>
          <w:highlight w:val="none"/>
          <w:u w:val="single"/>
        </w:rPr>
        <w:t>（项目名称、编号）</w:t>
      </w:r>
      <w:r>
        <w:rPr>
          <w:rFonts w:hint="eastAsia" w:ascii="宋体" w:hAnsi="宋体" w:eastAsia="宋体" w:cs="Times New Roman"/>
          <w:color w:val="auto"/>
          <w:kern w:val="0"/>
          <w:sz w:val="24"/>
          <w:szCs w:val="24"/>
          <w:highlight w:val="none"/>
        </w:rPr>
        <w:t>项目中，项目实施内容包含</w:t>
      </w:r>
      <w:r>
        <w:rPr>
          <w:rFonts w:hint="eastAsia" w:ascii="宋体" w:hAnsi="宋体" w:eastAsia="宋体" w:cs="Times New Roman"/>
          <w:color w:val="auto"/>
          <w:kern w:val="0"/>
          <w:sz w:val="24"/>
          <w:szCs w:val="24"/>
          <w:highlight w:val="none"/>
          <w:u w:val="single"/>
        </w:rPr>
        <w:t>（实施内容等）</w:t>
      </w:r>
      <w:r>
        <w:rPr>
          <w:rFonts w:hint="eastAsia" w:ascii="宋体" w:hAnsi="宋体" w:eastAsia="宋体" w:cs="Times New Roman"/>
          <w:color w:val="auto"/>
          <w:kern w:val="0"/>
          <w:sz w:val="24"/>
          <w:szCs w:val="24"/>
          <w:highlight w:val="none"/>
        </w:rPr>
        <w:t>。</w:t>
      </w:r>
      <w:r>
        <w:rPr>
          <w:rFonts w:hint="eastAsia" w:ascii="宋体" w:hAnsi="宋体" w:eastAsia="宋体" w:cs="Times New Roman"/>
          <w:color w:val="auto"/>
          <w:kern w:val="0"/>
          <w:sz w:val="24"/>
          <w:szCs w:val="24"/>
          <w:highlight w:val="none"/>
          <w:u w:val="single"/>
        </w:rPr>
        <w:t>（项目名称、编号）</w:t>
      </w:r>
      <w:r>
        <w:rPr>
          <w:rFonts w:hint="eastAsia" w:ascii="宋体" w:hAnsi="宋体" w:eastAsia="宋体" w:cs="Times New Roman"/>
          <w:color w:val="auto"/>
          <w:kern w:val="0"/>
          <w:sz w:val="24"/>
          <w:szCs w:val="24"/>
          <w:highlight w:val="none"/>
        </w:rPr>
        <w:t>项目实施未发生安全事故，验收结果符合相关国家、行业标准和规范的要求。</w:t>
      </w:r>
    </w:p>
    <w:p w14:paraId="7F032661">
      <w:pPr>
        <w:widowControl/>
        <w:autoSpaceDE w:val="0"/>
        <w:spacing w:line="360" w:lineRule="auto"/>
        <w:ind w:firstLine="482"/>
        <w:jc w:val="left"/>
        <w:rPr>
          <w:rFonts w:ascii="宋体" w:hAnsi="宋体" w:eastAsia="宋体" w:cs="Times New Roman"/>
          <w:color w:val="auto"/>
          <w:kern w:val="0"/>
          <w:sz w:val="24"/>
          <w:szCs w:val="24"/>
          <w:highlight w:val="none"/>
        </w:rPr>
      </w:pPr>
    </w:p>
    <w:p w14:paraId="10025D70">
      <w:pPr>
        <w:widowControl/>
        <w:autoSpaceDE w:val="0"/>
        <w:spacing w:line="360" w:lineRule="auto"/>
        <w:ind w:firstLine="482"/>
        <w:jc w:val="left"/>
        <w:rPr>
          <w:rFonts w:ascii="Calibri" w:hAnsi="Calibri"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特此证明。</w:t>
      </w:r>
    </w:p>
    <w:p w14:paraId="253AAAF4">
      <w:pPr>
        <w:widowControl/>
        <w:tabs>
          <w:tab w:val="left" w:pos="463"/>
        </w:tabs>
        <w:autoSpaceDE w:val="0"/>
        <w:spacing w:line="360" w:lineRule="auto"/>
        <w:ind w:firstLine="480" w:firstLineChars="200"/>
        <w:jc w:val="left"/>
        <w:rPr>
          <w:rFonts w:ascii="宋体" w:hAnsi="宋体" w:eastAsia="宋体" w:cs="Times New Roman"/>
          <w:color w:val="auto"/>
          <w:kern w:val="0"/>
          <w:sz w:val="24"/>
          <w:szCs w:val="24"/>
          <w:highlight w:val="none"/>
        </w:rPr>
      </w:pPr>
    </w:p>
    <w:p w14:paraId="7CF81AF4">
      <w:pPr>
        <w:widowControl/>
        <w:tabs>
          <w:tab w:val="left" w:pos="463"/>
        </w:tabs>
        <w:autoSpaceDE w:val="0"/>
        <w:spacing w:line="360" w:lineRule="auto"/>
        <w:ind w:firstLine="480" w:firstLineChars="200"/>
        <w:jc w:val="lef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联系人：             联系方式：</w:t>
      </w:r>
    </w:p>
    <w:p w14:paraId="52150BCD">
      <w:pPr>
        <w:widowControl/>
        <w:spacing w:line="360" w:lineRule="auto"/>
        <w:ind w:right="105" w:firstLine="482"/>
        <w:jc w:val="right"/>
        <w:rPr>
          <w:rFonts w:ascii="宋体" w:hAnsi="宋体" w:eastAsia="宋体" w:cs="Times New Roman"/>
          <w:color w:val="auto"/>
          <w:kern w:val="0"/>
          <w:sz w:val="24"/>
          <w:szCs w:val="24"/>
          <w:highlight w:val="none"/>
        </w:rPr>
      </w:pPr>
    </w:p>
    <w:p w14:paraId="0C3A7134">
      <w:pPr>
        <w:widowControl/>
        <w:spacing w:line="360" w:lineRule="auto"/>
        <w:ind w:right="105" w:firstLine="482"/>
        <w:jc w:val="right"/>
        <w:rPr>
          <w:rFonts w:ascii="Calibri" w:hAnsi="Calibri"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证明人（公章）：</w:t>
      </w:r>
    </w:p>
    <w:p w14:paraId="4891B395">
      <w:pPr>
        <w:widowControl/>
        <w:spacing w:line="360" w:lineRule="auto"/>
        <w:ind w:right="585" w:firstLine="482"/>
        <w:rPr>
          <w:rFonts w:ascii="宋体" w:hAnsi="宋体" w:eastAsia="宋体" w:cs="Times New Roman"/>
          <w:color w:val="auto"/>
          <w:kern w:val="0"/>
          <w:sz w:val="24"/>
          <w:szCs w:val="24"/>
          <w:highlight w:val="none"/>
        </w:rPr>
      </w:pPr>
    </w:p>
    <w:p w14:paraId="0CBF4B06">
      <w:pPr>
        <w:widowControl/>
        <w:spacing w:line="360" w:lineRule="auto"/>
        <w:ind w:right="585" w:firstLine="7200" w:firstLineChars="3000"/>
        <w:rPr>
          <w:rFonts w:ascii="Calibri" w:hAnsi="Calibri"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年  月  日</w:t>
      </w:r>
    </w:p>
    <w:p w14:paraId="7E840A17">
      <w:pPr>
        <w:spacing w:line="360" w:lineRule="auto"/>
        <w:ind w:firstLine="480"/>
        <w:rPr>
          <w:rFonts w:ascii="Calibri" w:hAnsi="Calibri" w:eastAsia="方正仿宋_GB2312" w:cs="Times New Roman"/>
          <w:color w:val="auto"/>
          <w:kern w:val="0"/>
          <w:sz w:val="24"/>
          <w:szCs w:val="24"/>
          <w:highlight w:val="none"/>
        </w:rPr>
      </w:pPr>
    </w:p>
    <w:p w14:paraId="1BE5CFEF">
      <w:pPr>
        <w:spacing w:line="360" w:lineRule="auto"/>
        <w:ind w:firstLine="480"/>
        <w:rPr>
          <w:rFonts w:ascii="Calibri" w:hAnsi="Calibri" w:eastAsia="方正仿宋_GB2312" w:cs="Times New Roman"/>
          <w:color w:val="auto"/>
          <w:kern w:val="0"/>
          <w:sz w:val="24"/>
          <w:szCs w:val="24"/>
          <w:highlight w:val="none"/>
        </w:rPr>
      </w:pPr>
    </w:p>
    <w:p w14:paraId="44298C14">
      <w:pPr>
        <w:widowControl/>
        <w:ind w:firstLine="640"/>
        <w:jc w:val="left"/>
        <w:rPr>
          <w:rFonts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br w:type="page"/>
      </w:r>
    </w:p>
    <w:p w14:paraId="5E9F5A54">
      <w:pPr>
        <w:spacing w:line="560" w:lineRule="exact"/>
        <w:rPr>
          <w:rFonts w:hint="eastAsia" w:ascii="宋体" w:hAnsi="宋体" w:eastAsia="宋体" w:cs="Times New Roman"/>
          <w:b/>
          <w:color w:val="auto"/>
          <w:sz w:val="30"/>
          <w:szCs w:val="30"/>
          <w:highlight w:val="none"/>
          <w:lang w:eastAsia="zh-CN"/>
        </w:rPr>
      </w:pPr>
      <w:r>
        <w:rPr>
          <w:rFonts w:hint="eastAsia" w:ascii="宋体" w:hAnsi="宋体" w:eastAsia="宋体" w:cs="Times New Roman"/>
          <w:b/>
          <w:color w:val="auto"/>
          <w:sz w:val="30"/>
          <w:szCs w:val="30"/>
          <w:highlight w:val="none"/>
        </w:rPr>
        <w:t>附件1</w:t>
      </w:r>
      <w:r>
        <w:rPr>
          <w:rFonts w:hint="eastAsia" w:ascii="宋体" w:hAnsi="宋体" w:eastAsia="宋体" w:cs="Times New Roman"/>
          <w:b/>
          <w:color w:val="auto"/>
          <w:sz w:val="30"/>
          <w:szCs w:val="30"/>
          <w:highlight w:val="none"/>
          <w:lang w:val="en-US" w:eastAsia="zh-CN"/>
        </w:rPr>
        <w:t>5</w:t>
      </w:r>
    </w:p>
    <w:p w14:paraId="7B11054F">
      <w:pPr>
        <w:ind w:firstLine="640"/>
        <w:jc w:val="center"/>
        <w:rPr>
          <w:rFonts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t>质疑函范本</w:t>
      </w:r>
    </w:p>
    <w:p w14:paraId="3C29D53A">
      <w:pPr>
        <w:adjustRightInd w:val="0"/>
        <w:snapToGrid w:val="0"/>
        <w:spacing w:beforeLines="100" w:line="360" w:lineRule="auto"/>
        <w:rPr>
          <w:rFonts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一、质疑投标人基本信息</w:t>
      </w:r>
    </w:p>
    <w:p w14:paraId="7BAC3EEB">
      <w:pPr>
        <w:adjustRightInd w:val="0"/>
        <w:snapToGrid w:val="0"/>
        <w:spacing w:line="360" w:lineRule="auto"/>
        <w:rPr>
          <w:rFonts w:ascii="宋体" w:hAnsi="宋体" w:eastAsia="宋体" w:cs="仿宋"/>
          <w:color w:val="auto"/>
          <w:sz w:val="24"/>
          <w:szCs w:val="24"/>
          <w:highlight w:val="none"/>
          <w:u w:val="dotted"/>
        </w:rPr>
      </w:pPr>
      <w:r>
        <w:rPr>
          <w:rFonts w:hint="eastAsia" w:ascii="宋体" w:hAnsi="宋体" w:eastAsia="宋体" w:cs="仿宋"/>
          <w:color w:val="auto"/>
          <w:sz w:val="24"/>
          <w:szCs w:val="24"/>
          <w:highlight w:val="none"/>
        </w:rPr>
        <w:t>质疑投标人：</w:t>
      </w:r>
    </w:p>
    <w:p w14:paraId="002C2E4C">
      <w:pPr>
        <w:adjustRightInd w:val="0"/>
        <w:snapToGrid w:val="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地址：邮编：</w:t>
      </w:r>
    </w:p>
    <w:p w14:paraId="33C640B3">
      <w:pPr>
        <w:adjustRightInd w:val="0"/>
        <w:snapToGrid w:val="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联系人：联系电话：</w:t>
      </w:r>
    </w:p>
    <w:p w14:paraId="2F542049">
      <w:pPr>
        <w:adjustRightInd w:val="0"/>
        <w:snapToGrid w:val="0"/>
        <w:spacing w:line="360" w:lineRule="auto"/>
        <w:rPr>
          <w:rFonts w:ascii="宋体" w:hAnsi="宋体" w:eastAsia="宋体" w:cs="仿宋"/>
          <w:color w:val="auto"/>
          <w:sz w:val="24"/>
          <w:szCs w:val="24"/>
          <w:highlight w:val="none"/>
          <w:u w:val="dotted"/>
        </w:rPr>
      </w:pPr>
      <w:r>
        <w:rPr>
          <w:rFonts w:hint="eastAsia" w:ascii="宋体" w:hAnsi="宋体" w:eastAsia="宋体" w:cs="仿宋"/>
          <w:color w:val="auto"/>
          <w:sz w:val="24"/>
          <w:szCs w:val="24"/>
          <w:highlight w:val="none"/>
        </w:rPr>
        <w:t>授权代表：</w:t>
      </w:r>
    </w:p>
    <w:p w14:paraId="3A10C11C">
      <w:pPr>
        <w:adjustRightInd w:val="0"/>
        <w:snapToGrid w:val="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联系电话：</w:t>
      </w:r>
    </w:p>
    <w:p w14:paraId="7F55AEBF">
      <w:pPr>
        <w:adjustRightInd w:val="0"/>
        <w:snapToGrid w:val="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地址：邮编：</w:t>
      </w:r>
    </w:p>
    <w:p w14:paraId="1429B3D5">
      <w:pPr>
        <w:adjustRightInd w:val="0"/>
        <w:snapToGrid w:val="0"/>
        <w:spacing w:line="360" w:lineRule="auto"/>
        <w:rPr>
          <w:rFonts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二、质疑项目基本情况</w:t>
      </w:r>
    </w:p>
    <w:p w14:paraId="2DEECF4D">
      <w:pPr>
        <w:adjustRightInd w:val="0"/>
        <w:snapToGrid w:val="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质疑项目的名称：</w:t>
      </w:r>
    </w:p>
    <w:p w14:paraId="71FAC146">
      <w:pPr>
        <w:adjustRightInd w:val="0"/>
        <w:snapToGrid w:val="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质疑项目的编号：包号：</w:t>
      </w:r>
    </w:p>
    <w:p w14:paraId="32648B7F">
      <w:pPr>
        <w:adjustRightInd w:val="0"/>
        <w:snapToGrid w:val="0"/>
        <w:spacing w:line="360" w:lineRule="auto"/>
        <w:rPr>
          <w:rFonts w:ascii="宋体" w:hAnsi="宋体" w:eastAsia="宋体" w:cs="仿宋"/>
          <w:color w:val="auto"/>
          <w:sz w:val="24"/>
          <w:szCs w:val="24"/>
          <w:highlight w:val="none"/>
          <w:u w:val="dotted"/>
        </w:rPr>
      </w:pPr>
      <w:r>
        <w:rPr>
          <w:rFonts w:hint="eastAsia" w:ascii="宋体" w:hAnsi="宋体" w:eastAsia="宋体" w:cs="仿宋"/>
          <w:color w:val="auto"/>
          <w:sz w:val="24"/>
          <w:szCs w:val="24"/>
          <w:highlight w:val="none"/>
        </w:rPr>
        <w:t>采购人名称：</w:t>
      </w:r>
    </w:p>
    <w:p w14:paraId="7D1A72D3">
      <w:pPr>
        <w:adjustRightInd w:val="0"/>
        <w:snapToGrid w:val="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采购文件获取日期：</w:t>
      </w:r>
    </w:p>
    <w:p w14:paraId="74211E5D">
      <w:pPr>
        <w:adjustRightInd w:val="0"/>
        <w:snapToGrid w:val="0"/>
        <w:spacing w:line="360" w:lineRule="auto"/>
        <w:rPr>
          <w:rFonts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三、质疑事项具体内容</w:t>
      </w:r>
    </w:p>
    <w:p w14:paraId="07649745">
      <w:pPr>
        <w:adjustRightInd w:val="0"/>
        <w:snapToGrid w:val="0"/>
        <w:spacing w:line="360" w:lineRule="auto"/>
        <w:rPr>
          <w:rFonts w:ascii="宋体" w:hAnsi="宋体" w:eastAsia="宋体" w:cs="仿宋"/>
          <w:color w:val="auto"/>
          <w:sz w:val="24"/>
          <w:szCs w:val="24"/>
          <w:highlight w:val="none"/>
          <w:u w:val="dotted"/>
        </w:rPr>
      </w:pPr>
      <w:r>
        <w:rPr>
          <w:rFonts w:hint="eastAsia" w:ascii="宋体" w:hAnsi="宋体" w:eastAsia="宋体" w:cs="仿宋"/>
          <w:color w:val="auto"/>
          <w:sz w:val="24"/>
          <w:szCs w:val="24"/>
          <w:highlight w:val="none"/>
        </w:rPr>
        <w:t>质疑事项1：</w:t>
      </w:r>
    </w:p>
    <w:p w14:paraId="246D9523">
      <w:pPr>
        <w:adjustRightInd w:val="0"/>
        <w:snapToGrid w:val="0"/>
        <w:spacing w:line="360" w:lineRule="auto"/>
        <w:rPr>
          <w:rFonts w:ascii="宋体" w:hAnsi="宋体" w:eastAsia="宋体" w:cs="仿宋"/>
          <w:color w:val="auto"/>
          <w:sz w:val="24"/>
          <w:szCs w:val="24"/>
          <w:highlight w:val="none"/>
          <w:u w:val="dotted"/>
        </w:rPr>
      </w:pPr>
      <w:r>
        <w:rPr>
          <w:rFonts w:hint="eastAsia" w:ascii="宋体" w:hAnsi="宋体" w:eastAsia="宋体" w:cs="仿宋"/>
          <w:color w:val="auto"/>
          <w:sz w:val="24"/>
          <w:szCs w:val="24"/>
          <w:highlight w:val="none"/>
        </w:rPr>
        <w:t>事实依据：</w:t>
      </w:r>
    </w:p>
    <w:p w14:paraId="2EF09197">
      <w:pPr>
        <w:adjustRightInd w:val="0"/>
        <w:snapToGrid w:val="0"/>
        <w:spacing w:line="360" w:lineRule="auto"/>
        <w:rPr>
          <w:rFonts w:ascii="宋体" w:hAnsi="宋体" w:eastAsia="宋体" w:cs="仿宋"/>
          <w:color w:val="auto"/>
          <w:sz w:val="24"/>
          <w:szCs w:val="24"/>
          <w:highlight w:val="none"/>
        </w:rPr>
      </w:pPr>
    </w:p>
    <w:p w14:paraId="781FDFCB">
      <w:pPr>
        <w:adjustRightInd w:val="0"/>
        <w:snapToGrid w:val="0"/>
        <w:spacing w:line="360" w:lineRule="auto"/>
        <w:rPr>
          <w:rFonts w:ascii="宋体" w:hAnsi="宋体" w:eastAsia="宋体" w:cs="仿宋"/>
          <w:color w:val="auto"/>
          <w:sz w:val="24"/>
          <w:szCs w:val="24"/>
          <w:highlight w:val="none"/>
          <w:u w:val="dotted"/>
        </w:rPr>
      </w:pPr>
      <w:r>
        <w:rPr>
          <w:rFonts w:hint="eastAsia" w:ascii="宋体" w:hAnsi="宋体" w:eastAsia="宋体" w:cs="仿宋"/>
          <w:color w:val="auto"/>
          <w:sz w:val="24"/>
          <w:szCs w:val="24"/>
          <w:highlight w:val="none"/>
        </w:rPr>
        <w:t>法律依据：</w:t>
      </w:r>
    </w:p>
    <w:p w14:paraId="204DC536">
      <w:pPr>
        <w:adjustRightInd w:val="0"/>
        <w:snapToGrid w:val="0"/>
        <w:spacing w:line="360" w:lineRule="auto"/>
        <w:rPr>
          <w:rFonts w:ascii="宋体" w:hAnsi="宋体" w:eastAsia="宋体" w:cs="仿宋"/>
          <w:color w:val="auto"/>
          <w:sz w:val="24"/>
          <w:szCs w:val="24"/>
          <w:highlight w:val="none"/>
          <w:u w:val="dotted"/>
        </w:rPr>
      </w:pPr>
    </w:p>
    <w:p w14:paraId="7EEFC45C">
      <w:pPr>
        <w:adjustRightInd w:val="0"/>
        <w:snapToGrid w:val="0"/>
        <w:spacing w:line="360" w:lineRule="auto"/>
        <w:rPr>
          <w:rFonts w:ascii="宋体" w:hAnsi="宋体" w:eastAsia="宋体" w:cs="仿宋"/>
          <w:color w:val="auto"/>
          <w:sz w:val="24"/>
          <w:szCs w:val="24"/>
          <w:highlight w:val="none"/>
          <w:u w:val="dotted"/>
        </w:rPr>
      </w:pPr>
      <w:r>
        <w:rPr>
          <w:rFonts w:hint="eastAsia" w:ascii="宋体" w:hAnsi="宋体" w:eastAsia="宋体" w:cs="仿宋"/>
          <w:color w:val="auto"/>
          <w:sz w:val="24"/>
          <w:szCs w:val="24"/>
          <w:highlight w:val="none"/>
        </w:rPr>
        <w:t>质疑事项2</w:t>
      </w:r>
    </w:p>
    <w:p w14:paraId="1D2874AA">
      <w:pPr>
        <w:adjustRightInd w:val="0"/>
        <w:snapToGrid w:val="0"/>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w:t>
      </w:r>
    </w:p>
    <w:p w14:paraId="790DB71D">
      <w:pPr>
        <w:adjustRightInd w:val="0"/>
        <w:snapToGrid w:val="0"/>
        <w:spacing w:line="360" w:lineRule="auto"/>
        <w:rPr>
          <w:rFonts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四、与质疑事项相关的质疑请求</w:t>
      </w:r>
    </w:p>
    <w:p w14:paraId="6AEA615E">
      <w:pPr>
        <w:adjustRightInd w:val="0"/>
        <w:snapToGrid w:val="0"/>
        <w:spacing w:line="360" w:lineRule="auto"/>
        <w:rPr>
          <w:rFonts w:ascii="宋体" w:hAnsi="宋体" w:eastAsia="宋体" w:cs="仿宋"/>
          <w:color w:val="auto"/>
          <w:sz w:val="24"/>
          <w:szCs w:val="24"/>
          <w:highlight w:val="none"/>
          <w:u w:val="dotted"/>
        </w:rPr>
      </w:pPr>
      <w:r>
        <w:rPr>
          <w:rFonts w:hint="eastAsia" w:ascii="宋体" w:hAnsi="宋体" w:eastAsia="宋体" w:cs="仿宋"/>
          <w:color w:val="auto"/>
          <w:sz w:val="24"/>
          <w:szCs w:val="24"/>
          <w:highlight w:val="none"/>
        </w:rPr>
        <w:t>请求：</w:t>
      </w:r>
    </w:p>
    <w:p w14:paraId="3349BC58">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p>
    <w:p w14:paraId="07EDEA7F">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p>
    <w:p w14:paraId="314F089F">
      <w:pPr>
        <w:spacing w:line="4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质疑函制作说明：</w:t>
      </w:r>
    </w:p>
    <w:p w14:paraId="28C18299">
      <w:pPr>
        <w:widowControl/>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1.投标人提出质疑时，应提交质疑函和必要的证明材料。</w:t>
      </w:r>
    </w:p>
    <w:p w14:paraId="3B627EEB">
      <w:pPr>
        <w:widowControl/>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2.质疑投标人若委托代理人进行质疑的，质疑函应按要求列明“授权代表”的有关内容，并在附件中提交由质疑</w:t>
      </w:r>
      <w:r>
        <w:rPr>
          <w:rFonts w:hint="eastAsia" w:ascii="宋体" w:hAnsi="宋体" w:eastAsia="宋体" w:cs="宋体"/>
          <w:color w:val="auto"/>
          <w:kern w:val="0"/>
          <w:sz w:val="24"/>
          <w:szCs w:val="24"/>
          <w:highlight w:val="none"/>
        </w:rPr>
        <w:t>投标人签署的授权委托书。授权委托书应载明代理人的姓名或者名称、代理事项、具体权限、期限和相关事项。</w:t>
      </w:r>
    </w:p>
    <w:p w14:paraId="2697472B">
      <w:pPr>
        <w:widowControl/>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3.质疑投标人若对项目的某一分包进行质疑，质疑函中应列明具体分包号。</w:t>
      </w:r>
    </w:p>
    <w:p w14:paraId="571A97B4">
      <w:pPr>
        <w:widowControl/>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4.质疑函的质疑事项应具体、明确，并有必要的事实依据和法律依据。</w:t>
      </w:r>
    </w:p>
    <w:p w14:paraId="7848FC01">
      <w:pPr>
        <w:widowControl/>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5.质疑函的质疑请求应与质疑事项相关。</w:t>
      </w:r>
    </w:p>
    <w:p w14:paraId="0EC3EA54">
      <w:pPr>
        <w:widowControl/>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6.质疑投标人为自然人的，质疑函应由本人签字；质疑投标人为法人或者其他组织的，质疑函应由法定代表人、主要负责人，或者其授权代表签字或者盖章，并加盖公章。</w:t>
      </w:r>
    </w:p>
    <w:p w14:paraId="188B605F">
      <w:pPr>
        <w:spacing w:line="360" w:lineRule="auto"/>
        <w:rPr>
          <w:rFonts w:ascii="方正仿宋_GB2312" w:hAnsi="Times New Roman" w:eastAsia="方正仿宋_GB2312" w:cs="Times New Roman"/>
          <w:color w:val="auto"/>
          <w:kern w:val="0"/>
          <w:sz w:val="30"/>
          <w:szCs w:val="30"/>
          <w:highlight w:val="none"/>
        </w:rPr>
      </w:pPr>
    </w:p>
    <w:p w14:paraId="524EC922">
      <w:pPr>
        <w:rPr>
          <w:rFonts w:ascii="Times New Roman" w:hAnsi="Times New Roman" w:eastAsia="宋体" w:cs="Times New Roman"/>
          <w:color w:val="auto"/>
          <w:kern w:val="0"/>
          <w:sz w:val="24"/>
          <w:szCs w:val="24"/>
          <w:highlight w:val="none"/>
        </w:rPr>
      </w:pPr>
    </w:p>
    <w:p w14:paraId="097F4B75">
      <w:pPr>
        <w:rPr>
          <w:rFonts w:ascii="Times New Roman" w:hAnsi="Times New Roman" w:eastAsia="宋体" w:cs="Times New Roman"/>
          <w:color w:val="auto"/>
          <w:kern w:val="0"/>
          <w:sz w:val="24"/>
          <w:szCs w:val="24"/>
          <w:highlight w:val="none"/>
        </w:rPr>
      </w:pPr>
    </w:p>
    <w:p w14:paraId="30EFF0DF">
      <w:pPr>
        <w:spacing w:line="360" w:lineRule="auto"/>
        <w:jc w:val="left"/>
        <w:rPr>
          <w:rFonts w:ascii="方正仿宋_GB2312" w:hAnsi="Times New Roman" w:eastAsia="方正仿宋_GB2312" w:cs="Times New Roman"/>
          <w:color w:val="auto"/>
          <w:kern w:val="0"/>
          <w:sz w:val="30"/>
          <w:szCs w:val="30"/>
          <w:highlight w:val="none"/>
        </w:rPr>
      </w:pPr>
    </w:p>
    <w:p w14:paraId="74F6D2C0">
      <w:pPr>
        <w:rPr>
          <w:rFonts w:ascii="Times New Roman" w:hAnsi="Times New Roman" w:eastAsia="宋体" w:cs="Times New Roman"/>
          <w:color w:val="auto"/>
          <w:szCs w:val="21"/>
          <w:highlight w:val="none"/>
        </w:rPr>
      </w:pPr>
    </w:p>
    <w:p w14:paraId="39951FB9">
      <w:pPr>
        <w:widowControl/>
        <w:ind w:firstLine="643"/>
        <w:jc w:val="left"/>
        <w:rPr>
          <w:rFonts w:cs="仿宋_GB2312" w:asciiTheme="minorEastAsia" w:hAnsiTheme="minorEastAsia"/>
          <w:color w:val="auto"/>
          <w:kern w:val="0"/>
          <w:sz w:val="32"/>
          <w:szCs w:val="32"/>
          <w:highlight w:val="none"/>
        </w:rPr>
      </w:pPr>
    </w:p>
    <w:bookmarkEnd w:id="129"/>
    <w:sectPr>
      <w:footerReference r:id="rId5" w:type="default"/>
      <w:pgSz w:w="11907" w:h="16839"/>
      <w:pgMar w:top="1418" w:right="1418" w:bottom="1418" w:left="1418" w:header="720" w:footer="720" w:gutter="0"/>
      <w:pgNumType w:start="1"/>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0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606E1A4-FA5E-49B9-9378-F0FBCF7EA047}"/>
  </w:font>
  <w:font w:name="黑体">
    <w:panose1 w:val="02010609060101010101"/>
    <w:charset w:val="86"/>
    <w:family w:val="auto"/>
    <w:pitch w:val="default"/>
    <w:sig w:usb0="800002BF" w:usb1="38CF7CFA" w:usb2="00000016" w:usb3="00000000" w:csb0="00040001" w:csb1="00000000"/>
    <w:embedRegular r:id="rId2" w:fontKey="{360E1604-E020-4F5C-BFED-33C92AA05B87}"/>
  </w:font>
  <w:font w:name="Courier New">
    <w:panose1 w:val="02070309020205020404"/>
    <w:charset w:val="01"/>
    <w:family w:val="modern"/>
    <w:pitch w:val="default"/>
    <w:sig w:usb0="E0002EFF" w:usb1="C0007843" w:usb2="00000009" w:usb3="00000000" w:csb0="400001FF" w:csb1="FFFF0000"/>
    <w:embedRegular r:id="rId3" w:fontKey="{0776AD95-92D8-422A-A0B5-A1EBBD4A7F43}"/>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F15EEDD9-45AF-48A2-858D-B6F7C3FC7250}"/>
  </w:font>
  <w:font w:name="新宋体">
    <w:panose1 w:val="02010609030101010101"/>
    <w:charset w:val="86"/>
    <w:family w:val="modern"/>
    <w:pitch w:val="default"/>
    <w:sig w:usb0="00000203" w:usb1="288F0000" w:usb2="0000000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swiss"/>
    <w:pitch w:val="default"/>
    <w:sig w:usb0="FFFFFFFF" w:usb1="E9FFFFFF" w:usb2="0000003F" w:usb3="00000000" w:csb0="603F01FF" w:csb1="FFFF0000"/>
  </w:font>
  <w:font w:name="仿宋_GB2312">
    <w:panose1 w:val="02010609030101010101"/>
    <w:charset w:val="86"/>
    <w:family w:val="modern"/>
    <w:pitch w:val="default"/>
    <w:sig w:usb0="00000001" w:usb1="080E0000" w:usb2="00000000" w:usb3="00000000" w:csb0="00040000" w:csb1="00000000"/>
    <w:embedRegular r:id="rId5" w:fontKey="{2DB38CE5-2DB1-466E-9543-D1F8452B7356}"/>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embedRegular r:id="rId6" w:fontKey="{8D888D0E-2CE2-4E72-8531-88C9999A1C5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embedRegular r:id="rId7" w:fontKey="{5FEBF032-7691-4A63-8178-C95ACC764D0D}"/>
  </w:font>
  <w:font w:name="方正仿宋_GB2312">
    <w:altName w:val="仿宋"/>
    <w:panose1 w:val="00000000000000000000"/>
    <w:charset w:val="86"/>
    <w:family w:val="auto"/>
    <w:pitch w:val="default"/>
    <w:sig w:usb0="00000000" w:usb1="00000000" w:usb2="00000012" w:usb3="00000000" w:csb0="00040001" w:csb1="00000000"/>
    <w:embedRegular r:id="rId8" w:fontKey="{B22E9AAF-EA04-4DCB-813F-4E47C4BAE013}"/>
  </w:font>
  <w:font w:name="楷体">
    <w:panose1 w:val="02010609060101010101"/>
    <w:charset w:val="86"/>
    <w:family w:val="modern"/>
    <w:pitch w:val="default"/>
    <w:sig w:usb0="800002BF" w:usb1="38CF7CFA" w:usb2="00000016" w:usb3="00000000" w:csb0="00040001" w:csb1="00000000"/>
    <w:embedRegular r:id="rId9" w:fontKey="{D6E9010E-2D33-46CA-B48B-13B558CDA4E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C79C9">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4900538"/>
    </w:sdtPr>
    <w:sdtContent>
      <w:p w14:paraId="26FCC614">
        <w:pPr>
          <w:pStyle w:val="17"/>
          <w:ind w:firstLine="361"/>
          <w:jc w:val="center"/>
        </w:pPr>
        <w:r>
          <w:fldChar w:fldCharType="begin"/>
        </w:r>
        <w:r>
          <w:instrText xml:space="preserve">PAGE   \* MERGEFORMAT</w:instrText>
        </w:r>
        <w:r>
          <w:fldChar w:fldCharType="separate"/>
        </w:r>
        <w:r>
          <w:rPr>
            <w:lang w:val="zh-CN"/>
          </w:rPr>
          <w:t>68</w:t>
        </w:r>
        <w:r>
          <w:rPr>
            <w:lang w:val="zh-CN"/>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B4DB8">
    <w:pPr>
      <w:adjustRightInd w:val="0"/>
      <w:snapToGrid w:val="0"/>
      <w:spacing w:line="360" w:lineRule="exact"/>
      <w:ind w:firstLine="321"/>
      <w:jc w:val="left"/>
      <w:rPr>
        <w:rFonts w:asciiTheme="minorEastAsia" w:hAnsiTheme="minorEastAsia"/>
        <w:sz w:val="18"/>
        <w:szCs w:val="18"/>
        <w:u w:val="single"/>
      </w:rPr>
    </w:pPr>
    <w:r>
      <w:rPr>
        <w:rFonts w:hint="eastAsia" w:cs="宋体" w:asciiTheme="minorEastAsia" w:hAnsiTheme="minorEastAsia"/>
        <w:kern w:val="0"/>
        <w:sz w:val="18"/>
        <w:szCs w:val="18"/>
        <w:u w:val="single"/>
      </w:rPr>
      <w:t>南通市市政设施管理处202</w:t>
    </w:r>
    <w:r>
      <w:rPr>
        <w:rFonts w:hint="eastAsia" w:cs="宋体" w:asciiTheme="minorEastAsia" w:hAnsiTheme="minorEastAsia"/>
        <w:kern w:val="0"/>
        <w:sz w:val="18"/>
        <w:szCs w:val="18"/>
        <w:u w:val="single"/>
        <w:lang w:val="en-US" w:eastAsia="zh-CN"/>
      </w:rPr>
      <w:t>6</w:t>
    </w:r>
    <w:r>
      <w:rPr>
        <w:rFonts w:hint="eastAsia" w:cs="宋体" w:asciiTheme="minorEastAsia" w:hAnsiTheme="minorEastAsia"/>
        <w:kern w:val="0"/>
        <w:sz w:val="18"/>
        <w:szCs w:val="18"/>
        <w:u w:val="single"/>
      </w:rPr>
      <w:t>年度改性地聚合物注浆加固采购项目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279192"/>
    <w:multiLevelType w:val="singleLevel"/>
    <w:tmpl w:val="8A279192"/>
    <w:lvl w:ilvl="0" w:tentative="0">
      <w:start w:val="2"/>
      <w:numFmt w:val="decimal"/>
      <w:suff w:val="nothing"/>
      <w:lvlText w:val="%1、"/>
      <w:lvlJc w:val="left"/>
    </w:lvl>
  </w:abstractNum>
  <w:abstractNum w:abstractNumId="1">
    <w:nsid w:val="B17BC79E"/>
    <w:multiLevelType w:val="singleLevel"/>
    <w:tmpl w:val="B17BC79E"/>
    <w:lvl w:ilvl="0" w:tentative="0">
      <w:start w:val="1"/>
      <w:numFmt w:val="decimal"/>
      <w:suff w:val="nothing"/>
      <w:lvlText w:val="（%1）"/>
      <w:lvlJc w:val="left"/>
    </w:lvl>
  </w:abstractNum>
  <w:abstractNum w:abstractNumId="2">
    <w:nsid w:val="F8BD0D81"/>
    <w:multiLevelType w:val="singleLevel"/>
    <w:tmpl w:val="F8BD0D81"/>
    <w:lvl w:ilvl="0" w:tentative="0">
      <w:start w:val="1"/>
      <w:numFmt w:val="decimal"/>
      <w:suff w:val="nothing"/>
      <w:lvlText w:val="%1、"/>
      <w:lvlJc w:val="left"/>
    </w:lvl>
  </w:abstractNum>
  <w:abstractNum w:abstractNumId="3">
    <w:nsid w:val="1CC4852F"/>
    <w:multiLevelType w:val="singleLevel"/>
    <w:tmpl w:val="1CC4852F"/>
    <w:lvl w:ilvl="0" w:tentative="0">
      <w:start w:val="6"/>
      <w:numFmt w:val="chineseCounting"/>
      <w:suff w:val="nothing"/>
      <w:lvlText w:val="%1、"/>
      <w:lvlJc w:val="left"/>
      <w:rPr>
        <w:rFonts w:hint="eastAsia"/>
      </w:rPr>
    </w:lvl>
  </w:abstractNum>
  <w:abstractNum w:abstractNumId="4">
    <w:nsid w:val="25139B48"/>
    <w:multiLevelType w:val="singleLevel"/>
    <w:tmpl w:val="25139B48"/>
    <w:lvl w:ilvl="0" w:tentative="0">
      <w:start w:val="1"/>
      <w:numFmt w:val="decimal"/>
      <w:suff w:val="nothing"/>
      <w:lvlText w:val="%1、"/>
      <w:lvlJc w:val="left"/>
    </w:lvl>
  </w:abstractNum>
  <w:abstractNum w:abstractNumId="5">
    <w:nsid w:val="40A27A27"/>
    <w:multiLevelType w:val="singleLevel"/>
    <w:tmpl w:val="40A27A27"/>
    <w:lvl w:ilvl="0" w:tentative="0">
      <w:start w:val="1"/>
      <w:numFmt w:val="decimal"/>
      <w:suff w:val="nothing"/>
      <w:lvlText w:val="%1、"/>
      <w:lvlJc w:val="left"/>
    </w:lvl>
  </w:abstractNum>
  <w:abstractNum w:abstractNumId="6">
    <w:nsid w:val="64B3533C"/>
    <w:multiLevelType w:val="singleLevel"/>
    <w:tmpl w:val="64B3533C"/>
    <w:lvl w:ilvl="0" w:tentative="0">
      <w:start w:val="1"/>
      <w:numFmt w:val="decimal"/>
      <w:suff w:val="nothing"/>
      <w:lvlText w:val="%1、"/>
      <w:lvlJc w:val="left"/>
    </w:lvl>
  </w:abstractNum>
  <w:abstractNum w:abstractNumId="7">
    <w:nsid w:val="68D39DA4"/>
    <w:multiLevelType w:val="singleLevel"/>
    <w:tmpl w:val="68D39DA4"/>
    <w:lvl w:ilvl="0" w:tentative="0">
      <w:start w:val="1"/>
      <w:numFmt w:val="decimal"/>
      <w:suff w:val="nothing"/>
      <w:lvlText w:val="%1、"/>
      <w:lvlJc w:val="left"/>
    </w:lvl>
  </w:abstractNum>
  <w:abstractNum w:abstractNumId="8">
    <w:nsid w:val="760DB6C0"/>
    <w:multiLevelType w:val="singleLevel"/>
    <w:tmpl w:val="760DB6C0"/>
    <w:lvl w:ilvl="0" w:tentative="0">
      <w:start w:val="1"/>
      <w:numFmt w:val="decimal"/>
      <w:suff w:val="nothing"/>
      <w:lvlText w:val="%1、"/>
      <w:lvlJc w:val="left"/>
    </w:lvl>
  </w:abstractNum>
  <w:num w:numId="1">
    <w:abstractNumId w:val="7"/>
  </w:num>
  <w:num w:numId="2">
    <w:abstractNumId w:val="5"/>
  </w:num>
  <w:num w:numId="3">
    <w:abstractNumId w:val="2"/>
  </w:num>
  <w:num w:numId="4">
    <w:abstractNumId w:val="6"/>
  </w:num>
  <w:num w:numId="5">
    <w:abstractNumId w:val="1"/>
  </w:num>
  <w:num w:numId="6">
    <w:abstractNumId w:val="3"/>
  </w:num>
  <w:num w:numId="7">
    <w:abstractNumId w:val="0"/>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HorizontalSpacing w:val="105"/>
  <w:drawingGridVerticalSpacing w:val="143"/>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2NmNmMjJjNmZkMTE0MjllZjlhYjg2YzJmMWZiOGIifQ=="/>
  </w:docVars>
  <w:rsids>
    <w:rsidRoot w:val="00E1428C"/>
    <w:rsid w:val="000027DF"/>
    <w:rsid w:val="00003D9D"/>
    <w:rsid w:val="00004FB3"/>
    <w:rsid w:val="00006069"/>
    <w:rsid w:val="00006222"/>
    <w:rsid w:val="00006B64"/>
    <w:rsid w:val="00006E64"/>
    <w:rsid w:val="00006F76"/>
    <w:rsid w:val="00007342"/>
    <w:rsid w:val="00011F29"/>
    <w:rsid w:val="00012F0F"/>
    <w:rsid w:val="00013DC0"/>
    <w:rsid w:val="00013FCC"/>
    <w:rsid w:val="0001582E"/>
    <w:rsid w:val="000207CE"/>
    <w:rsid w:val="000214C9"/>
    <w:rsid w:val="00021EE5"/>
    <w:rsid w:val="000247CE"/>
    <w:rsid w:val="000249D8"/>
    <w:rsid w:val="00026C1F"/>
    <w:rsid w:val="00027214"/>
    <w:rsid w:val="00027DC0"/>
    <w:rsid w:val="00031E5F"/>
    <w:rsid w:val="00033A03"/>
    <w:rsid w:val="00034FFC"/>
    <w:rsid w:val="00035F29"/>
    <w:rsid w:val="000363E7"/>
    <w:rsid w:val="0004069F"/>
    <w:rsid w:val="00040BC7"/>
    <w:rsid w:val="000427AA"/>
    <w:rsid w:val="00043CCD"/>
    <w:rsid w:val="00044447"/>
    <w:rsid w:val="00044986"/>
    <w:rsid w:val="0004687B"/>
    <w:rsid w:val="00046AE8"/>
    <w:rsid w:val="00047241"/>
    <w:rsid w:val="00051BE5"/>
    <w:rsid w:val="00051C4B"/>
    <w:rsid w:val="000520B5"/>
    <w:rsid w:val="000531E3"/>
    <w:rsid w:val="00055731"/>
    <w:rsid w:val="00057C9F"/>
    <w:rsid w:val="0006312A"/>
    <w:rsid w:val="00064E5C"/>
    <w:rsid w:val="0006533C"/>
    <w:rsid w:val="000674BE"/>
    <w:rsid w:val="00067D3A"/>
    <w:rsid w:val="000707B4"/>
    <w:rsid w:val="00071574"/>
    <w:rsid w:val="000733BC"/>
    <w:rsid w:val="000733D5"/>
    <w:rsid w:val="000743C3"/>
    <w:rsid w:val="00077641"/>
    <w:rsid w:val="000811BB"/>
    <w:rsid w:val="000818E0"/>
    <w:rsid w:val="00081A99"/>
    <w:rsid w:val="0008288C"/>
    <w:rsid w:val="000860E4"/>
    <w:rsid w:val="00092AA5"/>
    <w:rsid w:val="000930EC"/>
    <w:rsid w:val="000931E9"/>
    <w:rsid w:val="0009351A"/>
    <w:rsid w:val="00093B09"/>
    <w:rsid w:val="00093F93"/>
    <w:rsid w:val="000949F1"/>
    <w:rsid w:val="00095FAF"/>
    <w:rsid w:val="00096D7E"/>
    <w:rsid w:val="000A3BFD"/>
    <w:rsid w:val="000A5B2F"/>
    <w:rsid w:val="000A6C9D"/>
    <w:rsid w:val="000B0744"/>
    <w:rsid w:val="000B09B6"/>
    <w:rsid w:val="000B2B7D"/>
    <w:rsid w:val="000B5E0F"/>
    <w:rsid w:val="000B777E"/>
    <w:rsid w:val="000B78D1"/>
    <w:rsid w:val="000B7DF5"/>
    <w:rsid w:val="000C09DC"/>
    <w:rsid w:val="000C433D"/>
    <w:rsid w:val="000C5986"/>
    <w:rsid w:val="000C6148"/>
    <w:rsid w:val="000C6432"/>
    <w:rsid w:val="000C660A"/>
    <w:rsid w:val="000C70B7"/>
    <w:rsid w:val="000D0543"/>
    <w:rsid w:val="000D2132"/>
    <w:rsid w:val="000D3C5A"/>
    <w:rsid w:val="000D4824"/>
    <w:rsid w:val="000D68E3"/>
    <w:rsid w:val="000D6B97"/>
    <w:rsid w:val="000E0E54"/>
    <w:rsid w:val="000E2F2C"/>
    <w:rsid w:val="000E474C"/>
    <w:rsid w:val="000E5561"/>
    <w:rsid w:val="000E6565"/>
    <w:rsid w:val="000F23EA"/>
    <w:rsid w:val="000F28DF"/>
    <w:rsid w:val="000F5ACE"/>
    <w:rsid w:val="000F7D4F"/>
    <w:rsid w:val="00102CB7"/>
    <w:rsid w:val="00104AF2"/>
    <w:rsid w:val="00104DE6"/>
    <w:rsid w:val="0010514D"/>
    <w:rsid w:val="001104D2"/>
    <w:rsid w:val="00112A5F"/>
    <w:rsid w:val="00113849"/>
    <w:rsid w:val="00115E82"/>
    <w:rsid w:val="00116E44"/>
    <w:rsid w:val="001244CE"/>
    <w:rsid w:val="0012592D"/>
    <w:rsid w:val="0012699C"/>
    <w:rsid w:val="00127475"/>
    <w:rsid w:val="00131B67"/>
    <w:rsid w:val="001325C1"/>
    <w:rsid w:val="00132D06"/>
    <w:rsid w:val="00133833"/>
    <w:rsid w:val="001359DC"/>
    <w:rsid w:val="00136534"/>
    <w:rsid w:val="00137F66"/>
    <w:rsid w:val="00141B11"/>
    <w:rsid w:val="00141C8D"/>
    <w:rsid w:val="001443A6"/>
    <w:rsid w:val="00144B27"/>
    <w:rsid w:val="00145759"/>
    <w:rsid w:val="0014603C"/>
    <w:rsid w:val="001463C7"/>
    <w:rsid w:val="001467F4"/>
    <w:rsid w:val="00150D31"/>
    <w:rsid w:val="00150EAD"/>
    <w:rsid w:val="00151847"/>
    <w:rsid w:val="00154178"/>
    <w:rsid w:val="00155581"/>
    <w:rsid w:val="00156591"/>
    <w:rsid w:val="001570D4"/>
    <w:rsid w:val="0015743C"/>
    <w:rsid w:val="00160309"/>
    <w:rsid w:val="0016109E"/>
    <w:rsid w:val="001620CF"/>
    <w:rsid w:val="00162A03"/>
    <w:rsid w:val="001639C2"/>
    <w:rsid w:val="00163D0B"/>
    <w:rsid w:val="001646CB"/>
    <w:rsid w:val="001704B4"/>
    <w:rsid w:val="0017113F"/>
    <w:rsid w:val="00171E5F"/>
    <w:rsid w:val="001731C5"/>
    <w:rsid w:val="00173C44"/>
    <w:rsid w:val="0017437A"/>
    <w:rsid w:val="00175EB8"/>
    <w:rsid w:val="0017626E"/>
    <w:rsid w:val="00176799"/>
    <w:rsid w:val="00181ED3"/>
    <w:rsid w:val="00182CCA"/>
    <w:rsid w:val="0018327A"/>
    <w:rsid w:val="001869A8"/>
    <w:rsid w:val="00187BE1"/>
    <w:rsid w:val="001903D4"/>
    <w:rsid w:val="0019251D"/>
    <w:rsid w:val="00192DB5"/>
    <w:rsid w:val="00195A53"/>
    <w:rsid w:val="001A02E8"/>
    <w:rsid w:val="001A0364"/>
    <w:rsid w:val="001A03A1"/>
    <w:rsid w:val="001A0C8B"/>
    <w:rsid w:val="001A0EF6"/>
    <w:rsid w:val="001A1AC6"/>
    <w:rsid w:val="001A2262"/>
    <w:rsid w:val="001A3EDD"/>
    <w:rsid w:val="001A47E3"/>
    <w:rsid w:val="001A67C9"/>
    <w:rsid w:val="001B2572"/>
    <w:rsid w:val="001B344D"/>
    <w:rsid w:val="001B5E5C"/>
    <w:rsid w:val="001B663D"/>
    <w:rsid w:val="001B6EC8"/>
    <w:rsid w:val="001C1D5F"/>
    <w:rsid w:val="001C45F5"/>
    <w:rsid w:val="001C4662"/>
    <w:rsid w:val="001C6AFF"/>
    <w:rsid w:val="001D279A"/>
    <w:rsid w:val="001D3500"/>
    <w:rsid w:val="001D4396"/>
    <w:rsid w:val="001D4EC2"/>
    <w:rsid w:val="001D5A41"/>
    <w:rsid w:val="001D66F0"/>
    <w:rsid w:val="001D6723"/>
    <w:rsid w:val="001D6A81"/>
    <w:rsid w:val="001E1433"/>
    <w:rsid w:val="001E53BC"/>
    <w:rsid w:val="001F120D"/>
    <w:rsid w:val="001F3AEC"/>
    <w:rsid w:val="001F4CE9"/>
    <w:rsid w:val="001F4F3E"/>
    <w:rsid w:val="001F7E24"/>
    <w:rsid w:val="001F7EC5"/>
    <w:rsid w:val="002007BF"/>
    <w:rsid w:val="00201576"/>
    <w:rsid w:val="0020252F"/>
    <w:rsid w:val="00204B7C"/>
    <w:rsid w:val="002106EA"/>
    <w:rsid w:val="00211CE1"/>
    <w:rsid w:val="002131C8"/>
    <w:rsid w:val="0021345C"/>
    <w:rsid w:val="00214649"/>
    <w:rsid w:val="00214B6D"/>
    <w:rsid w:val="00215DD8"/>
    <w:rsid w:val="0021679D"/>
    <w:rsid w:val="002231E4"/>
    <w:rsid w:val="00223407"/>
    <w:rsid w:val="002244DA"/>
    <w:rsid w:val="00227E29"/>
    <w:rsid w:val="00230636"/>
    <w:rsid w:val="002319C4"/>
    <w:rsid w:val="002330E2"/>
    <w:rsid w:val="0023425B"/>
    <w:rsid w:val="00234DAB"/>
    <w:rsid w:val="00235DF7"/>
    <w:rsid w:val="00237E0C"/>
    <w:rsid w:val="00237F6F"/>
    <w:rsid w:val="00241BB8"/>
    <w:rsid w:val="00244939"/>
    <w:rsid w:val="002468F0"/>
    <w:rsid w:val="00247C93"/>
    <w:rsid w:val="00250900"/>
    <w:rsid w:val="002546EC"/>
    <w:rsid w:val="00254A15"/>
    <w:rsid w:val="00254B39"/>
    <w:rsid w:val="00255AAF"/>
    <w:rsid w:val="00256776"/>
    <w:rsid w:val="002602DD"/>
    <w:rsid w:val="0026242C"/>
    <w:rsid w:val="00262F33"/>
    <w:rsid w:val="002647BE"/>
    <w:rsid w:val="002660C8"/>
    <w:rsid w:val="00267CD8"/>
    <w:rsid w:val="00270410"/>
    <w:rsid w:val="00274032"/>
    <w:rsid w:val="002748BD"/>
    <w:rsid w:val="0027499D"/>
    <w:rsid w:val="00275C65"/>
    <w:rsid w:val="002810AC"/>
    <w:rsid w:val="002840DC"/>
    <w:rsid w:val="002871A5"/>
    <w:rsid w:val="002879A0"/>
    <w:rsid w:val="00290923"/>
    <w:rsid w:val="00291471"/>
    <w:rsid w:val="0029158B"/>
    <w:rsid w:val="00292164"/>
    <w:rsid w:val="002944F3"/>
    <w:rsid w:val="00294605"/>
    <w:rsid w:val="00295132"/>
    <w:rsid w:val="002975D9"/>
    <w:rsid w:val="002A1054"/>
    <w:rsid w:val="002A287A"/>
    <w:rsid w:val="002A347F"/>
    <w:rsid w:val="002A3D73"/>
    <w:rsid w:val="002A3E8C"/>
    <w:rsid w:val="002A4991"/>
    <w:rsid w:val="002A7755"/>
    <w:rsid w:val="002A79A7"/>
    <w:rsid w:val="002A7F5E"/>
    <w:rsid w:val="002B1B65"/>
    <w:rsid w:val="002B1C13"/>
    <w:rsid w:val="002B1C92"/>
    <w:rsid w:val="002B6371"/>
    <w:rsid w:val="002B64B0"/>
    <w:rsid w:val="002C02A7"/>
    <w:rsid w:val="002C04E9"/>
    <w:rsid w:val="002C0896"/>
    <w:rsid w:val="002C221F"/>
    <w:rsid w:val="002C29D9"/>
    <w:rsid w:val="002C3B92"/>
    <w:rsid w:val="002C41EE"/>
    <w:rsid w:val="002C4C6D"/>
    <w:rsid w:val="002C6931"/>
    <w:rsid w:val="002C72A6"/>
    <w:rsid w:val="002C7639"/>
    <w:rsid w:val="002D0144"/>
    <w:rsid w:val="002D04B2"/>
    <w:rsid w:val="002D0C68"/>
    <w:rsid w:val="002D1841"/>
    <w:rsid w:val="002D23E6"/>
    <w:rsid w:val="002D255D"/>
    <w:rsid w:val="002D34D4"/>
    <w:rsid w:val="002D3C81"/>
    <w:rsid w:val="002D3F0F"/>
    <w:rsid w:val="002D47FD"/>
    <w:rsid w:val="002D6B94"/>
    <w:rsid w:val="002D714C"/>
    <w:rsid w:val="002D77A9"/>
    <w:rsid w:val="002E0E57"/>
    <w:rsid w:val="002E1B37"/>
    <w:rsid w:val="002E27F7"/>
    <w:rsid w:val="002E42CD"/>
    <w:rsid w:val="002E56B3"/>
    <w:rsid w:val="002E5F8C"/>
    <w:rsid w:val="002E6858"/>
    <w:rsid w:val="002E7263"/>
    <w:rsid w:val="002F0269"/>
    <w:rsid w:val="002F0CF8"/>
    <w:rsid w:val="002F2DDD"/>
    <w:rsid w:val="002F2E07"/>
    <w:rsid w:val="002F3A4E"/>
    <w:rsid w:val="002F4256"/>
    <w:rsid w:val="002F55C0"/>
    <w:rsid w:val="002F5BD8"/>
    <w:rsid w:val="002F60B7"/>
    <w:rsid w:val="002F6EC6"/>
    <w:rsid w:val="002F70DF"/>
    <w:rsid w:val="003009D5"/>
    <w:rsid w:val="00300A5F"/>
    <w:rsid w:val="0030269E"/>
    <w:rsid w:val="00302E16"/>
    <w:rsid w:val="00302F74"/>
    <w:rsid w:val="003064D2"/>
    <w:rsid w:val="00310100"/>
    <w:rsid w:val="00310EFD"/>
    <w:rsid w:val="003121B1"/>
    <w:rsid w:val="00314C38"/>
    <w:rsid w:val="003164A3"/>
    <w:rsid w:val="00316D21"/>
    <w:rsid w:val="00320476"/>
    <w:rsid w:val="00320B07"/>
    <w:rsid w:val="00320C34"/>
    <w:rsid w:val="00321CBF"/>
    <w:rsid w:val="00322B57"/>
    <w:rsid w:val="00330686"/>
    <w:rsid w:val="0033200D"/>
    <w:rsid w:val="00332185"/>
    <w:rsid w:val="0033307E"/>
    <w:rsid w:val="00334C59"/>
    <w:rsid w:val="00340282"/>
    <w:rsid w:val="003406AD"/>
    <w:rsid w:val="00340B82"/>
    <w:rsid w:val="0034220A"/>
    <w:rsid w:val="00342F6D"/>
    <w:rsid w:val="003436D0"/>
    <w:rsid w:val="00343D2E"/>
    <w:rsid w:val="00347A37"/>
    <w:rsid w:val="0035199B"/>
    <w:rsid w:val="00353AF9"/>
    <w:rsid w:val="00355DE5"/>
    <w:rsid w:val="00356933"/>
    <w:rsid w:val="003602C3"/>
    <w:rsid w:val="003604DF"/>
    <w:rsid w:val="00361079"/>
    <w:rsid w:val="003632E4"/>
    <w:rsid w:val="00364309"/>
    <w:rsid w:val="0036480C"/>
    <w:rsid w:val="00367A68"/>
    <w:rsid w:val="0037007E"/>
    <w:rsid w:val="0037119F"/>
    <w:rsid w:val="0037319F"/>
    <w:rsid w:val="00373BC3"/>
    <w:rsid w:val="00375458"/>
    <w:rsid w:val="00381D8F"/>
    <w:rsid w:val="00383292"/>
    <w:rsid w:val="00385B36"/>
    <w:rsid w:val="0039137F"/>
    <w:rsid w:val="003935D4"/>
    <w:rsid w:val="00395FAE"/>
    <w:rsid w:val="003A14CB"/>
    <w:rsid w:val="003A3808"/>
    <w:rsid w:val="003A42A7"/>
    <w:rsid w:val="003A4DE4"/>
    <w:rsid w:val="003B1C66"/>
    <w:rsid w:val="003B38ED"/>
    <w:rsid w:val="003B5148"/>
    <w:rsid w:val="003C184B"/>
    <w:rsid w:val="003C4BFD"/>
    <w:rsid w:val="003C6991"/>
    <w:rsid w:val="003C71ED"/>
    <w:rsid w:val="003C7EBC"/>
    <w:rsid w:val="003D01F8"/>
    <w:rsid w:val="003D041B"/>
    <w:rsid w:val="003D06E5"/>
    <w:rsid w:val="003D199E"/>
    <w:rsid w:val="003D2D1B"/>
    <w:rsid w:val="003D4401"/>
    <w:rsid w:val="003D64B6"/>
    <w:rsid w:val="003E2B34"/>
    <w:rsid w:val="003E2CC2"/>
    <w:rsid w:val="003E3257"/>
    <w:rsid w:val="003E4CF1"/>
    <w:rsid w:val="003E6C3F"/>
    <w:rsid w:val="003F1853"/>
    <w:rsid w:val="003F3E0C"/>
    <w:rsid w:val="003F4D19"/>
    <w:rsid w:val="003F549E"/>
    <w:rsid w:val="003F5D1B"/>
    <w:rsid w:val="003F683B"/>
    <w:rsid w:val="003F7843"/>
    <w:rsid w:val="00400110"/>
    <w:rsid w:val="00403B9D"/>
    <w:rsid w:val="00407224"/>
    <w:rsid w:val="00407903"/>
    <w:rsid w:val="00407BFC"/>
    <w:rsid w:val="004101B0"/>
    <w:rsid w:val="004103F6"/>
    <w:rsid w:val="00410D0B"/>
    <w:rsid w:val="004114D1"/>
    <w:rsid w:val="00412036"/>
    <w:rsid w:val="00413662"/>
    <w:rsid w:val="00416146"/>
    <w:rsid w:val="00417B67"/>
    <w:rsid w:val="00417C5D"/>
    <w:rsid w:val="00420418"/>
    <w:rsid w:val="00420510"/>
    <w:rsid w:val="00420D60"/>
    <w:rsid w:val="00422590"/>
    <w:rsid w:val="00422FCC"/>
    <w:rsid w:val="00423142"/>
    <w:rsid w:val="004247C4"/>
    <w:rsid w:val="00426626"/>
    <w:rsid w:val="00431BA5"/>
    <w:rsid w:val="00432FD1"/>
    <w:rsid w:val="00433BE6"/>
    <w:rsid w:val="0043442A"/>
    <w:rsid w:val="00434A49"/>
    <w:rsid w:val="004358AD"/>
    <w:rsid w:val="00435AA8"/>
    <w:rsid w:val="00436889"/>
    <w:rsid w:val="00442135"/>
    <w:rsid w:val="00443C88"/>
    <w:rsid w:val="0044543D"/>
    <w:rsid w:val="00446291"/>
    <w:rsid w:val="004464E9"/>
    <w:rsid w:val="00452A22"/>
    <w:rsid w:val="004537DF"/>
    <w:rsid w:val="00454E44"/>
    <w:rsid w:val="00455A20"/>
    <w:rsid w:val="00456031"/>
    <w:rsid w:val="00456B89"/>
    <w:rsid w:val="004577DB"/>
    <w:rsid w:val="00461B41"/>
    <w:rsid w:val="00461D34"/>
    <w:rsid w:val="004625F8"/>
    <w:rsid w:val="00462EA0"/>
    <w:rsid w:val="00464D34"/>
    <w:rsid w:val="00465FC3"/>
    <w:rsid w:val="004708C7"/>
    <w:rsid w:val="00472FA9"/>
    <w:rsid w:val="0047528B"/>
    <w:rsid w:val="00476030"/>
    <w:rsid w:val="004767BD"/>
    <w:rsid w:val="0048021C"/>
    <w:rsid w:val="00480AC6"/>
    <w:rsid w:val="00481750"/>
    <w:rsid w:val="0048181A"/>
    <w:rsid w:val="0048248E"/>
    <w:rsid w:val="00482671"/>
    <w:rsid w:val="00483895"/>
    <w:rsid w:val="004846BE"/>
    <w:rsid w:val="00490A35"/>
    <w:rsid w:val="00495061"/>
    <w:rsid w:val="004956F7"/>
    <w:rsid w:val="00495EB8"/>
    <w:rsid w:val="00496151"/>
    <w:rsid w:val="00496FC3"/>
    <w:rsid w:val="00497322"/>
    <w:rsid w:val="004A05F5"/>
    <w:rsid w:val="004A1844"/>
    <w:rsid w:val="004A3046"/>
    <w:rsid w:val="004A3FDF"/>
    <w:rsid w:val="004A4B9D"/>
    <w:rsid w:val="004A703B"/>
    <w:rsid w:val="004A704F"/>
    <w:rsid w:val="004A72A4"/>
    <w:rsid w:val="004A7C96"/>
    <w:rsid w:val="004B05CA"/>
    <w:rsid w:val="004B4B6D"/>
    <w:rsid w:val="004C1B27"/>
    <w:rsid w:val="004C201C"/>
    <w:rsid w:val="004C385B"/>
    <w:rsid w:val="004D01E3"/>
    <w:rsid w:val="004D0BB8"/>
    <w:rsid w:val="004D0EFF"/>
    <w:rsid w:val="004D144D"/>
    <w:rsid w:val="004D1CDD"/>
    <w:rsid w:val="004D21FC"/>
    <w:rsid w:val="004D2202"/>
    <w:rsid w:val="004D2E8C"/>
    <w:rsid w:val="004D3773"/>
    <w:rsid w:val="004D44E4"/>
    <w:rsid w:val="004D45FF"/>
    <w:rsid w:val="004D5292"/>
    <w:rsid w:val="004E152F"/>
    <w:rsid w:val="004E2A00"/>
    <w:rsid w:val="004E2AF6"/>
    <w:rsid w:val="004E2F63"/>
    <w:rsid w:val="004E3BF5"/>
    <w:rsid w:val="004F099F"/>
    <w:rsid w:val="004F1466"/>
    <w:rsid w:val="004F2DC9"/>
    <w:rsid w:val="004F3CB4"/>
    <w:rsid w:val="004F3E2B"/>
    <w:rsid w:val="004F58CA"/>
    <w:rsid w:val="004F66D8"/>
    <w:rsid w:val="00500B1A"/>
    <w:rsid w:val="00500E2F"/>
    <w:rsid w:val="00501492"/>
    <w:rsid w:val="00502B21"/>
    <w:rsid w:val="00503474"/>
    <w:rsid w:val="00503BA7"/>
    <w:rsid w:val="005042FA"/>
    <w:rsid w:val="0050445F"/>
    <w:rsid w:val="0050700C"/>
    <w:rsid w:val="0050766B"/>
    <w:rsid w:val="005077D3"/>
    <w:rsid w:val="005110FA"/>
    <w:rsid w:val="00513B39"/>
    <w:rsid w:val="00514E8A"/>
    <w:rsid w:val="00515B97"/>
    <w:rsid w:val="00515D24"/>
    <w:rsid w:val="00515F69"/>
    <w:rsid w:val="00516020"/>
    <w:rsid w:val="0052071E"/>
    <w:rsid w:val="00520C0C"/>
    <w:rsid w:val="00521230"/>
    <w:rsid w:val="00523891"/>
    <w:rsid w:val="00526739"/>
    <w:rsid w:val="00527470"/>
    <w:rsid w:val="00530A3C"/>
    <w:rsid w:val="00532491"/>
    <w:rsid w:val="00533458"/>
    <w:rsid w:val="0053376D"/>
    <w:rsid w:val="00533A7A"/>
    <w:rsid w:val="00534B8A"/>
    <w:rsid w:val="00534F0F"/>
    <w:rsid w:val="00537FB8"/>
    <w:rsid w:val="00540B38"/>
    <w:rsid w:val="00541A40"/>
    <w:rsid w:val="00542B48"/>
    <w:rsid w:val="00542C35"/>
    <w:rsid w:val="0054329E"/>
    <w:rsid w:val="00545012"/>
    <w:rsid w:val="005468AD"/>
    <w:rsid w:val="00546B69"/>
    <w:rsid w:val="00551258"/>
    <w:rsid w:val="00553242"/>
    <w:rsid w:val="00554692"/>
    <w:rsid w:val="00554B19"/>
    <w:rsid w:val="00556006"/>
    <w:rsid w:val="0055683D"/>
    <w:rsid w:val="005569D2"/>
    <w:rsid w:val="00561747"/>
    <w:rsid w:val="00561A91"/>
    <w:rsid w:val="00561AF7"/>
    <w:rsid w:val="005627F2"/>
    <w:rsid w:val="00562FB5"/>
    <w:rsid w:val="0056305D"/>
    <w:rsid w:val="005632D0"/>
    <w:rsid w:val="00563BF0"/>
    <w:rsid w:val="00563E73"/>
    <w:rsid w:val="00565623"/>
    <w:rsid w:val="00566ED3"/>
    <w:rsid w:val="00570AF4"/>
    <w:rsid w:val="005710D2"/>
    <w:rsid w:val="00571D0C"/>
    <w:rsid w:val="00573B17"/>
    <w:rsid w:val="00574BC3"/>
    <w:rsid w:val="00574E68"/>
    <w:rsid w:val="00576E25"/>
    <w:rsid w:val="005804E1"/>
    <w:rsid w:val="00581010"/>
    <w:rsid w:val="00581AA7"/>
    <w:rsid w:val="00585AEF"/>
    <w:rsid w:val="00585EF4"/>
    <w:rsid w:val="00585FAF"/>
    <w:rsid w:val="00585FCB"/>
    <w:rsid w:val="00586D80"/>
    <w:rsid w:val="00586E7E"/>
    <w:rsid w:val="00587878"/>
    <w:rsid w:val="0059029E"/>
    <w:rsid w:val="005909CE"/>
    <w:rsid w:val="005909DF"/>
    <w:rsid w:val="00595486"/>
    <w:rsid w:val="0059608C"/>
    <w:rsid w:val="00596450"/>
    <w:rsid w:val="0059678A"/>
    <w:rsid w:val="00597FD2"/>
    <w:rsid w:val="005A0271"/>
    <w:rsid w:val="005A1415"/>
    <w:rsid w:val="005A506D"/>
    <w:rsid w:val="005A7731"/>
    <w:rsid w:val="005B02F9"/>
    <w:rsid w:val="005B08FB"/>
    <w:rsid w:val="005B0E49"/>
    <w:rsid w:val="005B1390"/>
    <w:rsid w:val="005B1F16"/>
    <w:rsid w:val="005B1F8C"/>
    <w:rsid w:val="005B21BD"/>
    <w:rsid w:val="005B30E0"/>
    <w:rsid w:val="005B5D7D"/>
    <w:rsid w:val="005B688B"/>
    <w:rsid w:val="005B6EC2"/>
    <w:rsid w:val="005B71B9"/>
    <w:rsid w:val="005C06AF"/>
    <w:rsid w:val="005C0BF8"/>
    <w:rsid w:val="005C20F7"/>
    <w:rsid w:val="005C2ABD"/>
    <w:rsid w:val="005C38A7"/>
    <w:rsid w:val="005C543C"/>
    <w:rsid w:val="005C7147"/>
    <w:rsid w:val="005C7A1F"/>
    <w:rsid w:val="005D015B"/>
    <w:rsid w:val="005D0AD7"/>
    <w:rsid w:val="005D0C2B"/>
    <w:rsid w:val="005D2607"/>
    <w:rsid w:val="005D2DCB"/>
    <w:rsid w:val="005D5E39"/>
    <w:rsid w:val="005D7364"/>
    <w:rsid w:val="005D7993"/>
    <w:rsid w:val="005E1A14"/>
    <w:rsid w:val="005E29CA"/>
    <w:rsid w:val="005E44C9"/>
    <w:rsid w:val="005E4685"/>
    <w:rsid w:val="005E5BB9"/>
    <w:rsid w:val="005F1266"/>
    <w:rsid w:val="005F16EC"/>
    <w:rsid w:val="005F4B25"/>
    <w:rsid w:val="005F4F51"/>
    <w:rsid w:val="005F57EA"/>
    <w:rsid w:val="005F6069"/>
    <w:rsid w:val="005F60A5"/>
    <w:rsid w:val="005F6A2F"/>
    <w:rsid w:val="005F70F9"/>
    <w:rsid w:val="005F7ACA"/>
    <w:rsid w:val="006001DA"/>
    <w:rsid w:val="00600D27"/>
    <w:rsid w:val="00603366"/>
    <w:rsid w:val="00603D1A"/>
    <w:rsid w:val="00605FEF"/>
    <w:rsid w:val="00606BE4"/>
    <w:rsid w:val="006078EC"/>
    <w:rsid w:val="00607EB2"/>
    <w:rsid w:val="00611F11"/>
    <w:rsid w:val="0061376F"/>
    <w:rsid w:val="00614C21"/>
    <w:rsid w:val="00615482"/>
    <w:rsid w:val="00615983"/>
    <w:rsid w:val="00615F7F"/>
    <w:rsid w:val="00616192"/>
    <w:rsid w:val="00617531"/>
    <w:rsid w:val="006219C6"/>
    <w:rsid w:val="00621D6D"/>
    <w:rsid w:val="00623698"/>
    <w:rsid w:val="00624F5F"/>
    <w:rsid w:val="0062611B"/>
    <w:rsid w:val="006277EC"/>
    <w:rsid w:val="00631FBF"/>
    <w:rsid w:val="006321CF"/>
    <w:rsid w:val="00632BD0"/>
    <w:rsid w:val="00634A4B"/>
    <w:rsid w:val="00635ECA"/>
    <w:rsid w:val="006364AB"/>
    <w:rsid w:val="00637DDA"/>
    <w:rsid w:val="00642E22"/>
    <w:rsid w:val="006435E2"/>
    <w:rsid w:val="00645022"/>
    <w:rsid w:val="006533F0"/>
    <w:rsid w:val="00655F61"/>
    <w:rsid w:val="00663E65"/>
    <w:rsid w:val="00665AFE"/>
    <w:rsid w:val="00665DDD"/>
    <w:rsid w:val="00667169"/>
    <w:rsid w:val="00667586"/>
    <w:rsid w:val="006679E2"/>
    <w:rsid w:val="0067083A"/>
    <w:rsid w:val="00670CCF"/>
    <w:rsid w:val="00670E4B"/>
    <w:rsid w:val="0067155A"/>
    <w:rsid w:val="006724BC"/>
    <w:rsid w:val="006742F9"/>
    <w:rsid w:val="006746C4"/>
    <w:rsid w:val="0067484A"/>
    <w:rsid w:val="006771C9"/>
    <w:rsid w:val="00677ABA"/>
    <w:rsid w:val="006802BB"/>
    <w:rsid w:val="00684B51"/>
    <w:rsid w:val="00687A51"/>
    <w:rsid w:val="00690502"/>
    <w:rsid w:val="006912F4"/>
    <w:rsid w:val="00691715"/>
    <w:rsid w:val="0069299B"/>
    <w:rsid w:val="0069334C"/>
    <w:rsid w:val="00694226"/>
    <w:rsid w:val="006A1307"/>
    <w:rsid w:val="006A35B8"/>
    <w:rsid w:val="006A4C2F"/>
    <w:rsid w:val="006A50F7"/>
    <w:rsid w:val="006A5C54"/>
    <w:rsid w:val="006A5D76"/>
    <w:rsid w:val="006B2BD2"/>
    <w:rsid w:val="006B4A39"/>
    <w:rsid w:val="006B5071"/>
    <w:rsid w:val="006B6DA9"/>
    <w:rsid w:val="006B71E7"/>
    <w:rsid w:val="006C4D76"/>
    <w:rsid w:val="006C5470"/>
    <w:rsid w:val="006C5AA4"/>
    <w:rsid w:val="006C630B"/>
    <w:rsid w:val="006C6A41"/>
    <w:rsid w:val="006C6D70"/>
    <w:rsid w:val="006C7523"/>
    <w:rsid w:val="006D06F6"/>
    <w:rsid w:val="006D12EF"/>
    <w:rsid w:val="006D32B7"/>
    <w:rsid w:val="006D47AB"/>
    <w:rsid w:val="006D6598"/>
    <w:rsid w:val="006D6A87"/>
    <w:rsid w:val="006D6D47"/>
    <w:rsid w:val="006E3200"/>
    <w:rsid w:val="006E3E45"/>
    <w:rsid w:val="006E4A3F"/>
    <w:rsid w:val="006E5AD6"/>
    <w:rsid w:val="006E5FF0"/>
    <w:rsid w:val="006F0802"/>
    <w:rsid w:val="006F2FDC"/>
    <w:rsid w:val="006F636A"/>
    <w:rsid w:val="00700384"/>
    <w:rsid w:val="0070050A"/>
    <w:rsid w:val="00701604"/>
    <w:rsid w:val="00701FC9"/>
    <w:rsid w:val="00702715"/>
    <w:rsid w:val="00703177"/>
    <w:rsid w:val="007070D1"/>
    <w:rsid w:val="0070739B"/>
    <w:rsid w:val="00710204"/>
    <w:rsid w:val="007110EF"/>
    <w:rsid w:val="00712E2C"/>
    <w:rsid w:val="00714C6D"/>
    <w:rsid w:val="007155C8"/>
    <w:rsid w:val="00716863"/>
    <w:rsid w:val="00717570"/>
    <w:rsid w:val="007177BD"/>
    <w:rsid w:val="00717CC3"/>
    <w:rsid w:val="00721F06"/>
    <w:rsid w:val="00723E77"/>
    <w:rsid w:val="00725C76"/>
    <w:rsid w:val="00726914"/>
    <w:rsid w:val="007276C7"/>
    <w:rsid w:val="007300A3"/>
    <w:rsid w:val="007306B8"/>
    <w:rsid w:val="00731236"/>
    <w:rsid w:val="00731C55"/>
    <w:rsid w:val="00732767"/>
    <w:rsid w:val="0073472E"/>
    <w:rsid w:val="00736373"/>
    <w:rsid w:val="007424AA"/>
    <w:rsid w:val="00747E37"/>
    <w:rsid w:val="007513A7"/>
    <w:rsid w:val="00751504"/>
    <w:rsid w:val="007517B2"/>
    <w:rsid w:val="007526C6"/>
    <w:rsid w:val="0075320C"/>
    <w:rsid w:val="007536EF"/>
    <w:rsid w:val="00753BF0"/>
    <w:rsid w:val="00753F8E"/>
    <w:rsid w:val="00755FC7"/>
    <w:rsid w:val="00757741"/>
    <w:rsid w:val="00760802"/>
    <w:rsid w:val="00760CB0"/>
    <w:rsid w:val="00760DDB"/>
    <w:rsid w:val="0076390F"/>
    <w:rsid w:val="0076436F"/>
    <w:rsid w:val="00765BEA"/>
    <w:rsid w:val="007666DE"/>
    <w:rsid w:val="00770F28"/>
    <w:rsid w:val="0077291C"/>
    <w:rsid w:val="007738FD"/>
    <w:rsid w:val="00773A5D"/>
    <w:rsid w:val="00774D27"/>
    <w:rsid w:val="007754DD"/>
    <w:rsid w:val="00776D95"/>
    <w:rsid w:val="00777E46"/>
    <w:rsid w:val="00781919"/>
    <w:rsid w:val="007826F0"/>
    <w:rsid w:val="00782D13"/>
    <w:rsid w:val="007874D0"/>
    <w:rsid w:val="00787BE5"/>
    <w:rsid w:val="00791CD7"/>
    <w:rsid w:val="00792E96"/>
    <w:rsid w:val="00793250"/>
    <w:rsid w:val="00794B53"/>
    <w:rsid w:val="007975A1"/>
    <w:rsid w:val="007A116D"/>
    <w:rsid w:val="007A29EE"/>
    <w:rsid w:val="007B0654"/>
    <w:rsid w:val="007B10D0"/>
    <w:rsid w:val="007B4D8F"/>
    <w:rsid w:val="007B5B52"/>
    <w:rsid w:val="007B5ED7"/>
    <w:rsid w:val="007B6647"/>
    <w:rsid w:val="007B6989"/>
    <w:rsid w:val="007B77F4"/>
    <w:rsid w:val="007C1564"/>
    <w:rsid w:val="007C1604"/>
    <w:rsid w:val="007C1C13"/>
    <w:rsid w:val="007C2E08"/>
    <w:rsid w:val="007C456E"/>
    <w:rsid w:val="007C4F92"/>
    <w:rsid w:val="007C63C9"/>
    <w:rsid w:val="007D1241"/>
    <w:rsid w:val="007D1696"/>
    <w:rsid w:val="007D1BC1"/>
    <w:rsid w:val="007D380D"/>
    <w:rsid w:val="007D3881"/>
    <w:rsid w:val="007D4787"/>
    <w:rsid w:val="007D4874"/>
    <w:rsid w:val="007D5914"/>
    <w:rsid w:val="007D76AC"/>
    <w:rsid w:val="007E04C2"/>
    <w:rsid w:val="007E3464"/>
    <w:rsid w:val="007E3A62"/>
    <w:rsid w:val="007E3C2C"/>
    <w:rsid w:val="007E4448"/>
    <w:rsid w:val="007E4C1C"/>
    <w:rsid w:val="007F098A"/>
    <w:rsid w:val="007F0B48"/>
    <w:rsid w:val="007F1A35"/>
    <w:rsid w:val="007F1DB3"/>
    <w:rsid w:val="007F6A4A"/>
    <w:rsid w:val="007F7F83"/>
    <w:rsid w:val="008001BA"/>
    <w:rsid w:val="0080030E"/>
    <w:rsid w:val="00800DC9"/>
    <w:rsid w:val="0080112A"/>
    <w:rsid w:val="00802238"/>
    <w:rsid w:val="00802594"/>
    <w:rsid w:val="0080270D"/>
    <w:rsid w:val="00803663"/>
    <w:rsid w:val="0080455C"/>
    <w:rsid w:val="00805492"/>
    <w:rsid w:val="00806901"/>
    <w:rsid w:val="00807C9C"/>
    <w:rsid w:val="008100D3"/>
    <w:rsid w:val="00810974"/>
    <w:rsid w:val="00811C64"/>
    <w:rsid w:val="00811D64"/>
    <w:rsid w:val="00813164"/>
    <w:rsid w:val="0081445E"/>
    <w:rsid w:val="008151E3"/>
    <w:rsid w:val="0081539D"/>
    <w:rsid w:val="00820BBA"/>
    <w:rsid w:val="00822910"/>
    <w:rsid w:val="008254EE"/>
    <w:rsid w:val="00825CEA"/>
    <w:rsid w:val="00826495"/>
    <w:rsid w:val="00826A8E"/>
    <w:rsid w:val="008276AF"/>
    <w:rsid w:val="00827AB4"/>
    <w:rsid w:val="00831444"/>
    <w:rsid w:val="008346D9"/>
    <w:rsid w:val="00834E31"/>
    <w:rsid w:val="00835269"/>
    <w:rsid w:val="0083563B"/>
    <w:rsid w:val="00837CB7"/>
    <w:rsid w:val="00841345"/>
    <w:rsid w:val="008414FB"/>
    <w:rsid w:val="00841969"/>
    <w:rsid w:val="0084230F"/>
    <w:rsid w:val="008438D9"/>
    <w:rsid w:val="00843E6D"/>
    <w:rsid w:val="0084449A"/>
    <w:rsid w:val="0084496E"/>
    <w:rsid w:val="00845852"/>
    <w:rsid w:val="00846157"/>
    <w:rsid w:val="00846F11"/>
    <w:rsid w:val="00851F7D"/>
    <w:rsid w:val="008535D2"/>
    <w:rsid w:val="00853C75"/>
    <w:rsid w:val="00854624"/>
    <w:rsid w:val="0085526F"/>
    <w:rsid w:val="008619A1"/>
    <w:rsid w:val="00861D87"/>
    <w:rsid w:val="00861F35"/>
    <w:rsid w:val="0086246D"/>
    <w:rsid w:val="00862904"/>
    <w:rsid w:val="008646B1"/>
    <w:rsid w:val="008660CD"/>
    <w:rsid w:val="00870789"/>
    <w:rsid w:val="008727B2"/>
    <w:rsid w:val="0087299F"/>
    <w:rsid w:val="0087426A"/>
    <w:rsid w:val="00875032"/>
    <w:rsid w:val="0087707F"/>
    <w:rsid w:val="00877770"/>
    <w:rsid w:val="00877BB1"/>
    <w:rsid w:val="00880A10"/>
    <w:rsid w:val="00880AE4"/>
    <w:rsid w:val="00881756"/>
    <w:rsid w:val="0088337A"/>
    <w:rsid w:val="008858B1"/>
    <w:rsid w:val="00886511"/>
    <w:rsid w:val="00887480"/>
    <w:rsid w:val="00887FD2"/>
    <w:rsid w:val="00895657"/>
    <w:rsid w:val="008966C9"/>
    <w:rsid w:val="00897635"/>
    <w:rsid w:val="00897A59"/>
    <w:rsid w:val="008A2A50"/>
    <w:rsid w:val="008A4BAB"/>
    <w:rsid w:val="008A662B"/>
    <w:rsid w:val="008A778E"/>
    <w:rsid w:val="008A7EED"/>
    <w:rsid w:val="008B402F"/>
    <w:rsid w:val="008B44FE"/>
    <w:rsid w:val="008B52B4"/>
    <w:rsid w:val="008B54A4"/>
    <w:rsid w:val="008B5D02"/>
    <w:rsid w:val="008B6038"/>
    <w:rsid w:val="008B7D19"/>
    <w:rsid w:val="008C617D"/>
    <w:rsid w:val="008C67B4"/>
    <w:rsid w:val="008C6E04"/>
    <w:rsid w:val="008D0955"/>
    <w:rsid w:val="008D099A"/>
    <w:rsid w:val="008D13F8"/>
    <w:rsid w:val="008D19E0"/>
    <w:rsid w:val="008D1A9C"/>
    <w:rsid w:val="008D2039"/>
    <w:rsid w:val="008D26C9"/>
    <w:rsid w:val="008D5D69"/>
    <w:rsid w:val="008D63F9"/>
    <w:rsid w:val="008E05A2"/>
    <w:rsid w:val="008E0F02"/>
    <w:rsid w:val="008E1535"/>
    <w:rsid w:val="008E4EE4"/>
    <w:rsid w:val="008E61F1"/>
    <w:rsid w:val="008E62E0"/>
    <w:rsid w:val="008E6ABA"/>
    <w:rsid w:val="008E6C8B"/>
    <w:rsid w:val="008E7641"/>
    <w:rsid w:val="008F141B"/>
    <w:rsid w:val="008F5E85"/>
    <w:rsid w:val="008F70FC"/>
    <w:rsid w:val="00900F81"/>
    <w:rsid w:val="00900FB2"/>
    <w:rsid w:val="00901525"/>
    <w:rsid w:val="009015EF"/>
    <w:rsid w:val="00901DB7"/>
    <w:rsid w:val="00902D91"/>
    <w:rsid w:val="00904499"/>
    <w:rsid w:val="00904AA6"/>
    <w:rsid w:val="00904B60"/>
    <w:rsid w:val="009052DF"/>
    <w:rsid w:val="00906B25"/>
    <w:rsid w:val="00906EE0"/>
    <w:rsid w:val="00910052"/>
    <w:rsid w:val="00912E3B"/>
    <w:rsid w:val="009133C1"/>
    <w:rsid w:val="00916E16"/>
    <w:rsid w:val="009209D2"/>
    <w:rsid w:val="009235DA"/>
    <w:rsid w:val="0092744D"/>
    <w:rsid w:val="00930118"/>
    <w:rsid w:val="009313F0"/>
    <w:rsid w:val="00931DCB"/>
    <w:rsid w:val="009325CD"/>
    <w:rsid w:val="00934A78"/>
    <w:rsid w:val="00935232"/>
    <w:rsid w:val="009357B9"/>
    <w:rsid w:val="00937D34"/>
    <w:rsid w:val="00941FC0"/>
    <w:rsid w:val="00943097"/>
    <w:rsid w:val="009462EB"/>
    <w:rsid w:val="009501A5"/>
    <w:rsid w:val="0095029E"/>
    <w:rsid w:val="00951CB7"/>
    <w:rsid w:val="0095248C"/>
    <w:rsid w:val="0095274F"/>
    <w:rsid w:val="009606F2"/>
    <w:rsid w:val="009613C0"/>
    <w:rsid w:val="00961CEF"/>
    <w:rsid w:val="00962975"/>
    <w:rsid w:val="00963A5D"/>
    <w:rsid w:val="00963EBF"/>
    <w:rsid w:val="00964390"/>
    <w:rsid w:val="009666EA"/>
    <w:rsid w:val="00970A22"/>
    <w:rsid w:val="00971AA2"/>
    <w:rsid w:val="00973D4B"/>
    <w:rsid w:val="00975A2C"/>
    <w:rsid w:val="00976CFE"/>
    <w:rsid w:val="009771CD"/>
    <w:rsid w:val="00977DF8"/>
    <w:rsid w:val="00981AB2"/>
    <w:rsid w:val="00981C49"/>
    <w:rsid w:val="009825B2"/>
    <w:rsid w:val="009835B6"/>
    <w:rsid w:val="0098598E"/>
    <w:rsid w:val="00985E5B"/>
    <w:rsid w:val="0099104D"/>
    <w:rsid w:val="009960BD"/>
    <w:rsid w:val="009964BC"/>
    <w:rsid w:val="009978B2"/>
    <w:rsid w:val="009A1700"/>
    <w:rsid w:val="009A2102"/>
    <w:rsid w:val="009A2379"/>
    <w:rsid w:val="009A270A"/>
    <w:rsid w:val="009A376E"/>
    <w:rsid w:val="009A6905"/>
    <w:rsid w:val="009B0D30"/>
    <w:rsid w:val="009B2C76"/>
    <w:rsid w:val="009B47BE"/>
    <w:rsid w:val="009B4AAA"/>
    <w:rsid w:val="009B7833"/>
    <w:rsid w:val="009C00B4"/>
    <w:rsid w:val="009C1E60"/>
    <w:rsid w:val="009C260F"/>
    <w:rsid w:val="009C2B05"/>
    <w:rsid w:val="009C3B93"/>
    <w:rsid w:val="009C44F2"/>
    <w:rsid w:val="009C5FA5"/>
    <w:rsid w:val="009C62C2"/>
    <w:rsid w:val="009C6DB3"/>
    <w:rsid w:val="009D078D"/>
    <w:rsid w:val="009D085C"/>
    <w:rsid w:val="009D1E2D"/>
    <w:rsid w:val="009D2C2C"/>
    <w:rsid w:val="009D3960"/>
    <w:rsid w:val="009D5073"/>
    <w:rsid w:val="009D6C42"/>
    <w:rsid w:val="009D76F6"/>
    <w:rsid w:val="009D7ECB"/>
    <w:rsid w:val="009E1273"/>
    <w:rsid w:val="009E25F3"/>
    <w:rsid w:val="009E2A30"/>
    <w:rsid w:val="009E2B98"/>
    <w:rsid w:val="009E2D5F"/>
    <w:rsid w:val="009E2E6F"/>
    <w:rsid w:val="009E33FD"/>
    <w:rsid w:val="009F390E"/>
    <w:rsid w:val="009F481A"/>
    <w:rsid w:val="009F491F"/>
    <w:rsid w:val="009F5BBC"/>
    <w:rsid w:val="009F6C56"/>
    <w:rsid w:val="00A005C1"/>
    <w:rsid w:val="00A044A5"/>
    <w:rsid w:val="00A059E9"/>
    <w:rsid w:val="00A062B5"/>
    <w:rsid w:val="00A06A12"/>
    <w:rsid w:val="00A1045F"/>
    <w:rsid w:val="00A1184C"/>
    <w:rsid w:val="00A12970"/>
    <w:rsid w:val="00A13ECB"/>
    <w:rsid w:val="00A140A1"/>
    <w:rsid w:val="00A16E4A"/>
    <w:rsid w:val="00A20293"/>
    <w:rsid w:val="00A21459"/>
    <w:rsid w:val="00A21B17"/>
    <w:rsid w:val="00A22B82"/>
    <w:rsid w:val="00A22E72"/>
    <w:rsid w:val="00A26193"/>
    <w:rsid w:val="00A3120C"/>
    <w:rsid w:val="00A31C8C"/>
    <w:rsid w:val="00A337AF"/>
    <w:rsid w:val="00A41C16"/>
    <w:rsid w:val="00A4252F"/>
    <w:rsid w:val="00A43E5B"/>
    <w:rsid w:val="00A4492E"/>
    <w:rsid w:val="00A4524C"/>
    <w:rsid w:val="00A45CD1"/>
    <w:rsid w:val="00A51B03"/>
    <w:rsid w:val="00A51BDE"/>
    <w:rsid w:val="00A5649E"/>
    <w:rsid w:val="00A5669E"/>
    <w:rsid w:val="00A57106"/>
    <w:rsid w:val="00A60435"/>
    <w:rsid w:val="00A61617"/>
    <w:rsid w:val="00A6325F"/>
    <w:rsid w:val="00A63925"/>
    <w:rsid w:val="00A63EC2"/>
    <w:rsid w:val="00A70DDB"/>
    <w:rsid w:val="00A7144E"/>
    <w:rsid w:val="00A73C9D"/>
    <w:rsid w:val="00A767FF"/>
    <w:rsid w:val="00A769D3"/>
    <w:rsid w:val="00A80A2B"/>
    <w:rsid w:val="00A82845"/>
    <w:rsid w:val="00A839D1"/>
    <w:rsid w:val="00A85F9C"/>
    <w:rsid w:val="00A86330"/>
    <w:rsid w:val="00A86999"/>
    <w:rsid w:val="00A9167C"/>
    <w:rsid w:val="00A917F7"/>
    <w:rsid w:val="00A97A8A"/>
    <w:rsid w:val="00AA0A48"/>
    <w:rsid w:val="00AA246F"/>
    <w:rsid w:val="00AA2761"/>
    <w:rsid w:val="00AA2866"/>
    <w:rsid w:val="00AA2A90"/>
    <w:rsid w:val="00AA4BD2"/>
    <w:rsid w:val="00AA664D"/>
    <w:rsid w:val="00AB0BBE"/>
    <w:rsid w:val="00AB1E43"/>
    <w:rsid w:val="00AB257D"/>
    <w:rsid w:val="00AB43A7"/>
    <w:rsid w:val="00AB44AD"/>
    <w:rsid w:val="00AB4F1A"/>
    <w:rsid w:val="00AB5F14"/>
    <w:rsid w:val="00AB6366"/>
    <w:rsid w:val="00AB70E0"/>
    <w:rsid w:val="00AB751F"/>
    <w:rsid w:val="00AC05F9"/>
    <w:rsid w:val="00AC0D38"/>
    <w:rsid w:val="00AC2232"/>
    <w:rsid w:val="00AC3BE8"/>
    <w:rsid w:val="00AC3F30"/>
    <w:rsid w:val="00AC4800"/>
    <w:rsid w:val="00AC5D0D"/>
    <w:rsid w:val="00AC6B39"/>
    <w:rsid w:val="00AD03F1"/>
    <w:rsid w:val="00AD0E53"/>
    <w:rsid w:val="00AD13A1"/>
    <w:rsid w:val="00AD16CF"/>
    <w:rsid w:val="00AD2CDE"/>
    <w:rsid w:val="00AD49B2"/>
    <w:rsid w:val="00AD5688"/>
    <w:rsid w:val="00AD5E0C"/>
    <w:rsid w:val="00AE040F"/>
    <w:rsid w:val="00AE0617"/>
    <w:rsid w:val="00AE2291"/>
    <w:rsid w:val="00AE2DA0"/>
    <w:rsid w:val="00AE6E0C"/>
    <w:rsid w:val="00AE7343"/>
    <w:rsid w:val="00AE7E5F"/>
    <w:rsid w:val="00AF0274"/>
    <w:rsid w:val="00AF0BB1"/>
    <w:rsid w:val="00AF201C"/>
    <w:rsid w:val="00AF2BF1"/>
    <w:rsid w:val="00AF3DFF"/>
    <w:rsid w:val="00AF400D"/>
    <w:rsid w:val="00AF4B81"/>
    <w:rsid w:val="00AF75DA"/>
    <w:rsid w:val="00B012B5"/>
    <w:rsid w:val="00B01A74"/>
    <w:rsid w:val="00B03B6E"/>
    <w:rsid w:val="00B041B3"/>
    <w:rsid w:val="00B04D58"/>
    <w:rsid w:val="00B04FC9"/>
    <w:rsid w:val="00B0603C"/>
    <w:rsid w:val="00B062B3"/>
    <w:rsid w:val="00B065EE"/>
    <w:rsid w:val="00B07CFC"/>
    <w:rsid w:val="00B12763"/>
    <w:rsid w:val="00B127DE"/>
    <w:rsid w:val="00B12DBC"/>
    <w:rsid w:val="00B13B05"/>
    <w:rsid w:val="00B13F4C"/>
    <w:rsid w:val="00B16451"/>
    <w:rsid w:val="00B208BA"/>
    <w:rsid w:val="00B22B58"/>
    <w:rsid w:val="00B236C4"/>
    <w:rsid w:val="00B24B44"/>
    <w:rsid w:val="00B2548E"/>
    <w:rsid w:val="00B30803"/>
    <w:rsid w:val="00B31C19"/>
    <w:rsid w:val="00B3210C"/>
    <w:rsid w:val="00B34F46"/>
    <w:rsid w:val="00B36C5C"/>
    <w:rsid w:val="00B37478"/>
    <w:rsid w:val="00B428F2"/>
    <w:rsid w:val="00B435FB"/>
    <w:rsid w:val="00B45E8F"/>
    <w:rsid w:val="00B46CB3"/>
    <w:rsid w:val="00B46F28"/>
    <w:rsid w:val="00B51227"/>
    <w:rsid w:val="00B51453"/>
    <w:rsid w:val="00B51554"/>
    <w:rsid w:val="00B51739"/>
    <w:rsid w:val="00B53061"/>
    <w:rsid w:val="00B55C18"/>
    <w:rsid w:val="00B56258"/>
    <w:rsid w:val="00B56B96"/>
    <w:rsid w:val="00B6216D"/>
    <w:rsid w:val="00B64054"/>
    <w:rsid w:val="00B65A74"/>
    <w:rsid w:val="00B65DBF"/>
    <w:rsid w:val="00B70F8B"/>
    <w:rsid w:val="00B71578"/>
    <w:rsid w:val="00B71A62"/>
    <w:rsid w:val="00B720DF"/>
    <w:rsid w:val="00B7386A"/>
    <w:rsid w:val="00B74502"/>
    <w:rsid w:val="00B76EB7"/>
    <w:rsid w:val="00B771F9"/>
    <w:rsid w:val="00B80736"/>
    <w:rsid w:val="00B81902"/>
    <w:rsid w:val="00B92EB2"/>
    <w:rsid w:val="00B954E5"/>
    <w:rsid w:val="00B957CD"/>
    <w:rsid w:val="00B9728D"/>
    <w:rsid w:val="00B97308"/>
    <w:rsid w:val="00BA0509"/>
    <w:rsid w:val="00BA2B03"/>
    <w:rsid w:val="00BA3508"/>
    <w:rsid w:val="00BA4274"/>
    <w:rsid w:val="00BA4B7B"/>
    <w:rsid w:val="00BA56C2"/>
    <w:rsid w:val="00BA7579"/>
    <w:rsid w:val="00BB1214"/>
    <w:rsid w:val="00BB1CA6"/>
    <w:rsid w:val="00BB3ED1"/>
    <w:rsid w:val="00BB735C"/>
    <w:rsid w:val="00BB7FAA"/>
    <w:rsid w:val="00BC3874"/>
    <w:rsid w:val="00BC4318"/>
    <w:rsid w:val="00BC68D0"/>
    <w:rsid w:val="00BC6CD4"/>
    <w:rsid w:val="00BC7BC3"/>
    <w:rsid w:val="00BD0960"/>
    <w:rsid w:val="00BD27D9"/>
    <w:rsid w:val="00BD28CE"/>
    <w:rsid w:val="00BD368F"/>
    <w:rsid w:val="00BD3F6A"/>
    <w:rsid w:val="00BD4BED"/>
    <w:rsid w:val="00BD5610"/>
    <w:rsid w:val="00BD56DB"/>
    <w:rsid w:val="00BD63B7"/>
    <w:rsid w:val="00BE09C4"/>
    <w:rsid w:val="00BE40B8"/>
    <w:rsid w:val="00BE5E25"/>
    <w:rsid w:val="00BE6479"/>
    <w:rsid w:val="00BE714A"/>
    <w:rsid w:val="00BF130A"/>
    <w:rsid w:val="00BF185F"/>
    <w:rsid w:val="00BF2C83"/>
    <w:rsid w:val="00BF40F9"/>
    <w:rsid w:val="00BF5FB2"/>
    <w:rsid w:val="00BF7E9A"/>
    <w:rsid w:val="00C004DA"/>
    <w:rsid w:val="00C00D7C"/>
    <w:rsid w:val="00C0231B"/>
    <w:rsid w:val="00C103D4"/>
    <w:rsid w:val="00C10771"/>
    <w:rsid w:val="00C1162E"/>
    <w:rsid w:val="00C120CD"/>
    <w:rsid w:val="00C13466"/>
    <w:rsid w:val="00C134F4"/>
    <w:rsid w:val="00C14370"/>
    <w:rsid w:val="00C148C0"/>
    <w:rsid w:val="00C14E6E"/>
    <w:rsid w:val="00C17BF8"/>
    <w:rsid w:val="00C23B0F"/>
    <w:rsid w:val="00C261EA"/>
    <w:rsid w:val="00C27D95"/>
    <w:rsid w:val="00C3671A"/>
    <w:rsid w:val="00C36875"/>
    <w:rsid w:val="00C423FA"/>
    <w:rsid w:val="00C425B0"/>
    <w:rsid w:val="00C42F30"/>
    <w:rsid w:val="00C46925"/>
    <w:rsid w:val="00C46CD6"/>
    <w:rsid w:val="00C54773"/>
    <w:rsid w:val="00C558CC"/>
    <w:rsid w:val="00C55FAC"/>
    <w:rsid w:val="00C56AA5"/>
    <w:rsid w:val="00C56C38"/>
    <w:rsid w:val="00C60AAE"/>
    <w:rsid w:val="00C6161E"/>
    <w:rsid w:val="00C6174E"/>
    <w:rsid w:val="00C63986"/>
    <w:rsid w:val="00C6708D"/>
    <w:rsid w:val="00C675E4"/>
    <w:rsid w:val="00C67D60"/>
    <w:rsid w:val="00C70515"/>
    <w:rsid w:val="00C72880"/>
    <w:rsid w:val="00C7415B"/>
    <w:rsid w:val="00C804F7"/>
    <w:rsid w:val="00C82B0E"/>
    <w:rsid w:val="00C84D6D"/>
    <w:rsid w:val="00C85B97"/>
    <w:rsid w:val="00C85E5E"/>
    <w:rsid w:val="00C8694A"/>
    <w:rsid w:val="00C86F1B"/>
    <w:rsid w:val="00C8761F"/>
    <w:rsid w:val="00C9096D"/>
    <w:rsid w:val="00C91BC1"/>
    <w:rsid w:val="00C93767"/>
    <w:rsid w:val="00C95930"/>
    <w:rsid w:val="00C96E7C"/>
    <w:rsid w:val="00C97D17"/>
    <w:rsid w:val="00CA069C"/>
    <w:rsid w:val="00CA1A4C"/>
    <w:rsid w:val="00CA2A8C"/>
    <w:rsid w:val="00CA3A76"/>
    <w:rsid w:val="00CA4FC3"/>
    <w:rsid w:val="00CA7513"/>
    <w:rsid w:val="00CA7EBC"/>
    <w:rsid w:val="00CB024A"/>
    <w:rsid w:val="00CB2540"/>
    <w:rsid w:val="00CB33A7"/>
    <w:rsid w:val="00CB38D7"/>
    <w:rsid w:val="00CB6297"/>
    <w:rsid w:val="00CB6600"/>
    <w:rsid w:val="00CB7762"/>
    <w:rsid w:val="00CC0496"/>
    <w:rsid w:val="00CC30E1"/>
    <w:rsid w:val="00CC423B"/>
    <w:rsid w:val="00CC56AF"/>
    <w:rsid w:val="00CD07B7"/>
    <w:rsid w:val="00CD162A"/>
    <w:rsid w:val="00CD225E"/>
    <w:rsid w:val="00CD2AFC"/>
    <w:rsid w:val="00CD3768"/>
    <w:rsid w:val="00CD504F"/>
    <w:rsid w:val="00CD5D9B"/>
    <w:rsid w:val="00CD5EE2"/>
    <w:rsid w:val="00CD756F"/>
    <w:rsid w:val="00CE08D4"/>
    <w:rsid w:val="00CE299E"/>
    <w:rsid w:val="00CE3B6F"/>
    <w:rsid w:val="00CF2EC4"/>
    <w:rsid w:val="00CF494E"/>
    <w:rsid w:val="00D00C58"/>
    <w:rsid w:val="00D016D5"/>
    <w:rsid w:val="00D02743"/>
    <w:rsid w:val="00D0448D"/>
    <w:rsid w:val="00D10242"/>
    <w:rsid w:val="00D11C98"/>
    <w:rsid w:val="00D13C36"/>
    <w:rsid w:val="00D13E9D"/>
    <w:rsid w:val="00D148F7"/>
    <w:rsid w:val="00D15642"/>
    <w:rsid w:val="00D15FA8"/>
    <w:rsid w:val="00D17C6C"/>
    <w:rsid w:val="00D20BFD"/>
    <w:rsid w:val="00D22E8F"/>
    <w:rsid w:val="00D23F94"/>
    <w:rsid w:val="00D246AB"/>
    <w:rsid w:val="00D2481B"/>
    <w:rsid w:val="00D25ED9"/>
    <w:rsid w:val="00D275F2"/>
    <w:rsid w:val="00D27FF2"/>
    <w:rsid w:val="00D30EAF"/>
    <w:rsid w:val="00D32CD4"/>
    <w:rsid w:val="00D32EF2"/>
    <w:rsid w:val="00D33426"/>
    <w:rsid w:val="00D34759"/>
    <w:rsid w:val="00D37FB7"/>
    <w:rsid w:val="00D41370"/>
    <w:rsid w:val="00D42A0A"/>
    <w:rsid w:val="00D434B2"/>
    <w:rsid w:val="00D439E9"/>
    <w:rsid w:val="00D44626"/>
    <w:rsid w:val="00D45137"/>
    <w:rsid w:val="00D458AA"/>
    <w:rsid w:val="00D505FA"/>
    <w:rsid w:val="00D508DC"/>
    <w:rsid w:val="00D508EE"/>
    <w:rsid w:val="00D50A14"/>
    <w:rsid w:val="00D5101F"/>
    <w:rsid w:val="00D5236E"/>
    <w:rsid w:val="00D532E1"/>
    <w:rsid w:val="00D55A52"/>
    <w:rsid w:val="00D5633E"/>
    <w:rsid w:val="00D56E90"/>
    <w:rsid w:val="00D577EF"/>
    <w:rsid w:val="00D617EB"/>
    <w:rsid w:val="00D63523"/>
    <w:rsid w:val="00D64133"/>
    <w:rsid w:val="00D65F8D"/>
    <w:rsid w:val="00D66A95"/>
    <w:rsid w:val="00D71A37"/>
    <w:rsid w:val="00D7394A"/>
    <w:rsid w:val="00D74599"/>
    <w:rsid w:val="00D75058"/>
    <w:rsid w:val="00D7641E"/>
    <w:rsid w:val="00D816AA"/>
    <w:rsid w:val="00D83BDC"/>
    <w:rsid w:val="00D851A1"/>
    <w:rsid w:val="00D8597C"/>
    <w:rsid w:val="00D86E99"/>
    <w:rsid w:val="00D91BFC"/>
    <w:rsid w:val="00D92EF6"/>
    <w:rsid w:val="00D9669F"/>
    <w:rsid w:val="00D96A6E"/>
    <w:rsid w:val="00DA03D5"/>
    <w:rsid w:val="00DA3130"/>
    <w:rsid w:val="00DA3F54"/>
    <w:rsid w:val="00DA58E4"/>
    <w:rsid w:val="00DB0E66"/>
    <w:rsid w:val="00DB2655"/>
    <w:rsid w:val="00DB2B03"/>
    <w:rsid w:val="00DB4F16"/>
    <w:rsid w:val="00DC0169"/>
    <w:rsid w:val="00DC03DA"/>
    <w:rsid w:val="00DC2653"/>
    <w:rsid w:val="00DC4C2A"/>
    <w:rsid w:val="00DC508F"/>
    <w:rsid w:val="00DC6321"/>
    <w:rsid w:val="00DC6996"/>
    <w:rsid w:val="00DC6C13"/>
    <w:rsid w:val="00DC7E9F"/>
    <w:rsid w:val="00DD0B99"/>
    <w:rsid w:val="00DD195C"/>
    <w:rsid w:val="00DD296C"/>
    <w:rsid w:val="00DD312C"/>
    <w:rsid w:val="00DD40E9"/>
    <w:rsid w:val="00DD426E"/>
    <w:rsid w:val="00DD600D"/>
    <w:rsid w:val="00DD6E72"/>
    <w:rsid w:val="00DD7797"/>
    <w:rsid w:val="00DE2FA0"/>
    <w:rsid w:val="00DE4164"/>
    <w:rsid w:val="00DE6465"/>
    <w:rsid w:val="00DE6711"/>
    <w:rsid w:val="00DF0EDD"/>
    <w:rsid w:val="00DF1547"/>
    <w:rsid w:val="00DF3105"/>
    <w:rsid w:val="00DF3DE4"/>
    <w:rsid w:val="00DF3E87"/>
    <w:rsid w:val="00DF7398"/>
    <w:rsid w:val="00DF756F"/>
    <w:rsid w:val="00E0036C"/>
    <w:rsid w:val="00E00B2E"/>
    <w:rsid w:val="00E01136"/>
    <w:rsid w:val="00E023DF"/>
    <w:rsid w:val="00E02686"/>
    <w:rsid w:val="00E039F1"/>
    <w:rsid w:val="00E05508"/>
    <w:rsid w:val="00E0551F"/>
    <w:rsid w:val="00E05E14"/>
    <w:rsid w:val="00E1428C"/>
    <w:rsid w:val="00E1739C"/>
    <w:rsid w:val="00E1793B"/>
    <w:rsid w:val="00E24F24"/>
    <w:rsid w:val="00E26265"/>
    <w:rsid w:val="00E2694D"/>
    <w:rsid w:val="00E31604"/>
    <w:rsid w:val="00E31798"/>
    <w:rsid w:val="00E32272"/>
    <w:rsid w:val="00E32B08"/>
    <w:rsid w:val="00E3344C"/>
    <w:rsid w:val="00E35707"/>
    <w:rsid w:val="00E35DD8"/>
    <w:rsid w:val="00E37623"/>
    <w:rsid w:val="00E422F7"/>
    <w:rsid w:val="00E433EB"/>
    <w:rsid w:val="00E477EF"/>
    <w:rsid w:val="00E50D76"/>
    <w:rsid w:val="00E5194C"/>
    <w:rsid w:val="00E52B26"/>
    <w:rsid w:val="00E55B5E"/>
    <w:rsid w:val="00E56B57"/>
    <w:rsid w:val="00E57385"/>
    <w:rsid w:val="00E60777"/>
    <w:rsid w:val="00E62DA0"/>
    <w:rsid w:val="00E62DDD"/>
    <w:rsid w:val="00E62F6E"/>
    <w:rsid w:val="00E64C57"/>
    <w:rsid w:val="00E66F14"/>
    <w:rsid w:val="00E7103C"/>
    <w:rsid w:val="00E72DEE"/>
    <w:rsid w:val="00E73AB1"/>
    <w:rsid w:val="00E73C3B"/>
    <w:rsid w:val="00E74758"/>
    <w:rsid w:val="00E74A45"/>
    <w:rsid w:val="00E74F32"/>
    <w:rsid w:val="00E779F4"/>
    <w:rsid w:val="00E8246C"/>
    <w:rsid w:val="00E82529"/>
    <w:rsid w:val="00E839E0"/>
    <w:rsid w:val="00E846EF"/>
    <w:rsid w:val="00E849D1"/>
    <w:rsid w:val="00E84B4C"/>
    <w:rsid w:val="00E86621"/>
    <w:rsid w:val="00E93AC5"/>
    <w:rsid w:val="00E94579"/>
    <w:rsid w:val="00E9459D"/>
    <w:rsid w:val="00E9610C"/>
    <w:rsid w:val="00E97110"/>
    <w:rsid w:val="00E9798C"/>
    <w:rsid w:val="00E97F8D"/>
    <w:rsid w:val="00EA0B57"/>
    <w:rsid w:val="00EA1035"/>
    <w:rsid w:val="00EA1F98"/>
    <w:rsid w:val="00EA3C4B"/>
    <w:rsid w:val="00EA5D83"/>
    <w:rsid w:val="00EB1DC5"/>
    <w:rsid w:val="00EB1F25"/>
    <w:rsid w:val="00EB340B"/>
    <w:rsid w:val="00EB41D1"/>
    <w:rsid w:val="00EB54DF"/>
    <w:rsid w:val="00EB5C12"/>
    <w:rsid w:val="00EC014B"/>
    <w:rsid w:val="00EC08BE"/>
    <w:rsid w:val="00EC0E39"/>
    <w:rsid w:val="00EC20A8"/>
    <w:rsid w:val="00EC2C87"/>
    <w:rsid w:val="00EC4DA7"/>
    <w:rsid w:val="00EC53FB"/>
    <w:rsid w:val="00EC5B1A"/>
    <w:rsid w:val="00EC6112"/>
    <w:rsid w:val="00EC7446"/>
    <w:rsid w:val="00ED1774"/>
    <w:rsid w:val="00ED1997"/>
    <w:rsid w:val="00ED2EED"/>
    <w:rsid w:val="00ED361D"/>
    <w:rsid w:val="00ED51F7"/>
    <w:rsid w:val="00ED6978"/>
    <w:rsid w:val="00ED7A88"/>
    <w:rsid w:val="00ED7D95"/>
    <w:rsid w:val="00EE0752"/>
    <w:rsid w:val="00EE0BE9"/>
    <w:rsid w:val="00EE0F99"/>
    <w:rsid w:val="00EE2198"/>
    <w:rsid w:val="00EE3A0B"/>
    <w:rsid w:val="00EE5AB9"/>
    <w:rsid w:val="00EE5ADB"/>
    <w:rsid w:val="00EE627E"/>
    <w:rsid w:val="00EE6451"/>
    <w:rsid w:val="00EF0A36"/>
    <w:rsid w:val="00EF0F24"/>
    <w:rsid w:val="00EF17C7"/>
    <w:rsid w:val="00EF2803"/>
    <w:rsid w:val="00EF32E8"/>
    <w:rsid w:val="00EF3CF3"/>
    <w:rsid w:val="00EF4939"/>
    <w:rsid w:val="00EF4B92"/>
    <w:rsid w:val="00EF5D95"/>
    <w:rsid w:val="00EF6658"/>
    <w:rsid w:val="00F01054"/>
    <w:rsid w:val="00F018F8"/>
    <w:rsid w:val="00F01B5D"/>
    <w:rsid w:val="00F01CCD"/>
    <w:rsid w:val="00F11E42"/>
    <w:rsid w:val="00F12347"/>
    <w:rsid w:val="00F13525"/>
    <w:rsid w:val="00F16830"/>
    <w:rsid w:val="00F16F6E"/>
    <w:rsid w:val="00F17261"/>
    <w:rsid w:val="00F209DC"/>
    <w:rsid w:val="00F22592"/>
    <w:rsid w:val="00F23ECA"/>
    <w:rsid w:val="00F24DD9"/>
    <w:rsid w:val="00F2528C"/>
    <w:rsid w:val="00F27D8A"/>
    <w:rsid w:val="00F32735"/>
    <w:rsid w:val="00F348A6"/>
    <w:rsid w:val="00F35A97"/>
    <w:rsid w:val="00F36F9F"/>
    <w:rsid w:val="00F424D0"/>
    <w:rsid w:val="00F42EEF"/>
    <w:rsid w:val="00F42EF2"/>
    <w:rsid w:val="00F433FF"/>
    <w:rsid w:val="00F4414C"/>
    <w:rsid w:val="00F442E0"/>
    <w:rsid w:val="00F44F9D"/>
    <w:rsid w:val="00F473B3"/>
    <w:rsid w:val="00F50AB2"/>
    <w:rsid w:val="00F51457"/>
    <w:rsid w:val="00F52884"/>
    <w:rsid w:val="00F52FF4"/>
    <w:rsid w:val="00F549CF"/>
    <w:rsid w:val="00F56D41"/>
    <w:rsid w:val="00F57D8B"/>
    <w:rsid w:val="00F602FC"/>
    <w:rsid w:val="00F60EAE"/>
    <w:rsid w:val="00F63670"/>
    <w:rsid w:val="00F65276"/>
    <w:rsid w:val="00F6568F"/>
    <w:rsid w:val="00F710CD"/>
    <w:rsid w:val="00F721D0"/>
    <w:rsid w:val="00F73F1B"/>
    <w:rsid w:val="00F742B5"/>
    <w:rsid w:val="00F776EA"/>
    <w:rsid w:val="00F779FF"/>
    <w:rsid w:val="00F80CE5"/>
    <w:rsid w:val="00F8253D"/>
    <w:rsid w:val="00F829CA"/>
    <w:rsid w:val="00F82C93"/>
    <w:rsid w:val="00F83294"/>
    <w:rsid w:val="00F90D90"/>
    <w:rsid w:val="00F9388E"/>
    <w:rsid w:val="00F93D3A"/>
    <w:rsid w:val="00F9485C"/>
    <w:rsid w:val="00F94A0B"/>
    <w:rsid w:val="00F94EE8"/>
    <w:rsid w:val="00F95688"/>
    <w:rsid w:val="00F978EA"/>
    <w:rsid w:val="00FA1879"/>
    <w:rsid w:val="00FA2083"/>
    <w:rsid w:val="00FA22E2"/>
    <w:rsid w:val="00FA335C"/>
    <w:rsid w:val="00FA5344"/>
    <w:rsid w:val="00FA6EF0"/>
    <w:rsid w:val="00FB157B"/>
    <w:rsid w:val="00FB1C8A"/>
    <w:rsid w:val="00FB2137"/>
    <w:rsid w:val="00FB5B08"/>
    <w:rsid w:val="00FC3FDF"/>
    <w:rsid w:val="00FC4C5B"/>
    <w:rsid w:val="00FC5E5A"/>
    <w:rsid w:val="00FC64B2"/>
    <w:rsid w:val="00FC688A"/>
    <w:rsid w:val="00FC79ED"/>
    <w:rsid w:val="00FD0A4D"/>
    <w:rsid w:val="00FD2FA0"/>
    <w:rsid w:val="00FD3398"/>
    <w:rsid w:val="00FD526B"/>
    <w:rsid w:val="00FD551E"/>
    <w:rsid w:val="00FE1227"/>
    <w:rsid w:val="00FE21A8"/>
    <w:rsid w:val="00FE4859"/>
    <w:rsid w:val="00FE4936"/>
    <w:rsid w:val="00FE5300"/>
    <w:rsid w:val="00FE6C58"/>
    <w:rsid w:val="00FE6E46"/>
    <w:rsid w:val="00FE7FAD"/>
    <w:rsid w:val="00FF2F4D"/>
    <w:rsid w:val="00FF35AC"/>
    <w:rsid w:val="00FF3F0A"/>
    <w:rsid w:val="00FF6612"/>
    <w:rsid w:val="00FF7076"/>
    <w:rsid w:val="00FF7622"/>
    <w:rsid w:val="012873D3"/>
    <w:rsid w:val="013F4A62"/>
    <w:rsid w:val="01567C26"/>
    <w:rsid w:val="015B1E07"/>
    <w:rsid w:val="0176597C"/>
    <w:rsid w:val="018F2EE2"/>
    <w:rsid w:val="019329D2"/>
    <w:rsid w:val="019D1EC7"/>
    <w:rsid w:val="01AB1673"/>
    <w:rsid w:val="01DB6127"/>
    <w:rsid w:val="02012CC2"/>
    <w:rsid w:val="02141017"/>
    <w:rsid w:val="0219028B"/>
    <w:rsid w:val="02236A1D"/>
    <w:rsid w:val="022E14F7"/>
    <w:rsid w:val="022E306C"/>
    <w:rsid w:val="02336C6B"/>
    <w:rsid w:val="0234431B"/>
    <w:rsid w:val="023D293E"/>
    <w:rsid w:val="023F66B6"/>
    <w:rsid w:val="02751D71"/>
    <w:rsid w:val="029307AF"/>
    <w:rsid w:val="02A46519"/>
    <w:rsid w:val="02A81B3F"/>
    <w:rsid w:val="02B4024C"/>
    <w:rsid w:val="02C866AB"/>
    <w:rsid w:val="02EC4E4B"/>
    <w:rsid w:val="02F30FA1"/>
    <w:rsid w:val="02FC0B72"/>
    <w:rsid w:val="030F3505"/>
    <w:rsid w:val="032A1114"/>
    <w:rsid w:val="033B6E7D"/>
    <w:rsid w:val="03411FB9"/>
    <w:rsid w:val="035937A7"/>
    <w:rsid w:val="036C3927"/>
    <w:rsid w:val="03A10CAA"/>
    <w:rsid w:val="03A5521C"/>
    <w:rsid w:val="03A964DC"/>
    <w:rsid w:val="03FB485E"/>
    <w:rsid w:val="042409F4"/>
    <w:rsid w:val="044675BB"/>
    <w:rsid w:val="04784101"/>
    <w:rsid w:val="04A323FE"/>
    <w:rsid w:val="04AB1CEA"/>
    <w:rsid w:val="04AE1167"/>
    <w:rsid w:val="04CC5E7E"/>
    <w:rsid w:val="04DA5E74"/>
    <w:rsid w:val="059A64EF"/>
    <w:rsid w:val="05A0746B"/>
    <w:rsid w:val="05CD5D86"/>
    <w:rsid w:val="05DD3C52"/>
    <w:rsid w:val="05DF597E"/>
    <w:rsid w:val="06083F8B"/>
    <w:rsid w:val="06293905"/>
    <w:rsid w:val="06410D5C"/>
    <w:rsid w:val="065D535C"/>
    <w:rsid w:val="068B7FCC"/>
    <w:rsid w:val="06CA67FB"/>
    <w:rsid w:val="06E710CA"/>
    <w:rsid w:val="06F91383"/>
    <w:rsid w:val="07207B86"/>
    <w:rsid w:val="07322345"/>
    <w:rsid w:val="07830960"/>
    <w:rsid w:val="079052BE"/>
    <w:rsid w:val="07A37315"/>
    <w:rsid w:val="07AF5133"/>
    <w:rsid w:val="07D72EEC"/>
    <w:rsid w:val="07DE7FDB"/>
    <w:rsid w:val="07EA70C4"/>
    <w:rsid w:val="07F27FE4"/>
    <w:rsid w:val="07FE491D"/>
    <w:rsid w:val="08206641"/>
    <w:rsid w:val="08275C22"/>
    <w:rsid w:val="084D3328"/>
    <w:rsid w:val="088645C9"/>
    <w:rsid w:val="08A064B3"/>
    <w:rsid w:val="08C473AA"/>
    <w:rsid w:val="08D062B9"/>
    <w:rsid w:val="09315698"/>
    <w:rsid w:val="09371E95"/>
    <w:rsid w:val="09694699"/>
    <w:rsid w:val="096F5AD2"/>
    <w:rsid w:val="09815806"/>
    <w:rsid w:val="09A82D92"/>
    <w:rsid w:val="09C6146A"/>
    <w:rsid w:val="09E8138B"/>
    <w:rsid w:val="09EA1A8C"/>
    <w:rsid w:val="0A1421D6"/>
    <w:rsid w:val="0A1B75B7"/>
    <w:rsid w:val="0A20118A"/>
    <w:rsid w:val="0A3D532E"/>
    <w:rsid w:val="0A560A40"/>
    <w:rsid w:val="0ACA0AE6"/>
    <w:rsid w:val="0AD87B45"/>
    <w:rsid w:val="0AF045B7"/>
    <w:rsid w:val="0B325009"/>
    <w:rsid w:val="0B3E1196"/>
    <w:rsid w:val="0B4440C8"/>
    <w:rsid w:val="0BA61553"/>
    <w:rsid w:val="0BAE575C"/>
    <w:rsid w:val="0BC32105"/>
    <w:rsid w:val="0BCB2D68"/>
    <w:rsid w:val="0BDB5B3B"/>
    <w:rsid w:val="0BF4406D"/>
    <w:rsid w:val="0C0E69B7"/>
    <w:rsid w:val="0C300E1D"/>
    <w:rsid w:val="0C3312A5"/>
    <w:rsid w:val="0C502D60"/>
    <w:rsid w:val="0C985340"/>
    <w:rsid w:val="0CA07601"/>
    <w:rsid w:val="0CF92186"/>
    <w:rsid w:val="0CFB142B"/>
    <w:rsid w:val="0D07541E"/>
    <w:rsid w:val="0D1730D3"/>
    <w:rsid w:val="0D222E5C"/>
    <w:rsid w:val="0D267D95"/>
    <w:rsid w:val="0D57008A"/>
    <w:rsid w:val="0D593C5F"/>
    <w:rsid w:val="0D8C4A31"/>
    <w:rsid w:val="0DA56F93"/>
    <w:rsid w:val="0E0D1416"/>
    <w:rsid w:val="0E5A2C41"/>
    <w:rsid w:val="0E5F061E"/>
    <w:rsid w:val="0E7717C7"/>
    <w:rsid w:val="0E7E1C83"/>
    <w:rsid w:val="0E8930EA"/>
    <w:rsid w:val="0E9D4189"/>
    <w:rsid w:val="0EB977F0"/>
    <w:rsid w:val="0EE3661B"/>
    <w:rsid w:val="0F07055B"/>
    <w:rsid w:val="0F34083F"/>
    <w:rsid w:val="0F67724C"/>
    <w:rsid w:val="0FE64614"/>
    <w:rsid w:val="0FEF171B"/>
    <w:rsid w:val="102B64CB"/>
    <w:rsid w:val="102D5D9F"/>
    <w:rsid w:val="10433815"/>
    <w:rsid w:val="1049527D"/>
    <w:rsid w:val="10594DE6"/>
    <w:rsid w:val="105B0069"/>
    <w:rsid w:val="10710382"/>
    <w:rsid w:val="10795489"/>
    <w:rsid w:val="10C56D9A"/>
    <w:rsid w:val="10DB1C9F"/>
    <w:rsid w:val="110B7786"/>
    <w:rsid w:val="111E393A"/>
    <w:rsid w:val="1151513A"/>
    <w:rsid w:val="117143B2"/>
    <w:rsid w:val="118A5809"/>
    <w:rsid w:val="119C0530"/>
    <w:rsid w:val="11C444E1"/>
    <w:rsid w:val="12380A2C"/>
    <w:rsid w:val="127C0236"/>
    <w:rsid w:val="12BC5442"/>
    <w:rsid w:val="12F9465F"/>
    <w:rsid w:val="12FA67BA"/>
    <w:rsid w:val="1324792E"/>
    <w:rsid w:val="13385187"/>
    <w:rsid w:val="133F3A40"/>
    <w:rsid w:val="1376180B"/>
    <w:rsid w:val="13793014"/>
    <w:rsid w:val="13F0700C"/>
    <w:rsid w:val="14036F6F"/>
    <w:rsid w:val="142011A6"/>
    <w:rsid w:val="143040B0"/>
    <w:rsid w:val="144C6BCB"/>
    <w:rsid w:val="14B168C3"/>
    <w:rsid w:val="14F52C04"/>
    <w:rsid w:val="151412DC"/>
    <w:rsid w:val="154943E4"/>
    <w:rsid w:val="15965C16"/>
    <w:rsid w:val="15A444A6"/>
    <w:rsid w:val="15A71A35"/>
    <w:rsid w:val="15BF5966"/>
    <w:rsid w:val="15F210A8"/>
    <w:rsid w:val="15F829AC"/>
    <w:rsid w:val="16135A37"/>
    <w:rsid w:val="16277A0B"/>
    <w:rsid w:val="163B244B"/>
    <w:rsid w:val="164E7166"/>
    <w:rsid w:val="16852D6C"/>
    <w:rsid w:val="16AE750E"/>
    <w:rsid w:val="1750066F"/>
    <w:rsid w:val="17571D9C"/>
    <w:rsid w:val="17604CAC"/>
    <w:rsid w:val="17636146"/>
    <w:rsid w:val="17656130"/>
    <w:rsid w:val="17B24919"/>
    <w:rsid w:val="17B4163D"/>
    <w:rsid w:val="17F94FFE"/>
    <w:rsid w:val="17FA5806"/>
    <w:rsid w:val="17FD24FB"/>
    <w:rsid w:val="1828643D"/>
    <w:rsid w:val="183C1BD2"/>
    <w:rsid w:val="18475E6C"/>
    <w:rsid w:val="185A2304"/>
    <w:rsid w:val="187A3B4C"/>
    <w:rsid w:val="18AF29F3"/>
    <w:rsid w:val="18B178B5"/>
    <w:rsid w:val="19436634"/>
    <w:rsid w:val="194A4E3B"/>
    <w:rsid w:val="194E11F5"/>
    <w:rsid w:val="196A2BFE"/>
    <w:rsid w:val="196D545F"/>
    <w:rsid w:val="197F13C8"/>
    <w:rsid w:val="1A073B05"/>
    <w:rsid w:val="1A4F0ED2"/>
    <w:rsid w:val="1A761F62"/>
    <w:rsid w:val="1AF37BE5"/>
    <w:rsid w:val="1B0F4108"/>
    <w:rsid w:val="1B15296A"/>
    <w:rsid w:val="1B410951"/>
    <w:rsid w:val="1B46065D"/>
    <w:rsid w:val="1B7437F9"/>
    <w:rsid w:val="1B8B6070"/>
    <w:rsid w:val="1B9B6711"/>
    <w:rsid w:val="1BC021BE"/>
    <w:rsid w:val="1BF105C9"/>
    <w:rsid w:val="1C114081"/>
    <w:rsid w:val="1C16002F"/>
    <w:rsid w:val="1C2A7637"/>
    <w:rsid w:val="1C414647"/>
    <w:rsid w:val="1C925D7B"/>
    <w:rsid w:val="1CB93613"/>
    <w:rsid w:val="1CE343B6"/>
    <w:rsid w:val="1D022362"/>
    <w:rsid w:val="1D2A0BDE"/>
    <w:rsid w:val="1D9358AD"/>
    <w:rsid w:val="1D9C27B6"/>
    <w:rsid w:val="1DF613FE"/>
    <w:rsid w:val="1E097B16"/>
    <w:rsid w:val="1E125155"/>
    <w:rsid w:val="1E543091"/>
    <w:rsid w:val="1E5517D2"/>
    <w:rsid w:val="1E5C628D"/>
    <w:rsid w:val="1E923EF9"/>
    <w:rsid w:val="1EA1723B"/>
    <w:rsid w:val="1ED41950"/>
    <w:rsid w:val="1EE512C1"/>
    <w:rsid w:val="1F505606"/>
    <w:rsid w:val="1FB567D0"/>
    <w:rsid w:val="1FBE4C66"/>
    <w:rsid w:val="1FF561AE"/>
    <w:rsid w:val="1FF97A4C"/>
    <w:rsid w:val="204D7D98"/>
    <w:rsid w:val="206340DB"/>
    <w:rsid w:val="20901EF5"/>
    <w:rsid w:val="209634ED"/>
    <w:rsid w:val="20EE6FC1"/>
    <w:rsid w:val="211E0C10"/>
    <w:rsid w:val="21606878"/>
    <w:rsid w:val="21677702"/>
    <w:rsid w:val="219263AA"/>
    <w:rsid w:val="21B207FA"/>
    <w:rsid w:val="22027AEB"/>
    <w:rsid w:val="22422E41"/>
    <w:rsid w:val="22944929"/>
    <w:rsid w:val="22995455"/>
    <w:rsid w:val="22A55C69"/>
    <w:rsid w:val="22C205C9"/>
    <w:rsid w:val="22F12788"/>
    <w:rsid w:val="2330691C"/>
    <w:rsid w:val="237740B7"/>
    <w:rsid w:val="2383244E"/>
    <w:rsid w:val="239161EE"/>
    <w:rsid w:val="23A423C5"/>
    <w:rsid w:val="23A42D0F"/>
    <w:rsid w:val="24062928"/>
    <w:rsid w:val="24446463"/>
    <w:rsid w:val="24462A2D"/>
    <w:rsid w:val="248A15BB"/>
    <w:rsid w:val="24966FE0"/>
    <w:rsid w:val="24BD2076"/>
    <w:rsid w:val="250F7D12"/>
    <w:rsid w:val="25205A7B"/>
    <w:rsid w:val="25761FE8"/>
    <w:rsid w:val="26496DBE"/>
    <w:rsid w:val="265065C0"/>
    <w:rsid w:val="26972FA1"/>
    <w:rsid w:val="26993E2E"/>
    <w:rsid w:val="26B36D0C"/>
    <w:rsid w:val="26B80661"/>
    <w:rsid w:val="26C70FC3"/>
    <w:rsid w:val="26F31699"/>
    <w:rsid w:val="2705317A"/>
    <w:rsid w:val="27160EE4"/>
    <w:rsid w:val="27277595"/>
    <w:rsid w:val="272F3A51"/>
    <w:rsid w:val="274F7AEB"/>
    <w:rsid w:val="278F2573"/>
    <w:rsid w:val="27B0758A"/>
    <w:rsid w:val="27BB6AD5"/>
    <w:rsid w:val="27E50A60"/>
    <w:rsid w:val="27F63A89"/>
    <w:rsid w:val="284655CC"/>
    <w:rsid w:val="28602527"/>
    <w:rsid w:val="2868340E"/>
    <w:rsid w:val="2894287E"/>
    <w:rsid w:val="28A349F9"/>
    <w:rsid w:val="28F17E5A"/>
    <w:rsid w:val="292875F4"/>
    <w:rsid w:val="29341CD1"/>
    <w:rsid w:val="29362D86"/>
    <w:rsid w:val="297840D8"/>
    <w:rsid w:val="29B84E3A"/>
    <w:rsid w:val="29C70BBB"/>
    <w:rsid w:val="29D62BAC"/>
    <w:rsid w:val="29E34B4C"/>
    <w:rsid w:val="2A4E3D69"/>
    <w:rsid w:val="2A570191"/>
    <w:rsid w:val="2A581C8A"/>
    <w:rsid w:val="2A5F03D6"/>
    <w:rsid w:val="2A6603D4"/>
    <w:rsid w:val="2A6B341F"/>
    <w:rsid w:val="2A7A5999"/>
    <w:rsid w:val="2A7D39D7"/>
    <w:rsid w:val="2A8A2314"/>
    <w:rsid w:val="2AA80AEB"/>
    <w:rsid w:val="2AC450FA"/>
    <w:rsid w:val="2ACE2E65"/>
    <w:rsid w:val="2ADB372F"/>
    <w:rsid w:val="2AF552B4"/>
    <w:rsid w:val="2B5F21E3"/>
    <w:rsid w:val="2B7B32CE"/>
    <w:rsid w:val="2B91322F"/>
    <w:rsid w:val="2BAE36BF"/>
    <w:rsid w:val="2BB37649"/>
    <w:rsid w:val="2BCB3F2A"/>
    <w:rsid w:val="2BEA0B91"/>
    <w:rsid w:val="2C0F700D"/>
    <w:rsid w:val="2C102611"/>
    <w:rsid w:val="2C29369E"/>
    <w:rsid w:val="2C424529"/>
    <w:rsid w:val="2C601067"/>
    <w:rsid w:val="2C8331B5"/>
    <w:rsid w:val="2C92421B"/>
    <w:rsid w:val="2CC66F08"/>
    <w:rsid w:val="2D834F57"/>
    <w:rsid w:val="2DC14C40"/>
    <w:rsid w:val="2DD378BF"/>
    <w:rsid w:val="2DD46051"/>
    <w:rsid w:val="2DF61A6F"/>
    <w:rsid w:val="2DF87595"/>
    <w:rsid w:val="2E2214F4"/>
    <w:rsid w:val="2E4A46A0"/>
    <w:rsid w:val="2E9E42BE"/>
    <w:rsid w:val="2EA72D69"/>
    <w:rsid w:val="2EF72DA2"/>
    <w:rsid w:val="2F0B37BA"/>
    <w:rsid w:val="2F3515C3"/>
    <w:rsid w:val="2F412AC4"/>
    <w:rsid w:val="2FAF5BAA"/>
    <w:rsid w:val="2FC811E9"/>
    <w:rsid w:val="2FD47B8E"/>
    <w:rsid w:val="2FD61B58"/>
    <w:rsid w:val="2FE029D7"/>
    <w:rsid w:val="30221728"/>
    <w:rsid w:val="30D77936"/>
    <w:rsid w:val="30D8545C"/>
    <w:rsid w:val="30F54260"/>
    <w:rsid w:val="30F77FD8"/>
    <w:rsid w:val="30F93D50"/>
    <w:rsid w:val="310F4C68"/>
    <w:rsid w:val="3135465C"/>
    <w:rsid w:val="315F39C4"/>
    <w:rsid w:val="31603F91"/>
    <w:rsid w:val="317407C0"/>
    <w:rsid w:val="318A49E7"/>
    <w:rsid w:val="31AB7E01"/>
    <w:rsid w:val="31C7075D"/>
    <w:rsid w:val="31DF17DC"/>
    <w:rsid w:val="31E278F0"/>
    <w:rsid w:val="323445F1"/>
    <w:rsid w:val="325B29A2"/>
    <w:rsid w:val="326E42CA"/>
    <w:rsid w:val="3270621A"/>
    <w:rsid w:val="32714E2F"/>
    <w:rsid w:val="32B3311C"/>
    <w:rsid w:val="32BD2B5B"/>
    <w:rsid w:val="32CC7242"/>
    <w:rsid w:val="334D0383"/>
    <w:rsid w:val="33E54C86"/>
    <w:rsid w:val="34272982"/>
    <w:rsid w:val="342F6C69"/>
    <w:rsid w:val="34401C96"/>
    <w:rsid w:val="344918B1"/>
    <w:rsid w:val="348F1DA3"/>
    <w:rsid w:val="34A07BE8"/>
    <w:rsid w:val="34B95429"/>
    <w:rsid w:val="34FB1589"/>
    <w:rsid w:val="3508381F"/>
    <w:rsid w:val="351D3D85"/>
    <w:rsid w:val="354B08F2"/>
    <w:rsid w:val="355377A7"/>
    <w:rsid w:val="35763E83"/>
    <w:rsid w:val="35D83F6D"/>
    <w:rsid w:val="35DC736B"/>
    <w:rsid w:val="35F03248"/>
    <w:rsid w:val="361231BE"/>
    <w:rsid w:val="364F18A8"/>
    <w:rsid w:val="365246A6"/>
    <w:rsid w:val="36541A28"/>
    <w:rsid w:val="366652B8"/>
    <w:rsid w:val="36687282"/>
    <w:rsid w:val="36983FE8"/>
    <w:rsid w:val="369B31B3"/>
    <w:rsid w:val="36A56352"/>
    <w:rsid w:val="36C46BAE"/>
    <w:rsid w:val="36E36898"/>
    <w:rsid w:val="370E5675"/>
    <w:rsid w:val="373A6E70"/>
    <w:rsid w:val="37920A5A"/>
    <w:rsid w:val="37922402"/>
    <w:rsid w:val="37BF7375"/>
    <w:rsid w:val="37E868CC"/>
    <w:rsid w:val="380534F8"/>
    <w:rsid w:val="38431D54"/>
    <w:rsid w:val="38657F1D"/>
    <w:rsid w:val="38730749"/>
    <w:rsid w:val="387A38FC"/>
    <w:rsid w:val="387A483A"/>
    <w:rsid w:val="38C51866"/>
    <w:rsid w:val="38F402D5"/>
    <w:rsid w:val="38F665CA"/>
    <w:rsid w:val="39440985"/>
    <w:rsid w:val="394B4C60"/>
    <w:rsid w:val="39653AC8"/>
    <w:rsid w:val="397C42C5"/>
    <w:rsid w:val="39822409"/>
    <w:rsid w:val="398B7F95"/>
    <w:rsid w:val="39BE1BE5"/>
    <w:rsid w:val="39CE38A0"/>
    <w:rsid w:val="3A1357D6"/>
    <w:rsid w:val="3A5B15D7"/>
    <w:rsid w:val="3A706705"/>
    <w:rsid w:val="3A7C32FC"/>
    <w:rsid w:val="3A8328DC"/>
    <w:rsid w:val="3A882831"/>
    <w:rsid w:val="3A97759B"/>
    <w:rsid w:val="3A990BD3"/>
    <w:rsid w:val="3AE04693"/>
    <w:rsid w:val="3B626996"/>
    <w:rsid w:val="3B8D4795"/>
    <w:rsid w:val="3BA66882"/>
    <w:rsid w:val="3BB367AF"/>
    <w:rsid w:val="3BBB1B47"/>
    <w:rsid w:val="3BD51009"/>
    <w:rsid w:val="3C024B7D"/>
    <w:rsid w:val="3C12216A"/>
    <w:rsid w:val="3C7F4EBC"/>
    <w:rsid w:val="3CC2593E"/>
    <w:rsid w:val="3CE81EFB"/>
    <w:rsid w:val="3CFB2BFE"/>
    <w:rsid w:val="3D1630B0"/>
    <w:rsid w:val="3D16393C"/>
    <w:rsid w:val="3D5751DB"/>
    <w:rsid w:val="3D780594"/>
    <w:rsid w:val="3DCE0312"/>
    <w:rsid w:val="3E09759C"/>
    <w:rsid w:val="3E2609B2"/>
    <w:rsid w:val="3E314C5A"/>
    <w:rsid w:val="3E443C63"/>
    <w:rsid w:val="3E502AD5"/>
    <w:rsid w:val="3E521F44"/>
    <w:rsid w:val="3E6F4B92"/>
    <w:rsid w:val="3E7233F5"/>
    <w:rsid w:val="3EA80B63"/>
    <w:rsid w:val="3EB839A4"/>
    <w:rsid w:val="3EB92D70"/>
    <w:rsid w:val="3F327FB4"/>
    <w:rsid w:val="3F676452"/>
    <w:rsid w:val="3F9C1FD4"/>
    <w:rsid w:val="3FB6105E"/>
    <w:rsid w:val="3FC36A25"/>
    <w:rsid w:val="3FC669F4"/>
    <w:rsid w:val="3FC75147"/>
    <w:rsid w:val="3FDD2A8F"/>
    <w:rsid w:val="3FE07E89"/>
    <w:rsid w:val="3FEE25A6"/>
    <w:rsid w:val="401C335B"/>
    <w:rsid w:val="403501D5"/>
    <w:rsid w:val="40736643"/>
    <w:rsid w:val="407707ED"/>
    <w:rsid w:val="4088280D"/>
    <w:rsid w:val="40CA0252"/>
    <w:rsid w:val="40DC150B"/>
    <w:rsid w:val="40E26775"/>
    <w:rsid w:val="40FF1D3F"/>
    <w:rsid w:val="4102318A"/>
    <w:rsid w:val="4115266E"/>
    <w:rsid w:val="41504B59"/>
    <w:rsid w:val="415A31C5"/>
    <w:rsid w:val="41655958"/>
    <w:rsid w:val="41676AB4"/>
    <w:rsid w:val="41801923"/>
    <w:rsid w:val="418263AE"/>
    <w:rsid w:val="41C757A4"/>
    <w:rsid w:val="41E225DE"/>
    <w:rsid w:val="421514B2"/>
    <w:rsid w:val="424345F8"/>
    <w:rsid w:val="42761DA5"/>
    <w:rsid w:val="42AD499A"/>
    <w:rsid w:val="42B51B98"/>
    <w:rsid w:val="42B775C7"/>
    <w:rsid w:val="42C74D8D"/>
    <w:rsid w:val="42CB3072"/>
    <w:rsid w:val="42D02437"/>
    <w:rsid w:val="42E911B6"/>
    <w:rsid w:val="42F56341"/>
    <w:rsid w:val="430E37B5"/>
    <w:rsid w:val="431663F4"/>
    <w:rsid w:val="433274B6"/>
    <w:rsid w:val="435528D9"/>
    <w:rsid w:val="436112E1"/>
    <w:rsid w:val="43686B13"/>
    <w:rsid w:val="439E0787"/>
    <w:rsid w:val="43BC25A9"/>
    <w:rsid w:val="43C53172"/>
    <w:rsid w:val="43CA2CF3"/>
    <w:rsid w:val="441962C2"/>
    <w:rsid w:val="441B7189"/>
    <w:rsid w:val="44305883"/>
    <w:rsid w:val="4436276D"/>
    <w:rsid w:val="443864E5"/>
    <w:rsid w:val="448B4867"/>
    <w:rsid w:val="44E64957"/>
    <w:rsid w:val="44E67E08"/>
    <w:rsid w:val="44FC39B7"/>
    <w:rsid w:val="450B75E6"/>
    <w:rsid w:val="45132AAF"/>
    <w:rsid w:val="454D7D6F"/>
    <w:rsid w:val="45521983"/>
    <w:rsid w:val="45647867"/>
    <w:rsid w:val="45840D0C"/>
    <w:rsid w:val="45967968"/>
    <w:rsid w:val="45BA23F5"/>
    <w:rsid w:val="45C86CE6"/>
    <w:rsid w:val="462F1B6A"/>
    <w:rsid w:val="465E764C"/>
    <w:rsid w:val="46603AD2"/>
    <w:rsid w:val="46925529"/>
    <w:rsid w:val="46C1021E"/>
    <w:rsid w:val="46DA1AD6"/>
    <w:rsid w:val="470E79D1"/>
    <w:rsid w:val="471F573B"/>
    <w:rsid w:val="47376F28"/>
    <w:rsid w:val="473E02B7"/>
    <w:rsid w:val="47486A40"/>
    <w:rsid w:val="47B97242"/>
    <w:rsid w:val="47C61E85"/>
    <w:rsid w:val="480037BE"/>
    <w:rsid w:val="48210421"/>
    <w:rsid w:val="482C6442"/>
    <w:rsid w:val="48374FFD"/>
    <w:rsid w:val="48382F58"/>
    <w:rsid w:val="487A531F"/>
    <w:rsid w:val="487E1EBD"/>
    <w:rsid w:val="48855A71"/>
    <w:rsid w:val="48BB1E89"/>
    <w:rsid w:val="48BC38C5"/>
    <w:rsid w:val="48D37C05"/>
    <w:rsid w:val="48DA5F4A"/>
    <w:rsid w:val="491662F1"/>
    <w:rsid w:val="49311755"/>
    <w:rsid w:val="49543DC1"/>
    <w:rsid w:val="49602681"/>
    <w:rsid w:val="49922B1B"/>
    <w:rsid w:val="49975A5C"/>
    <w:rsid w:val="49A62AA1"/>
    <w:rsid w:val="49C915DA"/>
    <w:rsid w:val="49E669E4"/>
    <w:rsid w:val="4A443E36"/>
    <w:rsid w:val="4A8F4985"/>
    <w:rsid w:val="4A9B5A20"/>
    <w:rsid w:val="4AFA3073"/>
    <w:rsid w:val="4B242FDF"/>
    <w:rsid w:val="4B3D6AD7"/>
    <w:rsid w:val="4BD03055"/>
    <w:rsid w:val="4BDC13A5"/>
    <w:rsid w:val="4BE66A88"/>
    <w:rsid w:val="4BF4363A"/>
    <w:rsid w:val="4BF70A34"/>
    <w:rsid w:val="4C46012D"/>
    <w:rsid w:val="4C4A5008"/>
    <w:rsid w:val="4C59349D"/>
    <w:rsid w:val="4C6D519A"/>
    <w:rsid w:val="4C7F3F66"/>
    <w:rsid w:val="4CAC5CC3"/>
    <w:rsid w:val="4CEC2563"/>
    <w:rsid w:val="4D2A40E0"/>
    <w:rsid w:val="4D584D09"/>
    <w:rsid w:val="4D671EA5"/>
    <w:rsid w:val="4DB212C9"/>
    <w:rsid w:val="4DE15318"/>
    <w:rsid w:val="4DEE2B7F"/>
    <w:rsid w:val="4DF27B79"/>
    <w:rsid w:val="4E5E123E"/>
    <w:rsid w:val="4E992277"/>
    <w:rsid w:val="4EAD7AD0"/>
    <w:rsid w:val="4EC24CB8"/>
    <w:rsid w:val="4EE942B4"/>
    <w:rsid w:val="4EED6ABB"/>
    <w:rsid w:val="4F582724"/>
    <w:rsid w:val="4F583EE0"/>
    <w:rsid w:val="4F904716"/>
    <w:rsid w:val="4F9A57B5"/>
    <w:rsid w:val="4F9D7AB3"/>
    <w:rsid w:val="4FBA24A4"/>
    <w:rsid w:val="4FBB7FCB"/>
    <w:rsid w:val="4FBF1233"/>
    <w:rsid w:val="4FC20084"/>
    <w:rsid w:val="4FDB618A"/>
    <w:rsid w:val="507E7976"/>
    <w:rsid w:val="50850D04"/>
    <w:rsid w:val="50DB6CCD"/>
    <w:rsid w:val="50EC3FE1"/>
    <w:rsid w:val="50EE7371"/>
    <w:rsid w:val="5100038B"/>
    <w:rsid w:val="51142088"/>
    <w:rsid w:val="51695F30"/>
    <w:rsid w:val="517058C3"/>
    <w:rsid w:val="519E26D0"/>
    <w:rsid w:val="51BF3DA2"/>
    <w:rsid w:val="51C8534D"/>
    <w:rsid w:val="51F31C9E"/>
    <w:rsid w:val="5201260D"/>
    <w:rsid w:val="523F1387"/>
    <w:rsid w:val="52972F71"/>
    <w:rsid w:val="52BE04FE"/>
    <w:rsid w:val="52DA325B"/>
    <w:rsid w:val="52E00474"/>
    <w:rsid w:val="52F419C0"/>
    <w:rsid w:val="5301371F"/>
    <w:rsid w:val="530F0D59"/>
    <w:rsid w:val="531E2D4A"/>
    <w:rsid w:val="53412933"/>
    <w:rsid w:val="53982AFD"/>
    <w:rsid w:val="53B667B2"/>
    <w:rsid w:val="53E61686"/>
    <w:rsid w:val="53FC232F"/>
    <w:rsid w:val="54005A75"/>
    <w:rsid w:val="544E765F"/>
    <w:rsid w:val="54505E93"/>
    <w:rsid w:val="55102B67"/>
    <w:rsid w:val="5516017D"/>
    <w:rsid w:val="553761DF"/>
    <w:rsid w:val="55C03A30"/>
    <w:rsid w:val="55F00D79"/>
    <w:rsid w:val="560721BC"/>
    <w:rsid w:val="561D19DF"/>
    <w:rsid w:val="562525BB"/>
    <w:rsid w:val="562C39D0"/>
    <w:rsid w:val="5632538A"/>
    <w:rsid w:val="56682C5A"/>
    <w:rsid w:val="56901DD6"/>
    <w:rsid w:val="56A7044E"/>
    <w:rsid w:val="56CC3C8A"/>
    <w:rsid w:val="573D3418"/>
    <w:rsid w:val="57517B92"/>
    <w:rsid w:val="5755554B"/>
    <w:rsid w:val="578F2C87"/>
    <w:rsid w:val="57FD3B20"/>
    <w:rsid w:val="582D5546"/>
    <w:rsid w:val="5842401C"/>
    <w:rsid w:val="586E02D0"/>
    <w:rsid w:val="58A54116"/>
    <w:rsid w:val="58BF5254"/>
    <w:rsid w:val="58C60061"/>
    <w:rsid w:val="58CB74D0"/>
    <w:rsid w:val="58F44C79"/>
    <w:rsid w:val="58FF468A"/>
    <w:rsid w:val="59344B49"/>
    <w:rsid w:val="593C217C"/>
    <w:rsid w:val="59417793"/>
    <w:rsid w:val="596E7497"/>
    <w:rsid w:val="597C1F53"/>
    <w:rsid w:val="59816C3D"/>
    <w:rsid w:val="59AD6BD6"/>
    <w:rsid w:val="59CA0500"/>
    <w:rsid w:val="5A170196"/>
    <w:rsid w:val="5A407707"/>
    <w:rsid w:val="5A687F8A"/>
    <w:rsid w:val="5A6A4CC2"/>
    <w:rsid w:val="5A845B89"/>
    <w:rsid w:val="5AAE0E58"/>
    <w:rsid w:val="5ACB525A"/>
    <w:rsid w:val="5AD563E4"/>
    <w:rsid w:val="5AE1122D"/>
    <w:rsid w:val="5B4F0CA5"/>
    <w:rsid w:val="5B793214"/>
    <w:rsid w:val="5B934B77"/>
    <w:rsid w:val="5B9B2CCD"/>
    <w:rsid w:val="5BEF76E9"/>
    <w:rsid w:val="5C6A1BB1"/>
    <w:rsid w:val="5C771040"/>
    <w:rsid w:val="5CA94E88"/>
    <w:rsid w:val="5CC70097"/>
    <w:rsid w:val="5CDB081F"/>
    <w:rsid w:val="5CDF79EE"/>
    <w:rsid w:val="5CE337FB"/>
    <w:rsid w:val="5D301FF8"/>
    <w:rsid w:val="5D4635C9"/>
    <w:rsid w:val="5D6A50CA"/>
    <w:rsid w:val="5DA4115C"/>
    <w:rsid w:val="5DBC24D2"/>
    <w:rsid w:val="5DBD3FBB"/>
    <w:rsid w:val="5DD40262"/>
    <w:rsid w:val="5E0321FB"/>
    <w:rsid w:val="5E0B4A2A"/>
    <w:rsid w:val="5E1455EC"/>
    <w:rsid w:val="5E6247BC"/>
    <w:rsid w:val="5E6E5A26"/>
    <w:rsid w:val="5E8545C5"/>
    <w:rsid w:val="5E8F0FA0"/>
    <w:rsid w:val="5EB01642"/>
    <w:rsid w:val="5EB6477F"/>
    <w:rsid w:val="5EC96260"/>
    <w:rsid w:val="5ECC3FA2"/>
    <w:rsid w:val="5F1662FE"/>
    <w:rsid w:val="5F7F2DC3"/>
    <w:rsid w:val="5F8F419C"/>
    <w:rsid w:val="5FA02694"/>
    <w:rsid w:val="5FA10F8B"/>
    <w:rsid w:val="5FCD7FD2"/>
    <w:rsid w:val="5FDC6467"/>
    <w:rsid w:val="5FE61094"/>
    <w:rsid w:val="5FED41D0"/>
    <w:rsid w:val="5FEF619A"/>
    <w:rsid w:val="5FF73AD6"/>
    <w:rsid w:val="60025ECE"/>
    <w:rsid w:val="60276D05"/>
    <w:rsid w:val="60464B44"/>
    <w:rsid w:val="608B03AD"/>
    <w:rsid w:val="60D271D3"/>
    <w:rsid w:val="60D94755"/>
    <w:rsid w:val="61060E38"/>
    <w:rsid w:val="611834CF"/>
    <w:rsid w:val="613320B7"/>
    <w:rsid w:val="61442BA4"/>
    <w:rsid w:val="615362B5"/>
    <w:rsid w:val="619F720E"/>
    <w:rsid w:val="61C10BF0"/>
    <w:rsid w:val="61C20E7B"/>
    <w:rsid w:val="622F79DB"/>
    <w:rsid w:val="62A328CC"/>
    <w:rsid w:val="62C17904"/>
    <w:rsid w:val="62F54CD7"/>
    <w:rsid w:val="63052FA9"/>
    <w:rsid w:val="634C5B54"/>
    <w:rsid w:val="636266DE"/>
    <w:rsid w:val="6367429A"/>
    <w:rsid w:val="638906B4"/>
    <w:rsid w:val="638F6916"/>
    <w:rsid w:val="63B95028"/>
    <w:rsid w:val="63BF7C32"/>
    <w:rsid w:val="63ED790E"/>
    <w:rsid w:val="64011C9A"/>
    <w:rsid w:val="640A41D3"/>
    <w:rsid w:val="646E093C"/>
    <w:rsid w:val="6497295D"/>
    <w:rsid w:val="649C3749"/>
    <w:rsid w:val="64A70DF2"/>
    <w:rsid w:val="64B81251"/>
    <w:rsid w:val="64DD56EC"/>
    <w:rsid w:val="650A2634"/>
    <w:rsid w:val="650C50F9"/>
    <w:rsid w:val="65257EC0"/>
    <w:rsid w:val="65A34757"/>
    <w:rsid w:val="65A9410B"/>
    <w:rsid w:val="65AC04FE"/>
    <w:rsid w:val="65B6317D"/>
    <w:rsid w:val="66203A8D"/>
    <w:rsid w:val="662242CD"/>
    <w:rsid w:val="66331DAC"/>
    <w:rsid w:val="664241AC"/>
    <w:rsid w:val="667016B7"/>
    <w:rsid w:val="667A42E4"/>
    <w:rsid w:val="667D0235"/>
    <w:rsid w:val="669B2BD8"/>
    <w:rsid w:val="66AB22D9"/>
    <w:rsid w:val="66AC6B93"/>
    <w:rsid w:val="66B8038D"/>
    <w:rsid w:val="66BB5028"/>
    <w:rsid w:val="66BC3A20"/>
    <w:rsid w:val="66C33EDD"/>
    <w:rsid w:val="66CA0DC7"/>
    <w:rsid w:val="66D13548"/>
    <w:rsid w:val="66D41533"/>
    <w:rsid w:val="670B5813"/>
    <w:rsid w:val="674C7A2E"/>
    <w:rsid w:val="676039BC"/>
    <w:rsid w:val="67801DCE"/>
    <w:rsid w:val="67900263"/>
    <w:rsid w:val="679413D5"/>
    <w:rsid w:val="67E26362"/>
    <w:rsid w:val="68226616"/>
    <w:rsid w:val="682B3AE8"/>
    <w:rsid w:val="684B7025"/>
    <w:rsid w:val="686D4100"/>
    <w:rsid w:val="68AA4A90"/>
    <w:rsid w:val="68AB4C28"/>
    <w:rsid w:val="68B84DB4"/>
    <w:rsid w:val="68DE6DAC"/>
    <w:rsid w:val="68FF1058"/>
    <w:rsid w:val="69005E96"/>
    <w:rsid w:val="69513A22"/>
    <w:rsid w:val="69674FF3"/>
    <w:rsid w:val="697B4DB7"/>
    <w:rsid w:val="699456BD"/>
    <w:rsid w:val="699E7E29"/>
    <w:rsid w:val="69A72C6A"/>
    <w:rsid w:val="69B00BBF"/>
    <w:rsid w:val="69B20305"/>
    <w:rsid w:val="69CE7A1F"/>
    <w:rsid w:val="6A077EF9"/>
    <w:rsid w:val="6A3F7D1E"/>
    <w:rsid w:val="6A413D5B"/>
    <w:rsid w:val="6A793230"/>
    <w:rsid w:val="6A794FDE"/>
    <w:rsid w:val="6A7A5BD0"/>
    <w:rsid w:val="6A9525EC"/>
    <w:rsid w:val="6A9C0CCD"/>
    <w:rsid w:val="6AA87672"/>
    <w:rsid w:val="6AB53B3C"/>
    <w:rsid w:val="6AB53E91"/>
    <w:rsid w:val="6AFD34C8"/>
    <w:rsid w:val="6B2649A7"/>
    <w:rsid w:val="6B741C4A"/>
    <w:rsid w:val="6B754253"/>
    <w:rsid w:val="6BC4672D"/>
    <w:rsid w:val="6C164AAF"/>
    <w:rsid w:val="6C1D1F3C"/>
    <w:rsid w:val="6C353187"/>
    <w:rsid w:val="6C44161C"/>
    <w:rsid w:val="6C6A357A"/>
    <w:rsid w:val="6CAB169B"/>
    <w:rsid w:val="6CD9503C"/>
    <w:rsid w:val="6CDA7624"/>
    <w:rsid w:val="6CE81713"/>
    <w:rsid w:val="6CEC658F"/>
    <w:rsid w:val="6CF110B0"/>
    <w:rsid w:val="6CF3094C"/>
    <w:rsid w:val="6CF34E17"/>
    <w:rsid w:val="6D070BEB"/>
    <w:rsid w:val="6D0A4613"/>
    <w:rsid w:val="6D0B6015"/>
    <w:rsid w:val="6D7A3EBF"/>
    <w:rsid w:val="6D7B76B4"/>
    <w:rsid w:val="6D9739CD"/>
    <w:rsid w:val="6DA560EA"/>
    <w:rsid w:val="6DB932C1"/>
    <w:rsid w:val="6DCA3DA3"/>
    <w:rsid w:val="6E0A3294"/>
    <w:rsid w:val="6E1437DA"/>
    <w:rsid w:val="6E1F0847"/>
    <w:rsid w:val="6E376459"/>
    <w:rsid w:val="6E3A43BC"/>
    <w:rsid w:val="6E487D98"/>
    <w:rsid w:val="6E61773C"/>
    <w:rsid w:val="6E6C47A7"/>
    <w:rsid w:val="6E930639"/>
    <w:rsid w:val="6EB33B36"/>
    <w:rsid w:val="6EE530B5"/>
    <w:rsid w:val="6F3C65DA"/>
    <w:rsid w:val="6F7264A0"/>
    <w:rsid w:val="6F8A4423"/>
    <w:rsid w:val="6FC211D5"/>
    <w:rsid w:val="6FC30AAA"/>
    <w:rsid w:val="6FD70BB7"/>
    <w:rsid w:val="6FED3D79"/>
    <w:rsid w:val="6FF10085"/>
    <w:rsid w:val="700417EE"/>
    <w:rsid w:val="700A492A"/>
    <w:rsid w:val="700C06A3"/>
    <w:rsid w:val="70115CB9"/>
    <w:rsid w:val="70A66401"/>
    <w:rsid w:val="70BD7BEF"/>
    <w:rsid w:val="7148638B"/>
    <w:rsid w:val="71545EDE"/>
    <w:rsid w:val="71600CA6"/>
    <w:rsid w:val="717A03ED"/>
    <w:rsid w:val="718D136F"/>
    <w:rsid w:val="719C78D4"/>
    <w:rsid w:val="71B30FEB"/>
    <w:rsid w:val="71B66B18"/>
    <w:rsid w:val="71CF1988"/>
    <w:rsid w:val="71D25534"/>
    <w:rsid w:val="71E00D9A"/>
    <w:rsid w:val="71FA5E53"/>
    <w:rsid w:val="72233A82"/>
    <w:rsid w:val="722C52AF"/>
    <w:rsid w:val="722E4900"/>
    <w:rsid w:val="723B3D96"/>
    <w:rsid w:val="72526EE9"/>
    <w:rsid w:val="72936E59"/>
    <w:rsid w:val="72954F16"/>
    <w:rsid w:val="72AE3C93"/>
    <w:rsid w:val="72D07765"/>
    <w:rsid w:val="72D82ABE"/>
    <w:rsid w:val="731C6E4F"/>
    <w:rsid w:val="731F249B"/>
    <w:rsid w:val="73216213"/>
    <w:rsid w:val="73A07A74"/>
    <w:rsid w:val="73AB3D2F"/>
    <w:rsid w:val="73BA21C4"/>
    <w:rsid w:val="73C86E78"/>
    <w:rsid w:val="740117C0"/>
    <w:rsid w:val="741E3031"/>
    <w:rsid w:val="7421475E"/>
    <w:rsid w:val="74497CEE"/>
    <w:rsid w:val="74716D26"/>
    <w:rsid w:val="747D391D"/>
    <w:rsid w:val="749F1AE5"/>
    <w:rsid w:val="74B442E6"/>
    <w:rsid w:val="74DD1DA7"/>
    <w:rsid w:val="74E50DAE"/>
    <w:rsid w:val="7535244A"/>
    <w:rsid w:val="75752846"/>
    <w:rsid w:val="75C15A8B"/>
    <w:rsid w:val="762027B2"/>
    <w:rsid w:val="764B35A7"/>
    <w:rsid w:val="765C4908"/>
    <w:rsid w:val="76691158"/>
    <w:rsid w:val="7689396D"/>
    <w:rsid w:val="76913155"/>
    <w:rsid w:val="76B850E0"/>
    <w:rsid w:val="76C84BF7"/>
    <w:rsid w:val="76F36118"/>
    <w:rsid w:val="77163BB5"/>
    <w:rsid w:val="774B7D02"/>
    <w:rsid w:val="775A6197"/>
    <w:rsid w:val="777A471C"/>
    <w:rsid w:val="77D45F4A"/>
    <w:rsid w:val="77EE24D6"/>
    <w:rsid w:val="77F20749"/>
    <w:rsid w:val="784B788E"/>
    <w:rsid w:val="788D434B"/>
    <w:rsid w:val="788D4480"/>
    <w:rsid w:val="789A6BE8"/>
    <w:rsid w:val="78A25329"/>
    <w:rsid w:val="78A32008"/>
    <w:rsid w:val="79297BCF"/>
    <w:rsid w:val="794E3ADA"/>
    <w:rsid w:val="79C527CF"/>
    <w:rsid w:val="79E17841"/>
    <w:rsid w:val="79FE7E0A"/>
    <w:rsid w:val="7A8E2818"/>
    <w:rsid w:val="7A9C0875"/>
    <w:rsid w:val="7AC52BAB"/>
    <w:rsid w:val="7AC758F2"/>
    <w:rsid w:val="7ACA3634"/>
    <w:rsid w:val="7B3F3CCF"/>
    <w:rsid w:val="7B4A6DD9"/>
    <w:rsid w:val="7B6E3FBF"/>
    <w:rsid w:val="7B7540D0"/>
    <w:rsid w:val="7BA479E1"/>
    <w:rsid w:val="7BD52290"/>
    <w:rsid w:val="7C1504D5"/>
    <w:rsid w:val="7C354ADD"/>
    <w:rsid w:val="7C442F72"/>
    <w:rsid w:val="7C4D0329"/>
    <w:rsid w:val="7C6D071B"/>
    <w:rsid w:val="7C8D2B6B"/>
    <w:rsid w:val="7CAF559D"/>
    <w:rsid w:val="7CBB4DB2"/>
    <w:rsid w:val="7CC068AC"/>
    <w:rsid w:val="7CE73342"/>
    <w:rsid w:val="7CEA4DEA"/>
    <w:rsid w:val="7D20578D"/>
    <w:rsid w:val="7D2D51FD"/>
    <w:rsid w:val="7D3A560F"/>
    <w:rsid w:val="7D40373A"/>
    <w:rsid w:val="7D9817C8"/>
    <w:rsid w:val="7DBA173E"/>
    <w:rsid w:val="7DC46119"/>
    <w:rsid w:val="7DD74128"/>
    <w:rsid w:val="7DE1491F"/>
    <w:rsid w:val="7E1F194A"/>
    <w:rsid w:val="7E370FE0"/>
    <w:rsid w:val="7E483C95"/>
    <w:rsid w:val="7E5020A2"/>
    <w:rsid w:val="7E7A0C20"/>
    <w:rsid w:val="7E8B6C36"/>
    <w:rsid w:val="7EA146AC"/>
    <w:rsid w:val="7EA85A3A"/>
    <w:rsid w:val="7F6E0A32"/>
    <w:rsid w:val="7FB801B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0" w:name="caption"/>
    <w:lsdException w:uiPriority="99" w:name="table of figures"/>
    <w:lsdException w:uiPriority="99" w:name="envelope address"/>
    <w:lsdException w:qFormat="1" w:uiPriority="99" w:semiHidden="0"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uiPriority="99" w:name="Plain Text"/>
    <w:lsdException w:uiPriority="99" w:name="E-mail Signature"/>
    <w:lsdException w:qFormat="1"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45"/>
    <w:autoRedefine/>
    <w:qFormat/>
    <w:uiPriority w:val="0"/>
    <w:pPr>
      <w:keepNext/>
      <w:keepLines/>
      <w:spacing w:before="340" w:after="330"/>
      <w:jc w:val="center"/>
      <w:outlineLvl w:val="0"/>
    </w:pPr>
    <w:rPr>
      <w:rFonts w:ascii="黑体" w:hAnsi="黑体" w:eastAsia="黑体"/>
      <w:b/>
      <w:bCs/>
      <w:kern w:val="44"/>
      <w:sz w:val="44"/>
      <w:szCs w:val="44"/>
      <w:lang w:val="zh-CN"/>
    </w:rPr>
  </w:style>
  <w:style w:type="paragraph" w:styleId="3">
    <w:name w:val="heading 2"/>
    <w:basedOn w:val="1"/>
    <w:next w:val="1"/>
    <w:link w:val="46"/>
    <w:autoRedefine/>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7"/>
    <w:autoRedefine/>
    <w:qFormat/>
    <w:uiPriority w:val="0"/>
    <w:pPr>
      <w:keepNext/>
      <w:keepLines/>
      <w:spacing w:line="360" w:lineRule="auto"/>
      <w:outlineLvl w:val="2"/>
    </w:pPr>
    <w:rPr>
      <w:b/>
      <w:bCs/>
      <w:sz w:val="32"/>
      <w:szCs w:val="32"/>
    </w:rPr>
  </w:style>
  <w:style w:type="paragraph" w:styleId="5">
    <w:name w:val="heading 4"/>
    <w:basedOn w:val="1"/>
    <w:next w:val="1"/>
    <w:link w:val="48"/>
    <w:autoRedefine/>
    <w:qFormat/>
    <w:uiPriority w:val="0"/>
    <w:pPr>
      <w:keepNext/>
      <w:jc w:val="center"/>
      <w:outlineLvl w:val="3"/>
    </w:pPr>
    <w:rPr>
      <w:rFonts w:eastAsia="新宋体"/>
      <w:sz w:val="30"/>
      <w:szCs w:val="21"/>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49"/>
    <w:autoRedefine/>
    <w:qFormat/>
    <w:uiPriority w:val="0"/>
    <w:pPr>
      <w:ind w:firstLine="420"/>
    </w:pPr>
    <w:rPr>
      <w:szCs w:val="20"/>
    </w:rPr>
  </w:style>
  <w:style w:type="paragraph" w:styleId="7">
    <w:name w:val="Document Map"/>
    <w:basedOn w:val="1"/>
    <w:link w:val="50"/>
    <w:autoRedefine/>
    <w:semiHidden/>
    <w:qFormat/>
    <w:uiPriority w:val="0"/>
    <w:pPr>
      <w:shd w:val="clear" w:color="auto" w:fill="000080"/>
    </w:pPr>
  </w:style>
  <w:style w:type="paragraph" w:styleId="8">
    <w:name w:val="toa heading"/>
    <w:basedOn w:val="1"/>
    <w:next w:val="1"/>
    <w:autoRedefine/>
    <w:qFormat/>
    <w:uiPriority w:val="0"/>
    <w:pPr>
      <w:adjustRightInd w:val="0"/>
      <w:spacing w:line="360" w:lineRule="atLeast"/>
      <w:jc w:val="center"/>
      <w:textAlignment w:val="baseline"/>
    </w:pPr>
    <w:rPr>
      <w:rFonts w:ascii="Arial" w:hAnsi="Arial" w:eastAsia="黑体"/>
      <w:kern w:val="0"/>
      <w:sz w:val="36"/>
      <w:szCs w:val="20"/>
    </w:rPr>
  </w:style>
  <w:style w:type="paragraph" w:styleId="9">
    <w:name w:val="annotation text"/>
    <w:basedOn w:val="1"/>
    <w:autoRedefine/>
    <w:unhideWhenUsed/>
    <w:qFormat/>
    <w:uiPriority w:val="99"/>
    <w:pPr>
      <w:jc w:val="left"/>
    </w:pPr>
  </w:style>
  <w:style w:type="paragraph" w:styleId="10">
    <w:name w:val="Body Text"/>
    <w:basedOn w:val="1"/>
    <w:next w:val="11"/>
    <w:link w:val="85"/>
    <w:autoRedefine/>
    <w:qFormat/>
    <w:uiPriority w:val="0"/>
    <w:pPr>
      <w:spacing w:after="120"/>
    </w:pPr>
  </w:style>
  <w:style w:type="paragraph" w:customStyle="1" w:styleId="11">
    <w:name w:val="style4"/>
    <w:basedOn w:val="1"/>
    <w:next w:val="12"/>
    <w:autoRedefine/>
    <w:qFormat/>
    <w:uiPriority w:val="0"/>
    <w:pPr>
      <w:widowControl/>
      <w:spacing w:before="280" w:after="280"/>
    </w:pPr>
    <w:rPr>
      <w:rFonts w:ascii="宋体"/>
      <w:sz w:val="18"/>
    </w:rPr>
  </w:style>
  <w:style w:type="paragraph" w:customStyle="1" w:styleId="12">
    <w:name w:val="2"/>
    <w:next w:val="1"/>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styleId="13">
    <w:name w:val="Body Text Indent"/>
    <w:basedOn w:val="1"/>
    <w:next w:val="14"/>
    <w:link w:val="51"/>
    <w:autoRedefine/>
    <w:qFormat/>
    <w:uiPriority w:val="0"/>
    <w:pPr>
      <w:spacing w:after="120"/>
      <w:ind w:left="420" w:leftChars="200"/>
    </w:pPr>
  </w:style>
  <w:style w:type="paragraph" w:styleId="14">
    <w:name w:val="envelope return"/>
    <w:basedOn w:val="1"/>
    <w:autoRedefine/>
    <w:unhideWhenUsed/>
    <w:qFormat/>
    <w:uiPriority w:val="99"/>
    <w:pPr>
      <w:snapToGrid w:val="0"/>
    </w:pPr>
    <w:rPr>
      <w:rFonts w:ascii="Arial" w:hAnsi="Arial"/>
    </w:rPr>
  </w:style>
  <w:style w:type="paragraph" w:styleId="15">
    <w:name w:val="Date"/>
    <w:basedOn w:val="1"/>
    <w:next w:val="1"/>
    <w:link w:val="52"/>
    <w:autoRedefine/>
    <w:qFormat/>
    <w:uiPriority w:val="0"/>
    <w:pPr>
      <w:ind w:left="100" w:leftChars="2500"/>
    </w:pPr>
  </w:style>
  <w:style w:type="paragraph" w:styleId="16">
    <w:name w:val="Balloon Text"/>
    <w:basedOn w:val="1"/>
    <w:link w:val="53"/>
    <w:autoRedefine/>
    <w:semiHidden/>
    <w:qFormat/>
    <w:uiPriority w:val="0"/>
    <w:rPr>
      <w:sz w:val="18"/>
      <w:szCs w:val="18"/>
    </w:rPr>
  </w:style>
  <w:style w:type="paragraph" w:styleId="17">
    <w:name w:val="footer"/>
    <w:basedOn w:val="1"/>
    <w:link w:val="54"/>
    <w:autoRedefine/>
    <w:qFormat/>
    <w:uiPriority w:val="99"/>
    <w:pPr>
      <w:tabs>
        <w:tab w:val="center" w:pos="4153"/>
        <w:tab w:val="right" w:pos="8306"/>
      </w:tabs>
      <w:snapToGrid w:val="0"/>
      <w:jc w:val="left"/>
    </w:pPr>
    <w:rPr>
      <w:sz w:val="18"/>
      <w:szCs w:val="18"/>
    </w:rPr>
  </w:style>
  <w:style w:type="paragraph" w:styleId="18">
    <w:name w:val="header"/>
    <w:basedOn w:val="1"/>
    <w:link w:val="55"/>
    <w:autoRedefine/>
    <w:qFormat/>
    <w:uiPriority w:val="0"/>
    <w:pPr>
      <w:pBdr>
        <w:bottom w:val="single" w:color="auto" w:sz="6" w:space="1"/>
      </w:pBdr>
      <w:tabs>
        <w:tab w:val="center" w:pos="4153"/>
        <w:tab w:val="right" w:pos="8306"/>
      </w:tabs>
      <w:snapToGrid w:val="0"/>
      <w:jc w:val="center"/>
    </w:pPr>
    <w:rPr>
      <w:sz w:val="18"/>
      <w:szCs w:val="18"/>
    </w:rPr>
  </w:style>
  <w:style w:type="paragraph" w:styleId="19">
    <w:name w:val="Body Text Indent 3"/>
    <w:basedOn w:val="1"/>
    <w:next w:val="8"/>
    <w:link w:val="56"/>
    <w:autoRedefine/>
    <w:qFormat/>
    <w:uiPriority w:val="0"/>
    <w:pPr>
      <w:spacing w:line="520" w:lineRule="exact"/>
      <w:ind w:firstLine="539" w:firstLineChars="184"/>
    </w:pPr>
    <w:rPr>
      <w:rFonts w:ascii="宋体"/>
      <w:b/>
      <w:spacing w:val="6"/>
      <w:sz w:val="28"/>
    </w:rPr>
  </w:style>
  <w:style w:type="paragraph" w:styleId="20">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21">
    <w:name w:val="Body Text First Indent"/>
    <w:basedOn w:val="10"/>
    <w:link w:val="86"/>
    <w:autoRedefine/>
    <w:qFormat/>
    <w:uiPriority w:val="0"/>
    <w:pPr>
      <w:ind w:firstLine="241" w:firstLineChars="100"/>
    </w:pPr>
    <w:rPr>
      <w:rFonts w:asciiTheme="minorEastAsia" w:hAnsiTheme="minorEastAsia"/>
      <w:b/>
      <w:color w:val="000000"/>
      <w:sz w:val="24"/>
      <w:szCs w:val="24"/>
    </w:rPr>
  </w:style>
  <w:style w:type="paragraph" w:styleId="22">
    <w:name w:val="Body Text First Indent 2"/>
    <w:basedOn w:val="13"/>
    <w:next w:val="19"/>
    <w:link w:val="88"/>
    <w:autoRedefine/>
    <w:unhideWhenUsed/>
    <w:qFormat/>
    <w:uiPriority w:val="99"/>
    <w:pPr>
      <w:ind w:firstLine="200" w:firstLineChars="200"/>
    </w:pPr>
  </w:style>
  <w:style w:type="table" w:styleId="24">
    <w:name w:val="Table Grid"/>
    <w:basedOn w:val="23"/>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autoRedefine/>
    <w:qFormat/>
    <w:uiPriority w:val="22"/>
    <w:rPr>
      <w:b/>
      <w:bCs/>
    </w:rPr>
  </w:style>
  <w:style w:type="character" w:styleId="27">
    <w:name w:val="page number"/>
    <w:autoRedefine/>
    <w:qFormat/>
    <w:uiPriority w:val="0"/>
  </w:style>
  <w:style w:type="character" w:styleId="28">
    <w:name w:val="FollowedHyperlink"/>
    <w:autoRedefine/>
    <w:unhideWhenUsed/>
    <w:qFormat/>
    <w:uiPriority w:val="99"/>
    <w:rPr>
      <w:color w:val="800080"/>
      <w:u w:val="none"/>
    </w:rPr>
  </w:style>
  <w:style w:type="character" w:styleId="29">
    <w:name w:val="Emphasis"/>
    <w:autoRedefine/>
    <w:qFormat/>
    <w:uiPriority w:val="0"/>
    <w:rPr>
      <w:b/>
      <w:bCs/>
    </w:rPr>
  </w:style>
  <w:style w:type="character" w:styleId="30">
    <w:name w:val="HTML Definition"/>
    <w:autoRedefine/>
    <w:unhideWhenUsed/>
    <w:qFormat/>
    <w:uiPriority w:val="99"/>
  </w:style>
  <w:style w:type="character" w:styleId="31">
    <w:name w:val="HTML Typewriter"/>
    <w:autoRedefine/>
    <w:unhideWhenUsed/>
    <w:qFormat/>
    <w:uiPriority w:val="99"/>
    <w:rPr>
      <w:rFonts w:hint="default" w:ascii="monospace" w:hAnsi="monospace" w:eastAsia="monospace" w:cs="monospace"/>
      <w:sz w:val="20"/>
    </w:rPr>
  </w:style>
  <w:style w:type="character" w:styleId="32">
    <w:name w:val="HTML Acronym"/>
    <w:autoRedefine/>
    <w:unhideWhenUsed/>
    <w:qFormat/>
    <w:uiPriority w:val="99"/>
  </w:style>
  <w:style w:type="character" w:styleId="33">
    <w:name w:val="HTML Variable"/>
    <w:autoRedefine/>
    <w:unhideWhenUsed/>
    <w:qFormat/>
    <w:uiPriority w:val="99"/>
  </w:style>
  <w:style w:type="character" w:styleId="34">
    <w:name w:val="Hyperlink"/>
    <w:autoRedefine/>
    <w:unhideWhenUsed/>
    <w:qFormat/>
    <w:uiPriority w:val="99"/>
    <w:rPr>
      <w:color w:val="0000FF"/>
      <w:u w:val="none"/>
    </w:rPr>
  </w:style>
  <w:style w:type="character" w:styleId="35">
    <w:name w:val="HTML Code"/>
    <w:autoRedefine/>
    <w:unhideWhenUsed/>
    <w:qFormat/>
    <w:uiPriority w:val="99"/>
    <w:rPr>
      <w:rFonts w:hint="default" w:ascii="monospace" w:hAnsi="monospace" w:eastAsia="monospace" w:cs="monospace"/>
      <w:sz w:val="20"/>
    </w:rPr>
  </w:style>
  <w:style w:type="character" w:styleId="36">
    <w:name w:val="HTML Cite"/>
    <w:autoRedefine/>
    <w:unhideWhenUsed/>
    <w:qFormat/>
    <w:uiPriority w:val="99"/>
  </w:style>
  <w:style w:type="character" w:styleId="37">
    <w:name w:val="HTML Keyboard"/>
    <w:autoRedefine/>
    <w:unhideWhenUsed/>
    <w:qFormat/>
    <w:uiPriority w:val="99"/>
    <w:rPr>
      <w:rFonts w:ascii="monospace" w:hAnsi="monospace" w:eastAsia="monospace" w:cs="monospace"/>
      <w:sz w:val="20"/>
    </w:rPr>
  </w:style>
  <w:style w:type="character" w:styleId="38">
    <w:name w:val="HTML Sample"/>
    <w:autoRedefine/>
    <w:unhideWhenUsed/>
    <w:qFormat/>
    <w:uiPriority w:val="99"/>
    <w:rPr>
      <w:rFonts w:hint="default" w:ascii="monospace" w:hAnsi="monospace" w:eastAsia="monospace" w:cs="monospace"/>
    </w:rPr>
  </w:style>
  <w:style w:type="paragraph" w:customStyle="1" w:styleId="39">
    <w:name w:val="段"/>
    <w:next w:val="40"/>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0">
    <w:name w:val="正文 A"/>
    <w:next w:val="39"/>
    <w:autoRedefine/>
    <w:qFormat/>
    <w:uiPriority w:val="0"/>
    <w:pPr>
      <w:widowControl w:val="0"/>
      <w:jc w:val="both"/>
    </w:pPr>
    <w:rPr>
      <w:rFonts w:ascii="Arial Unicode MS" w:hAnsi="Arial Unicode MS" w:eastAsia="Times New Roman" w:cs="Arial Unicode MS"/>
      <w:color w:val="000000"/>
      <w:kern w:val="2"/>
      <w:sz w:val="21"/>
      <w:szCs w:val="21"/>
      <w:lang w:val="en-US" w:eastAsia="zh-CN" w:bidi="ar-SA"/>
    </w:rPr>
  </w:style>
  <w:style w:type="paragraph" w:customStyle="1" w:styleId="41">
    <w:name w:val="BodyText1I2"/>
    <w:basedOn w:val="42"/>
    <w:link w:val="94"/>
    <w:autoRedefine/>
    <w:qFormat/>
    <w:uiPriority w:val="99"/>
    <w:pPr>
      <w:ind w:firstLine="420" w:firstLineChars="200"/>
    </w:pPr>
  </w:style>
  <w:style w:type="paragraph" w:customStyle="1" w:styleId="42">
    <w:name w:val="BodyTextIndent"/>
    <w:basedOn w:val="1"/>
    <w:next w:val="43"/>
    <w:link w:val="93"/>
    <w:autoRedefine/>
    <w:qFormat/>
    <w:uiPriority w:val="99"/>
    <w:pPr>
      <w:spacing w:after="120"/>
      <w:ind w:left="420" w:leftChars="200"/>
    </w:pPr>
  </w:style>
  <w:style w:type="paragraph" w:customStyle="1" w:styleId="43">
    <w:name w:val="EnvelopeReturn"/>
    <w:basedOn w:val="1"/>
    <w:autoRedefine/>
    <w:qFormat/>
    <w:uiPriority w:val="99"/>
    <w:pPr>
      <w:snapToGrid w:val="0"/>
    </w:pPr>
    <w:rPr>
      <w:rFonts w:ascii="Arial" w:hAnsi="Arial"/>
    </w:rPr>
  </w:style>
  <w:style w:type="paragraph" w:customStyle="1" w:styleId="44">
    <w:name w:val="正文1"/>
    <w:basedOn w:val="1"/>
    <w:autoRedefine/>
    <w:qFormat/>
    <w:uiPriority w:val="0"/>
    <w:pPr>
      <w:spacing w:line="360" w:lineRule="auto"/>
      <w:ind w:firstLine="361"/>
    </w:pPr>
    <w:rPr>
      <w:rFonts w:ascii="宋体" w:hAnsi="宋体"/>
    </w:rPr>
  </w:style>
  <w:style w:type="character" w:customStyle="1" w:styleId="45">
    <w:name w:val="标题 1 Char"/>
    <w:link w:val="2"/>
    <w:autoRedefine/>
    <w:qFormat/>
    <w:uiPriority w:val="0"/>
    <w:rPr>
      <w:rFonts w:ascii="黑体" w:hAnsi="黑体" w:eastAsia="黑体" w:cstheme="minorBidi"/>
      <w:b/>
      <w:bCs/>
      <w:kern w:val="44"/>
      <w:sz w:val="44"/>
      <w:szCs w:val="44"/>
      <w:lang w:val="zh-CN"/>
    </w:rPr>
  </w:style>
  <w:style w:type="character" w:customStyle="1" w:styleId="46">
    <w:name w:val="标题 2 Char"/>
    <w:link w:val="3"/>
    <w:autoRedefine/>
    <w:qFormat/>
    <w:uiPriority w:val="0"/>
    <w:rPr>
      <w:rFonts w:ascii="Arial" w:hAnsi="Arial" w:eastAsia="黑体"/>
      <w:b/>
      <w:bCs/>
      <w:kern w:val="2"/>
      <w:sz w:val="32"/>
      <w:szCs w:val="32"/>
    </w:rPr>
  </w:style>
  <w:style w:type="character" w:customStyle="1" w:styleId="47">
    <w:name w:val="标题 3 Char"/>
    <w:link w:val="4"/>
    <w:autoRedefine/>
    <w:qFormat/>
    <w:uiPriority w:val="0"/>
    <w:rPr>
      <w:rFonts w:asciiTheme="minorHAnsi" w:hAnsiTheme="minorHAnsi" w:eastAsiaTheme="minorEastAsia" w:cstheme="minorBidi"/>
      <w:b/>
      <w:bCs/>
      <w:kern w:val="2"/>
      <w:sz w:val="32"/>
      <w:szCs w:val="32"/>
    </w:rPr>
  </w:style>
  <w:style w:type="character" w:customStyle="1" w:styleId="48">
    <w:name w:val="标题 4 Char"/>
    <w:link w:val="5"/>
    <w:autoRedefine/>
    <w:qFormat/>
    <w:uiPriority w:val="0"/>
    <w:rPr>
      <w:rFonts w:eastAsia="新宋体"/>
      <w:kern w:val="2"/>
      <w:sz w:val="30"/>
      <w:szCs w:val="21"/>
    </w:rPr>
  </w:style>
  <w:style w:type="character" w:customStyle="1" w:styleId="49">
    <w:name w:val="正文缩进 Char"/>
    <w:link w:val="6"/>
    <w:autoRedefine/>
    <w:qFormat/>
    <w:uiPriority w:val="0"/>
    <w:rPr>
      <w:kern w:val="2"/>
      <w:sz w:val="21"/>
    </w:rPr>
  </w:style>
  <w:style w:type="character" w:customStyle="1" w:styleId="50">
    <w:name w:val="文档结构图 Char"/>
    <w:link w:val="7"/>
    <w:autoRedefine/>
    <w:semiHidden/>
    <w:qFormat/>
    <w:uiPriority w:val="0"/>
    <w:rPr>
      <w:kern w:val="2"/>
      <w:sz w:val="21"/>
      <w:szCs w:val="24"/>
      <w:shd w:val="clear" w:color="auto" w:fill="000080"/>
    </w:rPr>
  </w:style>
  <w:style w:type="character" w:customStyle="1" w:styleId="51">
    <w:name w:val="正文文本缩进 Char"/>
    <w:link w:val="13"/>
    <w:autoRedefine/>
    <w:qFormat/>
    <w:uiPriority w:val="0"/>
    <w:rPr>
      <w:kern w:val="2"/>
      <w:sz w:val="21"/>
      <w:szCs w:val="24"/>
    </w:rPr>
  </w:style>
  <w:style w:type="character" w:customStyle="1" w:styleId="52">
    <w:name w:val="日期 Char"/>
    <w:link w:val="15"/>
    <w:autoRedefine/>
    <w:qFormat/>
    <w:uiPriority w:val="0"/>
    <w:rPr>
      <w:kern w:val="2"/>
      <w:sz w:val="21"/>
      <w:szCs w:val="24"/>
    </w:rPr>
  </w:style>
  <w:style w:type="character" w:customStyle="1" w:styleId="53">
    <w:name w:val="批注框文本 Char"/>
    <w:link w:val="16"/>
    <w:autoRedefine/>
    <w:semiHidden/>
    <w:qFormat/>
    <w:uiPriority w:val="0"/>
    <w:rPr>
      <w:kern w:val="2"/>
      <w:sz w:val="18"/>
      <w:szCs w:val="18"/>
    </w:rPr>
  </w:style>
  <w:style w:type="character" w:customStyle="1" w:styleId="54">
    <w:name w:val="页脚 Char"/>
    <w:link w:val="17"/>
    <w:autoRedefine/>
    <w:qFormat/>
    <w:uiPriority w:val="99"/>
    <w:rPr>
      <w:kern w:val="2"/>
      <w:sz w:val="18"/>
      <w:szCs w:val="18"/>
    </w:rPr>
  </w:style>
  <w:style w:type="character" w:customStyle="1" w:styleId="55">
    <w:name w:val="页眉 Char"/>
    <w:link w:val="18"/>
    <w:autoRedefine/>
    <w:qFormat/>
    <w:uiPriority w:val="0"/>
    <w:rPr>
      <w:kern w:val="2"/>
      <w:sz w:val="18"/>
      <w:szCs w:val="18"/>
    </w:rPr>
  </w:style>
  <w:style w:type="character" w:customStyle="1" w:styleId="56">
    <w:name w:val="正文文本缩进 3 Char"/>
    <w:link w:val="19"/>
    <w:autoRedefine/>
    <w:qFormat/>
    <w:uiPriority w:val="0"/>
    <w:rPr>
      <w:rFonts w:ascii="宋体"/>
      <w:b/>
      <w:spacing w:val="6"/>
      <w:kern w:val="2"/>
      <w:sz w:val="28"/>
      <w:szCs w:val="24"/>
    </w:rPr>
  </w:style>
  <w:style w:type="character" w:customStyle="1" w:styleId="57">
    <w:name w:val="正文缩进2格 Char"/>
    <w:link w:val="58"/>
    <w:autoRedefine/>
    <w:qFormat/>
    <w:locked/>
    <w:uiPriority w:val="0"/>
    <w:rPr>
      <w:rFonts w:ascii="仿宋_GB2312" w:hAnsi="宋体" w:eastAsia="仿宋_GB2312"/>
      <w:kern w:val="2"/>
      <w:sz w:val="31"/>
      <w:szCs w:val="28"/>
    </w:rPr>
  </w:style>
  <w:style w:type="paragraph" w:customStyle="1" w:styleId="58">
    <w:name w:val="正文缩进2格"/>
    <w:basedOn w:val="1"/>
    <w:link w:val="57"/>
    <w:autoRedefine/>
    <w:qFormat/>
    <w:uiPriority w:val="0"/>
    <w:pPr>
      <w:spacing w:line="600" w:lineRule="exact"/>
      <w:ind w:firstLine="639" w:firstLineChars="206"/>
    </w:pPr>
    <w:rPr>
      <w:rFonts w:ascii="仿宋_GB2312" w:hAnsi="宋体" w:eastAsia="仿宋_GB2312"/>
      <w:sz w:val="31"/>
      <w:szCs w:val="28"/>
    </w:rPr>
  </w:style>
  <w:style w:type="character" w:customStyle="1" w:styleId="59">
    <w:name w:val="标题 3.1 Char"/>
    <w:link w:val="60"/>
    <w:autoRedefine/>
    <w:qFormat/>
    <w:locked/>
    <w:uiPriority w:val="0"/>
    <w:rPr>
      <w:rFonts w:ascii="宋体" w:hAnsi="宋体"/>
      <w:b/>
      <w:bCs/>
      <w:color w:val="000000"/>
      <w:kern w:val="2"/>
      <w:sz w:val="32"/>
      <w:szCs w:val="32"/>
    </w:rPr>
  </w:style>
  <w:style w:type="paragraph" w:customStyle="1" w:styleId="60">
    <w:name w:val="标题 3.1"/>
    <w:basedOn w:val="4"/>
    <w:link w:val="59"/>
    <w:autoRedefine/>
    <w:qFormat/>
    <w:uiPriority w:val="0"/>
    <w:pPr>
      <w:tabs>
        <w:tab w:val="left" w:pos="1440"/>
        <w:tab w:val="left" w:pos="1620"/>
      </w:tabs>
      <w:spacing w:line="600" w:lineRule="exact"/>
    </w:pPr>
    <w:rPr>
      <w:rFonts w:ascii="宋体" w:hAnsi="宋体"/>
      <w:color w:val="000000"/>
    </w:rPr>
  </w:style>
  <w:style w:type="paragraph" w:customStyle="1" w:styleId="61">
    <w:name w:val="Char"/>
    <w:basedOn w:val="1"/>
    <w:autoRedefine/>
    <w:qFormat/>
    <w:uiPriority w:val="0"/>
    <w:rPr>
      <w:rFonts w:ascii="Tahoma" w:hAnsi="Tahoma"/>
      <w:sz w:val="24"/>
      <w:szCs w:val="20"/>
    </w:rPr>
  </w:style>
  <w:style w:type="paragraph" w:customStyle="1" w:styleId="62">
    <w:name w:val="正文缩进4格"/>
    <w:basedOn w:val="58"/>
    <w:autoRedefine/>
    <w:qFormat/>
    <w:uiPriority w:val="0"/>
    <w:pPr>
      <w:ind w:left="2" w:firstLine="538" w:firstLineChars="192"/>
    </w:pPr>
    <w:rPr>
      <w:color w:val="000000"/>
      <w:sz w:val="28"/>
    </w:rPr>
  </w:style>
  <w:style w:type="paragraph" w:customStyle="1" w:styleId="63">
    <w:name w:val="Char Char Char Char"/>
    <w:basedOn w:val="1"/>
    <w:autoRedefine/>
    <w:qFormat/>
    <w:uiPriority w:val="0"/>
    <w:rPr>
      <w:rFonts w:ascii="Tahoma" w:hAnsi="Tahoma"/>
      <w:sz w:val="24"/>
      <w:szCs w:val="20"/>
    </w:rPr>
  </w:style>
  <w:style w:type="paragraph" w:customStyle="1" w:styleId="64">
    <w:name w:val="Char1"/>
    <w:basedOn w:val="1"/>
    <w:autoRedefine/>
    <w:qFormat/>
    <w:uiPriority w:val="0"/>
    <w:pPr>
      <w:tabs>
        <w:tab w:val="left" w:pos="840"/>
      </w:tabs>
      <w:ind w:left="840" w:hanging="420"/>
    </w:pPr>
    <w:rPr>
      <w:sz w:val="24"/>
    </w:rPr>
  </w:style>
  <w:style w:type="paragraph" w:customStyle="1" w:styleId="65">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6">
    <w:name w:val="msonormalcxspmidd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7">
    <w:name w:val="Char Char 字元 字元 字元 Char Char Char Char"/>
    <w:basedOn w:val="1"/>
    <w:autoRedefine/>
    <w:qFormat/>
    <w:uiPriority w:val="0"/>
    <w:pPr>
      <w:adjustRightInd w:val="0"/>
      <w:spacing w:line="360" w:lineRule="auto"/>
    </w:pPr>
    <w:rPr>
      <w:kern w:val="0"/>
      <w:sz w:val="24"/>
      <w:szCs w:val="20"/>
    </w:rPr>
  </w:style>
  <w:style w:type="paragraph" w:customStyle="1" w:styleId="68">
    <w:name w:val="para"/>
    <w:basedOn w:val="1"/>
    <w:autoRedefine/>
    <w:qFormat/>
    <w:uiPriority w:val="0"/>
    <w:pPr>
      <w:widowControl/>
      <w:spacing w:before="100" w:beforeAutospacing="1" w:after="100" w:afterAutospacing="1"/>
      <w:jc w:val="left"/>
    </w:pPr>
    <w:rPr>
      <w:rFonts w:ascii="Arial" w:hAnsi="Arial" w:cs="Arial"/>
      <w:kern w:val="0"/>
      <w:sz w:val="18"/>
      <w:szCs w:val="18"/>
    </w:rPr>
  </w:style>
  <w:style w:type="paragraph" w:customStyle="1" w:styleId="69">
    <w:name w:val="Char2"/>
    <w:basedOn w:val="1"/>
    <w:autoRedefine/>
    <w:qFormat/>
    <w:uiPriority w:val="0"/>
    <w:rPr>
      <w:rFonts w:ascii="Tahoma" w:hAnsi="Tahoma"/>
      <w:sz w:val="24"/>
      <w:szCs w:val="20"/>
    </w:rPr>
  </w:style>
  <w:style w:type="paragraph" w:customStyle="1" w:styleId="70">
    <w:name w:val="msonormalcxsplast"/>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71">
    <w:name w:val="普通正文 Char"/>
    <w:link w:val="72"/>
    <w:autoRedefine/>
    <w:qFormat/>
    <w:uiPriority w:val="0"/>
    <w:rPr>
      <w:rFonts w:ascii="Arial" w:hAnsi="Arial"/>
      <w:sz w:val="24"/>
      <w:szCs w:val="24"/>
    </w:rPr>
  </w:style>
  <w:style w:type="paragraph" w:customStyle="1" w:styleId="72">
    <w:name w:val="普通正文"/>
    <w:basedOn w:val="1"/>
    <w:link w:val="71"/>
    <w:autoRedefine/>
    <w:qFormat/>
    <w:uiPriority w:val="0"/>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73">
    <w:name w:val="mini-outputtext1"/>
    <w:autoRedefine/>
    <w:qFormat/>
    <w:uiPriority w:val="0"/>
  </w:style>
  <w:style w:type="character" w:customStyle="1" w:styleId="74">
    <w:name w:val="font31"/>
    <w:autoRedefine/>
    <w:qFormat/>
    <w:uiPriority w:val="0"/>
    <w:rPr>
      <w:rFonts w:hint="eastAsia" w:ascii="宋体" w:hAnsi="宋体" w:eastAsia="宋体" w:cs="宋体"/>
      <w:color w:val="000000"/>
      <w:sz w:val="21"/>
      <w:szCs w:val="21"/>
      <w:u w:val="none"/>
    </w:rPr>
  </w:style>
  <w:style w:type="character" w:customStyle="1" w:styleId="75">
    <w:name w:val="font61"/>
    <w:autoRedefine/>
    <w:qFormat/>
    <w:uiPriority w:val="0"/>
    <w:rPr>
      <w:rFonts w:hint="default" w:ascii="Times New Roman" w:hAnsi="Times New Roman" w:cs="Times New Roman"/>
      <w:color w:val="000000"/>
      <w:sz w:val="21"/>
      <w:szCs w:val="21"/>
      <w:u w:val="none"/>
    </w:rPr>
  </w:style>
  <w:style w:type="character" w:customStyle="1" w:styleId="76">
    <w:name w:val="font01"/>
    <w:autoRedefine/>
    <w:qFormat/>
    <w:uiPriority w:val="0"/>
    <w:rPr>
      <w:rFonts w:hint="default" w:ascii="等线" w:hAnsi="等线" w:eastAsia="等线" w:cs="等线"/>
      <w:color w:val="000000"/>
      <w:sz w:val="22"/>
      <w:szCs w:val="22"/>
      <w:u w:val="none"/>
    </w:rPr>
  </w:style>
  <w:style w:type="character" w:customStyle="1" w:styleId="77">
    <w:name w:val="font51"/>
    <w:autoRedefine/>
    <w:qFormat/>
    <w:uiPriority w:val="0"/>
    <w:rPr>
      <w:rFonts w:hint="default" w:ascii="等线" w:hAnsi="等线" w:eastAsia="等线" w:cs="等线"/>
      <w:b/>
      <w:bCs/>
      <w:color w:val="000000"/>
      <w:sz w:val="22"/>
      <w:szCs w:val="22"/>
      <w:u w:val="none"/>
    </w:rPr>
  </w:style>
  <w:style w:type="paragraph" w:customStyle="1" w:styleId="78">
    <w:name w:val="普通(网站) Char"/>
    <w:basedOn w:val="1"/>
    <w:autoRedefine/>
    <w:qFormat/>
    <w:uiPriority w:val="0"/>
    <w:pPr>
      <w:widowControl/>
      <w:spacing w:before="100" w:beforeAutospacing="1" w:after="100" w:afterAutospacing="1"/>
      <w:jc w:val="left"/>
    </w:pPr>
    <w:rPr>
      <w:rFonts w:hint="eastAsia" w:ascii="宋体" w:hAnsi="宋体"/>
      <w:kern w:val="0"/>
      <w:sz w:val="24"/>
    </w:rPr>
  </w:style>
  <w:style w:type="paragraph" w:customStyle="1" w:styleId="79">
    <w:name w:val="Body text|1"/>
    <w:basedOn w:val="1"/>
    <w:autoRedefine/>
    <w:qFormat/>
    <w:uiPriority w:val="0"/>
    <w:pPr>
      <w:spacing w:line="480" w:lineRule="auto"/>
      <w:ind w:firstLine="400"/>
    </w:pPr>
    <w:rPr>
      <w:rFonts w:ascii="宋体" w:hAnsi="宋体" w:cs="宋体"/>
      <w:sz w:val="22"/>
      <w:lang w:val="zh-TW" w:eastAsia="zh-TW" w:bidi="zh-TW"/>
    </w:rPr>
  </w:style>
  <w:style w:type="table" w:customStyle="1" w:styleId="80">
    <w:name w:val="网格型1"/>
    <w:basedOn w:val="23"/>
    <w:autoRedefine/>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1">
    <w:name w:val="NormalCharacter"/>
    <w:autoRedefine/>
    <w:qFormat/>
    <w:uiPriority w:val="99"/>
  </w:style>
  <w:style w:type="character" w:customStyle="1" w:styleId="82">
    <w:name w:val="font21"/>
    <w:basedOn w:val="25"/>
    <w:autoRedefine/>
    <w:qFormat/>
    <w:uiPriority w:val="0"/>
    <w:rPr>
      <w:rFonts w:hint="eastAsia" w:ascii="宋体" w:hAnsi="宋体" w:eastAsia="宋体" w:cs="宋体"/>
      <w:color w:val="000000"/>
      <w:sz w:val="18"/>
      <w:szCs w:val="18"/>
      <w:u w:val="none"/>
    </w:rPr>
  </w:style>
  <w:style w:type="character" w:customStyle="1" w:styleId="83">
    <w:name w:val="font81"/>
    <w:basedOn w:val="25"/>
    <w:autoRedefine/>
    <w:qFormat/>
    <w:uiPriority w:val="0"/>
    <w:rPr>
      <w:rFonts w:hint="eastAsia" w:ascii="宋体" w:hAnsi="宋体" w:eastAsia="宋体" w:cs="宋体"/>
      <w:color w:val="000000"/>
      <w:sz w:val="18"/>
      <w:szCs w:val="18"/>
      <w:u w:val="none"/>
    </w:rPr>
  </w:style>
  <w:style w:type="paragraph" w:customStyle="1" w:styleId="84">
    <w:name w:val="纯文本1"/>
    <w:basedOn w:val="1"/>
    <w:autoRedefine/>
    <w:qFormat/>
    <w:uiPriority w:val="0"/>
    <w:rPr>
      <w:rFonts w:ascii="宋体" w:hAnsi="Courier New" w:cs="Courier New"/>
      <w:szCs w:val="21"/>
    </w:rPr>
  </w:style>
  <w:style w:type="character" w:customStyle="1" w:styleId="85">
    <w:name w:val="正文文本 Char"/>
    <w:basedOn w:val="25"/>
    <w:link w:val="10"/>
    <w:autoRedefine/>
    <w:qFormat/>
    <w:uiPriority w:val="0"/>
    <w:rPr>
      <w:kern w:val="2"/>
      <w:sz w:val="21"/>
      <w:szCs w:val="24"/>
    </w:rPr>
  </w:style>
  <w:style w:type="character" w:customStyle="1" w:styleId="86">
    <w:name w:val="正文首行缩进 Char"/>
    <w:basedOn w:val="85"/>
    <w:link w:val="21"/>
    <w:autoRedefine/>
    <w:qFormat/>
    <w:uiPriority w:val="0"/>
    <w:rPr>
      <w:rFonts w:asciiTheme="minorEastAsia" w:hAnsiTheme="minorEastAsia" w:eastAsiaTheme="minorEastAsia" w:cstheme="minorBidi"/>
      <w:b/>
      <w:color w:val="000000"/>
      <w:sz w:val="24"/>
    </w:rPr>
  </w:style>
  <w:style w:type="character" w:customStyle="1" w:styleId="87">
    <w:name w:val="font11"/>
    <w:basedOn w:val="25"/>
    <w:autoRedefine/>
    <w:qFormat/>
    <w:uiPriority w:val="0"/>
    <w:rPr>
      <w:rFonts w:hint="eastAsia" w:ascii="宋体" w:hAnsi="宋体" w:eastAsia="宋体" w:cs="宋体"/>
      <w:color w:val="000000"/>
      <w:sz w:val="21"/>
      <w:szCs w:val="21"/>
      <w:u w:val="none"/>
    </w:rPr>
  </w:style>
  <w:style w:type="character" w:customStyle="1" w:styleId="88">
    <w:name w:val="正文首行缩进 2 Char"/>
    <w:link w:val="22"/>
    <w:autoRedefine/>
    <w:qFormat/>
    <w:uiPriority w:val="0"/>
    <w:rPr>
      <w:kern w:val="2"/>
      <w:sz w:val="21"/>
      <w:szCs w:val="24"/>
    </w:rPr>
  </w:style>
  <w:style w:type="paragraph" w:styleId="89">
    <w:name w:val="List Paragraph"/>
    <w:basedOn w:val="1"/>
    <w:autoRedefine/>
    <w:unhideWhenUsed/>
    <w:qFormat/>
    <w:uiPriority w:val="99"/>
    <w:pPr>
      <w:ind w:firstLine="420" w:firstLineChars="200"/>
    </w:pPr>
  </w:style>
  <w:style w:type="character" w:customStyle="1" w:styleId="90">
    <w:name w:val="未处理的提及1"/>
    <w:basedOn w:val="25"/>
    <w:autoRedefine/>
    <w:semiHidden/>
    <w:unhideWhenUsed/>
    <w:qFormat/>
    <w:uiPriority w:val="99"/>
    <w:rPr>
      <w:color w:val="605E5C"/>
      <w:shd w:val="clear" w:color="auto" w:fill="E1DFDD"/>
    </w:rPr>
  </w:style>
  <w:style w:type="table" w:customStyle="1" w:styleId="91">
    <w:name w:val="网格型2"/>
    <w:basedOn w:val="23"/>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2">
    <w:name w:val="acbfdd8b-e11b-4d36-88ff-6049b138f862"/>
    <w:basedOn w:val="10"/>
    <w:link w:val="95"/>
    <w:qFormat/>
    <w:uiPriority w:val="0"/>
    <w:pPr>
      <w:adjustRightInd w:val="0"/>
      <w:spacing w:after="0" w:line="288" w:lineRule="auto"/>
      <w:jc w:val="left"/>
    </w:pPr>
    <w:rPr>
      <w:rFonts w:ascii="微软雅黑" w:hAnsi="微软雅黑" w:eastAsia="微软雅黑"/>
      <w:color w:val="000000"/>
      <w:sz w:val="22"/>
    </w:rPr>
  </w:style>
  <w:style w:type="character" w:customStyle="1" w:styleId="93">
    <w:name w:val="BodyTextIndent 字符"/>
    <w:basedOn w:val="25"/>
    <w:link w:val="42"/>
    <w:qFormat/>
    <w:uiPriority w:val="99"/>
    <w:rPr>
      <w:rFonts w:asciiTheme="minorHAnsi" w:hAnsiTheme="minorHAnsi" w:eastAsiaTheme="minorEastAsia" w:cstheme="minorBidi"/>
      <w:kern w:val="2"/>
      <w:sz w:val="21"/>
      <w:szCs w:val="22"/>
    </w:rPr>
  </w:style>
  <w:style w:type="character" w:customStyle="1" w:styleId="94">
    <w:name w:val="BodyText1I2 字符"/>
    <w:basedOn w:val="93"/>
    <w:link w:val="41"/>
    <w:qFormat/>
    <w:uiPriority w:val="99"/>
    <w:rPr>
      <w:rFonts w:asciiTheme="minorHAnsi" w:hAnsiTheme="minorHAnsi" w:eastAsiaTheme="minorEastAsia" w:cstheme="minorBidi"/>
      <w:kern w:val="2"/>
      <w:sz w:val="21"/>
      <w:szCs w:val="22"/>
    </w:rPr>
  </w:style>
  <w:style w:type="character" w:customStyle="1" w:styleId="95">
    <w:name w:val="acbfdd8b-e11b-4d36-88ff-6049b138f862 字符"/>
    <w:basedOn w:val="94"/>
    <w:link w:val="92"/>
    <w:qFormat/>
    <w:uiPriority w:val="0"/>
    <w:rPr>
      <w:rFonts w:ascii="微软雅黑" w:hAnsi="微软雅黑" w:eastAsia="微软雅黑" w:cstheme="minorBidi"/>
      <w:color w:val="000000"/>
      <w:kern w:val="2"/>
      <w:sz w:val="22"/>
      <w:szCs w:val="22"/>
    </w:rPr>
  </w:style>
  <w:style w:type="table" w:customStyle="1" w:styleId="96">
    <w:name w:val="网格型3"/>
    <w:basedOn w:val="23"/>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97">
    <w:name w:val="NormalCharacter1"/>
    <w:qFormat/>
    <w:uiPriority w:val="99"/>
  </w:style>
  <w:style w:type="paragraph" w:customStyle="1" w:styleId="98">
    <w:name w:val="正文文本12"/>
    <w:basedOn w:val="1"/>
    <w:next w:val="1"/>
    <w:qFormat/>
    <w:uiPriority w:val="0"/>
    <w:rPr>
      <w:rFonts w:ascii="仿宋_GB2312" w:hAnsi="Times New Roman" w:eastAsia="仿宋_GB2312" w:cs="Times New Roman"/>
      <w:sz w:val="24"/>
      <w:szCs w:val="20"/>
    </w:rPr>
  </w:style>
  <w:style w:type="paragraph" w:customStyle="1" w:styleId="99">
    <w:name w:val="正文文本1"/>
    <w:basedOn w:val="1"/>
    <w:unhideWhenUsed/>
    <w:qFormat/>
    <w:uiPriority w:val="99"/>
    <w:pPr>
      <w:spacing w:after="120"/>
    </w:pPr>
    <w:rPr>
      <w:rFonts w:ascii="Times New Roman" w:hAnsi="Times New Roman"/>
      <w:sz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AF652-3D13-48F3-B3AD-CDF11ED998AC}">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76</Pages>
  <Words>12208</Words>
  <Characters>13269</Characters>
  <Lines>307</Lines>
  <Paragraphs>86</Paragraphs>
  <TotalTime>10</TotalTime>
  <ScaleCrop>false</ScaleCrop>
  <LinksUpToDate>false</LinksUpToDate>
  <CharactersWithSpaces>13349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2025-03-27T02:14:00Z</dcterms:created>
  <dc:creator>User</dc:creator>
  <cp:lastModifiedBy>WPS_1653894969</cp:lastModifiedBy>
  <cp:lastPrinted>2026-03-26T01:33:00Z</cp:lastPrinted>
  <dcterms:modified xsi:type="dcterms:W3CDTF">2026-04-14T08:04:01Z</dcterms:modified>
  <dc:title>南通市环境监测中心站火焰原子吸收光谱仪项目</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9583232336654C19B5DB4C285B43BD96_13</vt:lpwstr>
  </property>
  <property fmtid="{D5CDD505-2E9C-101B-9397-08002B2CF9AE}" pid="4" name="KSOTemplateDocerSaveRecord">
    <vt:lpwstr>eyJoZGlkIjoiNDM3ZjZmOWU5MjE0YzEwMDM0ODhhNTg3ZmE2MjBjYzgiLCJ1c2VySWQiOiIxMzc4NzA0OTc2In0=</vt:lpwstr>
  </property>
</Properties>
</file>