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hint="eastAsia" w:ascii="宋体" w:hAnsi="宋体" w:cs="宋体"/>
          <w:b/>
          <w:sz w:val="72"/>
        </w:rPr>
        <w:t xml:space="preserve">苏州市姑苏区政府采购</w:t>
      </w:r>
      <w:r/>
    </w:p>
    <w:p>
      <w:pPr>
        <w:jc w:val="center"/>
        <w:spacing w:line="360" w:lineRule="auto"/>
        <w:rPr>
          <w:rFonts w:ascii="宋体" w:hAnsi="宋体" w:cs="宋体"/>
          <w:b/>
          <w:sz w:val="72"/>
        </w:rPr>
      </w:pPr>
      <w:r>
        <w:rPr>
          <w:rFonts w:hint="eastAsia" w:ascii="宋体" w:hAnsi="宋体" w:cs="宋体"/>
          <w:b/>
          <w:sz w:val="72"/>
        </w:rPr>
        <w:t xml:space="preserve">服务类磋商项目</w:t>
      </w:r>
      <w:r/>
    </w:p>
    <w:p>
      <w:pPr>
        <w:jc w:val="center"/>
        <w:spacing w:line="360" w:lineRule="auto"/>
        <w:rPr>
          <w:rFonts w:ascii="宋体" w:hAnsi="宋体" w:cs="宋体"/>
          <w:b/>
          <w:sz w:val="72"/>
        </w:rPr>
      </w:pPr>
      <w:r>
        <w:rPr>
          <w:rFonts w:hint="eastAsia" w:ascii="宋体" w:hAnsi="宋体" w:cs="宋体"/>
          <w:b/>
          <w:sz w:val="72"/>
        </w:rPr>
        <w:t xml:space="preserve">采购文件</w:t>
      </w:r>
      <w:r/>
    </w:p>
    <w:p>
      <w:pPr>
        <w:ind w:left="2386" w:hanging="1546"/>
        <w:spacing w:line="360" w:lineRule="auto"/>
        <w:tabs>
          <w:tab w:val="left" w:pos="0" w:leader="none"/>
        </w:tabs>
        <w:rPr>
          <w:rFonts w:ascii="宋体" w:hAnsi="宋体" w:cs="宋体"/>
          <w:b/>
          <w:spacing w:val="-6"/>
          <w:sz w:val="32"/>
        </w:rPr>
      </w:pPr>
      <w:r>
        <w:rPr>
          <w:rFonts w:ascii="宋体" w:hAnsi="宋体" w:cs="宋体"/>
          <w:b/>
          <w:spacing w:val="-6"/>
          <w:sz w:val="32"/>
        </w:rPr>
      </w:r>
      <w:r/>
    </w:p>
    <w:p>
      <w:pPr>
        <w:ind w:left="2386" w:hanging="1546"/>
        <w:spacing w:line="360" w:lineRule="auto"/>
        <w:tabs>
          <w:tab w:val="left" w:pos="0" w:leader="none"/>
        </w:tabs>
        <w:rPr>
          <w:rFonts w:ascii="宋体" w:hAnsi="宋体" w:cs="宋体"/>
          <w:b/>
          <w:spacing w:val="-6"/>
          <w:sz w:val="32"/>
        </w:rPr>
      </w:pPr>
      <w:r>
        <w:rPr>
          <w:rFonts w:ascii="宋体" w:hAnsi="宋体" w:cs="宋体"/>
          <w:b/>
          <w:spacing w:val="-6"/>
          <w:sz w:val="32"/>
        </w:rPr>
      </w:r>
      <w:r/>
    </w:p>
    <w:p>
      <w:pPr>
        <w:ind w:left="2386" w:hanging="1546"/>
        <w:spacing w:line="360" w:lineRule="auto"/>
        <w:tabs>
          <w:tab w:val="left" w:pos="0" w:leader="none"/>
        </w:tabs>
        <w:rPr>
          <w:rFonts w:ascii="宋体" w:hAnsi="宋体" w:cs="宋体"/>
          <w:b/>
          <w:spacing w:val="-6"/>
          <w:sz w:val="32"/>
        </w:rPr>
      </w:pPr>
      <w:r>
        <w:rPr>
          <w:rFonts w:hint="eastAsia" w:ascii="宋体" w:hAnsi="宋体" w:cs="宋体"/>
          <w:b/>
          <w:spacing w:val="-6"/>
          <w:sz w:val="32"/>
        </w:rPr>
        <w:t xml:space="preserve">采购编号：JSZC-320508-CJZB-C2026-0044</w:t>
      </w:r>
      <w:r/>
    </w:p>
    <w:p>
      <w:pPr>
        <w:ind w:left="2386" w:hanging="1546"/>
        <w:jc w:val="left"/>
        <w:spacing w:line="360" w:lineRule="auto"/>
        <w:tabs>
          <w:tab w:val="left" w:pos="1701" w:leader="none"/>
        </w:tabs>
        <w:rPr>
          <w:rFonts w:ascii="宋体" w:hAnsi="宋体" w:cs="宋体"/>
          <w:b/>
          <w:spacing w:val="-6"/>
          <w:sz w:val="32"/>
        </w:rPr>
      </w:pPr>
      <w:r>
        <w:rPr>
          <w:rFonts w:hint="eastAsia" w:ascii="宋体" w:hAnsi="宋体" w:cs="宋体"/>
          <w:b/>
          <w:spacing w:val="-6"/>
          <w:sz w:val="32"/>
        </w:rPr>
        <w:t xml:space="preserve">采购内容：苏州市姑苏区猪肉储备服务(2026-2028年)</w:t>
      </w:r>
      <w:r/>
    </w:p>
    <w:p>
      <w:pPr>
        <w:ind w:left="2386" w:hanging="1546"/>
        <w:jc w:val="left"/>
        <w:spacing w:line="360" w:lineRule="auto"/>
        <w:tabs>
          <w:tab w:val="left" w:pos="1701" w:leader="none"/>
        </w:tabs>
        <w:rPr>
          <w:rFonts w:ascii="宋体" w:hAnsi="宋体" w:cs="宋体"/>
          <w:b/>
          <w:spacing w:val="-6"/>
          <w:sz w:val="32"/>
        </w:rPr>
      </w:pPr>
      <w:r>
        <w:rPr>
          <w:rFonts w:hint="eastAsia" w:ascii="宋体" w:hAnsi="宋体" w:cs="宋体"/>
          <w:b/>
          <w:spacing w:val="-6"/>
          <w:sz w:val="32"/>
        </w:rPr>
        <w:t xml:space="preserve">采 购 人：苏州市姑苏区发展和改革局</w:t>
      </w:r>
      <w:r/>
    </w:p>
    <w:p>
      <w:pPr>
        <w:ind w:left="2386" w:hanging="1546"/>
        <w:jc w:val="left"/>
        <w:spacing w:line="360" w:lineRule="auto"/>
        <w:tabs>
          <w:tab w:val="left" w:pos="1701" w:leader="none"/>
        </w:tabs>
        <w:rPr>
          <w:rFonts w:ascii="宋体" w:hAnsi="宋体" w:cs="宋体"/>
          <w:b/>
          <w:spacing w:val="-6"/>
          <w:sz w:val="32"/>
        </w:rPr>
      </w:pPr>
      <w:r>
        <w:rPr>
          <w:rFonts w:hint="eastAsia" w:ascii="宋体" w:hAnsi="宋体" w:cs="宋体"/>
          <w:b/>
          <w:spacing w:val="-6"/>
          <w:sz w:val="32"/>
        </w:rPr>
        <w:t xml:space="preserve">采购代理：苏州市创杰招投标咨询服务有限公司</w:t>
      </w:r>
      <w:r/>
    </w:p>
    <w:p>
      <w:pPr>
        <w:ind w:left="2386" w:hanging="1546"/>
        <w:jc w:val="left"/>
        <w:spacing w:line="360" w:lineRule="auto"/>
        <w:tabs>
          <w:tab w:val="left" w:pos="1701" w:leader="none"/>
        </w:tabs>
        <w:rPr>
          <w:rFonts w:ascii="宋体" w:hAnsi="宋体" w:cs="宋体"/>
          <w:b/>
          <w:spacing w:val="-6"/>
          <w:sz w:val="32"/>
        </w:rPr>
      </w:pPr>
      <w:r>
        <w:rPr>
          <w:rFonts w:hint="eastAsia" w:ascii="宋体" w:hAnsi="宋体" w:cs="宋体"/>
          <w:b/>
          <w:spacing w:val="-6"/>
          <w:sz w:val="32"/>
        </w:rPr>
        <w:t xml:space="preserve">采购类别：服务类</w:t>
      </w:r>
      <w:r/>
    </w:p>
    <w:p>
      <w:pPr>
        <w:jc w:val="center"/>
        <w:spacing w:line="360" w:lineRule="auto"/>
        <w:rPr>
          <w:rFonts w:ascii="宋体" w:hAnsi="宋体" w:cs="宋体"/>
        </w:rPr>
      </w:pPr>
      <w:r>
        <w:rPr>
          <w:rFonts w:ascii="宋体" w:hAnsi="宋体" w:cs="宋体"/>
        </w:rPr>
      </w:r>
      <w:r/>
    </w:p>
    <w:p>
      <w:pPr>
        <w:pStyle w:val="798"/>
        <w:ind w:left="0" w:firstLine="0"/>
        <w:rPr>
          <w:rFonts w:ascii="宋体" w:hAnsi="宋体" w:cs="宋体"/>
        </w:rPr>
      </w:pPr>
      <w:r>
        <w:rPr>
          <w:rFonts w:ascii="宋体" w:hAnsi="宋体" w:cs="宋体"/>
        </w:rPr>
      </w:r>
      <w:r/>
    </w:p>
    <w:p>
      <w:pPr>
        <w:jc w:val="center"/>
        <w:spacing w:line="360" w:lineRule="auto"/>
        <w:rPr>
          <w:rFonts w:ascii="宋体" w:hAnsi="宋体" w:cs="宋体"/>
          <w:b/>
          <w:spacing w:val="-6"/>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4"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2"/>
                        <pic:cNvPicPr>
                          <a:picLocks noChangeAspect="1"/>
                        </pic:cNvPicPr>
                        <pic:nvPr/>
                      </pic:nvPicPr>
                      <pic:blipFill>
                        <a:blip r:embed="rId14"/>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3pt;height:71.4pt;mso-wrap-distance-left:0.0pt;mso-wrap-distance-top:0.0pt;mso-wrap-distance-right:0.0pt;mso-wrap-distance-bottom:0.0pt;" stroked="f" strokeweight="0.75pt">
                <v:path textboxrect="0,0,0,0"/>
                <v:imagedata r:id="rId14" o:title=""/>
              </v:shape>
            </w:pict>
          </mc:Fallback>
        </mc:AlternateContent>
      </w:r>
      <w:r/>
    </w:p>
    <w:p>
      <w:pPr>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134" w:right="1134" w:bottom="1134" w:left="1134" w:header="680" w:footer="680" w:gutter="0"/>
          <w:cols w:num="1" w:sep="0" w:space="720" w:equalWidth="1"/>
          <w:docGrid w:linePitch="360"/>
        </w:sectPr>
      </w:pPr>
      <w:r>
        <w:rPr>
          <w:rFonts w:hint="eastAsia" w:ascii="宋体" w:hAnsi="宋体" w:cs="宋体"/>
          <w:b/>
          <w:sz w:val="30"/>
          <w:szCs w:val="30"/>
        </w:rPr>
        <w:t xml:space="preserve">二〇二六年四月</w:t>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JSZC-320508-CJZB-C2026-0044</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spacing w:line="312" w:lineRule="auto"/>
            </w:pPr>
            <w:r>
              <w:rPr>
                <w:rFonts w:hint="eastAsia" w:ascii="宋体" w:hAnsi="宋体" w:cs="宋体"/>
                <w:szCs w:val="21"/>
              </w:rPr>
              <w:t xml:space="preserve">苏州市姑苏区猪肉储备服务(2026-2028年)</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采购代理机构</w:t>
            </w:r>
            <w:r/>
          </w:p>
          <w:p>
            <w:pPr>
              <w:jc w:val="center"/>
              <w:spacing w:line="312"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名称：苏州市创杰招投标咨询服务有限公司</w:t>
            </w:r>
            <w:r/>
          </w:p>
          <w:p>
            <w:pPr>
              <w:jc w:val="left"/>
              <w:spacing w:line="312" w:lineRule="auto"/>
              <w:rPr>
                <w:rFonts w:ascii="宋体" w:hAnsi="宋体" w:cs="宋体"/>
                <w:szCs w:val="21"/>
              </w:rPr>
            </w:pPr>
            <w:r>
              <w:rPr>
                <w:rFonts w:hint="eastAsia" w:ascii="宋体" w:hAnsi="宋体" w:cs="宋体"/>
                <w:szCs w:val="21"/>
              </w:rPr>
              <w:t xml:space="preserve">地址：苏州市干将西路399号银海大厦303室</w:t>
            </w:r>
            <w:r/>
          </w:p>
          <w:p>
            <w:pPr>
              <w:jc w:val="left"/>
              <w:spacing w:line="312" w:lineRule="auto"/>
              <w:rPr>
                <w:rFonts w:ascii="宋体" w:hAnsi="宋体" w:cs="宋体"/>
                <w:szCs w:val="21"/>
              </w:rPr>
            </w:pPr>
            <w:r>
              <w:rPr>
                <w:rFonts w:hint="eastAsia" w:ascii="宋体" w:hAnsi="宋体" w:cs="宋体"/>
                <w:szCs w:val="21"/>
              </w:rPr>
              <w:t xml:space="preserve">联系人： 路丽丽  潘莉莉  朱晓芹  施紫秋</w:t>
            </w:r>
            <w:r/>
          </w:p>
          <w:p>
            <w:pPr>
              <w:pStyle w:val="798"/>
              <w:ind w:left="0" w:firstLine="0"/>
              <w:rPr>
                <w:rFonts w:ascii="宋体" w:hAnsi="宋体" w:cs="宋体"/>
              </w:rPr>
            </w:pPr>
            <w:r>
              <w:rPr>
                <w:rFonts w:hint="eastAsia" w:ascii="宋体" w:hAnsi="宋体" w:cs="宋体"/>
                <w:szCs w:val="21"/>
              </w:rPr>
              <w:t xml:space="preserve">联系电话：0512-65238816</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名称：苏州市姑苏区发展和改革局</w:t>
            </w:r>
            <w:r/>
          </w:p>
          <w:p>
            <w:pPr>
              <w:jc w:val="left"/>
              <w:spacing w:line="312" w:lineRule="auto"/>
              <w:rPr>
                <w:rFonts w:ascii="宋体" w:hAnsi="宋体" w:cs="宋体"/>
                <w:szCs w:val="21"/>
              </w:rPr>
            </w:pPr>
            <w:r>
              <w:rPr>
                <w:rFonts w:hint="eastAsia" w:ascii="宋体" w:hAnsi="宋体" w:cs="宋体"/>
                <w:szCs w:val="21"/>
              </w:rPr>
              <w:t xml:space="preserve">地址：苏州市平川路510号</w:t>
            </w:r>
            <w:r/>
          </w:p>
          <w:p>
            <w:pPr>
              <w:jc w:val="left"/>
              <w:spacing w:line="312" w:lineRule="auto"/>
              <w:rPr>
                <w:rFonts w:ascii="宋体" w:hAnsi="宋体" w:cs="宋体"/>
                <w:szCs w:val="21"/>
              </w:rPr>
            </w:pPr>
            <w:r>
              <w:rPr>
                <w:rFonts w:hint="eastAsia" w:ascii="宋体" w:hAnsi="宋体" w:cs="宋体"/>
                <w:szCs w:val="21"/>
              </w:rPr>
              <w:t xml:space="preserve">联系方式：徐磊</w:t>
            </w:r>
            <w:r/>
          </w:p>
          <w:p>
            <w:pPr>
              <w:jc w:val="left"/>
              <w:spacing w:line="312" w:lineRule="auto"/>
              <w:rPr>
                <w:rFonts w:ascii="宋体" w:hAnsi="宋体" w:cs="宋体"/>
                <w:szCs w:val="21"/>
              </w:rPr>
            </w:pPr>
            <w:r>
              <w:rPr>
                <w:rFonts w:hint="eastAsia" w:ascii="宋体" w:hAnsi="宋体" w:cs="宋体"/>
                <w:szCs w:val="21"/>
              </w:rPr>
              <w:t xml:space="preserve">电话：0512-68728815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响应文件提交截止之日起45天（日历日）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获取采购文件</w:t>
            </w:r>
            <w:r/>
          </w:p>
          <w:p>
            <w:pPr>
              <w:jc w:val="center"/>
              <w:spacing w:line="312"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响应文件网上</w:t>
            </w:r>
            <w:r/>
          </w:p>
          <w:p>
            <w:pPr>
              <w:jc w:val="center"/>
              <w:spacing w:line="312"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2026年4月20日13点30分（北京时间）</w:t>
            </w:r>
            <w:r/>
          </w:p>
          <w:p>
            <w:pPr>
              <w:jc w:val="left"/>
              <w:spacing w:line="312"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开启时间</w:t>
            </w:r>
            <w:r/>
          </w:p>
          <w:p>
            <w:pPr>
              <w:jc w:val="center"/>
              <w:spacing w:line="312"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2026年4月20日13点30分（北京时间）</w:t>
            </w:r>
            <w:r/>
          </w:p>
          <w:p>
            <w:pPr>
              <w:jc w:val="left"/>
              <w:spacing w:line="312" w:lineRule="auto"/>
              <w:rPr>
                <w:rFonts w:ascii="宋体" w:hAnsi="宋体" w:cs="宋体"/>
                <w:szCs w:val="21"/>
              </w:rPr>
            </w:pPr>
            <w:r>
              <w:rPr>
                <w:rFonts w:hint="eastAsia" w:ascii="宋体" w:hAnsi="宋体" w:cs="宋体"/>
                <w:szCs w:val="21"/>
              </w:rPr>
              <w:t xml:space="preserve">“苏采云”系统（网址：</w:t>
            </w:r>
            <w:hyperlink r:id="rId15"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12"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 CA证书解密电子响应文件，如在系统规定的解密时间内未能完成解密的视为放弃参与本项目。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评审时间</w:t>
            </w:r>
            <w:r/>
          </w:p>
          <w:p>
            <w:pPr>
              <w:jc w:val="center"/>
              <w:spacing w:line="312"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2026年4月20日13点30分（北京时间）</w:t>
            </w:r>
            <w:r/>
          </w:p>
          <w:p>
            <w:pPr>
              <w:jc w:val="left"/>
              <w:spacing w:line="312" w:lineRule="auto"/>
              <w:rPr>
                <w:rFonts w:ascii="宋体" w:hAnsi="宋体" w:cs="宋体"/>
                <w:szCs w:val="21"/>
              </w:rPr>
            </w:pPr>
            <w:r>
              <w:rPr>
                <w:rFonts w:hint="eastAsia" w:ascii="宋体" w:hAnsi="宋体" w:cs="宋体"/>
                <w:szCs w:val="21"/>
              </w:rPr>
              <w:t xml:space="preserve">苏州市高新区邓尉路105号狮山科技馆 </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磋商响应</w:t>
            </w:r>
            <w:r/>
          </w:p>
          <w:p>
            <w:pPr>
              <w:jc w:val="center"/>
              <w:spacing w:line="312"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spacing w:line="312" w:lineRule="auto"/>
              <w:rPr>
                <w:rFonts w:ascii="宋体" w:hAnsi="宋体" w:cs="宋体"/>
              </w:rPr>
            </w:pPr>
            <w:r>
              <w:rPr>
                <w:rFonts w:hint="eastAsia" w:ascii="宋体" w:hAnsi="宋体" w:cs="宋体"/>
              </w:rPr>
              <w:t xml:space="preserve">本项目采用电子响应文件，供应商按照采购文件要求制作上传电子响应文件，投标时供应商无需提供纸质响应文件。</w:t>
            </w:r>
            <w:r/>
          </w:p>
          <w:p>
            <w:pPr>
              <w:spacing w:line="312" w:lineRule="auto"/>
              <w:rPr>
                <w:rFonts w:ascii="宋体" w:hAnsi="宋体" w:cs="宋体"/>
              </w:rPr>
            </w:pPr>
            <w:r>
              <w:rPr>
                <w:rFonts w:hint="eastAsia" w:ascii="宋体" w:hAnsi="宋体" w:cs="宋体"/>
              </w:rPr>
              <w:t xml:space="preserve">成交后5个工作日内，成交单位向招标代理机构提供与电子响应文件内容一致的纸质响应文件两份。</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12" w:lineRule="auto"/>
              <w:rPr>
                <w:rFonts w:ascii="宋体" w:hAnsi="宋体" w:cs="宋体"/>
                <w:szCs w:val="21"/>
              </w:rPr>
            </w:pPr>
            <w:r>
              <w:rPr>
                <w:rFonts w:hint="eastAsia" w:ascii="宋体" w:hAnsi="宋体"/>
                <w:szCs w:val="21"/>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b/>
                <w:bCs/>
                <w:szCs w:val="21"/>
              </w:rPr>
              <w:t xml:space="preserve">本项目采购人未要求收取履约保</w:t>
            </w:r>
            <w:r>
              <w:rPr>
                <w:rFonts w:hint="eastAsia" w:ascii="宋体" w:hAnsi="宋体"/>
                <w:b/>
                <w:bCs/>
                <w:szCs w:val="21"/>
              </w:rPr>
              <w:t xml:space="preserve">证金。</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pStyle w:val="808"/>
              <w:ind w:firstLine="0"/>
              <w:spacing w:line="440" w:lineRule="exact"/>
              <w:rPr>
                <w:rFonts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808"/>
              <w:ind w:firstLine="0"/>
              <w:spacing w:line="440" w:lineRule="exact"/>
              <w:rPr>
                <w:rFonts w:cs="宋体"/>
                <w:sz w:val="21"/>
                <w:szCs w:val="21"/>
              </w:rPr>
            </w:pPr>
            <w:r>
              <w:rPr>
                <w:rFonts w:hint="eastAsia" w:cs="宋体"/>
                <w:b/>
                <w:sz w:val="21"/>
                <w:szCs w:val="21"/>
              </w:rPr>
              <w:t xml:space="preserve">请成交单位在成交结果公告届满之日起30日内,使用CA证书登录“苏采云”系统及时下载成交通知书。</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ind w:firstLine="720"/>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一、磋商公告</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二、采购需求</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三、评标方法及评分标准</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四、合同主要条款及格式</w:t>
      </w:r>
      <w:r/>
    </w:p>
    <w:p>
      <w:pPr>
        <w:ind w:firstLine="720"/>
        <w:spacing w:line="360" w:lineRule="auto"/>
        <w:tabs>
          <w:tab w:val="left" w:pos="315" w:leader="none"/>
          <w:tab w:val="center" w:pos="4153" w:leader="none"/>
        </w:tabs>
        <w:rPr>
          <w:rFonts w:ascii="宋体" w:hAnsi="宋体" w:cs="宋体"/>
          <w:sz w:val="36"/>
          <w:szCs w:val="36"/>
        </w:rPr>
        <w:sectPr>
          <w:footnotePr/>
          <w:endnotePr/>
          <w:type w:val="nextPage"/>
          <w:pgSz w:w="11906" w:h="16838" w:orient="portrait"/>
          <w:pgMar w:top="1134" w:right="1134" w:bottom="1134" w:left="1134" w:header="680" w:footer="680" w:gutter="0"/>
          <w:cols w:num="1" w:sep="0" w:space="720" w:equalWidth="1"/>
          <w:docGrid w:linePitch="360"/>
        </w:sectPr>
      </w:pPr>
      <w:r>
        <w:rPr>
          <w:rFonts w:hint="eastAsia" w:ascii="宋体" w:hAnsi="宋体" w:cs="宋体"/>
          <w:sz w:val="36"/>
          <w:szCs w:val="36"/>
        </w:rPr>
        <w:t xml:space="preserve">五、磋商响应文件格式</w:t>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一、磋商公告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苏州市姑苏区猪肉储备服务(2026-2028年)</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2026年4月20日13点30分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1.项目编号：JSZC-320508-CJZB-C2026-0044</w:t>
      </w:r>
      <w:r/>
    </w:p>
    <w:p>
      <w:pPr>
        <w:ind w:firstLine="420"/>
        <w:spacing w:line="360" w:lineRule="auto"/>
        <w:rPr>
          <w:rFonts w:ascii="宋体" w:hAnsi="宋体" w:cs="宋体"/>
          <w:szCs w:val="21"/>
        </w:rPr>
      </w:pPr>
      <w:r>
        <w:rPr>
          <w:rFonts w:hint="eastAsia" w:ascii="宋体" w:hAnsi="宋体" w:cs="宋体"/>
          <w:szCs w:val="21"/>
        </w:rPr>
        <w:t xml:space="preserve">2.项目名称：苏州市姑苏区猪肉储备服务(2026-2028年)</w:t>
      </w:r>
      <w:r/>
    </w:p>
    <w:p>
      <w:pPr>
        <w:ind w:firstLine="420"/>
        <w:spacing w:line="360" w:lineRule="auto"/>
        <w:rPr>
          <w:rFonts w:ascii="宋体" w:hAnsi="宋体" w:cs="宋体"/>
          <w:szCs w:val="21"/>
        </w:rPr>
      </w:pPr>
      <w:r>
        <w:rPr>
          <w:rFonts w:hint="eastAsia" w:ascii="宋体" w:hAnsi="宋体" w:cs="宋体"/>
          <w:szCs w:val="21"/>
        </w:rPr>
        <w:t xml:space="preserve">3.采购方式：竞争性磋商</w:t>
      </w:r>
      <w:r/>
    </w:p>
    <w:p>
      <w:pPr>
        <w:ind w:firstLine="420"/>
        <w:spacing w:line="360" w:lineRule="auto"/>
        <w:rPr>
          <w:rFonts w:ascii="宋体" w:hAnsi="宋体" w:cs="宋体"/>
          <w:szCs w:val="21"/>
        </w:rPr>
      </w:pPr>
      <w:r>
        <w:rPr>
          <w:rFonts w:hint="eastAsia" w:ascii="宋体" w:hAnsi="宋体" w:cs="宋体"/>
          <w:szCs w:val="21"/>
        </w:rPr>
        <w:t xml:space="preserve">4.预算金额：人民币贰佰柒拾捌万叁仟零贰拾伍元整（¥：2783025.00）</w:t>
      </w:r>
      <w:r/>
    </w:p>
    <w:p>
      <w:pPr>
        <w:ind w:firstLine="420"/>
        <w:spacing w:line="360" w:lineRule="auto"/>
        <w:rPr>
          <w:rFonts w:ascii="宋体" w:hAnsi="宋体" w:cs="宋体"/>
          <w:szCs w:val="21"/>
        </w:rPr>
      </w:pPr>
      <w:r>
        <w:rPr>
          <w:rFonts w:hint="eastAsia" w:ascii="宋体" w:hAnsi="宋体" w:cs="宋体"/>
          <w:szCs w:val="21"/>
        </w:rPr>
        <w:t xml:space="preserve">5.最高限价：人民币贰佰柒拾捌万叁仟零贰拾伍元整（¥：2783025.00）</w:t>
      </w:r>
      <w:r/>
    </w:p>
    <w:p>
      <w:pPr>
        <w:ind w:firstLine="420"/>
        <w:spacing w:line="360" w:lineRule="auto"/>
        <w:rPr>
          <w:rFonts w:ascii="宋体" w:hAnsi="宋体" w:cs="宋体"/>
          <w:szCs w:val="21"/>
        </w:rPr>
      </w:pPr>
      <w:r>
        <w:rPr>
          <w:rFonts w:hint="eastAsia" w:ascii="宋体" w:hAnsi="宋体" w:cs="宋体"/>
          <w:szCs w:val="21"/>
        </w:rPr>
        <w:t xml:space="preserve">6.采购需求：落实2026-2028年期间的冻猪肉储备任务,每年储备量为350吨,并按要求进行轮换。</w:t>
      </w:r>
      <w:r/>
    </w:p>
    <w:p>
      <w:pPr>
        <w:ind w:firstLine="420"/>
        <w:spacing w:line="360" w:lineRule="auto"/>
        <w:rPr>
          <w:rFonts w:ascii="宋体" w:hAnsi="宋体" w:cs="宋体"/>
          <w:szCs w:val="21"/>
        </w:rPr>
      </w:pPr>
      <w:r>
        <w:rPr>
          <w:rFonts w:hint="eastAsia" w:ascii="宋体" w:hAnsi="宋体" w:cs="宋体"/>
          <w:szCs w:val="21"/>
        </w:rPr>
        <w:t xml:space="preserve">7.服务期限：三年，以合同签订日期为准。</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2.落实政府采购政策需满足的资格要求：</w:t>
      </w:r>
      <w:bookmarkStart w:id="0" w:name="OLE_LINK1"/>
      <w:r/>
      <w:bookmarkStart w:id="1" w:name="OLE_LINK2"/>
      <w:r>
        <w:rPr>
          <w:rFonts w:hint="eastAsia" w:ascii="宋体" w:hAnsi="宋体" w:cs="宋体"/>
          <w:szCs w:val="21"/>
        </w:rPr>
        <w:t xml:space="preserve">根据《政府采购促进中小企业发展管理办法》的相关规定，</w:t>
      </w:r>
      <w:r>
        <w:rPr>
          <w:rFonts w:hint="eastAsia" w:ascii="宋体" w:hAnsi="宋体" w:cs="宋体"/>
          <w:b/>
          <w:bCs/>
          <w:szCs w:val="21"/>
        </w:rPr>
        <w:t xml:space="preserve">本项目专门面向中小企业采购，所属行业为仓储业</w:t>
      </w:r>
      <w:r>
        <w:rPr>
          <w:rFonts w:hint="eastAsia" w:ascii="宋体" w:hAnsi="宋体" w:cs="宋体"/>
          <w:szCs w:val="21"/>
        </w:rPr>
        <w:t xml:space="preserve">。</w:t>
      </w:r>
      <w:bookmarkEnd w:id="0"/>
      <w:r/>
      <w:bookmarkEnd w:id="1"/>
      <w:r/>
      <w:r/>
    </w:p>
    <w:p>
      <w:pPr>
        <w:ind w:firstLine="420"/>
        <w:spacing w:line="360" w:lineRule="auto"/>
        <w:rPr>
          <w:rFonts w:ascii="宋体" w:hAnsi="宋体" w:cs="宋体"/>
          <w:szCs w:val="21"/>
        </w:rPr>
      </w:pPr>
      <w:r>
        <w:rPr>
          <w:rFonts w:hint="eastAsia" w:ascii="宋体" w:hAnsi="宋体" w:cs="宋体"/>
          <w:szCs w:val="21"/>
        </w:rPr>
        <w:t xml:space="preserve">3.未被列入失信被执行人、重大税收违法案件当事人名单、政府采购严重失信行为记录名单；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4.本项目不接受联合体投标；</w:t>
      </w:r>
      <w:r/>
    </w:p>
    <w:p>
      <w:pPr>
        <w:ind w:firstLine="420"/>
        <w:spacing w:line="360" w:lineRule="auto"/>
        <w:rPr>
          <w:rFonts w:ascii="宋体" w:hAnsi="宋体" w:cs="宋体"/>
          <w:szCs w:val="21"/>
        </w:rPr>
      </w:pPr>
      <w:r>
        <w:rPr>
          <w:rFonts w:hint="eastAsia" w:ascii="宋体" w:hAnsi="宋体" w:cs="宋体"/>
          <w:szCs w:val="21"/>
        </w:rPr>
        <w:t xml:space="preserve">5.单位负责人为同一人或者存在直接控股、管理关系的不同供应商（包含法定代表人为同一个人的两个及两个以上法人，母公司、全资子公司及其控股公司），不得参加同一合同项下的政府采购活动。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6.为采购项目提供整体设计、规范编制或者项目管理、监理、监测等服务的供应商，不得再参加该采购项目的其他采购活动。</w:t>
      </w:r>
      <w:r/>
    </w:p>
    <w:p>
      <w:pPr>
        <w:ind w:firstLine="420"/>
        <w:spacing w:line="360" w:lineRule="auto"/>
        <w:rPr>
          <w:rFonts w:ascii="宋体" w:hAnsi="宋体" w:cs="宋体"/>
        </w:rPr>
      </w:pPr>
      <w:r>
        <w:rPr>
          <w:rFonts w:hint="eastAsia" w:ascii="宋体" w:hAnsi="宋体" w:cs="宋体"/>
          <w:szCs w:val="21"/>
        </w:rPr>
        <w:t xml:space="preserve">7.其他特定资格要求：响应单位具有有效期内的食品经营许可证</w:t>
      </w:r>
      <w:r>
        <w:rPr>
          <w:rFonts w:hint="eastAsia" w:ascii="宋体" w:hAnsi="宋体" w:cs="宋体"/>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bookmarkStart w:id="2" w:name="_Toc35393624"/>
      <w:r/>
      <w:bookmarkStart w:id="3" w:name="_Toc28359005"/>
      <w:r/>
      <w:bookmarkStart w:id="4" w:name="_Toc28359082"/>
      <w:r/>
      <w:bookmarkStart w:id="5" w:name="_Toc35393793"/>
      <w:r/>
      <w:r/>
    </w:p>
    <w:p>
      <w:pPr>
        <w:ind w:firstLine="420"/>
        <w:spacing w:line="312" w:lineRule="auto"/>
        <w:rPr>
          <w:rFonts w:ascii="宋体" w:hAnsi="宋体" w:cs="宋体"/>
          <w:b/>
          <w:bCs/>
          <w:szCs w:val="21"/>
        </w:rPr>
      </w:pPr>
      <w:r>
        <w:rPr>
          <w:rFonts w:hint="eastAsia" w:ascii="宋体" w:hAnsi="宋体" w:cs="宋体"/>
          <w:szCs w:val="21"/>
          <w:shd w:val="clear" w:color="auto" w:fill="ffffff"/>
        </w:rPr>
        <w:t xml:space="preserve">1.时间：自公告发布之日起5个工作日(具体见政府采购网本项目招标公告）</w:t>
      </w:r>
      <w:r/>
    </w:p>
    <w:p>
      <w:pPr>
        <w:ind w:firstLine="420"/>
        <w:spacing w:line="312" w:lineRule="auto"/>
        <w:rPr>
          <w:rFonts w:ascii="宋体" w:hAnsi="宋体" w:cs="宋体"/>
          <w:b/>
          <w:bCs/>
          <w:szCs w:val="21"/>
        </w:rPr>
      </w:pPr>
      <w:r>
        <w:rPr>
          <w:rFonts w:hint="eastAsia" w:ascii="宋体" w:hAnsi="宋体" w:cs="宋体"/>
          <w:szCs w:val="21"/>
          <w:shd w:val="clear" w:color="auto" w:fill="ffffff"/>
        </w:rPr>
        <w:t xml:space="preserve">2.地点：苏采云系统自行下载</w:t>
      </w:r>
      <w:r/>
    </w:p>
    <w:p>
      <w:pPr>
        <w:ind w:firstLine="420"/>
        <w:spacing w:line="312" w:lineRule="auto"/>
        <w:rPr>
          <w:rFonts w:ascii="宋体" w:hAnsi="宋体" w:cs="宋体"/>
          <w:b/>
          <w:bCs/>
          <w:szCs w:val="21"/>
        </w:rPr>
      </w:pPr>
      <w:r>
        <w:rPr>
          <w:rFonts w:hint="eastAsia" w:ascii="宋体" w:hAnsi="宋体" w:cs="宋体"/>
          <w:szCs w:val="21"/>
          <w:shd w:val="clear" w:color="auto" w:fill="ffffff"/>
        </w:rPr>
        <w:t xml:space="preserve">3.方式：</w:t>
      </w:r>
      <w:r/>
    </w:p>
    <w:p>
      <w:pPr>
        <w:ind w:firstLine="420"/>
        <w:spacing w:line="312" w:lineRule="auto"/>
        <w:rPr>
          <w:rFonts w:ascii="宋体" w:hAnsi="宋体" w:cs="宋体"/>
          <w:b/>
          <w:bCs/>
          <w:szCs w:val="21"/>
        </w:rPr>
      </w:pPr>
      <w:r>
        <w:rPr>
          <w:rFonts w:hint="eastAsia" w:ascii="宋体" w:hAnsi="宋体" w:cs="宋体"/>
          <w:szCs w:val="21"/>
          <w:shd w:val="clear" w:color="auto" w:fill="ffffff"/>
        </w:rPr>
        <w:t xml:space="preserve">（1）CA证书办理</w:t>
      </w:r>
      <w:r/>
    </w:p>
    <w:p>
      <w:pPr>
        <w:ind w:firstLine="420"/>
        <w:spacing w:line="360" w:lineRule="auto"/>
        <w:rPr>
          <w:rFonts w:ascii="宋体" w:hAnsi="宋体" w:cs="宋体"/>
          <w:b/>
          <w:bCs/>
          <w:szCs w:val="21"/>
        </w:rPr>
      </w:pPr>
      <w:r>
        <w:rPr>
          <w:rFonts w:hint="eastAsia" w:ascii="宋体" w:hAnsi="宋体" w:cs="宋体"/>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Cs w:val="21"/>
          <w:shd w:val="clear" w:color="auto" w:fill="ffffff"/>
        </w:rPr>
        <w:t xml:space="preserve">“苏采云”系统目前仅支持“苏采云”系统下的政务CA证书，江苏省内各地区办理的“苏采云”系统下的政务CA证书全省通用。</w:t>
      </w:r>
      <w:r>
        <w:rPr>
          <w:rFonts w:hint="eastAsia" w:ascii="宋体" w:hAnsi="宋体" w:cs="宋体"/>
          <w:szCs w:val="21"/>
          <w:shd w:val="clear" w:color="auto" w:fill="ffffff"/>
        </w:rPr>
        <w:t xml:space="preserve">苏州现场办理地址：苏州市高新区邓尉路105号狮山科技馆一楼服务大厅，咨询电话：0512-65737699。</w:t>
      </w:r>
      <w:r/>
    </w:p>
    <w:p>
      <w:pPr>
        <w:ind w:firstLine="420"/>
        <w:spacing w:line="312" w:lineRule="auto"/>
        <w:rPr>
          <w:rFonts w:ascii="宋体" w:hAnsi="宋体" w:cs="宋体"/>
          <w:b/>
          <w:bCs/>
          <w:szCs w:val="21"/>
        </w:rPr>
      </w:pPr>
      <w:r>
        <w:rPr>
          <w:rFonts w:hint="eastAsia" w:ascii="宋体" w:hAnsi="宋体" w:cs="宋体"/>
          <w:szCs w:val="21"/>
          <w:shd w:val="clear" w:color="auto" w:fill="ffffff"/>
        </w:rPr>
        <w:t xml:space="preserve">（2）参与采购活动</w:t>
      </w:r>
      <w:r/>
    </w:p>
    <w:p>
      <w:pPr>
        <w:ind w:firstLine="420"/>
        <w:spacing w:line="360" w:lineRule="auto"/>
        <w:rPr>
          <w:rFonts w:ascii="宋体" w:hAnsi="宋体" w:cs="宋体"/>
          <w:b/>
          <w:bCs/>
          <w:szCs w:val="21"/>
        </w:rPr>
      </w:pPr>
      <w:r>
        <w:rPr>
          <w:rFonts w:hint="eastAsia" w:ascii="宋体" w:hAnsi="宋体" w:cs="宋体"/>
          <w:szCs w:val="21"/>
          <w:shd w:val="clear" w:color="auto" w:fill="ffffff"/>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12" w:lineRule="auto"/>
        <w:rPr>
          <w:rFonts w:ascii="宋体" w:hAnsi="宋体" w:cs="宋体"/>
          <w:b/>
          <w:bCs/>
          <w:szCs w:val="21"/>
        </w:rPr>
      </w:pPr>
      <w:r>
        <w:rPr>
          <w:rFonts w:hint="eastAsia" w:ascii="宋体" w:hAnsi="宋体" w:cs="宋体"/>
          <w:szCs w:val="21"/>
          <w:shd w:val="clear" w:color="auto" w:fill="ffffff"/>
        </w:rPr>
        <w:t xml:space="preserve">（3）电子投标准备</w:t>
      </w:r>
      <w:r/>
    </w:p>
    <w:p>
      <w:pPr>
        <w:ind w:firstLine="420"/>
        <w:spacing w:line="312"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（具体详见《苏采云系统供应商操作手册》，网址链接https://czju.suzhou.gov.cn/zfcg/html/content/20231220161910031.shtml）</w:t>
      </w:r>
      <w:r>
        <w:rPr>
          <w:rFonts w:hint="eastAsia" w:ascii="宋体" w:hAnsi="宋体" w:cs="宋体"/>
          <w:szCs w:val="21"/>
          <w:shd w:val="clear" w:color="auto" w:fill="ffffff"/>
        </w:rPr>
        <w:t xml:space="preserve">。在系统操作过程中如有疑问，请按以下方式联系：</w:t>
      </w:r>
      <w:r/>
    </w:p>
    <w:p>
      <w:pPr>
        <w:ind w:firstLine="420"/>
        <w:spacing w:line="312" w:lineRule="auto"/>
        <w:rPr>
          <w:rFonts w:ascii="宋体" w:hAnsi="宋体" w:cs="宋体"/>
          <w:szCs w:val="21"/>
          <w:shd w:val="clear" w:color="auto" w:fill="ffffff"/>
        </w:rPr>
      </w:pPr>
      <w:r>
        <w:rPr>
          <w:rFonts w:hint="eastAsia" w:ascii="宋体" w:hAnsi="宋体" w:cs="宋体"/>
          <w:szCs w:val="21"/>
          <w:shd w:val="clear" w:color="auto" w:fill="ffffff"/>
        </w:rPr>
        <w:t xml:space="preserve">注册咨询：18261002950；</w:t>
      </w:r>
      <w:r/>
    </w:p>
    <w:p>
      <w:pPr>
        <w:ind w:firstLine="420"/>
        <w:spacing w:line="312" w:lineRule="auto"/>
        <w:rPr>
          <w:rFonts w:ascii="宋体" w:hAnsi="宋体" w:cs="宋体"/>
          <w:szCs w:val="21"/>
          <w:shd w:val="clear" w:color="auto" w:fill="ffffff"/>
        </w:rPr>
      </w:pPr>
      <w:r>
        <w:rPr>
          <w:rFonts w:hint="eastAsia" w:ascii="宋体" w:hAnsi="宋体" w:cs="宋体"/>
          <w:szCs w:val="21"/>
          <w:shd w:val="clear" w:color="auto" w:fill="ffffff"/>
        </w:rPr>
        <w:t xml:space="preserve">CA技术咨询电话：400-608-6099；</w:t>
      </w:r>
      <w:r/>
    </w:p>
    <w:p>
      <w:pPr>
        <w:ind w:firstLine="420"/>
        <w:spacing w:line="312"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签章使用问题：025-83633811、025-83633812、15380932027、15371015030；</w:t>
      </w:r>
      <w:r/>
    </w:p>
    <w:p>
      <w:pPr>
        <w:ind w:firstLine="420"/>
        <w:spacing w:line="312"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系统使用指导与咨询：联系电话：18261002950；QQ：3048755361、1315179389、895706745。</w:t>
      </w:r>
      <w:r/>
    </w:p>
    <w:p>
      <w:pPr>
        <w:ind w:firstLine="420"/>
        <w:spacing w:line="312" w:lineRule="auto"/>
        <w:rPr>
          <w:rFonts w:ascii="宋体" w:hAnsi="宋体" w:cs="宋体"/>
          <w:b/>
          <w:bCs/>
          <w:szCs w:val="21"/>
        </w:rPr>
      </w:pPr>
      <w:r>
        <w:rPr>
          <w:rFonts w:hint="eastAsia" w:ascii="宋体" w:hAnsi="宋体" w:cs="宋体"/>
          <w:szCs w:val="21"/>
          <w:shd w:val="clear" w:color="auto" w:fill="ffffff"/>
        </w:rPr>
        <w:t xml:space="preserve">4.售价：免费。</w:t>
      </w:r>
      <w:bookmarkEnd w:id="2"/>
      <w:r/>
      <w:bookmarkEnd w:id="3"/>
      <w:r/>
      <w:bookmarkEnd w:id="4"/>
      <w:r/>
      <w:bookmarkEnd w:id="5"/>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：2026年4月20日13点30分（北京时间）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1.时间：2026年4月20日13点30分（北京时间）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w:t>
      </w:r>
      <w:r/>
    </w:p>
    <w:p>
      <w:pPr>
        <w:ind w:firstLine="420"/>
        <w:spacing w:line="360" w:lineRule="auto"/>
        <w:rPr>
          <w:rFonts w:ascii="宋体" w:hAnsi="宋体" w:cs="宋体"/>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cs="宋体"/>
          <w:b/>
          <w:szCs w:val="21"/>
        </w:rPr>
        <w:t xml:space="preserve">开启阶段供应商在【供应商解密】环节必须使用 CA证书解密电子响应文件，如在系统规定的解密时间内未能完成解密的视为放弃参与本项目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自本公告发布之日起3个工作日。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cs="宋体" w:asciiTheme="minorEastAsia" w:hAnsiTheme="minorEastAsia" w:eastAsiaTheme="minorEastAsia"/>
          <w:szCs w:val="21"/>
        </w:rPr>
        <w:t xml:space="preserve">1.</w:t>
      </w:r>
      <w:r>
        <w:rPr>
          <w:rFonts w:hint="eastAsia" w:ascii="宋体" w:hAnsi="宋体" w:cs="宋体"/>
          <w:szCs w:val="21"/>
        </w:rPr>
        <w:t xml:space="preserve">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2.苏州市姑苏区政府采购管理监督电话：0512-68728409。</w:t>
      </w:r>
      <w:r/>
    </w:p>
    <w:p>
      <w:pPr>
        <w:ind w:firstLine="420"/>
        <w:spacing w:line="360" w:lineRule="auto"/>
        <w:rPr>
          <w:rFonts w:ascii="宋体" w:hAnsi="宋体" w:cs="宋体"/>
          <w:szCs w:val="21"/>
        </w:rPr>
      </w:pPr>
      <w:r>
        <w:rPr>
          <w:rFonts w:hint="eastAsia" w:ascii="宋体" w:hAnsi="宋体" w:cs="宋体"/>
          <w:szCs w:val="21"/>
        </w:rPr>
        <w:t xml:space="preserve">3.本项目支持政府采购合同信用融资。</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1.采购人信息</w:t>
      </w:r>
      <w:r/>
    </w:p>
    <w:p>
      <w:pPr>
        <w:ind w:firstLine="420"/>
        <w:spacing w:line="360" w:lineRule="auto"/>
        <w:rPr>
          <w:rFonts w:ascii="宋体" w:hAnsi="宋体" w:cs="宋体"/>
          <w:szCs w:val="21"/>
        </w:rPr>
      </w:pPr>
      <w:r>
        <w:rPr>
          <w:rFonts w:hint="eastAsia" w:ascii="宋体" w:hAnsi="宋体" w:cs="宋体"/>
          <w:szCs w:val="21"/>
        </w:rPr>
        <w:t xml:space="preserve">名  称：苏州市姑苏区发展和改革局</w:t>
      </w:r>
      <w:r/>
    </w:p>
    <w:p>
      <w:pPr>
        <w:ind w:firstLine="420"/>
        <w:spacing w:line="360" w:lineRule="auto"/>
        <w:rPr>
          <w:rFonts w:ascii="宋体" w:hAnsi="宋体" w:cs="宋体"/>
          <w:szCs w:val="21"/>
        </w:rPr>
      </w:pPr>
      <w:r>
        <w:rPr>
          <w:rFonts w:hint="eastAsia" w:ascii="宋体" w:hAnsi="宋体" w:cs="宋体"/>
          <w:szCs w:val="21"/>
        </w:rPr>
        <w:t xml:space="preserve">地  址：苏州市平川路510号</w:t>
      </w:r>
      <w:r/>
    </w:p>
    <w:p>
      <w:pPr>
        <w:ind w:firstLine="420"/>
        <w:spacing w:line="360" w:lineRule="auto"/>
        <w:rPr>
          <w:rFonts w:ascii="宋体" w:hAnsi="宋体" w:cs="宋体"/>
          <w:szCs w:val="21"/>
        </w:rPr>
      </w:pPr>
      <w:r>
        <w:rPr>
          <w:rFonts w:hint="eastAsia" w:ascii="宋体" w:hAnsi="宋体" w:cs="宋体"/>
          <w:szCs w:val="21"/>
        </w:rPr>
        <w:t xml:space="preserve">联系方式：徐磊</w:t>
      </w:r>
      <w:r/>
    </w:p>
    <w:p>
      <w:pPr>
        <w:ind w:firstLine="420"/>
        <w:spacing w:line="360" w:lineRule="auto"/>
        <w:rPr>
          <w:rFonts w:ascii="宋体" w:hAnsi="宋体" w:cs="宋体"/>
          <w:szCs w:val="21"/>
        </w:rPr>
      </w:pPr>
      <w:r>
        <w:rPr>
          <w:rFonts w:hint="eastAsia" w:ascii="宋体" w:hAnsi="宋体" w:cs="宋体"/>
          <w:szCs w:val="21"/>
        </w:rPr>
        <w:t xml:space="preserve">电话：0512-68728815</w:t>
      </w:r>
      <w:r/>
    </w:p>
    <w:p>
      <w:pPr>
        <w:ind w:firstLine="420"/>
        <w:spacing w:line="360" w:lineRule="auto"/>
        <w:rPr>
          <w:rFonts w:ascii="宋体" w:hAnsi="宋体" w:cs="宋体"/>
          <w:szCs w:val="21"/>
        </w:rPr>
      </w:pPr>
      <w:r>
        <w:rPr>
          <w:rFonts w:hint="eastAsia" w:ascii="宋体" w:hAnsi="宋体" w:cs="宋体"/>
          <w:szCs w:val="21"/>
        </w:rPr>
        <w:t xml:space="preserve">2.采购代理机构信息</w:t>
      </w:r>
      <w:r/>
    </w:p>
    <w:p>
      <w:pPr>
        <w:ind w:firstLine="420"/>
        <w:spacing w:line="360" w:lineRule="auto"/>
        <w:rPr>
          <w:rFonts w:ascii="宋体" w:hAnsi="宋体" w:cs="宋体"/>
          <w:szCs w:val="21"/>
        </w:rPr>
      </w:pPr>
      <w:r>
        <w:rPr>
          <w:rFonts w:hint="eastAsia" w:ascii="宋体" w:hAnsi="宋体" w:cs="宋体"/>
          <w:szCs w:val="21"/>
        </w:rPr>
        <w:t xml:space="preserve">名  称：苏州市创杰招投标咨询服务有限公司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地　　址：苏州市干将西路399号银海大厦303室</w:t>
      </w:r>
      <w:r/>
    </w:p>
    <w:p>
      <w:pPr>
        <w:ind w:firstLine="420"/>
        <w:spacing w:line="360" w:lineRule="auto"/>
        <w:rPr>
          <w:rFonts w:ascii="宋体" w:hAnsi="宋体" w:cs="宋体"/>
          <w:szCs w:val="21"/>
        </w:rPr>
      </w:pPr>
      <w:r>
        <w:rPr>
          <w:rFonts w:hint="eastAsia" w:ascii="宋体" w:hAnsi="宋体" w:cs="宋体"/>
          <w:szCs w:val="21"/>
        </w:rPr>
        <w:t xml:space="preserve">联 系 人：路丽丽</w:t>
      </w:r>
      <w:r>
        <w:rPr>
          <w:rFonts w:hint="eastAsia" w:ascii="宋体" w:hAnsi="宋体" w:cs="宋体"/>
          <w:szCs w:val="21"/>
        </w:rPr>
        <w:t xml:space="preserve">  </w:t>
      </w:r>
      <w:r>
        <w:rPr>
          <w:rFonts w:hint="eastAsia" w:ascii="宋体" w:hAnsi="宋体" w:cs="宋体"/>
          <w:szCs w:val="21"/>
        </w:rPr>
        <w:t xml:space="preserve">潘莉莉  朱晓芹</w:t>
      </w:r>
      <w:r>
        <w:rPr>
          <w:rFonts w:hint="eastAsia" w:ascii="宋体" w:hAnsi="宋体" w:cs="宋体"/>
          <w:szCs w:val="21"/>
        </w:rPr>
        <w:t xml:space="preserve">  </w:t>
      </w:r>
      <w:r>
        <w:rPr>
          <w:rFonts w:hint="eastAsia" w:ascii="宋体" w:hAnsi="宋体" w:cs="宋体"/>
          <w:szCs w:val="21"/>
        </w:rPr>
        <w:t xml:space="preserve">施紫秋</w:t>
      </w:r>
      <w:r/>
    </w:p>
    <w:p>
      <w:pPr>
        <w:ind w:firstLine="420"/>
        <w:spacing w:line="360" w:lineRule="auto"/>
        <w:rPr>
          <w:rFonts w:ascii="宋体" w:hAnsi="宋体" w:cs="宋体"/>
          <w:szCs w:val="21"/>
        </w:rPr>
      </w:pPr>
      <w:r>
        <w:rPr>
          <w:rFonts w:hint="eastAsia" w:ascii="宋体" w:hAnsi="宋体" w:cs="宋体"/>
          <w:szCs w:val="21"/>
        </w:rPr>
        <w:t xml:space="preserve">联系方式：0512-65238816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20"/>
        <w:spacing w:line="360" w:lineRule="auto"/>
        <w:rPr>
          <w:rFonts w:ascii="宋体" w:hAnsi="宋体" w:cs="宋体"/>
          <w:szCs w:val="21"/>
        </w:rPr>
      </w:pPr>
      <w:r>
        <w:rPr>
          <w:rFonts w:hint="eastAsia" w:ascii="宋体" w:hAnsi="宋体" w:cs="宋体"/>
        </w:rPr>
        <w:t xml:space="preserve">受苏州市姑苏区发展和改革局之委托，苏州市创杰招投标咨询服务有限公司对其需采购的苏州市姑苏区猪肉储备服务(2026-2028年)在国内组织竞争性磋商采购。欢迎符合资格条件的供应商前来报名参加磋商</w:t>
      </w:r>
      <w:r>
        <w:rPr>
          <w:rFonts w:hint="eastAsia" w:ascii="宋体" w:hAnsi="宋体" w:cs="宋体"/>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JSZC-320508-CJZB-C2026-0044</w:t>
      </w:r>
      <w:r/>
    </w:p>
    <w:p>
      <w:pPr>
        <w:spacing w:line="360" w:lineRule="auto"/>
        <w:rPr>
          <w:rFonts w:ascii="宋体" w:hAnsi="宋体" w:cs="宋体"/>
          <w:bCs/>
          <w:szCs w:val="21"/>
        </w:rPr>
        <w:outlineLvl w:val="1"/>
      </w:pPr>
      <w:r>
        <w:rPr>
          <w:rFonts w:hint="eastAsia" w:ascii="宋体" w:hAnsi="宋体" w:cs="宋体"/>
          <w:b/>
          <w:szCs w:val="21"/>
        </w:rPr>
        <w:t xml:space="preserve">二、项目名称：</w:t>
      </w:r>
      <w:r>
        <w:rPr>
          <w:rFonts w:hint="eastAsia" w:ascii="宋体" w:hAnsi="宋体" w:cs="宋体"/>
          <w:bCs/>
          <w:szCs w:val="21"/>
        </w:rPr>
        <w:t xml:space="preserve">苏州市姑苏区猪肉储备服务(2026-2028年)</w:t>
      </w:r>
      <w:r/>
    </w:p>
    <w:p>
      <w:pPr>
        <w:spacing w:line="360" w:lineRule="auto"/>
        <w:rPr>
          <w:rFonts w:ascii="宋体" w:hAnsi="宋体" w:cs="宋体"/>
          <w:b/>
          <w:szCs w:val="21"/>
        </w:rPr>
        <w:outlineLvl w:val="1"/>
      </w:pPr>
      <w:r>
        <w:rPr>
          <w:rFonts w:hint="eastAsia" w:ascii="宋体" w:hAnsi="宋体" w:cs="宋体"/>
          <w:szCs w:val="21"/>
        </w:rPr>
        <w:t xml:space="preserve">★</w:t>
      </w:r>
      <w:r>
        <w:rPr>
          <w:rFonts w:hint="eastAsia" w:ascii="宋体" w:hAnsi="宋体" w:cs="宋体"/>
          <w:b/>
          <w:szCs w:val="21"/>
        </w:rPr>
        <w:t xml:space="preserve">三、预算金额：</w:t>
      </w:r>
      <w:r>
        <w:rPr>
          <w:rFonts w:hint="eastAsia" w:ascii="宋体" w:hAnsi="宋体" w:cs="宋体"/>
          <w:bCs/>
          <w:szCs w:val="21"/>
        </w:rPr>
        <w:t xml:space="preserve">人民币贰佰柒拾捌万叁仟零贰拾伍元整（¥：2783025.00）</w:t>
      </w:r>
      <w:r/>
    </w:p>
    <w:p>
      <w:pPr>
        <w:ind w:firstLine="422"/>
        <w:spacing w:line="360" w:lineRule="auto"/>
        <w:rPr>
          <w:rFonts w:ascii="宋体" w:hAnsi="宋体" w:cs="宋体"/>
          <w:b/>
          <w:szCs w:val="21"/>
        </w:rPr>
        <w:outlineLvl w:val="1"/>
      </w:pPr>
      <w:r>
        <w:rPr>
          <w:rFonts w:hint="eastAsia" w:ascii="宋体" w:hAnsi="宋体" w:cs="宋体"/>
          <w:b/>
          <w:szCs w:val="21"/>
        </w:rPr>
        <w:t xml:space="preserve">最高限价：</w:t>
      </w:r>
      <w:r>
        <w:rPr>
          <w:rFonts w:hint="eastAsia" w:ascii="宋体" w:hAnsi="宋体" w:cs="宋体"/>
          <w:bCs/>
          <w:szCs w:val="21"/>
        </w:rPr>
        <w:t xml:space="preserve">人民币贰佰柒拾捌万叁仟零贰拾伍元整（¥：2783025.00）</w:t>
      </w:r>
      <w:r/>
    </w:p>
    <w:p>
      <w:pPr>
        <w:spacing w:line="360" w:lineRule="auto"/>
        <w:rPr>
          <w:rFonts w:ascii="宋体" w:hAnsi="宋体" w:cs="宋体"/>
          <w:b/>
          <w:szCs w:val="21"/>
        </w:rPr>
        <w:outlineLvl w:val="1"/>
      </w:pPr>
      <w:r>
        <w:rPr>
          <w:rFonts w:hint="eastAsia" w:ascii="宋体" w:hAnsi="宋体" w:cs="宋体"/>
          <w:szCs w:val="21"/>
        </w:rPr>
        <w:t xml:space="preserve">★</w:t>
      </w:r>
      <w:r>
        <w:rPr>
          <w:rFonts w:hint="eastAsia" w:ascii="宋体" w:hAnsi="宋体" w:cs="宋体"/>
          <w:b/>
          <w:szCs w:val="21"/>
        </w:rPr>
        <w:t xml:space="preserve">四、采购需求：（本文件中★标示内容为实质性要求）</w:t>
      </w:r>
      <w:r/>
    </w:p>
    <w:p>
      <w:pPr>
        <w:ind w:firstLine="420"/>
        <w:spacing w:line="360" w:lineRule="auto"/>
        <w:rPr>
          <w:rFonts w:ascii="宋体" w:hAnsi="宋体" w:cs="宋体"/>
          <w:szCs w:val="21"/>
        </w:rPr>
      </w:pPr>
      <w:r>
        <w:rPr>
          <w:rFonts w:hint="eastAsia" w:ascii="宋体" w:hAnsi="宋体" w:cs="宋体"/>
          <w:szCs w:val="21"/>
        </w:rPr>
        <w:t xml:space="preserve">（一）项目说明</w:t>
      </w:r>
      <w:r/>
    </w:p>
    <w:p>
      <w:pPr>
        <w:ind w:firstLine="420"/>
        <w:spacing w:line="360" w:lineRule="auto"/>
        <w:rPr>
          <w:rFonts w:ascii="宋体" w:hAnsi="宋体" w:cs="宋体"/>
          <w:szCs w:val="21"/>
        </w:rPr>
      </w:pPr>
      <w:r>
        <w:rPr>
          <w:rFonts w:hint="eastAsia" w:ascii="宋体" w:hAnsi="宋体" w:cs="宋体"/>
          <w:szCs w:val="21"/>
        </w:rPr>
        <w:t xml:space="preserve">1.本项目服务期限：三年的储备期（具体时间根据合同约定）。</w:t>
      </w:r>
      <w:r/>
    </w:p>
    <w:p>
      <w:pPr>
        <w:ind w:firstLine="420"/>
        <w:spacing w:line="360" w:lineRule="auto"/>
        <w:rPr>
          <w:rFonts w:ascii="宋体" w:hAnsi="宋体" w:cs="宋体"/>
          <w:szCs w:val="21"/>
        </w:rPr>
      </w:pPr>
      <w:r>
        <w:rPr>
          <w:rFonts w:hint="eastAsia" w:ascii="宋体" w:hAnsi="宋体" w:cs="宋体"/>
          <w:szCs w:val="21"/>
        </w:rPr>
        <w:t xml:space="preserve">2.项目内容：在储备期内必须保障合同约定的猪肉储备数量，本次储备总量为350吨（具体数量根据采购单位要求）。</w:t>
      </w:r>
      <w:r/>
    </w:p>
    <w:p>
      <w:pPr>
        <w:ind w:firstLine="420"/>
        <w:spacing w:line="360" w:lineRule="auto"/>
        <w:rPr>
          <w:rFonts w:ascii="宋体" w:hAnsi="宋体" w:cs="宋体"/>
          <w:szCs w:val="21"/>
        </w:rPr>
      </w:pPr>
      <w:r>
        <w:rPr>
          <w:rFonts w:hint="eastAsia" w:ascii="宋体" w:hAnsi="宋体" w:cs="宋体"/>
          <w:szCs w:val="21"/>
        </w:rPr>
        <w:t xml:space="preserve">（二）总体要求</w:t>
      </w:r>
      <w:r/>
    </w:p>
    <w:p>
      <w:pPr>
        <w:ind w:firstLine="420"/>
        <w:spacing w:line="360" w:lineRule="auto"/>
        <w:rPr>
          <w:rFonts w:ascii="宋体" w:hAnsi="宋体" w:cs="宋体"/>
          <w:szCs w:val="21"/>
        </w:rPr>
      </w:pPr>
      <w:r>
        <w:rPr>
          <w:rFonts w:hint="eastAsia" w:ascii="宋体" w:hAnsi="宋体" w:cs="宋体"/>
          <w:szCs w:val="21"/>
        </w:rPr>
        <w:t xml:space="preserve">1.供应商应根据采购人要求承储冻猪肉储备并对其实施动态管理，在服务期限内须无条件接受和配合采购人的监督管理。</w:t>
      </w:r>
      <w:r/>
    </w:p>
    <w:p>
      <w:pPr>
        <w:ind w:firstLine="420"/>
        <w:spacing w:line="360" w:lineRule="auto"/>
        <w:rPr>
          <w:rFonts w:ascii="宋体" w:hAnsi="宋体" w:cs="宋体"/>
          <w:szCs w:val="21"/>
        </w:rPr>
      </w:pPr>
      <w:r>
        <w:rPr>
          <w:rFonts w:hint="eastAsia" w:ascii="宋体" w:hAnsi="宋体" w:cs="宋体"/>
          <w:szCs w:val="21"/>
        </w:rPr>
        <w:t xml:space="preserve">2.供应商应具有稳定的冷冻猪肉经销渠道和对冻肉的企业自身经营性周转需求，便于储备冻肉的轮换管理； </w:t>
      </w:r>
      <w:r/>
    </w:p>
    <w:p>
      <w:pPr>
        <w:ind w:firstLine="420"/>
        <w:spacing w:line="360" w:lineRule="auto"/>
        <w:rPr>
          <w:rFonts w:ascii="宋体" w:hAnsi="宋体" w:cs="宋体"/>
          <w:szCs w:val="21"/>
        </w:rPr>
      </w:pPr>
      <w:r>
        <w:rPr>
          <w:rFonts w:hint="eastAsia" w:ascii="宋体" w:hAnsi="宋体" w:cs="宋体"/>
          <w:szCs w:val="21"/>
        </w:rPr>
        <w:t xml:space="preserve">3.供应商应具有组织、管理冷冻猪肉和冷库的能力和完善的食品安全保障制度，能够承担储备肉的安全责任；</w:t>
      </w:r>
      <w:r/>
    </w:p>
    <w:p>
      <w:pPr>
        <w:ind w:firstLine="420"/>
        <w:spacing w:line="360" w:lineRule="auto"/>
        <w:rPr>
          <w:rFonts w:ascii="宋体" w:hAnsi="宋体" w:cs="宋体"/>
          <w:szCs w:val="21"/>
        </w:rPr>
      </w:pPr>
      <w:r>
        <w:rPr>
          <w:rFonts w:hint="eastAsia" w:ascii="宋体" w:hAnsi="宋体" w:cs="宋体"/>
          <w:szCs w:val="21"/>
        </w:rPr>
        <w:t xml:space="preserve">4.供应商应具备完整的冷链物流配送体系，具有完成紧急配送任务的能力；</w:t>
      </w:r>
      <w:r/>
    </w:p>
    <w:p>
      <w:pPr>
        <w:ind w:firstLine="420"/>
        <w:spacing w:line="360" w:lineRule="auto"/>
        <w:rPr>
          <w:rFonts w:ascii="宋体" w:hAnsi="宋体" w:cs="宋体"/>
          <w:szCs w:val="21"/>
        </w:rPr>
      </w:pPr>
      <w:r>
        <w:rPr>
          <w:rFonts w:hint="eastAsia" w:ascii="宋体" w:hAnsi="宋体" w:cs="宋体"/>
          <w:szCs w:val="21"/>
        </w:rPr>
        <w:t xml:space="preserve">5.供应商必须为本项目投入储存能力不少于350吨的储存冷库，</w:t>
      </w:r>
      <w:r>
        <w:rPr>
          <w:rFonts w:hint="eastAsia" w:ascii="宋体" w:hAnsi="宋体" w:cs="宋体"/>
          <w:bCs/>
          <w:szCs w:val="21"/>
        </w:rPr>
        <w:t xml:space="preserve">冷库温度可控范围在零下18度至零下25度。储存冷库地址均需位于苏州市区（不含常熟、昆山、张家港、太仓）范围内，且储存冷库须为供应商自有（产权归属于供应商）或租赁（租赁期必须涵盖本项目整个服务期限）。</w:t>
      </w:r>
      <w:r>
        <w:rPr>
          <w:rFonts w:hint="eastAsia" w:ascii="宋体" w:hAnsi="宋体" w:cs="宋体"/>
          <w:szCs w:val="21"/>
        </w:rPr>
        <w:t xml:space="preserve">未经采购人同意，供应商不得随意变更拟投入本项目的储存冷库。</w:t>
      </w:r>
      <w:r/>
    </w:p>
    <w:p>
      <w:pPr>
        <w:ind w:firstLine="420"/>
        <w:spacing w:line="360" w:lineRule="auto"/>
        <w:rPr>
          <w:rFonts w:ascii="宋体" w:hAnsi="宋体" w:cs="宋体"/>
          <w:szCs w:val="21"/>
        </w:rPr>
      </w:pPr>
      <w:r>
        <w:rPr>
          <w:rFonts w:hint="eastAsia" w:ascii="宋体" w:hAnsi="宋体" w:cs="宋体"/>
          <w:szCs w:val="21"/>
        </w:rPr>
        <w:t xml:space="preserve">6.储存冷库应配备视频监控系统，视频监控系统基准要求：冻猪肉存放区域须安装必要的无死角视频监控设备，视频监控系统硬件存储期不低于1个月。供应商应确保视频监控系统设备处于正常运行状态。</w:t>
      </w:r>
      <w:r/>
    </w:p>
    <w:p>
      <w:pPr>
        <w:ind w:firstLine="420"/>
        <w:spacing w:line="360" w:lineRule="auto"/>
        <w:rPr>
          <w:rFonts w:ascii="宋体" w:hAnsi="宋体" w:cs="宋体"/>
          <w:szCs w:val="21"/>
        </w:rPr>
      </w:pPr>
      <w:r>
        <w:rPr>
          <w:rFonts w:hint="eastAsia" w:ascii="宋体" w:hAnsi="宋体" w:cs="宋体"/>
          <w:szCs w:val="21"/>
        </w:rPr>
        <w:t xml:space="preserve">（三）质量及安全要求</w:t>
      </w:r>
      <w:r/>
    </w:p>
    <w:p>
      <w:pPr>
        <w:ind w:firstLine="420"/>
        <w:spacing w:line="360" w:lineRule="auto"/>
        <w:rPr>
          <w:rFonts w:ascii="宋体" w:hAnsi="宋体" w:cs="宋体"/>
          <w:szCs w:val="21"/>
        </w:rPr>
      </w:pPr>
      <w:r>
        <w:rPr>
          <w:rFonts w:hint="eastAsia" w:ascii="宋体" w:hAnsi="宋体" w:cs="宋体"/>
          <w:szCs w:val="21"/>
        </w:rPr>
        <w:t xml:space="preserve">1.在项目服务期限内，供应商必须保证承储的冻猪肉储备数量真实，质量达标。</w:t>
      </w:r>
      <w:r/>
    </w:p>
    <w:p>
      <w:pPr>
        <w:ind w:firstLine="420"/>
        <w:spacing w:line="360" w:lineRule="auto"/>
        <w:rPr>
          <w:rFonts w:ascii="宋体" w:hAnsi="宋体" w:cs="宋体"/>
          <w:szCs w:val="21"/>
        </w:rPr>
      </w:pPr>
      <w:r>
        <w:rPr>
          <w:rFonts w:hint="eastAsia" w:ascii="宋体" w:hAnsi="宋体" w:cs="宋体"/>
          <w:szCs w:val="21"/>
        </w:rPr>
        <w:t xml:space="preserve">2.产品质量应符合《鲜、冻猪肉及猪副产品第1部分：片猪肉》（GB/T9959.1-2019）、《分割鲜、冻猪瘦肉》（GB/T9959.2-2008）、《鲜、冻猪肉及猪副产品第3部分：分部位分割猪肉》（GB/T9959.3-2019）的相关要求。进口产品需通过合法渠道采购，符合海关检验检疫和进口冷链</w:t>
      </w:r>
      <w:r>
        <w:rPr>
          <w:rFonts w:hint="eastAsia" w:ascii="宋体" w:hAnsi="宋体" w:cs="宋体"/>
          <w:szCs w:val="21"/>
        </w:rPr>
        <w:t xml:space="preserve">食品要求，并报苏州市姑苏区发展和改革局备案，确保储备肉质量与安全。采购人将对储备执行情况进行定期或不定期检查，供应商必须给予配合，并向采购人提供冻猪肉储备商品台账及有关各项制度、记录等资料。</w:t>
      </w:r>
      <w:r/>
    </w:p>
    <w:p>
      <w:pPr>
        <w:ind w:firstLine="420"/>
        <w:spacing w:line="360" w:lineRule="auto"/>
        <w:rPr>
          <w:rFonts w:ascii="宋体" w:hAnsi="宋体" w:cs="宋体"/>
          <w:szCs w:val="21"/>
        </w:rPr>
      </w:pPr>
      <w:r>
        <w:rPr>
          <w:rFonts w:hint="eastAsia" w:ascii="宋体" w:hAnsi="宋体" w:cs="宋体"/>
          <w:szCs w:val="21"/>
        </w:rPr>
        <w:t xml:space="preserve">3.收储品种为进口冻猪肉的，剩余保质期必须1年以上；收储品种为国产冻猪肉的，剩余保质期必须在半年以上。</w:t>
      </w:r>
      <w:r/>
    </w:p>
    <w:p>
      <w:pPr>
        <w:ind w:firstLine="420"/>
        <w:spacing w:line="360" w:lineRule="auto"/>
        <w:rPr>
          <w:rFonts w:ascii="宋体" w:hAnsi="宋体" w:cs="宋体"/>
          <w:szCs w:val="21"/>
        </w:rPr>
      </w:pPr>
      <w:r>
        <w:rPr>
          <w:rFonts w:hint="eastAsia" w:ascii="宋体" w:hAnsi="宋体" w:cs="宋体"/>
          <w:szCs w:val="21"/>
        </w:rPr>
        <w:t xml:space="preserve">4.在本项目服务期限内，如存在检验结果判定为不合格的，采购人有权责成供应商负责更换对应冻猪肉，否则采购人有权对供应商进行相应处罚直至解除合同；如存在检验结果判定为不合格达2次的，采购人有权无条件终止合同，并追究供应商法律责任。供应商对检验结果有异议的，应当在收到不合格结论之日起7个工作日内向采购人反馈。如需复检的，由供应商向组织实施的监督抽检部门提出书面申请及相关证明材料，检测费用由供应商自行承担。</w:t>
      </w:r>
      <w:r/>
    </w:p>
    <w:p>
      <w:pPr>
        <w:ind w:firstLine="420"/>
        <w:spacing w:line="360" w:lineRule="auto"/>
        <w:rPr>
          <w:rFonts w:ascii="宋体" w:hAnsi="宋体" w:cs="宋体"/>
          <w:szCs w:val="21"/>
        </w:rPr>
      </w:pPr>
      <w:r>
        <w:rPr>
          <w:rFonts w:hint="eastAsia" w:ascii="宋体" w:hAnsi="宋体" w:cs="宋体"/>
          <w:szCs w:val="21"/>
        </w:rPr>
        <w:t xml:space="preserve">5.在库管理：采购人将按照《江苏省省级猪肉储备管理办法》有关规定，对供应商实施监督管理。供应商应当按照采购人要求建立起储备冻猪肉内部管理制度。承储冷库门口、承储区域和货架要有明显标识。储备冻猪肉要实行专仓（专垛）储存，货架分列、码放整齐。专人专帐详细记录储备冻猪肉的品种、数量、入库时间。如供应商管理不到位，采购人有权追究供应商的违约责任。</w:t>
      </w:r>
      <w:r/>
    </w:p>
    <w:p>
      <w:pPr>
        <w:ind w:firstLine="420"/>
        <w:spacing w:line="360" w:lineRule="auto"/>
        <w:rPr>
          <w:rFonts w:ascii="宋体" w:hAnsi="宋体" w:cs="宋体"/>
          <w:szCs w:val="21"/>
        </w:rPr>
      </w:pPr>
      <w:r>
        <w:rPr>
          <w:rFonts w:hint="eastAsia" w:ascii="宋体" w:hAnsi="宋体" w:cs="宋体"/>
          <w:szCs w:val="21"/>
        </w:rPr>
        <w:t xml:space="preserve">6.在本项目服务期限内，如因供应商所提供的产品或服务造成食品安全事故的，采购人有权追究供应商的违约责任，并要求供应商赔偿损失。</w:t>
      </w:r>
      <w:r/>
    </w:p>
    <w:p>
      <w:pPr>
        <w:ind w:firstLine="420"/>
        <w:spacing w:line="360" w:lineRule="auto"/>
        <w:rPr>
          <w:rFonts w:ascii="宋体" w:hAnsi="宋体" w:cs="宋体"/>
          <w:szCs w:val="21"/>
        </w:rPr>
      </w:pPr>
      <w:r>
        <w:rPr>
          <w:rFonts w:hint="eastAsia" w:ascii="宋体" w:hAnsi="宋体" w:cs="宋体"/>
          <w:szCs w:val="21"/>
        </w:rPr>
        <w:t xml:space="preserve">7.供应商应当按照采购人要求建立起储备冻猪肉信息报送制度，在每月度后的10个工作日内填好统计报表，及时报送苏州市姑苏区发展和改革局，报表须做到及时、真实、规范。如不及时按规定报送相关信息，采购人有权追究供应商的违约责任。如因供应商管理不善原因，造成储备冻猪肉损失的，由供应商自行承担责任。</w:t>
      </w:r>
      <w:r/>
    </w:p>
    <w:p>
      <w:pPr>
        <w:ind w:firstLine="420"/>
        <w:spacing w:line="360" w:lineRule="auto"/>
        <w:rPr>
          <w:rFonts w:ascii="宋体" w:hAnsi="宋体" w:cs="宋体"/>
          <w:szCs w:val="21"/>
        </w:rPr>
      </w:pPr>
      <w:r>
        <w:rPr>
          <w:rFonts w:hint="eastAsia" w:ascii="宋体" w:hAnsi="宋体" w:cs="宋体"/>
          <w:szCs w:val="21"/>
        </w:rPr>
        <w:t xml:space="preserve">8.在本项目服务期限内，在未经许可的情况下，供应商没有按照本项目规定的质量、数量、时间完成储备任务的，采购人有权终止本项目合同。</w:t>
      </w:r>
      <w:r/>
    </w:p>
    <w:p>
      <w:pPr>
        <w:ind w:firstLine="420"/>
        <w:spacing w:line="360" w:lineRule="auto"/>
        <w:rPr>
          <w:rFonts w:ascii="宋体" w:hAnsi="宋体" w:cs="宋体"/>
          <w:szCs w:val="21"/>
        </w:rPr>
      </w:pPr>
      <w:r>
        <w:rPr>
          <w:rFonts w:hint="eastAsia" w:ascii="宋体" w:hAnsi="宋体" w:cs="宋体"/>
          <w:szCs w:val="21"/>
        </w:rPr>
        <w:t xml:space="preserve">（四）冻猪肉出入库及动用要求：</w:t>
      </w:r>
      <w:r/>
    </w:p>
    <w:p>
      <w:pPr>
        <w:ind w:firstLine="420"/>
        <w:spacing w:line="360" w:lineRule="auto"/>
        <w:rPr>
          <w:rFonts w:ascii="宋体" w:hAnsi="宋体" w:cs="宋体"/>
          <w:szCs w:val="21"/>
        </w:rPr>
      </w:pPr>
      <w:r>
        <w:rPr>
          <w:rFonts w:hint="eastAsia" w:ascii="宋体" w:hAnsi="宋体" w:cs="宋体"/>
          <w:szCs w:val="21"/>
        </w:rPr>
        <w:t xml:space="preserve">1.如供应商获得成交，应在本合同签定之日起30天内，按采购人要求完成所有冻猪肉的入库工作，并填制《冻猪肉储备入库单》，按要求报送采购人。</w:t>
      </w:r>
      <w:r/>
    </w:p>
    <w:p>
      <w:pPr>
        <w:ind w:firstLine="420"/>
        <w:spacing w:line="360" w:lineRule="auto"/>
        <w:rPr>
          <w:rFonts w:ascii="宋体" w:hAnsi="宋体" w:cs="宋体"/>
          <w:szCs w:val="21"/>
        </w:rPr>
      </w:pPr>
      <w:r>
        <w:rPr>
          <w:rFonts w:hint="eastAsia" w:ascii="宋体" w:hAnsi="宋体" w:cs="宋体"/>
          <w:szCs w:val="21"/>
        </w:rPr>
        <w:t xml:space="preserve">2.合同签订且首次入库完成后，成交供应商须向采购人提供企业财务报表（入库完成后出具的）及对应的入库清单，用以佐证入库冻猪肉产权归属及储备量。如采购人发现成交供应商存在伪造登记、数量不符等虚假情况，有权无条件终止本项目合同，并追究成交供应商法律责任。</w:t>
      </w:r>
      <w:r/>
    </w:p>
    <w:p>
      <w:pPr>
        <w:ind w:firstLine="420"/>
        <w:spacing w:line="360" w:lineRule="auto"/>
        <w:rPr>
          <w:rFonts w:ascii="宋体" w:hAnsi="宋体" w:cs="宋体"/>
          <w:szCs w:val="21"/>
        </w:rPr>
      </w:pPr>
      <w:r>
        <w:rPr>
          <w:rFonts w:hint="eastAsia" w:ascii="宋体" w:hAnsi="宋体" w:cs="宋体"/>
          <w:szCs w:val="21"/>
        </w:rPr>
        <w:t xml:space="preserve">3.供应商应确保储备冻猪肉的数量、质量和种类均达到采购人要求的响应标准。出现应急情况需要动用时，供应商应无条件按采购人下达的时间、品种、数量、流向组织调运，价格随行就市。</w:t>
      </w:r>
      <w:r/>
    </w:p>
    <w:p>
      <w:pPr>
        <w:ind w:firstLine="420"/>
        <w:spacing w:line="360" w:lineRule="auto"/>
        <w:rPr>
          <w:rFonts w:ascii="宋体" w:hAnsi="宋体" w:cs="宋体"/>
          <w:szCs w:val="21"/>
        </w:rPr>
      </w:pPr>
      <w:r>
        <w:rPr>
          <w:rFonts w:hint="eastAsia" w:ascii="宋体" w:hAnsi="宋体" w:cs="宋体"/>
          <w:szCs w:val="21"/>
        </w:rPr>
        <w:t xml:space="preserve">4.供应商在满足储备任务要求的前提下，可以根据储备肉保质期等情况自行轮换出库。冻猪肉储备每年3个轮次的更新，最长不超过六个月的期限轮换更新一次。供应商在满足储备计划要求的前提下，可以按正常更新轮换要求自行出售储备冻肉，自负盈亏。更新轮换过程中，允许实际冻肉储备库存数量和冷鲜肉储备数量有所波动，但不得低于承储规模的80%。</w:t>
      </w:r>
      <w:r/>
    </w:p>
    <w:p>
      <w:pPr>
        <w:ind w:firstLine="420"/>
        <w:spacing w:line="360" w:lineRule="auto"/>
        <w:rPr>
          <w:rFonts w:ascii="宋体" w:hAnsi="宋体" w:cs="宋体"/>
          <w:szCs w:val="21"/>
        </w:rPr>
      </w:pPr>
      <w:r>
        <w:rPr>
          <w:rFonts w:hint="eastAsia" w:ascii="宋体" w:hAnsi="宋体" w:cs="宋体"/>
          <w:szCs w:val="21"/>
        </w:rPr>
        <w:t xml:space="preserve">5.供应商应对储备的冻猪肉实行挂牌专人管理，未经采购人同意，供应商不得擅自动用储备的冻猪肉。供应商不得以储备冻猪肉对外进行质押、担保或者清偿债务。</w:t>
      </w:r>
      <w:r/>
    </w:p>
    <w:p>
      <w:pPr>
        <w:ind w:firstLine="420"/>
        <w:spacing w:line="360" w:lineRule="auto"/>
        <w:rPr>
          <w:rFonts w:ascii="宋体" w:hAnsi="宋体" w:cs="宋体"/>
          <w:szCs w:val="21"/>
        </w:rPr>
      </w:pPr>
      <w:r>
        <w:rPr>
          <w:rFonts w:hint="eastAsia" w:ascii="宋体" w:hAnsi="宋体" w:cs="宋体"/>
          <w:szCs w:val="21"/>
        </w:rPr>
        <w:t xml:space="preserve">（五）其他要求：</w:t>
      </w:r>
      <w:r/>
    </w:p>
    <w:p>
      <w:pPr>
        <w:ind w:firstLine="420"/>
        <w:spacing w:line="360" w:lineRule="auto"/>
        <w:rPr>
          <w:rFonts w:ascii="宋体" w:hAnsi="宋体" w:cs="宋体"/>
          <w:szCs w:val="21"/>
        </w:rPr>
      </w:pPr>
      <w:r>
        <w:rPr>
          <w:rFonts w:hint="eastAsia" w:ascii="宋体" w:hAnsi="宋体" w:cs="宋体"/>
          <w:szCs w:val="21"/>
        </w:rPr>
        <w:t xml:space="preserve">1.冻肉收储品种为猪分割肉及包装类肉品，品目为猪身中段、前后段或者大排、肋排、四号肉、蹄膀等。其中，猪副产品储备数量不得超过本项目冻猪肉储备总数量的10%。</w:t>
      </w:r>
      <w:r/>
    </w:p>
    <w:p>
      <w:pPr>
        <w:ind w:firstLine="420"/>
        <w:spacing w:line="360" w:lineRule="auto"/>
        <w:rPr>
          <w:rFonts w:ascii="宋体" w:hAnsi="宋体" w:cs="宋体"/>
          <w:szCs w:val="21"/>
        </w:rPr>
      </w:pPr>
      <w:r>
        <w:rPr>
          <w:rFonts w:hint="eastAsia" w:ascii="宋体" w:hAnsi="宋体" w:cs="宋体"/>
          <w:szCs w:val="21"/>
        </w:rPr>
        <w:t xml:space="preserve">2.供应商所提供的猪肉须具有国家动物卫生检疫监督管理机构出具的法定证、章标志，实施储备的相关工作人员须具有健康证。</w:t>
      </w:r>
      <w:r/>
    </w:p>
    <w:p>
      <w:pPr>
        <w:ind w:firstLine="420"/>
        <w:spacing w:line="360" w:lineRule="auto"/>
        <w:rPr>
          <w:rFonts w:ascii="宋体" w:hAnsi="宋体" w:cs="宋体"/>
          <w:szCs w:val="21"/>
        </w:rPr>
      </w:pPr>
      <w:r>
        <w:rPr>
          <w:rFonts w:hint="eastAsia" w:ascii="宋体" w:hAnsi="宋体" w:cs="宋体"/>
          <w:szCs w:val="21"/>
        </w:rPr>
        <w:t xml:space="preserve">3.在遭遇疫情及其他自然灾害时，供应商应积极采取应对措施，所造成的损失由供应商自行承担。</w:t>
      </w:r>
      <w:r/>
    </w:p>
    <w:p>
      <w:pPr>
        <w:ind w:firstLine="420"/>
        <w:spacing w:line="360" w:lineRule="auto"/>
        <w:rPr>
          <w:rFonts w:ascii="宋体" w:hAnsi="宋体" w:cs="宋体"/>
          <w:szCs w:val="21"/>
        </w:rPr>
      </w:pPr>
      <w:r>
        <w:rPr>
          <w:rFonts w:hint="eastAsia" w:ascii="宋体" w:hAnsi="宋体" w:cs="宋体"/>
          <w:szCs w:val="21"/>
        </w:rPr>
        <w:t xml:space="preserve">4.供应商应为本项目明确1名项目负责人，积极配合采购人完成项目各项相关工作，供应商不得随意更换项目负责人，如需更换须提前5个工作日通知采购人，并征得采购人同意。</w:t>
      </w:r>
      <w:r/>
    </w:p>
    <w:p>
      <w:pPr>
        <w:ind w:firstLine="420"/>
        <w:spacing w:line="360" w:lineRule="auto"/>
        <w:rPr>
          <w:rFonts w:ascii="宋体" w:hAnsi="宋体" w:cs="宋体"/>
          <w:szCs w:val="21"/>
        </w:rPr>
      </w:pPr>
      <w:r>
        <w:rPr>
          <w:rFonts w:hint="eastAsia" w:ascii="宋体" w:hAnsi="宋体" w:cs="宋体"/>
          <w:szCs w:val="21"/>
        </w:rPr>
        <w:t xml:space="preserve">5.在服务期限内，如采购人发现成交供应商提供冻猪肉的储备量未达到磋商文件规定及响应承诺提供的，第一次发现，采购人将扣除成交供应商本合同总价10%的服务费用，并要求成交供应商限时整改到位，如成交供应商没有限时整改到位的，采购人有权解除本合同。如第二次发现的，成交供应商应向采购人支付本合同总价10%的违约金，同时采购人有权直接解除本合同。</w:t>
      </w:r>
      <w:r/>
    </w:p>
    <w:p>
      <w:pPr>
        <w:ind w:firstLine="420"/>
        <w:spacing w:line="360" w:lineRule="auto"/>
        <w:rPr>
          <w:rFonts w:ascii="宋体" w:hAnsi="宋体" w:cs="宋体"/>
          <w:szCs w:val="21"/>
        </w:rPr>
      </w:pPr>
      <w:r>
        <w:rPr>
          <w:rFonts w:hint="eastAsia" w:ascii="宋体" w:hAnsi="宋体" w:cs="宋体"/>
          <w:szCs w:val="21"/>
        </w:rPr>
        <w:t xml:space="preserve">6.如因供应商原因导致采购人终止或解除合同的，采购人有权另行选择具有相应能力的其他供应商承担本项目。</w:t>
      </w:r>
      <w:r/>
    </w:p>
    <w:p>
      <w:pPr>
        <w:spacing w:line="360" w:lineRule="auto"/>
        <w:rPr>
          <w:rFonts w:ascii="宋体" w:hAnsi="宋体" w:cs="宋体"/>
          <w:b/>
          <w:bCs/>
          <w:szCs w:val="21"/>
          <w:lang w:val="zh-CN"/>
        </w:rPr>
      </w:pPr>
      <w:r>
        <w:rPr>
          <w:rFonts w:hint="eastAsia" w:ascii="宋体" w:hAnsi="宋体" w:cs="宋体"/>
          <w:b/>
          <w:bCs/>
          <w:szCs w:val="21"/>
        </w:rPr>
        <w:t xml:space="preserve">五、</w:t>
      </w:r>
      <w:r>
        <w:rPr>
          <w:rFonts w:hint="eastAsia" w:ascii="宋体" w:hAnsi="宋体" w:cs="宋体"/>
          <w:b/>
          <w:bCs/>
          <w:szCs w:val="21"/>
          <w:lang w:val="zh-CN"/>
        </w:rPr>
        <w:t xml:space="preserve">其他</w:t>
      </w:r>
      <w:r>
        <w:rPr>
          <w:rFonts w:hint="eastAsia" w:ascii="宋体" w:hAnsi="宋体" w:cs="宋体"/>
          <w:b/>
          <w:bCs/>
          <w:szCs w:val="21"/>
        </w:rPr>
        <w:t xml:space="preserve">说明</w:t>
      </w:r>
      <w:r>
        <w:rPr>
          <w:rFonts w:hint="eastAsia" w:ascii="宋体" w:hAnsi="宋体" w:cs="宋体"/>
          <w:b/>
          <w:bCs/>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1.成交单位必须高度重视安全生产。保管期间，由于管理不善或作业工人操作不规范等因素造成的安全事故，均由成交单位承担一切责任和损失。</w:t>
      </w:r>
      <w:r/>
    </w:p>
    <w:p>
      <w:pPr>
        <w:ind w:firstLine="420"/>
        <w:spacing w:line="360" w:lineRule="auto"/>
        <w:rPr>
          <w:rFonts w:ascii="宋体" w:hAnsi="宋体" w:cs="宋体"/>
          <w:szCs w:val="21"/>
        </w:rPr>
      </w:pPr>
      <w:r>
        <w:rPr>
          <w:rFonts w:hint="eastAsia" w:ascii="宋体" w:hAnsi="宋体" w:cs="宋体"/>
          <w:szCs w:val="21"/>
        </w:rPr>
        <w:t xml:space="preserve">2.成交单位必须自觉接受采购单位的定期（每季度不少于1次）或不定期检查和考核。采购方会不定期抽查成交单位的储备情况，如成交单位未达到合同储备标准，采购人有权责成成交单位整改到位，酌情从冻猪肉储备费用中扣除缺少数量的冻猪肉储备费。</w:t>
      </w:r>
      <w:r/>
    </w:p>
    <w:p>
      <w:pPr>
        <w:ind w:firstLine="420"/>
        <w:spacing w:line="360" w:lineRule="auto"/>
        <w:rPr>
          <w:rFonts w:ascii="宋体" w:hAnsi="宋体" w:cs="宋体"/>
          <w:szCs w:val="21"/>
        </w:rPr>
      </w:pPr>
      <w:r>
        <w:rPr>
          <w:rFonts w:hint="eastAsia" w:ascii="宋体" w:hAnsi="宋体" w:cs="宋体"/>
          <w:szCs w:val="21"/>
        </w:rPr>
        <w:t xml:space="preserve">3.成交单位有新增合同，应报告苏州市姑苏区发展和改革委员会，根据成交单位冷库总储备能力判断是否影响合同执行；如成交单位提供措施方案执行有效，不破坏猪肉储备量，则继续履行合同；如成交单位提供的措施方案无法执行或者执行影响合同的储备能力，采购人则有权终止合同，并要求成交单位赔偿一切损失。</w:t>
      </w:r>
      <w:r/>
    </w:p>
    <w:p>
      <w:pPr>
        <w:ind w:firstLine="420"/>
        <w:spacing w:line="360" w:lineRule="auto"/>
        <w:rPr>
          <w:rFonts w:ascii="宋体" w:hAnsi="宋体" w:cs="宋体"/>
          <w:szCs w:val="21"/>
        </w:rPr>
      </w:pPr>
      <w:r>
        <w:rPr>
          <w:rFonts w:hint="eastAsia" w:ascii="宋体" w:hAnsi="宋体" w:cs="宋体"/>
          <w:szCs w:val="21"/>
        </w:rPr>
        <w:t xml:space="preserve">4.成交单位必须按照《劳动法》最低工资调整及苏州市的有关规定配置工作人员按月支付工资、节假日加班费，交纳社会保险，并根据工作性质购置保险等相关劳动保障措施。</w:t>
      </w:r>
      <w:r/>
    </w:p>
    <w:p>
      <w:pPr>
        <w:ind w:firstLine="420"/>
        <w:spacing w:line="360" w:lineRule="auto"/>
        <w:rPr>
          <w:rFonts w:ascii="宋体" w:hAnsi="宋体" w:cs="宋体"/>
          <w:szCs w:val="21"/>
        </w:rPr>
      </w:pPr>
      <w:r>
        <w:rPr>
          <w:rFonts w:hint="eastAsia" w:ascii="宋体" w:hAnsi="宋体" w:cs="宋体"/>
          <w:szCs w:val="21"/>
        </w:rPr>
        <w:t xml:space="preserve">5.采购单位与成交单位服务人员不发生雇佣关系，成交单位和用工人员应遵守采购单位的相关规章制度及安全操作规章制度，若发生人身伤害等工伤事故，由成交供应商自负，与采购单位无涉。</w:t>
      </w:r>
      <w:r/>
    </w:p>
    <w:p>
      <w:pPr>
        <w:ind w:firstLine="420"/>
        <w:spacing w:line="360" w:lineRule="auto"/>
        <w:rPr>
          <w:rFonts w:ascii="宋体" w:hAnsi="宋体" w:cs="宋体"/>
          <w:szCs w:val="21"/>
        </w:rPr>
      </w:pPr>
      <w:r>
        <w:rPr>
          <w:rFonts w:hint="eastAsia" w:ascii="宋体" w:hAnsi="宋体" w:cs="宋体"/>
          <w:szCs w:val="21"/>
        </w:rPr>
        <w:t xml:space="preserve">6.成交单位服务人员的薪金、福利、休假日补贴、医疗费用及其他各种商业保险等均由成交单位负责，与采购方无关。</w:t>
      </w:r>
      <w:r/>
    </w:p>
    <w:p>
      <w:pPr>
        <w:spacing w:line="360" w:lineRule="auto"/>
        <w:rPr>
          <w:rFonts w:ascii="宋体" w:hAnsi="宋体" w:cs="宋体"/>
          <w:szCs w:val="21"/>
        </w:rPr>
        <w:outlineLvl w:val="1"/>
      </w:pPr>
      <w:r>
        <w:rPr>
          <w:rFonts w:hint="eastAsia" w:ascii="宋体" w:hAnsi="宋体" w:cs="宋体"/>
          <w:b/>
          <w:szCs w:val="21"/>
        </w:rPr>
        <w:t xml:space="preserve">六、响应文件的组成及要求</w:t>
      </w:r>
      <w:r/>
    </w:p>
    <w:p>
      <w:pPr>
        <w:ind w:firstLine="420"/>
        <w:jc w:val="left"/>
        <w:spacing w:line="360" w:lineRule="auto"/>
        <w:widowControl/>
        <w:rPr>
          <w:rFonts w:ascii="宋体" w:hAnsi="宋体" w:cs="宋体"/>
          <w:szCs w:val="21"/>
        </w:rPr>
      </w:pPr>
      <w:r>
        <w:rPr>
          <w:rFonts w:hint="eastAsia" w:ascii="宋体" w:hAnsi="宋体" w:cs="宋体"/>
          <w:szCs w:val="21"/>
        </w:rPr>
        <w:t xml:space="preserve">（一）文件组成（部分格式见附件）</w:t>
      </w:r>
      <w:r/>
    </w:p>
    <w:p>
      <w:pPr>
        <w:pStyle w:val="76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1、封面</w:t>
      </w:r>
      <w:r/>
    </w:p>
    <w:p>
      <w:pPr>
        <w:pStyle w:val="76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2、开标一览表</w:t>
      </w:r>
      <w:r/>
    </w:p>
    <w:p>
      <w:pPr>
        <w:pStyle w:val="768"/>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3、磋商报价分析表；</w:t>
      </w:r>
      <w:r/>
    </w:p>
    <w:p>
      <w:pPr>
        <w:pStyle w:val="76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4、资格审查响应文件</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4.1满足《中华人民共和国政府采购法》第二十二条规定：</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4.1.1具有独立承担民事责任的能力。提供包括法人或者其他组织的营业执照等证明文件，自然人的身份证明；</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4.1.2具有良好的商业信誉和健全的财务会计制度。提供包括但不限于最近一期（2024年度或2025年度）财务审计报告或最近一期（2025年10月至今任意一期）财务报表，其他组织、自然人及成立未满一年的法人应提供银行出具的资信证明；</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4.1.3具有履行合同所必需的设备和专业技术能力。提供证明材料或承诺；</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4.1.4有依法缴纳税收和社会保障资金的良好记录。提供提交响应文件截止时间前半年内至少一个月依法缴纳税收及缴纳社会保障资金的证明材料，如相关主管部门证明或银行代扣证明。响应单位如依法享受缓缴、免缴税收、社会保障资金的应提供相关主管部门出具的证明材料；</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4.1.5参加政府采购活动前三年内，在经营活动中没有重大违法记录。提供书面声明函；</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4.1.6</w:t>
      </w:r>
      <w:r>
        <w:rPr>
          <w:rFonts w:hint="eastAsia" w:ascii="宋体" w:hAnsi="宋体" w:cs="宋体"/>
          <w:szCs w:val="21"/>
        </w:rPr>
        <w:t xml:space="preserve">法律、行政法规规定的其他条件</w:t>
      </w:r>
      <w:r>
        <w:rPr>
          <w:rFonts w:hint="eastAsia" w:ascii="宋体" w:hAnsi="宋体" w:cs="宋体"/>
          <w:bCs/>
          <w:szCs w:val="21"/>
        </w:rPr>
        <w:t xml:space="preserve">。提供书面声明函</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bCs/>
          <w:szCs w:val="21"/>
        </w:rPr>
        <w:t xml:space="preserve">4.2响应单位具有有效期内的食品经营许可证</w:t>
      </w:r>
      <w:r>
        <w:rPr>
          <w:rFonts w:hint="eastAsia" w:ascii="宋体" w:hAnsi="宋体" w:cs="宋体"/>
          <w:szCs w:val="21"/>
        </w:rPr>
        <w:t xml:space="preserve">，提供证明文件。</w:t>
      </w:r>
      <w:r/>
    </w:p>
    <w:p>
      <w:pPr>
        <w:ind w:firstLine="420"/>
        <w:jc w:val="left"/>
        <w:spacing w:line="360" w:lineRule="auto"/>
        <w:widowControl/>
        <w:rPr>
          <w:rFonts w:ascii="宋体" w:hAnsi="宋体" w:cs="宋体"/>
          <w:bCs/>
          <w:szCs w:val="21"/>
        </w:rPr>
      </w:pPr>
      <w:r>
        <w:rPr>
          <w:rFonts w:hint="eastAsia" w:ascii="宋体" w:hAnsi="宋体" w:cs="宋体"/>
          <w:szCs w:val="21"/>
        </w:rPr>
        <w:t xml:space="preserve">4.3提供《中小企业声明函》或《残疾人福利性单位声明函》或省级以上监狱管理局、戒毒管理局（含新疆生产建设兵团）出具的属于监狱企业的证明文件（如为小微企业或残疾人福利性单位或监狱企业提供）。</w:t>
      </w:r>
      <w:r/>
    </w:p>
    <w:p>
      <w:pPr>
        <w:pStyle w:val="76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5、符合性审查响应文件</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5.1磋商响应函；</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5.2服务偏离表；</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5.3商务条款偏离表；</w:t>
      </w:r>
      <w:r/>
    </w:p>
    <w:p>
      <w:pPr>
        <w:pStyle w:val="768"/>
        <w:spacing w:line="360" w:lineRule="auto"/>
        <w:rPr>
          <w:rFonts w:ascii="宋体" w:hAnsi="宋体" w:eastAsia="宋体" w:cs="宋体"/>
          <w:bCs/>
          <w:sz w:val="21"/>
          <w:szCs w:val="21"/>
        </w:rPr>
      </w:pPr>
      <w:r>
        <w:rPr>
          <w:rFonts w:hint="eastAsia" w:ascii="宋体" w:hAnsi="宋体" w:eastAsia="宋体" w:cs="宋体"/>
          <w:sz w:val="21"/>
          <w:szCs w:val="21"/>
        </w:rPr>
        <w:t xml:space="preserve">5.4</w:t>
      </w:r>
      <w:r>
        <w:rPr>
          <w:rFonts w:hint="eastAsia" w:ascii="宋体" w:hAnsi="宋体" w:eastAsia="宋体" w:cs="宋体"/>
          <w:bCs/>
          <w:sz w:val="21"/>
          <w:szCs w:val="21"/>
        </w:rPr>
        <w:t xml:space="preserve">关于资格文件的声明函；</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5.5磋商响应单位法定代表人身份证复印件；法定代表人授权委托书和授权代理人身份证复印件（如有授权）；</w:t>
      </w:r>
      <w:r/>
    </w:p>
    <w:p>
      <w:pPr>
        <w:pStyle w:val="768"/>
        <w:spacing w:line="360" w:lineRule="auto"/>
        <w:rPr>
          <w:rFonts w:ascii="宋体" w:hAnsi="宋体" w:eastAsia="宋体" w:cs="宋体"/>
          <w:sz w:val="21"/>
          <w:szCs w:val="21"/>
        </w:rPr>
      </w:pPr>
      <w:r>
        <w:rPr>
          <w:rFonts w:hint="eastAsia" w:ascii="宋体" w:hAnsi="宋体" w:eastAsia="宋体" w:cs="宋体"/>
          <w:bCs/>
          <w:sz w:val="21"/>
          <w:szCs w:val="21"/>
        </w:rPr>
        <w:t xml:space="preserve">5.6</w:t>
      </w:r>
      <w:r>
        <w:rPr>
          <w:rFonts w:hint="eastAsia" w:ascii="宋体" w:hAnsi="宋体" w:eastAsia="宋体" w:cs="宋体"/>
          <w:sz w:val="21"/>
          <w:szCs w:val="21"/>
        </w:rPr>
        <w:t xml:space="preserve">投标（响应）保证承诺书；</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5.7</w:t>
      </w:r>
      <w:r>
        <w:rPr>
          <w:rFonts w:hint="eastAsia" w:ascii="宋体" w:hAnsi="宋体" w:eastAsia="宋体" w:cs="宋体"/>
          <w:bCs/>
          <w:sz w:val="21"/>
          <w:szCs w:val="21"/>
        </w:rPr>
        <w:t xml:space="preserve">磋商响应单位基本情况表；</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5.8其他有关符合性证明的文件；</w:t>
      </w:r>
      <w:r/>
    </w:p>
    <w:p>
      <w:pPr>
        <w:pStyle w:val="76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6、综合评审响应文件（具体模块以系统生成为准）</w:t>
      </w:r>
      <w:r/>
    </w:p>
    <w:p>
      <w:pPr>
        <w:pStyle w:val="768"/>
        <w:spacing w:line="360" w:lineRule="auto"/>
        <w:rPr>
          <w:rFonts w:ascii="宋体" w:hAnsi="宋体" w:eastAsia="宋体" w:cs="宋体"/>
          <w:sz w:val="21"/>
          <w:szCs w:val="21"/>
          <w:lang w:val="zh-CN"/>
        </w:rPr>
      </w:pPr>
      <w:r>
        <w:rPr>
          <w:rFonts w:hint="eastAsia" w:ascii="宋体" w:hAnsi="宋体" w:eastAsia="宋体" w:cs="宋体"/>
          <w:sz w:val="21"/>
          <w:szCs w:val="21"/>
        </w:rPr>
        <w:t xml:space="preserve">6</w:t>
      </w:r>
      <w:r>
        <w:rPr>
          <w:rFonts w:hint="eastAsia" w:ascii="宋体" w:hAnsi="宋体" w:eastAsia="宋体" w:cs="宋体"/>
          <w:sz w:val="21"/>
          <w:szCs w:val="21"/>
          <w:lang w:val="zh-CN"/>
        </w:rPr>
        <w:t xml:space="preserve">.1针对本项目的整体工作方案；</w:t>
      </w:r>
      <w:r/>
    </w:p>
    <w:p>
      <w:pPr>
        <w:pStyle w:val="768"/>
        <w:spacing w:line="360" w:lineRule="auto"/>
        <w:rPr>
          <w:rFonts w:ascii="宋体" w:hAnsi="宋体" w:eastAsia="宋体" w:cs="宋体"/>
          <w:sz w:val="21"/>
          <w:szCs w:val="21"/>
          <w:lang w:val="zh-CN"/>
        </w:rPr>
      </w:pPr>
      <w:r>
        <w:rPr>
          <w:rFonts w:hint="eastAsia" w:ascii="宋体" w:hAnsi="宋体" w:eastAsia="宋体" w:cs="宋体"/>
          <w:sz w:val="21"/>
          <w:szCs w:val="21"/>
        </w:rPr>
        <w:t xml:space="preserve">6</w:t>
      </w:r>
      <w:r>
        <w:rPr>
          <w:rFonts w:hint="eastAsia" w:ascii="宋体" w:hAnsi="宋体" w:eastAsia="宋体" w:cs="宋体"/>
          <w:sz w:val="21"/>
          <w:szCs w:val="21"/>
          <w:lang w:val="zh-CN"/>
        </w:rPr>
        <w:t xml:space="preserve">.2针对本项目的人员</w:t>
      </w:r>
      <w:r>
        <w:rPr>
          <w:rFonts w:hint="eastAsia" w:ascii="宋体" w:hAnsi="宋体" w:eastAsia="宋体" w:cs="宋体"/>
          <w:sz w:val="21"/>
          <w:szCs w:val="21"/>
        </w:rPr>
        <w:t xml:space="preserve">及设备设施</w:t>
      </w:r>
      <w:r>
        <w:rPr>
          <w:rFonts w:hint="eastAsia" w:ascii="宋体" w:hAnsi="宋体" w:eastAsia="宋体" w:cs="宋体"/>
          <w:sz w:val="21"/>
          <w:szCs w:val="21"/>
          <w:lang w:val="zh-CN"/>
        </w:rPr>
        <w:t xml:space="preserve">配置；</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6.3 类似项目</w:t>
      </w:r>
      <w:r>
        <w:rPr>
          <w:rFonts w:hint="eastAsia" w:ascii="宋体" w:hAnsi="宋体" w:eastAsia="宋体" w:cs="宋体"/>
          <w:sz w:val="21"/>
          <w:szCs w:val="21"/>
          <w:lang w:val="zh-CN"/>
        </w:rPr>
        <w:t xml:space="preserve">业绩一览表</w:t>
      </w:r>
      <w:r>
        <w:rPr>
          <w:rFonts w:hint="eastAsia" w:ascii="宋体" w:hAnsi="宋体" w:eastAsia="宋体" w:cs="宋体"/>
          <w:sz w:val="21"/>
          <w:szCs w:val="21"/>
        </w:rPr>
        <w:t xml:space="preserve">；</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6.4 采购需求及评分标准中所涉及到的其他材料。</w:t>
      </w:r>
      <w:r/>
    </w:p>
    <w:p>
      <w:pPr>
        <w:pStyle w:val="768"/>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7、价格折扣文件格式（如涉及）</w:t>
      </w:r>
      <w:r/>
    </w:p>
    <w:p>
      <w:pPr>
        <w:pStyle w:val="768"/>
        <w:ind w:firstLine="422"/>
        <w:spacing w:line="360" w:lineRule="auto"/>
        <w:rPr>
          <w:rFonts w:ascii="宋体" w:hAnsi="宋体" w:eastAsia="宋体" w:cs="宋体"/>
          <w:b/>
          <w:sz w:val="21"/>
          <w:szCs w:val="21"/>
        </w:rPr>
      </w:pPr>
      <w:r>
        <w:rPr>
          <w:rFonts w:hint="eastAsia" w:ascii="宋体" w:hAnsi="宋体" w:eastAsia="宋体" w:cs="宋体"/>
          <w:bCs/>
          <w:sz w:val="21"/>
          <w:szCs w:val="21"/>
        </w:rPr>
        <w:t xml:space="preserve">7.1供应商对其提供的产品出具《关于符合本国产品标准的声明函》（以下简称《声明函》）或财政部会同有关部门规定的有关证明文件。</w:t>
      </w:r>
      <w:r/>
    </w:p>
    <w:p>
      <w:pPr>
        <w:pStyle w:val="768"/>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（1）以上4.1-4.3为资格审查要求提供的材料，是作为对供应商资格审查、质疑身份认定的依据，响应供应商必须提供并加盖电子公章。否则，磋商响应文件将被认定为不符合资格审查要求。</w:t>
      </w:r>
      <w:r/>
    </w:p>
    <w:p>
      <w:pPr>
        <w:pStyle w:val="768"/>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（2）以上5.1-5.8为符合性审查须提供的资料，响应供应商必须提供并加盖电子公章。否则，磋商响应文件将被认定为未实质性响应。</w:t>
      </w:r>
      <w:r/>
    </w:p>
    <w:p>
      <w:pPr>
        <w:ind w:firstLine="422"/>
        <w:spacing w:line="360" w:lineRule="auto"/>
        <w:tabs>
          <w:tab w:val="left" w:pos="0" w:leader="none"/>
        </w:tabs>
        <w:rPr>
          <w:rFonts w:ascii="宋体" w:hAnsi="宋体" w:cs="宋体"/>
          <w:b/>
          <w:bCs/>
          <w:szCs w:val="21"/>
        </w:rPr>
      </w:pPr>
      <w:r>
        <w:rPr>
          <w:rFonts w:hint="eastAsia" w:ascii="宋体" w:hAnsi="宋体" w:cs="宋体"/>
          <w:b/>
          <w:bCs/>
          <w:szCs w:val="21"/>
        </w:rPr>
        <w:t xml:space="preserve">（3）制作电子响应文件时必须与投标文件制作软件目录一一对应，将相关资料上传至相应模块。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768"/>
        <w:spacing w:line="360" w:lineRule="auto"/>
        <w:rPr>
          <w:rFonts w:ascii="宋体" w:hAnsi="宋体" w:eastAsia="宋体" w:cs="宋体"/>
          <w:sz w:val="21"/>
          <w:szCs w:val="21"/>
        </w:rPr>
      </w:pPr>
      <w:r>
        <w:rPr>
          <w:rFonts w:hint="eastAsia" w:ascii="宋体" w:hAnsi="宋体" w:eastAsia="宋体" w:cs="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768"/>
        <w:spacing w:line="360" w:lineRule="auto"/>
        <w:rPr>
          <w:rFonts w:ascii="宋体" w:hAnsi="宋体" w:eastAsia="宋体" w:cs="宋体"/>
          <w:b/>
          <w:sz w:val="21"/>
          <w:szCs w:val="21"/>
        </w:rPr>
      </w:pPr>
      <w:r>
        <w:rPr>
          <w:rFonts w:hint="eastAsia" w:ascii="宋体" w:hAnsi="宋体" w:eastAsia="宋体" w:cs="宋体"/>
          <w:b/>
          <w:sz w:val="21"/>
          <w:szCs w:val="21"/>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22"/>
        <w:spacing w:line="360" w:lineRule="auto"/>
        <w:rPr>
          <w:rFonts w:ascii="宋体" w:hAnsi="宋体" w:cs="宋体"/>
          <w:b/>
          <w:szCs w:val="21"/>
        </w:rPr>
        <w:outlineLvl w:val="1"/>
      </w:pPr>
      <w:r>
        <w:rPr>
          <w:rFonts w:hint="eastAsia" w:ascii="宋体" w:hAnsi="宋体" w:cs="宋体"/>
          <w:b/>
          <w:szCs w:val="21"/>
        </w:rPr>
        <w:t xml:space="preserve">六、磋商程序</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1、采购代理机构按规定的时间、地点主持磋商采购活动。</w:t>
      </w:r>
      <w:r/>
    </w:p>
    <w:p>
      <w:pPr>
        <w:pStyle w:val="768"/>
        <w:spacing w:line="360" w:lineRule="auto"/>
        <w:rPr>
          <w:rFonts w:ascii="宋体" w:hAnsi="宋体" w:eastAsia="宋体" w:cs="宋体"/>
          <w:bCs/>
          <w:sz w:val="21"/>
          <w:szCs w:val="21"/>
        </w:rPr>
      </w:pPr>
      <w:r>
        <w:rPr>
          <w:rFonts w:hint="eastAsia" w:ascii="宋体" w:hAnsi="宋体" w:eastAsia="宋体" w:cs="宋体"/>
          <w:sz w:val="21"/>
          <w:szCs w:val="21"/>
        </w:rPr>
        <w:t xml:space="preserve">2、供应商通过“苏采云”系统在线参与磋商活动。供应商应当按照《苏采云系统供应商操作手册》规定在 “苏采云”系统规定的时间内对响应文件进行解密。</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3、在磋商响应文件网上递交截止时间止成功解密的磋商供应商少于三家，则本次采购失败。</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4、由磋商小组审查供应商解密的响应文件。</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5、由磋商小组对各响应单位的资格性和符合性进行审查。资格审查内容包括：</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（1）供应商是否满足《中华人民共和国政府采购法》第二十二条规定的基本条件；</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（2）信用查询，现场审查供应商是否在参加政府采购活动前三年内，在经营活动中没有重大违法记录；</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（3）专门面向中小企业的项目，应当在资格审查环节对供应商出具的《中小企业声明函》进行审查；</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（4）接受联合体投标的项目，联合体各方是否满足采购文件规定并提交相应证明文件；</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（5）供应商是否满足采购文件规定的其他特定条件；</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（6）供应商是否存在其他不得参与该政府采购项目的情形。</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资格审查责任主体应按照采购文件的要求对投标（响应）供应商提供的资格审查文件独立进行资格审查并提交资格审查结果。</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7、磋商小组要求供应商澄清、说明或者更正响应文件应当以书面形式做出。供应商的澄清、说明或者更正应当由其单位加盖电子公章。</w:t>
      </w:r>
      <w:r/>
    </w:p>
    <w:p>
      <w:pPr>
        <w:pStyle w:val="808"/>
        <w:ind w:firstLine="42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8、对于通过资格审查和符合性审查的供应商，磋商小组所有成员集中与单一供应商分别进行磋商，并给予所有参加磋商的供应商平等的磋商机会。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768"/>
        <w:spacing w:line="360" w:lineRule="auto"/>
        <w:rPr>
          <w:rFonts w:ascii="宋体" w:hAnsi="宋体" w:eastAsia="宋体" w:cs="宋体"/>
          <w:b/>
          <w:sz w:val="21"/>
          <w:szCs w:val="21"/>
        </w:rPr>
      </w:pPr>
      <w:r>
        <w:rPr>
          <w:rFonts w:hint="eastAsia" w:ascii="宋体" w:hAnsi="宋体" w:eastAsia="宋体" w:cs="宋体"/>
          <w:sz w:val="21"/>
          <w:szCs w:val="21"/>
        </w:rPr>
        <w:t xml:space="preserve">10、</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76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11、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76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已提交响应文件的供应商，在提交最后报价之前，可以根据磋商情况退出磋商，并在“苏采云”系统中提交“退出磋商函”并加盖CA电子公章。</w:t>
      </w:r>
      <w:r/>
    </w:p>
    <w:p>
      <w:pPr>
        <w:pStyle w:val="76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*进入项目评审流程后，建议各供应商法定代表人或授权委托人始终保持通讯顺畅，时刻关注不见面开标大厅，不离开不见面开标大厅。</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13、磋商小组根据磋商成交原则确定成交供应商，并将结果通知所有参加磋商的供应商。</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14、如磋商过程中出现本采购文件未尽事宜，由磋商小组根据政府采购有关法律、法规讨论决定。</w:t>
      </w:r>
      <w:r/>
    </w:p>
    <w:p>
      <w:pPr>
        <w:ind w:firstLine="422"/>
        <w:spacing w:line="360" w:lineRule="auto"/>
        <w:rPr>
          <w:rFonts w:ascii="宋体" w:hAnsi="宋体" w:cs="宋体"/>
          <w:b/>
          <w:szCs w:val="21"/>
        </w:rPr>
        <w:outlineLvl w:val="1"/>
      </w:pPr>
      <w:r>
        <w:rPr>
          <w:rFonts w:hint="eastAsia" w:ascii="宋体" w:hAnsi="宋体" w:cs="宋体"/>
          <w:b/>
          <w:szCs w:val="21"/>
        </w:rPr>
        <w:t xml:space="preserve">七、综合说明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磋商响应报价包括完成本次猪肉的提供、包装、仓储、运输、网点维护、水电费、利润、税金、政策性文件规定及合同包含的所有风险、责任等各项应有费用。磋商最后报价为最终报价，且总价固定，除非因特殊原因并经双方协商同意，成交单位不得再要求追加任何费用。同时，除非合同条款中另有规定，否则，成交单位所报价格在合同实施期间不因市场变化因素而变动。磋商响应单位未填价格的项目，在实施后，采购单位将不予支付，并视为该项费用已包括磋商总报价中。磋商最后报价为最终报价，除非因特殊原因并经双方协商同意，成交单位不得再要求追加任何费用。</w:t>
      </w:r>
      <w:r/>
    </w:p>
    <w:p>
      <w:pPr>
        <w:ind w:firstLine="420"/>
        <w:spacing w:line="360" w:lineRule="auto"/>
        <w:rPr>
          <w:rFonts w:ascii="宋体" w:hAnsi="宋体" w:cs="宋体"/>
          <w:szCs w:val="21"/>
        </w:rPr>
      </w:pPr>
      <w:r>
        <w:rPr>
          <w:rFonts w:hint="eastAsia" w:ascii="宋体" w:hAnsi="宋体" w:cs="宋体"/>
          <w:szCs w:val="21"/>
        </w:rPr>
        <w:t xml:space="preserve">2、磋商响应单位必须说明其是否响应采购文件中提出的全部服务内容与要求，如果以其中某些条款不响应时，应在文件中逐条列出，未列出的视同响应。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3、磋商保证金：</w:t>
      </w:r>
      <w:r/>
    </w:p>
    <w:p>
      <w:pPr>
        <w:ind w:firstLine="422"/>
        <w:spacing w:line="360" w:lineRule="auto"/>
        <w:rPr>
          <w:rStyle w:val="1003"/>
          <w:rFonts w:ascii="宋体" w:hAnsi="宋体" w:cs="宋体"/>
          <w:b/>
          <w:szCs w:val="21"/>
        </w:rPr>
      </w:pPr>
      <w:r>
        <w:rPr>
          <w:rStyle w:val="1003"/>
          <w:rFonts w:ascii="Wingdings" w:hAnsi="Wingdings" w:eastAsia="Wingdings" w:cs="Wingdings"/>
          <w:b/>
          <w:szCs w:val="21"/>
        </w:rPr>
        <w:t xml:space="preserve"></w:t>
      </w:r>
      <w:r>
        <w:rPr>
          <w:rStyle w:val="1003"/>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ind w:firstLine="420"/>
        <w:spacing w:line="360" w:lineRule="auto"/>
        <w:rPr>
          <w:rFonts w:ascii="宋体" w:hAnsi="宋体" w:cs="宋体"/>
        </w:rPr>
      </w:pPr>
      <w:r>
        <w:rPr>
          <w:rFonts w:hint="eastAsia" w:ascii="宋体" w:hAnsi="宋体" w:cs="宋体"/>
          <w:bCs/>
          <w:szCs w:val="21"/>
        </w:rPr>
        <w:t xml:space="preserve">4、成交服务费：</w:t>
      </w:r>
      <w:r>
        <w:rPr>
          <w:rStyle w:val="1003"/>
          <w:rFonts w:hint="eastAsia" w:ascii="宋体" w:hAnsi="宋体" w:cs="宋体"/>
          <w:szCs w:val="21"/>
        </w:rPr>
        <w:t xml:space="preserve">由成交单位按照预算金额计算并支付，具体为100万元以内1.5%、100万元～500万元以内1.1%差额定率累进法计算并支付成交服务费，该费用应在领取成交通知书时付清。本项目成交服务费金额人民币叁万肆仟陆佰壹拾叁元整</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服务费交纳账户：苏州市创杰招投标咨询服务有限公司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  </w:t>
      </w:r>
      <w:r/>
    </w:p>
    <w:p>
      <w:pPr>
        <w:ind w:firstLine="420"/>
        <w:spacing w:line="360" w:lineRule="auto"/>
        <w:rPr>
          <w:rFonts w:ascii="宋体" w:hAnsi="宋体" w:cs="宋体"/>
          <w:szCs w:val="21"/>
        </w:rPr>
      </w:pPr>
      <w:r>
        <w:rPr>
          <w:rFonts w:hint="eastAsia" w:ascii="宋体" w:hAnsi="宋体" w:cs="宋体"/>
          <w:szCs w:val="21"/>
        </w:rPr>
        <w:t xml:space="preserve">账    号：30100188000004892</w:t>
      </w:r>
      <w:r/>
    </w:p>
    <w:p>
      <w:pPr>
        <w:ind w:firstLine="420"/>
        <w:spacing w:line="360" w:lineRule="auto"/>
        <w:rPr>
          <w:rFonts w:ascii="宋体" w:hAnsi="宋体" w:cs="宋体"/>
          <w:bCs/>
          <w:szCs w:val="21"/>
        </w:rPr>
      </w:pPr>
      <w:r>
        <w:rPr>
          <w:rFonts w:hint="eastAsia" w:ascii="宋体" w:hAnsi="宋体" w:cs="宋体"/>
          <w:bCs/>
          <w:szCs w:val="21"/>
        </w:rPr>
        <w:t xml:space="preserve">5、磋商说明：</w:t>
      </w:r>
      <w:r/>
    </w:p>
    <w:p>
      <w:pPr>
        <w:ind w:firstLine="420"/>
        <w:spacing w:line="360" w:lineRule="auto"/>
        <w:rPr>
          <w:rFonts w:ascii="宋体" w:hAnsi="宋体" w:cs="宋体"/>
          <w:bCs/>
          <w:szCs w:val="21"/>
        </w:rPr>
      </w:pPr>
      <w:r>
        <w:rPr>
          <w:rFonts w:hint="eastAsia" w:ascii="宋体" w:hAnsi="宋体" w:cs="宋体"/>
          <w:bCs/>
          <w:szCs w:val="21"/>
        </w:rPr>
        <w:t xml:space="preserve">（1）不符合供应商资格要求的响应文件将被拒绝；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（2）</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（3）最终报价超过采购预算或最高限价的，不能成交；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（4）不实质性响应磋商文件的不能成交；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szCs w:val="21"/>
        </w:rPr>
        <w:t xml:space="preserve">参加磋商响应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szCs w:val="21"/>
        </w:rPr>
        <w:t xml:space="preserve">最终合同单价按最终总报价同比例下浮。</w:t>
      </w:r>
      <w:r/>
    </w:p>
    <w:p>
      <w:pPr>
        <w:ind w:firstLine="420"/>
        <w:spacing w:line="360" w:lineRule="auto"/>
        <w:rPr>
          <w:rFonts w:ascii="宋体" w:hAnsi="宋体" w:cs="宋体"/>
          <w:b/>
          <w:bCs/>
          <w:szCs w:val="21"/>
        </w:rPr>
      </w:pPr>
      <w:r>
        <w:rPr>
          <w:rFonts w:hint="eastAsia" w:ascii="宋体" w:hAnsi="宋体" w:cs="宋体"/>
          <w:bCs/>
          <w:szCs w:val="21"/>
        </w:rPr>
        <w:t xml:space="preserve">6、</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pStyle w:val="1001"/>
        <w:numPr>
          <w:ilvl w:val="0"/>
          <w:numId w:val="3"/>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pStyle w:val="1001"/>
        <w:numPr>
          <w:ilvl w:val="0"/>
          <w:numId w:val="3"/>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p>
    <w:p>
      <w:pPr>
        <w:pStyle w:val="1001"/>
        <w:numPr>
          <w:ilvl w:val="0"/>
          <w:numId w:val="3"/>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联合体各方共同与采购人签订合同，就采购合同约定的事项对采购人承担连带责任。</w:t>
      </w:r>
      <w:r/>
    </w:p>
    <w:p>
      <w:pPr>
        <w:pStyle w:val="1001"/>
        <w:numPr>
          <w:ilvl w:val="0"/>
          <w:numId w:val="3"/>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除非另有规定或说明，本文中“响应单位”一词亦指联合体各成员。</w:t>
      </w:r>
      <w:r/>
    </w:p>
    <w:p>
      <w:pPr>
        <w:ind w:firstLine="420"/>
        <w:spacing w:line="360" w:lineRule="auto"/>
        <w:rPr>
          <w:rFonts w:ascii="宋体" w:hAnsi="宋体" w:cs="宋体"/>
          <w:bCs/>
          <w:szCs w:val="21"/>
        </w:rPr>
      </w:pPr>
      <w:r>
        <w:rPr>
          <w:rFonts w:hint="eastAsia" w:ascii="宋体" w:hAnsi="宋体" w:cs="宋体"/>
          <w:bCs/>
          <w:szCs w:val="21"/>
        </w:rPr>
        <w:t xml:space="preserve">7、凡涉及磋商采购文件的补充说明和修改，均以苏州政府采购网上发布的通知为准。</w:t>
      </w:r>
      <w:r/>
    </w:p>
    <w:p>
      <w:pPr>
        <w:ind w:firstLine="420"/>
        <w:spacing w:line="360" w:lineRule="auto"/>
        <w:rPr>
          <w:rFonts w:ascii="宋体" w:hAnsi="宋体" w:cs="宋体"/>
          <w:szCs w:val="21"/>
        </w:rPr>
      </w:pPr>
      <w:r>
        <w:rPr>
          <w:rFonts w:hint="eastAsia" w:ascii="宋体" w:hAnsi="宋体" w:cs="宋体"/>
          <w:bCs/>
          <w:szCs w:val="21"/>
        </w:rPr>
        <w:t xml:space="preserve">8、</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（1）采购代理机构会在接收响应文件截止时间后，登录信用中国网站（www.creditchina.gov.cn/）和中国政府采购网（www.ccgp.gov.cn/）查询供应商的信用记录，并将查询结果递交评审小组。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（4）对存在失信信息的供应商，由失信供应商进行确认。同时，采购代理机构工作人员应根据评审小组确认的失信信息，登录到相关来源网站页面进行复核并打印，作为证据留存。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（5）按照《中华人民共和国政府采购法》第二十二条规定，下列信用记录属于应依法拒绝供应商参加政府采购的失信信息：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3）企业经营异常名录中被责令停产停业、暂扣或者吊销许可证或者执照，或者对经营活动中的违法行为处以较大数额罚款（“较大数额罚款”认定为200万元以上的罚款，法律、行政法规以</w:t>
      </w:r>
      <w:r>
        <w:rPr>
          <w:rFonts w:hint="eastAsia" w:ascii="宋体" w:hAnsi="宋体" w:cs="宋体"/>
          <w:szCs w:val="21"/>
        </w:rPr>
        <w:t xml:space="preserve">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rPr>
      </w:pPr>
      <w:r>
        <w:rPr>
          <w:rFonts w:hint="eastAsia" w:ascii="宋体" w:hAnsi="宋体" w:cs="宋体"/>
          <w:szCs w:val="21"/>
        </w:rPr>
        <w:t xml:space="preserve">9、告知成交结果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6" w:name="_Hlk132385599"/>
      <w:r/>
      <w:bookmarkStart w:id="7" w:name="_Hlk132385577"/>
      <w:r/>
      <w:bookmarkStart w:id="8" w:name="_Hlk132389804"/>
      <w:r>
        <w:rPr>
          <w:rFonts w:hint="eastAsia" w:ascii="宋体" w:hAnsi="宋体" w:cs="宋体"/>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6"/>
      <w:r/>
      <w:bookmarkEnd w:id="7"/>
      <w:r/>
      <w:bookmarkEnd w:id="8"/>
      <w:r>
        <w:rPr>
          <w:rFonts w:hint="eastAsia" w:ascii="宋体" w:hAnsi="宋体" w:cs="宋体"/>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ascii="宋体" w:hAnsi="宋体" w:cs="宋体"/>
          <w:szCs w:val="21"/>
        </w:rPr>
      </w:pPr>
      <w:r>
        <w:rPr>
          <w:rFonts w:hint="eastAsia" w:ascii="宋体" w:hAnsi="宋体" w:cs="宋体"/>
          <w:szCs w:val="21"/>
        </w:rPr>
        <w:t xml:space="preserve">10、成交供应商除发生法律规定的不能预见、不能避免并不能克服的客观情况外不得放弃或拒绝签订合同的。放弃或拒绝签订合同的，采购人视情将其通报给财政部门。</w:t>
      </w:r>
      <w:r/>
    </w:p>
    <w:p>
      <w:pPr>
        <w:ind w:firstLine="420"/>
        <w:spacing w:line="360" w:lineRule="auto"/>
        <w:rPr>
          <w:rFonts w:ascii="宋体" w:hAnsi="宋体" w:cs="宋体"/>
          <w:szCs w:val="21"/>
        </w:rPr>
      </w:pPr>
      <w:r>
        <w:rPr>
          <w:rFonts w:hint="eastAsia" w:ascii="宋体" w:hAnsi="宋体" w:cs="宋体"/>
          <w:szCs w:val="21"/>
        </w:rPr>
        <w:t xml:space="preserve">11、采购合同履行中，采购人需追加与合同标的相同的服务的，在不改变合同其他条款的前提下，可以与成交供应商协商签订补充合同，但所有补充合同的项目金额不得超过原合同项目金额的百分之十。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ascii="宋体" w:hAnsi="宋体" w:cs="宋体"/>
          <w:szCs w:val="21"/>
        </w:rPr>
      </w:pPr>
      <w:r>
        <w:rPr>
          <w:rFonts w:hint="eastAsia" w:ascii="宋体" w:hAnsi="宋体" w:cs="宋体"/>
          <w:szCs w:val="21"/>
        </w:rPr>
        <w:t xml:space="preserve">12、成交供应商拒绝签订采购合同的，或因不可抗力或者自身原因不能履行采购合同的，采购人可以视情与排位在成交供应商之后第一位的成交候选供应商签订采购合同，也可以重新开展招标活动。</w:t>
      </w:r>
      <w:r/>
    </w:p>
    <w:p>
      <w:pPr>
        <w:ind w:firstLine="420"/>
        <w:spacing w:line="360" w:lineRule="auto"/>
        <w:rPr>
          <w:rFonts w:ascii="宋体" w:hAnsi="宋体" w:cs="宋体"/>
          <w:szCs w:val="21"/>
        </w:rPr>
      </w:pPr>
      <w:r>
        <w:rPr>
          <w:rFonts w:hint="eastAsia" w:ascii="宋体" w:hAnsi="宋体" w:cs="宋体"/>
          <w:szCs w:val="21"/>
        </w:rPr>
        <w:t xml:space="preserve">13、质疑处理</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13.1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13.2本次采购文件要求供应商在法定质疑期内一次性提出针对同一采购程序环节的质疑。</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13.3供应商提出质疑应当提交质疑函和必要的证明材料，质疑函应当包括下列内容：</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（2）质疑项目的名称、编号；</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（4）事实依据；</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（5）必要的法律依据；</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（6）提出质疑的日期。</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76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rPr>
        <w:t xml:space="preserve">。</w:t>
      </w:r>
      <w:r/>
    </w:p>
    <w:p>
      <w:pPr>
        <w:pStyle w:val="768"/>
        <w:spacing w:line="360" w:lineRule="auto"/>
        <w:rPr>
          <w:rFonts w:ascii="宋体" w:hAnsi="宋体" w:eastAsia="宋体" w:cs="宋体"/>
          <w:b/>
          <w:sz w:val="21"/>
          <w:szCs w:val="21"/>
        </w:rPr>
      </w:pPr>
      <w:r>
        <w:rPr>
          <w:rFonts w:hint="eastAsia" w:ascii="宋体" w:hAnsi="宋体" w:eastAsia="宋体" w:cs="宋体"/>
          <w:sz w:val="21"/>
          <w:szCs w:val="21"/>
        </w:rPr>
        <w:t xml:space="preserve">13.4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13.5接收质疑函的方式：书面形式（当场送达或邮寄方式）</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质疑联系人：路丽丽</w:t>
      </w:r>
      <w:r>
        <w:rPr>
          <w:rFonts w:hint="eastAsia" w:ascii="宋体" w:hAnsi="宋体" w:eastAsia="宋体" w:cs="宋体"/>
          <w:sz w:val="21"/>
          <w:szCs w:val="21"/>
        </w:rPr>
        <w:t xml:space="preserve">  </w:t>
      </w:r>
      <w:r>
        <w:rPr>
          <w:rFonts w:hint="eastAsia" w:ascii="宋体" w:hAnsi="宋体" w:eastAsia="宋体" w:cs="宋体"/>
          <w:sz w:val="21"/>
          <w:szCs w:val="21"/>
        </w:rPr>
        <w:t xml:space="preserve">潘莉莉  朱晓芹</w:t>
      </w:r>
      <w:r>
        <w:rPr>
          <w:rFonts w:hint="eastAsia" w:ascii="宋体" w:hAnsi="宋体" w:eastAsia="宋体" w:cs="宋体"/>
          <w:sz w:val="21"/>
          <w:szCs w:val="21"/>
        </w:rPr>
        <w:t xml:space="preserve">  </w:t>
      </w:r>
      <w:r>
        <w:rPr>
          <w:rFonts w:hint="eastAsia" w:ascii="宋体" w:hAnsi="宋体" w:eastAsia="宋体" w:cs="宋体"/>
          <w:sz w:val="21"/>
          <w:szCs w:val="21"/>
        </w:rPr>
        <w:t xml:space="preserve">施紫秋</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联系电话：0512-65238816</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现场递交地址:苏州市干将西路399号银海大厦303室</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邮寄收取地址:苏州市干将西路399号银海大厦303室</w:t>
      </w:r>
      <w:r/>
    </w:p>
    <w:p>
      <w:pPr>
        <w:ind w:firstLine="420"/>
        <w:spacing w:line="360" w:lineRule="auto"/>
        <w:rPr>
          <w:rFonts w:ascii="宋体" w:hAnsi="宋体" w:cs="宋体"/>
          <w:szCs w:val="21"/>
        </w:rPr>
      </w:pPr>
      <w:r>
        <w:rPr>
          <w:rFonts w:hint="eastAsia" w:ascii="宋体" w:hAnsi="宋体" w:cs="宋体"/>
          <w:szCs w:val="21"/>
        </w:rPr>
        <w:t xml:space="preserve">14、相关政策（如涉及）</w:t>
      </w:r>
      <w:r/>
    </w:p>
    <w:p>
      <w:pPr>
        <w:ind w:firstLine="420"/>
        <w:spacing w:line="360" w:lineRule="auto"/>
        <w:rPr>
          <w:rFonts w:ascii="宋体" w:hAnsi="宋体" w:cs="宋体"/>
          <w:szCs w:val="21"/>
        </w:rPr>
      </w:pPr>
      <w:r>
        <w:rPr>
          <w:rFonts w:hint="eastAsia" w:ascii="宋体" w:hAnsi="宋体" w:cs="宋体"/>
          <w:szCs w:val="21"/>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本项目为服务类，不涉及该项。</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w:t>
      </w:r>
      <w:r>
        <w:rPr>
          <w:rFonts w:hint="eastAsia" w:ascii="宋体" w:hAnsi="宋体" w:cs="宋体"/>
          <w:szCs w:val="21"/>
        </w:rPr>
        <w:t xml:space="preserve">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0"/>
        <w:spacing w:line="360" w:lineRule="auto"/>
        <w:tabs>
          <w:tab w:val="left" w:pos="567" w:leader="none"/>
        </w:tabs>
        <w:rPr>
          <w:rFonts w:ascii="宋体" w:hAnsi="宋体" w:cs="宋体"/>
          <w:b/>
          <w:bCs/>
          <w:szCs w:val="21"/>
        </w:rPr>
      </w:pPr>
      <w:r>
        <w:rPr>
          <w:rFonts w:hint="eastAsia" w:ascii="宋体" w:hAnsi="宋体" w:cs="宋体"/>
          <w:szCs w:val="21"/>
        </w:rPr>
        <w:t xml:space="preserve">在货物采购项目中，货物由中小企业制造，即货物由中小企业生产且使用该中小企业商号或者注册商标。</w:t>
      </w:r>
      <w:r>
        <w:rPr>
          <w:rFonts w:hint="eastAsia" w:ascii="宋体" w:hAnsi="宋体" w:cs="宋体"/>
          <w:b/>
          <w:bCs/>
          <w:szCs w:val="21"/>
        </w:rPr>
        <w:t xml:space="preserve">其中，供应商提供的货物既有中小企业制造货物，也有大型企业制造货物的，不享受中小企业扶持政策。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若为专门面向中小企业采购的项目或者采购包，不再执行价格评审优惠的扶持政策；中小企业</w:t>
      </w:r>
      <w:r>
        <w:rPr>
          <w:rFonts w:hint="eastAsia" w:ascii="宋体" w:hAnsi="宋体" w:cs="宋体"/>
          <w:b/>
          <w:bCs/>
          <w:szCs w:val="21"/>
        </w:rPr>
        <w:t xml:space="preserve">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根据《政府采购促进中小企业发展管理办法》（财库〔2020〕46号）及《中小企业划型标准规定》（工信部联企业〔2011〕300号），本采购项目对应的中小企业划分标准所属行业为：仓储业。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szCs w:val="21"/>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b/>
          <w:bCs/>
        </w:rPr>
        <w:t xml:space="preserve">（6）异常低价审查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A、评审过程中出现下列情形之一的，评审委员会应当启动异常低价投标（响应）审查程序：</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1.投标（响应）报价低于全部通过符合性审查供应商投标（响应）报价平均值50%的，即投标（响应）报价&lt;全部通过符合性审查供应商投标（响应）报价平均值×50%；</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2.投标（响应）报价低于通过符合性审查的次低报价供应商投标（响应）报价50%的，即投标（响应）报价&lt;通过符合性审查的次低报价供应商投标（响应）报价×50%；</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3.投标（响应）报价低于采购项目最高限价45%的，即投标（响应）报价&lt;采购项目最高限价×45%；</w:t>
      </w:r>
      <w:r/>
    </w:p>
    <w:p>
      <w:pPr>
        <w:ind w:firstLine="420"/>
        <w:spacing w:line="360" w:lineRule="auto"/>
        <w:tabs>
          <w:tab w:val="left" w:pos="567" w:leader="none"/>
        </w:tabs>
        <w:rPr>
          <w:rFonts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tabs>
          <w:tab w:val="left" w:pos="567" w:leader="none"/>
        </w:tabs>
        <w:rPr>
          <w:rFonts w:ascii="宋体" w:hAnsi="宋体" w:cs="宋体"/>
        </w:rPr>
      </w:pPr>
      <w:r>
        <w:rPr>
          <w:rFonts w:hint="eastAsia" w:ascii="宋体" w:hAnsi="宋体" w:cs="宋体"/>
          <w:b/>
          <w:bCs/>
        </w:rPr>
        <w:t xml:space="preserve">（7）政府采购中实施本国产品标准及相关政策</w:t>
      </w:r>
      <w:r>
        <w:rPr>
          <w:rFonts w:hint="eastAsia" w:ascii="宋体" w:hAnsi="宋体" w:cs="宋体"/>
        </w:rPr>
        <w:t xml:space="preserve">（如涉及）</w:t>
      </w:r>
      <w:r/>
    </w:p>
    <w:p>
      <w:pPr>
        <w:ind w:firstLine="420"/>
        <w:spacing w:line="360" w:lineRule="auto"/>
        <w:tabs>
          <w:tab w:val="left" w:pos="567" w:leader="none"/>
        </w:tabs>
        <w:rPr>
          <w:rFonts w:ascii="宋体" w:hAnsi="宋体" w:cs="宋体"/>
        </w:rPr>
      </w:pPr>
      <w:r>
        <w:rPr>
          <w:rFonts w:hint="eastAsia" w:ascii="宋体" w:hAnsi="宋体" w:cs="宋体"/>
        </w:rPr>
        <w:t xml:space="preserve">7.1.本项目对采购本国产品给予政策支持：</w:t>
      </w:r>
      <w:r/>
    </w:p>
    <w:p>
      <w:pPr>
        <w:ind w:firstLine="420"/>
        <w:spacing w:line="360" w:lineRule="auto"/>
        <w:tabs>
          <w:tab w:val="left" w:pos="567" w:leader="none"/>
        </w:tabs>
        <w:rPr>
          <w:rFonts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567"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（3）供应商需按照招标文件的要求提供《关于符合本国产品标准的声明函》（以下简称《声明函》），如不提供将不享受本国产品价格评审优惠。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（4）供应商需在《声明函》中逐一、准确填写产品名称、厂名、生产厂址三项信息（《声明</w:t>
      </w:r>
      <w:r>
        <w:rPr>
          <w:rFonts w:hint="eastAsia" w:ascii="宋体" w:hAnsi="宋体" w:cs="宋体"/>
        </w:rPr>
        <w:t xml:space="preserve">函》中用斜线划除的地方无需填写），三项信息中任意一项未填写的视为该项产品不符合本国产品标准，不享受本国产品价格评审优惠。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tabs>
          <w:tab w:val="left" w:pos="567" w:leader="none"/>
        </w:tabs>
        <w:rPr>
          <w:rFonts w:ascii="宋体" w:hAnsi="宋体" w:cs="宋体"/>
        </w:rPr>
      </w:pPr>
      <w:r>
        <w:rPr>
          <w:rFonts w:hint="eastAsia" w:ascii="宋体" w:hAnsi="宋体" w:cs="宋体"/>
        </w:rPr>
        <w:t xml:space="preserve">7.2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szCs w:val="21"/>
        </w:rPr>
      </w:pPr>
      <w:r>
        <w:rPr>
          <w:rFonts w:hint="eastAsia" w:ascii="宋体" w:hAnsi="宋体" w:cs="宋体"/>
        </w:rPr>
        <w:t xml:space="preserve">7.3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68"/>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15、</w:t>
      </w:r>
      <w:r>
        <w:rPr>
          <w:rFonts w:hint="eastAsia" w:ascii="宋体" w:hAnsi="宋体" w:eastAsia="宋体" w:cs="宋体"/>
          <w:b/>
          <w:sz w:val="21"/>
          <w:szCs w:val="21"/>
        </w:rPr>
        <w:t xml:space="preserve">项目的终止</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（1）因情况变化，不再符合规定的竞争性磋商采购方式适用情形的；</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（2）出现影响采购公正的违法、违规行为的；</w:t>
      </w:r>
      <w:r/>
    </w:p>
    <w:p>
      <w:pPr>
        <w:pStyle w:val="768"/>
        <w:spacing w:line="360" w:lineRule="auto"/>
        <w:rPr>
          <w:rFonts w:ascii="宋体" w:hAnsi="宋体" w:eastAsia="宋体" w:cs="宋体"/>
          <w:sz w:val="21"/>
          <w:szCs w:val="21"/>
        </w:rPr>
      </w:pPr>
      <w:r>
        <w:rPr>
          <w:rFonts w:hint="eastAsia" w:ascii="宋体" w:hAnsi="宋体" w:eastAsia="宋体" w:cs="宋体"/>
          <w:sz w:val="21"/>
          <w:szCs w:val="21"/>
        </w:rPr>
        <w:t xml:space="preserve">（3）在采购活动中因重大变故，采购任务取消的。</w:t>
      </w:r>
      <w:r/>
    </w:p>
    <w:p>
      <w:pPr>
        <w:ind w:firstLine="422"/>
        <w:spacing w:line="360" w:lineRule="auto"/>
        <w:rPr>
          <w:rFonts w:ascii="宋体" w:hAnsi="宋体" w:cs="宋体"/>
          <w:b/>
          <w:bCs/>
          <w:szCs w:val="21"/>
        </w:rPr>
      </w:pPr>
      <w:r>
        <w:rPr>
          <w:rFonts w:hint="eastAsia" w:ascii="宋体" w:hAnsi="宋体" w:cs="宋体"/>
          <w:b/>
          <w:bCs/>
          <w:szCs w:val="21"/>
        </w:rPr>
        <w:t xml:space="preserve">16、导致无效投标因素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（1）投标（响应）文件未按招标（采购）文件要求签署、盖章的；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（2）不具备招标（采购）文件中规定的资格要求的；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（3）报价超过招标（采购）文件中规定的预算金额（总预算和单项预算）或者最高限价的；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（4）投标（响应）文件含有采购单位不能接受的附加条件的；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（5）不同投标（响应）文件制作机器码一致的；</w:t>
      </w:r>
      <w:r/>
    </w:p>
    <w:p>
      <w:pPr>
        <w:ind w:firstLine="420"/>
        <w:spacing w:line="360" w:lineRule="auto"/>
        <w:rPr>
          <w:rFonts w:ascii="宋体" w:hAnsi="宋体" w:cs="宋体"/>
          <w:szCs w:val="21"/>
        </w:rPr>
        <w:sectPr>
          <w:footnotePr/>
          <w:endnotePr/>
          <w:type w:val="nextPage"/>
          <w:pgSz w:w="11906" w:h="16838" w:orient="portrait"/>
          <w:pgMar w:top="1440" w:right="1417" w:bottom="1440" w:left="1417" w:header="850" w:footer="850" w:gutter="0"/>
          <w:cols w:num="1" w:sep="0" w:space="720" w:equalWidth="1"/>
          <w:docGrid w:linePitch="360"/>
        </w:sectPr>
      </w:pPr>
      <w:r>
        <w:rPr>
          <w:rFonts w:hint="eastAsia" w:ascii="宋体" w:hAnsi="宋体" w:cs="宋体"/>
          <w:szCs w:val="21"/>
        </w:rPr>
        <w:t xml:space="preserve">（6）法律、法规和招标（采购）文件规定的其他无效情形。</w:t>
      </w:r>
      <w:r/>
    </w:p>
    <w:p>
      <w:pPr>
        <w:jc w:val="center"/>
        <w:pageBreakBefore/>
        <w:spacing w:line="360" w:lineRule="auto"/>
        <w:tabs>
          <w:tab w:val="left" w:pos="315" w:leader="none"/>
          <w:tab w:val="center" w:pos="4153" w:leader="none"/>
        </w:tabs>
        <w:rPr>
          <w:rFonts w:ascii="宋体" w:hAnsi="宋体" w:cs="宋体"/>
        </w:rPr>
        <w:outlineLvl w:val="0"/>
      </w:pPr>
      <w:r>
        <w:rPr>
          <w:rFonts w:hint="eastAsia" w:ascii="宋体" w:hAnsi="宋体" w:cs="宋体"/>
          <w:b/>
          <w:sz w:val="32"/>
          <w:szCs w:val="32"/>
        </w:rPr>
        <w:t xml:space="preserve">三、评标方法及评分标准</w:t>
      </w:r>
      <w:r/>
    </w:p>
    <w:p>
      <w:pPr>
        <w:spacing w:line="360" w:lineRule="auto"/>
        <w:rPr>
          <w:rFonts w:ascii="宋体" w:hAnsi="宋体" w:cs="宋体"/>
          <w:szCs w:val="21"/>
          <w:shd w:val="clear" w:color="auto" w:fill="ffffff"/>
        </w:rPr>
        <w:outlineLvl w:val="1"/>
      </w:pPr>
      <w:r>
        <w:rPr>
          <w:rFonts w:hint="eastAsia" w:ascii="宋体" w:hAnsi="宋体" w:cs="宋体"/>
          <w:b/>
          <w:bCs/>
          <w:szCs w:val="21"/>
        </w:rPr>
        <w:t xml:space="preserve">一、评标方法</w:t>
      </w:r>
      <w:r/>
    </w:p>
    <w:p>
      <w:pPr>
        <w:ind w:firstLine="420"/>
        <w:spacing w:line="360" w:lineRule="auto"/>
        <w:rPr>
          <w:rFonts w:ascii="宋体" w:hAnsi="宋体" w:cs="宋体"/>
        </w:rPr>
      </w:pPr>
      <w:r>
        <w:rPr>
          <w:rFonts w:hint="eastAsia" w:ascii="宋体" w:hAnsi="宋体" w:cs="宋体"/>
          <w:szCs w:val="21"/>
          <w:shd w:val="clear" w:color="auto" w:fill="ffffff"/>
        </w:rPr>
        <w:t xml:space="preserve">1、本次招标评标方法为综合评分法，即在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满足采购文件实质性要求前提下，按照采购文件中规定的评分标准和各项因素进行综合评审后，经采购人书面授权</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成交单位</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ascii="宋体" w:hAnsi="宋体" w:cs="宋体"/>
        </w:rPr>
      </w:pPr>
      <w:r>
        <w:rPr>
          <w:rFonts w:hint="eastAsia" w:ascii="宋体" w:hAnsi="宋体" w:cs="宋体"/>
        </w:rPr>
        <w:t xml:space="preserve">3、如出现评标总得分最高的磋商响应单位有两个或两个以上的，以投标报价较低者优先作为成交单位，如果实际投标报价也相同的，则由采购人或者采购代理机构以抽签方式确定成交单位。</w:t>
      </w:r>
      <w:r/>
    </w:p>
    <w:p>
      <w:pPr>
        <w:spacing w:line="360" w:lineRule="auto"/>
        <w:rPr>
          <w:rFonts w:ascii="宋体" w:hAnsi="宋体" w:cs="宋体"/>
          <w:b/>
          <w:bCs/>
          <w:szCs w:val="21"/>
        </w:rPr>
        <w:outlineLvl w:val="1"/>
      </w:pPr>
      <w:r>
        <w:rPr>
          <w:rFonts w:hint="eastAsia" w:ascii="宋体" w:hAnsi="宋体" w:cs="宋体"/>
          <w:b/>
          <w:bCs/>
          <w:szCs w:val="21"/>
        </w:rPr>
        <w:t xml:space="preserve">二、评分标准</w:t>
      </w:r>
      <w:r/>
    </w:p>
    <w:p>
      <w:pPr>
        <w:spacing w:line="360" w:lineRule="auto"/>
        <w:rPr>
          <w:rFonts w:ascii="宋体" w:hAnsi="宋体" w:cs="宋体"/>
          <w:b/>
          <w:szCs w:val="21"/>
        </w:rPr>
        <w:outlineLvl w:val="2"/>
      </w:pPr>
      <w:r/>
      <w:bookmarkStart w:id="9" w:name="OLE_LINK21"/>
      <w:r>
        <w:rPr>
          <w:rFonts w:hint="eastAsia" w:ascii="宋体" w:hAnsi="宋体" w:cs="宋体"/>
          <w:b/>
          <w:bCs/>
          <w:szCs w:val="21"/>
        </w:rPr>
        <w:t xml:space="preserve">（一）</w:t>
      </w:r>
      <w:bookmarkEnd w:id="9"/>
      <w:r>
        <w:rPr>
          <w:rFonts w:hint="eastAsia" w:ascii="宋体" w:hAnsi="宋体" w:cs="宋体"/>
          <w:b/>
          <w:szCs w:val="21"/>
        </w:rPr>
        <w:t xml:space="preserve">价格分（15分，以最后报价作为计算依据）</w:t>
      </w:r>
      <w:r/>
    </w:p>
    <w:p>
      <w:pPr>
        <w:ind w:firstLine="420"/>
        <w:spacing w:line="360" w:lineRule="auto"/>
        <w:rPr>
          <w:rFonts w:ascii="宋体" w:hAnsi="宋体" w:cs="宋体"/>
          <w:szCs w:val="21"/>
        </w:rPr>
      </w:pPr>
      <w:r>
        <w:rPr>
          <w:rFonts w:hint="eastAsia" w:ascii="宋体" w:hAnsi="宋体" w:cs="宋体"/>
          <w:szCs w:val="21"/>
        </w:rPr>
        <w:t xml:space="preserve">1、磋商总报价低于或等于采购预算价格（或最高限价）的，为有效报价。超采购预算（或最高限价）的磋商报价为无效磋商报价。无效磋商报价的响应文件不得标。</w:t>
      </w:r>
      <w:r/>
    </w:p>
    <w:p>
      <w:pPr>
        <w:ind w:firstLine="420"/>
        <w:spacing w:line="360" w:lineRule="auto"/>
        <w:rPr>
          <w:rFonts w:ascii="宋体" w:hAnsi="宋体" w:cs="宋体"/>
          <w:szCs w:val="21"/>
        </w:rPr>
      </w:pPr>
      <w:r>
        <w:rPr>
          <w:rFonts w:hint="eastAsia" w:ascii="宋体" w:hAnsi="宋体" w:cs="宋体"/>
          <w:szCs w:val="21"/>
        </w:rPr>
        <w:t xml:space="preserve">2、价格分统一采用低价优先法计算，即满足磋商文件要求且最后磋商评审报价最低的供应商的价格为磋商基准价，其价格分为满分。其他供应商的价格分统一按照下列公式计算：</w:t>
      </w:r>
      <w:r/>
    </w:p>
    <w:p>
      <w:pPr>
        <w:ind w:firstLine="420"/>
        <w:spacing w:line="360" w:lineRule="auto"/>
        <w:rPr>
          <w:rFonts w:ascii="宋体" w:hAnsi="宋体" w:cs="宋体"/>
          <w:szCs w:val="21"/>
        </w:rPr>
      </w:pPr>
      <w:r>
        <w:rPr>
          <w:rFonts w:hint="eastAsia" w:ascii="宋体" w:hAnsi="宋体" w:cs="宋体"/>
          <w:szCs w:val="21"/>
        </w:rPr>
        <w:t xml:space="preserve">磋商报价得分=（磋商基准价/最后磋商报价）×价格权值（本项目为15%）×100，小数点后四舍五入保留两位小数。</w:t>
      </w:r>
      <w:r/>
    </w:p>
    <w:p>
      <w:pPr>
        <w:spacing w:line="360" w:lineRule="auto"/>
        <w:rPr>
          <w:rFonts w:ascii="宋体" w:hAnsi="宋体" w:cs="宋体"/>
          <w:b/>
          <w:szCs w:val="21"/>
        </w:rPr>
      </w:pPr>
      <w:r>
        <w:rPr>
          <w:rFonts w:hint="eastAsia" w:ascii="宋体" w:hAnsi="宋体" w:cs="宋体"/>
          <w:b/>
          <w:szCs w:val="21"/>
        </w:rPr>
        <w:t xml:space="preserve">（二）组织实施方案（69分）</w:t>
      </w:r>
      <w:r/>
    </w:p>
    <w:p>
      <w:pPr>
        <w:ind w:firstLine="420"/>
        <w:spacing w:line="360" w:lineRule="auto"/>
        <w:rPr>
          <w:rFonts w:ascii="宋体" w:hAnsi="宋体" w:cs="宋体"/>
          <w:bCs/>
          <w:szCs w:val="21"/>
        </w:rPr>
      </w:pPr>
      <w:r>
        <w:rPr>
          <w:rFonts w:hint="eastAsia" w:ascii="宋体" w:hAnsi="宋体" w:cs="宋体"/>
          <w:bCs/>
          <w:szCs w:val="21"/>
        </w:rPr>
        <w:t xml:space="preserve">1.</w:t>
      </w:r>
      <w:bookmarkStart w:id="10" w:name="OLE_LINK3"/>
      <w:r/>
      <w:bookmarkStart w:id="11" w:name="OLE_LINK4"/>
      <w:r>
        <w:rPr>
          <w:rFonts w:hint="eastAsia" w:ascii="宋体" w:hAnsi="宋体" w:cs="宋体"/>
          <w:bCs/>
          <w:szCs w:val="21"/>
        </w:rPr>
        <w:t xml:space="preserve">在库管理方案，15分</w:t>
      </w:r>
      <w:bookmarkEnd w:id="10"/>
      <w:r/>
      <w:bookmarkEnd w:id="11"/>
      <w:r/>
      <w:r/>
    </w:p>
    <w:p>
      <w:pPr>
        <w:ind w:firstLine="420"/>
        <w:spacing w:line="360" w:lineRule="auto"/>
        <w:rPr>
          <w:rFonts w:ascii="宋体" w:hAnsi="宋体" w:cs="宋体"/>
          <w:bCs/>
          <w:szCs w:val="21"/>
        </w:rPr>
      </w:pPr>
      <w:r>
        <w:rPr>
          <w:rFonts w:hint="eastAsia" w:ascii="宋体" w:hAnsi="宋体" w:cs="宋体"/>
          <w:bCs/>
          <w:szCs w:val="21"/>
        </w:rPr>
        <w:t xml:space="preserve">响应单位针对本项目提供冻猪肉在库管理方案：至少包括：①专仓/专垛和专栏承储、②专人管理、③专账记载、④挂牌明示、⑤内部管理制度。</w:t>
      </w:r>
      <w:r/>
    </w:p>
    <w:p>
      <w:pPr>
        <w:ind w:firstLine="420"/>
        <w:spacing w:line="360" w:lineRule="auto"/>
        <w:rPr>
          <w:rFonts w:ascii="宋体" w:hAnsi="宋体" w:cs="宋体"/>
          <w:bCs/>
          <w:szCs w:val="21"/>
        </w:rPr>
      </w:pPr>
      <w:r>
        <w:rPr>
          <w:rFonts w:hint="eastAsia" w:ascii="宋体" w:hAnsi="宋体" w:cs="宋体"/>
          <w:bCs/>
          <w:szCs w:val="21"/>
        </w:rPr>
        <w:t xml:space="preserve">方案内容完整合理、符合本项目实际需求的，每项得3分；每项方案内容基本合理的得2分；每项方案内容一般的得1分；未提供方案的得0分。最高得15分</w:t>
      </w:r>
      <w:r/>
    </w:p>
    <w:p>
      <w:pPr>
        <w:ind w:firstLine="420"/>
        <w:spacing w:line="360" w:lineRule="auto"/>
        <w:rPr>
          <w:rFonts w:ascii="宋体" w:hAnsi="宋体" w:cs="宋体"/>
          <w:bCs/>
          <w:szCs w:val="21"/>
        </w:rPr>
      </w:pPr>
      <w:r>
        <w:rPr>
          <w:rFonts w:hint="eastAsia" w:ascii="宋体" w:hAnsi="宋体" w:cs="宋体"/>
          <w:bCs/>
          <w:szCs w:val="21"/>
        </w:rPr>
        <w:t xml:space="preserve">2.源头及质量控制方案，9分</w:t>
      </w:r>
      <w:r/>
    </w:p>
    <w:p>
      <w:pPr>
        <w:ind w:firstLine="420"/>
        <w:spacing w:line="360" w:lineRule="auto"/>
        <w:rPr>
          <w:rFonts w:ascii="宋体" w:hAnsi="宋体" w:cs="宋体"/>
          <w:bCs/>
          <w:szCs w:val="21"/>
        </w:rPr>
      </w:pPr>
      <w:r>
        <w:rPr>
          <w:rFonts w:hint="eastAsia" w:ascii="宋体" w:hAnsi="宋体" w:cs="宋体"/>
          <w:bCs/>
          <w:szCs w:val="21"/>
        </w:rPr>
        <w:t xml:space="preserve">响应单位针对本项目提供冻猪肉源头及质量控制方案：至少包括：①猪肉产地控制、②溯源管理体系、③质控检验体系。</w:t>
      </w:r>
      <w:r/>
    </w:p>
    <w:p>
      <w:pPr>
        <w:ind w:firstLine="420"/>
        <w:spacing w:line="360" w:lineRule="auto"/>
        <w:rPr>
          <w:rFonts w:ascii="宋体" w:hAnsi="宋体" w:cs="宋体"/>
          <w:bCs/>
          <w:szCs w:val="21"/>
        </w:rPr>
      </w:pPr>
      <w:r>
        <w:rPr>
          <w:rFonts w:hint="eastAsia" w:ascii="宋体" w:hAnsi="宋体" w:cs="宋体"/>
          <w:bCs/>
          <w:szCs w:val="21"/>
        </w:rPr>
        <w:t xml:space="preserve">方案内容完整合理、符合本项目实际需求的，每项得3分；每项方案内容基本合理的得2分；每项方案内容一般的得1分；未提供方案的得0分。最高得9分。</w:t>
      </w:r>
      <w:r/>
    </w:p>
    <w:p>
      <w:pPr>
        <w:ind w:firstLine="420"/>
        <w:spacing w:line="360" w:lineRule="auto"/>
        <w:rPr>
          <w:rFonts w:ascii="宋体" w:hAnsi="宋体" w:cs="宋体"/>
          <w:bCs/>
          <w:szCs w:val="21"/>
        </w:rPr>
      </w:pPr>
      <w:r>
        <w:rPr>
          <w:rFonts w:hint="eastAsia" w:ascii="宋体" w:hAnsi="宋体" w:cs="宋体"/>
          <w:bCs/>
          <w:szCs w:val="21"/>
        </w:rPr>
        <w:t xml:space="preserve">3.安全卫生管控方案，9分</w:t>
      </w:r>
      <w:r/>
    </w:p>
    <w:p>
      <w:pPr>
        <w:ind w:firstLine="420"/>
        <w:spacing w:line="360" w:lineRule="auto"/>
        <w:rPr>
          <w:rFonts w:ascii="宋体" w:hAnsi="宋体" w:cs="宋体"/>
          <w:bCs/>
          <w:szCs w:val="21"/>
        </w:rPr>
      </w:pPr>
      <w:r>
        <w:rPr>
          <w:rFonts w:hint="eastAsia" w:ascii="宋体" w:hAnsi="宋体" w:cs="宋体"/>
          <w:bCs/>
          <w:szCs w:val="21"/>
        </w:rPr>
        <w:t xml:space="preserve">响应单位针对本项目提供冻猪肉安全卫生管控方案：至少包括：①冻猪肉信息报送制度、②冷链运输流程管控、③储备工作人员健康证配备。</w:t>
      </w:r>
      <w:r/>
    </w:p>
    <w:p>
      <w:pPr>
        <w:ind w:firstLine="420"/>
        <w:spacing w:line="360" w:lineRule="auto"/>
        <w:rPr>
          <w:rFonts w:ascii="宋体" w:hAnsi="宋体" w:cs="宋体"/>
          <w:bCs/>
          <w:szCs w:val="21"/>
        </w:rPr>
      </w:pPr>
      <w:r>
        <w:rPr>
          <w:rFonts w:hint="eastAsia" w:ascii="宋体" w:hAnsi="宋体" w:cs="宋体"/>
          <w:bCs/>
          <w:szCs w:val="21"/>
        </w:rPr>
        <w:t xml:space="preserve">方案内容完整合理、符合本项目实际需求的，每项得3分；每项方案内容基本合理的得2分；每项方案内容一般的得1分；未提供方案的得0分。最高得9分。</w:t>
      </w:r>
      <w:r/>
    </w:p>
    <w:p>
      <w:pPr>
        <w:ind w:firstLine="420"/>
        <w:spacing w:line="360" w:lineRule="auto"/>
        <w:rPr>
          <w:rFonts w:ascii="宋体" w:hAnsi="宋体" w:cs="宋体"/>
          <w:bCs/>
          <w:szCs w:val="21"/>
        </w:rPr>
      </w:pPr>
      <w:r>
        <w:rPr>
          <w:rFonts w:hint="eastAsia" w:ascii="宋体" w:hAnsi="宋体" w:cs="宋体"/>
          <w:bCs/>
          <w:szCs w:val="21"/>
        </w:rPr>
        <w:t xml:space="preserve">4.轮换管理方案，9分</w:t>
      </w:r>
      <w:r/>
    </w:p>
    <w:p>
      <w:pPr>
        <w:ind w:firstLine="420"/>
        <w:spacing w:line="360" w:lineRule="auto"/>
        <w:rPr>
          <w:rFonts w:ascii="宋体" w:hAnsi="宋体" w:cs="宋体"/>
          <w:bCs/>
          <w:szCs w:val="21"/>
        </w:rPr>
      </w:pPr>
      <w:r>
        <w:rPr>
          <w:rFonts w:hint="eastAsia" w:ascii="宋体" w:hAnsi="宋体" w:cs="宋体"/>
          <w:bCs/>
          <w:szCs w:val="21"/>
        </w:rPr>
        <w:t xml:space="preserve">响应单位针对本项目提供冻猪肉轮换管理方案：至少包括：①轮换方式、②轮换周期与节奏、③轮换操作流程。</w:t>
      </w:r>
      <w:r/>
    </w:p>
    <w:p>
      <w:pPr>
        <w:ind w:firstLine="420"/>
        <w:spacing w:line="360" w:lineRule="auto"/>
        <w:rPr>
          <w:rFonts w:ascii="宋体" w:hAnsi="宋体" w:cs="宋体"/>
          <w:bCs/>
          <w:szCs w:val="21"/>
        </w:rPr>
      </w:pPr>
      <w:r>
        <w:rPr>
          <w:rFonts w:hint="eastAsia" w:ascii="宋体" w:hAnsi="宋体" w:cs="宋体"/>
          <w:bCs/>
          <w:szCs w:val="21"/>
        </w:rPr>
        <w:t xml:space="preserve">方案内容完整合理、符合本项目实际需求的，每项得3分；每项方案内容基本合理的得2分；每项方案内容一般的得1分；未提供方案的得0分。最高得9分。</w:t>
      </w:r>
      <w:r/>
    </w:p>
    <w:p>
      <w:pPr>
        <w:ind w:firstLine="420"/>
        <w:spacing w:line="360" w:lineRule="auto"/>
        <w:rPr>
          <w:rFonts w:ascii="宋体" w:hAnsi="宋体" w:cs="宋体"/>
          <w:bCs/>
          <w:szCs w:val="21"/>
        </w:rPr>
      </w:pPr>
      <w:r>
        <w:rPr>
          <w:rFonts w:hint="eastAsia" w:ascii="宋体" w:hAnsi="宋体" w:cs="宋体"/>
          <w:bCs/>
          <w:szCs w:val="21"/>
        </w:rPr>
        <w:t xml:space="preserve">5.响应单位针对本项目的应急措施方案，12分</w:t>
      </w:r>
      <w:r/>
    </w:p>
    <w:p>
      <w:pPr>
        <w:ind w:firstLine="420"/>
        <w:spacing w:line="360" w:lineRule="auto"/>
        <w:rPr>
          <w:rFonts w:ascii="宋体" w:hAnsi="宋体" w:cs="宋体"/>
          <w:bCs/>
          <w:szCs w:val="21"/>
        </w:rPr>
      </w:pPr>
      <w:r>
        <w:rPr>
          <w:rFonts w:hint="eastAsia" w:ascii="宋体" w:hAnsi="宋体" w:cs="宋体"/>
          <w:bCs/>
          <w:szCs w:val="21"/>
        </w:rPr>
        <w:t xml:space="preserve">响应单位针对本项目提供应急措施方案：至少包括：①质量安全与公共卫生事件应急预案、②储备库安全事故应急预案、③市场保供与紧急动用应急预案、④物流与供应链中断应急预案。</w:t>
      </w:r>
      <w:r/>
    </w:p>
    <w:p>
      <w:pPr>
        <w:ind w:firstLine="420"/>
        <w:spacing w:line="360" w:lineRule="auto"/>
        <w:rPr>
          <w:rFonts w:ascii="宋体" w:hAnsi="宋体" w:cs="宋体"/>
          <w:bCs/>
          <w:szCs w:val="21"/>
        </w:rPr>
      </w:pPr>
      <w:r>
        <w:rPr>
          <w:rFonts w:hint="eastAsia" w:ascii="宋体" w:hAnsi="宋体" w:cs="宋体"/>
          <w:bCs/>
          <w:szCs w:val="21"/>
        </w:rPr>
        <w:t xml:space="preserve">方案内容完整合理、符合本项目实际需求的，每项得3分；每项方案内容基本合理的得2分；每项方案内容一般的得1分；未提供方案的得0分。最高得12分。</w:t>
      </w:r>
      <w:r/>
    </w:p>
    <w:p>
      <w:pPr>
        <w:ind w:firstLine="420"/>
        <w:spacing w:line="360" w:lineRule="auto"/>
        <w:rPr>
          <w:rFonts w:ascii="宋体" w:hAnsi="宋体" w:cs="宋体"/>
          <w:bCs/>
          <w:szCs w:val="21"/>
        </w:rPr>
      </w:pPr>
      <w:r>
        <w:rPr>
          <w:rFonts w:hint="eastAsia" w:ascii="宋体" w:hAnsi="宋体" w:cs="宋体"/>
          <w:bCs/>
          <w:szCs w:val="21"/>
        </w:rPr>
        <w:t xml:space="preserve">6.人员与培训方案，9分</w:t>
      </w:r>
      <w:r/>
    </w:p>
    <w:p>
      <w:pPr>
        <w:ind w:firstLine="420"/>
        <w:spacing w:line="360" w:lineRule="auto"/>
        <w:rPr>
          <w:rFonts w:ascii="宋体" w:hAnsi="宋体" w:cs="宋体"/>
          <w:bCs/>
          <w:szCs w:val="21"/>
        </w:rPr>
      </w:pPr>
      <w:r>
        <w:rPr>
          <w:rFonts w:hint="eastAsia" w:ascii="宋体" w:hAnsi="宋体" w:cs="宋体"/>
          <w:bCs/>
          <w:szCs w:val="21"/>
        </w:rPr>
        <w:t xml:space="preserve">响应单位针对本项目提供人员培训方案：至少包括：①岗位配置、②年度培训计划、③培训内容及周期。</w:t>
      </w:r>
      <w:r/>
    </w:p>
    <w:p>
      <w:pPr>
        <w:ind w:firstLine="420"/>
        <w:spacing w:line="360" w:lineRule="auto"/>
        <w:rPr>
          <w:rFonts w:ascii="宋体" w:hAnsi="宋体" w:cs="宋体"/>
          <w:bCs/>
          <w:szCs w:val="21"/>
        </w:rPr>
      </w:pPr>
      <w:r>
        <w:rPr>
          <w:rFonts w:hint="eastAsia" w:ascii="宋体" w:hAnsi="宋体" w:cs="宋体"/>
          <w:bCs/>
          <w:szCs w:val="21"/>
        </w:rPr>
        <w:t xml:space="preserve">方案内容完整合理、符合本项目实际需求的，每项得3分；每项方案内容基本合理的得2分；每项方案内容一般的得1分；未提供方案的得0分。最高得9分</w:t>
      </w:r>
      <w:r/>
    </w:p>
    <w:p>
      <w:pPr>
        <w:ind w:firstLine="420"/>
        <w:spacing w:line="360" w:lineRule="auto"/>
        <w:rPr>
          <w:rFonts w:ascii="宋体" w:hAnsi="宋体" w:cs="宋体"/>
          <w:bCs/>
          <w:szCs w:val="21"/>
        </w:rPr>
      </w:pPr>
      <w:r>
        <w:rPr>
          <w:rFonts w:hint="eastAsia" w:ascii="宋体" w:hAnsi="宋体" w:cs="宋体"/>
          <w:bCs/>
          <w:szCs w:val="21"/>
        </w:rPr>
        <w:t xml:space="preserve">7.与采购人等部门的沟通配合方案，6分</w:t>
      </w:r>
      <w:r/>
    </w:p>
    <w:p>
      <w:pPr>
        <w:ind w:firstLine="420"/>
        <w:spacing w:line="360" w:lineRule="auto"/>
        <w:rPr>
          <w:rFonts w:ascii="宋体" w:hAnsi="宋体" w:cs="宋体"/>
          <w:bCs/>
          <w:szCs w:val="21"/>
        </w:rPr>
      </w:pPr>
      <w:r>
        <w:rPr>
          <w:rFonts w:hint="eastAsia" w:ascii="宋体" w:hAnsi="宋体" w:cs="宋体"/>
          <w:bCs/>
          <w:szCs w:val="21"/>
        </w:rPr>
        <w:t xml:space="preserve">响应单位针对本项目提供与采购人等部门的沟通配合方案：至少包括：①常态化沟通汇报机制、②配合监管与检查的执行方案、③应急状态下的协同联动。</w:t>
      </w:r>
      <w:r/>
    </w:p>
    <w:p>
      <w:pPr>
        <w:ind w:firstLine="420"/>
        <w:spacing w:line="360" w:lineRule="auto"/>
        <w:rPr>
          <w:rFonts w:ascii="宋体" w:hAnsi="宋体" w:cs="宋体"/>
          <w:bCs/>
          <w:szCs w:val="21"/>
        </w:rPr>
      </w:pPr>
      <w:r>
        <w:rPr>
          <w:rFonts w:hint="eastAsia" w:ascii="宋体" w:hAnsi="宋体" w:cs="宋体"/>
          <w:bCs/>
          <w:szCs w:val="21"/>
        </w:rPr>
        <w:t xml:space="preserve">方案内容完整合理、符合本项目实际需求的，每项得2分；每项方案内容基本合理的得1分；每项方案内容一般的得0.5分；未提供方案的得0分。最高得6分。</w:t>
      </w:r>
      <w:r/>
    </w:p>
    <w:p>
      <w:pPr>
        <w:ind w:firstLine="422"/>
        <w:spacing w:line="360" w:lineRule="auto"/>
        <w:rPr>
          <w:rFonts w:ascii="宋体" w:hAnsi="宋体" w:cs="宋体"/>
          <w:b/>
          <w:szCs w:val="21"/>
        </w:rPr>
      </w:pPr>
      <w:r>
        <w:rPr>
          <w:rFonts w:hint="eastAsia" w:ascii="宋体" w:hAnsi="宋体" w:cs="宋体"/>
          <w:b/>
          <w:szCs w:val="21"/>
        </w:rPr>
        <w:t xml:space="preserve">（三）响应单位综合履约能力情况（16分）</w:t>
      </w:r>
      <w:r/>
    </w:p>
    <w:p>
      <w:pPr>
        <w:ind w:firstLine="420"/>
        <w:spacing w:line="360" w:lineRule="auto"/>
        <w:rPr>
          <w:rFonts w:ascii="宋体" w:hAnsi="宋体" w:cs="宋体"/>
          <w:bCs/>
          <w:szCs w:val="21"/>
        </w:rPr>
      </w:pPr>
      <w:r>
        <w:rPr>
          <w:rFonts w:hint="eastAsia" w:ascii="宋体" w:hAnsi="宋体" w:cs="宋体"/>
          <w:bCs/>
          <w:szCs w:val="21"/>
        </w:rPr>
        <w:t xml:space="preserve">1、冷库存储能力情况（10分）</w:t>
      </w:r>
      <w:r/>
    </w:p>
    <w:p>
      <w:pPr>
        <w:ind w:firstLine="420"/>
        <w:spacing w:line="360" w:lineRule="auto"/>
        <w:rPr>
          <w:rFonts w:ascii="宋体" w:hAnsi="宋体" w:cs="宋体"/>
          <w:bCs/>
          <w:szCs w:val="21"/>
        </w:rPr>
      </w:pPr>
      <w:r>
        <w:rPr>
          <w:rFonts w:hint="eastAsia" w:ascii="宋体" w:hAnsi="宋体" w:cs="宋体"/>
          <w:bCs/>
          <w:szCs w:val="21"/>
        </w:rPr>
        <w:t xml:space="preserve">响应单位库址在苏州市区（</w:t>
      </w:r>
      <w:r>
        <w:rPr>
          <w:rFonts w:hint="eastAsia" w:ascii="宋体" w:hAnsi="宋体" w:cs="宋体"/>
          <w:szCs w:val="21"/>
        </w:rPr>
        <w:t xml:space="preserve">不含常熟、昆山、张家港、太仓）</w:t>
      </w:r>
      <w:r>
        <w:rPr>
          <w:rFonts w:hint="eastAsia" w:ascii="宋体" w:hAnsi="宋体" w:cs="宋体"/>
          <w:bCs/>
          <w:szCs w:val="21"/>
        </w:rPr>
        <w:t xml:space="preserve">范围内，交通便利，具有完成紧急配送任务的能力。冷库储存能力在满足采购需求350吨的基础上，每增加50吨储存能力的，得2分，最高为10分；</w:t>
      </w:r>
      <w:r/>
    </w:p>
    <w:p>
      <w:pPr>
        <w:ind w:firstLine="420"/>
        <w:spacing w:line="360" w:lineRule="auto"/>
        <w:rPr>
          <w:rFonts w:ascii="宋体" w:hAnsi="宋体" w:cs="宋体"/>
          <w:bCs/>
          <w:szCs w:val="21"/>
        </w:rPr>
      </w:pPr>
      <w:r>
        <w:rPr>
          <w:rFonts w:hint="eastAsia" w:ascii="宋体" w:hAnsi="宋体" w:cs="宋体"/>
          <w:bCs/>
          <w:szCs w:val="21"/>
        </w:rPr>
        <w:t xml:space="preserve">注：①供应商须同时提供储存冷库为供应商自有（产权归属于供应商）或租赁（租赁期涵盖本项目整个服务期）的证明材料、冷库储存能力（面积）证明材料、冷库所处地理位置证明材料，否则不得分。</w:t>
      </w:r>
      <w:r/>
    </w:p>
    <w:p>
      <w:pPr>
        <w:ind w:firstLine="420"/>
        <w:spacing w:line="360" w:lineRule="auto"/>
        <w:rPr>
          <w:rFonts w:ascii="宋体" w:hAnsi="宋体" w:cs="宋体"/>
          <w:bCs/>
          <w:szCs w:val="21"/>
        </w:rPr>
      </w:pPr>
      <w:r>
        <w:rPr>
          <w:rFonts w:hint="eastAsia" w:ascii="宋体" w:hAnsi="宋体" w:cs="宋体"/>
          <w:bCs/>
          <w:szCs w:val="21"/>
        </w:rPr>
        <w:t xml:space="preserve">②如冷库为供应商租赁（租赁期涵盖本项目整个服务期）的，供应商还需提供租赁冷库的产权证明材料，否则不得分。</w:t>
      </w:r>
      <w:r/>
    </w:p>
    <w:p>
      <w:pPr>
        <w:ind w:firstLine="420"/>
        <w:spacing w:line="360" w:lineRule="auto"/>
        <w:rPr>
          <w:rFonts w:ascii="宋体" w:hAnsi="宋体" w:cs="宋体"/>
          <w:bCs/>
          <w:szCs w:val="21"/>
        </w:rPr>
      </w:pPr>
      <w:r>
        <w:rPr>
          <w:rFonts w:hint="eastAsia" w:ascii="宋体" w:hAnsi="宋体" w:cs="宋体"/>
          <w:bCs/>
          <w:szCs w:val="21"/>
        </w:rPr>
        <w:t xml:space="preserve">2、无重大疫情事故承诺书（4分）</w:t>
      </w:r>
      <w:r/>
    </w:p>
    <w:p>
      <w:pPr>
        <w:ind w:firstLine="420"/>
        <w:spacing w:line="360" w:lineRule="auto"/>
        <w:rPr>
          <w:rFonts w:ascii="宋体" w:hAnsi="宋体" w:cs="宋体"/>
          <w:bCs/>
          <w:szCs w:val="21"/>
        </w:rPr>
      </w:pPr>
      <w:r>
        <w:rPr>
          <w:rFonts w:hint="eastAsia" w:ascii="宋体" w:hAnsi="宋体" w:cs="宋体"/>
          <w:bCs/>
          <w:szCs w:val="21"/>
        </w:rPr>
        <w:t xml:space="preserve">响应单位提供近三年内未发生过重大疫情事故的承诺书的得4分，不提供不得分。</w:t>
      </w:r>
      <w:r/>
    </w:p>
    <w:p>
      <w:pPr>
        <w:ind w:firstLine="420"/>
        <w:spacing w:line="360" w:lineRule="auto"/>
        <w:rPr>
          <w:rFonts w:ascii="宋体" w:hAnsi="宋体" w:cs="宋体"/>
          <w:bCs/>
          <w:szCs w:val="21"/>
        </w:rPr>
      </w:pPr>
      <w:r>
        <w:rPr>
          <w:rFonts w:hint="eastAsia" w:ascii="宋体" w:hAnsi="宋体" w:cs="宋体"/>
          <w:bCs/>
          <w:szCs w:val="21"/>
        </w:rPr>
        <w:t xml:space="preserve">3、类似项目（2分）</w:t>
      </w:r>
      <w:r/>
    </w:p>
    <w:p>
      <w:pPr>
        <w:ind w:firstLine="420"/>
        <w:spacing w:line="360" w:lineRule="auto"/>
        <w:rPr>
          <w:rFonts w:ascii="宋体" w:hAnsi="宋体" w:cs="宋体"/>
          <w:bCs/>
          <w:szCs w:val="21"/>
        </w:rPr>
      </w:pPr>
      <w:r>
        <w:rPr>
          <w:rFonts w:hint="eastAsia" w:ascii="宋体" w:hAnsi="宋体" w:cs="宋体"/>
          <w:bCs/>
          <w:szCs w:val="21"/>
        </w:rPr>
        <w:t xml:space="preserve">响应单位2022年1月1日（以合同签订日期为准）以来承担过类似项目的，有一个得1分，最高得2分。（响应文件中需提供业绩合同或协议扫描件，不提供的不得分。）</w:t>
      </w:r>
      <w:r/>
    </w:p>
    <w:p>
      <w:pPr>
        <w:spacing w:line="360" w:lineRule="auto"/>
        <w:rPr>
          <w:rFonts w:cs="宋体" w:asciiTheme="minorEastAsia" w:hAnsiTheme="minorEastAsia" w:eastAsiaTheme="minorEastAsia"/>
          <w:b/>
          <w:szCs w:val="21"/>
        </w:rPr>
      </w:pPr>
      <w:r>
        <w:rPr>
          <w:rFonts w:cs="宋体" w:asciiTheme="minorEastAsia" w:hAnsiTheme="minorEastAsia" w:eastAsiaTheme="minorEastAsia"/>
          <w:b/>
          <w:szCs w:val="21"/>
        </w:rPr>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注：</w:t>
      </w:r>
      <w:r/>
    </w:p>
    <w:p>
      <w:p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1、报价超过采购预算的将不进入综合评审程序，也不得成交。</w:t>
      </w:r>
      <w:r/>
    </w:p>
    <w:p>
      <w:p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2、付款步骤、服务期限如有负偏离的不得成交。</w:t>
      </w:r>
      <w:r/>
    </w:p>
    <w:p>
      <w:p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w:t>
      </w:r>
      <w:r>
        <w:rPr>
          <w:rFonts w:hint="eastAsia" w:ascii="宋体" w:hAnsi="宋体" w:cs="宋体"/>
          <w:szCs w:val="21"/>
        </w:rPr>
        <w:t xml:space="preserve">针对评分标准中评分的每一条，磋商响应单位均应提供相关资料并作出相应说明供评委评判，未提供相关资料或提供的相关资料不明确、不清晰评委而无法判断是否符合评分条件的视为不具备该项得分的条件</w:t>
      </w:r>
      <w:r>
        <w:rPr>
          <w:rFonts w:hint="eastAsia" w:cs="宋体" w:asciiTheme="minorEastAsia" w:hAnsiTheme="minorEastAsia" w:eastAsiaTheme="minorEastAsia"/>
          <w:szCs w:val="21"/>
        </w:rPr>
        <w:t xml:space="preserve">。</w:t>
      </w:r>
      <w:r/>
    </w:p>
    <w:p>
      <w:p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4、采购文件中要求加盖响应单位公章的，可用电子签章代替。</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四、合同主要条款及格式</w:t>
      </w:r>
      <w:r/>
    </w:p>
    <w:p>
      <w:pPr>
        <w:pStyle w:val="777"/>
        <w:ind w:firstLine="420"/>
        <w:spacing w:line="360" w:lineRule="auto"/>
        <w:widowControl w:val="off"/>
        <w:rPr>
          <w:rFonts w:hAnsi="宋体" w:eastAsia="宋体" w:cs="宋体"/>
          <w:sz w:val="21"/>
          <w:szCs w:val="21"/>
        </w:rPr>
      </w:pPr>
      <w:r>
        <w:rPr>
          <w:rFonts w:hAnsi="宋体" w:eastAsia="宋体" w:cs="宋体"/>
          <w:sz w:val="21"/>
          <w:szCs w:val="21"/>
        </w:rPr>
      </w:r>
      <w:r/>
    </w:p>
    <w:p>
      <w:pPr>
        <w:spacing w:line="360" w:lineRule="auto"/>
        <w:rPr>
          <w:rFonts w:ascii="宋体" w:hAnsi="宋体" w:cs="宋体"/>
        </w:rPr>
      </w:pPr>
      <w:r>
        <w:rPr>
          <w:rFonts w:hint="eastAsia" w:ascii="宋体" w:hAnsi="宋体" w:cs="宋体"/>
        </w:rPr>
        <w:t xml:space="preserve">合同编号：</w:t>
      </w:r>
      <w:r/>
    </w:p>
    <w:p>
      <w:pPr>
        <w:spacing w:line="360" w:lineRule="auto"/>
        <w:rPr>
          <w:rFonts w:ascii="宋体" w:hAnsi="宋体" w:cs="宋体"/>
        </w:rPr>
      </w:pPr>
      <w:r>
        <w:rPr>
          <w:rFonts w:hint="eastAsia" w:ascii="宋体" w:hAnsi="宋体" w:cs="宋体"/>
        </w:rPr>
        <w:t xml:space="preserve">甲方（采购单位）：苏州市姑苏区发展和改革局</w:t>
      </w:r>
      <w:r/>
    </w:p>
    <w:p>
      <w:pPr>
        <w:spacing w:line="360" w:lineRule="auto"/>
        <w:rPr>
          <w:rFonts w:ascii="宋体" w:hAnsi="宋体"/>
          <w:szCs w:val="21"/>
        </w:rPr>
      </w:pPr>
      <w:r>
        <w:rPr>
          <w:rFonts w:hint="eastAsia" w:ascii="宋体" w:hAnsi="宋体"/>
          <w:szCs w:val="21"/>
        </w:rPr>
        <w:t xml:space="preserve">联系人：</w:t>
      </w:r>
      <w:r/>
    </w:p>
    <w:p>
      <w:pPr>
        <w:spacing w:line="360" w:lineRule="auto"/>
        <w:rPr>
          <w:rFonts w:ascii="宋体" w:hAnsi="宋体"/>
          <w:szCs w:val="21"/>
        </w:rPr>
      </w:pPr>
      <w:r>
        <w:rPr>
          <w:rFonts w:hint="eastAsia" w:ascii="宋体" w:hAnsi="宋体"/>
          <w:szCs w:val="21"/>
        </w:rPr>
        <w:t xml:space="preserve">联系电话：</w:t>
      </w:r>
      <w:r/>
    </w:p>
    <w:p>
      <w:pPr>
        <w:spacing w:line="360" w:lineRule="auto"/>
        <w:rPr>
          <w:rFonts w:ascii="宋体" w:hAnsi="宋体"/>
          <w:szCs w:val="21"/>
        </w:rPr>
      </w:pPr>
      <w:r>
        <w:rPr>
          <w:rFonts w:hint="eastAsia" w:ascii="宋体" w:hAnsi="宋体"/>
          <w:szCs w:val="21"/>
        </w:rPr>
        <w:t xml:space="preserve">联系地址：</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乙方（成交单位）： </w:t>
      </w:r>
      <w:r/>
    </w:p>
    <w:p>
      <w:pPr>
        <w:spacing w:line="360" w:lineRule="auto"/>
        <w:rPr>
          <w:rFonts w:ascii="宋体" w:hAnsi="宋体"/>
          <w:szCs w:val="21"/>
        </w:rPr>
      </w:pPr>
      <w:r>
        <w:rPr>
          <w:rFonts w:hint="eastAsia" w:ascii="宋体" w:hAnsi="宋体"/>
          <w:szCs w:val="21"/>
        </w:rPr>
        <w:t xml:space="preserve">联系人：</w:t>
      </w:r>
      <w:r/>
    </w:p>
    <w:p>
      <w:pPr>
        <w:spacing w:line="360" w:lineRule="auto"/>
        <w:rPr>
          <w:rFonts w:ascii="宋体" w:hAnsi="宋体" w:cs="宋体"/>
          <w:szCs w:val="21"/>
        </w:rPr>
      </w:pPr>
      <w:r>
        <w:rPr>
          <w:rFonts w:hint="eastAsia" w:ascii="宋体" w:hAnsi="宋体"/>
          <w:szCs w:val="21"/>
        </w:rPr>
        <w:t xml:space="preserve">联系电话：</w:t>
      </w:r>
      <w:r/>
    </w:p>
    <w:p>
      <w:pPr>
        <w:spacing w:line="360" w:lineRule="auto"/>
        <w:rPr>
          <w:rFonts w:ascii="宋体" w:hAnsi="宋体"/>
          <w:szCs w:val="21"/>
        </w:rPr>
      </w:pPr>
      <w:r>
        <w:rPr>
          <w:rFonts w:hint="eastAsia" w:ascii="宋体" w:hAnsi="宋体"/>
          <w:szCs w:val="21"/>
        </w:rPr>
        <w:t xml:space="preserve">联系地址：</w:t>
      </w:r>
      <w:r/>
    </w:p>
    <w:p>
      <w:pPr>
        <w:spacing w:line="360" w:lineRule="auto"/>
        <w:rPr>
          <w:rFonts w:ascii="宋体" w:hAnsi="宋体" w:cs="宋体"/>
        </w:rPr>
      </w:pPr>
      <w:r>
        <w:rPr>
          <w:rFonts w:ascii="宋体" w:hAnsi="宋体" w:cs="宋体"/>
        </w:rPr>
      </w:r>
      <w:r/>
    </w:p>
    <w:p>
      <w:pPr>
        <w:ind w:firstLine="420"/>
        <w:spacing w:line="360" w:lineRule="auto"/>
        <w:rPr>
          <w:rFonts w:ascii="宋体" w:hAnsi="宋体"/>
          <w:szCs w:val="21"/>
        </w:rPr>
      </w:pPr>
      <w:r>
        <w:rPr>
          <w:rFonts w:hint="eastAsia" w:ascii="宋体" w:hAnsi="宋体"/>
          <w:szCs w:val="21"/>
        </w:rPr>
        <w:t xml:space="preserve">根据苏州市创杰招投标咨询服务有限公司磋商编号JSZC-320508-CJZB-C2026-0044号磋商采购文件及成交通知书，甲（采购单位）乙（成交单位）双方就此次成交的“”事宜，签订本合同书。</w:t>
      </w:r>
      <w:r/>
    </w:p>
    <w:p>
      <w:pPr>
        <w:ind w:firstLine="422"/>
        <w:spacing w:line="360" w:lineRule="auto"/>
        <w:rPr>
          <w:rFonts w:ascii="宋体" w:hAnsi="宋体" w:cs="宋体"/>
          <w:szCs w:val="21"/>
        </w:rPr>
      </w:pPr>
      <w:r>
        <w:rPr>
          <w:rFonts w:hint="eastAsia" w:ascii="宋体" w:hAnsi="宋体" w:cs="宋体"/>
          <w:b/>
          <w:bCs/>
          <w:szCs w:val="21"/>
        </w:rPr>
        <w:t xml:space="preserve">一、合同内容：</w:t>
      </w:r>
      <w:r>
        <w:rPr>
          <w:rFonts w:hint="eastAsia" w:ascii="宋体" w:hAnsi="宋体" w:cs="宋体"/>
          <w:szCs w:val="21"/>
        </w:rPr>
        <w:t xml:space="preserve">甲方委托乙方进行</w:t>
      </w:r>
      <w:r>
        <w:rPr>
          <w:rFonts w:hint="eastAsia" w:ascii="宋体" w:hAnsi="宋体" w:cs="宋体"/>
          <w:szCs w:val="21"/>
          <w:u w:val="single"/>
        </w:rPr>
        <w:t xml:space="preserve">苏州市姑苏区猪肉储备服务（2026-2028年）</w:t>
      </w:r>
      <w:r>
        <w:rPr>
          <w:rFonts w:hint="eastAsia" w:ascii="宋体" w:hAnsi="宋体" w:cs="宋体"/>
          <w:szCs w:val="21"/>
        </w:rPr>
        <w:t xml:space="preserve">项目，同时乙方须向甲方提供如下配套服务：完成苏州市姑苏区猪肉储备服务（2026-2028年）吨的猪肉储备量及其配套服务。</w:t>
      </w:r>
      <w:r/>
    </w:p>
    <w:p>
      <w:pPr>
        <w:ind w:firstLine="422"/>
        <w:spacing w:line="360" w:lineRule="auto"/>
        <w:rPr>
          <w:rFonts w:ascii="宋体" w:hAnsi="宋体" w:cs="宋体"/>
          <w:szCs w:val="21"/>
        </w:rPr>
      </w:pPr>
      <w:r>
        <w:rPr>
          <w:rFonts w:hint="eastAsia" w:ascii="宋体" w:hAnsi="宋体" w:cs="宋体"/>
          <w:b/>
          <w:bCs/>
          <w:szCs w:val="21"/>
        </w:rPr>
        <w:t xml:space="preserve">二、下列文件为本合同不可分割部分：</w:t>
      </w:r>
      <w:r/>
    </w:p>
    <w:p>
      <w:pPr>
        <w:ind w:firstLine="420"/>
        <w:spacing w:line="360" w:lineRule="auto"/>
        <w:rPr>
          <w:rFonts w:ascii="宋体" w:hAnsi="宋体" w:cs="宋体"/>
          <w:szCs w:val="21"/>
        </w:rPr>
      </w:pPr>
      <w:r>
        <w:rPr>
          <w:rFonts w:hint="eastAsia" w:ascii="宋体" w:hAnsi="宋体" w:cs="宋体"/>
          <w:szCs w:val="21"/>
        </w:rPr>
        <w:t xml:space="preserve">1、成交通知书；</w:t>
      </w:r>
      <w:r/>
    </w:p>
    <w:p>
      <w:pPr>
        <w:ind w:firstLine="420"/>
        <w:spacing w:line="360" w:lineRule="auto"/>
        <w:rPr>
          <w:rFonts w:ascii="宋体" w:hAnsi="宋体" w:cs="宋体"/>
          <w:szCs w:val="21"/>
        </w:rPr>
      </w:pPr>
      <w:r>
        <w:rPr>
          <w:rFonts w:hint="eastAsia" w:ascii="宋体" w:hAnsi="宋体" w:cs="宋体"/>
          <w:szCs w:val="21"/>
        </w:rPr>
        <w:t xml:space="preserve">2、采购文件及其补充文件（如有）；</w:t>
      </w:r>
      <w:r/>
    </w:p>
    <w:p>
      <w:pPr>
        <w:ind w:firstLine="420"/>
        <w:spacing w:line="360" w:lineRule="auto"/>
        <w:rPr>
          <w:rFonts w:ascii="宋体" w:hAnsi="宋体" w:cs="宋体"/>
          <w:szCs w:val="21"/>
        </w:rPr>
      </w:pPr>
      <w:r>
        <w:rPr>
          <w:rFonts w:hint="eastAsia" w:ascii="宋体" w:hAnsi="宋体" w:cs="宋体"/>
          <w:szCs w:val="21"/>
        </w:rPr>
        <w:t xml:space="preserve">3、乙方成交的响应文件及书面承诺；</w:t>
      </w:r>
      <w:r/>
    </w:p>
    <w:p>
      <w:pPr>
        <w:ind w:firstLine="422"/>
        <w:spacing w:line="360" w:lineRule="auto"/>
        <w:rPr>
          <w:rFonts w:ascii="宋体" w:hAnsi="宋体" w:cs="宋体"/>
          <w:szCs w:val="21"/>
        </w:rPr>
      </w:pPr>
      <w:r>
        <w:rPr>
          <w:rFonts w:hint="eastAsia" w:ascii="宋体" w:hAnsi="宋体" w:cs="宋体"/>
          <w:b/>
          <w:bCs/>
          <w:szCs w:val="21"/>
        </w:rPr>
        <w:t xml:space="preserve">三、价格与支付：</w:t>
      </w:r>
      <w:r/>
    </w:p>
    <w:p>
      <w:pPr>
        <w:ind w:firstLine="420"/>
        <w:spacing w:line="360" w:lineRule="auto"/>
        <w:rPr>
          <w:rFonts w:ascii="宋体" w:hAnsi="宋体" w:cs="宋体"/>
          <w:szCs w:val="21"/>
        </w:rPr>
      </w:pPr>
      <w:r>
        <w:rPr>
          <w:rFonts w:hint="eastAsia" w:ascii="宋体" w:hAnsi="宋体" w:cs="宋体"/>
          <w:szCs w:val="21"/>
        </w:rPr>
        <w:t xml:space="preserve">1、猪肉储备任务（吨）,单价 （元/吨），合同总价格为（元），合同总价格为完成所有工作的最终价格，包括完成本次猪肉的提供、包装、仓储、运输、网点维护、水电费、利润、税金、政策性文件规定及合同包含的所有风险、责任等各项应有费用。</w:t>
      </w:r>
      <w:r/>
    </w:p>
    <w:p>
      <w:pPr>
        <w:ind w:firstLine="420"/>
        <w:spacing w:line="360" w:lineRule="auto"/>
        <w:rPr>
          <w:rFonts w:ascii="宋体" w:hAnsi="宋体" w:cs="宋体"/>
          <w:szCs w:val="21"/>
        </w:rPr>
      </w:pPr>
      <w:r>
        <w:rPr>
          <w:rFonts w:hint="eastAsia" w:ascii="宋体" w:hAnsi="宋体" w:cs="宋体"/>
          <w:szCs w:val="21"/>
        </w:rPr>
        <w:t xml:space="preserve">2、付款步骤：（具体按照成交单价按实结算）</w:t>
      </w:r>
      <w:r/>
    </w:p>
    <w:p>
      <w:pPr>
        <w:ind w:firstLine="420"/>
        <w:spacing w:line="360" w:lineRule="auto"/>
        <w:rPr>
          <w:rFonts w:ascii="宋体" w:hAnsi="宋体" w:cs="宋体"/>
          <w:szCs w:val="21"/>
        </w:rPr>
      </w:pPr>
      <w:r>
        <w:rPr>
          <w:rFonts w:hint="eastAsia" w:ascii="宋体" w:hAnsi="宋体" w:cs="宋体"/>
          <w:bCs/>
          <w:szCs w:val="21"/>
        </w:rPr>
        <w:t xml:space="preserve">A、□在签订合同时，乙方明确表示需要甲方支付预付款的</w:t>
      </w:r>
      <w:r/>
    </w:p>
    <w:p>
      <w:pPr>
        <w:ind w:firstLine="420"/>
        <w:spacing w:line="360" w:lineRule="auto"/>
        <w:rPr>
          <w:rFonts w:ascii="宋体" w:hAnsi="宋体" w:cs="宋体" w:eastAsiaTheme="minorEastAsia"/>
          <w:szCs w:val="21"/>
        </w:rPr>
      </w:pPr>
      <w:r>
        <w:rPr>
          <w:rFonts w:hint="eastAsia" w:ascii="宋体" w:hAnsi="宋体" w:cs="宋体"/>
          <w:szCs w:val="21"/>
        </w:rPr>
        <w:t xml:space="preserve">（1）</w:t>
      </w:r>
      <w:r>
        <w:rPr>
          <w:rFonts w:hint="eastAsia" w:ascii="宋体" w:hAnsi="宋体" w:cs="宋体"/>
          <w:szCs w:val="20"/>
        </w:rPr>
        <w:t xml:space="preserve">合同签订后，甲方支付合同价的30%作为预付款。</w:t>
      </w:r>
      <w:r/>
    </w:p>
    <w:p>
      <w:pPr>
        <w:ind w:firstLine="420"/>
        <w:spacing w:line="360" w:lineRule="auto"/>
        <w:rPr>
          <w:rFonts w:ascii="宋体" w:hAnsi="宋体" w:cs="宋体"/>
          <w:szCs w:val="21"/>
        </w:rPr>
      </w:pPr>
      <w:r>
        <w:rPr>
          <w:rFonts w:hint="eastAsia" w:ascii="宋体" w:hAnsi="宋体" w:cs="宋体"/>
          <w:szCs w:val="21"/>
        </w:rPr>
        <w:t xml:space="preserve">（2）全部储备量到位后，甲方验收合格后一个月内支付合同总金额的20%；合同签订满壹年经甲方考核合格后，甲方支付合同总金额的30%；合同签订满两年经甲方考核合格后，甲方支付合同总金额的30%；合同期满经甲方考核合格后甲方支付合同总金额的20%尾款。甲方付款前</w:t>
      </w:r>
      <w:r>
        <w:rPr>
          <w:rFonts w:hint="eastAsia" w:ascii="宋体" w:hAnsi="宋体" w:cs="宋体"/>
          <w:szCs w:val="21"/>
          <w:u w:val="single"/>
        </w:rPr>
        <w:t xml:space="preserve">7个</w:t>
      </w:r>
      <w:r>
        <w:rPr>
          <w:rFonts w:hint="eastAsia" w:ascii="宋体" w:hAnsi="宋体" w:cs="宋体"/>
          <w:szCs w:val="21"/>
        </w:rPr>
        <w:t xml:space="preserve">工作日内，乙方需提供合格的发票等甲方要求的付款凭证资料，乙方未按约开具发票的，甲方有权迟延付款，且不承担逾期付款的违约责任。预付款按比例每次结算后扣除。</w:t>
      </w:r>
      <w:r/>
    </w:p>
    <w:p>
      <w:pPr>
        <w:ind w:firstLine="420"/>
        <w:spacing w:line="360" w:lineRule="auto"/>
        <w:rPr>
          <w:rFonts w:ascii="宋体" w:hAnsi="宋体" w:cs="宋体"/>
          <w:szCs w:val="21"/>
        </w:rPr>
      </w:pPr>
      <w:r>
        <w:rPr>
          <w:rFonts w:hint="eastAsia" w:ascii="宋体" w:hAnsi="宋体" w:cs="宋体"/>
          <w:bCs/>
          <w:szCs w:val="21"/>
        </w:rPr>
        <w:t xml:space="preserve">B、□在签订合同时，乙方明确表示无需甲方支付预付款的</w:t>
      </w:r>
      <w:r/>
    </w:p>
    <w:p>
      <w:pPr>
        <w:ind w:firstLine="420"/>
        <w:spacing w:line="360" w:lineRule="auto"/>
        <w:rPr>
          <w:rFonts w:ascii="宋体" w:hAnsi="宋体" w:cs="宋体"/>
          <w:szCs w:val="21"/>
        </w:rPr>
      </w:pPr>
      <w:r>
        <w:rPr>
          <w:rFonts w:hint="eastAsia" w:ascii="宋体" w:hAnsi="宋体" w:cs="宋体"/>
          <w:szCs w:val="21"/>
        </w:rPr>
        <w:t xml:space="preserve">全部储备量到位后，甲方验收合格后一个月内支付合同总金额的30%；合同签订满壹年经甲方考核合格后，甲方支付合同总金额的30%；合同签订满两年经甲方考核合格后，甲方支付合同总金额的30%；合同期满经甲方考核合格后甲方支付合同总金额的20%尾款。甲方付款前</w:t>
      </w:r>
      <w:r>
        <w:rPr>
          <w:rFonts w:hint="eastAsia" w:ascii="宋体" w:hAnsi="宋体" w:cs="宋体"/>
          <w:szCs w:val="21"/>
          <w:u w:val="single"/>
        </w:rPr>
        <w:t xml:space="preserve">7个</w:t>
      </w:r>
      <w:r>
        <w:rPr>
          <w:rFonts w:hint="eastAsia" w:ascii="宋体" w:hAnsi="宋体" w:cs="宋体"/>
          <w:szCs w:val="21"/>
        </w:rPr>
        <w:t xml:space="preserve">工作日内，乙方需提供合格的发票等甲方要求的付款凭证资料，乙方未按约开具发票的，甲方有权迟延付款，且不承担逾期付款的违约责任。</w:t>
      </w:r>
      <w:r/>
    </w:p>
    <w:p>
      <w:pPr>
        <w:ind w:firstLine="420"/>
        <w:spacing w:line="360" w:lineRule="auto"/>
        <w:rPr>
          <w:rFonts w:ascii="宋体" w:hAnsi="宋体" w:cs="宋体"/>
          <w:szCs w:val="21"/>
        </w:rPr>
      </w:pPr>
      <w:r>
        <w:rPr>
          <w:rFonts w:hint="eastAsia" w:ascii="宋体" w:hAnsi="宋体" w:cs="宋体"/>
          <w:szCs w:val="21"/>
        </w:rPr>
        <w:t xml:space="preserve">（3）考核明细具体见合同附件 </w:t>
      </w:r>
      <w:r/>
    </w:p>
    <w:p>
      <w:pPr>
        <w:numPr>
          <w:ilvl w:val="255"/>
          <w:numId w:val="0"/>
        </w:numPr>
        <w:ind w:firstLine="210"/>
        <w:spacing w:line="360" w:lineRule="auto"/>
        <w:rPr>
          <w:rFonts w:ascii="宋体" w:hAnsi="宋体" w:cs="宋体"/>
          <w:szCs w:val="21"/>
        </w:rPr>
      </w:pPr>
      <w:r>
        <w:rPr>
          <w:rFonts w:hint="eastAsia" w:ascii="宋体" w:hAnsi="宋体" w:cs="宋体"/>
          <w:szCs w:val="21"/>
        </w:rPr>
        <w:t xml:space="preserve">年度考评分在90分（含）以上则全额支付当期管理费；</w:t>
      </w:r>
      <w:r/>
    </w:p>
    <w:p>
      <w:pPr>
        <w:numPr>
          <w:ilvl w:val="255"/>
          <w:numId w:val="0"/>
        </w:numPr>
        <w:ind w:firstLine="210"/>
        <w:spacing w:line="360" w:lineRule="auto"/>
        <w:rPr>
          <w:rFonts w:ascii="宋体" w:hAnsi="宋体" w:cs="宋体"/>
          <w:szCs w:val="21"/>
        </w:rPr>
      </w:pPr>
      <w:r>
        <w:rPr>
          <w:rFonts w:hint="eastAsia" w:ascii="宋体" w:hAnsi="宋体" w:cs="宋体"/>
          <w:szCs w:val="21"/>
        </w:rPr>
        <w:t xml:space="preserve">年度考评分在80分以上90分以下则按每分500元扣除当期管理费并针对扣分项进行整改；</w:t>
      </w:r>
      <w:r/>
    </w:p>
    <w:p>
      <w:pPr>
        <w:numPr>
          <w:ilvl w:val="255"/>
          <w:numId w:val="0"/>
        </w:numPr>
        <w:ind w:firstLine="210"/>
        <w:spacing w:line="360" w:lineRule="auto"/>
        <w:rPr>
          <w:rFonts w:ascii="宋体" w:hAnsi="宋体" w:cs="宋体"/>
          <w:szCs w:val="21"/>
        </w:rPr>
      </w:pPr>
      <w:r>
        <w:rPr>
          <w:rFonts w:hint="eastAsia" w:ascii="宋体" w:hAnsi="宋体" w:cs="宋体"/>
          <w:szCs w:val="21"/>
        </w:rPr>
        <w:t xml:space="preserve">年度考评分在80分（含）以下则按每分500元扣款并加扣该周期费用5%，下达书面整改通知，限期完成；</w:t>
      </w:r>
      <w:r/>
    </w:p>
    <w:p>
      <w:pPr>
        <w:ind w:firstLine="420"/>
        <w:spacing w:line="360" w:lineRule="auto"/>
        <w:rPr>
          <w:rFonts w:ascii="宋体" w:hAnsi="宋体" w:cs="宋体"/>
          <w:szCs w:val="21"/>
        </w:rPr>
      </w:pPr>
      <w:r>
        <w:rPr>
          <w:rFonts w:hint="eastAsia" w:ascii="宋体" w:hAnsi="宋体" w:cs="宋体"/>
          <w:szCs w:val="21"/>
        </w:rPr>
        <w:t xml:space="preserve">年度考评分在60分（不含）以下则终止合同。</w:t>
      </w:r>
      <w:r/>
    </w:p>
    <w:p>
      <w:pPr>
        <w:numPr>
          <w:ilvl w:val="0"/>
          <w:numId w:val="4"/>
        </w:numPr>
        <w:ind w:firstLine="420"/>
        <w:spacing w:line="360" w:lineRule="auto"/>
        <w:rPr>
          <w:rFonts w:ascii="宋体" w:hAnsi="宋体" w:cs="宋体"/>
          <w:szCs w:val="21"/>
        </w:rPr>
      </w:pPr>
      <w:r>
        <w:rPr>
          <w:rFonts w:hint="eastAsia" w:ascii="宋体" w:hAnsi="宋体" w:cs="宋体"/>
          <w:szCs w:val="21"/>
        </w:rPr>
        <w:t xml:space="preserve">付款方式：数字人民币支付。</w:t>
      </w:r>
      <w:r/>
    </w:p>
    <w:p>
      <w:pPr>
        <w:ind w:firstLine="840"/>
        <w:spacing w:line="360" w:lineRule="auto"/>
        <w:rPr>
          <w:rFonts w:ascii="宋体" w:hAnsi="宋体" w:cs="宋体"/>
          <w:szCs w:val="21"/>
        </w:rPr>
      </w:pPr>
      <w:r>
        <w:rPr>
          <w:rFonts w:hint="eastAsia" w:ascii="宋体" w:hAnsi="宋体" w:cs="宋体"/>
          <w:szCs w:val="21"/>
        </w:rPr>
        <w:t xml:space="preserve">乙方开户名称：</w:t>
      </w:r>
      <w:r/>
    </w:p>
    <w:p>
      <w:pPr>
        <w:ind w:firstLine="840"/>
        <w:spacing w:line="360" w:lineRule="auto"/>
        <w:rPr>
          <w:rFonts w:ascii="宋体" w:hAnsi="宋体" w:cs="宋体"/>
          <w:szCs w:val="21"/>
        </w:rPr>
      </w:pPr>
      <w:r>
        <w:rPr>
          <w:rFonts w:hint="eastAsia" w:ascii="宋体" w:hAnsi="宋体" w:cs="宋体"/>
          <w:szCs w:val="21"/>
        </w:rPr>
        <w:t xml:space="preserve">开户银行：</w:t>
      </w:r>
      <w:r/>
    </w:p>
    <w:p>
      <w:pPr>
        <w:ind w:firstLine="840"/>
        <w:spacing w:line="360" w:lineRule="auto"/>
        <w:rPr>
          <w:rFonts w:ascii="宋体" w:hAnsi="宋体" w:cs="宋体"/>
          <w:szCs w:val="21"/>
        </w:rPr>
      </w:pPr>
      <w:r>
        <w:rPr>
          <w:rFonts w:hint="eastAsia" w:ascii="宋体" w:hAnsi="宋体" w:cs="宋体"/>
          <w:szCs w:val="21"/>
        </w:rPr>
        <w:t xml:space="preserve">数字人民币账号：</w:t>
      </w:r>
      <w:r/>
    </w:p>
    <w:p>
      <w:pPr>
        <w:ind w:firstLine="422"/>
        <w:spacing w:line="360" w:lineRule="auto"/>
        <w:rPr>
          <w:rFonts w:ascii="宋体" w:hAnsi="宋体" w:cs="宋体"/>
          <w:szCs w:val="21"/>
        </w:rPr>
      </w:pPr>
      <w:r>
        <w:rPr>
          <w:rFonts w:hint="eastAsia" w:ascii="宋体" w:hAnsi="宋体" w:cs="宋体"/>
          <w:b/>
          <w:bCs/>
          <w:szCs w:val="21"/>
        </w:rPr>
        <w:t xml:space="preserve">四、服务要求：具体见采购文件。</w:t>
      </w:r>
      <w:r/>
    </w:p>
    <w:p>
      <w:pPr>
        <w:ind w:firstLine="422"/>
        <w:spacing w:line="360" w:lineRule="auto"/>
        <w:rPr>
          <w:rFonts w:ascii="宋体" w:hAnsi="宋体" w:cs="宋体"/>
          <w:szCs w:val="21"/>
        </w:rPr>
      </w:pPr>
      <w:r>
        <w:rPr>
          <w:rFonts w:hint="eastAsia" w:ascii="宋体" w:hAnsi="宋体" w:cs="宋体"/>
          <w:b/>
          <w:bCs/>
          <w:szCs w:val="21"/>
        </w:rPr>
        <w:t xml:space="preserve">五、服务期限</w:t>
      </w:r>
      <w:r>
        <w:rPr>
          <w:rFonts w:hint="eastAsia" w:ascii="宋体" w:hAnsi="宋体" w:cs="宋体"/>
          <w:szCs w:val="21"/>
        </w:rPr>
        <w:t xml:space="preserve">：三年的储备期（  年  月  日至   年  月  日）。</w:t>
      </w:r>
      <w:r/>
    </w:p>
    <w:p>
      <w:pPr>
        <w:ind w:firstLine="422"/>
        <w:spacing w:line="360" w:lineRule="auto"/>
        <w:rPr>
          <w:rFonts w:ascii="宋体" w:hAnsi="宋体" w:cs="宋体"/>
          <w:b/>
          <w:bCs/>
          <w:szCs w:val="21"/>
        </w:rPr>
      </w:pPr>
      <w:r>
        <w:rPr>
          <w:rFonts w:hint="eastAsia" w:ascii="宋体" w:hAnsi="宋体" w:cs="宋体"/>
          <w:b/>
          <w:bCs/>
          <w:szCs w:val="21"/>
        </w:rPr>
        <w:t xml:space="preserve">六、履约验收：</w:t>
      </w:r>
      <w:r/>
    </w:p>
    <w:p>
      <w:pPr>
        <w:ind w:firstLine="420"/>
        <w:spacing w:line="360" w:lineRule="auto"/>
        <w:rPr>
          <w:rFonts w:ascii="宋体" w:hAnsi="宋体" w:cs="宋体" w:eastAsiaTheme="minorEastAsia"/>
          <w:szCs w:val="21"/>
        </w:rPr>
      </w:pPr>
      <w:r>
        <w:rPr>
          <w:rFonts w:hint="eastAsia" w:ascii="宋体" w:hAnsi="宋体" w:cs="宋体"/>
          <w:szCs w:val="21"/>
        </w:rPr>
        <w:t xml:space="preserve">1.甲方将根据《江苏省财政厅关于印发〈江苏省政府采购履约验收管理办法〉的通知》（苏财规〔2024〕7号）相关要求，组织项目履约验收基本工作。</w:t>
      </w:r>
      <w:r/>
    </w:p>
    <w:p>
      <w:pPr>
        <w:ind w:firstLine="420"/>
        <w:spacing w:line="360" w:lineRule="auto"/>
        <w:rPr>
          <w:rFonts w:ascii="宋体" w:hAnsi="宋体" w:cs="宋体"/>
          <w:szCs w:val="21"/>
        </w:rPr>
      </w:pPr>
      <w:r>
        <w:rPr>
          <w:rFonts w:hint="eastAsia" w:ascii="宋体" w:hAnsi="宋体" w:cs="宋体"/>
          <w:szCs w:val="21"/>
        </w:rPr>
        <w:t xml:space="preserve">2.政府采购合同要求、采购文件要求、响应文件、承诺等是履约验收的重要依据。</w:t>
      </w:r>
      <w:r/>
    </w:p>
    <w:p>
      <w:pPr>
        <w:ind w:firstLine="420"/>
        <w:spacing w:line="360" w:lineRule="auto"/>
        <w:rPr>
          <w:rFonts w:ascii="宋体" w:hAnsi="宋体" w:cs="宋体"/>
          <w:szCs w:val="21"/>
        </w:rPr>
      </w:pPr>
      <w:r>
        <w:rPr>
          <w:rFonts w:hint="eastAsia" w:ascii="宋体" w:hAnsi="宋体" w:cs="宋体"/>
          <w:szCs w:val="21"/>
        </w:rPr>
        <w:t xml:space="preserve">3.验收工作由甲方（采购人）组织实施，甲方可自行或委托具备资质的第三方专业机构进行。产生的相关费用由乙方负责承担。</w:t>
      </w:r>
      <w:r/>
    </w:p>
    <w:p>
      <w:pPr>
        <w:ind w:firstLine="420"/>
        <w:spacing w:line="360" w:lineRule="auto"/>
        <w:rPr>
          <w:rFonts w:ascii="宋体" w:hAnsi="宋体" w:cs="宋体"/>
          <w:szCs w:val="21"/>
        </w:rPr>
      </w:pPr>
      <w:r>
        <w:rPr>
          <w:rFonts w:hint="eastAsia" w:ascii="宋体" w:hAnsi="宋体" w:cs="宋体"/>
          <w:szCs w:val="21"/>
        </w:rPr>
        <w:t xml:space="preserve">4.</w:t>
      </w:r>
      <w:bookmarkStart w:id="12" w:name="_Hlk190634960"/>
      <w:r>
        <w:rPr>
          <w:rFonts w:hint="eastAsia" w:ascii="宋体" w:hAnsi="宋体" w:cs="宋体"/>
          <w:bCs/>
          <w:szCs w:val="21"/>
        </w:rPr>
        <w:t xml:space="preserve">甲方按照采购文件确定的验收方案或考核方案(包括履约验收的时间、方式、程序、范围等内容)，综合考核情况和服务效果进行验收。</w:t>
      </w:r>
      <w:bookmarkEnd w:id="12"/>
      <w:r>
        <w:rPr>
          <w:rFonts w:hint="eastAsia" w:ascii="宋体" w:hAnsi="宋体" w:cs="宋体"/>
          <w:szCs w:val="21"/>
        </w:rPr>
        <w:t xml:space="preserve">乙方应根据验收方案内容做好相应配合工作。</w:t>
      </w:r>
      <w:r/>
    </w:p>
    <w:p>
      <w:pPr>
        <w:ind w:firstLine="420"/>
        <w:spacing w:line="360" w:lineRule="auto"/>
        <w:rPr>
          <w:rFonts w:ascii="宋体" w:hAnsi="宋体" w:cs="宋体"/>
          <w:szCs w:val="21"/>
        </w:rPr>
      </w:pPr>
      <w:r>
        <w:rPr>
          <w:rFonts w:hint="eastAsia" w:ascii="宋体" w:hAnsi="宋体" w:cs="宋体"/>
          <w:szCs w:val="21"/>
        </w:rPr>
        <w:t xml:space="preserve">5.甲方按照采购合同的约定对乙方的履约情况进行验收。验收时，甲方按照采购合同的约定对每一项履约情况进行确认。验收结束后，甲方出具验收记录，列明验收情况，由验收双方共同签署。验收结果与采购合同约定的资金支付及履约保证金（如有）返还条件挂钩。履约验收的各项资料存档备查。</w:t>
      </w:r>
      <w:r/>
    </w:p>
    <w:p>
      <w:pPr>
        <w:ind w:firstLine="420"/>
        <w:spacing w:line="360" w:lineRule="auto"/>
        <w:rPr>
          <w:rFonts w:ascii="宋体" w:hAnsi="宋体" w:cs="宋体"/>
          <w:szCs w:val="21"/>
        </w:rPr>
      </w:pPr>
      <w:r>
        <w:rPr>
          <w:rFonts w:hint="eastAsia" w:ascii="宋体" w:hAnsi="宋体" w:cs="宋体"/>
          <w:szCs w:val="21"/>
        </w:rPr>
        <w:t xml:space="preserve">6.验收合格的项目，甲方根据采购合同的约定及时向乙方支付合同款项。验收不合格的项目，甲方依法及时处理。</w:t>
      </w:r>
      <w:r/>
    </w:p>
    <w:p>
      <w:pPr>
        <w:pStyle w:val="1020"/>
        <w:ind w:firstLine="422"/>
        <w:jc w:val="left"/>
        <w:spacing w:line="360" w:lineRule="auto"/>
        <w:tabs>
          <w:tab w:val="left" w:pos="857" w:leader="none"/>
        </w:tabs>
        <w:rPr>
          <w:b/>
          <w:bCs/>
          <w:color w:val="auto"/>
          <w:sz w:val="21"/>
          <w:szCs w:val="21"/>
          <w:lang w:val="en-US" w:bidi="ar-SA"/>
        </w:rPr>
      </w:pPr>
      <w:r>
        <w:rPr>
          <w:rFonts w:hint="eastAsia"/>
          <w:b/>
          <w:bCs/>
          <w:color w:val="auto"/>
          <w:sz w:val="21"/>
          <w:szCs w:val="21"/>
          <w:lang w:val="en-US" w:bidi="ar-SA"/>
        </w:rPr>
        <w:t xml:space="preserve">七、违约责任：</w:t>
      </w:r>
      <w:r/>
    </w:p>
    <w:p>
      <w:pPr>
        <w:ind w:firstLine="420"/>
        <w:spacing w:line="360" w:lineRule="auto"/>
        <w:rPr>
          <w:rFonts w:ascii="宋体" w:hAnsi="宋体" w:cs="宋体"/>
          <w:szCs w:val="21"/>
        </w:rPr>
      </w:pPr>
      <w:r>
        <w:rPr>
          <w:rFonts w:hint="eastAsia" w:ascii="宋体" w:hAnsi="宋体" w:cs="宋体"/>
          <w:szCs w:val="21"/>
        </w:rPr>
        <w:t xml:space="preserve">1.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20"/>
        <w:spacing w:line="360" w:lineRule="auto"/>
        <w:rPr>
          <w:rFonts w:ascii="宋体" w:hAnsi="宋体" w:cs="宋体"/>
          <w:szCs w:val="21"/>
        </w:rPr>
      </w:pPr>
      <w:r>
        <w:rPr>
          <w:rFonts w:hint="eastAsia" w:ascii="宋体" w:hAnsi="宋体" w:cs="宋体"/>
          <w:szCs w:val="21"/>
        </w:rPr>
        <w:t xml:space="preserve">2.乙方在承担上述一项或多项违约责任后，仍应继续履行合同规定的义务（甲方解除合同的除外）</w:t>
      </w:r>
      <w:r>
        <w:rPr>
          <w:rFonts w:hint="eastAsia" w:ascii="宋体" w:hAnsi="宋体" w:cs="宋体"/>
          <w:szCs w:val="21"/>
        </w:rPr>
        <w:t xml:space="preserve">。甲方未能及时追究乙方的任何一项违约责任并不表明甲方放弃追究乙方该项或其他违约责任。</w:t>
      </w:r>
      <w:r/>
    </w:p>
    <w:p>
      <w:pPr>
        <w:ind w:firstLine="420"/>
        <w:spacing w:line="360" w:lineRule="auto"/>
        <w:rPr>
          <w:rFonts w:ascii="宋体" w:hAnsi="宋体" w:cs="宋体"/>
          <w:szCs w:val="21"/>
        </w:rPr>
      </w:pPr>
      <w:r>
        <w:rPr>
          <w:rFonts w:hint="eastAsia" w:ascii="宋体" w:hAnsi="宋体" w:cs="宋体"/>
          <w:szCs w:val="21"/>
        </w:rPr>
        <w:t xml:space="preserve">3.乙方若需终止合同，应在合同有限期内提前一个月通知甲方。在协议有效期内乙方不得擅自变更或终止此项合同，否则须向甲方支付合同总金额30%的违约金，并应按造成的实际损失对甲方进行赔偿。</w:t>
      </w:r>
      <w:r/>
    </w:p>
    <w:p>
      <w:pPr>
        <w:ind w:firstLine="420"/>
        <w:spacing w:line="360" w:lineRule="auto"/>
        <w:rPr>
          <w:rFonts w:ascii="宋体" w:hAnsi="宋体" w:cs="宋体"/>
          <w:szCs w:val="21"/>
        </w:rPr>
      </w:pPr>
      <w:r>
        <w:rPr>
          <w:rFonts w:hint="eastAsia" w:ascii="宋体" w:hAnsi="宋体" w:cs="宋体"/>
          <w:szCs w:val="21"/>
        </w:rPr>
        <w:t xml:space="preserve">4.若乙方在履行合同过程中出现严重失职或者乙方的年度考核得分低于60分，甲方有权因乙方服务存严重瑕疵解除本合同，同时乙方须向甲方支付合同总额的20%的赔偿金。</w:t>
      </w:r>
      <w:r/>
    </w:p>
    <w:p>
      <w:pPr>
        <w:ind w:firstLine="422"/>
        <w:spacing w:line="360" w:lineRule="auto"/>
        <w:rPr>
          <w:rFonts w:ascii="宋体" w:hAnsi="宋体" w:cs="宋体"/>
          <w:b/>
          <w:bCs/>
          <w:szCs w:val="21"/>
        </w:rPr>
      </w:pPr>
      <w:r>
        <w:rPr>
          <w:rFonts w:hint="eastAsia" w:ascii="宋体" w:hAnsi="宋体" w:cs="宋体"/>
          <w:b/>
          <w:bCs/>
          <w:szCs w:val="21"/>
        </w:rPr>
        <w:t xml:space="preserve">八、合同生效及其它：</w:t>
      </w:r>
      <w:r/>
    </w:p>
    <w:p>
      <w:pPr>
        <w:ind w:firstLine="420"/>
        <w:spacing w:line="360" w:lineRule="auto"/>
        <w:rPr>
          <w:rFonts w:ascii="宋体" w:hAnsi="宋体" w:cs="宋体"/>
          <w:szCs w:val="21"/>
        </w:rPr>
      </w:pPr>
      <w:r>
        <w:rPr>
          <w:rFonts w:hint="eastAsia" w:ascii="宋体" w:hAnsi="宋体" w:cs="宋体"/>
          <w:szCs w:val="21"/>
        </w:rPr>
        <w:t xml:space="preserve">1.合同经招标代理机构加盖骑缝章，甲乙双方代表签字并加盖公章（或合同章）。</w:t>
      </w:r>
      <w:r/>
    </w:p>
    <w:p>
      <w:pPr>
        <w:ind w:firstLine="420"/>
        <w:spacing w:line="360" w:lineRule="auto"/>
        <w:rPr>
          <w:rFonts w:ascii="宋体" w:hAnsi="宋体" w:cs="宋体"/>
          <w:szCs w:val="21"/>
        </w:rPr>
      </w:pPr>
      <w:r>
        <w:rPr>
          <w:rFonts w:hint="eastAsia" w:ascii="宋体" w:hAnsi="宋体" w:cs="宋体"/>
          <w:szCs w:val="21"/>
        </w:rPr>
        <w:t xml:space="preserve">2.在合同履行过程中，发生的任何争议，各方应友好协商解决，如不能协商解决时，任何一方可向甲方所在地人民法院提起诉讼。因乙方违约或乙方追究甲方违约但不成立，导致甲方为处理此纠纷产生的费用由乙方承担，该费用包括但不限于公证费、诉讼费、保全费、鉴定费、执行费、律师费、差旅费等。</w:t>
      </w:r>
      <w:r/>
    </w:p>
    <w:p>
      <w:pPr>
        <w:ind w:firstLine="420"/>
        <w:spacing w:line="360" w:lineRule="auto"/>
        <w:rPr>
          <w:rFonts w:ascii="宋体" w:hAnsi="宋体" w:cs="宋体"/>
          <w:szCs w:val="21"/>
        </w:rPr>
      </w:pPr>
      <w:r>
        <w:rPr>
          <w:rFonts w:hint="eastAsia" w:ascii="宋体" w:hAnsi="宋体" w:cs="宋体"/>
          <w:szCs w:val="21"/>
        </w:rPr>
        <w:t xml:space="preserve">3.合同在执行过程中出现的未尽事宜，双方在不违背本合同和采购文件的原则下协商解决，协商结果以书面形式盖章记录在案，作为本合同的附件，与本合同具有同等效力，但需提交招标代理机构一份备存。</w:t>
      </w:r>
      <w:r/>
    </w:p>
    <w:p>
      <w:pPr>
        <w:ind w:firstLine="420"/>
        <w:spacing w:line="360" w:lineRule="auto"/>
        <w:rPr>
          <w:rFonts w:ascii="宋体" w:hAnsi="宋体" w:cs="宋体"/>
          <w:szCs w:val="21"/>
        </w:rPr>
      </w:pPr>
      <w:r>
        <w:rPr>
          <w:rFonts w:hint="eastAsia" w:ascii="宋体" w:hAnsi="宋体" w:cs="宋体"/>
          <w:szCs w:val="21"/>
        </w:rPr>
        <w:t xml:space="preserve">4.本合同一式叁份，甲乙双方和招标代理机构各执壹份，具备同等法律效力。</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甲方：                      乙方：             </w:t>
      </w:r>
      <w:r/>
    </w:p>
    <w:p>
      <w:pPr>
        <w:spacing w:line="360" w:lineRule="auto"/>
        <w:rPr>
          <w:rFonts w:ascii="宋体" w:hAnsi="宋体" w:cs="宋体"/>
          <w:szCs w:val="21"/>
        </w:rPr>
      </w:pPr>
      <w:r>
        <w:rPr>
          <w:rFonts w:hint="eastAsia" w:ascii="宋体" w:hAnsi="宋体" w:cs="宋体"/>
          <w:szCs w:val="21"/>
        </w:rPr>
        <w:t xml:space="preserve">法定代表人（授权代表）：    法定代表人（授权代表）：  </w:t>
      </w:r>
      <w:r/>
    </w:p>
    <w:p>
      <w:pPr>
        <w:spacing w:line="360" w:lineRule="auto"/>
        <w:rPr>
          <w:rFonts w:ascii="宋体" w:hAnsi="宋体" w:cs="宋体"/>
          <w:szCs w:val="21"/>
        </w:rPr>
      </w:pPr>
      <w:r>
        <w:rPr>
          <w:rFonts w:hint="eastAsia" w:ascii="宋体" w:hAnsi="宋体" w:cs="宋体"/>
          <w:szCs w:val="21"/>
        </w:rPr>
        <w:t xml:space="preserve">签约日期：                  签约日期</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合同附件：</w:t>
      </w:r>
      <w:r>
        <w:rPr>
          <w:rFonts w:hint="eastAsia"/>
        </w:rPr>
        <w:t xml:space="preserve">苏州市姑苏区猪肉储备服务考核明细</w:t>
      </w:r>
      <w:r/>
    </w:p>
    <w:p>
      <w:pPr>
        <w:jc w:val="center"/>
        <w:spacing w:line="360" w:lineRule="auto"/>
        <w:rPr>
          <w:rFonts w:ascii="宋体" w:hAnsi="宋体" w:cs="宋体"/>
          <w:szCs w:val="21"/>
        </w:rPr>
      </w:pPr>
      <w:r>
        <w:rPr>
          <w:rFonts w:hint="eastAsia"/>
        </w:rPr>
        <w:t xml:space="preserve">苏州市姑苏区猪肉储备服务考核明细</w:t>
      </w:r>
      <w:r/>
    </w:p>
    <w:tbl>
      <w:tblPr>
        <w:tblStyle w:val="799"/>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57"/>
        <w:gridCol w:w="1383"/>
        <w:gridCol w:w="4667"/>
        <w:gridCol w:w="662"/>
        <w:gridCol w:w="688"/>
        <w:gridCol w:w="653"/>
      </w:tblGrid>
      <w:tr>
        <w:trPr/>
        <w:tc>
          <w:tcPr>
            <w:tcW w:w="1652" w:type="dxa"/>
            <w:textDirection w:val="lrTb"/>
            <w:noWrap w:val="false"/>
          </w:tcPr>
          <w:p>
            <w:pPr>
              <w:rPr>
                <w:rFonts w:ascii="宋体" w:hAnsi="宋体" w:cs="宋体"/>
                <w:szCs w:val="21"/>
              </w:rPr>
            </w:pPr>
            <w:r>
              <w:rPr>
                <w:rFonts w:hint="eastAsia" w:ascii="宋体" w:hAnsi="宋体" w:cs="宋体"/>
                <w:szCs w:val="21"/>
              </w:rPr>
              <w:t xml:space="preserve">考核类别</w:t>
            </w:r>
            <w:r/>
          </w:p>
        </w:tc>
        <w:tc>
          <w:tcPr>
            <w:tcW w:w="1383" w:type="dxa"/>
            <w:textDirection w:val="lrTb"/>
            <w:noWrap w:val="false"/>
          </w:tcPr>
          <w:p>
            <w:pPr>
              <w:rPr>
                <w:rFonts w:ascii="宋体" w:hAnsi="宋体" w:cs="宋体"/>
                <w:szCs w:val="21"/>
              </w:rPr>
            </w:pPr>
            <w:r>
              <w:rPr>
                <w:rFonts w:hint="eastAsia" w:ascii="宋体" w:hAnsi="宋体" w:cs="宋体"/>
                <w:szCs w:val="21"/>
              </w:rPr>
              <w:t xml:space="preserve">考核项目</w:t>
            </w:r>
            <w:r/>
          </w:p>
        </w:tc>
        <w:tc>
          <w:tcPr>
            <w:tcW w:w="4667" w:type="dxa"/>
            <w:textDirection w:val="lrTb"/>
            <w:noWrap w:val="false"/>
          </w:tcPr>
          <w:p>
            <w:pPr>
              <w:rPr>
                <w:rFonts w:ascii="宋体" w:hAnsi="宋体" w:cs="宋体"/>
                <w:szCs w:val="21"/>
              </w:rPr>
            </w:pPr>
            <w:r>
              <w:rPr>
                <w:rFonts w:hint="eastAsia" w:ascii="宋体" w:hAnsi="宋体" w:cs="宋体"/>
                <w:szCs w:val="21"/>
              </w:rPr>
              <w:t xml:space="preserve">考核标准与评分细则</w:t>
            </w:r>
            <w:r/>
          </w:p>
        </w:tc>
        <w:tc>
          <w:tcPr>
            <w:tcW w:w="662" w:type="dxa"/>
            <w:textDirection w:val="lrTb"/>
            <w:noWrap w:val="false"/>
          </w:tcPr>
          <w:p>
            <w:pPr>
              <w:rPr>
                <w:rFonts w:ascii="宋体" w:hAnsi="宋体" w:cs="宋体"/>
                <w:szCs w:val="21"/>
              </w:rPr>
            </w:pPr>
            <w:r>
              <w:rPr>
                <w:rFonts w:hint="eastAsia" w:ascii="宋体" w:hAnsi="宋体" w:cs="宋体"/>
                <w:szCs w:val="21"/>
              </w:rPr>
              <w:t xml:space="preserve">分值</w:t>
            </w:r>
            <w:r/>
          </w:p>
        </w:tc>
        <w:tc>
          <w:tcPr>
            <w:tcW w:w="688" w:type="dxa"/>
            <w:textDirection w:val="lrTb"/>
            <w:noWrap w:val="false"/>
          </w:tcPr>
          <w:p>
            <w:pPr>
              <w:rPr>
                <w:rFonts w:ascii="宋体" w:hAnsi="宋体" w:cs="宋体"/>
                <w:szCs w:val="21"/>
              </w:rPr>
            </w:pPr>
            <w:r>
              <w:rPr>
                <w:rFonts w:hint="eastAsia" w:ascii="宋体" w:hAnsi="宋体" w:cs="宋体"/>
                <w:szCs w:val="21"/>
              </w:rPr>
              <w:t xml:space="preserve">得分</w:t>
            </w:r>
            <w:r/>
          </w:p>
        </w:tc>
        <w:tc>
          <w:tcPr>
            <w:tcW w:w="653" w:type="dxa"/>
            <w:textDirection w:val="lrTb"/>
            <w:noWrap w:val="false"/>
          </w:tcPr>
          <w:p>
            <w:pPr>
              <w:rPr>
                <w:rFonts w:ascii="宋体" w:hAnsi="宋体" w:cs="宋体"/>
                <w:szCs w:val="21"/>
              </w:rPr>
            </w:pPr>
            <w:r>
              <w:rPr>
                <w:rFonts w:hint="eastAsia" w:ascii="宋体" w:hAnsi="宋体" w:cs="宋体"/>
                <w:szCs w:val="21"/>
              </w:rPr>
              <w:t xml:space="preserve">备注</w:t>
            </w:r>
            <w:r/>
          </w:p>
        </w:tc>
      </w:tr>
      <w:tr>
        <w:trPr/>
        <w:tc>
          <w:tcPr>
            <w:tcW w:w="1652" w:type="dxa"/>
            <w:vMerge w:val="restart"/>
            <w:textDirection w:val="lrTb"/>
            <w:noWrap w:val="false"/>
          </w:tcPr>
          <w:p>
            <w:pPr>
              <w:rPr>
                <w:rFonts w:ascii="宋体" w:hAnsi="宋体" w:cs="宋体"/>
                <w:szCs w:val="21"/>
              </w:rPr>
            </w:pPr>
            <w:r>
              <w:rPr>
                <w:rFonts w:hint="eastAsia" w:ascii="宋体" w:hAnsi="宋体" w:cs="宋体"/>
                <w:szCs w:val="21"/>
              </w:rPr>
              <w:t xml:space="preserve">一、数量与台账管理 (20分)</w:t>
            </w:r>
            <w:r/>
          </w:p>
        </w:tc>
        <w:tc>
          <w:tcPr>
            <w:tcW w:w="1383" w:type="dxa"/>
            <w:textDirection w:val="lrTb"/>
            <w:noWrap w:val="false"/>
          </w:tcPr>
          <w:p>
            <w:pPr>
              <w:rPr>
                <w:rFonts w:ascii="宋体" w:hAnsi="宋体" w:cs="宋体"/>
                <w:szCs w:val="21"/>
              </w:rPr>
            </w:pPr>
            <w:r>
              <w:rPr>
                <w:rFonts w:hint="eastAsia" w:ascii="宋体" w:hAnsi="宋体" w:cs="宋体"/>
                <w:szCs w:val="21"/>
              </w:rPr>
              <w:t xml:space="preserve">1.1 储备数量准确性</w:t>
            </w:r>
            <w:r/>
          </w:p>
        </w:tc>
        <w:tc>
          <w:tcPr>
            <w:tcW w:w="4667" w:type="dxa"/>
            <w:textDirection w:val="lrTb"/>
            <w:noWrap w:val="false"/>
          </w:tcPr>
          <w:p>
            <w:pPr>
              <w:rPr>
                <w:rFonts w:ascii="宋体" w:hAnsi="宋体" w:cs="宋体"/>
                <w:szCs w:val="21"/>
              </w:rPr>
            </w:pPr>
            <w:r>
              <w:rPr>
                <w:rFonts w:hint="eastAsia" w:ascii="宋体" w:hAnsi="宋体" w:cs="宋体"/>
                <w:szCs w:val="21"/>
              </w:rPr>
              <w:t xml:space="preserve">实际在库数量与计划任务完全一致，账实相符率达100%。每发现一个品种短缺或溢余超过±0.3%，扣2分，扣完为止。库存为0的，本项0分</w:t>
            </w:r>
            <w:r/>
          </w:p>
        </w:tc>
        <w:tc>
          <w:tcPr>
            <w:tcW w:w="662" w:type="dxa"/>
            <w:textDirection w:val="lrTb"/>
            <w:noWrap w:val="false"/>
          </w:tcPr>
          <w:p>
            <w:pPr>
              <w:rPr>
                <w:rFonts w:ascii="宋体" w:hAnsi="宋体" w:cs="宋体"/>
                <w:szCs w:val="21"/>
              </w:rPr>
            </w:pPr>
            <w:r>
              <w:rPr>
                <w:rFonts w:hint="eastAsia" w:ascii="宋体" w:hAnsi="宋体" w:cs="宋体"/>
                <w:szCs w:val="21"/>
              </w:rPr>
              <w:t xml:space="preserve">8</w:t>
            </w:r>
            <w:r/>
          </w:p>
        </w:tc>
        <w:tc>
          <w:tcPr>
            <w:tcW w:w="688" w:type="dxa"/>
            <w:textDirection w:val="lrTb"/>
            <w:noWrap w:val="false"/>
          </w:tcPr>
          <w:p>
            <w:pPr>
              <w:rPr>
                <w:rFonts w:ascii="宋体" w:hAnsi="宋体" w:cs="宋体"/>
                <w:szCs w:val="21"/>
              </w:rPr>
            </w:pPr>
            <w:r/>
            <w:bookmarkStart w:id="13" w:name="_GoBack"/>
            <w:r/>
            <w:bookmarkEnd w:id="13"/>
            <w:r/>
            <w:r/>
          </w:p>
        </w:tc>
        <w:tc>
          <w:tcPr>
            <w:tcW w:w="653" w:type="dxa"/>
            <w:textDirection w:val="lrTb"/>
            <w:noWrap w:val="false"/>
          </w:tcPr>
          <w:p>
            <w:pPr>
              <w:rPr>
                <w:rFonts w:ascii="宋体" w:hAnsi="宋体" w:cs="宋体"/>
                <w:szCs w:val="21"/>
              </w:rPr>
            </w:pPr>
            <w:r>
              <w:rPr>
                <w:rFonts w:ascii="宋体" w:hAnsi="宋体" w:cs="宋体"/>
                <w:szCs w:val="21"/>
              </w:rPr>
            </w:r>
            <w:r/>
          </w:p>
        </w:tc>
      </w:tr>
      <w:tr>
        <w:trPr/>
        <w:tc>
          <w:tcPr>
            <w:tcW w:w="1652" w:type="dxa"/>
            <w:vMerge w:val="continue"/>
            <w:textDirection w:val="lrTb"/>
            <w:noWrap w:val="false"/>
          </w:tcPr>
          <w:p>
            <w:pPr>
              <w:rPr>
                <w:rFonts w:ascii="宋体" w:hAnsi="宋体" w:cs="宋体"/>
                <w:szCs w:val="21"/>
              </w:rPr>
            </w:pPr>
            <w:r>
              <w:rPr>
                <w:rFonts w:ascii="宋体" w:hAnsi="宋体" w:cs="宋体"/>
                <w:szCs w:val="21"/>
              </w:rPr>
            </w:r>
            <w:r/>
          </w:p>
        </w:tc>
        <w:tc>
          <w:tcPr>
            <w:tcW w:w="1383" w:type="dxa"/>
            <w:vMerge w:val="restart"/>
            <w:textDirection w:val="lrTb"/>
            <w:noWrap w:val="false"/>
          </w:tcPr>
          <w:p>
            <w:pPr>
              <w:rPr>
                <w:rFonts w:ascii="宋体" w:hAnsi="宋体" w:cs="宋体"/>
                <w:szCs w:val="21"/>
              </w:rPr>
            </w:pPr>
            <w:r>
              <w:rPr>
                <w:rFonts w:hint="eastAsia" w:ascii="宋体" w:hAnsi="宋体" w:cs="宋体"/>
                <w:szCs w:val="21"/>
              </w:rPr>
              <w:t xml:space="preserve">1.2 台账与信息化管理</w:t>
            </w:r>
            <w:r/>
          </w:p>
        </w:tc>
        <w:tc>
          <w:tcPr>
            <w:tcW w:w="4667" w:type="dxa"/>
            <w:textDirection w:val="lrTb"/>
            <w:noWrap w:val="false"/>
          </w:tcPr>
          <w:p>
            <w:pPr>
              <w:rPr>
                <w:rFonts w:ascii="宋体" w:hAnsi="宋体" w:cs="宋体"/>
                <w:szCs w:val="21"/>
              </w:rPr>
            </w:pPr>
            <w:r>
              <w:rPr>
                <w:rFonts w:hint="eastAsia" w:ascii="宋体" w:hAnsi="宋体" w:cs="宋体"/>
                <w:szCs w:val="21"/>
              </w:rPr>
              <w:t xml:space="preserve">1. 建立电子与纸质两套台账，记录及时、准确、完整（品名、批次、数量、货位、出入库时间、凭证号等）。缺一项或记录错误，扣1分</w:t>
            </w:r>
            <w:r/>
          </w:p>
        </w:tc>
        <w:tc>
          <w:tcPr>
            <w:tcW w:w="662" w:type="dxa"/>
            <w:vMerge w:val="restart"/>
            <w:textDirection w:val="lrTb"/>
            <w:noWrap w:val="false"/>
          </w:tcPr>
          <w:p>
            <w:pPr>
              <w:rPr>
                <w:rFonts w:ascii="宋体" w:hAnsi="宋体" w:cs="宋体"/>
                <w:szCs w:val="21"/>
              </w:rPr>
            </w:pPr>
            <w:r>
              <w:rPr>
                <w:rFonts w:hint="eastAsia" w:ascii="宋体" w:hAnsi="宋体" w:cs="宋体"/>
                <w:szCs w:val="21"/>
              </w:rPr>
              <w:t xml:space="preserve">7</w:t>
            </w:r>
            <w:r/>
          </w:p>
        </w:tc>
        <w:tc>
          <w:tcPr>
            <w:tcW w:w="688" w:type="dxa"/>
            <w:textDirection w:val="lrTb"/>
            <w:noWrap w:val="false"/>
          </w:tcPr>
          <w:p>
            <w:pPr>
              <w:rPr>
                <w:rFonts w:ascii="宋体" w:hAnsi="宋体" w:cs="宋体"/>
                <w:szCs w:val="21"/>
              </w:rPr>
            </w:pPr>
            <w:r>
              <w:rPr>
                <w:rFonts w:ascii="宋体" w:hAnsi="宋体" w:cs="宋体"/>
                <w:szCs w:val="21"/>
              </w:rPr>
            </w:r>
            <w:r/>
          </w:p>
        </w:tc>
        <w:tc>
          <w:tcPr>
            <w:tcW w:w="653" w:type="dxa"/>
            <w:textDirection w:val="lrTb"/>
            <w:noWrap w:val="false"/>
          </w:tcPr>
          <w:p>
            <w:pPr>
              <w:rPr>
                <w:rFonts w:ascii="宋体" w:hAnsi="宋体" w:cs="宋体"/>
                <w:szCs w:val="21"/>
              </w:rPr>
            </w:pPr>
            <w:r>
              <w:rPr>
                <w:rFonts w:ascii="宋体" w:hAnsi="宋体" w:cs="宋体"/>
                <w:szCs w:val="21"/>
              </w:rPr>
            </w:r>
            <w:r/>
          </w:p>
        </w:tc>
      </w:tr>
      <w:tr>
        <w:trPr/>
        <w:tc>
          <w:tcPr>
            <w:tcW w:w="1652" w:type="dxa"/>
            <w:vMerge w:val="continue"/>
            <w:textDirection w:val="lrTb"/>
            <w:noWrap w:val="false"/>
          </w:tcPr>
          <w:p>
            <w:pPr>
              <w:rPr>
                <w:rFonts w:ascii="宋体" w:hAnsi="宋体" w:cs="宋体"/>
                <w:szCs w:val="21"/>
              </w:rPr>
            </w:pPr>
            <w:r>
              <w:rPr>
                <w:rFonts w:ascii="宋体" w:hAnsi="宋体" w:cs="宋体"/>
                <w:szCs w:val="21"/>
              </w:rPr>
            </w:r>
            <w:r/>
          </w:p>
        </w:tc>
        <w:tc>
          <w:tcPr>
            <w:tcW w:w="1383" w:type="dxa"/>
            <w:vMerge w:val="continue"/>
            <w:textDirection w:val="lrTb"/>
            <w:noWrap w:val="false"/>
          </w:tcPr>
          <w:p>
            <w:pPr>
              <w:rPr>
                <w:rFonts w:ascii="宋体" w:hAnsi="宋体" w:cs="宋体"/>
                <w:szCs w:val="21"/>
              </w:rPr>
            </w:pPr>
            <w:r>
              <w:rPr>
                <w:rFonts w:ascii="宋体" w:hAnsi="宋体" w:cs="宋体"/>
                <w:szCs w:val="21"/>
              </w:rPr>
            </w:r>
            <w:r/>
          </w:p>
        </w:tc>
        <w:tc>
          <w:tcPr>
            <w:tcW w:w="4667" w:type="dxa"/>
            <w:textDirection w:val="lrTb"/>
            <w:noWrap w:val="false"/>
          </w:tcPr>
          <w:p>
            <w:pPr>
              <w:rPr>
                <w:rFonts w:ascii="宋体" w:hAnsi="宋体" w:cs="宋体"/>
                <w:szCs w:val="21"/>
              </w:rPr>
            </w:pPr>
            <w:r>
              <w:rPr>
                <w:rFonts w:hint="eastAsia" w:ascii="宋体" w:hAnsi="宋体" w:cs="宋体"/>
                <w:szCs w:val="21"/>
              </w:rPr>
              <w:t xml:space="preserve">2. 猪肉数据来源实时、准确可在海关或省级/国家重要产品溯源平台追溯查询。未查询到的扣3分，数据错误扣1-2分</w:t>
            </w:r>
            <w:r/>
          </w:p>
        </w:tc>
        <w:tc>
          <w:tcPr>
            <w:tcW w:w="662" w:type="dxa"/>
            <w:vMerge w:val="continue"/>
            <w:textDirection w:val="lrTb"/>
            <w:noWrap w:val="false"/>
          </w:tcPr>
          <w:p>
            <w:pPr>
              <w:rPr>
                <w:rFonts w:ascii="宋体" w:hAnsi="宋体" w:cs="宋体"/>
                <w:szCs w:val="21"/>
              </w:rPr>
            </w:pPr>
            <w:r>
              <w:rPr>
                <w:rFonts w:ascii="宋体" w:hAnsi="宋体" w:cs="宋体"/>
                <w:szCs w:val="21"/>
              </w:rPr>
            </w:r>
            <w:r/>
          </w:p>
        </w:tc>
        <w:tc>
          <w:tcPr>
            <w:tcW w:w="688" w:type="dxa"/>
            <w:textDirection w:val="lrTb"/>
            <w:noWrap w:val="false"/>
          </w:tcPr>
          <w:p>
            <w:pPr>
              <w:rPr>
                <w:rFonts w:ascii="宋体" w:hAnsi="宋体" w:cs="宋体"/>
                <w:szCs w:val="21"/>
              </w:rPr>
            </w:pPr>
            <w:r>
              <w:rPr>
                <w:rFonts w:ascii="宋体" w:hAnsi="宋体" w:cs="宋体"/>
                <w:szCs w:val="21"/>
              </w:rPr>
            </w:r>
            <w:r/>
          </w:p>
        </w:tc>
        <w:tc>
          <w:tcPr>
            <w:tcW w:w="653" w:type="dxa"/>
            <w:textDirection w:val="lrTb"/>
            <w:noWrap w:val="false"/>
          </w:tcPr>
          <w:p>
            <w:pPr>
              <w:rPr>
                <w:rFonts w:ascii="宋体" w:hAnsi="宋体" w:cs="宋体"/>
                <w:szCs w:val="21"/>
              </w:rPr>
            </w:pPr>
            <w:r>
              <w:rPr>
                <w:rFonts w:ascii="宋体" w:hAnsi="宋体" w:cs="宋体"/>
                <w:szCs w:val="21"/>
              </w:rPr>
            </w:r>
            <w:r/>
          </w:p>
        </w:tc>
      </w:tr>
      <w:tr>
        <w:trPr/>
        <w:tc>
          <w:tcPr>
            <w:tcW w:w="1652" w:type="dxa"/>
            <w:vMerge w:val="continue"/>
            <w:textDirection w:val="lrTb"/>
            <w:noWrap w:val="false"/>
          </w:tcPr>
          <w:p>
            <w:pPr>
              <w:rPr>
                <w:rFonts w:ascii="宋体" w:hAnsi="宋体" w:cs="宋体"/>
                <w:szCs w:val="21"/>
              </w:rPr>
            </w:pPr>
            <w:r>
              <w:rPr>
                <w:rFonts w:ascii="宋体" w:hAnsi="宋体" w:cs="宋体"/>
                <w:szCs w:val="21"/>
              </w:rPr>
            </w:r>
            <w:r/>
          </w:p>
        </w:tc>
        <w:tc>
          <w:tcPr>
            <w:tcW w:w="1383" w:type="dxa"/>
            <w:textDirection w:val="lrTb"/>
            <w:noWrap w:val="false"/>
          </w:tcPr>
          <w:p>
            <w:pPr>
              <w:rPr>
                <w:rFonts w:ascii="宋体" w:hAnsi="宋体" w:cs="宋体"/>
                <w:szCs w:val="21"/>
              </w:rPr>
            </w:pPr>
            <w:r>
              <w:rPr>
                <w:rFonts w:hint="eastAsia" w:ascii="宋体" w:hAnsi="宋体" w:cs="宋体"/>
                <w:szCs w:val="21"/>
              </w:rPr>
              <w:t xml:space="preserve">1.3 轮换计划执行</w:t>
            </w:r>
            <w:r/>
          </w:p>
        </w:tc>
        <w:tc>
          <w:tcPr>
            <w:tcW w:w="4667" w:type="dxa"/>
            <w:textDirection w:val="lrTb"/>
            <w:noWrap w:val="false"/>
          </w:tcPr>
          <w:p>
            <w:pPr>
              <w:rPr>
                <w:rFonts w:ascii="宋体" w:hAnsi="宋体" w:cs="宋体"/>
                <w:szCs w:val="21"/>
              </w:rPr>
            </w:pPr>
            <w:r>
              <w:rPr>
                <w:rFonts w:hint="eastAsia" w:ascii="宋体" w:hAnsi="宋体" w:cs="宋体"/>
                <w:szCs w:val="21"/>
              </w:rPr>
              <w:t xml:space="preserve">严格按采购要求执行轮换，手续齐全（计划批文、交易合同、票据、出入库记录）。未按计划执行扣3分；手续不全，每缺一项扣1分</w:t>
            </w:r>
            <w:r/>
          </w:p>
        </w:tc>
        <w:tc>
          <w:tcPr>
            <w:tcW w:w="662" w:type="dxa"/>
            <w:textDirection w:val="lrTb"/>
            <w:noWrap w:val="false"/>
          </w:tcPr>
          <w:p>
            <w:pPr>
              <w:rPr>
                <w:rFonts w:ascii="宋体" w:hAnsi="宋体" w:cs="宋体"/>
                <w:szCs w:val="21"/>
              </w:rPr>
            </w:pPr>
            <w:r>
              <w:rPr>
                <w:rFonts w:hint="eastAsia" w:ascii="宋体" w:hAnsi="宋体" w:cs="宋体"/>
                <w:szCs w:val="21"/>
              </w:rPr>
              <w:t xml:space="preserve">5</w:t>
            </w:r>
            <w:r/>
          </w:p>
        </w:tc>
        <w:tc>
          <w:tcPr>
            <w:tcW w:w="688" w:type="dxa"/>
            <w:textDirection w:val="lrTb"/>
            <w:noWrap w:val="false"/>
          </w:tcPr>
          <w:p>
            <w:pPr>
              <w:rPr>
                <w:rFonts w:ascii="宋体" w:hAnsi="宋体" w:cs="宋体"/>
                <w:szCs w:val="21"/>
              </w:rPr>
            </w:pPr>
            <w:r>
              <w:rPr>
                <w:rFonts w:ascii="宋体" w:hAnsi="宋体" w:cs="宋体"/>
                <w:szCs w:val="21"/>
              </w:rPr>
            </w:r>
            <w:r/>
          </w:p>
        </w:tc>
        <w:tc>
          <w:tcPr>
            <w:tcW w:w="653" w:type="dxa"/>
            <w:textDirection w:val="lrTb"/>
            <w:noWrap w:val="false"/>
          </w:tcPr>
          <w:p>
            <w:pPr>
              <w:rPr>
                <w:rFonts w:ascii="宋体" w:hAnsi="宋体" w:cs="宋体"/>
                <w:szCs w:val="21"/>
              </w:rPr>
            </w:pPr>
            <w:r>
              <w:rPr>
                <w:rFonts w:ascii="宋体" w:hAnsi="宋体" w:cs="宋体"/>
                <w:szCs w:val="21"/>
              </w:rPr>
            </w:r>
            <w:r/>
          </w:p>
        </w:tc>
      </w:tr>
      <w:tr>
        <w:trPr/>
        <w:tc>
          <w:tcPr>
            <w:tcW w:w="1652" w:type="dxa"/>
            <w:vMerge w:val="restart"/>
            <w:textDirection w:val="lrTb"/>
            <w:noWrap w:val="false"/>
          </w:tcPr>
          <w:p>
            <w:pPr>
              <w:rPr>
                <w:rFonts w:ascii="宋体" w:hAnsi="宋体" w:cs="宋体"/>
                <w:szCs w:val="21"/>
              </w:rPr>
            </w:pPr>
            <w:r>
              <w:rPr>
                <w:rFonts w:hint="eastAsia" w:ascii="宋体" w:hAnsi="宋体" w:cs="宋体"/>
                <w:szCs w:val="21"/>
              </w:rPr>
              <w:t xml:space="preserve">二、质量与安全管理 (40分)</w:t>
            </w:r>
            <w:r/>
          </w:p>
        </w:tc>
        <w:tc>
          <w:tcPr>
            <w:tcW w:w="1383" w:type="dxa"/>
            <w:textDirection w:val="lrTb"/>
            <w:noWrap w:val="false"/>
          </w:tcPr>
          <w:p>
            <w:pPr>
              <w:rPr>
                <w:rFonts w:ascii="宋体" w:hAnsi="宋体" w:cs="宋体"/>
                <w:szCs w:val="21"/>
              </w:rPr>
            </w:pPr>
            <w:r>
              <w:rPr>
                <w:rFonts w:hint="eastAsia" w:ascii="宋体" w:hAnsi="宋体" w:cs="宋体"/>
                <w:szCs w:val="21"/>
              </w:rPr>
              <w:t xml:space="preserve">2.1 证明文件完备性</w:t>
            </w:r>
            <w:r/>
          </w:p>
        </w:tc>
        <w:tc>
          <w:tcPr>
            <w:tcW w:w="4667" w:type="dxa"/>
            <w:textDirection w:val="lrTb"/>
            <w:noWrap w:val="false"/>
          </w:tcPr>
          <w:p>
            <w:pPr>
              <w:rPr>
                <w:rFonts w:ascii="宋体" w:hAnsi="宋体" w:cs="宋体"/>
                <w:szCs w:val="21"/>
              </w:rPr>
            </w:pPr>
            <w:r>
              <w:rPr>
                <w:rFonts w:hint="eastAsia" w:ascii="宋体" w:hAnsi="宋体" w:cs="宋体"/>
                <w:szCs w:val="21"/>
              </w:rPr>
              <w:t xml:space="preserve">每批次肉保证证件齐全、有效（进口猪肉具有检验检疫证和报关单，国产猪肉具有“三证一报告”，即动物检疫合格证明、肉品品质检验合格证、非洲猪瘟检测报告、第三方全项检测报告）。随机抽查3个批次，每缺一份或无效，扣5分</w:t>
            </w:r>
            <w:r/>
          </w:p>
        </w:tc>
        <w:tc>
          <w:tcPr>
            <w:tcW w:w="662" w:type="dxa"/>
            <w:textDirection w:val="lrTb"/>
            <w:noWrap w:val="false"/>
          </w:tcPr>
          <w:p>
            <w:pPr>
              <w:rPr>
                <w:rFonts w:ascii="宋体" w:hAnsi="宋体" w:cs="宋体"/>
                <w:szCs w:val="21"/>
              </w:rPr>
            </w:pPr>
            <w:r>
              <w:rPr>
                <w:rFonts w:hint="eastAsia" w:ascii="宋体" w:hAnsi="宋体" w:cs="宋体"/>
                <w:szCs w:val="21"/>
              </w:rPr>
              <w:t xml:space="preserve">15</w:t>
            </w:r>
            <w:r/>
          </w:p>
        </w:tc>
        <w:tc>
          <w:tcPr>
            <w:tcW w:w="688" w:type="dxa"/>
            <w:textDirection w:val="lrTb"/>
            <w:noWrap w:val="false"/>
          </w:tcPr>
          <w:p>
            <w:pPr>
              <w:rPr>
                <w:rFonts w:ascii="宋体" w:hAnsi="宋体" w:cs="宋体"/>
                <w:szCs w:val="21"/>
              </w:rPr>
            </w:pPr>
            <w:r>
              <w:rPr>
                <w:rFonts w:ascii="宋体" w:hAnsi="宋体" w:cs="宋体"/>
                <w:szCs w:val="21"/>
              </w:rPr>
            </w:r>
            <w:r/>
          </w:p>
        </w:tc>
        <w:tc>
          <w:tcPr>
            <w:tcW w:w="653" w:type="dxa"/>
            <w:textDirection w:val="lrTb"/>
            <w:noWrap w:val="false"/>
          </w:tcPr>
          <w:p>
            <w:pPr>
              <w:rPr>
                <w:rFonts w:ascii="宋体" w:hAnsi="宋体" w:cs="宋体"/>
                <w:szCs w:val="21"/>
              </w:rPr>
            </w:pPr>
            <w:r>
              <w:rPr>
                <w:rFonts w:ascii="宋体" w:hAnsi="宋体" w:cs="宋体"/>
                <w:szCs w:val="21"/>
              </w:rPr>
            </w:r>
            <w:r/>
          </w:p>
        </w:tc>
      </w:tr>
      <w:tr>
        <w:trPr/>
        <w:tc>
          <w:tcPr>
            <w:tcW w:w="1652" w:type="dxa"/>
            <w:vMerge w:val="continue"/>
            <w:textDirection w:val="lrTb"/>
            <w:noWrap w:val="false"/>
          </w:tcPr>
          <w:p>
            <w:pPr>
              <w:rPr>
                <w:rFonts w:ascii="宋体" w:hAnsi="宋体" w:cs="宋体"/>
                <w:szCs w:val="21"/>
              </w:rPr>
            </w:pPr>
            <w:r>
              <w:rPr>
                <w:rFonts w:ascii="宋体" w:hAnsi="宋体" w:cs="宋体"/>
                <w:szCs w:val="21"/>
              </w:rPr>
            </w:r>
            <w:r/>
          </w:p>
        </w:tc>
        <w:tc>
          <w:tcPr>
            <w:tcW w:w="1383" w:type="dxa"/>
            <w:vMerge w:val="restart"/>
            <w:textDirection w:val="lrTb"/>
            <w:noWrap w:val="false"/>
          </w:tcPr>
          <w:p>
            <w:pPr>
              <w:rPr>
                <w:rFonts w:ascii="宋体" w:hAnsi="宋体" w:cs="宋体"/>
                <w:szCs w:val="21"/>
              </w:rPr>
            </w:pPr>
            <w:r>
              <w:rPr>
                <w:rFonts w:hint="eastAsia" w:ascii="宋体" w:hAnsi="宋体" w:cs="宋体"/>
                <w:szCs w:val="21"/>
              </w:rPr>
              <w:t xml:space="preserve">2.2 储存条件控制</w:t>
            </w:r>
            <w:r/>
          </w:p>
        </w:tc>
        <w:tc>
          <w:tcPr>
            <w:tcW w:w="4667" w:type="dxa"/>
            <w:textDirection w:val="lrTb"/>
            <w:noWrap w:val="false"/>
          </w:tcPr>
          <w:p>
            <w:pPr>
              <w:rPr>
                <w:rFonts w:ascii="宋体" w:hAnsi="宋体" w:cs="宋体"/>
                <w:szCs w:val="21"/>
              </w:rPr>
            </w:pPr>
            <w:r>
              <w:rPr>
                <w:rFonts w:hint="eastAsia" w:ascii="宋体" w:hAnsi="宋体" w:cs="宋体"/>
                <w:szCs w:val="21"/>
              </w:rPr>
              <w:t xml:space="preserve">1. 库温：全库持续≤-18℃，各点温差≤2℃。查看连续30天记录，有一次超标扣1分</w:t>
            </w:r>
            <w:r/>
          </w:p>
        </w:tc>
        <w:tc>
          <w:tcPr>
            <w:tcW w:w="662" w:type="dxa"/>
            <w:vMerge w:val="restart"/>
            <w:textDirection w:val="lrTb"/>
            <w:noWrap w:val="false"/>
          </w:tcPr>
          <w:p>
            <w:pPr>
              <w:rPr>
                <w:rFonts w:ascii="宋体" w:hAnsi="宋体" w:cs="宋体"/>
                <w:szCs w:val="21"/>
              </w:rPr>
            </w:pPr>
            <w:r>
              <w:rPr>
                <w:rFonts w:hint="eastAsia" w:ascii="宋体" w:hAnsi="宋体" w:cs="宋体"/>
                <w:szCs w:val="21"/>
              </w:rPr>
              <w:t xml:space="preserve">10</w:t>
            </w:r>
            <w:r/>
          </w:p>
        </w:tc>
        <w:tc>
          <w:tcPr>
            <w:tcW w:w="688" w:type="dxa"/>
            <w:textDirection w:val="lrTb"/>
            <w:noWrap w:val="false"/>
          </w:tcPr>
          <w:p>
            <w:pPr>
              <w:rPr>
                <w:rFonts w:ascii="宋体" w:hAnsi="宋体" w:cs="宋体"/>
                <w:szCs w:val="21"/>
              </w:rPr>
            </w:pPr>
            <w:r>
              <w:rPr>
                <w:rFonts w:ascii="宋体" w:hAnsi="宋体" w:cs="宋体"/>
                <w:szCs w:val="21"/>
              </w:rPr>
            </w:r>
            <w:r/>
          </w:p>
        </w:tc>
        <w:tc>
          <w:tcPr>
            <w:tcW w:w="653" w:type="dxa"/>
            <w:textDirection w:val="lrTb"/>
            <w:noWrap w:val="false"/>
          </w:tcPr>
          <w:p>
            <w:pPr>
              <w:rPr>
                <w:rFonts w:ascii="宋体" w:hAnsi="宋体" w:cs="宋体"/>
                <w:szCs w:val="21"/>
              </w:rPr>
            </w:pPr>
            <w:r>
              <w:rPr>
                <w:rFonts w:ascii="宋体" w:hAnsi="宋体" w:cs="宋体"/>
                <w:szCs w:val="21"/>
              </w:rPr>
            </w:r>
            <w:r/>
          </w:p>
        </w:tc>
      </w:tr>
      <w:tr>
        <w:trPr/>
        <w:tc>
          <w:tcPr>
            <w:tcW w:w="1652" w:type="dxa"/>
            <w:vMerge w:val="continue"/>
            <w:textDirection w:val="lrTb"/>
            <w:noWrap w:val="false"/>
          </w:tcPr>
          <w:p>
            <w:pPr>
              <w:rPr>
                <w:rFonts w:ascii="宋体" w:hAnsi="宋体" w:cs="宋体"/>
                <w:szCs w:val="21"/>
              </w:rPr>
            </w:pPr>
            <w:r>
              <w:rPr>
                <w:rFonts w:ascii="宋体" w:hAnsi="宋体" w:cs="宋体"/>
                <w:szCs w:val="21"/>
              </w:rPr>
            </w:r>
            <w:r/>
          </w:p>
        </w:tc>
        <w:tc>
          <w:tcPr>
            <w:tcW w:w="1383" w:type="dxa"/>
            <w:vMerge w:val="continue"/>
            <w:textDirection w:val="lrTb"/>
            <w:noWrap w:val="false"/>
          </w:tcPr>
          <w:p>
            <w:pPr>
              <w:rPr>
                <w:rFonts w:ascii="宋体" w:hAnsi="宋体" w:cs="宋体"/>
                <w:szCs w:val="21"/>
              </w:rPr>
            </w:pPr>
            <w:r>
              <w:rPr>
                <w:rFonts w:ascii="宋体" w:hAnsi="宋体" w:cs="宋体"/>
                <w:szCs w:val="21"/>
              </w:rPr>
            </w:r>
            <w:r/>
          </w:p>
        </w:tc>
        <w:tc>
          <w:tcPr>
            <w:tcW w:w="4667" w:type="dxa"/>
            <w:textDirection w:val="lrTb"/>
            <w:noWrap w:val="false"/>
          </w:tcPr>
          <w:p>
            <w:pPr>
              <w:rPr>
                <w:rFonts w:ascii="宋体" w:hAnsi="宋体" w:cs="宋体"/>
                <w:szCs w:val="21"/>
              </w:rPr>
            </w:pPr>
            <w:r>
              <w:rPr>
                <w:rFonts w:hint="eastAsia" w:ascii="宋体" w:hAnsi="宋体" w:cs="宋体"/>
                <w:szCs w:val="21"/>
              </w:rPr>
              <w:t xml:space="preserve">2. 设备：制冷机组“一用一备”，备用发电机可保障全库运行24小时。不符合不得分</w:t>
            </w:r>
            <w:r/>
          </w:p>
        </w:tc>
        <w:tc>
          <w:tcPr>
            <w:tcW w:w="662" w:type="dxa"/>
            <w:vMerge w:val="continue"/>
            <w:textDirection w:val="lrTb"/>
            <w:noWrap w:val="false"/>
          </w:tcPr>
          <w:p>
            <w:pPr>
              <w:rPr>
                <w:rFonts w:ascii="宋体" w:hAnsi="宋体" w:cs="宋体"/>
                <w:szCs w:val="21"/>
              </w:rPr>
            </w:pPr>
            <w:r>
              <w:rPr>
                <w:rFonts w:ascii="宋体" w:hAnsi="宋体" w:cs="宋体"/>
                <w:szCs w:val="21"/>
              </w:rPr>
            </w:r>
            <w:r/>
          </w:p>
        </w:tc>
        <w:tc>
          <w:tcPr>
            <w:tcW w:w="688" w:type="dxa"/>
            <w:textDirection w:val="lrTb"/>
            <w:noWrap w:val="false"/>
          </w:tcPr>
          <w:p>
            <w:pPr>
              <w:rPr>
                <w:rFonts w:ascii="宋体" w:hAnsi="宋体" w:cs="宋体"/>
                <w:szCs w:val="21"/>
              </w:rPr>
            </w:pPr>
            <w:r>
              <w:rPr>
                <w:rFonts w:ascii="宋体" w:hAnsi="宋体" w:cs="宋体"/>
                <w:szCs w:val="21"/>
              </w:rPr>
            </w:r>
            <w:r/>
          </w:p>
        </w:tc>
        <w:tc>
          <w:tcPr>
            <w:tcW w:w="653" w:type="dxa"/>
            <w:textDirection w:val="lrTb"/>
            <w:noWrap w:val="false"/>
          </w:tcPr>
          <w:p>
            <w:pPr>
              <w:rPr>
                <w:rFonts w:ascii="宋体" w:hAnsi="宋体" w:cs="宋体"/>
                <w:szCs w:val="21"/>
              </w:rPr>
            </w:pPr>
            <w:r>
              <w:rPr>
                <w:rFonts w:ascii="宋体" w:hAnsi="宋体" w:cs="宋体"/>
                <w:szCs w:val="21"/>
              </w:rPr>
            </w:r>
            <w:r/>
          </w:p>
        </w:tc>
      </w:tr>
      <w:tr>
        <w:trPr/>
        <w:tc>
          <w:tcPr>
            <w:tcW w:w="1652" w:type="dxa"/>
            <w:vMerge w:val="continue"/>
            <w:textDirection w:val="lrTb"/>
            <w:noWrap w:val="false"/>
          </w:tcPr>
          <w:p>
            <w:pPr>
              <w:rPr>
                <w:rFonts w:ascii="宋体" w:hAnsi="宋体" w:cs="宋体"/>
                <w:szCs w:val="21"/>
              </w:rPr>
            </w:pPr>
            <w:r>
              <w:rPr>
                <w:rFonts w:ascii="宋体" w:hAnsi="宋体" w:cs="宋体"/>
                <w:szCs w:val="21"/>
              </w:rPr>
            </w:r>
            <w:r/>
          </w:p>
        </w:tc>
        <w:tc>
          <w:tcPr>
            <w:tcW w:w="1383" w:type="dxa"/>
            <w:vMerge w:val="continue"/>
            <w:textDirection w:val="lrTb"/>
            <w:noWrap w:val="false"/>
          </w:tcPr>
          <w:p>
            <w:pPr>
              <w:rPr>
                <w:rFonts w:ascii="宋体" w:hAnsi="宋体" w:cs="宋体"/>
                <w:szCs w:val="21"/>
              </w:rPr>
            </w:pPr>
            <w:r>
              <w:rPr>
                <w:rFonts w:ascii="宋体" w:hAnsi="宋体" w:cs="宋体"/>
                <w:szCs w:val="21"/>
              </w:rPr>
            </w:r>
            <w:r/>
          </w:p>
        </w:tc>
        <w:tc>
          <w:tcPr>
            <w:tcW w:w="4667" w:type="dxa"/>
            <w:textDirection w:val="lrTb"/>
            <w:noWrap w:val="false"/>
          </w:tcPr>
          <w:p>
            <w:pPr>
              <w:rPr>
                <w:rFonts w:ascii="宋体" w:hAnsi="宋体" w:cs="宋体"/>
                <w:szCs w:val="21"/>
              </w:rPr>
            </w:pPr>
            <w:r>
              <w:rPr>
                <w:rFonts w:hint="eastAsia" w:ascii="宋体" w:hAnsi="宋体" w:cs="宋体"/>
                <w:szCs w:val="21"/>
              </w:rPr>
              <w:t xml:space="preserve">3. 现场：堆码整齐、批次清晰、卫生清洁。不符合扣1-3分</w:t>
            </w:r>
            <w:r/>
          </w:p>
        </w:tc>
        <w:tc>
          <w:tcPr>
            <w:tcW w:w="662" w:type="dxa"/>
            <w:vMerge w:val="continue"/>
            <w:textDirection w:val="lrTb"/>
            <w:noWrap w:val="false"/>
          </w:tcPr>
          <w:p>
            <w:pPr>
              <w:rPr>
                <w:rFonts w:ascii="宋体" w:hAnsi="宋体" w:cs="宋体"/>
                <w:szCs w:val="21"/>
              </w:rPr>
            </w:pPr>
            <w:r>
              <w:rPr>
                <w:rFonts w:ascii="宋体" w:hAnsi="宋体" w:cs="宋体"/>
                <w:szCs w:val="21"/>
              </w:rPr>
            </w:r>
            <w:r/>
          </w:p>
        </w:tc>
        <w:tc>
          <w:tcPr>
            <w:tcW w:w="688" w:type="dxa"/>
            <w:textDirection w:val="lrTb"/>
            <w:noWrap w:val="false"/>
          </w:tcPr>
          <w:p>
            <w:pPr>
              <w:rPr>
                <w:rFonts w:ascii="宋体" w:hAnsi="宋体" w:cs="宋体"/>
                <w:szCs w:val="21"/>
              </w:rPr>
            </w:pPr>
            <w:r>
              <w:rPr>
                <w:rFonts w:ascii="宋体" w:hAnsi="宋体" w:cs="宋体"/>
                <w:szCs w:val="21"/>
              </w:rPr>
            </w:r>
            <w:r/>
          </w:p>
        </w:tc>
        <w:tc>
          <w:tcPr>
            <w:tcW w:w="653" w:type="dxa"/>
            <w:textDirection w:val="lrTb"/>
            <w:noWrap w:val="false"/>
          </w:tcPr>
          <w:p>
            <w:pPr>
              <w:rPr>
                <w:rFonts w:ascii="宋体" w:hAnsi="宋体" w:cs="宋体"/>
                <w:szCs w:val="21"/>
              </w:rPr>
            </w:pPr>
            <w:r>
              <w:rPr>
                <w:rFonts w:ascii="宋体" w:hAnsi="宋体" w:cs="宋体"/>
                <w:szCs w:val="21"/>
              </w:rPr>
            </w:r>
            <w:r/>
          </w:p>
        </w:tc>
      </w:tr>
      <w:tr>
        <w:trPr/>
        <w:tc>
          <w:tcPr>
            <w:tcW w:w="1652" w:type="dxa"/>
            <w:vMerge w:val="continue"/>
            <w:textDirection w:val="lrTb"/>
            <w:noWrap w:val="false"/>
          </w:tcPr>
          <w:p>
            <w:pPr>
              <w:rPr>
                <w:rFonts w:ascii="宋体" w:hAnsi="宋体" w:cs="宋体"/>
                <w:szCs w:val="21"/>
              </w:rPr>
            </w:pPr>
            <w:r>
              <w:rPr>
                <w:rFonts w:ascii="宋体" w:hAnsi="宋体" w:cs="宋体"/>
                <w:szCs w:val="21"/>
              </w:rPr>
            </w:r>
            <w:r/>
          </w:p>
        </w:tc>
        <w:tc>
          <w:tcPr>
            <w:tcW w:w="1383" w:type="dxa"/>
            <w:textDirection w:val="lrTb"/>
            <w:noWrap w:val="false"/>
          </w:tcPr>
          <w:p>
            <w:pPr>
              <w:rPr>
                <w:rFonts w:ascii="宋体" w:hAnsi="宋体" w:cs="宋体"/>
                <w:szCs w:val="21"/>
              </w:rPr>
            </w:pPr>
            <w:r>
              <w:rPr>
                <w:rFonts w:hint="eastAsia" w:ascii="宋体" w:hAnsi="宋体" w:cs="宋体"/>
                <w:szCs w:val="21"/>
              </w:rPr>
              <w:t xml:space="preserve">2.3 感官质量</w:t>
            </w:r>
            <w:r/>
          </w:p>
        </w:tc>
        <w:tc>
          <w:tcPr>
            <w:tcW w:w="4667" w:type="dxa"/>
            <w:textDirection w:val="lrTb"/>
            <w:noWrap w:val="false"/>
          </w:tcPr>
          <w:p>
            <w:pPr>
              <w:rPr>
                <w:rFonts w:ascii="宋体" w:hAnsi="宋体" w:cs="宋体"/>
                <w:szCs w:val="21"/>
              </w:rPr>
            </w:pPr>
            <w:r>
              <w:rPr>
                <w:rFonts w:hint="eastAsia" w:ascii="宋体" w:hAnsi="宋体" w:cs="宋体"/>
                <w:szCs w:val="21"/>
              </w:rPr>
              <w:t xml:space="preserve">现场随机开箱抽检3个不同批次。肉品色泽、气味、组织状态、冰衣正常。每发现一个批次一项不合格，扣3分</w:t>
            </w:r>
            <w:r/>
          </w:p>
        </w:tc>
        <w:tc>
          <w:tcPr>
            <w:tcW w:w="662" w:type="dxa"/>
            <w:textDirection w:val="lrTb"/>
            <w:noWrap w:val="false"/>
          </w:tcPr>
          <w:p>
            <w:pPr>
              <w:rPr>
                <w:rFonts w:ascii="宋体" w:hAnsi="宋体" w:cs="宋体"/>
                <w:szCs w:val="21"/>
              </w:rPr>
            </w:pPr>
            <w:r>
              <w:rPr>
                <w:rFonts w:hint="eastAsia" w:ascii="宋体" w:hAnsi="宋体" w:cs="宋体"/>
                <w:szCs w:val="21"/>
              </w:rPr>
              <w:t xml:space="preserve">9</w:t>
            </w:r>
            <w:r/>
          </w:p>
        </w:tc>
        <w:tc>
          <w:tcPr>
            <w:tcW w:w="688" w:type="dxa"/>
            <w:textDirection w:val="lrTb"/>
            <w:noWrap w:val="false"/>
          </w:tcPr>
          <w:p>
            <w:pPr>
              <w:rPr>
                <w:rFonts w:ascii="宋体" w:hAnsi="宋体" w:cs="宋体"/>
                <w:szCs w:val="21"/>
              </w:rPr>
            </w:pPr>
            <w:r>
              <w:rPr>
                <w:rFonts w:ascii="宋体" w:hAnsi="宋体" w:cs="宋体"/>
                <w:szCs w:val="21"/>
              </w:rPr>
            </w:r>
            <w:r/>
          </w:p>
        </w:tc>
        <w:tc>
          <w:tcPr>
            <w:tcW w:w="653" w:type="dxa"/>
            <w:textDirection w:val="lrTb"/>
            <w:noWrap w:val="false"/>
          </w:tcPr>
          <w:p>
            <w:pPr>
              <w:rPr>
                <w:rFonts w:ascii="宋体" w:hAnsi="宋体" w:cs="宋体"/>
                <w:szCs w:val="21"/>
              </w:rPr>
            </w:pPr>
            <w:r>
              <w:rPr>
                <w:rFonts w:ascii="宋体" w:hAnsi="宋体" w:cs="宋体"/>
                <w:szCs w:val="21"/>
              </w:rPr>
            </w:r>
            <w:r/>
          </w:p>
        </w:tc>
      </w:tr>
      <w:tr>
        <w:trPr/>
        <w:tc>
          <w:tcPr>
            <w:tcW w:w="1652" w:type="dxa"/>
            <w:vMerge w:val="continue"/>
            <w:textDirection w:val="lrTb"/>
            <w:noWrap w:val="false"/>
          </w:tcPr>
          <w:p>
            <w:pPr>
              <w:rPr>
                <w:rFonts w:ascii="宋体" w:hAnsi="宋体" w:cs="宋体"/>
                <w:szCs w:val="21"/>
              </w:rPr>
            </w:pPr>
            <w:r>
              <w:rPr>
                <w:rFonts w:ascii="宋体" w:hAnsi="宋体" w:cs="宋体"/>
                <w:szCs w:val="21"/>
              </w:rPr>
            </w:r>
            <w:r/>
          </w:p>
        </w:tc>
        <w:tc>
          <w:tcPr>
            <w:tcW w:w="1383" w:type="dxa"/>
            <w:textDirection w:val="lrTb"/>
            <w:noWrap w:val="false"/>
          </w:tcPr>
          <w:p>
            <w:pPr>
              <w:rPr>
                <w:rFonts w:ascii="宋体" w:hAnsi="宋体" w:cs="宋体"/>
                <w:szCs w:val="21"/>
              </w:rPr>
            </w:pPr>
            <w:r>
              <w:rPr>
                <w:rFonts w:hint="eastAsia" w:ascii="宋体" w:hAnsi="宋体" w:cs="宋体"/>
                <w:szCs w:val="21"/>
              </w:rPr>
              <w:t xml:space="preserve">2.4 飞行抽检结果</w:t>
            </w:r>
            <w:r/>
          </w:p>
        </w:tc>
        <w:tc>
          <w:tcPr>
            <w:tcW w:w="4667" w:type="dxa"/>
            <w:textDirection w:val="lrTb"/>
            <w:noWrap w:val="false"/>
          </w:tcPr>
          <w:p>
            <w:pPr>
              <w:rPr>
                <w:rFonts w:ascii="宋体" w:hAnsi="宋体" w:cs="宋体"/>
                <w:szCs w:val="21"/>
              </w:rPr>
            </w:pPr>
            <w:r>
              <w:rPr>
                <w:rFonts w:hint="eastAsia" w:ascii="宋体" w:hAnsi="宋体" w:cs="宋体"/>
                <w:szCs w:val="21"/>
              </w:rPr>
              <w:t xml:space="preserve">委托第三方对在库肉品进行突击抽检。任何一项指标不符合GB 2707等国家标准（特别是非洲猪瘟、瘦肉精），本大项（40分）直接得0分，并启动违约程序</w:t>
            </w:r>
            <w:r/>
          </w:p>
        </w:tc>
        <w:tc>
          <w:tcPr>
            <w:tcW w:w="662" w:type="dxa"/>
            <w:textDirection w:val="lrTb"/>
            <w:noWrap w:val="false"/>
          </w:tcPr>
          <w:p>
            <w:pPr>
              <w:rPr>
                <w:rFonts w:ascii="宋体" w:hAnsi="宋体" w:cs="宋体"/>
                <w:szCs w:val="21"/>
              </w:rPr>
            </w:pPr>
            <w:r>
              <w:rPr>
                <w:rFonts w:hint="eastAsia" w:ascii="宋体" w:hAnsi="宋体" w:cs="宋体"/>
                <w:szCs w:val="21"/>
              </w:rPr>
              <w:t xml:space="preserve">6</w:t>
            </w:r>
            <w:r/>
          </w:p>
        </w:tc>
        <w:tc>
          <w:tcPr>
            <w:tcW w:w="688" w:type="dxa"/>
            <w:textDirection w:val="lrTb"/>
            <w:noWrap w:val="false"/>
          </w:tcPr>
          <w:p>
            <w:pPr>
              <w:rPr>
                <w:rFonts w:ascii="宋体" w:hAnsi="宋体" w:cs="宋体"/>
                <w:szCs w:val="21"/>
              </w:rPr>
            </w:pPr>
            <w:r>
              <w:rPr>
                <w:rFonts w:ascii="宋体" w:hAnsi="宋体" w:cs="宋体"/>
                <w:szCs w:val="21"/>
              </w:rPr>
            </w:r>
            <w:r/>
          </w:p>
        </w:tc>
        <w:tc>
          <w:tcPr>
            <w:tcW w:w="653" w:type="dxa"/>
            <w:textDirection w:val="lrTb"/>
            <w:noWrap w:val="false"/>
          </w:tcPr>
          <w:p>
            <w:pPr>
              <w:rPr>
                <w:rFonts w:ascii="宋体" w:hAnsi="宋体" w:cs="宋体"/>
                <w:szCs w:val="21"/>
              </w:rPr>
            </w:pPr>
            <w:r>
              <w:rPr>
                <w:rFonts w:ascii="宋体" w:hAnsi="宋体" w:cs="宋体"/>
                <w:szCs w:val="21"/>
              </w:rPr>
            </w:r>
            <w:r/>
          </w:p>
        </w:tc>
      </w:tr>
      <w:tr>
        <w:trPr/>
        <w:tc>
          <w:tcPr>
            <w:tcW w:w="1652" w:type="dxa"/>
            <w:vMerge w:val="restart"/>
            <w:textDirection w:val="lrTb"/>
            <w:noWrap w:val="false"/>
          </w:tcPr>
          <w:p>
            <w:pPr>
              <w:rPr>
                <w:rFonts w:ascii="宋体" w:hAnsi="宋体" w:cs="宋体"/>
                <w:szCs w:val="21"/>
              </w:rPr>
            </w:pPr>
            <w:r>
              <w:rPr>
                <w:rFonts w:hint="eastAsia" w:ascii="宋体" w:hAnsi="宋体" w:cs="宋体"/>
                <w:szCs w:val="21"/>
              </w:rPr>
              <w:t xml:space="preserve">三、运行与合规管理 (25分)</w:t>
            </w:r>
            <w:r/>
          </w:p>
        </w:tc>
        <w:tc>
          <w:tcPr>
            <w:tcW w:w="1383" w:type="dxa"/>
            <w:vMerge w:val="restart"/>
            <w:textDirection w:val="lrTb"/>
            <w:noWrap w:val="false"/>
          </w:tcPr>
          <w:p>
            <w:pPr>
              <w:rPr>
                <w:rFonts w:ascii="宋体" w:hAnsi="宋体" w:cs="宋体"/>
                <w:szCs w:val="21"/>
              </w:rPr>
            </w:pPr>
            <w:r>
              <w:rPr>
                <w:rFonts w:hint="eastAsia" w:ascii="宋体" w:hAnsi="宋体" w:cs="宋体"/>
                <w:szCs w:val="21"/>
              </w:rPr>
              <w:t xml:space="preserve">3.1 制度与人员</w:t>
            </w:r>
            <w:r/>
          </w:p>
        </w:tc>
        <w:tc>
          <w:tcPr>
            <w:tcW w:w="4667" w:type="dxa"/>
            <w:textDirection w:val="lrTb"/>
            <w:noWrap w:val="false"/>
          </w:tcPr>
          <w:p>
            <w:pPr>
              <w:rPr>
                <w:rFonts w:ascii="宋体" w:hAnsi="宋体" w:cs="宋体"/>
                <w:szCs w:val="21"/>
              </w:rPr>
            </w:pPr>
            <w:r>
              <w:rPr>
                <w:rFonts w:hint="eastAsia" w:ascii="宋体" w:hAnsi="宋体" w:cs="宋体"/>
                <w:szCs w:val="21"/>
              </w:rPr>
              <w:t xml:space="preserve">1. 有完善的仓储、质量、安全、应急预案等制度并有效执行。缺一项扣1分</w:t>
            </w:r>
            <w:r/>
          </w:p>
        </w:tc>
        <w:tc>
          <w:tcPr>
            <w:tcW w:w="662" w:type="dxa"/>
            <w:vMerge w:val="restart"/>
            <w:textDirection w:val="lrTb"/>
            <w:noWrap w:val="false"/>
          </w:tcPr>
          <w:p>
            <w:pPr>
              <w:rPr>
                <w:rFonts w:ascii="宋体" w:hAnsi="宋体" w:cs="宋体"/>
                <w:szCs w:val="21"/>
              </w:rPr>
            </w:pPr>
            <w:r>
              <w:rPr>
                <w:rFonts w:hint="eastAsia" w:ascii="宋体" w:hAnsi="宋体" w:cs="宋体"/>
                <w:szCs w:val="21"/>
              </w:rPr>
              <w:t xml:space="preserve">8</w:t>
            </w:r>
            <w:r/>
          </w:p>
        </w:tc>
        <w:tc>
          <w:tcPr>
            <w:tcW w:w="688" w:type="dxa"/>
            <w:textDirection w:val="lrTb"/>
            <w:noWrap w:val="false"/>
          </w:tcPr>
          <w:p>
            <w:pPr>
              <w:rPr>
                <w:rFonts w:ascii="宋体" w:hAnsi="宋体" w:cs="宋体"/>
                <w:szCs w:val="21"/>
              </w:rPr>
            </w:pPr>
            <w:r>
              <w:rPr>
                <w:rFonts w:ascii="宋体" w:hAnsi="宋体" w:cs="宋体"/>
                <w:szCs w:val="21"/>
              </w:rPr>
            </w:r>
            <w:r/>
          </w:p>
        </w:tc>
        <w:tc>
          <w:tcPr>
            <w:tcW w:w="653" w:type="dxa"/>
            <w:textDirection w:val="lrTb"/>
            <w:noWrap w:val="false"/>
          </w:tcPr>
          <w:p>
            <w:pPr>
              <w:rPr>
                <w:rFonts w:ascii="宋体" w:hAnsi="宋体" w:cs="宋体"/>
                <w:szCs w:val="21"/>
              </w:rPr>
            </w:pPr>
            <w:r>
              <w:rPr>
                <w:rFonts w:ascii="宋体" w:hAnsi="宋体" w:cs="宋体"/>
                <w:szCs w:val="21"/>
              </w:rPr>
            </w:r>
            <w:r/>
          </w:p>
        </w:tc>
      </w:tr>
      <w:tr>
        <w:trPr/>
        <w:tc>
          <w:tcPr>
            <w:tcW w:w="1652" w:type="dxa"/>
            <w:vMerge w:val="continue"/>
            <w:textDirection w:val="lrTb"/>
            <w:noWrap w:val="false"/>
          </w:tcPr>
          <w:p>
            <w:pPr>
              <w:rPr>
                <w:rFonts w:ascii="宋体" w:hAnsi="宋体" w:cs="宋体"/>
                <w:szCs w:val="21"/>
              </w:rPr>
            </w:pPr>
            <w:r>
              <w:rPr>
                <w:rFonts w:ascii="宋体" w:hAnsi="宋体" w:cs="宋体"/>
                <w:szCs w:val="21"/>
              </w:rPr>
            </w:r>
            <w:r/>
          </w:p>
        </w:tc>
        <w:tc>
          <w:tcPr>
            <w:tcW w:w="1383" w:type="dxa"/>
            <w:vMerge w:val="continue"/>
            <w:textDirection w:val="lrTb"/>
            <w:noWrap w:val="false"/>
          </w:tcPr>
          <w:p>
            <w:pPr>
              <w:rPr>
                <w:rFonts w:ascii="宋体" w:hAnsi="宋体" w:cs="宋体"/>
                <w:szCs w:val="21"/>
              </w:rPr>
            </w:pPr>
            <w:r>
              <w:rPr>
                <w:rFonts w:ascii="宋体" w:hAnsi="宋体" w:cs="宋体"/>
                <w:szCs w:val="21"/>
              </w:rPr>
            </w:r>
            <w:r/>
          </w:p>
        </w:tc>
        <w:tc>
          <w:tcPr>
            <w:tcW w:w="4667" w:type="dxa"/>
            <w:textDirection w:val="lrTb"/>
            <w:noWrap w:val="false"/>
          </w:tcPr>
          <w:p>
            <w:pPr>
              <w:rPr>
                <w:rFonts w:ascii="宋体" w:hAnsi="宋体" w:cs="宋体"/>
                <w:szCs w:val="21"/>
              </w:rPr>
            </w:pPr>
            <w:r>
              <w:rPr>
                <w:rFonts w:hint="eastAsia" w:ascii="宋体" w:hAnsi="宋体" w:cs="宋体"/>
                <w:szCs w:val="21"/>
              </w:rPr>
              <w:t xml:space="preserve">2. 关键岗位人员（保管、质检、制冷工）持证上岗。一人无证扣1分</w:t>
            </w:r>
            <w:r/>
          </w:p>
        </w:tc>
        <w:tc>
          <w:tcPr>
            <w:tcW w:w="662" w:type="dxa"/>
            <w:vMerge w:val="continue"/>
            <w:textDirection w:val="lrTb"/>
            <w:noWrap w:val="false"/>
          </w:tcPr>
          <w:p>
            <w:pPr>
              <w:rPr>
                <w:rFonts w:ascii="宋体" w:hAnsi="宋体" w:cs="宋体"/>
                <w:szCs w:val="21"/>
              </w:rPr>
            </w:pPr>
            <w:r>
              <w:rPr>
                <w:rFonts w:ascii="宋体" w:hAnsi="宋体" w:cs="宋体"/>
                <w:szCs w:val="21"/>
              </w:rPr>
            </w:r>
            <w:r/>
          </w:p>
        </w:tc>
        <w:tc>
          <w:tcPr>
            <w:tcW w:w="688" w:type="dxa"/>
            <w:textDirection w:val="lrTb"/>
            <w:noWrap w:val="false"/>
          </w:tcPr>
          <w:p>
            <w:pPr>
              <w:rPr>
                <w:rFonts w:ascii="宋体" w:hAnsi="宋体" w:cs="宋体"/>
                <w:szCs w:val="21"/>
              </w:rPr>
            </w:pPr>
            <w:r>
              <w:rPr>
                <w:rFonts w:ascii="宋体" w:hAnsi="宋体" w:cs="宋体"/>
                <w:szCs w:val="21"/>
              </w:rPr>
            </w:r>
            <w:r/>
          </w:p>
        </w:tc>
        <w:tc>
          <w:tcPr>
            <w:tcW w:w="653" w:type="dxa"/>
            <w:textDirection w:val="lrTb"/>
            <w:noWrap w:val="false"/>
          </w:tcPr>
          <w:p>
            <w:pPr>
              <w:rPr>
                <w:rFonts w:ascii="宋体" w:hAnsi="宋体" w:cs="宋体"/>
                <w:szCs w:val="21"/>
              </w:rPr>
            </w:pPr>
            <w:r>
              <w:rPr>
                <w:rFonts w:ascii="宋体" w:hAnsi="宋体" w:cs="宋体"/>
                <w:szCs w:val="21"/>
              </w:rPr>
            </w:r>
            <w:r/>
          </w:p>
        </w:tc>
      </w:tr>
      <w:tr>
        <w:trPr/>
        <w:tc>
          <w:tcPr>
            <w:tcW w:w="1652" w:type="dxa"/>
            <w:vMerge w:val="continue"/>
            <w:textDirection w:val="lrTb"/>
            <w:noWrap w:val="false"/>
          </w:tcPr>
          <w:p>
            <w:pPr>
              <w:rPr>
                <w:rFonts w:ascii="宋体" w:hAnsi="宋体" w:cs="宋体"/>
                <w:szCs w:val="21"/>
              </w:rPr>
            </w:pPr>
            <w:r>
              <w:rPr>
                <w:rFonts w:ascii="宋体" w:hAnsi="宋体" w:cs="宋体"/>
                <w:szCs w:val="21"/>
              </w:rPr>
            </w:r>
            <w:r/>
          </w:p>
        </w:tc>
        <w:tc>
          <w:tcPr>
            <w:tcW w:w="1383" w:type="dxa"/>
            <w:textDirection w:val="lrTb"/>
            <w:noWrap w:val="false"/>
          </w:tcPr>
          <w:p>
            <w:pPr>
              <w:rPr>
                <w:rFonts w:ascii="宋体" w:hAnsi="宋体" w:cs="宋体"/>
                <w:szCs w:val="21"/>
              </w:rPr>
            </w:pPr>
            <w:r>
              <w:rPr>
                <w:rFonts w:hint="eastAsia" w:ascii="宋体" w:hAnsi="宋体" w:cs="宋体"/>
                <w:szCs w:val="21"/>
              </w:rPr>
              <w:t xml:space="preserve">3.2 安全生产</w:t>
            </w:r>
            <w:r/>
          </w:p>
        </w:tc>
        <w:tc>
          <w:tcPr>
            <w:tcW w:w="4667" w:type="dxa"/>
            <w:textDirection w:val="lrTb"/>
            <w:noWrap w:val="false"/>
          </w:tcPr>
          <w:p>
            <w:pPr>
              <w:rPr>
                <w:rFonts w:ascii="宋体" w:hAnsi="宋体" w:cs="宋体"/>
                <w:szCs w:val="21"/>
              </w:rPr>
            </w:pPr>
            <w:r>
              <w:rPr>
                <w:rFonts w:hint="eastAsia" w:ascii="宋体" w:hAnsi="宋体" w:cs="宋体"/>
                <w:szCs w:val="21"/>
              </w:rPr>
              <w:t xml:space="preserve">消防、安防设施完好有效，无安全隐患。有隐患未整改扣3分；发生一般安全事故扣5分，重大事故本项0分</w:t>
            </w:r>
            <w:r/>
          </w:p>
        </w:tc>
        <w:tc>
          <w:tcPr>
            <w:tcW w:w="662" w:type="dxa"/>
            <w:textDirection w:val="lrTb"/>
            <w:noWrap w:val="false"/>
          </w:tcPr>
          <w:p>
            <w:pPr>
              <w:rPr>
                <w:rFonts w:ascii="宋体" w:hAnsi="宋体" w:cs="宋体"/>
                <w:szCs w:val="21"/>
              </w:rPr>
            </w:pPr>
            <w:r>
              <w:rPr>
                <w:rFonts w:hint="eastAsia" w:ascii="宋体" w:hAnsi="宋体" w:cs="宋体"/>
                <w:szCs w:val="21"/>
              </w:rPr>
              <w:t xml:space="preserve">5</w:t>
            </w:r>
            <w:r/>
          </w:p>
        </w:tc>
        <w:tc>
          <w:tcPr>
            <w:tcW w:w="688" w:type="dxa"/>
            <w:textDirection w:val="lrTb"/>
            <w:noWrap w:val="false"/>
          </w:tcPr>
          <w:p>
            <w:pPr>
              <w:rPr>
                <w:rFonts w:ascii="宋体" w:hAnsi="宋体" w:cs="宋体"/>
                <w:szCs w:val="21"/>
              </w:rPr>
            </w:pPr>
            <w:r>
              <w:rPr>
                <w:rFonts w:ascii="宋体" w:hAnsi="宋体" w:cs="宋体"/>
                <w:szCs w:val="21"/>
              </w:rPr>
            </w:r>
            <w:r/>
          </w:p>
        </w:tc>
        <w:tc>
          <w:tcPr>
            <w:tcW w:w="653" w:type="dxa"/>
            <w:textDirection w:val="lrTb"/>
            <w:noWrap w:val="false"/>
          </w:tcPr>
          <w:p>
            <w:pPr>
              <w:rPr>
                <w:rFonts w:ascii="宋体" w:hAnsi="宋体" w:cs="宋体"/>
                <w:szCs w:val="21"/>
              </w:rPr>
            </w:pPr>
            <w:r>
              <w:rPr>
                <w:rFonts w:ascii="宋体" w:hAnsi="宋体" w:cs="宋体"/>
                <w:szCs w:val="21"/>
              </w:rPr>
            </w:r>
            <w:r/>
          </w:p>
        </w:tc>
      </w:tr>
      <w:tr>
        <w:trPr/>
        <w:tc>
          <w:tcPr>
            <w:tcW w:w="1652" w:type="dxa"/>
            <w:vMerge w:val="continue"/>
            <w:textDirection w:val="lrTb"/>
            <w:noWrap w:val="false"/>
          </w:tcPr>
          <w:p>
            <w:pPr>
              <w:rPr>
                <w:rFonts w:ascii="宋体" w:hAnsi="宋体" w:cs="宋体"/>
                <w:szCs w:val="21"/>
              </w:rPr>
            </w:pPr>
            <w:r>
              <w:rPr>
                <w:rFonts w:ascii="宋体" w:hAnsi="宋体" w:cs="宋体"/>
                <w:szCs w:val="21"/>
              </w:rPr>
            </w:r>
            <w:r/>
          </w:p>
        </w:tc>
        <w:tc>
          <w:tcPr>
            <w:tcW w:w="1383" w:type="dxa"/>
            <w:textDirection w:val="lrTb"/>
            <w:noWrap w:val="false"/>
          </w:tcPr>
          <w:p>
            <w:pPr>
              <w:rPr>
                <w:rFonts w:ascii="宋体" w:hAnsi="宋体" w:cs="宋体"/>
                <w:szCs w:val="21"/>
              </w:rPr>
            </w:pPr>
            <w:r>
              <w:rPr>
                <w:rFonts w:hint="eastAsia" w:ascii="宋体" w:hAnsi="宋体" w:cs="宋体"/>
                <w:szCs w:val="21"/>
              </w:rPr>
              <w:t xml:space="preserve">3.3 财务与结算合规</w:t>
            </w:r>
            <w:r/>
          </w:p>
        </w:tc>
        <w:tc>
          <w:tcPr>
            <w:tcW w:w="4667" w:type="dxa"/>
            <w:textDirection w:val="lrTb"/>
            <w:noWrap w:val="false"/>
          </w:tcPr>
          <w:p>
            <w:pPr>
              <w:rPr>
                <w:rFonts w:ascii="宋体" w:hAnsi="宋体" w:cs="宋体"/>
                <w:szCs w:val="21"/>
              </w:rPr>
            </w:pPr>
            <w:r>
              <w:rPr>
                <w:rFonts w:hint="eastAsia" w:ascii="宋体" w:hAnsi="宋体" w:cs="宋体"/>
                <w:szCs w:val="21"/>
              </w:rPr>
              <w:t xml:space="preserve">储备资金专款专用，轮换价差处理符合规定，结算票据规范。有一项不合规扣2分</w:t>
            </w:r>
            <w:r/>
          </w:p>
        </w:tc>
        <w:tc>
          <w:tcPr>
            <w:tcW w:w="662" w:type="dxa"/>
            <w:textDirection w:val="lrTb"/>
            <w:noWrap w:val="false"/>
          </w:tcPr>
          <w:p>
            <w:pPr>
              <w:rPr>
                <w:rFonts w:ascii="宋体" w:hAnsi="宋体" w:cs="宋体"/>
                <w:szCs w:val="21"/>
              </w:rPr>
            </w:pPr>
            <w:r>
              <w:rPr>
                <w:rFonts w:hint="eastAsia" w:ascii="宋体" w:hAnsi="宋体" w:cs="宋体"/>
                <w:szCs w:val="21"/>
              </w:rPr>
              <w:t xml:space="preserve">6</w:t>
            </w:r>
            <w:r/>
          </w:p>
        </w:tc>
        <w:tc>
          <w:tcPr>
            <w:tcW w:w="688" w:type="dxa"/>
            <w:textDirection w:val="lrTb"/>
            <w:noWrap w:val="false"/>
          </w:tcPr>
          <w:p>
            <w:pPr>
              <w:rPr>
                <w:rFonts w:ascii="宋体" w:hAnsi="宋体" w:cs="宋体"/>
                <w:szCs w:val="21"/>
              </w:rPr>
            </w:pPr>
            <w:r>
              <w:rPr>
                <w:rFonts w:ascii="宋体" w:hAnsi="宋体" w:cs="宋体"/>
                <w:szCs w:val="21"/>
              </w:rPr>
            </w:r>
            <w:r/>
          </w:p>
        </w:tc>
        <w:tc>
          <w:tcPr>
            <w:tcW w:w="653" w:type="dxa"/>
            <w:textDirection w:val="lrTb"/>
            <w:noWrap w:val="false"/>
          </w:tcPr>
          <w:p>
            <w:pPr>
              <w:rPr>
                <w:rFonts w:ascii="宋体" w:hAnsi="宋体" w:cs="宋体"/>
                <w:szCs w:val="21"/>
              </w:rPr>
            </w:pPr>
            <w:r>
              <w:rPr>
                <w:rFonts w:ascii="宋体" w:hAnsi="宋体" w:cs="宋体"/>
                <w:szCs w:val="21"/>
              </w:rPr>
            </w:r>
            <w:r/>
          </w:p>
        </w:tc>
      </w:tr>
      <w:tr>
        <w:trPr/>
        <w:tc>
          <w:tcPr>
            <w:tcW w:w="1652" w:type="dxa"/>
            <w:vMerge w:val="continue"/>
            <w:textDirection w:val="lrTb"/>
            <w:noWrap w:val="false"/>
          </w:tcPr>
          <w:p>
            <w:pPr>
              <w:rPr>
                <w:rFonts w:ascii="宋体" w:hAnsi="宋体" w:cs="宋体"/>
                <w:szCs w:val="21"/>
              </w:rPr>
            </w:pPr>
            <w:r>
              <w:rPr>
                <w:rFonts w:ascii="宋体" w:hAnsi="宋体" w:cs="宋体"/>
                <w:szCs w:val="21"/>
              </w:rPr>
            </w:r>
            <w:r/>
          </w:p>
        </w:tc>
        <w:tc>
          <w:tcPr>
            <w:tcW w:w="1383" w:type="dxa"/>
            <w:textDirection w:val="lrTb"/>
            <w:noWrap w:val="false"/>
          </w:tcPr>
          <w:p>
            <w:pPr>
              <w:rPr>
                <w:rFonts w:ascii="宋体" w:hAnsi="宋体" w:cs="宋体"/>
                <w:szCs w:val="21"/>
              </w:rPr>
            </w:pPr>
            <w:r>
              <w:rPr>
                <w:rFonts w:hint="eastAsia" w:ascii="宋体" w:hAnsi="宋体" w:cs="宋体"/>
                <w:szCs w:val="21"/>
              </w:rPr>
              <w:t xml:space="preserve">3.4 接受监管配合度</w:t>
            </w:r>
            <w:r/>
          </w:p>
        </w:tc>
        <w:tc>
          <w:tcPr>
            <w:tcW w:w="4667" w:type="dxa"/>
            <w:textDirection w:val="lrTb"/>
            <w:noWrap w:val="false"/>
          </w:tcPr>
          <w:p>
            <w:pPr>
              <w:rPr>
                <w:rFonts w:ascii="宋体" w:hAnsi="宋体" w:cs="宋体"/>
                <w:szCs w:val="21"/>
              </w:rPr>
            </w:pPr>
            <w:r>
              <w:rPr>
                <w:rFonts w:hint="eastAsia" w:ascii="宋体" w:hAnsi="宋体" w:cs="宋体"/>
                <w:szCs w:val="21"/>
              </w:rPr>
              <w:t xml:space="preserve">积极配合甲方及财政、审计等部门的检查、审计，按要求提供资料。不配合或提供虚假资料，本项0分</w:t>
            </w:r>
            <w:r/>
          </w:p>
        </w:tc>
        <w:tc>
          <w:tcPr>
            <w:tcW w:w="662" w:type="dxa"/>
            <w:textDirection w:val="lrTb"/>
            <w:noWrap w:val="false"/>
          </w:tcPr>
          <w:p>
            <w:pPr>
              <w:rPr>
                <w:rFonts w:ascii="宋体" w:hAnsi="宋体" w:cs="宋体"/>
                <w:szCs w:val="21"/>
              </w:rPr>
            </w:pPr>
            <w:r>
              <w:rPr>
                <w:rFonts w:hint="eastAsia" w:ascii="宋体" w:hAnsi="宋体" w:cs="宋体"/>
                <w:szCs w:val="21"/>
              </w:rPr>
              <w:t xml:space="preserve">6</w:t>
            </w:r>
            <w:r/>
          </w:p>
        </w:tc>
        <w:tc>
          <w:tcPr>
            <w:tcW w:w="688" w:type="dxa"/>
            <w:textDirection w:val="lrTb"/>
            <w:noWrap w:val="false"/>
          </w:tcPr>
          <w:p>
            <w:pPr>
              <w:rPr>
                <w:rFonts w:ascii="宋体" w:hAnsi="宋体" w:cs="宋体"/>
                <w:szCs w:val="21"/>
              </w:rPr>
            </w:pPr>
            <w:r>
              <w:rPr>
                <w:rFonts w:ascii="宋体" w:hAnsi="宋体" w:cs="宋体"/>
                <w:szCs w:val="21"/>
              </w:rPr>
            </w:r>
            <w:r/>
          </w:p>
        </w:tc>
        <w:tc>
          <w:tcPr>
            <w:tcW w:w="653" w:type="dxa"/>
            <w:textDirection w:val="lrTb"/>
            <w:noWrap w:val="false"/>
          </w:tcPr>
          <w:p>
            <w:pPr>
              <w:rPr>
                <w:rFonts w:ascii="宋体" w:hAnsi="宋体" w:cs="宋体"/>
                <w:szCs w:val="21"/>
              </w:rPr>
            </w:pPr>
            <w:r>
              <w:rPr>
                <w:rFonts w:ascii="宋体" w:hAnsi="宋体" w:cs="宋体"/>
                <w:szCs w:val="21"/>
              </w:rPr>
            </w:r>
            <w:r/>
          </w:p>
        </w:tc>
      </w:tr>
      <w:tr>
        <w:trPr/>
        <w:tc>
          <w:tcPr>
            <w:tcW w:w="1657" w:type="dxa"/>
            <w:textDirection w:val="lrTb"/>
            <w:noWrap w:val="false"/>
          </w:tcPr>
          <w:p>
            <w:pPr>
              <w:rPr>
                <w:rFonts w:ascii="宋体" w:hAnsi="宋体" w:cs="宋体"/>
                <w:szCs w:val="21"/>
              </w:rPr>
            </w:pPr>
            <w:r>
              <w:rPr>
                <w:rFonts w:hint="eastAsia" w:ascii="宋体" w:hAnsi="宋体" w:cs="宋体"/>
                <w:szCs w:val="21"/>
              </w:rPr>
              <w:t xml:space="preserve">四、应急与出库能力 (15分)</w:t>
            </w:r>
            <w:r/>
          </w:p>
        </w:tc>
        <w:tc>
          <w:tcPr>
            <w:tcW w:w="1378" w:type="dxa"/>
            <w:textDirection w:val="lrTb"/>
            <w:noWrap w:val="false"/>
          </w:tcPr>
          <w:p>
            <w:pPr>
              <w:rPr>
                <w:rFonts w:ascii="宋体" w:hAnsi="宋体" w:cs="宋体"/>
                <w:szCs w:val="21"/>
              </w:rPr>
            </w:pPr>
            <w:r>
              <w:rPr>
                <w:rFonts w:hint="eastAsia" w:ascii="宋体" w:hAnsi="宋体" w:cs="宋体"/>
                <w:szCs w:val="21"/>
              </w:rPr>
              <w:t xml:space="preserve">4.1 应急响应预案</w:t>
            </w:r>
            <w:r/>
          </w:p>
        </w:tc>
        <w:tc>
          <w:tcPr>
            <w:tcW w:w="4667" w:type="dxa"/>
            <w:textDirection w:val="lrTb"/>
            <w:noWrap w:val="false"/>
          </w:tcPr>
          <w:p>
            <w:pPr>
              <w:rPr>
                <w:rFonts w:ascii="宋体" w:hAnsi="宋体" w:cs="宋体"/>
                <w:szCs w:val="21"/>
              </w:rPr>
            </w:pPr>
            <w:r>
              <w:rPr>
                <w:rFonts w:hint="eastAsia" w:ascii="宋体" w:hAnsi="宋体" w:cs="宋体"/>
                <w:szCs w:val="21"/>
              </w:rPr>
              <w:t xml:space="preserve">有切实可行的应急动用、保供应急预案，并经过演练。无预案扣5分，未演练扣3分</w:t>
            </w:r>
            <w:r/>
          </w:p>
        </w:tc>
        <w:tc>
          <w:tcPr>
            <w:tcW w:w="662" w:type="dxa"/>
            <w:textDirection w:val="lrTb"/>
            <w:noWrap w:val="false"/>
          </w:tcPr>
          <w:p>
            <w:pPr>
              <w:rPr>
                <w:rFonts w:ascii="宋体" w:hAnsi="宋体" w:cs="宋体"/>
                <w:szCs w:val="21"/>
              </w:rPr>
            </w:pPr>
            <w:r>
              <w:rPr>
                <w:rFonts w:hint="eastAsia" w:ascii="宋体" w:hAnsi="宋体" w:cs="宋体"/>
                <w:szCs w:val="21"/>
              </w:rPr>
              <w:t xml:space="preserve">5</w:t>
            </w:r>
            <w:r/>
          </w:p>
        </w:tc>
        <w:tc>
          <w:tcPr>
            <w:tcW w:w="688" w:type="dxa"/>
            <w:textDirection w:val="lrTb"/>
            <w:noWrap w:val="false"/>
          </w:tcPr>
          <w:p>
            <w:pPr>
              <w:rPr>
                <w:rFonts w:ascii="宋体" w:hAnsi="宋体" w:cs="宋体"/>
                <w:szCs w:val="21"/>
              </w:rPr>
            </w:pPr>
            <w:r>
              <w:rPr>
                <w:rFonts w:ascii="宋体" w:hAnsi="宋体" w:cs="宋体"/>
                <w:szCs w:val="21"/>
              </w:rPr>
            </w:r>
            <w:r/>
          </w:p>
        </w:tc>
        <w:tc>
          <w:tcPr>
            <w:tcW w:w="653" w:type="dxa"/>
            <w:textDirection w:val="lrTb"/>
            <w:noWrap w:val="false"/>
          </w:tcPr>
          <w:p>
            <w:pPr>
              <w:rPr>
                <w:rFonts w:ascii="宋体" w:hAnsi="宋体" w:cs="宋体"/>
                <w:szCs w:val="21"/>
              </w:rPr>
            </w:pPr>
            <w:r>
              <w:rPr>
                <w:rFonts w:ascii="宋体" w:hAnsi="宋体" w:cs="宋体"/>
                <w:szCs w:val="21"/>
              </w:rPr>
            </w:r>
            <w:r/>
          </w:p>
        </w:tc>
      </w:tr>
      <w:tr>
        <w:trPr/>
        <w:tc>
          <w:tcPr>
            <w:tcW w:w="1652" w:type="dxa"/>
            <w:textDirection w:val="lrTb"/>
            <w:noWrap w:val="false"/>
          </w:tcPr>
          <w:p>
            <w:pPr>
              <w:rPr>
                <w:rFonts w:ascii="宋体" w:hAnsi="宋体" w:cs="宋体"/>
                <w:szCs w:val="21"/>
              </w:rPr>
            </w:pPr>
            <w:r>
              <w:rPr>
                <w:rFonts w:ascii="宋体" w:hAnsi="宋体" w:cs="宋体"/>
                <w:szCs w:val="21"/>
              </w:rPr>
            </w:r>
            <w:r/>
          </w:p>
        </w:tc>
        <w:tc>
          <w:tcPr>
            <w:tcW w:w="1383" w:type="dxa"/>
            <w:textDirection w:val="lrTb"/>
            <w:noWrap w:val="false"/>
          </w:tcPr>
          <w:p>
            <w:pPr>
              <w:jc w:val="left"/>
              <w:widowControl/>
              <w:rPr>
                <w:rFonts w:ascii="宋体" w:hAnsi="宋体" w:cs="宋体"/>
                <w:szCs w:val="21"/>
              </w:rPr>
            </w:pPr>
            <w:r>
              <w:rPr>
                <w:rStyle w:val="800"/>
                <w:rFonts w:hint="eastAsia" w:ascii="宋体" w:hAnsi="宋体" w:cs="宋体"/>
                <w:b w:val="0"/>
                <w:bCs w:val="0"/>
                <w:szCs w:val="21"/>
              </w:rPr>
              <w:t xml:space="preserve">4.2 出库实操考核</w:t>
            </w:r>
            <w:r/>
          </w:p>
        </w:tc>
        <w:tc>
          <w:tcPr>
            <w:tcW w:w="4667" w:type="dxa"/>
            <w:textDirection w:val="lrTb"/>
            <w:noWrap w:val="false"/>
          </w:tcPr>
          <w:p>
            <w:pPr>
              <w:jc w:val="left"/>
              <w:widowControl/>
              <w:rPr>
                <w:rFonts w:ascii="宋体" w:hAnsi="宋体" w:cs="宋体"/>
                <w:szCs w:val="21"/>
              </w:rPr>
            </w:pPr>
            <w:r>
              <w:rPr>
                <w:rFonts w:hint="eastAsia" w:ascii="宋体" w:hAnsi="宋体" w:cs="宋体"/>
                <w:szCs w:val="21"/>
              </w:rPr>
              <w:t xml:space="preserve">模拟应急动用指令，考核从接令、备货、票据准备到装车完毕的全流程时效。</w:t>
            </w:r>
            <w:r>
              <w:rPr>
                <w:rStyle w:val="800"/>
                <w:rFonts w:hint="eastAsia" w:ascii="宋体" w:hAnsi="宋体" w:cs="宋体"/>
                <w:b w:val="0"/>
                <w:bCs w:val="0"/>
                <w:szCs w:val="21"/>
              </w:rPr>
              <w:t xml:space="preserve">超过合同约定时间</w:t>
            </w:r>
            <w:r>
              <w:rPr>
                <w:rStyle w:val="800"/>
                <w:rFonts w:hint="eastAsia" w:ascii="宋体" w:hAnsi="宋体" w:cs="宋体"/>
                <w:b w:val="0"/>
                <w:bCs w:val="0"/>
                <w:szCs w:val="21"/>
              </w:rPr>
              <w:t xml:space="preserve">（如4小时）完成，每延迟15分钟扣2分，扣完为止。</w:t>
            </w:r>
            <w:r>
              <w:rPr>
                <w:rFonts w:hint="eastAsia" w:ascii="宋体" w:hAnsi="宋体" w:cs="宋体"/>
                <w:szCs w:val="21"/>
              </w:rPr>
              <w:t xml:space="preserve">无法完成出库，本项0分</w:t>
            </w:r>
            <w:r/>
          </w:p>
          <w:p>
            <w:pPr>
              <w:rPr>
                <w:rFonts w:ascii="宋体" w:hAnsi="宋体" w:cs="宋体"/>
                <w:szCs w:val="21"/>
              </w:rPr>
            </w:pPr>
            <w:r>
              <w:rPr>
                <w:rFonts w:ascii="宋体" w:hAnsi="宋体" w:cs="宋体"/>
                <w:szCs w:val="21"/>
              </w:rPr>
            </w:r>
            <w:r/>
          </w:p>
        </w:tc>
        <w:tc>
          <w:tcPr>
            <w:tcW w:w="662" w:type="dxa"/>
            <w:textDirection w:val="lrTb"/>
            <w:noWrap w:val="false"/>
          </w:tcPr>
          <w:p>
            <w:pPr>
              <w:rPr>
                <w:rFonts w:ascii="宋体" w:hAnsi="宋体" w:cs="宋体"/>
                <w:szCs w:val="21"/>
              </w:rPr>
            </w:pPr>
            <w:r>
              <w:rPr>
                <w:rFonts w:hint="eastAsia" w:ascii="宋体" w:hAnsi="宋体" w:cs="宋体"/>
                <w:szCs w:val="21"/>
              </w:rPr>
              <w:t xml:space="preserve">10</w:t>
            </w:r>
            <w:r/>
          </w:p>
        </w:tc>
        <w:tc>
          <w:tcPr>
            <w:tcW w:w="688" w:type="dxa"/>
            <w:textDirection w:val="lrTb"/>
            <w:noWrap w:val="false"/>
          </w:tcPr>
          <w:p>
            <w:pPr>
              <w:rPr>
                <w:rFonts w:ascii="宋体" w:hAnsi="宋体" w:cs="宋体"/>
                <w:szCs w:val="21"/>
              </w:rPr>
            </w:pPr>
            <w:r>
              <w:rPr>
                <w:rFonts w:ascii="宋体" w:hAnsi="宋体" w:cs="宋体"/>
                <w:szCs w:val="21"/>
              </w:rPr>
            </w:r>
            <w:r/>
          </w:p>
        </w:tc>
        <w:tc>
          <w:tcPr>
            <w:tcW w:w="653" w:type="dxa"/>
            <w:textDirection w:val="lrTb"/>
            <w:noWrap w:val="false"/>
          </w:tcPr>
          <w:p>
            <w:pPr>
              <w:rPr>
                <w:rFonts w:ascii="宋体" w:hAnsi="宋体" w:cs="宋体"/>
                <w:szCs w:val="21"/>
              </w:rPr>
            </w:pPr>
            <w:r>
              <w:rPr>
                <w:rFonts w:ascii="宋体" w:hAnsi="宋体" w:cs="宋体"/>
                <w:szCs w:val="21"/>
              </w:rPr>
            </w:r>
            <w:r/>
          </w:p>
        </w:tc>
      </w:tr>
      <w:tr>
        <w:trPr>
          <w:trHeight w:val="1923"/>
        </w:trPr>
        <w:tc>
          <w:tcPr>
            <w:tcW w:w="1657" w:type="dxa"/>
            <w:textDirection w:val="lrTb"/>
            <w:noWrap w:val="false"/>
          </w:tcPr>
          <w:p>
            <w:pPr>
              <w:rPr>
                <w:rFonts w:ascii="宋体" w:hAnsi="宋体" w:cs="宋体"/>
                <w:szCs w:val="21"/>
              </w:rPr>
            </w:pPr>
            <w:r>
              <w:rPr>
                <w:rFonts w:hint="eastAsia" w:ascii="宋体" w:hAnsi="宋体" w:cs="宋体"/>
                <w:szCs w:val="21"/>
              </w:rPr>
              <w:t xml:space="preserve">备注</w:t>
            </w:r>
            <w:r/>
          </w:p>
        </w:tc>
        <w:tc>
          <w:tcPr>
            <w:gridSpan w:val="4"/>
            <w:tcW w:w="7395" w:type="dxa"/>
            <w:textDirection w:val="lrTb"/>
            <w:noWrap w:val="false"/>
          </w:tcPr>
          <w:p>
            <w:pPr>
              <w:rPr>
                <w:rFonts w:ascii="宋体" w:hAnsi="宋体" w:cs="宋体"/>
                <w:szCs w:val="21"/>
              </w:rPr>
            </w:pPr>
            <w:r>
              <w:rPr>
                <w:rFonts w:hint="eastAsia" w:ascii="宋体" w:hAnsi="宋体" w:cs="宋体"/>
                <w:szCs w:val="21"/>
              </w:rPr>
              <w:t xml:space="preserve">年度考评分在90分（含）以上则全额支付当期管理费；</w:t>
            </w:r>
            <w:r/>
          </w:p>
          <w:p>
            <w:pPr>
              <w:rPr>
                <w:rFonts w:ascii="宋体" w:hAnsi="宋体" w:cs="宋体"/>
                <w:szCs w:val="21"/>
              </w:rPr>
            </w:pPr>
            <w:r>
              <w:rPr>
                <w:rFonts w:hint="eastAsia" w:ascii="宋体" w:hAnsi="宋体" w:cs="宋体"/>
                <w:szCs w:val="21"/>
              </w:rPr>
              <w:t xml:space="preserve">年度考评分在80分以上90分以下则按每分500元扣除当期管理费；</w:t>
            </w:r>
            <w:r/>
          </w:p>
          <w:p>
            <w:pPr>
              <w:rPr>
                <w:rFonts w:ascii="宋体" w:hAnsi="宋体" w:cs="宋体"/>
                <w:szCs w:val="21"/>
              </w:rPr>
            </w:pPr>
            <w:r>
              <w:rPr>
                <w:rFonts w:hint="eastAsia" w:ascii="宋体" w:hAnsi="宋体" w:cs="宋体"/>
                <w:szCs w:val="21"/>
              </w:rPr>
              <w:t xml:space="preserve">年度考评分在80分（含）以下则按每分500元扣款并加扣该周期费用5%；</w:t>
            </w:r>
            <w:r/>
          </w:p>
          <w:p>
            <w:pPr>
              <w:rPr>
                <w:rFonts w:ascii="宋体" w:hAnsi="宋体" w:cs="宋体"/>
                <w:szCs w:val="21"/>
              </w:rPr>
            </w:pPr>
            <w:r>
              <w:rPr>
                <w:rFonts w:hint="eastAsia" w:ascii="宋体" w:hAnsi="宋体" w:cs="宋体"/>
                <w:szCs w:val="21"/>
              </w:rPr>
              <w:t xml:space="preserve">年度考评分在60分（不含）以下则终止合同。</w:t>
            </w:r>
            <w:r/>
          </w:p>
          <w:p>
            <w:pPr>
              <w:rPr>
                <w:rFonts w:ascii="宋体" w:hAnsi="宋体" w:cs="宋体"/>
                <w:szCs w:val="21"/>
              </w:rPr>
            </w:pPr>
            <w:r>
              <w:rPr>
                <w:rFonts w:hint="eastAsia" w:ascii="宋体" w:hAnsi="宋体" w:cs="宋体"/>
                <w:szCs w:val="21"/>
              </w:rPr>
              <w:t xml:space="preserve">此表为样本，甲方视实际情况调整。</w:t>
            </w:r>
            <w:r/>
          </w:p>
          <w:p>
            <w:pPr>
              <w:rPr>
                <w:rFonts w:ascii="宋体" w:hAnsi="宋体" w:cs="宋体"/>
                <w:szCs w:val="21"/>
              </w:rPr>
            </w:pPr>
            <w:r>
              <w:rPr>
                <w:rFonts w:hint="eastAsia" w:ascii="宋体" w:hAnsi="宋体" w:cs="宋体"/>
                <w:szCs w:val="21"/>
              </w:rPr>
              <w:t xml:space="preserve">本考核表为年度考核表。</w:t>
            </w:r>
            <w:r/>
          </w:p>
        </w:tc>
        <w:tc>
          <w:tcPr>
            <w:tcW w:w="653" w:type="dxa"/>
            <w:textDirection w:val="lrTb"/>
            <w:noWrap w:val="false"/>
          </w:tcPr>
          <w:p>
            <w:pPr>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ascii="宋体" w:hAnsi="宋体" w:cs="宋体"/>
          <w:szCs w:val="21"/>
        </w:rPr>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五、磋商响应文件格式</w:t>
      </w:r>
      <w:r/>
    </w:p>
    <w:p>
      <w:pPr>
        <w:jc w:val="left"/>
        <w:spacing w:line="440" w:lineRule="exact"/>
        <w:rPr>
          <w:rFonts w:ascii="宋体" w:hAnsi="宋体" w:cs="宋体"/>
          <w:b/>
          <w:szCs w:val="21"/>
        </w:rPr>
      </w:pPr>
      <w:r>
        <w:rPr>
          <w:rFonts w:hint="eastAsia" w:ascii="宋体" w:hAnsi="宋体" w:cs="宋体"/>
          <w:b/>
          <w:szCs w:val="21"/>
        </w:rPr>
        <w:t xml:space="preserve">说明：</w:t>
      </w:r>
      <w:r/>
    </w:p>
    <w:p>
      <w:pPr>
        <w:pStyle w:val="808"/>
        <w:ind w:firstLine="420"/>
        <w:rPr>
          <w:rFonts w:cs="宋体"/>
          <w:sz w:val="21"/>
          <w:szCs w:val="21"/>
        </w:rPr>
      </w:pPr>
      <w:r>
        <w:rPr>
          <w:rFonts w:hint="eastAsia" w:cs="宋体"/>
          <w:sz w:val="21"/>
          <w:szCs w:val="21"/>
        </w:rPr>
        <w:t xml:space="preserve">对本章所有的格式，供应商可根据自身情况进行补充和修改，但补充和修改不得造成与本格式内容有实质性的违背。</w:t>
      </w:r>
      <w:r/>
    </w:p>
    <w:p>
      <w:pPr>
        <w:pStyle w:val="808"/>
        <w:ind w:firstLine="420"/>
        <w:rPr>
          <w:rFonts w:cs="宋体"/>
          <w:sz w:val="21"/>
          <w:szCs w:val="21"/>
        </w:rPr>
      </w:pPr>
      <w:r>
        <w:rPr>
          <w:rFonts w:cs="宋体"/>
          <w:sz w:val="21"/>
          <w:szCs w:val="21"/>
        </w:rPr>
      </w:r>
      <w:r/>
    </w:p>
    <w:p>
      <w:pPr>
        <w:spacing w:line="360" w:lineRule="auto"/>
        <w:rPr>
          <w:rFonts w:ascii="宋体" w:hAnsi="宋体" w:cs="宋体"/>
          <w:b/>
          <w:szCs w:val="21"/>
        </w:rPr>
        <w:outlineLvl w:val="1"/>
      </w:pPr>
      <w:r>
        <w:rPr>
          <w:rFonts w:hint="eastAsia" w:ascii="宋体" w:hAnsi="宋体" w:cs="宋体"/>
          <w:b/>
          <w:szCs w:val="21"/>
        </w:rPr>
        <w:t xml:space="preserve">附件1：开标一览表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开标一览表</w:t>
      </w:r>
      <w:r/>
    </w:p>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2915"/>
        <w:gridCol w:w="2686"/>
        <w:gridCol w:w="2340"/>
        <w:gridCol w:w="1716"/>
      </w:tblGrid>
      <w:tr>
        <w:trPr>
          <w:jc w:val="center"/>
          <w:trHeight w:val="607"/>
        </w:trPr>
        <w:tc>
          <w:tcPr>
            <w:tcBorders>
              <w:top w:val="single" w:color="auto" w:sz="4" w:space="0"/>
              <w:left w:val="single" w:color="auto" w:sz="4" w:space="0"/>
              <w:bottom w:val="single" w:color="auto" w:sz="4" w:space="0"/>
              <w:right w:val="single" w:color="auto" w:sz="4" w:space="0"/>
            </w:tcBorders>
            <w:tcW w:w="2915" w:type="dxa"/>
            <w:vAlign w:val="center"/>
            <w:textDirection w:val="lrTb"/>
            <w:noWrap/>
          </w:tcPr>
          <w:p>
            <w:pPr>
              <w:jc w:val="center"/>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tcPr>
          <w:p>
            <w:pPr>
              <w:jc w:val="center"/>
              <w:rPr>
                <w:rFonts w:ascii="宋体" w:hAnsi="宋体" w:cs="宋体"/>
                <w:spacing w:val="20"/>
                <w:szCs w:val="21"/>
              </w:rPr>
            </w:pPr>
            <w:r>
              <w:rPr>
                <w:rFonts w:hint="eastAsia" w:ascii="宋体" w:hAnsi="宋体" w:cs="宋体"/>
                <w:spacing w:val="20"/>
                <w:szCs w:val="21"/>
              </w:rPr>
              <w:t xml:space="preserve">磋商总报价(</w:t>
            </w:r>
            <w:r>
              <w:rPr>
                <w:rFonts w:hint="eastAsia" w:ascii="宋体" w:hAnsi="宋体" w:cs="宋体"/>
                <w:spacing w:val="20"/>
                <w:szCs w:val="21"/>
                <w:lang w:val="zh-CN"/>
              </w:rPr>
              <w:t xml:space="preserve">元</w:t>
            </w:r>
            <w:r>
              <w:rPr>
                <w:rFonts w:hint="eastAsia" w:ascii="宋体" w:hAnsi="宋体" w:cs="宋体"/>
                <w:spacing w:val="20"/>
                <w:szCs w:val="21"/>
              </w:rPr>
              <w:t xml:space="preserve">)</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tcPr>
          <w:p>
            <w:pPr>
              <w:jc w:val="center"/>
              <w:rPr>
                <w:rFonts w:ascii="宋体" w:hAnsi="宋体" w:cs="宋体"/>
                <w:spacing w:val="20"/>
                <w:szCs w:val="21"/>
              </w:rPr>
            </w:pPr>
            <w:r>
              <w:rPr>
                <w:rFonts w:hint="eastAsia" w:ascii="宋体" w:hAnsi="宋体" w:cs="宋体"/>
                <w:szCs w:val="21"/>
              </w:rPr>
              <w:t xml:space="preserve">服务期限</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center"/>
              <w:rPr>
                <w:rFonts w:ascii="宋体" w:hAnsi="宋体" w:cs="宋体"/>
                <w:szCs w:val="21"/>
              </w:rPr>
            </w:pPr>
            <w:r>
              <w:rPr>
                <w:rFonts w:hint="eastAsia" w:ascii="宋体" w:hAnsi="宋体" w:cs="宋体"/>
                <w:szCs w:val="21"/>
              </w:rPr>
              <w:t xml:space="preserve">备注</w:t>
            </w:r>
            <w:r/>
          </w:p>
        </w:tc>
      </w:tr>
      <w:tr>
        <w:trPr>
          <w:jc w:val="center"/>
          <w:trHeight w:val="1710"/>
        </w:trPr>
        <w:tc>
          <w:tcPr>
            <w:tcBorders>
              <w:top w:val="single" w:color="auto" w:sz="4" w:space="0"/>
              <w:left w:val="single" w:color="auto" w:sz="4" w:space="0"/>
              <w:bottom w:val="single" w:color="auto" w:sz="4" w:space="0"/>
              <w:right w:val="single" w:color="auto" w:sz="4" w:space="0"/>
            </w:tcBorders>
            <w:tcW w:w="2915"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tcPr>
          <w:p>
            <w:pPr>
              <w:jc w:val="center"/>
              <w:rPr>
                <w:rFonts w:ascii="宋体" w:hAnsi="宋体" w:cs="宋体"/>
                <w:szCs w:val="21"/>
              </w:rPr>
            </w:pPr>
            <w:r>
              <w:rPr>
                <w:rFonts w:hint="eastAsia" w:ascii="宋体" w:hAnsi="宋体" w:cs="宋体"/>
                <w:szCs w:val="21"/>
              </w:rPr>
              <w:t xml:space="preserve">按照采购文件要求</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center"/>
              <w:rPr>
                <w:rFonts w:ascii="宋体" w:hAnsi="宋体" w:cs="宋体"/>
                <w:szCs w:val="21"/>
              </w:rPr>
            </w:pPr>
            <w:r>
              <w:rPr>
                <w:rFonts w:ascii="宋体" w:hAnsi="宋体" w:cs="宋体"/>
                <w:szCs w:val="21"/>
              </w:rPr>
            </w:r>
            <w:r/>
          </w:p>
        </w:tc>
      </w:tr>
    </w:tbl>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pacing w:val="20"/>
          <w:szCs w:val="21"/>
        </w:rPr>
      </w:pPr>
      <w:r>
        <w:rPr>
          <w:rFonts w:hint="eastAsia" w:ascii="宋体" w:hAnsi="宋体" w:cs="宋体"/>
          <w:szCs w:val="21"/>
        </w:rPr>
        <w:t xml:space="preserve">磋商响应单位（签章）：</w:t>
      </w:r>
      <w:r/>
    </w:p>
    <w:p>
      <w:pPr>
        <w:spacing w:line="360" w:lineRule="auto"/>
        <w:rPr>
          <w:rFonts w:ascii="宋体" w:hAnsi="宋体" w:cs="宋体"/>
          <w:spacing w:val="20"/>
          <w:szCs w:val="21"/>
        </w:rPr>
      </w:pPr>
      <w:r>
        <w:rPr>
          <w:rFonts w:hint="eastAsia" w:ascii="宋体" w:hAnsi="宋体" w:cs="宋体"/>
          <w:spacing w:val="20"/>
          <w:szCs w:val="21"/>
        </w:rPr>
        <w:t xml:space="preserve">日期：</w:t>
      </w:r>
      <w:r/>
    </w:p>
    <w:p>
      <w:pPr>
        <w:pStyle w:val="798"/>
        <w:ind w:firstLine="500"/>
        <w:rPr>
          <w:rFonts w:ascii="宋体" w:hAnsi="宋体" w:cs="宋体"/>
          <w:spacing w:val="20"/>
          <w:szCs w:val="21"/>
        </w:rPr>
      </w:pPr>
      <w:r>
        <w:rPr>
          <w:rFonts w:ascii="宋体" w:hAnsi="宋体" w:cs="宋体"/>
          <w:spacing w:val="20"/>
          <w:szCs w:val="21"/>
        </w:rPr>
      </w:r>
      <w:r/>
    </w:p>
    <w:p>
      <w:pPr>
        <w:pStyle w:val="768"/>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附件2：磋商响应报价分析表</w:t>
      </w:r>
      <w:r/>
    </w:p>
    <w:p>
      <w:pPr>
        <w:jc w:val="center"/>
        <w:rPr>
          <w:rFonts w:ascii="宋体" w:hAnsi="宋体" w:cs="宋体"/>
          <w:b/>
        </w:rPr>
      </w:pPr>
      <w:r>
        <w:rPr>
          <w:rFonts w:hint="eastAsia" w:ascii="宋体" w:hAnsi="宋体" w:cs="宋体"/>
          <w:b/>
        </w:rPr>
        <w:t xml:space="preserve">磋商响应报价分析表</w:t>
      </w:r>
      <w:r/>
    </w:p>
    <w:p>
      <w:pPr>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7"/>
        <w:gridCol w:w="2267"/>
        <w:gridCol w:w="1411"/>
        <w:gridCol w:w="1865"/>
        <w:gridCol w:w="1824"/>
        <w:gridCol w:w="1490"/>
      </w:tblGrid>
      <w:tr>
        <w:trPr>
          <w:cantSplit/>
          <w:jc w:val="center"/>
          <w:trHeight w:val="503"/>
        </w:trPr>
        <w:tc>
          <w:tcPr>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费用项目</w:t>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单位/数量</w:t>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单价（元）</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总价（元）</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077"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211" w:type="dxa"/>
            <w:vAlign w:val="center"/>
            <w:textDirection w:val="lrTb"/>
            <w:noWrap/>
          </w:tcPr>
          <w:p>
            <w:pPr>
              <w:spacing w:line="400" w:lineRule="exact"/>
              <w:rPr>
                <w:rFonts w:ascii="宋体" w:hAnsi="宋体" w:cs="宋体"/>
                <w:szCs w:val="21"/>
              </w:rPr>
            </w:pPr>
            <w:r>
              <w:rPr>
                <w:rFonts w:hint="eastAsia" w:ascii="宋体" w:hAnsi="宋体" w:cs="宋体"/>
                <w:szCs w:val="21"/>
              </w:rPr>
              <w:t xml:space="preserve">人民币（小写）       元</w:t>
            </w:r>
            <w:r/>
          </w:p>
        </w:tc>
      </w:tr>
    </w:tbl>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pacing w:val="20"/>
          <w:szCs w:val="21"/>
        </w:rPr>
      </w:pPr>
      <w:r>
        <w:rPr>
          <w:rFonts w:hint="eastAsia" w:ascii="宋体" w:hAnsi="宋体" w:cs="宋体"/>
          <w:szCs w:val="21"/>
        </w:rPr>
        <w:t xml:space="preserve">磋商响应单位（签章）：</w:t>
      </w:r>
      <w:r/>
    </w:p>
    <w:p>
      <w:pPr>
        <w:rPr>
          <w:rFonts w:ascii="宋体" w:hAnsi="宋体" w:cs="宋体"/>
          <w:szCs w:val="21"/>
        </w:rPr>
      </w:pPr>
      <w:r>
        <w:rPr>
          <w:rFonts w:hint="eastAsia" w:ascii="宋体" w:hAnsi="宋体" w:cs="宋体"/>
          <w:spacing w:val="20"/>
          <w:szCs w:val="21"/>
        </w:rPr>
        <w:t xml:space="preserve">日期</w:t>
      </w:r>
      <w:r/>
    </w:p>
    <w:p>
      <w:pPr>
        <w:pStyle w:val="768"/>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附件3：关于资格文件的声明函</w:t>
      </w:r>
      <w:r/>
    </w:p>
    <w:p>
      <w:pPr>
        <w:pStyle w:val="768"/>
        <w:jc w:val="center"/>
        <w:spacing w:line="360" w:lineRule="auto"/>
        <w:rPr>
          <w:rFonts w:ascii="宋体" w:hAnsi="宋体" w:eastAsia="宋体" w:cs="宋体"/>
          <w:sz w:val="21"/>
        </w:rPr>
      </w:pPr>
      <w:r>
        <w:rPr>
          <w:rFonts w:ascii="宋体" w:hAnsi="宋体" w:eastAsia="宋体" w:cs="宋体"/>
          <w:sz w:val="21"/>
        </w:rPr>
      </w:r>
      <w:r/>
    </w:p>
    <w:p>
      <w:pPr>
        <w:pStyle w:val="768"/>
        <w:jc w:val="center"/>
        <w:spacing w:line="360" w:lineRule="auto"/>
        <w:rPr>
          <w:rFonts w:ascii="宋体" w:hAnsi="宋体" w:eastAsia="宋体" w:cs="宋体"/>
          <w:sz w:val="21"/>
        </w:rPr>
      </w:pPr>
      <w:r>
        <w:rPr>
          <w:rFonts w:hint="eastAsia" w:ascii="宋体" w:hAnsi="宋体" w:eastAsia="宋体" w:cs="宋体"/>
          <w:sz w:val="21"/>
        </w:rPr>
        <w:t xml:space="preserve">关于资格文件的声明函</w:t>
      </w:r>
      <w:r/>
    </w:p>
    <w:p>
      <w:pPr>
        <w:pStyle w:val="768"/>
        <w:ind w:firstLine="0"/>
        <w:spacing w:line="360" w:lineRule="auto"/>
        <w:rPr>
          <w:rFonts w:ascii="宋体" w:hAnsi="宋体" w:eastAsia="宋体" w:cs="宋体"/>
          <w:sz w:val="21"/>
          <w:u w:val="single"/>
        </w:rPr>
      </w:pPr>
      <w:r>
        <w:rPr>
          <w:rFonts w:ascii="宋体" w:hAnsi="宋体" w:eastAsia="宋体" w:cs="宋体"/>
          <w:sz w:val="21"/>
          <w:u w:val="single"/>
        </w:rPr>
      </w:r>
      <w:r/>
    </w:p>
    <w:p>
      <w:pPr>
        <w:pStyle w:val="768"/>
        <w:ind w:firstLine="210"/>
        <w:spacing w:line="360" w:lineRule="auto"/>
        <w:rPr>
          <w:rFonts w:ascii="宋体" w:hAnsi="宋体" w:eastAsia="宋体" w:cs="宋体"/>
          <w:sz w:val="21"/>
        </w:rPr>
      </w:pPr>
      <w:r>
        <w:rPr>
          <w:rFonts w:hint="eastAsia" w:ascii="宋体" w:hAnsi="宋体" w:eastAsia="宋体" w:cs="宋体"/>
          <w:sz w:val="21"/>
        </w:rPr>
        <w:t xml:space="preserve">【】：</w:t>
      </w:r>
      <w:r/>
    </w:p>
    <w:p>
      <w:pPr>
        <w:pStyle w:val="768"/>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768"/>
        <w:ind w:firstLine="0"/>
        <w:jc w:val="both"/>
        <w:spacing w:line="360" w:lineRule="auto"/>
        <w:rPr>
          <w:rFonts w:ascii="宋体" w:hAnsi="宋体" w:eastAsia="宋体" w:cs="宋体"/>
          <w:sz w:val="21"/>
        </w:rPr>
      </w:pPr>
      <w:r>
        <w:rPr>
          <w:rFonts w:ascii="宋体" w:hAnsi="宋体" w:eastAsia="宋体" w:cs="宋体"/>
          <w:sz w:val="21"/>
        </w:rPr>
      </w:r>
      <w:r/>
    </w:p>
    <w:p>
      <w:pPr>
        <w:pStyle w:val="768"/>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768"/>
        <w:ind w:firstLine="0"/>
        <w:jc w:val="both"/>
        <w:spacing w:line="360" w:lineRule="auto"/>
        <w:rPr>
          <w:rFonts w:ascii="宋体" w:hAnsi="宋体" w:eastAsia="宋体" w:cs="宋体"/>
          <w:sz w:val="21"/>
          <w:szCs w:val="21"/>
        </w:rPr>
        <w:sectPr>
          <w:footnotePr/>
          <w:endnotePr/>
          <w:type w:val="nextPage"/>
          <w:pgSz w:w="11906" w:h="16838" w:orient="portrait"/>
          <w:pgMar w:top="1134" w:right="1134" w:bottom="1134" w:left="1134" w:header="680" w:footer="680" w:gutter="0"/>
          <w:cols w:num="1" w:sep="0" w:space="720" w:equalWidth="1"/>
          <w:docGrid w:linePitch="360"/>
        </w:sectPr>
      </w:pPr>
      <w:r>
        <w:rPr>
          <w:rFonts w:hint="eastAsia" w:ascii="宋体" w:hAnsi="宋体" w:eastAsia="宋体" w:cs="宋体"/>
          <w:sz w:val="21"/>
          <w:szCs w:val="21"/>
        </w:rPr>
        <w:t xml:space="preserve">日期：        年    月    日</w:t>
      </w:r>
      <w:r/>
    </w:p>
    <w:p>
      <w:pPr>
        <w:pStyle w:val="768"/>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附件:4：磋商响应单位基本情况表</w:t>
      </w:r>
      <w:r/>
    </w:p>
    <w:p>
      <w:pPr>
        <w:pStyle w:val="768"/>
        <w:jc w:val="center"/>
        <w:spacing w:line="360" w:lineRule="auto"/>
        <w:rPr>
          <w:rFonts w:ascii="宋体" w:hAnsi="宋体" w:eastAsia="宋体" w:cs="宋体"/>
          <w:sz w:val="21"/>
          <w:szCs w:val="21"/>
        </w:rPr>
      </w:pPr>
      <w:r>
        <w:rPr>
          <w:rFonts w:ascii="宋体" w:hAnsi="宋体" w:eastAsia="宋体" w:cs="宋体"/>
          <w:sz w:val="21"/>
          <w:szCs w:val="21"/>
        </w:rPr>
      </w:r>
      <w:r/>
    </w:p>
    <w:p>
      <w:pPr>
        <w:pStyle w:val="768"/>
        <w:jc w:val="center"/>
        <w:spacing w:line="360" w:lineRule="auto"/>
        <w:rPr>
          <w:rFonts w:ascii="宋体" w:hAnsi="宋体" w:eastAsia="宋体" w:cs="宋体"/>
          <w:sz w:val="21"/>
          <w:szCs w:val="21"/>
        </w:rPr>
      </w:pPr>
      <w:r>
        <w:rPr>
          <w:rFonts w:hint="eastAsia" w:ascii="宋体" w:hAnsi="宋体" w:eastAsia="宋体" w:cs="宋体"/>
          <w:sz w:val="21"/>
          <w:szCs w:val="21"/>
        </w:rPr>
        <w:t xml:space="preserve">磋商响应单位基本情况表</w:t>
      </w:r>
      <w:r/>
    </w:p>
    <w:p>
      <w:pPr>
        <w:pStyle w:val="76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p>
    <w:tbl>
      <w:tblPr>
        <w:tblW w:w="49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719"/>
        <w:gridCol w:w="1985"/>
        <w:gridCol w:w="1522"/>
        <w:gridCol w:w="2142"/>
        <w:gridCol w:w="1289"/>
      </w:tblGrid>
      <w:tr>
        <w:trPr>
          <w:cantSplit/>
          <w:jc w:val="center"/>
          <w:trHeight w:val="567"/>
        </w:trPr>
        <w:tc>
          <w:tcPr>
            <w:tcW w:w="2719"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法定代表人</w:t>
            </w:r>
            <w:r/>
          </w:p>
        </w:tc>
        <w:tc>
          <w:tcPr>
            <w:tcW w:w="1985"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c>
          <w:tcPr>
            <w:tcW w:w="1522"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431"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企业地址</w:t>
            </w:r>
            <w:r/>
          </w:p>
        </w:tc>
        <w:tc>
          <w:tcPr>
            <w:tcW w:w="1985"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c>
          <w:tcPr>
            <w:tcW w:w="1522"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431" w:type="dxa"/>
            <w:vAlign w:val="center"/>
            <w:textDirection w:val="lrTb"/>
            <w:noWrap/>
          </w:tcPr>
          <w:p>
            <w:pPr>
              <w:pStyle w:val="768"/>
              <w:ind w:firstLine="2160"/>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38"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职工人数</w:t>
            </w:r>
            <w:r/>
          </w:p>
        </w:tc>
        <w:tc>
          <w:tcPr>
            <w:tcW w:w="1985"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c>
          <w:tcPr>
            <w:gridSpan w:val="2"/>
            <w:tcW w:w="3664"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89"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68"/>
              <w:ind w:firstLine="0"/>
              <w:jc w:val="both"/>
              <w:rPr>
                <w:rFonts w:ascii="宋体" w:hAnsi="宋体" w:eastAsia="宋体" w:cs="宋体"/>
                <w:sz w:val="21"/>
                <w:szCs w:val="21"/>
              </w:rPr>
            </w:pPr>
            <w:r>
              <w:rPr>
                <w:rFonts w:hint="eastAsia" w:ascii="宋体" w:hAnsi="宋体" w:eastAsia="宋体" w:cs="宋体"/>
                <w:sz w:val="21"/>
                <w:szCs w:val="21"/>
              </w:rPr>
              <w:t xml:space="preserve">资产总计</w:t>
            </w:r>
            <w:r/>
          </w:p>
        </w:tc>
        <w:tc>
          <w:tcPr>
            <w:tcW w:w="1985" w:type="dxa"/>
            <w:vAlign w:val="center"/>
            <w:textDirection w:val="lrTb"/>
            <w:noWrap/>
          </w:tcPr>
          <w:p>
            <w:pPr>
              <w:pStyle w:val="768"/>
              <w:ind w:firstLine="84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2" w:type="dxa"/>
            <w:vAlign w:val="center"/>
            <w:textDirection w:val="lrTb"/>
            <w:noWrap/>
          </w:tcPr>
          <w:p>
            <w:pPr>
              <w:pStyle w:val="768"/>
              <w:ind w:firstLine="0"/>
              <w:jc w:val="both"/>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431" w:type="dxa"/>
            <w:vAlign w:val="center"/>
            <w:textDirection w:val="lrTb"/>
            <w:noWrap/>
          </w:tcPr>
          <w:p>
            <w:pPr>
              <w:pStyle w:val="768"/>
              <w:ind w:firstLine="2100"/>
              <w:jc w:val="both"/>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68"/>
              <w:ind w:firstLine="0"/>
              <w:jc w:val="both"/>
              <w:rPr>
                <w:rFonts w:ascii="宋体" w:hAnsi="宋体" w:eastAsia="宋体" w:cs="宋体"/>
                <w:sz w:val="21"/>
                <w:szCs w:val="21"/>
              </w:rPr>
            </w:pPr>
            <w:r>
              <w:rPr>
                <w:rFonts w:hint="eastAsia" w:ascii="宋体" w:hAnsi="宋体" w:eastAsia="宋体" w:cs="宋体"/>
                <w:sz w:val="21"/>
                <w:szCs w:val="21"/>
              </w:rPr>
              <w:t xml:space="preserve">股东权益</w:t>
            </w:r>
            <w:r/>
          </w:p>
        </w:tc>
        <w:tc>
          <w:tcPr>
            <w:tcW w:w="1985" w:type="dxa"/>
            <w:vAlign w:val="center"/>
            <w:textDirection w:val="lrTb"/>
            <w:noWrap/>
          </w:tcPr>
          <w:p>
            <w:pPr>
              <w:pStyle w:val="768"/>
              <w:ind w:firstLine="126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2" w:type="dxa"/>
            <w:vAlign w:val="center"/>
            <w:textDirection w:val="lrTb"/>
            <w:noWrap/>
          </w:tcPr>
          <w:p>
            <w:pPr>
              <w:pStyle w:val="768"/>
              <w:ind w:firstLine="0"/>
              <w:jc w:val="both"/>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431" w:type="dxa"/>
            <w:vAlign w:val="center"/>
            <w:textDirection w:val="lrTb"/>
            <w:noWrap/>
          </w:tcPr>
          <w:p>
            <w:pPr>
              <w:pStyle w:val="768"/>
              <w:ind w:firstLine="0"/>
              <w:jc w:val="center"/>
              <w:rPr>
                <w:rFonts w:ascii="宋体" w:hAnsi="宋体" w:eastAsia="宋体" w:cs="宋体"/>
                <w:sz w:val="21"/>
                <w:szCs w:val="21"/>
              </w:rPr>
            </w:pPr>
            <w:r>
              <w:rPr>
                <w:rFonts w:hint="eastAsia" w:ascii="宋体" w:hAnsi="宋体" w:eastAsia="宋体" w:cs="宋体"/>
                <w:sz w:val="21"/>
                <w:szCs w:val="21"/>
              </w:rPr>
              <w:t xml:space="preserve">2025年       万元</w:t>
            </w:r>
            <w:r/>
          </w:p>
        </w:tc>
      </w:tr>
      <w:tr>
        <w:trPr>
          <w:cantSplit/>
          <w:jc w:val="center"/>
          <w:trHeight w:val="567"/>
        </w:trPr>
        <w:tc>
          <w:tcPr>
            <w:tcW w:w="2719"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实现利润</w:t>
            </w:r>
            <w:r/>
          </w:p>
        </w:tc>
        <w:tc>
          <w:tcPr>
            <w:tcW w:w="1985"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2025年      万元</w:t>
            </w:r>
            <w:r/>
          </w:p>
        </w:tc>
        <w:tc>
          <w:tcPr>
            <w:tcW w:w="1522"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c>
          <w:tcPr>
            <w:gridSpan w:val="2"/>
            <w:tcW w:w="3431"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985" w:type="dxa"/>
            <w:vAlign w:val="center"/>
            <w:textDirection w:val="lrTb"/>
            <w:noWrap/>
          </w:tcPr>
          <w:p>
            <w:pPr>
              <w:pStyle w:val="768"/>
              <w:ind w:firstLine="0"/>
              <w:jc w:val="both"/>
              <w:rPr>
                <w:rFonts w:ascii="宋体" w:hAnsi="宋体" w:eastAsia="宋体" w:cs="宋体"/>
                <w:sz w:val="21"/>
                <w:szCs w:val="21"/>
              </w:rPr>
            </w:pPr>
            <w:r>
              <w:rPr>
                <w:rFonts w:hint="eastAsia" w:ascii="宋体" w:hAnsi="宋体" w:eastAsia="宋体" w:cs="宋体"/>
                <w:sz w:val="21"/>
                <w:szCs w:val="21"/>
              </w:rPr>
              <w:t xml:space="preserve">          平方米</w:t>
            </w:r>
            <w:r/>
          </w:p>
        </w:tc>
        <w:tc>
          <w:tcPr>
            <w:tcW w:w="1522"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431"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768"/>
              <w:ind w:firstLine="0"/>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Height w:val="850"/>
        </w:trPr>
        <w:tc>
          <w:tcPr>
            <w:tcW w:w="2719"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p>
            <w:pPr>
              <w:pStyle w:val="768"/>
              <w:ind w:firstLine="0"/>
              <w:rPr>
                <w:rFonts w:ascii="宋体" w:hAnsi="宋体" w:eastAsia="宋体" w:cs="宋体"/>
                <w:sz w:val="21"/>
                <w:szCs w:val="21"/>
              </w:rPr>
            </w:pPr>
            <w:r>
              <w:rPr>
                <w:rFonts w:hint="eastAsia" w:ascii="宋体" w:hAnsi="宋体" w:eastAsia="宋体" w:cs="宋体"/>
                <w:sz w:val="21"/>
                <w:szCs w:val="21"/>
              </w:rPr>
              <w:t xml:space="preserve">单位简历及内设机构情况</w:t>
            </w:r>
            <w:r/>
          </w:p>
          <w:p>
            <w:pPr>
              <w:pStyle w:val="768"/>
              <w:ind w:firstLine="0"/>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p>
            <w:pPr>
              <w:pStyle w:val="768"/>
              <w:ind w:firstLine="0"/>
              <w:rPr>
                <w:rFonts w:ascii="宋体" w:hAnsi="宋体" w:eastAsia="宋体" w:cs="宋体"/>
                <w:sz w:val="21"/>
                <w:szCs w:val="21"/>
              </w:rPr>
            </w:pPr>
            <w:r>
              <w:rPr>
                <w:rFonts w:hint="eastAsia" w:ascii="宋体" w:hAnsi="宋体" w:eastAsia="宋体" w:cs="宋体"/>
                <w:sz w:val="21"/>
                <w:szCs w:val="21"/>
              </w:rPr>
              <w:t xml:space="preserve">单位优势及特长</w:t>
            </w:r>
            <w:r/>
          </w:p>
          <w:p>
            <w:pPr>
              <w:pStyle w:val="768"/>
              <w:ind w:firstLine="0"/>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38"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938"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850"/>
        </w:trPr>
        <w:tc>
          <w:tcPr>
            <w:tcW w:w="2719"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938"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850"/>
        </w:trPr>
        <w:tc>
          <w:tcPr>
            <w:tcW w:w="2719"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38"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938"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38"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r>
    </w:tbl>
    <w:p>
      <w:pPr>
        <w:pStyle w:val="798"/>
        <w:ind w:firstLine="500"/>
        <w:rPr>
          <w:rFonts w:ascii="宋体" w:hAnsi="宋体" w:cs="宋体"/>
          <w:spacing w:val="20"/>
          <w:szCs w:val="21"/>
        </w:rPr>
      </w:pPr>
      <w:r>
        <w:rPr>
          <w:rFonts w:ascii="宋体" w:hAnsi="宋体" w:cs="宋体"/>
          <w:spacing w:val="20"/>
          <w:szCs w:val="21"/>
        </w:rPr>
      </w:r>
      <w:r/>
    </w:p>
    <w:p>
      <w:pPr>
        <w:pageBreakBefore/>
        <w:spacing w:line="360" w:lineRule="auto"/>
        <w:rPr>
          <w:rFonts w:ascii="宋体" w:hAnsi="宋体" w:cs="宋体"/>
          <w:b/>
          <w:szCs w:val="21"/>
        </w:rPr>
        <w:outlineLvl w:val="1"/>
      </w:pPr>
      <w:r>
        <w:rPr>
          <w:rFonts w:hint="eastAsia" w:ascii="宋体" w:hAnsi="宋体" w:cs="宋体"/>
          <w:b/>
          <w:szCs w:val="21"/>
        </w:rPr>
        <w:t xml:space="preserve">附件5：（磋商响应单位）法定代表人授权委托书</w:t>
      </w:r>
      <w:r/>
    </w:p>
    <w:p>
      <w:pPr>
        <w:pStyle w:val="768"/>
        <w:jc w:val="center"/>
        <w:spacing w:line="360" w:lineRule="auto"/>
        <w:rPr>
          <w:rFonts w:ascii="宋体" w:hAnsi="宋体" w:eastAsia="宋体" w:cs="宋体"/>
          <w:b/>
          <w:sz w:val="21"/>
          <w:szCs w:val="21"/>
        </w:rPr>
      </w:pPr>
      <w:r>
        <w:rPr>
          <w:rFonts w:ascii="宋体" w:hAnsi="宋体" w:eastAsia="宋体" w:cs="宋体"/>
          <w:b/>
          <w:sz w:val="21"/>
          <w:szCs w:val="21"/>
        </w:rPr>
      </w:r>
      <w:r/>
    </w:p>
    <w:p>
      <w:pPr>
        <w:pStyle w:val="768"/>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法定代表人授权委托书</w:t>
      </w:r>
      <w:r/>
    </w:p>
    <w:p>
      <w:pPr>
        <w:pStyle w:val="768"/>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 </w:t>
      </w:r>
      <w:r>
        <w:rPr>
          <w:rFonts w:hint="eastAsia" w:ascii="宋体" w:hAnsi="宋体" w:cs="宋体"/>
          <w:szCs w:val="21"/>
          <w:u w:val="single"/>
        </w:rPr>
        <w:t xml:space="preserve">（供应商名称）</w:t>
      </w:r>
      <w:r>
        <w:rPr>
          <w:rFonts w:hint="eastAsia" w:ascii="宋体" w:hAnsi="宋体" w:cs="宋体"/>
          <w:szCs w:val="21"/>
        </w:rPr>
        <w:t xml:space="preserve">授权 </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的竞争性磋商项目。代理人在本次招标活动过程、合同签订及处理有关事宜所作出的全部意思表示（包括签署的全部文件），我司均予以承认并由我司承担相应法律后果。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 。</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单位名称：（加盖CA电子公章）</w:t>
      </w:r>
      <w:r/>
    </w:p>
    <w:p>
      <w:pPr>
        <w:ind w:right="630"/>
        <w:spacing w:line="360" w:lineRule="auto"/>
        <w:rPr>
          <w:rFonts w:ascii="宋体" w:hAnsi="宋体" w:cs="宋体"/>
          <w:szCs w:val="21"/>
        </w:rPr>
      </w:pPr>
      <w:r>
        <w:rPr>
          <w:rFonts w:hint="eastAsia" w:ascii="宋体" w:hAnsi="宋体" w:cs="宋体"/>
          <w:szCs w:val="21"/>
        </w:rPr>
        <w:t xml:space="preserve">日期：　　　　年　　  月　　  日</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ind w:firstLine="422"/>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备注：供应商如有授权委托，必须提供法定代表人身份证复印件、法人授权委托书及代理人身份证复印件，否则投标无效；</w:t>
      </w:r>
      <w:r/>
    </w:p>
    <w:p>
      <w:pPr>
        <w:pStyle w:val="768"/>
        <w:ind w:firstLine="200"/>
        <w:spacing w:line="360" w:lineRule="auto"/>
        <w:rPr>
          <w:rFonts w:ascii="宋体" w:hAnsi="宋体" w:eastAsia="宋体" w:cs="宋体"/>
          <w:sz w:val="21"/>
          <w:szCs w:val="21"/>
        </w:rPr>
        <w:sectPr>
          <w:footnotePr/>
          <w:endnotePr/>
          <w:type w:val="nextPage"/>
          <w:pgSz w:w="11906" w:h="16838" w:orient="portrait"/>
          <w:pgMar w:top="1134" w:right="1134" w:bottom="1134" w:left="1134" w:header="680" w:footer="680" w:gutter="0"/>
          <w:cols w:num="1" w:sep="0" w:space="720" w:equalWidth="1"/>
          <w:docGrid w:linePitch="360"/>
        </w:sectPr>
      </w:pPr>
      <w:r>
        <w:rPr>
          <w:rFonts w:hint="eastAsia" w:ascii="宋体" w:hAnsi="宋体" w:eastAsia="宋体" w:cs="宋体"/>
          <w:b/>
          <w:sz w:val="21"/>
          <w:szCs w:val="21"/>
        </w:rPr>
        <w:t xml:space="preserve">供应商无授权委托的情况下，必须提供法定代表人身份证复印件，否则投标无效。</w:t>
      </w:r>
      <w:r/>
    </w:p>
    <w:p>
      <w:pPr>
        <w:spacing w:line="360" w:lineRule="auto"/>
        <w:rPr>
          <w:rFonts w:ascii="宋体" w:hAnsi="宋体" w:cs="宋体"/>
          <w:b/>
          <w:szCs w:val="21"/>
        </w:rPr>
        <w:outlineLvl w:val="1"/>
      </w:pPr>
      <w:r>
        <w:rPr>
          <w:rFonts w:hint="eastAsia" w:ascii="宋体" w:hAnsi="宋体" w:cs="宋体"/>
          <w:b/>
          <w:szCs w:val="21"/>
        </w:rPr>
        <w:t xml:space="preserve">附件6：磋商响应函</w:t>
      </w:r>
      <w:r/>
    </w:p>
    <w:p>
      <w:pPr>
        <w:jc w:val="center"/>
        <w:spacing w:line="360" w:lineRule="auto"/>
        <w:rPr>
          <w:rFonts w:ascii="宋体" w:hAnsi="宋体" w:cs="宋体"/>
          <w:b/>
          <w:spacing w:val="20"/>
          <w:szCs w:val="21"/>
        </w:rPr>
      </w:pPr>
      <w:r>
        <w:rPr>
          <w:rFonts w:hint="eastAsia" w:ascii="宋体" w:hAnsi="宋体" w:cs="宋体"/>
          <w:b/>
          <w:spacing w:val="20"/>
          <w:szCs w:val="21"/>
        </w:rPr>
        <w:t xml:space="preserve">磋商响应函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我们收到你们JSZC-320508-CJZB-C2026-0044号磋商采购文件，经仔细阅读和研究，我们决定参加本项目的磋商。</w:t>
      </w:r>
      <w:r/>
    </w:p>
    <w:p>
      <w:pPr>
        <w:ind w:firstLine="420"/>
        <w:spacing w:line="360" w:lineRule="auto"/>
        <w:rPr>
          <w:rFonts w:ascii="宋体" w:hAnsi="宋体" w:cs="宋体"/>
          <w:szCs w:val="21"/>
        </w:rPr>
      </w:pPr>
      <w:r>
        <w:rPr>
          <w:rFonts w:hint="eastAsia" w:ascii="宋体" w:hAnsi="宋体" w:cs="宋体"/>
          <w:szCs w:val="21"/>
        </w:rPr>
        <w:t xml:space="preserve">1、我们愿意按照磋商采购文件的一切要求，提供本次采购的</w:t>
      </w:r>
      <w:r>
        <w:rPr>
          <w:rFonts w:hint="eastAsia" w:ascii="宋体" w:hAnsi="宋体" w:cs="宋体"/>
        </w:rPr>
        <w:t xml:space="preserve">苏州市姑苏区猪肉储备服务(2026-2028年)</w:t>
      </w:r>
      <w:r>
        <w:rPr>
          <w:rFonts w:hint="eastAsia" w:ascii="宋体" w:hAnsi="宋体" w:cs="宋体"/>
          <w:szCs w:val="21"/>
        </w:rPr>
        <w:t xml:space="preserve">全部服务。</w:t>
      </w:r>
      <w:r/>
    </w:p>
    <w:p>
      <w:pPr>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2、如果我们的响应文件被接受，我们将严格履行磋商采购文件中规定的每一项要求，按期、按质、按量履行服务义务。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3、我们同意按磋商采购文件中的规定，本响应文件的有效期限为自开标之日起45日。</w:t>
      </w:r>
      <w:r/>
    </w:p>
    <w:p>
      <w:pPr>
        <w:ind w:firstLine="420"/>
        <w:spacing w:line="360" w:lineRule="auto"/>
        <w:rPr>
          <w:rFonts w:ascii="宋体" w:hAnsi="宋体" w:cs="宋体"/>
          <w:szCs w:val="21"/>
        </w:rPr>
      </w:pPr>
      <w:r>
        <w:rPr>
          <w:rFonts w:hint="eastAsia" w:ascii="宋体" w:hAnsi="宋体" w:cs="宋体"/>
          <w:szCs w:val="21"/>
        </w:rPr>
        <w:t xml:space="preserve">4、我们愿意提供采购人在磋商采购文件中要求的所有资料。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5、我方愿意遵守磋商采购文件中所列的收费标准。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6、我方在磋商响应文件和磋商中所作的承诺在磋商后保持有效，不作任何更改和变动。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7、如我方成为成交单位，我方愿意在领取成交通知书时按采购文件要求向代理机构支付成交服务费。</w:t>
      </w:r>
      <w:r/>
    </w:p>
    <w:p>
      <w:pPr>
        <w:ind w:firstLine="420"/>
        <w:spacing w:line="360" w:lineRule="auto"/>
        <w:rPr>
          <w:rFonts w:ascii="宋体" w:hAnsi="宋体" w:cs="宋体"/>
          <w:szCs w:val="21"/>
        </w:rPr>
      </w:pPr>
      <w:r>
        <w:rPr>
          <w:rFonts w:hint="eastAsia" w:ascii="宋体" w:hAnsi="宋体" w:cs="宋体"/>
          <w:szCs w:val="21"/>
        </w:rPr>
        <w:t xml:space="preserve">8、我们愿意按照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9、我们愿意按照贵公司磋商采购文件的要求提供电子响应文件，并保证全部磋商响应文件内容真实有效，若有虚假，我公司愿意承担与此相关的一切责任。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10、综合说明：</w:t>
      </w:r>
      <w:r/>
    </w:p>
    <w:p>
      <w:pPr>
        <w:ind w:firstLine="420"/>
        <w:spacing w:line="360" w:lineRule="auto"/>
        <w:rPr>
          <w:rFonts w:ascii="宋体" w:hAnsi="宋体" w:cs="宋体"/>
          <w:szCs w:val="21"/>
        </w:rPr>
      </w:pPr>
      <w:r>
        <w:rPr>
          <w:rFonts w:hint="eastAsia" w:ascii="宋体" w:hAnsi="宋体" w:cs="宋体"/>
          <w:szCs w:val="21"/>
        </w:rPr>
        <w:t xml:space="preserve">（1）伴随服务及配合措施；</w:t>
      </w:r>
      <w:r/>
    </w:p>
    <w:p>
      <w:pPr>
        <w:ind w:firstLine="420"/>
        <w:spacing w:line="360" w:lineRule="auto"/>
        <w:rPr>
          <w:rFonts w:ascii="宋体" w:hAnsi="宋体" w:cs="宋体"/>
          <w:szCs w:val="21"/>
        </w:rPr>
      </w:pPr>
      <w:r>
        <w:rPr>
          <w:rFonts w:hint="eastAsia" w:ascii="宋体" w:hAnsi="宋体" w:cs="宋体"/>
          <w:szCs w:val="21"/>
        </w:rPr>
        <w:t xml:space="preserve">（2）要求采购单位提供的配合；</w:t>
      </w:r>
      <w:r/>
    </w:p>
    <w:p>
      <w:pPr>
        <w:ind w:firstLine="420"/>
        <w:spacing w:line="360" w:lineRule="auto"/>
        <w:rPr>
          <w:rFonts w:ascii="宋体" w:hAnsi="宋体" w:cs="宋体"/>
          <w:szCs w:val="21"/>
        </w:rPr>
      </w:pPr>
      <w:r>
        <w:rPr>
          <w:rFonts w:hint="eastAsia" w:ascii="宋体" w:hAnsi="宋体" w:cs="宋体"/>
          <w:szCs w:val="21"/>
        </w:rPr>
        <w:t xml:space="preserve">（3）对磋商采购文件有不同意见的偏离说明；</w:t>
      </w:r>
      <w:r/>
    </w:p>
    <w:p>
      <w:pPr>
        <w:ind w:firstLine="420"/>
        <w:spacing w:line="360" w:lineRule="auto"/>
        <w:rPr>
          <w:rFonts w:ascii="宋体" w:hAnsi="宋体" w:cs="宋体"/>
          <w:szCs w:val="21"/>
        </w:rPr>
      </w:pPr>
      <w:r>
        <w:rPr>
          <w:rFonts w:hint="eastAsia" w:ascii="宋体" w:hAnsi="宋体" w:cs="宋体"/>
          <w:szCs w:val="21"/>
        </w:rPr>
        <w:t xml:space="preserve">（4）其它说明；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单位：              邮编：</w:t>
      </w:r>
      <w:r/>
    </w:p>
    <w:p>
      <w:pPr>
        <w:ind w:firstLine="420"/>
        <w:spacing w:line="360" w:lineRule="auto"/>
        <w:rPr>
          <w:rFonts w:ascii="宋体" w:hAnsi="宋体" w:cs="宋体"/>
          <w:szCs w:val="21"/>
        </w:rPr>
      </w:pPr>
      <w:r>
        <w:rPr>
          <w:rFonts w:hint="eastAsia" w:ascii="宋体" w:hAnsi="宋体" w:cs="宋体"/>
          <w:szCs w:val="21"/>
        </w:rPr>
        <w:t xml:space="preserve">联系人：            地址：</w:t>
      </w:r>
      <w:r/>
    </w:p>
    <w:p>
      <w:pPr>
        <w:ind w:firstLine="420"/>
        <w:spacing w:line="360" w:lineRule="auto"/>
        <w:rPr>
          <w:rFonts w:ascii="宋体" w:hAnsi="宋体" w:cs="宋体"/>
          <w:szCs w:val="21"/>
        </w:rPr>
      </w:pPr>
      <w:r>
        <w:rPr>
          <w:rFonts w:hint="eastAsia" w:ascii="宋体" w:hAnsi="宋体" w:cs="宋体"/>
          <w:szCs w:val="21"/>
        </w:rPr>
        <w:t xml:space="preserve">开户名称：          电话：</w:t>
      </w:r>
      <w:r/>
    </w:p>
    <w:p>
      <w:pPr>
        <w:ind w:firstLine="420"/>
        <w:spacing w:line="360" w:lineRule="auto"/>
        <w:rPr>
          <w:rFonts w:ascii="宋体" w:hAnsi="宋体" w:cs="宋体"/>
          <w:szCs w:val="21"/>
        </w:rPr>
      </w:pPr>
      <w:r>
        <w:rPr>
          <w:rFonts w:hint="eastAsia" w:ascii="宋体" w:hAnsi="宋体" w:cs="宋体"/>
          <w:szCs w:val="21"/>
        </w:rPr>
        <w:t xml:space="preserve">开户银行：          传真：</w:t>
      </w:r>
      <w:r/>
    </w:p>
    <w:p>
      <w:pPr>
        <w:ind w:firstLine="420"/>
        <w:spacing w:line="360" w:lineRule="auto"/>
        <w:rPr>
          <w:rFonts w:ascii="宋体" w:hAnsi="宋体" w:cs="宋体"/>
          <w:szCs w:val="21"/>
        </w:rPr>
      </w:pPr>
      <w:r>
        <w:rPr>
          <w:rFonts w:hint="eastAsia" w:ascii="宋体" w:hAnsi="宋体" w:cs="宋体"/>
          <w:szCs w:val="21"/>
        </w:rPr>
        <w:t xml:space="preserve">开户账号：           邮箱地址：</w:t>
      </w:r>
      <w:r/>
    </w:p>
    <w:p>
      <w:pPr>
        <w:ind w:firstLine="420"/>
        <w:spacing w:line="360" w:lineRule="auto"/>
        <w:rPr>
          <w:rFonts w:ascii="宋体" w:hAnsi="宋体" w:cs="宋体"/>
          <w:szCs w:val="21"/>
        </w:rPr>
      </w:pPr>
      <w:r>
        <w:rPr>
          <w:rFonts w:hint="eastAsia" w:ascii="宋体" w:hAnsi="宋体" w:cs="宋体"/>
          <w:szCs w:val="21"/>
        </w:rPr>
        <w:t xml:space="preserve">数字人民币账户信息：</w:t>
      </w:r>
      <w:r/>
    </w:p>
    <w:p>
      <w:pPr>
        <w:pStyle w:val="798"/>
        <w:ind w:left="0" w:firstLine="0"/>
        <w:rPr>
          <w:rFonts w:ascii="宋体" w:hAnsi="宋体" w:cs="宋体"/>
          <w:szCs w:val="21"/>
        </w:rPr>
      </w:pPr>
      <w:r>
        <w:rPr>
          <w:rFonts w:ascii="宋体" w:hAnsi="宋体" w:cs="宋体"/>
          <w:szCs w:val="21"/>
        </w:rPr>
      </w:r>
      <w:r/>
    </w:p>
    <w:p>
      <w:pPr>
        <w:pStyle w:val="768"/>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76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rPr>
          <w:rFonts w:ascii="宋体" w:hAnsi="宋体" w:cs="宋体"/>
          <w:szCs w:val="21"/>
        </w:rPr>
      </w:pPr>
      <w:r>
        <w:rPr>
          <w:rFonts w:ascii="宋体" w:hAnsi="宋体" w:cs="宋体"/>
          <w:szCs w:val="21"/>
        </w:rPr>
      </w:r>
      <w:r/>
    </w:p>
    <w:p>
      <w:pPr>
        <w:jc w:val="left"/>
        <w:pageBreakBefore/>
        <w:spacing w:line="360" w:lineRule="auto"/>
        <w:widowControl/>
        <w:rPr>
          <w:rFonts w:ascii="宋体" w:hAnsi="宋体" w:cs="宋体"/>
          <w:b/>
          <w:szCs w:val="21"/>
        </w:rPr>
      </w:pPr>
      <w:r>
        <w:rPr>
          <w:rFonts w:hint="eastAsia" w:ascii="宋体" w:hAnsi="宋体" w:cs="宋体"/>
          <w:b/>
          <w:szCs w:val="21"/>
        </w:rPr>
        <w:t xml:space="preserve">附件7：服务偏离表</w:t>
      </w:r>
      <w:r/>
    </w:p>
    <w:p>
      <w:pPr>
        <w:jc w:val="center"/>
        <w:spacing w:line="360" w:lineRule="auto"/>
        <w:rPr>
          <w:rFonts w:ascii="宋体" w:hAnsi="宋体" w:cs="宋体"/>
          <w:b/>
          <w:szCs w:val="21"/>
        </w:rPr>
      </w:pPr>
      <w:r>
        <w:rPr>
          <w:rFonts w:hint="eastAsia" w:ascii="宋体" w:hAnsi="宋体" w:cs="宋体"/>
          <w:b/>
          <w:szCs w:val="21"/>
        </w:rPr>
        <w:t xml:space="preserve">服务偏离表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74"/>
        <w:gridCol w:w="1901"/>
        <w:gridCol w:w="1711"/>
        <w:gridCol w:w="1521"/>
        <w:gridCol w:w="1795"/>
        <w:gridCol w:w="1855"/>
      </w:tblGrid>
      <w:tr>
        <w:trPr>
          <w:jc w:val="center"/>
          <w:trHeight w:val="680"/>
        </w:trPr>
        <w:tc>
          <w:tcPr>
            <w:tcW w:w="874"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901" w:type="dxa"/>
            <w:vAlign w:val="center"/>
            <w:textDirection w:val="lrTb"/>
            <w:noWrap/>
          </w:tcPr>
          <w:p>
            <w:pPr>
              <w:jc w:val="center"/>
              <w:rPr>
                <w:rFonts w:ascii="宋体" w:hAnsi="宋体" w:cs="宋体"/>
                <w:szCs w:val="21"/>
              </w:rPr>
            </w:pPr>
            <w:r>
              <w:rPr>
                <w:rFonts w:hint="eastAsia" w:ascii="宋体" w:hAnsi="宋体" w:cs="宋体"/>
                <w:szCs w:val="21"/>
              </w:rPr>
              <w:t xml:space="preserve">服务内容</w:t>
            </w:r>
            <w:r/>
          </w:p>
        </w:tc>
        <w:tc>
          <w:tcPr>
            <w:tcW w:w="1711" w:type="dxa"/>
            <w:vAlign w:val="center"/>
            <w:textDirection w:val="lrTb"/>
            <w:noWrap/>
          </w:tcPr>
          <w:p>
            <w:pPr>
              <w:jc w:val="center"/>
              <w:rPr>
                <w:rFonts w:ascii="宋体" w:hAnsi="宋体" w:cs="宋体"/>
                <w:szCs w:val="21"/>
              </w:rPr>
            </w:pPr>
            <w:r>
              <w:rPr>
                <w:rFonts w:hint="eastAsia" w:ascii="宋体" w:hAnsi="宋体" w:cs="宋体"/>
                <w:szCs w:val="21"/>
              </w:rPr>
              <w:t xml:space="preserve">采购要求</w:t>
            </w:r>
            <w:r/>
          </w:p>
        </w:tc>
        <w:tc>
          <w:tcPr>
            <w:tcW w:w="1521" w:type="dxa"/>
            <w:vAlign w:val="center"/>
            <w:textDirection w:val="lrTb"/>
            <w:noWrap/>
          </w:tcPr>
          <w:p>
            <w:pPr>
              <w:jc w:val="center"/>
              <w:rPr>
                <w:rFonts w:ascii="宋体" w:hAnsi="宋体" w:cs="宋体"/>
                <w:szCs w:val="21"/>
              </w:rPr>
            </w:pPr>
            <w:r>
              <w:rPr>
                <w:rFonts w:hint="eastAsia" w:ascii="宋体" w:hAnsi="宋体" w:cs="宋体"/>
                <w:szCs w:val="21"/>
              </w:rPr>
              <w:t xml:space="preserve">投标要求</w:t>
            </w:r>
            <w:r/>
          </w:p>
        </w:tc>
        <w:tc>
          <w:tcPr>
            <w:tcW w:w="1795" w:type="dxa"/>
            <w:vAlign w:val="center"/>
            <w:textDirection w:val="lrTb"/>
            <w:noWrap/>
          </w:tcPr>
          <w:p>
            <w:pPr>
              <w:jc w:val="center"/>
              <w:rPr>
                <w:rFonts w:ascii="宋体" w:hAnsi="宋体" w:cs="宋体"/>
                <w:szCs w:val="21"/>
              </w:rPr>
            </w:pPr>
            <w:r>
              <w:rPr>
                <w:rFonts w:hint="eastAsia" w:ascii="宋体" w:hAnsi="宋体" w:cs="宋体"/>
                <w:szCs w:val="21"/>
              </w:rPr>
              <w:t xml:space="preserve">偏离/响应</w:t>
            </w:r>
            <w:r/>
          </w:p>
        </w:tc>
        <w:tc>
          <w:tcPr>
            <w:tcW w:w="1855" w:type="dxa"/>
            <w:vAlign w:val="center"/>
            <w:textDirection w:val="lrTb"/>
            <w:noWrap/>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bl>
    <w:p>
      <w:pPr>
        <w:ind w:left="735" w:hanging="735"/>
        <w:spacing w:line="360" w:lineRule="auto"/>
        <w:rPr>
          <w:rFonts w:ascii="宋体" w:hAnsi="宋体" w:cs="宋体"/>
          <w:szCs w:val="21"/>
        </w:rPr>
      </w:pPr>
      <w:r>
        <w:rPr>
          <w:rFonts w:hint="eastAsia" w:ascii="宋体" w:hAnsi="宋体" w:cs="宋体"/>
          <w:szCs w:val="21"/>
        </w:rPr>
        <w:t xml:space="preserve">注：1、磋商响应单位应对照采购文件服务要求等要求，所投标的物（服务）与采购文件的规定有偏离的，应在此表中申明与技术要求条文的偏差和例外。</w:t>
      </w:r>
      <w:r/>
    </w:p>
    <w:p>
      <w:pPr>
        <w:ind w:left="735" w:hanging="315"/>
        <w:spacing w:line="360" w:lineRule="auto"/>
        <w:rPr>
          <w:rFonts w:ascii="宋体" w:hAnsi="宋体" w:cs="宋体"/>
          <w:szCs w:val="21"/>
        </w:rPr>
      </w:pPr>
      <w:r>
        <w:rPr>
          <w:rFonts w:hint="eastAsia" w:ascii="宋体" w:hAnsi="宋体" w:cs="宋体"/>
          <w:szCs w:val="21"/>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w:t>
      </w:r>
      <w:r>
        <w:rPr>
          <w:rFonts w:hint="eastAsia" w:ascii="宋体" w:hAnsi="宋体" w:cs="宋体"/>
        </w:rPr>
        <w:t xml:space="preserve">签章</w:t>
      </w:r>
      <w:r>
        <w:rPr>
          <w:rFonts w:hint="eastAsia" w:ascii="宋体" w:hAnsi="宋体" w:cs="宋体"/>
          <w:szCs w:val="21"/>
        </w:rPr>
        <w:t xml:space="preserve">）</w:t>
      </w:r>
      <w:r/>
    </w:p>
    <w:p>
      <w:pPr>
        <w:spacing w:line="360" w:lineRule="auto"/>
        <w:rPr>
          <w:rFonts w:ascii="宋体" w:hAnsi="宋体" w:cs="宋体"/>
          <w:b/>
          <w:szCs w:val="21"/>
        </w:rPr>
      </w:pPr>
      <w:r>
        <w:rPr>
          <w:rFonts w:hint="eastAsia" w:ascii="宋体" w:hAnsi="宋体" w:cs="宋体"/>
          <w:szCs w:val="21"/>
        </w:rPr>
        <w:t xml:space="preserve">日期：        年    月    日</w:t>
      </w:r>
      <w:r>
        <w:rPr>
          <w:rFonts w:hint="eastAsia" w:ascii="宋体" w:hAnsi="宋体" w:cs="宋体"/>
          <w:b/>
          <w:szCs w:val="21"/>
        </w:rPr>
        <w:br w:type="page" w:clear="all"/>
      </w:r>
      <w:r>
        <w:rPr>
          <w:rFonts w:hint="eastAsia" w:ascii="宋体" w:hAnsi="宋体" w:cs="宋体"/>
          <w:b/>
          <w:szCs w:val="21"/>
        </w:rPr>
        <w:t xml:space="preserve">附件8：商务条款偏离表</w:t>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47"/>
        <w:gridCol w:w="2028"/>
        <w:gridCol w:w="2535"/>
        <w:gridCol w:w="2535"/>
        <w:gridCol w:w="1812"/>
      </w:tblGrid>
      <w:tr>
        <w:trPr>
          <w:jc w:val="center"/>
          <w:trHeight w:val="680"/>
        </w:trPr>
        <w:tc>
          <w:tcPr>
            <w:tcW w:w="708"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920" w:type="dxa"/>
            <w:vAlign w:val="center"/>
            <w:textDirection w:val="lrTb"/>
            <w:noWrap/>
          </w:tcPr>
          <w:p>
            <w:pPr>
              <w:jc w:val="center"/>
              <w:rPr>
                <w:rFonts w:ascii="宋体" w:hAnsi="宋体" w:cs="宋体"/>
                <w:szCs w:val="21"/>
              </w:rPr>
            </w:pPr>
            <w:r>
              <w:rPr>
                <w:rFonts w:hint="eastAsia" w:ascii="宋体" w:hAnsi="宋体" w:cs="宋体"/>
                <w:szCs w:val="21"/>
              </w:rPr>
              <w:t xml:space="preserve">采购文件条目号</w:t>
            </w:r>
            <w:r/>
          </w:p>
        </w:tc>
        <w:tc>
          <w:tcPr>
            <w:tcW w:w="2400" w:type="dxa"/>
            <w:vAlign w:val="center"/>
            <w:textDirection w:val="lrTb"/>
            <w:noWrap/>
          </w:tcPr>
          <w:p>
            <w:pPr>
              <w:jc w:val="center"/>
              <w:rPr>
                <w:rFonts w:ascii="宋体" w:hAnsi="宋体" w:cs="宋体"/>
                <w:szCs w:val="21"/>
              </w:rPr>
            </w:pPr>
            <w:r>
              <w:rPr>
                <w:rFonts w:hint="eastAsia" w:ascii="宋体" w:hAnsi="宋体" w:cs="宋体"/>
                <w:szCs w:val="21"/>
              </w:rPr>
              <w:t xml:space="preserve">采购文件的商务条款</w:t>
            </w:r>
            <w:r/>
          </w:p>
        </w:tc>
        <w:tc>
          <w:tcPr>
            <w:tcW w:w="2400" w:type="dxa"/>
            <w:vAlign w:val="center"/>
            <w:textDirection w:val="lrTb"/>
            <w:noWrap/>
          </w:tcPr>
          <w:p>
            <w:pPr>
              <w:jc w:val="center"/>
              <w:rPr>
                <w:rFonts w:ascii="宋体" w:hAnsi="宋体" w:cs="宋体"/>
                <w:szCs w:val="21"/>
              </w:rPr>
            </w:pPr>
            <w:r>
              <w:rPr>
                <w:rFonts w:hint="eastAsia" w:ascii="宋体" w:hAnsi="宋体" w:cs="宋体"/>
                <w:szCs w:val="21"/>
              </w:rPr>
              <w:t xml:space="preserve">响应文件的商务条款</w:t>
            </w:r>
            <w:r/>
          </w:p>
        </w:tc>
        <w:tc>
          <w:tcPr>
            <w:tcW w:w="1716" w:type="dxa"/>
            <w:vAlign w:val="center"/>
            <w:textDirection w:val="lrTb"/>
            <w:noWrap/>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1</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服务期限</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2</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付款步骤</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3</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合同条款</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4</w:t>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w:t>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bl>
    <w:p>
      <w:pPr>
        <w:ind w:left="420" w:hanging="420"/>
        <w:spacing w:line="360" w:lineRule="auto"/>
        <w:rPr>
          <w:rFonts w:ascii="宋体" w:hAnsi="宋体" w:cs="宋体"/>
          <w:szCs w:val="21"/>
        </w:rPr>
      </w:pPr>
      <w:r>
        <w:rPr>
          <w:rFonts w:hint="eastAsia" w:ascii="宋体" w:hAnsi="宋体" w:cs="宋体"/>
          <w:szCs w:val="21"/>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w:t>
      </w:r>
      <w:r>
        <w:rPr>
          <w:rFonts w:hint="eastAsia" w:ascii="宋体" w:hAnsi="宋体" w:cs="宋体"/>
        </w:rPr>
        <w:t xml:space="preserve">签章</w:t>
      </w:r>
      <w:r>
        <w:rPr>
          <w:rFonts w:hint="eastAsia" w:ascii="宋体" w:hAnsi="宋体" w:cs="宋体"/>
          <w:szCs w:val="21"/>
        </w:rPr>
        <w:t xml:space="preserve">）</w:t>
      </w:r>
      <w:r/>
    </w:p>
    <w:p>
      <w:pPr>
        <w:jc w:val="left"/>
        <w:spacing w:line="360" w:lineRule="auto"/>
        <w:widowControl/>
        <w:rPr>
          <w:rFonts w:ascii="宋体" w:hAnsi="宋体" w:cs="宋体"/>
          <w:szCs w:val="21"/>
        </w:rPr>
      </w:pPr>
      <w:r>
        <w:rPr>
          <w:rFonts w:hint="eastAsia" w:ascii="宋体" w:hAnsi="宋体" w:cs="宋体"/>
          <w:szCs w:val="21"/>
        </w:rPr>
        <w:t xml:space="preserve">日期：        年    月    日</w:t>
      </w:r>
      <w:r/>
    </w:p>
    <w:p>
      <w:pPr>
        <w:pStyle w:val="798"/>
        <w:rPr>
          <w:rFonts w:ascii="宋体" w:hAnsi="宋体" w:cs="宋体"/>
          <w:szCs w:val="21"/>
        </w:rPr>
      </w:pPr>
      <w:r>
        <w:rPr>
          <w:rFonts w:ascii="宋体" w:hAnsi="宋体" w:cs="宋体"/>
          <w:szCs w:val="21"/>
        </w:rPr>
      </w:r>
      <w:r/>
    </w:p>
    <w:p>
      <w:pPr>
        <w:pageBreakBefore/>
        <w:spacing w:line="360" w:lineRule="auto"/>
        <w:rPr>
          <w:rFonts w:ascii="宋体" w:hAnsi="宋体" w:cs="宋体"/>
          <w:b/>
        </w:rPr>
        <w:outlineLvl w:val="1"/>
      </w:pPr>
      <w:r>
        <w:rPr>
          <w:rFonts w:hint="eastAsia" w:ascii="宋体" w:hAnsi="宋体" w:cs="宋体"/>
          <w:b/>
        </w:rPr>
        <w:t xml:space="preserve">附件9：投标（响应）保证承诺书</w:t>
      </w:r>
      <w:r/>
    </w:p>
    <w:p>
      <w:pPr>
        <w:jc w:val="center"/>
        <w:spacing w:line="360" w:lineRule="auto"/>
        <w:widowControl/>
        <w:rPr>
          <w:rFonts w:ascii="宋体" w:hAnsi="宋体" w:cs="宋体"/>
          <w:szCs w:val="21"/>
        </w:rPr>
      </w:pPr>
      <w:r>
        <w:rPr>
          <w:rFonts w:hint="eastAsia" w:ascii="宋体" w:hAnsi="宋体" w:cs="宋体"/>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3.中标（成交）后不按本采购文件规定向采购人提交履约保证金（如有）；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日期：</w:t>
      </w:r>
      <w:r/>
    </w:p>
    <w:p>
      <w:pPr>
        <w:pStyle w:val="798"/>
        <w:rPr>
          <w:rFonts w:ascii="宋体" w:hAnsi="宋体" w:cs="宋体"/>
          <w:szCs w:val="21"/>
        </w:rPr>
        <w:sectPr>
          <w:footnotePr/>
          <w:endnotePr/>
          <w:type w:val="nextPage"/>
          <w:pgSz w:w="11906" w:h="16838" w:orient="portrait"/>
          <w:pgMar w:top="1134" w:right="1134" w:bottom="1134" w:left="1134" w:header="680" w:footer="680" w:gutter="0"/>
          <w:cols w:num="1" w:sep="0" w:space="720" w:equalWidth="1"/>
          <w:docGrid w:linePitch="360"/>
        </w:sectPr>
      </w:pPr>
      <w:r>
        <w:rPr>
          <w:rFonts w:ascii="宋体" w:hAnsi="宋体" w:cs="宋体"/>
          <w:szCs w:val="21"/>
        </w:rPr>
      </w:r>
      <w:r/>
    </w:p>
    <w:p>
      <w:pPr>
        <w:spacing w:line="360" w:lineRule="auto"/>
        <w:rPr>
          <w:rFonts w:ascii="宋体" w:hAnsi="宋体" w:cs="宋体"/>
          <w:b/>
        </w:rPr>
      </w:pPr>
      <w:r>
        <w:rPr>
          <w:rFonts w:hint="eastAsia" w:ascii="宋体" w:hAnsi="宋体" w:cs="宋体"/>
          <w:b/>
        </w:rPr>
        <w:t xml:space="preserve">附件10：针对本项目的人员配置表</w:t>
      </w:r>
      <w:r/>
    </w:p>
    <w:p>
      <w:pPr>
        <w:jc w:val="center"/>
        <w:spacing w:line="360" w:lineRule="auto"/>
        <w:rPr>
          <w:rFonts w:ascii="宋体" w:hAnsi="宋体" w:cs="宋体"/>
          <w:b/>
          <w:bCs/>
          <w:spacing w:val="20"/>
          <w:szCs w:val="21"/>
        </w:rPr>
      </w:pPr>
      <w:r>
        <w:rPr>
          <w:rFonts w:hint="eastAsia" w:ascii="宋体" w:hAnsi="宋体" w:cs="宋体"/>
          <w:b/>
          <w:bCs/>
          <w:spacing w:val="20"/>
          <w:szCs w:val="21"/>
        </w:rPr>
        <w:t xml:space="preserve">针对本项目的人员配置表</w:t>
      </w:r>
      <w:r/>
    </w:p>
    <w:p>
      <w:pPr>
        <w:jc w:val="left"/>
        <w:spacing w:line="360" w:lineRule="auto"/>
        <w:rPr>
          <w:rFonts w:ascii="宋体" w:hAnsi="宋体" w:cs="宋体"/>
          <w:szCs w:val="21"/>
        </w:rPr>
      </w:pPr>
      <w:r>
        <w:rPr>
          <w:rFonts w:ascii="宋体" w:hAnsi="宋体" w:cs="宋体"/>
          <w:szCs w:val="21"/>
        </w:rPr>
      </w:r>
      <w:r/>
    </w:p>
    <w:p>
      <w:pPr>
        <w:jc w:val="left"/>
        <w:spacing w:line="360" w:lineRule="auto"/>
        <w:rPr>
          <w:rFonts w:cs="宋体" w:asciiTheme="minorEastAsia" w:hAnsiTheme="minorEastAsia"/>
          <w:szCs w:val="21"/>
        </w:rPr>
      </w:pPr>
      <w:r>
        <w:rPr>
          <w:rFonts w:hint="eastAsia" w:ascii="宋体" w:hAnsi="宋体" w:cs="宋体"/>
          <w:szCs w:val="21"/>
        </w:rPr>
        <w:t xml:space="preserve">采购编号：</w:t>
      </w:r>
      <w:r/>
    </w:p>
    <w:tbl>
      <w:tblPr>
        <w:tblW w:w="49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5"/>
        <w:gridCol w:w="1652"/>
        <w:gridCol w:w="1059"/>
        <w:gridCol w:w="1034"/>
        <w:gridCol w:w="869"/>
        <w:gridCol w:w="1764"/>
        <w:gridCol w:w="1116"/>
        <w:gridCol w:w="1458"/>
      </w:tblGrid>
      <w:tr>
        <w:trPr>
          <w:jc w:val="center"/>
          <w:trHeight w:val="680"/>
        </w:trPr>
        <w:tc>
          <w:tcPr>
            <w:tcW w:w="705"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序号</w:t>
            </w:r>
            <w:r/>
          </w:p>
        </w:tc>
        <w:tc>
          <w:tcPr>
            <w:tcW w:w="1652"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岗位</w:t>
            </w:r>
            <w:r/>
          </w:p>
        </w:tc>
        <w:tc>
          <w:tcPr>
            <w:tcW w:w="1059"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姓名</w:t>
            </w:r>
            <w:r/>
          </w:p>
        </w:tc>
        <w:tc>
          <w:tcPr>
            <w:tcW w:w="1034"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性别</w:t>
            </w:r>
            <w:r/>
          </w:p>
        </w:tc>
        <w:tc>
          <w:tcPr>
            <w:tcW w:w="869"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年龄</w:t>
            </w:r>
            <w:r/>
          </w:p>
        </w:tc>
        <w:tc>
          <w:tcPr>
            <w:tcW w:w="1764"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学历</w:t>
            </w:r>
            <w:r/>
          </w:p>
        </w:tc>
        <w:tc>
          <w:tcPr>
            <w:tcW w:w="1116"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职称</w:t>
            </w:r>
            <w:r/>
          </w:p>
        </w:tc>
        <w:tc>
          <w:tcPr>
            <w:tcW w:w="1458" w:type="dxa"/>
            <w:vAlign w:val="center"/>
            <w:textDirection w:val="lrTb"/>
            <w:noWrap/>
          </w:tcPr>
          <w:p>
            <w:pPr>
              <w:jc w:val="center"/>
              <w:rPr>
                <w:rFonts w:ascii="宋体" w:hAnsi="宋体" w:cs="宋体"/>
                <w:szCs w:val="21"/>
              </w:rPr>
            </w:pPr>
            <w:r>
              <w:rPr>
                <w:rFonts w:hint="eastAsia" w:ascii="宋体" w:hAnsi="宋体" w:cs="宋体"/>
                <w:szCs w:val="21"/>
              </w:rPr>
              <w:t xml:space="preserve">专业/资格</w:t>
            </w:r>
            <w:r/>
          </w:p>
        </w:tc>
      </w:tr>
      <w:tr>
        <w:trPr>
          <w:cantSplit/>
          <w:jc w:val="center"/>
          <w:trHeight w:val="680"/>
        </w:trPr>
        <w:tc>
          <w:tcPr>
            <w:tcW w:w="705" w:type="dxa"/>
            <w:vAlign w:val="center"/>
            <w:textDirection w:val="lrTb"/>
            <w:noWrap/>
          </w:tcPr>
          <w:p>
            <w:pPr>
              <w:jc w:val="center"/>
              <w:rPr>
                <w:rFonts w:ascii="宋体" w:hAnsi="宋体" w:cs="宋体"/>
                <w:szCs w:val="21"/>
              </w:rPr>
            </w:pPr>
            <w:r>
              <w:rPr>
                <w:rFonts w:ascii="宋体" w:hAnsi="宋体" w:cs="宋体"/>
                <w:szCs w:val="21"/>
              </w:rPr>
            </w:r>
            <w:r/>
          </w:p>
        </w:tc>
        <w:tc>
          <w:tcPr>
            <w:tcW w:w="1652" w:type="dxa"/>
            <w:vAlign w:val="center"/>
            <w:textDirection w:val="lrTb"/>
            <w:noWrap/>
          </w:tcPr>
          <w:p>
            <w:pPr>
              <w:jc w:val="center"/>
              <w:rPr>
                <w:rFonts w:ascii="宋体" w:hAnsi="宋体" w:cs="宋体"/>
                <w:szCs w:val="21"/>
              </w:rPr>
            </w:pPr>
            <w:r>
              <w:rPr>
                <w:rFonts w:ascii="宋体" w:hAnsi="宋体" w:cs="宋体"/>
                <w:szCs w:val="21"/>
              </w:rPr>
            </w:r>
            <w:r/>
          </w:p>
        </w:tc>
        <w:tc>
          <w:tcPr>
            <w:tcW w:w="1059" w:type="dxa"/>
            <w:vAlign w:val="center"/>
            <w:textDirection w:val="lrTb"/>
            <w:noWrap/>
          </w:tcPr>
          <w:p>
            <w:pPr>
              <w:jc w:val="center"/>
              <w:rPr>
                <w:rFonts w:ascii="宋体" w:hAnsi="宋体" w:cs="宋体"/>
                <w:szCs w:val="21"/>
              </w:rPr>
            </w:pPr>
            <w:r>
              <w:rPr>
                <w:rFonts w:ascii="宋体" w:hAnsi="宋体" w:cs="宋体"/>
                <w:szCs w:val="21"/>
              </w:rPr>
            </w:r>
            <w:r/>
          </w:p>
        </w:tc>
        <w:tc>
          <w:tcPr>
            <w:tcW w:w="1034" w:type="dxa"/>
            <w:vAlign w:val="center"/>
            <w:textDirection w:val="lrTb"/>
            <w:noWrap/>
          </w:tcPr>
          <w:p>
            <w:pPr>
              <w:jc w:val="center"/>
              <w:rPr>
                <w:rFonts w:ascii="宋体" w:hAnsi="宋体" w:cs="宋体"/>
                <w:szCs w:val="21"/>
              </w:rPr>
            </w:pPr>
            <w:r>
              <w:rPr>
                <w:rFonts w:ascii="宋体" w:hAnsi="宋体" w:cs="宋体"/>
                <w:szCs w:val="21"/>
              </w:rPr>
            </w:r>
            <w:r/>
          </w:p>
        </w:tc>
        <w:tc>
          <w:tcPr>
            <w:tcW w:w="869" w:type="dxa"/>
            <w:vAlign w:val="center"/>
            <w:textDirection w:val="lrTb"/>
            <w:noWrap/>
          </w:tcPr>
          <w:p>
            <w:pPr>
              <w:jc w:val="center"/>
              <w:rPr>
                <w:rFonts w:ascii="宋体" w:hAnsi="宋体" w:cs="宋体"/>
                <w:szCs w:val="21"/>
              </w:rPr>
            </w:pPr>
            <w:r>
              <w:rPr>
                <w:rFonts w:ascii="宋体" w:hAnsi="宋体" w:cs="宋体"/>
                <w:szCs w:val="21"/>
              </w:rPr>
            </w:r>
            <w:r/>
          </w:p>
        </w:tc>
        <w:tc>
          <w:tcPr>
            <w:tcW w:w="1764" w:type="dxa"/>
            <w:vAlign w:val="center"/>
            <w:textDirection w:val="lrTb"/>
            <w:noWrap/>
          </w:tcPr>
          <w:p>
            <w:pPr>
              <w:jc w:val="center"/>
              <w:rPr>
                <w:rFonts w:ascii="宋体" w:hAnsi="宋体" w:cs="宋体"/>
                <w:szCs w:val="21"/>
              </w:rPr>
            </w:pPr>
            <w:r>
              <w:rPr>
                <w:rFonts w:ascii="宋体" w:hAnsi="宋体" w:cs="宋体"/>
                <w:szCs w:val="21"/>
              </w:rPr>
            </w:r>
            <w:r/>
          </w:p>
        </w:tc>
        <w:tc>
          <w:tcPr>
            <w:tcW w:w="1116" w:type="dxa"/>
            <w:vAlign w:val="center"/>
            <w:textDirection w:val="lrTb"/>
            <w:noWrap/>
          </w:tcPr>
          <w:p>
            <w:pPr>
              <w:jc w:val="center"/>
              <w:rPr>
                <w:rFonts w:ascii="宋体" w:hAnsi="宋体" w:cs="宋体"/>
                <w:szCs w:val="21"/>
              </w:rPr>
            </w:pPr>
            <w:r>
              <w:rPr>
                <w:rFonts w:ascii="宋体" w:hAnsi="宋体" w:cs="宋体"/>
                <w:szCs w:val="21"/>
              </w:rPr>
            </w:r>
            <w:r/>
          </w:p>
        </w:tc>
        <w:tc>
          <w:tcPr>
            <w:tcW w:w="1458" w:type="dxa"/>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80"/>
        </w:trPr>
        <w:tc>
          <w:tcPr>
            <w:tcW w:w="705" w:type="dxa"/>
            <w:vAlign w:val="center"/>
            <w:textDirection w:val="lrTb"/>
            <w:noWrap/>
          </w:tcPr>
          <w:p>
            <w:pPr>
              <w:jc w:val="center"/>
              <w:rPr>
                <w:rFonts w:ascii="宋体" w:hAnsi="宋体" w:cs="宋体"/>
                <w:szCs w:val="21"/>
              </w:rPr>
            </w:pPr>
            <w:r>
              <w:rPr>
                <w:rFonts w:ascii="宋体" w:hAnsi="宋体" w:cs="宋体"/>
                <w:szCs w:val="21"/>
              </w:rPr>
            </w:r>
            <w:r/>
          </w:p>
        </w:tc>
        <w:tc>
          <w:tcPr>
            <w:tcW w:w="1652" w:type="dxa"/>
            <w:vAlign w:val="center"/>
            <w:textDirection w:val="lrTb"/>
            <w:noWrap/>
          </w:tcPr>
          <w:p>
            <w:pPr>
              <w:jc w:val="center"/>
              <w:rPr>
                <w:rFonts w:ascii="宋体" w:hAnsi="宋体" w:cs="宋体"/>
                <w:szCs w:val="21"/>
              </w:rPr>
            </w:pPr>
            <w:r>
              <w:rPr>
                <w:rFonts w:ascii="宋体" w:hAnsi="宋体" w:cs="宋体"/>
                <w:szCs w:val="21"/>
              </w:rPr>
            </w:r>
            <w:r/>
          </w:p>
        </w:tc>
        <w:tc>
          <w:tcPr>
            <w:tcW w:w="1059" w:type="dxa"/>
            <w:vAlign w:val="center"/>
            <w:textDirection w:val="lrTb"/>
            <w:noWrap/>
          </w:tcPr>
          <w:p>
            <w:pPr>
              <w:jc w:val="center"/>
              <w:rPr>
                <w:rFonts w:ascii="宋体" w:hAnsi="宋体" w:cs="宋体"/>
                <w:szCs w:val="21"/>
              </w:rPr>
            </w:pPr>
            <w:r>
              <w:rPr>
                <w:rFonts w:ascii="宋体" w:hAnsi="宋体" w:cs="宋体"/>
                <w:szCs w:val="21"/>
              </w:rPr>
            </w:r>
            <w:r/>
          </w:p>
        </w:tc>
        <w:tc>
          <w:tcPr>
            <w:tcW w:w="1034" w:type="dxa"/>
            <w:vAlign w:val="center"/>
            <w:textDirection w:val="lrTb"/>
            <w:noWrap/>
          </w:tcPr>
          <w:p>
            <w:pPr>
              <w:jc w:val="center"/>
              <w:rPr>
                <w:rFonts w:ascii="宋体" w:hAnsi="宋体" w:cs="宋体"/>
                <w:szCs w:val="21"/>
              </w:rPr>
            </w:pPr>
            <w:r>
              <w:rPr>
                <w:rFonts w:ascii="宋体" w:hAnsi="宋体" w:cs="宋体"/>
                <w:szCs w:val="21"/>
              </w:rPr>
            </w:r>
            <w:r/>
          </w:p>
        </w:tc>
        <w:tc>
          <w:tcPr>
            <w:tcW w:w="869" w:type="dxa"/>
            <w:vAlign w:val="center"/>
            <w:textDirection w:val="lrTb"/>
            <w:noWrap/>
          </w:tcPr>
          <w:p>
            <w:pPr>
              <w:jc w:val="center"/>
              <w:rPr>
                <w:rFonts w:ascii="宋体" w:hAnsi="宋体" w:cs="宋体"/>
                <w:szCs w:val="21"/>
              </w:rPr>
            </w:pPr>
            <w:r>
              <w:rPr>
                <w:rFonts w:ascii="宋体" w:hAnsi="宋体" w:cs="宋体"/>
                <w:szCs w:val="21"/>
              </w:rPr>
            </w:r>
            <w:r/>
          </w:p>
        </w:tc>
        <w:tc>
          <w:tcPr>
            <w:tcW w:w="1764" w:type="dxa"/>
            <w:vAlign w:val="center"/>
            <w:textDirection w:val="lrTb"/>
            <w:noWrap/>
          </w:tcPr>
          <w:p>
            <w:pPr>
              <w:jc w:val="center"/>
              <w:rPr>
                <w:rFonts w:ascii="宋体" w:hAnsi="宋体" w:cs="宋体"/>
                <w:szCs w:val="21"/>
              </w:rPr>
            </w:pPr>
            <w:r>
              <w:rPr>
                <w:rFonts w:ascii="宋体" w:hAnsi="宋体" w:cs="宋体"/>
                <w:szCs w:val="21"/>
              </w:rPr>
            </w:r>
            <w:r/>
          </w:p>
        </w:tc>
        <w:tc>
          <w:tcPr>
            <w:tcW w:w="1116" w:type="dxa"/>
            <w:vAlign w:val="center"/>
            <w:textDirection w:val="lrTb"/>
            <w:noWrap/>
          </w:tcPr>
          <w:p>
            <w:pPr>
              <w:jc w:val="center"/>
              <w:rPr>
                <w:rFonts w:ascii="宋体" w:hAnsi="宋体" w:cs="宋体"/>
                <w:szCs w:val="21"/>
              </w:rPr>
            </w:pPr>
            <w:r>
              <w:rPr>
                <w:rFonts w:ascii="宋体" w:hAnsi="宋体" w:cs="宋体"/>
                <w:szCs w:val="21"/>
              </w:rPr>
            </w:r>
            <w:r/>
          </w:p>
        </w:tc>
        <w:tc>
          <w:tcPr>
            <w:tcW w:w="1458" w:type="dxa"/>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80"/>
        </w:trPr>
        <w:tc>
          <w:tcPr>
            <w:tcW w:w="705" w:type="dxa"/>
            <w:vAlign w:val="center"/>
            <w:textDirection w:val="lrTb"/>
            <w:noWrap/>
          </w:tcPr>
          <w:p>
            <w:pPr>
              <w:jc w:val="center"/>
              <w:rPr>
                <w:rFonts w:ascii="宋体" w:hAnsi="宋体" w:cs="宋体"/>
                <w:szCs w:val="21"/>
              </w:rPr>
            </w:pPr>
            <w:r>
              <w:rPr>
                <w:rFonts w:ascii="宋体" w:hAnsi="宋体" w:cs="宋体"/>
                <w:szCs w:val="21"/>
              </w:rPr>
            </w:r>
            <w:r/>
          </w:p>
        </w:tc>
        <w:tc>
          <w:tcPr>
            <w:tcW w:w="1652" w:type="dxa"/>
            <w:vAlign w:val="center"/>
            <w:textDirection w:val="lrTb"/>
            <w:noWrap/>
          </w:tcPr>
          <w:p>
            <w:pPr>
              <w:jc w:val="center"/>
              <w:rPr>
                <w:rFonts w:ascii="宋体" w:hAnsi="宋体" w:cs="宋体"/>
                <w:szCs w:val="21"/>
              </w:rPr>
            </w:pPr>
            <w:r>
              <w:rPr>
                <w:rFonts w:ascii="宋体" w:hAnsi="宋体" w:cs="宋体"/>
                <w:szCs w:val="21"/>
              </w:rPr>
            </w:r>
            <w:r/>
          </w:p>
        </w:tc>
        <w:tc>
          <w:tcPr>
            <w:tcW w:w="1059" w:type="dxa"/>
            <w:vAlign w:val="center"/>
            <w:textDirection w:val="lrTb"/>
            <w:noWrap/>
          </w:tcPr>
          <w:p>
            <w:pPr>
              <w:jc w:val="center"/>
              <w:rPr>
                <w:rFonts w:ascii="宋体" w:hAnsi="宋体" w:cs="宋体"/>
                <w:szCs w:val="21"/>
              </w:rPr>
            </w:pPr>
            <w:r>
              <w:rPr>
                <w:rFonts w:ascii="宋体" w:hAnsi="宋体" w:cs="宋体"/>
                <w:szCs w:val="21"/>
              </w:rPr>
            </w:r>
            <w:r/>
          </w:p>
        </w:tc>
        <w:tc>
          <w:tcPr>
            <w:tcW w:w="1034" w:type="dxa"/>
            <w:vAlign w:val="center"/>
            <w:textDirection w:val="lrTb"/>
            <w:noWrap/>
          </w:tcPr>
          <w:p>
            <w:pPr>
              <w:jc w:val="center"/>
              <w:rPr>
                <w:rFonts w:ascii="宋体" w:hAnsi="宋体" w:cs="宋体"/>
                <w:szCs w:val="21"/>
              </w:rPr>
            </w:pPr>
            <w:r>
              <w:rPr>
                <w:rFonts w:ascii="宋体" w:hAnsi="宋体" w:cs="宋体"/>
                <w:szCs w:val="21"/>
              </w:rPr>
            </w:r>
            <w:r/>
          </w:p>
        </w:tc>
        <w:tc>
          <w:tcPr>
            <w:tcW w:w="869" w:type="dxa"/>
            <w:vAlign w:val="center"/>
            <w:textDirection w:val="lrTb"/>
            <w:noWrap/>
          </w:tcPr>
          <w:p>
            <w:pPr>
              <w:jc w:val="center"/>
              <w:rPr>
                <w:rFonts w:ascii="宋体" w:hAnsi="宋体" w:cs="宋体"/>
                <w:szCs w:val="21"/>
              </w:rPr>
            </w:pPr>
            <w:r>
              <w:rPr>
                <w:rFonts w:ascii="宋体" w:hAnsi="宋体" w:cs="宋体"/>
                <w:szCs w:val="21"/>
              </w:rPr>
            </w:r>
            <w:r/>
          </w:p>
        </w:tc>
        <w:tc>
          <w:tcPr>
            <w:tcW w:w="1764" w:type="dxa"/>
            <w:vAlign w:val="center"/>
            <w:textDirection w:val="lrTb"/>
            <w:noWrap/>
          </w:tcPr>
          <w:p>
            <w:pPr>
              <w:jc w:val="center"/>
              <w:rPr>
                <w:rFonts w:ascii="宋体" w:hAnsi="宋体" w:cs="宋体"/>
                <w:szCs w:val="21"/>
              </w:rPr>
            </w:pPr>
            <w:r>
              <w:rPr>
                <w:rFonts w:ascii="宋体" w:hAnsi="宋体" w:cs="宋体"/>
                <w:szCs w:val="21"/>
              </w:rPr>
            </w:r>
            <w:r/>
          </w:p>
        </w:tc>
        <w:tc>
          <w:tcPr>
            <w:tcW w:w="1116" w:type="dxa"/>
            <w:vAlign w:val="center"/>
            <w:textDirection w:val="lrTb"/>
            <w:noWrap/>
          </w:tcPr>
          <w:p>
            <w:pPr>
              <w:jc w:val="center"/>
              <w:rPr>
                <w:rFonts w:ascii="宋体" w:hAnsi="宋体" w:cs="宋体"/>
                <w:szCs w:val="21"/>
              </w:rPr>
            </w:pPr>
            <w:r>
              <w:rPr>
                <w:rFonts w:ascii="宋体" w:hAnsi="宋体" w:cs="宋体"/>
                <w:szCs w:val="21"/>
              </w:rPr>
            </w:r>
            <w:r/>
          </w:p>
        </w:tc>
        <w:tc>
          <w:tcPr>
            <w:tcW w:w="1458" w:type="dxa"/>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80"/>
        </w:trPr>
        <w:tc>
          <w:tcPr>
            <w:tcW w:w="705" w:type="dxa"/>
            <w:vAlign w:val="center"/>
            <w:textDirection w:val="lrTb"/>
            <w:noWrap/>
          </w:tcPr>
          <w:p>
            <w:pPr>
              <w:jc w:val="center"/>
              <w:rPr>
                <w:rFonts w:ascii="宋体" w:hAnsi="宋体" w:cs="宋体"/>
                <w:szCs w:val="21"/>
              </w:rPr>
            </w:pPr>
            <w:r>
              <w:rPr>
                <w:rFonts w:ascii="宋体" w:hAnsi="宋体" w:cs="宋体"/>
                <w:szCs w:val="21"/>
              </w:rPr>
            </w:r>
            <w:r/>
          </w:p>
        </w:tc>
        <w:tc>
          <w:tcPr>
            <w:tcW w:w="1652" w:type="dxa"/>
            <w:vAlign w:val="center"/>
            <w:textDirection w:val="lrTb"/>
            <w:noWrap/>
          </w:tcPr>
          <w:p>
            <w:pPr>
              <w:jc w:val="center"/>
              <w:rPr>
                <w:rFonts w:ascii="宋体" w:hAnsi="宋体" w:cs="宋体"/>
                <w:szCs w:val="21"/>
              </w:rPr>
            </w:pPr>
            <w:r>
              <w:rPr>
                <w:rFonts w:ascii="宋体" w:hAnsi="宋体" w:cs="宋体"/>
                <w:szCs w:val="21"/>
              </w:rPr>
            </w:r>
            <w:r/>
          </w:p>
        </w:tc>
        <w:tc>
          <w:tcPr>
            <w:tcW w:w="1059" w:type="dxa"/>
            <w:vAlign w:val="center"/>
            <w:textDirection w:val="lrTb"/>
            <w:noWrap/>
          </w:tcPr>
          <w:p>
            <w:pPr>
              <w:jc w:val="center"/>
              <w:rPr>
                <w:rFonts w:ascii="宋体" w:hAnsi="宋体" w:cs="宋体"/>
                <w:szCs w:val="21"/>
              </w:rPr>
            </w:pPr>
            <w:r>
              <w:rPr>
                <w:rFonts w:ascii="宋体" w:hAnsi="宋体" w:cs="宋体"/>
                <w:szCs w:val="21"/>
              </w:rPr>
            </w:r>
            <w:r/>
          </w:p>
        </w:tc>
        <w:tc>
          <w:tcPr>
            <w:tcW w:w="1034" w:type="dxa"/>
            <w:vAlign w:val="center"/>
            <w:textDirection w:val="lrTb"/>
            <w:noWrap/>
          </w:tcPr>
          <w:p>
            <w:pPr>
              <w:jc w:val="center"/>
              <w:rPr>
                <w:rFonts w:ascii="宋体" w:hAnsi="宋体" w:cs="宋体"/>
                <w:szCs w:val="21"/>
              </w:rPr>
            </w:pPr>
            <w:r>
              <w:rPr>
                <w:rFonts w:ascii="宋体" w:hAnsi="宋体" w:cs="宋体"/>
                <w:szCs w:val="21"/>
              </w:rPr>
            </w:r>
            <w:r/>
          </w:p>
        </w:tc>
        <w:tc>
          <w:tcPr>
            <w:tcW w:w="869" w:type="dxa"/>
            <w:vAlign w:val="center"/>
            <w:textDirection w:val="lrTb"/>
            <w:noWrap/>
          </w:tcPr>
          <w:p>
            <w:pPr>
              <w:jc w:val="center"/>
              <w:rPr>
                <w:rFonts w:ascii="宋体" w:hAnsi="宋体" w:cs="宋体"/>
                <w:szCs w:val="21"/>
              </w:rPr>
            </w:pPr>
            <w:r>
              <w:rPr>
                <w:rFonts w:ascii="宋体" w:hAnsi="宋体" w:cs="宋体"/>
                <w:szCs w:val="21"/>
              </w:rPr>
            </w:r>
            <w:r/>
          </w:p>
        </w:tc>
        <w:tc>
          <w:tcPr>
            <w:tcW w:w="1764" w:type="dxa"/>
            <w:vAlign w:val="center"/>
            <w:textDirection w:val="lrTb"/>
            <w:noWrap/>
          </w:tcPr>
          <w:p>
            <w:pPr>
              <w:jc w:val="center"/>
              <w:rPr>
                <w:rFonts w:ascii="宋体" w:hAnsi="宋体" w:cs="宋体"/>
                <w:szCs w:val="21"/>
              </w:rPr>
            </w:pPr>
            <w:r>
              <w:rPr>
                <w:rFonts w:ascii="宋体" w:hAnsi="宋体" w:cs="宋体"/>
                <w:szCs w:val="21"/>
              </w:rPr>
            </w:r>
            <w:r/>
          </w:p>
        </w:tc>
        <w:tc>
          <w:tcPr>
            <w:tcW w:w="1116" w:type="dxa"/>
            <w:vAlign w:val="center"/>
            <w:textDirection w:val="lrTb"/>
            <w:noWrap/>
          </w:tcPr>
          <w:p>
            <w:pPr>
              <w:jc w:val="center"/>
              <w:rPr>
                <w:rFonts w:ascii="宋体" w:hAnsi="宋体" w:cs="宋体"/>
                <w:szCs w:val="21"/>
              </w:rPr>
            </w:pPr>
            <w:r>
              <w:rPr>
                <w:rFonts w:ascii="宋体" w:hAnsi="宋体" w:cs="宋体"/>
                <w:szCs w:val="21"/>
              </w:rPr>
            </w:r>
            <w:r/>
          </w:p>
        </w:tc>
        <w:tc>
          <w:tcPr>
            <w:tcW w:w="1458" w:type="dxa"/>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80"/>
        </w:trPr>
        <w:tc>
          <w:tcPr>
            <w:tcW w:w="705" w:type="dxa"/>
            <w:vAlign w:val="center"/>
            <w:textDirection w:val="lrTb"/>
            <w:noWrap/>
          </w:tcPr>
          <w:p>
            <w:pPr>
              <w:jc w:val="center"/>
              <w:rPr>
                <w:rFonts w:ascii="宋体" w:hAnsi="宋体" w:cs="宋体"/>
                <w:szCs w:val="21"/>
              </w:rPr>
            </w:pPr>
            <w:r>
              <w:rPr>
                <w:rFonts w:ascii="宋体" w:hAnsi="宋体" w:cs="宋体"/>
                <w:szCs w:val="21"/>
              </w:rPr>
            </w:r>
            <w:r/>
          </w:p>
        </w:tc>
        <w:tc>
          <w:tcPr>
            <w:tcW w:w="1652" w:type="dxa"/>
            <w:vAlign w:val="center"/>
            <w:textDirection w:val="lrTb"/>
            <w:noWrap/>
          </w:tcPr>
          <w:p>
            <w:pPr>
              <w:jc w:val="center"/>
              <w:rPr>
                <w:rFonts w:ascii="宋体" w:hAnsi="宋体" w:cs="宋体"/>
                <w:szCs w:val="21"/>
              </w:rPr>
            </w:pPr>
            <w:r>
              <w:rPr>
                <w:rFonts w:ascii="宋体" w:hAnsi="宋体" w:cs="宋体"/>
                <w:szCs w:val="21"/>
              </w:rPr>
            </w:r>
            <w:r/>
          </w:p>
        </w:tc>
        <w:tc>
          <w:tcPr>
            <w:tcW w:w="1059" w:type="dxa"/>
            <w:vAlign w:val="center"/>
            <w:textDirection w:val="lrTb"/>
            <w:noWrap/>
          </w:tcPr>
          <w:p>
            <w:pPr>
              <w:jc w:val="center"/>
              <w:rPr>
                <w:rFonts w:ascii="宋体" w:hAnsi="宋体" w:cs="宋体"/>
                <w:szCs w:val="21"/>
              </w:rPr>
            </w:pPr>
            <w:r>
              <w:rPr>
                <w:rFonts w:ascii="宋体" w:hAnsi="宋体" w:cs="宋体"/>
                <w:szCs w:val="21"/>
              </w:rPr>
            </w:r>
            <w:r/>
          </w:p>
        </w:tc>
        <w:tc>
          <w:tcPr>
            <w:tcW w:w="1034" w:type="dxa"/>
            <w:vAlign w:val="center"/>
            <w:textDirection w:val="lrTb"/>
            <w:noWrap/>
          </w:tcPr>
          <w:p>
            <w:pPr>
              <w:jc w:val="center"/>
              <w:rPr>
                <w:rFonts w:ascii="宋体" w:hAnsi="宋体" w:cs="宋体"/>
                <w:szCs w:val="21"/>
              </w:rPr>
            </w:pPr>
            <w:r>
              <w:rPr>
                <w:rFonts w:ascii="宋体" w:hAnsi="宋体" w:cs="宋体"/>
                <w:szCs w:val="21"/>
              </w:rPr>
            </w:r>
            <w:r/>
          </w:p>
        </w:tc>
        <w:tc>
          <w:tcPr>
            <w:tcW w:w="869" w:type="dxa"/>
            <w:vAlign w:val="center"/>
            <w:textDirection w:val="lrTb"/>
            <w:noWrap/>
          </w:tcPr>
          <w:p>
            <w:pPr>
              <w:jc w:val="center"/>
              <w:rPr>
                <w:rFonts w:ascii="宋体" w:hAnsi="宋体" w:cs="宋体"/>
                <w:szCs w:val="21"/>
              </w:rPr>
            </w:pPr>
            <w:r>
              <w:rPr>
                <w:rFonts w:ascii="宋体" w:hAnsi="宋体" w:cs="宋体"/>
                <w:szCs w:val="21"/>
              </w:rPr>
            </w:r>
            <w:r/>
          </w:p>
        </w:tc>
        <w:tc>
          <w:tcPr>
            <w:tcW w:w="1764" w:type="dxa"/>
            <w:vAlign w:val="center"/>
            <w:textDirection w:val="lrTb"/>
            <w:noWrap/>
          </w:tcPr>
          <w:p>
            <w:pPr>
              <w:jc w:val="center"/>
              <w:rPr>
                <w:rFonts w:ascii="宋体" w:hAnsi="宋体" w:cs="宋体"/>
                <w:szCs w:val="21"/>
              </w:rPr>
            </w:pPr>
            <w:r>
              <w:rPr>
                <w:rFonts w:ascii="宋体" w:hAnsi="宋体" w:cs="宋体"/>
                <w:szCs w:val="21"/>
              </w:rPr>
            </w:r>
            <w:r/>
          </w:p>
        </w:tc>
        <w:tc>
          <w:tcPr>
            <w:tcW w:w="1116" w:type="dxa"/>
            <w:vAlign w:val="center"/>
            <w:textDirection w:val="lrTb"/>
            <w:noWrap/>
          </w:tcPr>
          <w:p>
            <w:pPr>
              <w:jc w:val="center"/>
              <w:rPr>
                <w:rFonts w:ascii="宋体" w:hAnsi="宋体" w:cs="宋体"/>
                <w:szCs w:val="21"/>
              </w:rPr>
            </w:pPr>
            <w:r>
              <w:rPr>
                <w:rFonts w:ascii="宋体" w:hAnsi="宋体" w:cs="宋体"/>
                <w:szCs w:val="21"/>
              </w:rPr>
            </w:r>
            <w:r/>
          </w:p>
        </w:tc>
        <w:tc>
          <w:tcPr>
            <w:tcW w:w="1458" w:type="dxa"/>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80"/>
        </w:trPr>
        <w:tc>
          <w:tcPr>
            <w:tcW w:w="705" w:type="dxa"/>
            <w:vAlign w:val="center"/>
            <w:textDirection w:val="lrTb"/>
            <w:noWrap/>
          </w:tcPr>
          <w:p>
            <w:pPr>
              <w:jc w:val="center"/>
              <w:rPr>
                <w:rFonts w:ascii="宋体" w:hAnsi="宋体" w:cs="宋体"/>
                <w:szCs w:val="21"/>
              </w:rPr>
            </w:pPr>
            <w:r>
              <w:rPr>
                <w:rFonts w:ascii="宋体" w:hAnsi="宋体" w:cs="宋体"/>
                <w:szCs w:val="21"/>
              </w:rPr>
            </w:r>
            <w:r/>
          </w:p>
        </w:tc>
        <w:tc>
          <w:tcPr>
            <w:tcW w:w="1652" w:type="dxa"/>
            <w:vAlign w:val="center"/>
            <w:textDirection w:val="lrTb"/>
            <w:noWrap/>
          </w:tcPr>
          <w:p>
            <w:pPr>
              <w:jc w:val="center"/>
              <w:rPr>
                <w:rFonts w:ascii="宋体" w:hAnsi="宋体" w:cs="宋体"/>
                <w:szCs w:val="21"/>
              </w:rPr>
            </w:pPr>
            <w:r>
              <w:rPr>
                <w:rFonts w:ascii="宋体" w:hAnsi="宋体" w:cs="宋体"/>
                <w:szCs w:val="21"/>
              </w:rPr>
            </w:r>
            <w:r/>
          </w:p>
        </w:tc>
        <w:tc>
          <w:tcPr>
            <w:tcW w:w="1059" w:type="dxa"/>
            <w:vAlign w:val="center"/>
            <w:textDirection w:val="lrTb"/>
            <w:noWrap/>
          </w:tcPr>
          <w:p>
            <w:pPr>
              <w:jc w:val="center"/>
              <w:rPr>
                <w:rFonts w:ascii="宋体" w:hAnsi="宋体" w:cs="宋体"/>
                <w:szCs w:val="21"/>
              </w:rPr>
            </w:pPr>
            <w:r>
              <w:rPr>
                <w:rFonts w:ascii="宋体" w:hAnsi="宋体" w:cs="宋体"/>
                <w:szCs w:val="21"/>
              </w:rPr>
            </w:r>
            <w:r/>
          </w:p>
        </w:tc>
        <w:tc>
          <w:tcPr>
            <w:tcW w:w="1034" w:type="dxa"/>
            <w:vAlign w:val="center"/>
            <w:textDirection w:val="lrTb"/>
            <w:noWrap/>
          </w:tcPr>
          <w:p>
            <w:pPr>
              <w:jc w:val="center"/>
              <w:rPr>
                <w:rFonts w:ascii="宋体" w:hAnsi="宋体" w:cs="宋体"/>
                <w:szCs w:val="21"/>
              </w:rPr>
            </w:pPr>
            <w:r>
              <w:rPr>
                <w:rFonts w:ascii="宋体" w:hAnsi="宋体" w:cs="宋体"/>
                <w:szCs w:val="21"/>
              </w:rPr>
            </w:r>
            <w:r/>
          </w:p>
        </w:tc>
        <w:tc>
          <w:tcPr>
            <w:tcW w:w="869" w:type="dxa"/>
            <w:vAlign w:val="center"/>
            <w:textDirection w:val="lrTb"/>
            <w:noWrap/>
          </w:tcPr>
          <w:p>
            <w:pPr>
              <w:jc w:val="center"/>
              <w:rPr>
                <w:rFonts w:ascii="宋体" w:hAnsi="宋体" w:cs="宋体"/>
                <w:szCs w:val="21"/>
              </w:rPr>
            </w:pPr>
            <w:r>
              <w:rPr>
                <w:rFonts w:ascii="宋体" w:hAnsi="宋体" w:cs="宋体"/>
                <w:szCs w:val="21"/>
              </w:rPr>
            </w:r>
            <w:r/>
          </w:p>
        </w:tc>
        <w:tc>
          <w:tcPr>
            <w:tcW w:w="1764" w:type="dxa"/>
            <w:vAlign w:val="center"/>
            <w:textDirection w:val="lrTb"/>
            <w:noWrap/>
          </w:tcPr>
          <w:p>
            <w:pPr>
              <w:jc w:val="center"/>
              <w:rPr>
                <w:rFonts w:ascii="宋体" w:hAnsi="宋体" w:cs="宋体"/>
                <w:szCs w:val="21"/>
              </w:rPr>
            </w:pPr>
            <w:r>
              <w:rPr>
                <w:rFonts w:ascii="宋体" w:hAnsi="宋体" w:cs="宋体"/>
                <w:szCs w:val="21"/>
              </w:rPr>
            </w:r>
            <w:r/>
          </w:p>
        </w:tc>
        <w:tc>
          <w:tcPr>
            <w:tcW w:w="1116" w:type="dxa"/>
            <w:vAlign w:val="center"/>
            <w:textDirection w:val="lrTb"/>
            <w:noWrap/>
          </w:tcPr>
          <w:p>
            <w:pPr>
              <w:jc w:val="center"/>
              <w:rPr>
                <w:rFonts w:ascii="宋体" w:hAnsi="宋体" w:cs="宋体"/>
                <w:szCs w:val="21"/>
              </w:rPr>
            </w:pPr>
            <w:r>
              <w:rPr>
                <w:rFonts w:ascii="宋体" w:hAnsi="宋体" w:cs="宋体"/>
                <w:szCs w:val="21"/>
              </w:rPr>
            </w:r>
            <w:r/>
          </w:p>
        </w:tc>
        <w:tc>
          <w:tcPr>
            <w:tcW w:w="1458" w:type="dxa"/>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80"/>
        </w:trPr>
        <w:tc>
          <w:tcPr>
            <w:tcW w:w="705" w:type="dxa"/>
            <w:vAlign w:val="center"/>
            <w:textDirection w:val="lrTb"/>
            <w:noWrap/>
          </w:tcPr>
          <w:p>
            <w:pPr>
              <w:jc w:val="center"/>
              <w:rPr>
                <w:rFonts w:ascii="宋体" w:hAnsi="宋体" w:cs="宋体"/>
                <w:szCs w:val="21"/>
              </w:rPr>
            </w:pPr>
            <w:r>
              <w:rPr>
                <w:rFonts w:ascii="宋体" w:hAnsi="宋体" w:cs="宋体"/>
                <w:szCs w:val="21"/>
              </w:rPr>
            </w:r>
            <w:r/>
          </w:p>
        </w:tc>
        <w:tc>
          <w:tcPr>
            <w:tcW w:w="1652" w:type="dxa"/>
            <w:vAlign w:val="center"/>
            <w:textDirection w:val="lrTb"/>
            <w:noWrap/>
          </w:tcPr>
          <w:p>
            <w:pPr>
              <w:jc w:val="center"/>
              <w:rPr>
                <w:rFonts w:ascii="宋体" w:hAnsi="宋体" w:cs="宋体"/>
                <w:szCs w:val="21"/>
              </w:rPr>
            </w:pPr>
            <w:r>
              <w:rPr>
                <w:rFonts w:ascii="宋体" w:hAnsi="宋体" w:cs="宋体"/>
                <w:szCs w:val="21"/>
              </w:rPr>
            </w:r>
            <w:r/>
          </w:p>
        </w:tc>
        <w:tc>
          <w:tcPr>
            <w:tcW w:w="1059" w:type="dxa"/>
            <w:vAlign w:val="center"/>
            <w:textDirection w:val="lrTb"/>
            <w:noWrap/>
          </w:tcPr>
          <w:p>
            <w:pPr>
              <w:jc w:val="center"/>
              <w:rPr>
                <w:rFonts w:ascii="宋体" w:hAnsi="宋体" w:cs="宋体"/>
                <w:szCs w:val="21"/>
              </w:rPr>
            </w:pPr>
            <w:r>
              <w:rPr>
                <w:rFonts w:ascii="宋体" w:hAnsi="宋体" w:cs="宋体"/>
                <w:szCs w:val="21"/>
              </w:rPr>
            </w:r>
            <w:r/>
          </w:p>
        </w:tc>
        <w:tc>
          <w:tcPr>
            <w:tcW w:w="1034" w:type="dxa"/>
            <w:vAlign w:val="center"/>
            <w:textDirection w:val="lrTb"/>
            <w:noWrap/>
          </w:tcPr>
          <w:p>
            <w:pPr>
              <w:jc w:val="center"/>
              <w:rPr>
                <w:rFonts w:ascii="宋体" w:hAnsi="宋体" w:cs="宋体"/>
                <w:szCs w:val="21"/>
              </w:rPr>
            </w:pPr>
            <w:r>
              <w:rPr>
                <w:rFonts w:ascii="宋体" w:hAnsi="宋体" w:cs="宋体"/>
                <w:szCs w:val="21"/>
              </w:rPr>
            </w:r>
            <w:r/>
          </w:p>
        </w:tc>
        <w:tc>
          <w:tcPr>
            <w:tcW w:w="869" w:type="dxa"/>
            <w:vAlign w:val="center"/>
            <w:textDirection w:val="lrTb"/>
            <w:noWrap/>
          </w:tcPr>
          <w:p>
            <w:pPr>
              <w:jc w:val="center"/>
              <w:rPr>
                <w:rFonts w:ascii="宋体" w:hAnsi="宋体" w:cs="宋体"/>
                <w:szCs w:val="21"/>
              </w:rPr>
            </w:pPr>
            <w:r>
              <w:rPr>
                <w:rFonts w:ascii="宋体" w:hAnsi="宋体" w:cs="宋体"/>
                <w:szCs w:val="21"/>
              </w:rPr>
            </w:r>
            <w:r/>
          </w:p>
        </w:tc>
        <w:tc>
          <w:tcPr>
            <w:tcW w:w="1764" w:type="dxa"/>
            <w:vAlign w:val="center"/>
            <w:textDirection w:val="lrTb"/>
            <w:noWrap/>
          </w:tcPr>
          <w:p>
            <w:pPr>
              <w:jc w:val="center"/>
              <w:rPr>
                <w:rFonts w:ascii="宋体" w:hAnsi="宋体" w:cs="宋体"/>
                <w:szCs w:val="21"/>
              </w:rPr>
            </w:pPr>
            <w:r>
              <w:rPr>
                <w:rFonts w:ascii="宋体" w:hAnsi="宋体" w:cs="宋体"/>
                <w:szCs w:val="21"/>
              </w:rPr>
            </w:r>
            <w:r/>
          </w:p>
        </w:tc>
        <w:tc>
          <w:tcPr>
            <w:tcW w:w="1116" w:type="dxa"/>
            <w:vAlign w:val="center"/>
            <w:textDirection w:val="lrTb"/>
            <w:noWrap/>
          </w:tcPr>
          <w:p>
            <w:pPr>
              <w:jc w:val="center"/>
              <w:rPr>
                <w:rFonts w:ascii="宋体" w:hAnsi="宋体" w:cs="宋体"/>
                <w:szCs w:val="21"/>
              </w:rPr>
            </w:pPr>
            <w:r>
              <w:rPr>
                <w:rFonts w:ascii="宋体" w:hAnsi="宋体" w:cs="宋体"/>
                <w:szCs w:val="21"/>
              </w:rPr>
            </w:r>
            <w:r/>
          </w:p>
        </w:tc>
        <w:tc>
          <w:tcPr>
            <w:tcW w:w="1458" w:type="dxa"/>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80"/>
        </w:trPr>
        <w:tc>
          <w:tcPr>
            <w:tcW w:w="705" w:type="dxa"/>
            <w:vAlign w:val="center"/>
            <w:textDirection w:val="lrTb"/>
            <w:noWrap/>
          </w:tcPr>
          <w:p>
            <w:pPr>
              <w:jc w:val="center"/>
              <w:rPr>
                <w:rFonts w:ascii="宋体" w:hAnsi="宋体" w:cs="宋体"/>
                <w:szCs w:val="21"/>
              </w:rPr>
            </w:pPr>
            <w:r>
              <w:rPr>
                <w:rFonts w:ascii="宋体" w:hAnsi="宋体" w:cs="宋体"/>
                <w:szCs w:val="21"/>
              </w:rPr>
            </w:r>
            <w:r/>
          </w:p>
        </w:tc>
        <w:tc>
          <w:tcPr>
            <w:tcW w:w="1652" w:type="dxa"/>
            <w:vAlign w:val="center"/>
            <w:textDirection w:val="lrTb"/>
            <w:noWrap/>
          </w:tcPr>
          <w:p>
            <w:pPr>
              <w:jc w:val="center"/>
              <w:rPr>
                <w:rFonts w:ascii="宋体" w:hAnsi="宋体" w:cs="宋体"/>
                <w:szCs w:val="21"/>
              </w:rPr>
            </w:pPr>
            <w:r>
              <w:rPr>
                <w:rFonts w:ascii="宋体" w:hAnsi="宋体" w:cs="宋体"/>
                <w:szCs w:val="21"/>
              </w:rPr>
            </w:r>
            <w:r/>
          </w:p>
        </w:tc>
        <w:tc>
          <w:tcPr>
            <w:tcW w:w="1059" w:type="dxa"/>
            <w:vAlign w:val="center"/>
            <w:textDirection w:val="lrTb"/>
            <w:noWrap/>
          </w:tcPr>
          <w:p>
            <w:pPr>
              <w:jc w:val="center"/>
              <w:rPr>
                <w:rFonts w:ascii="宋体" w:hAnsi="宋体" w:cs="宋体"/>
                <w:szCs w:val="21"/>
              </w:rPr>
            </w:pPr>
            <w:r>
              <w:rPr>
                <w:rFonts w:ascii="宋体" w:hAnsi="宋体" w:cs="宋体"/>
                <w:szCs w:val="21"/>
              </w:rPr>
            </w:r>
            <w:r/>
          </w:p>
        </w:tc>
        <w:tc>
          <w:tcPr>
            <w:tcW w:w="1034" w:type="dxa"/>
            <w:vAlign w:val="center"/>
            <w:textDirection w:val="lrTb"/>
            <w:noWrap/>
          </w:tcPr>
          <w:p>
            <w:pPr>
              <w:jc w:val="center"/>
              <w:rPr>
                <w:rFonts w:ascii="宋体" w:hAnsi="宋体" w:cs="宋体"/>
                <w:szCs w:val="21"/>
              </w:rPr>
            </w:pPr>
            <w:r>
              <w:rPr>
                <w:rFonts w:ascii="宋体" w:hAnsi="宋体" w:cs="宋体"/>
                <w:szCs w:val="21"/>
              </w:rPr>
            </w:r>
            <w:r/>
          </w:p>
        </w:tc>
        <w:tc>
          <w:tcPr>
            <w:tcW w:w="869" w:type="dxa"/>
            <w:vAlign w:val="center"/>
            <w:textDirection w:val="lrTb"/>
            <w:noWrap/>
          </w:tcPr>
          <w:p>
            <w:pPr>
              <w:jc w:val="center"/>
              <w:rPr>
                <w:rFonts w:ascii="宋体" w:hAnsi="宋体" w:cs="宋体"/>
                <w:szCs w:val="21"/>
              </w:rPr>
            </w:pPr>
            <w:r>
              <w:rPr>
                <w:rFonts w:ascii="宋体" w:hAnsi="宋体" w:cs="宋体"/>
                <w:szCs w:val="21"/>
              </w:rPr>
            </w:r>
            <w:r/>
          </w:p>
        </w:tc>
        <w:tc>
          <w:tcPr>
            <w:tcW w:w="1764" w:type="dxa"/>
            <w:vAlign w:val="center"/>
            <w:textDirection w:val="lrTb"/>
            <w:noWrap/>
          </w:tcPr>
          <w:p>
            <w:pPr>
              <w:jc w:val="center"/>
              <w:rPr>
                <w:rFonts w:ascii="宋体" w:hAnsi="宋体" w:cs="宋体"/>
                <w:szCs w:val="21"/>
              </w:rPr>
            </w:pPr>
            <w:r>
              <w:rPr>
                <w:rFonts w:ascii="宋体" w:hAnsi="宋体" w:cs="宋体"/>
                <w:szCs w:val="21"/>
              </w:rPr>
            </w:r>
            <w:r/>
          </w:p>
        </w:tc>
        <w:tc>
          <w:tcPr>
            <w:tcW w:w="1116" w:type="dxa"/>
            <w:vAlign w:val="center"/>
            <w:textDirection w:val="lrTb"/>
            <w:noWrap/>
          </w:tcPr>
          <w:p>
            <w:pPr>
              <w:jc w:val="center"/>
              <w:rPr>
                <w:rFonts w:ascii="宋体" w:hAnsi="宋体" w:cs="宋体"/>
                <w:szCs w:val="21"/>
              </w:rPr>
            </w:pPr>
            <w:r>
              <w:rPr>
                <w:rFonts w:ascii="宋体" w:hAnsi="宋体" w:cs="宋体"/>
                <w:szCs w:val="21"/>
              </w:rPr>
            </w:r>
            <w:r/>
          </w:p>
        </w:tc>
        <w:tc>
          <w:tcPr>
            <w:tcW w:w="1458" w:type="dxa"/>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80"/>
        </w:trPr>
        <w:tc>
          <w:tcPr>
            <w:tcW w:w="705" w:type="dxa"/>
            <w:vAlign w:val="center"/>
            <w:textDirection w:val="lrTb"/>
            <w:noWrap/>
          </w:tcPr>
          <w:p>
            <w:pPr>
              <w:jc w:val="center"/>
              <w:rPr>
                <w:rFonts w:ascii="宋体" w:hAnsi="宋体" w:cs="宋体"/>
                <w:szCs w:val="21"/>
              </w:rPr>
            </w:pPr>
            <w:r>
              <w:rPr>
                <w:rFonts w:ascii="宋体" w:hAnsi="宋体" w:cs="宋体"/>
                <w:szCs w:val="21"/>
              </w:rPr>
            </w:r>
            <w:r/>
          </w:p>
        </w:tc>
        <w:tc>
          <w:tcPr>
            <w:tcW w:w="1652" w:type="dxa"/>
            <w:vAlign w:val="center"/>
            <w:textDirection w:val="lrTb"/>
            <w:noWrap/>
          </w:tcPr>
          <w:p>
            <w:pPr>
              <w:jc w:val="center"/>
              <w:rPr>
                <w:rFonts w:ascii="宋体" w:hAnsi="宋体" w:cs="宋体"/>
                <w:szCs w:val="21"/>
              </w:rPr>
            </w:pPr>
            <w:r>
              <w:rPr>
                <w:rFonts w:ascii="宋体" w:hAnsi="宋体" w:cs="宋体"/>
                <w:szCs w:val="21"/>
              </w:rPr>
            </w:r>
            <w:r/>
          </w:p>
        </w:tc>
        <w:tc>
          <w:tcPr>
            <w:tcW w:w="1059" w:type="dxa"/>
            <w:vAlign w:val="center"/>
            <w:textDirection w:val="lrTb"/>
            <w:noWrap/>
          </w:tcPr>
          <w:p>
            <w:pPr>
              <w:jc w:val="center"/>
              <w:rPr>
                <w:rFonts w:ascii="宋体" w:hAnsi="宋体" w:cs="宋体"/>
                <w:szCs w:val="21"/>
              </w:rPr>
            </w:pPr>
            <w:r>
              <w:rPr>
                <w:rFonts w:ascii="宋体" w:hAnsi="宋体" w:cs="宋体"/>
                <w:szCs w:val="21"/>
              </w:rPr>
            </w:r>
            <w:r/>
          </w:p>
        </w:tc>
        <w:tc>
          <w:tcPr>
            <w:tcW w:w="1034" w:type="dxa"/>
            <w:vAlign w:val="center"/>
            <w:textDirection w:val="lrTb"/>
            <w:noWrap/>
          </w:tcPr>
          <w:p>
            <w:pPr>
              <w:jc w:val="center"/>
              <w:rPr>
                <w:rFonts w:ascii="宋体" w:hAnsi="宋体" w:cs="宋体"/>
                <w:szCs w:val="21"/>
              </w:rPr>
            </w:pPr>
            <w:r>
              <w:rPr>
                <w:rFonts w:ascii="宋体" w:hAnsi="宋体" w:cs="宋体"/>
                <w:szCs w:val="21"/>
              </w:rPr>
            </w:r>
            <w:r/>
          </w:p>
        </w:tc>
        <w:tc>
          <w:tcPr>
            <w:tcW w:w="869" w:type="dxa"/>
            <w:vAlign w:val="center"/>
            <w:textDirection w:val="lrTb"/>
            <w:noWrap/>
          </w:tcPr>
          <w:p>
            <w:pPr>
              <w:jc w:val="center"/>
              <w:rPr>
                <w:rFonts w:ascii="宋体" w:hAnsi="宋体" w:cs="宋体"/>
                <w:szCs w:val="21"/>
              </w:rPr>
            </w:pPr>
            <w:r>
              <w:rPr>
                <w:rFonts w:ascii="宋体" w:hAnsi="宋体" w:cs="宋体"/>
                <w:szCs w:val="21"/>
              </w:rPr>
            </w:r>
            <w:r/>
          </w:p>
        </w:tc>
        <w:tc>
          <w:tcPr>
            <w:tcW w:w="1764" w:type="dxa"/>
            <w:vAlign w:val="center"/>
            <w:textDirection w:val="lrTb"/>
            <w:noWrap/>
          </w:tcPr>
          <w:p>
            <w:pPr>
              <w:jc w:val="center"/>
              <w:rPr>
                <w:rFonts w:ascii="宋体" w:hAnsi="宋体" w:cs="宋体"/>
                <w:szCs w:val="21"/>
              </w:rPr>
            </w:pPr>
            <w:r>
              <w:rPr>
                <w:rFonts w:ascii="宋体" w:hAnsi="宋体" w:cs="宋体"/>
                <w:szCs w:val="21"/>
              </w:rPr>
            </w:r>
            <w:r/>
          </w:p>
        </w:tc>
        <w:tc>
          <w:tcPr>
            <w:tcW w:w="1116" w:type="dxa"/>
            <w:vAlign w:val="center"/>
            <w:textDirection w:val="lrTb"/>
            <w:noWrap/>
          </w:tcPr>
          <w:p>
            <w:pPr>
              <w:jc w:val="center"/>
              <w:rPr>
                <w:rFonts w:ascii="宋体" w:hAnsi="宋体" w:cs="宋体"/>
                <w:szCs w:val="21"/>
              </w:rPr>
            </w:pPr>
            <w:r>
              <w:rPr>
                <w:rFonts w:ascii="宋体" w:hAnsi="宋体" w:cs="宋体"/>
                <w:szCs w:val="21"/>
              </w:rPr>
            </w:r>
            <w:r/>
          </w:p>
        </w:tc>
        <w:tc>
          <w:tcPr>
            <w:tcW w:w="1458" w:type="dxa"/>
            <w:vAlign w:val="center"/>
            <w:textDirection w:val="lrTb"/>
            <w:noWrap/>
          </w:tcPr>
          <w:p>
            <w:pPr>
              <w:jc w:val="center"/>
              <w:rPr>
                <w:rFonts w:ascii="宋体" w:hAnsi="宋体" w:cs="宋体"/>
                <w:szCs w:val="21"/>
              </w:rPr>
            </w:pPr>
            <w:r>
              <w:rPr>
                <w:rFonts w:ascii="宋体" w:hAnsi="宋体" w:cs="宋体"/>
                <w:szCs w:val="21"/>
              </w:rPr>
            </w:r>
            <w:r/>
          </w:p>
        </w:tc>
      </w:tr>
    </w:tbl>
    <w:p>
      <w:pPr>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p>
      <w:pPr>
        <w:spacing w:line="360" w:lineRule="auto"/>
        <w:rPr>
          <w:rFonts w:ascii="宋体" w:hAnsi="宋体" w:cs="宋体"/>
          <w:szCs w:val="21"/>
        </w:rPr>
      </w:pPr>
      <w:r>
        <w:rPr>
          <w:rFonts w:hint="eastAsia" w:ascii="宋体" w:hAnsi="宋体" w:cs="宋体"/>
          <w:szCs w:val="21"/>
        </w:rPr>
        <w:t xml:space="preserve">磋商响应单位（</w:t>
      </w:r>
      <w:r>
        <w:rPr>
          <w:rFonts w:hint="eastAsia" w:ascii="宋体" w:hAnsi="宋体" w:cs="宋体"/>
        </w:rPr>
        <w:t xml:space="preserve">签章</w:t>
      </w:r>
      <w:r>
        <w:rPr>
          <w:rFonts w:hint="eastAsia" w:ascii="宋体" w:hAnsi="宋体" w:cs="宋体"/>
          <w:szCs w:val="21"/>
        </w:rPr>
        <w:t xml:space="preserve">）：  </w:t>
      </w:r>
      <w:r/>
    </w:p>
    <w:p>
      <w:pPr>
        <w:spacing w:line="360" w:lineRule="auto"/>
        <w:rPr>
          <w:rFonts w:ascii="宋体" w:hAnsi="宋体" w:cs="宋体"/>
          <w:spacing w:val="20"/>
          <w:szCs w:val="21"/>
        </w:rPr>
      </w:pPr>
      <w:r>
        <w:rPr>
          <w:rFonts w:hint="eastAsia" w:ascii="宋体" w:hAnsi="宋体" w:cs="宋体"/>
          <w:spacing w:val="20"/>
          <w:szCs w:val="21"/>
        </w:rPr>
        <w:t xml:space="preserve">日期：</w:t>
      </w:r>
      <w:r/>
    </w:p>
    <w:p>
      <w:pPr>
        <w:ind w:left="735" w:hanging="735"/>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ascii="宋体" w:hAnsi="宋体" w:cs="宋体"/>
          <w:b/>
          <w:bCs/>
          <w:szCs w:val="21"/>
          <w:lang w:val="zh-CN"/>
        </w:rPr>
      </w:r>
      <w:r/>
    </w:p>
    <w:p>
      <w:pPr>
        <w:pStyle w:val="757"/>
        <w:numPr>
          <w:ilvl w:val="2"/>
          <w:numId w:val="0"/>
        </w:numPr>
        <w:pageBreakBefore/>
        <w:rPr>
          <w:rFonts w:ascii="宋体" w:hAnsi="宋体" w:cs="宋体"/>
          <w:sz w:val="21"/>
          <w:szCs w:val="21"/>
        </w:rPr>
      </w:pPr>
      <w:r>
        <w:rPr>
          <w:rFonts w:hint="eastAsia" w:ascii="宋体" w:hAnsi="宋体" w:cs="宋体"/>
          <w:sz w:val="21"/>
          <w:szCs w:val="21"/>
        </w:rPr>
        <w:t xml:space="preserve">附件11：投入本项目设备情况</w:t>
      </w:r>
      <w:r/>
    </w:p>
    <w:p>
      <w:pPr>
        <w:jc w:val="center"/>
        <w:spacing w:line="360" w:lineRule="auto"/>
        <w:rPr>
          <w:rFonts w:ascii="宋体" w:hAnsi="宋体" w:cs="宋体"/>
          <w:b/>
          <w:szCs w:val="21"/>
        </w:rPr>
      </w:pPr>
      <w:r>
        <w:rPr>
          <w:rFonts w:hint="eastAsia" w:ascii="宋体" w:hAnsi="宋体" w:cs="宋体"/>
          <w:b/>
          <w:szCs w:val="21"/>
        </w:rPr>
        <w:t xml:space="preserve">本项目投入设备清单表</w:t>
      </w:r>
      <w:r/>
    </w:p>
    <w:p>
      <w:pPr>
        <w:spacing w:line="360" w:lineRule="auto"/>
        <w:rPr>
          <w:rFonts w:ascii="宋体" w:hAnsi="宋体" w:cs="宋体"/>
          <w:bCs/>
        </w:rPr>
      </w:pPr>
      <w:r>
        <w:rPr>
          <w:rFonts w:hint="eastAsia" w:ascii="宋体" w:hAnsi="宋体" w:cs="宋体"/>
          <w:szCs w:val="21"/>
        </w:rPr>
        <w:t xml:space="preserve">采购编号：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8"/>
        <w:gridCol w:w="1833"/>
        <w:gridCol w:w="1698"/>
        <w:gridCol w:w="1054"/>
        <w:gridCol w:w="970"/>
        <w:gridCol w:w="2489"/>
        <w:gridCol w:w="900"/>
      </w:tblGrid>
      <w:tr>
        <w:trPr>
          <w:trHeight w:val="754"/>
        </w:trPr>
        <w:tc>
          <w:tcPr>
            <w:tcW w:w="6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8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设备名称</w:t>
            </w:r>
            <w:r/>
          </w:p>
        </w:tc>
        <w:tc>
          <w:tcPr>
            <w:tcW w:w="169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品牌、型号</w:t>
            </w:r>
            <w:r/>
          </w:p>
        </w:tc>
        <w:tc>
          <w:tcPr>
            <w:tcW w:w="105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单位</w:t>
            </w:r>
            <w:r/>
          </w:p>
        </w:tc>
        <w:tc>
          <w:tcPr>
            <w:tcW w:w="97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数量</w:t>
            </w:r>
            <w:r/>
          </w:p>
        </w:tc>
        <w:tc>
          <w:tcPr>
            <w:tcW w:w="2489" w:type="dxa"/>
            <w:vAlign w:val="center"/>
            <w:textDirection w:val="lrTb"/>
            <w:noWrap w:val="false"/>
          </w:tcPr>
          <w:p>
            <w:pPr>
              <w:jc w:val="center"/>
              <w:spacing w:line="360" w:lineRule="auto"/>
              <w:rPr>
                <w:rFonts w:ascii="宋体" w:hAnsi="宋体" w:cs="宋体"/>
                <w:spacing w:val="-20"/>
                <w:szCs w:val="21"/>
              </w:rPr>
            </w:pPr>
            <w:r>
              <w:rPr>
                <w:rFonts w:hint="eastAsia" w:ascii="宋体" w:hAnsi="宋体" w:cs="宋体"/>
                <w:szCs w:val="21"/>
              </w:rPr>
              <w:t xml:space="preserve">设备性质（自有/租赁/承诺）</w:t>
            </w:r>
            <w:r/>
          </w:p>
        </w:tc>
        <w:tc>
          <w:tcPr>
            <w:tcW w:w="9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trHeight w:val="570"/>
        </w:trPr>
        <w:tc>
          <w:tcPr>
            <w:tcW w:w="6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8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9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70"/>
        </w:trPr>
        <w:tc>
          <w:tcPr>
            <w:tcW w:w="6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8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9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70"/>
        </w:trPr>
        <w:tc>
          <w:tcPr>
            <w:tcW w:w="6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8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9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70"/>
        </w:trPr>
        <w:tc>
          <w:tcPr>
            <w:tcW w:w="6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8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9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70"/>
        </w:trPr>
        <w:tc>
          <w:tcPr>
            <w:tcW w:w="6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8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9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70"/>
        </w:trPr>
        <w:tc>
          <w:tcPr>
            <w:tcW w:w="6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8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9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70"/>
        </w:trPr>
        <w:tc>
          <w:tcPr>
            <w:tcW w:w="6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8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9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70"/>
        </w:trPr>
        <w:tc>
          <w:tcPr>
            <w:tcW w:w="6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8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9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70"/>
        </w:trPr>
        <w:tc>
          <w:tcPr>
            <w:tcW w:w="6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8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9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pacing w:val="20"/>
        </w:rPr>
      </w:pPr>
      <w:r>
        <w:rPr>
          <w:rFonts w:ascii="宋体" w:hAnsi="宋体" w:cs="宋体"/>
          <w:spacing w:val="20"/>
        </w:rPr>
      </w:r>
      <w:r/>
    </w:p>
    <w:p>
      <w:pPr>
        <w:spacing w:line="360" w:lineRule="auto"/>
        <w:rPr>
          <w:rFonts w:ascii="宋体" w:hAnsi="宋体" w:cs="宋体"/>
          <w:spacing w:val="20"/>
        </w:rPr>
      </w:pPr>
      <w:r>
        <w:rPr>
          <w:rFonts w:hint="eastAsia" w:ascii="宋体" w:hAnsi="宋体" w:cs="宋体"/>
          <w:spacing w:val="20"/>
        </w:rPr>
        <w:t xml:space="preserve">磋商响应单位：（签章）</w:t>
      </w:r>
      <w:r/>
    </w:p>
    <w:p>
      <w:pPr>
        <w:spacing w:line="360" w:lineRule="auto"/>
        <w:rPr>
          <w:rFonts w:ascii="宋体" w:hAnsi="宋体" w:cs="宋体"/>
          <w:b/>
        </w:rPr>
      </w:pPr>
      <w:r>
        <w:rPr>
          <w:rFonts w:hint="eastAsia" w:ascii="宋体" w:hAnsi="宋体" w:cs="宋体"/>
          <w:spacing w:val="20"/>
        </w:rPr>
        <w:t xml:space="preserve">日期：</w:t>
      </w:r>
      <w:r/>
    </w:p>
    <w:p>
      <w:pPr>
        <w:pageBreakBefore/>
        <w:spacing w:line="360" w:lineRule="auto"/>
        <w:rPr>
          <w:rFonts w:ascii="宋体" w:hAnsi="宋体" w:cs="宋体"/>
          <w:b/>
        </w:rPr>
      </w:pPr>
      <w:r>
        <w:rPr>
          <w:rFonts w:hint="eastAsia" w:ascii="宋体" w:hAnsi="宋体" w:cs="宋体"/>
          <w:b/>
        </w:rPr>
        <w:t xml:space="preserve">附件12：类似项目</w:t>
      </w:r>
      <w:r>
        <w:rPr>
          <w:rFonts w:hint="eastAsia" w:ascii="宋体" w:hAnsi="宋体" w:cs="宋体"/>
          <w:b/>
          <w:lang w:val="zh-CN"/>
        </w:rPr>
        <w:t xml:space="preserve">业绩一览表</w:t>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spacing w:line="360" w:lineRule="auto"/>
        <w:rPr>
          <w:rFonts w:ascii="宋体" w:hAnsi="宋体" w:cs="宋体"/>
        </w:rPr>
      </w:pPr>
      <w:r>
        <w:rPr>
          <w:rFonts w:ascii="宋体" w:hAnsi="宋体" w:cs="宋体"/>
        </w:rPr>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102"/>
        <w:gridCol w:w="1785"/>
        <w:gridCol w:w="1785"/>
        <w:gridCol w:w="2122"/>
        <w:gridCol w:w="1868"/>
        <w:gridCol w:w="1032"/>
      </w:tblGrid>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64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64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合同签订日期</w:t>
            </w:r>
            <w:r/>
          </w:p>
        </w:tc>
        <w:tc>
          <w:tcPr>
            <w:tcBorders>
              <w:right w:val="single" w:color="auto" w:sz="4" w:space="0"/>
            </w:tcBorders>
            <w:tcW w:w="195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项目内容</w:t>
            </w:r>
            <w:r/>
          </w:p>
        </w:tc>
        <w:tc>
          <w:tcPr>
            <w:tcBorders>
              <w:left w:val="single" w:color="auto" w:sz="4" w:space="0"/>
              <w:right w:val="single" w:color="auto" w:sz="4" w:space="0"/>
            </w:tcBorders>
            <w:tcW w:w="17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合同金额（万元）</w:t>
            </w:r>
            <w:r/>
          </w:p>
        </w:tc>
        <w:tc>
          <w:tcPr>
            <w:tcW w:w="95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备注</w:t>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W w:w="1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w:t>
            </w:r>
            <w:r/>
          </w:p>
        </w:tc>
        <w:tc>
          <w:tcPr>
            <w:tcW w:w="1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bl>
    <w:p>
      <w:pPr>
        <w:pStyle w:val="1005"/>
        <w:spacing w:line="360" w:lineRule="auto"/>
        <w:rPr>
          <w:rFonts w:hAnsi="宋体" w:eastAsia="宋体" w:cs="宋体"/>
          <w:sz w:val="21"/>
          <w:szCs w:val="21"/>
        </w:rPr>
      </w:pPr>
      <w:r>
        <w:rPr>
          <w:rFonts w:hAnsi="宋体" w:eastAsia="宋体" w:cs="宋体"/>
          <w:sz w:val="21"/>
          <w:szCs w:val="21"/>
        </w:rPr>
      </w:r>
      <w:r/>
    </w:p>
    <w:p>
      <w:pPr>
        <w:pStyle w:val="1005"/>
        <w:spacing w:line="360" w:lineRule="auto"/>
        <w:rPr>
          <w:rFonts w:hAnsi="宋体" w:eastAsia="宋体" w:cs="宋体"/>
          <w:sz w:val="21"/>
          <w:szCs w:val="21"/>
        </w:rPr>
      </w:pPr>
      <w:r>
        <w:rPr>
          <w:rFonts w:hint="eastAsia" w:hAnsi="宋体" w:eastAsia="宋体" w:cs="宋体"/>
          <w:sz w:val="21"/>
          <w:szCs w:val="21"/>
        </w:rPr>
        <w:t xml:space="preserve">磋商响应单位（签章）：</w:t>
      </w:r>
      <w:r/>
    </w:p>
    <w:p>
      <w:pPr>
        <w:pStyle w:val="1005"/>
        <w:spacing w:line="360" w:lineRule="auto"/>
        <w:rPr>
          <w:rFonts w:hAnsi="宋体" w:eastAsia="宋体" w:cs="宋体"/>
          <w:sz w:val="21"/>
          <w:szCs w:val="21"/>
        </w:rPr>
      </w:pPr>
      <w:r>
        <w:rPr>
          <w:rFonts w:hint="eastAsia" w:hAnsi="宋体" w:eastAsia="宋体" w:cs="宋体"/>
          <w:sz w:val="21"/>
          <w:szCs w:val="21"/>
        </w:rPr>
        <w:t xml:space="preserve">日期：</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ageBreakBefore/>
        <w:spacing w:line="360" w:lineRule="auto"/>
        <w:rPr>
          <w:rFonts w:ascii="宋体" w:hAnsi="宋体" w:cs="宋体"/>
          <w:szCs w:val="21"/>
        </w:rPr>
        <w:outlineLvl w:val="1"/>
      </w:pPr>
      <w:r>
        <w:rPr>
          <w:rFonts w:hint="eastAsia" w:ascii="宋体" w:hAnsi="宋体" w:cs="宋体"/>
          <w:b/>
          <w:szCs w:val="21"/>
        </w:rPr>
        <w:t xml:space="preserve">附件13：中小企业声明函（参考格式）</w:t>
      </w:r>
      <w:r/>
    </w:p>
    <w:p>
      <w:pPr>
        <w:jc w:val="center"/>
        <w:spacing w:line="400" w:lineRule="exact"/>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rPr>
        <w:t xml:space="preserve">中小企业声明函（服务） </w:t>
      </w:r>
      <w:r/>
    </w:p>
    <w:p>
      <w:pPr>
        <w:ind w:firstLine="420"/>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本公司（或联合体）郑重声明，根据《政府采购促进中小企业发展管理办法》（财库﹝2020﹞46 号）的规定，本公司 （或联合体）参加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 </w:t>
      </w:r>
      <w:r/>
    </w:p>
    <w:p>
      <w:pPr>
        <w:ind w:firstLine="420"/>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 ……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p>
    <w:p>
      <w:pPr>
        <w:ind w:left="4200"/>
        <w:spacing w:line="360" w:lineRule="auto"/>
        <w:rPr>
          <w:rFonts w:ascii="宋体" w:hAnsi="宋体" w:cs="宋体"/>
          <w:sz w:val="32"/>
          <w:szCs w:val="32"/>
          <w:lang w:val="zh-CN"/>
        </w:rPr>
      </w:pPr>
      <w:r>
        <w:rPr>
          <w:rFonts w:hint="eastAsia" w:ascii="宋体" w:hAnsi="宋体" w:cs="宋体"/>
        </w:rPr>
        <w:t xml:space="preserve">日 期：</w:t>
      </w:r>
      <w:r/>
    </w:p>
    <w:p>
      <w:pPr>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ascii="宋体" w:hAnsi="宋体" w:cs="宋体"/>
        </w:rPr>
      </w:r>
      <w:r/>
    </w:p>
    <w:p>
      <w:pPr>
        <w:pStyle w:val="789"/>
        <w:ind w:firstLine="0"/>
        <w:spacing w:line="240" w:lineRule="auto"/>
        <w:rPr>
          <w:rFonts w:ascii="宋体" w:hAnsi="宋体" w:cs="宋体"/>
          <w:b w:val="0"/>
          <w:bCs w:val="0"/>
          <w:sz w:val="21"/>
          <w:szCs w:val="24"/>
        </w:rPr>
      </w:pPr>
      <w:r>
        <w:rPr>
          <w:rFonts w:hint="eastAsia" w:ascii="宋体" w:hAnsi="宋体" w:cs="宋体"/>
          <w:b w:val="0"/>
          <w:bCs w:val="0"/>
          <w:sz w:val="21"/>
          <w:szCs w:val="24"/>
        </w:rPr>
        <w:t xml:space="preserve">备注：1.从业人员、营业收入、资产总额填报上一年度数据，无上一年度数据的新成立企业可不填报。</w:t>
      </w:r>
      <w:r/>
    </w:p>
    <w:p>
      <w:pPr>
        <w:pStyle w:val="789"/>
        <w:ind w:firstLine="630"/>
        <w:spacing w:line="240" w:lineRule="auto"/>
        <w:rPr>
          <w:rFonts w:ascii="宋体" w:hAnsi="宋体" w:cs="宋体"/>
          <w:b w:val="0"/>
          <w:bCs w:val="0"/>
          <w:sz w:val="21"/>
          <w:szCs w:val="24"/>
        </w:rPr>
      </w:pPr>
      <w:r>
        <w:rPr>
          <w:rFonts w:hint="eastAsia" w:ascii="宋体" w:hAnsi="宋体" w:cs="宋体"/>
          <w:b w:val="0"/>
          <w:bCs w:val="0"/>
          <w:sz w:val="21"/>
          <w:szCs w:val="24"/>
        </w:rPr>
        <w:t xml:space="preserve">2.在服务采购项目中，服务由中小企业承接，即提供服务的人员为中小企业依照《中华人民共和国劳动合同法》订立劳动合同的从业人员。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789"/>
        <w:ind w:firstLine="630"/>
        <w:spacing w:line="240" w:lineRule="auto"/>
        <w:rPr>
          <w:rFonts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789"/>
        <w:ind w:firstLine="632"/>
        <w:spacing w:line="240" w:lineRule="auto"/>
        <w:rPr>
          <w:rFonts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978"/>
        <w:ind w:left="840" w:hanging="210"/>
        <w:spacing w:line="360" w:lineRule="auto"/>
        <w:rPr>
          <w:rFonts w:hAnsi="宋体" w:eastAsia="宋体" w:cs="宋体"/>
          <w:sz w:val="21"/>
          <w:szCs w:val="24"/>
          <w:lang w:val="zh-CN"/>
        </w:rPr>
      </w:pPr>
      <w:r>
        <w:rPr>
          <w:rFonts w:hint="eastAsia" w:hAnsi="宋体" w:eastAsia="宋体" w:cs="宋体"/>
          <w:sz w:val="21"/>
          <w:szCs w:val="24"/>
        </w:rPr>
        <w:t xml:space="preserve">5.成交单位为中小企业的，《中小企业声明函》将随成交结果同时公告</w:t>
      </w:r>
      <w:r>
        <w:rPr>
          <w:rFonts w:hint="eastAsia" w:hAnsi="宋体" w:eastAsia="宋体" w:cs="宋体"/>
          <w:sz w:val="21"/>
          <w:szCs w:val="24"/>
          <w:lang w:val="zh-CN"/>
        </w:rPr>
        <w:t xml:space="preserve">。</w:t>
      </w:r>
      <w:r/>
    </w:p>
    <w:p>
      <w:pPr>
        <w:pStyle w:val="978"/>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cs="宋体"/>
          <w:b/>
        </w:rPr>
      </w:pPr>
      <w:r>
        <w:rPr>
          <w:rFonts w:hint="eastAsia" w:ascii="宋体" w:hAnsi="宋体" w:cs="宋体"/>
          <w:b/>
        </w:rPr>
        <w:t xml:space="preserve">附：中小企业划型标准规定</w:t>
      </w:r>
      <w:r/>
    </w:p>
    <w:p>
      <w:pPr>
        <w:ind w:firstLine="422"/>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w:t>
      </w:r>
      <w:r>
        <w:rPr>
          <w:rFonts w:hint="eastAsia" w:ascii="宋体" w:hAnsi="宋体" w:cs="宋体"/>
        </w:rPr>
        <w:t xml:space="preserve">元及以上的为小型企业；从业人员10人以下或营业收入100万元以下的为微型企业。</w:t>
      </w:r>
      <w:r/>
    </w:p>
    <w:p>
      <w:pPr>
        <w:ind w:firstLine="422"/>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78"/>
        <w:ind w:firstLine="422"/>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从业人员300人以下的为中小微型企业。其中，从业人员100人及以上的为中型企业；从业人员10人及以上的为小型企业；从业人员10人以下的为微型企业。</w:t>
      </w:r>
      <w:r/>
    </w:p>
    <w:p>
      <w:pPr>
        <w:jc w:val="center"/>
        <w:spacing w:line="400" w:lineRule="exact"/>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rPr>
        <w:t xml:space="preserve">附件13：</w:t>
      </w:r>
      <w:r>
        <w:rPr>
          <w:rFonts w:hint="eastAsia" w:ascii="宋体" w:hAnsi="宋体" w:cs="宋体"/>
          <w:b/>
          <w:szCs w:val="21"/>
        </w:rPr>
        <w:t xml:space="preserve">残疾人福利性单位声明函</w:t>
      </w:r>
      <w:r/>
    </w:p>
    <w:p>
      <w:pPr>
        <w:jc w:val="center"/>
        <w:spacing w:line="360" w:lineRule="auto"/>
        <w:rPr>
          <w:rFonts w:ascii="宋体" w:hAnsi="宋体" w:cs="宋体"/>
          <w:b/>
          <w:spacing w:val="6"/>
          <w:szCs w:val="21"/>
        </w:rPr>
      </w:pPr>
      <w:r>
        <w:rPr>
          <w:rFonts w:ascii="宋体" w:hAnsi="宋体" w:cs="宋体"/>
          <w:b/>
          <w:spacing w:val="6"/>
          <w:szCs w:val="21"/>
        </w:rPr>
      </w:r>
      <w:r/>
    </w:p>
    <w:p>
      <w:pPr>
        <w:jc w:val="center"/>
        <w:spacing w:line="360" w:lineRule="auto"/>
        <w:rPr>
          <w:rFonts w:ascii="宋体" w:hAnsi="宋体" w:cs="宋体"/>
          <w:b/>
          <w:spacing w:val="6"/>
          <w:szCs w:val="21"/>
        </w:rPr>
      </w:pPr>
      <w:r>
        <w:rPr>
          <w:rFonts w:hint="eastAsia" w:ascii="宋体" w:hAnsi="宋体" w:cs="宋体"/>
          <w:b/>
          <w:spacing w:val="6"/>
          <w:szCs w:val="21"/>
        </w:rPr>
        <w:t xml:space="preserve">残疾人福利性单位声明函</w:t>
      </w:r>
      <w:r/>
    </w:p>
    <w:p>
      <w:pPr>
        <w:spacing w:line="360" w:lineRule="auto"/>
        <w:rPr>
          <w:rFonts w:ascii="宋体" w:hAnsi="宋体" w:cs="宋体"/>
          <w:b/>
          <w:spacing w:val="6"/>
          <w:szCs w:val="21"/>
        </w:rPr>
      </w:pPr>
      <w:r>
        <w:rPr>
          <w:rFonts w:ascii="宋体" w:hAnsi="宋体" w:cs="宋体"/>
          <w:b/>
          <w:spacing w:val="6"/>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  期：</w:t>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left="666" w:hanging="666"/>
        <w:spacing w:line="360" w:lineRule="auto"/>
        <w:rPr>
          <w:rFonts w:ascii="宋体" w:hAnsi="宋体" w:cs="宋体"/>
          <w:spacing w:val="6"/>
          <w:szCs w:val="21"/>
        </w:rPr>
      </w:pPr>
      <w:r>
        <w:rPr>
          <w:rFonts w:hint="eastAsia" w:ascii="宋体" w:hAnsi="宋体" w:cs="宋体"/>
          <w:spacing w:val="6"/>
          <w:szCs w:val="21"/>
        </w:rPr>
        <w:t xml:space="preserve">备注：1、</w:t>
      </w:r>
      <w:r>
        <w:rPr>
          <w:rFonts w:hint="eastAsia" w:ascii="宋体" w:hAnsi="宋体" w:cs="宋体"/>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pStyle w:val="777"/>
        <w:spacing w:line="360" w:lineRule="auto"/>
        <w:rPr>
          <w:rFonts w:hAnsi="宋体" w:eastAsia="宋体" w:cs="宋体"/>
          <w:b/>
          <w:sz w:val="21"/>
          <w:szCs w:val="21"/>
        </w:rPr>
      </w:pPr>
      <w:r>
        <w:rPr>
          <w:rFonts w:hAnsi="宋体" w:eastAsia="宋体" w:cs="宋体"/>
          <w:b/>
          <w:sz w:val="21"/>
          <w:szCs w:val="21"/>
        </w:rPr>
      </w:r>
      <w:r/>
    </w:p>
    <w:p>
      <w:pPr>
        <w:pStyle w:val="777"/>
        <w:spacing w:line="360" w:lineRule="auto"/>
        <w:rPr>
          <w:rFonts w:hAnsi="宋体" w:eastAsia="宋体" w:cs="宋体"/>
          <w:b/>
          <w:sz w:val="21"/>
          <w:szCs w:val="21"/>
        </w:rPr>
      </w:pPr>
      <w:r>
        <w:rPr>
          <w:rFonts w:hAnsi="宋体" w:eastAsia="宋体" w:cs="宋体"/>
          <w:b/>
          <w:sz w:val="21"/>
          <w:szCs w:val="21"/>
        </w:rPr>
      </w:r>
      <w:r/>
    </w:p>
    <w:p>
      <w:pPr>
        <w:pStyle w:val="777"/>
        <w:spacing w:line="360" w:lineRule="auto"/>
        <w:rPr>
          <w:rFonts w:hAnsi="宋体" w:eastAsia="宋体" w:cs="宋体"/>
          <w:b/>
          <w:sz w:val="21"/>
          <w:szCs w:val="21"/>
        </w:rPr>
      </w:pPr>
      <w:r>
        <w:rPr>
          <w:rFonts w:hAnsi="宋体" w:eastAsia="宋体" w:cs="宋体"/>
          <w:b/>
          <w:sz w:val="21"/>
          <w:szCs w:val="21"/>
        </w:rPr>
      </w:r>
      <w:r/>
    </w:p>
    <w:p>
      <w:pPr>
        <w:pStyle w:val="777"/>
        <w:spacing w:line="360" w:lineRule="auto"/>
        <w:rPr>
          <w:rFonts w:hAnsi="宋体" w:eastAsia="宋体" w:cs="宋体"/>
          <w:b/>
          <w:sz w:val="21"/>
          <w:szCs w:val="21"/>
        </w:rPr>
      </w:pPr>
      <w:r>
        <w:rPr>
          <w:rFonts w:hAnsi="宋体" w:eastAsia="宋体" w:cs="宋体"/>
          <w:b/>
          <w:sz w:val="21"/>
          <w:szCs w:val="21"/>
        </w:rPr>
      </w:r>
      <w:r/>
    </w:p>
    <w:p>
      <w:pPr>
        <w:pStyle w:val="777"/>
        <w:spacing w:line="360" w:lineRule="auto"/>
        <w:rPr>
          <w:rFonts w:hAnsi="宋体" w:eastAsia="宋体" w:cs="宋体"/>
          <w:b/>
          <w:sz w:val="21"/>
          <w:szCs w:val="21"/>
        </w:rPr>
      </w:pPr>
      <w:r>
        <w:rPr>
          <w:rFonts w:hAnsi="宋体" w:eastAsia="宋体" w:cs="宋体"/>
          <w:b/>
          <w:sz w:val="21"/>
          <w:szCs w:val="21"/>
        </w:rPr>
      </w:r>
      <w:r/>
    </w:p>
    <w:p>
      <w:pPr>
        <w:pStyle w:val="777"/>
        <w:spacing w:line="360" w:lineRule="auto"/>
        <w:rPr>
          <w:rFonts w:hAnsi="宋体" w:eastAsia="宋体" w:cs="宋体"/>
          <w:b/>
          <w:sz w:val="21"/>
          <w:szCs w:val="21"/>
        </w:rPr>
      </w:pPr>
      <w:r>
        <w:rPr>
          <w:rFonts w:hAnsi="宋体" w:eastAsia="宋体" w:cs="宋体"/>
          <w:b/>
          <w:sz w:val="21"/>
          <w:szCs w:val="21"/>
        </w:rPr>
      </w:r>
      <w:r/>
    </w:p>
    <w:p>
      <w:pPr>
        <w:pStyle w:val="777"/>
        <w:spacing w:line="360" w:lineRule="auto"/>
        <w:rPr>
          <w:rFonts w:hAnsi="宋体" w:eastAsia="宋体" w:cs="宋体"/>
          <w:b/>
          <w:sz w:val="21"/>
          <w:szCs w:val="21"/>
        </w:rPr>
      </w:pPr>
      <w:r>
        <w:rPr>
          <w:rFonts w:hAnsi="宋体" w:eastAsia="宋体" w:cs="宋体"/>
          <w:b/>
          <w:sz w:val="21"/>
          <w:szCs w:val="21"/>
        </w:rPr>
      </w:r>
      <w:r/>
    </w:p>
    <w:p>
      <w:pPr>
        <w:pStyle w:val="777"/>
        <w:spacing w:line="360" w:lineRule="auto"/>
        <w:rPr>
          <w:rFonts w:hAnsi="宋体" w:eastAsia="宋体" w:cs="宋体"/>
          <w:b/>
          <w:sz w:val="21"/>
          <w:szCs w:val="21"/>
        </w:rPr>
      </w:pPr>
      <w:r>
        <w:rPr>
          <w:rFonts w:hAnsi="宋体" w:eastAsia="宋体" w:cs="宋体"/>
          <w:b/>
          <w:sz w:val="21"/>
          <w:szCs w:val="21"/>
        </w:rPr>
      </w:r>
      <w:r/>
    </w:p>
    <w:p>
      <w:pPr>
        <w:pStyle w:val="777"/>
        <w:spacing w:line="360" w:lineRule="auto"/>
        <w:rPr>
          <w:rFonts w:hAnsi="宋体" w:eastAsia="宋体" w:cs="宋体"/>
          <w:b/>
          <w:sz w:val="21"/>
          <w:szCs w:val="21"/>
        </w:rPr>
      </w:pPr>
      <w:r>
        <w:rPr>
          <w:rFonts w:hAnsi="宋体" w:eastAsia="宋体" w:cs="宋体"/>
          <w:b/>
          <w:sz w:val="21"/>
          <w:szCs w:val="21"/>
        </w:rPr>
      </w:r>
      <w:r/>
    </w:p>
    <w:p>
      <w:pPr>
        <w:pStyle w:val="777"/>
        <w:spacing w:line="360" w:lineRule="auto"/>
        <w:rPr>
          <w:rFonts w:hAnsi="宋体" w:eastAsia="宋体" w:cs="宋体"/>
          <w:b/>
          <w:sz w:val="21"/>
          <w:szCs w:val="21"/>
        </w:rPr>
      </w:pPr>
      <w:r>
        <w:rPr>
          <w:rFonts w:hAnsi="宋体" w:eastAsia="宋体" w:cs="宋体"/>
          <w:b/>
          <w:sz w:val="21"/>
          <w:szCs w:val="21"/>
        </w:rPr>
      </w:r>
      <w:r/>
    </w:p>
    <w:p>
      <w:pPr>
        <w:pStyle w:val="777"/>
        <w:spacing w:line="360" w:lineRule="auto"/>
        <w:rPr>
          <w:rFonts w:hAnsi="宋体" w:eastAsia="宋体" w:cs="宋体"/>
          <w:b/>
          <w:sz w:val="21"/>
          <w:szCs w:val="21"/>
        </w:rPr>
      </w:pPr>
      <w:r>
        <w:rPr>
          <w:rFonts w:hAnsi="宋体" w:eastAsia="宋体" w:cs="宋体"/>
          <w:b/>
          <w:sz w:val="21"/>
          <w:szCs w:val="21"/>
        </w:rPr>
      </w:r>
      <w:r/>
    </w:p>
    <w:p>
      <w:pPr>
        <w:pStyle w:val="777"/>
        <w:spacing w:line="360" w:lineRule="auto"/>
        <w:rPr>
          <w:rFonts w:hAnsi="宋体" w:eastAsia="宋体" w:cs="宋体"/>
          <w:b/>
          <w:sz w:val="21"/>
          <w:szCs w:val="21"/>
        </w:rPr>
      </w:pPr>
      <w:r>
        <w:rPr>
          <w:rFonts w:hAnsi="宋体" w:eastAsia="宋体" w:cs="宋体"/>
          <w:b/>
          <w:sz w:val="21"/>
          <w:szCs w:val="21"/>
        </w:rPr>
      </w:r>
      <w:r/>
    </w:p>
    <w:p>
      <w:pPr>
        <w:pStyle w:val="777"/>
        <w:spacing w:line="360" w:lineRule="auto"/>
        <w:rPr>
          <w:rFonts w:hAnsi="宋体" w:eastAsia="宋体" w:cs="宋体"/>
          <w:b/>
          <w:sz w:val="21"/>
          <w:szCs w:val="21"/>
        </w:rPr>
      </w:pPr>
      <w:r>
        <w:rPr>
          <w:rFonts w:hAnsi="宋体" w:eastAsia="宋体" w:cs="宋体"/>
          <w:b/>
          <w:sz w:val="21"/>
          <w:szCs w:val="21"/>
        </w:rPr>
      </w:r>
      <w:r/>
    </w:p>
    <w:p>
      <w:pPr>
        <w:pStyle w:val="777"/>
        <w:spacing w:line="360" w:lineRule="auto"/>
        <w:rPr>
          <w:rFonts w:hAnsi="宋体" w:eastAsia="宋体" w:cs="宋体"/>
          <w:b/>
          <w:sz w:val="21"/>
          <w:szCs w:val="21"/>
        </w:rPr>
      </w:pPr>
      <w:r>
        <w:rPr>
          <w:rFonts w:hAnsi="宋体" w:eastAsia="宋体" w:cs="宋体"/>
          <w:b/>
          <w:sz w:val="21"/>
          <w:szCs w:val="21"/>
        </w:rPr>
      </w:r>
      <w:r/>
    </w:p>
    <w:p>
      <w:pPr>
        <w:jc w:val="left"/>
        <w:rPr>
          <w:rFonts w:ascii="宋体" w:hAnsi="宋体" w:cs="宋体"/>
          <w:szCs w:val="21"/>
        </w:rPr>
      </w:pPr>
      <w:r>
        <w:rPr>
          <w:rFonts w:hint="eastAsia" w:hAnsi="宋体" w:cs="宋体"/>
          <w:b/>
          <w:szCs w:val="21"/>
        </w:rPr>
        <w:t xml:space="preserve">附件</w:t>
      </w:r>
      <w:r>
        <w:rPr>
          <w:rFonts w:hint="eastAsia" w:hAnsi="宋体" w:cs="宋体"/>
          <w:b/>
          <w:szCs w:val="21"/>
        </w:rPr>
        <w:t xml:space="preserve">14</w:t>
      </w:r>
      <w:r>
        <w:rPr>
          <w:rFonts w:hint="eastAsia" w:hAnsi="宋体" w:cs="宋体"/>
          <w:b/>
          <w:szCs w:val="21"/>
        </w:rPr>
        <w:t xml:space="preserve">：</w:t>
      </w:r>
      <w:r>
        <w:rPr>
          <w:rFonts w:hint="eastAsia" w:ascii="宋体" w:hAnsi="宋体" w:cs="宋体"/>
          <w:b/>
          <w:szCs w:val="21"/>
        </w:rPr>
        <w:t xml:space="preserve">关于符合本国产品标准的声明函（招标编号：）</w:t>
      </w:r>
      <w:r/>
    </w:p>
    <w:p>
      <w:pPr>
        <w:pStyle w:val="795"/>
        <w:ind w:firstLine="420"/>
        <w:spacing w:before="0" w:beforeAutospacing="0" w:after="0" w:afterAutospacing="0" w:line="0" w:lineRule="atLeast"/>
        <w:rPr>
          <w:sz w:val="21"/>
          <w:szCs w:val="21"/>
        </w:rPr>
      </w:pPr>
      <w:r>
        <w:rPr>
          <w:sz w:val="21"/>
          <w:szCs w:val="21"/>
        </w:rPr>
      </w:r>
      <w:r/>
    </w:p>
    <w:p>
      <w:pPr>
        <w:pStyle w:val="795"/>
        <w:ind w:firstLine="420"/>
        <w:jc w:val="center"/>
        <w:spacing w:before="0" w:beforeAutospacing="0" w:after="0" w:afterAutospacing="0" w:line="0" w:lineRule="atLeast"/>
        <w:rPr>
          <w:b/>
          <w:sz w:val="21"/>
          <w:szCs w:val="21"/>
        </w:rPr>
      </w:pPr>
      <w:r>
        <w:rPr>
          <w:rFonts w:hint="eastAsia"/>
          <w:b/>
          <w:sz w:val="21"/>
          <w:szCs w:val="21"/>
        </w:rPr>
        <w:t xml:space="preserve">关于符合本国产品标准的声明函</w:t>
      </w:r>
      <w:r/>
    </w:p>
    <w:p>
      <w:pPr>
        <w:pStyle w:val="795"/>
        <w:ind w:firstLine="420"/>
        <w:jc w:val="center"/>
        <w:spacing w:before="0" w:beforeAutospacing="0" w:after="0" w:afterAutospacing="0" w:line="0" w:lineRule="atLeast"/>
        <w:rPr>
          <w:b/>
          <w:sz w:val="21"/>
          <w:szCs w:val="21"/>
        </w:rPr>
      </w:pPr>
      <w:r>
        <w:rPr>
          <w:b/>
          <w:sz w:val="21"/>
          <w:szCs w:val="21"/>
        </w:rPr>
      </w:r>
      <w:r/>
    </w:p>
    <w:p>
      <w:pPr>
        <w:pStyle w:val="795"/>
        <w:ind w:firstLine="420"/>
        <w:spacing w:before="0" w:beforeAutospacing="0" w:after="0" w:afterAutospacing="0" w:line="0" w:lineRule="atLeast"/>
        <w:rPr>
          <w:sz w:val="21"/>
          <w:szCs w:val="21"/>
        </w:rPr>
      </w:pPr>
      <w:r>
        <w:rPr>
          <w:rFonts w:hint="eastAsia"/>
          <w:sz w:val="21"/>
          <w:szCs w:val="21"/>
        </w:rPr>
        <w:t xml:space="preserve">本公司</w:t>
      </w:r>
      <w:r>
        <w:rPr>
          <w:rFonts w:hint="eastAsia"/>
          <w:sz w:val="21"/>
          <w:szCs w:val="21"/>
          <w:u w:val="single"/>
        </w:rPr>
        <w:t xml:space="preserve">（单位）</w:t>
      </w:r>
      <w:r>
        <w:rPr>
          <w:rFonts w:hint="eastAsia"/>
          <w:sz w:val="21"/>
          <w:szCs w:val="21"/>
        </w:rPr>
        <w:t xml:space="preserve">郑重声明，根据《国务院办公厅关于在政府采购中实施本国产品标准及相关政策的通知》（国办发〔2025〕34号）的规定，本公司</w:t>
      </w:r>
      <w:r>
        <w:rPr>
          <w:rFonts w:hint="eastAsia"/>
          <w:sz w:val="21"/>
          <w:szCs w:val="21"/>
          <w:u w:val="single"/>
        </w:rPr>
        <w:t xml:space="preserve">（单位）</w:t>
      </w:r>
      <w:r>
        <w:rPr>
          <w:rFonts w:hint="eastAsia"/>
          <w:sz w:val="21"/>
          <w:szCs w:val="21"/>
        </w:rPr>
        <w:t xml:space="preserve">提供的以下产品属于本国产品。具体情况如下：</w:t>
      </w:r>
      <w:r/>
    </w:p>
    <w:p>
      <w:pPr>
        <w:pStyle w:val="795"/>
        <w:ind w:firstLine="420"/>
        <w:spacing w:before="30" w:beforeAutospacing="0" w:after="30" w:afterAutospacing="0" w:line="0" w:lineRule="atLeast"/>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1"/>
          <w:szCs w:val="21"/>
          <w:shd w:val="clear" w:color="auto" w:fill="ffffff"/>
        </w:rPr>
        <w:t xml:space="preserve">1.</w:t>
      </w:r>
      <w:r>
        <w:rPr>
          <w:rStyle w:val="804"/>
          <w:rFonts w:hint="eastAsia"/>
          <w:i w:val="0"/>
          <w:sz w:val="21"/>
          <w:szCs w:val="21"/>
          <w:u w:val="single"/>
          <w:shd w:val="clear" w:color="auto" w:fill="ffffff"/>
        </w:rPr>
        <w:t xml:space="preserve">（产品名称1）</w:t>
      </w:r>
      <w:r>
        <w:rPr>
          <w:rStyle w:val="804"/>
          <w:rFonts w:hint="eastAsia"/>
          <w:i w:val="0"/>
          <w:sz w:val="21"/>
          <w:szCs w:val="21"/>
          <w:shd w:val="clear" w:color="auto" w:fill="ffffff"/>
          <w:vertAlign w:val="superscript"/>
        </w:rPr>
        <w:t xml:space="preserve">1</w:t>
      </w:r>
      <w:r>
        <w:rPr>
          <w:rFonts w:hint="eastAsia"/>
          <w:sz w:val="21"/>
          <w:szCs w:val="21"/>
          <w:shd w:val="clear" w:color="auto" w:fill="ffffff"/>
        </w:rPr>
        <w:t xml:space="preserve">，生产厂为</w:t>
      </w:r>
      <w:r>
        <w:rPr>
          <w:rStyle w:val="804"/>
          <w:rFonts w:hint="eastAsia"/>
          <w:i w:val="0"/>
          <w:sz w:val="21"/>
          <w:szCs w:val="21"/>
          <w:u w:val="single"/>
          <w:shd w:val="clear" w:color="auto" w:fill="ffffff"/>
        </w:rPr>
        <w:t xml:space="preserve">（厂名）</w:t>
      </w:r>
      <w:r>
        <w:rPr>
          <w:rStyle w:val="804"/>
          <w:rFonts w:hint="eastAsia"/>
          <w:i w:val="0"/>
          <w:sz w:val="21"/>
          <w:szCs w:val="21"/>
          <w:shd w:val="clear" w:color="auto" w:fill="ffffff"/>
          <w:vertAlign w:val="superscript"/>
        </w:rPr>
        <w:t xml:space="preserve">2</w:t>
      </w:r>
      <w:r>
        <w:rPr>
          <w:rFonts w:hint="eastAsia"/>
          <w:sz w:val="21"/>
          <w:szCs w:val="21"/>
          <w:shd w:val="clear" w:color="auto" w:fill="ffffff"/>
        </w:rPr>
        <w:t xml:space="preserve">，厂址为</w:t>
      </w:r>
      <w:r>
        <w:rPr>
          <w:rStyle w:val="804"/>
          <w:rFonts w:hint="eastAsia"/>
          <w:i w:val="0"/>
          <w:sz w:val="21"/>
          <w:szCs w:val="21"/>
          <w:u w:val="single"/>
          <w:shd w:val="clear" w:color="auto" w:fill="ffffff"/>
        </w:rPr>
        <w:t xml:space="preserve">（生产厂址）</w:t>
      </w:r>
      <w:r>
        <w:rPr>
          <w:rFonts w:hint="eastAsia"/>
          <w:sz w:val="21"/>
          <w:szCs w:val="21"/>
          <w:shd w:val="clear" w:color="auto" w:fill="ffffff"/>
        </w:rPr>
        <w:t xml:space="preserve">。</w:t>
      </w:r>
      <w:r>
        <w:rPr>
          <w:rStyle w:val="804"/>
          <w:rFonts w:hint="eastAsia"/>
          <w:i w:val="0"/>
          <w:sz w:val="21"/>
          <w:szCs w:val="21"/>
          <w:u w:val="single"/>
          <w:shd w:val="clear" w:color="auto" w:fill="ffffff"/>
        </w:rPr>
        <w:t xml:space="preserve">（产品名称1） </w:t>
      </w:r>
      <w:r>
        <w:rPr>
          <w:rFonts w:hint="eastAsia"/>
          <w:sz w:val="21"/>
          <w:szCs w:val="21"/>
          <w:shd w:val="clear" w:color="auto" w:fill="ffffff"/>
        </w:rPr>
        <w:t xml:space="preserve">的中国境内生产的组件成本占比≥</w:t>
      </w:r>
      <w:r>
        <w:rPr>
          <w:rStyle w:val="804"/>
          <w:rFonts w:hint="eastAsia"/>
          <w:i w:val="0"/>
          <w:sz w:val="21"/>
          <w:szCs w:val="21"/>
          <w:u w:val="single"/>
          <w:shd w:val="clear" w:color="auto" w:fill="ffffff"/>
        </w:rPr>
        <w:t xml:space="preserve">（规定比例）</w:t>
      </w:r>
      <w:r>
        <w:rPr>
          <w:rStyle w:val="804"/>
          <w:rFonts w:hint="eastAsia"/>
          <w:i w:val="0"/>
          <w:sz w:val="21"/>
          <w:szCs w:val="21"/>
          <w:shd w:val="clear" w:color="auto" w:fill="ffffff"/>
          <w:vertAlign w:val="superscript"/>
        </w:rPr>
        <w:t xml:space="preserve">3</w:t>
      </w:r>
      <w:r>
        <w:rPr>
          <w:rFonts w:hint="eastAsia"/>
          <w:sz w:val="21"/>
          <w:szCs w:val="21"/>
          <w:shd w:val="clear" w:color="auto" w:fill="ffffff"/>
        </w:rPr>
        <w:t xml:space="preserve">。</w:t>
      </w:r>
      <w:r>
        <w:rPr>
          <w:rStyle w:val="804"/>
          <w:rFonts w:hint="eastAsia"/>
          <w:i w:val="0"/>
          <w:sz w:val="21"/>
          <w:szCs w:val="21"/>
          <w:u w:val="single"/>
          <w:shd w:val="clear" w:color="auto" w:fill="ffffff"/>
        </w:rPr>
        <w:t xml:space="preserve">（产品名称1）</w:t>
      </w:r>
      <w:r>
        <w:rPr>
          <w:rFonts w:hint="eastAsia"/>
          <w:sz w:val="21"/>
          <w:szCs w:val="21"/>
          <w:shd w:val="clear" w:color="auto" w:fill="ffffff"/>
        </w:rPr>
        <w:t xml:space="preserve">的</w:t>
      </w:r>
      <w:r>
        <w:rPr>
          <w:rStyle w:val="804"/>
          <w:rFonts w:hint="eastAsia"/>
          <w:i w:val="0"/>
          <w:sz w:val="21"/>
          <w:szCs w:val="21"/>
          <w:u w:val="single"/>
          <w:shd w:val="clear" w:color="auto" w:fill="ffffff"/>
        </w:rPr>
        <w:t xml:space="preserve">（关键组件）</w:t>
      </w:r>
      <w:r>
        <w:rPr>
          <w:rStyle w:val="804"/>
          <w:rFonts w:hint="eastAsia"/>
          <w:i w:val="0"/>
          <w:sz w:val="21"/>
          <w:szCs w:val="21"/>
          <w:shd w:val="clear" w:color="auto" w:fill="ffffff"/>
          <w:vertAlign w:val="superscript"/>
        </w:rPr>
        <w:t xml:space="preserve">4</w:t>
      </w:r>
      <w:r>
        <w:rPr>
          <w:rFonts w:hint="eastAsia"/>
          <w:sz w:val="21"/>
          <w:szCs w:val="21"/>
          <w:shd w:val="clear" w:color="auto" w:fill="ffffff"/>
        </w:rPr>
        <w:t xml:space="preserve">在中国境内生产。</w:t>
      </w:r>
      <w:r>
        <w:rPr>
          <w:rStyle w:val="804"/>
          <w:rFonts w:hint="eastAsia"/>
          <w:i w:val="0"/>
          <w:sz w:val="21"/>
          <w:szCs w:val="21"/>
          <w:u w:val="single"/>
          <w:shd w:val="clear" w:color="auto" w:fill="ffffff"/>
        </w:rPr>
        <w:t xml:space="preserve">（产品名称1）</w:t>
      </w:r>
      <w:r>
        <w:rPr>
          <w:rFonts w:hint="eastAsia"/>
          <w:sz w:val="21"/>
          <w:szCs w:val="21"/>
          <w:shd w:val="clear" w:color="auto" w:fill="ffffff"/>
        </w:rPr>
        <w:t xml:space="preserve">的</w:t>
      </w:r>
      <w:r>
        <w:rPr>
          <w:rStyle w:val="804"/>
          <w:rFonts w:hint="eastAsia"/>
          <w:i w:val="0"/>
          <w:sz w:val="21"/>
          <w:szCs w:val="21"/>
          <w:u w:val="single"/>
          <w:shd w:val="clear" w:color="auto" w:fill="ffffff"/>
        </w:rPr>
        <w:t xml:space="preserve">（关键工序）</w:t>
      </w:r>
      <w:r>
        <w:rPr>
          <w:rStyle w:val="804"/>
          <w:rFonts w:hint="eastAsia"/>
          <w:i w:val="0"/>
          <w:sz w:val="21"/>
          <w:szCs w:val="21"/>
          <w:shd w:val="clear" w:color="auto" w:fill="ffffff"/>
          <w:vertAlign w:val="superscript"/>
        </w:rPr>
        <w:t xml:space="preserve">5</w:t>
      </w:r>
      <w:r>
        <w:rPr>
          <w:rFonts w:hint="eastAsia"/>
          <w:sz w:val="21"/>
          <w:szCs w:val="21"/>
          <w:shd w:val="clear" w:color="auto" w:fill="ffffff"/>
        </w:rPr>
        <w:t xml:space="preserve">在中国境内完成。</w:t>
      </w:r>
      <w:r/>
    </w:p>
    <w:p>
      <w:pPr>
        <w:pStyle w:val="795"/>
        <w:ind w:firstLine="420"/>
        <w:spacing w:before="30" w:beforeAutospacing="0" w:after="30" w:afterAutospacing="0" w:line="0" w:lineRule="atLeast"/>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1"/>
          <w:szCs w:val="21"/>
          <w:shd w:val="clear" w:color="auto" w:fill="ffffff"/>
        </w:rPr>
        <w:t xml:space="preserve">2.</w:t>
      </w:r>
      <w:r>
        <w:rPr>
          <w:rStyle w:val="804"/>
          <w:rFonts w:hint="eastAsia"/>
          <w:i w:val="0"/>
          <w:sz w:val="21"/>
          <w:szCs w:val="21"/>
          <w:u w:val="single"/>
          <w:shd w:val="clear" w:color="auto" w:fill="ffffff"/>
        </w:rPr>
        <w:t xml:space="preserve">（产品名称2）</w:t>
      </w:r>
      <w:r>
        <w:rPr>
          <w:rFonts w:hint="eastAsia"/>
          <w:sz w:val="21"/>
          <w:szCs w:val="21"/>
          <w:shd w:val="clear" w:color="auto" w:fill="ffffff"/>
        </w:rPr>
        <w:t xml:space="preserve">，生产厂为</w:t>
      </w:r>
      <w:r>
        <w:rPr>
          <w:rStyle w:val="804"/>
          <w:rFonts w:hint="eastAsia"/>
          <w:i w:val="0"/>
          <w:sz w:val="21"/>
          <w:szCs w:val="21"/>
          <w:u w:val="single"/>
          <w:shd w:val="clear" w:color="auto" w:fill="ffffff"/>
        </w:rPr>
        <w:t xml:space="preserve">（厂名）</w:t>
      </w:r>
      <w:r>
        <w:rPr>
          <w:rFonts w:hint="eastAsia"/>
          <w:sz w:val="21"/>
          <w:szCs w:val="21"/>
          <w:shd w:val="clear" w:color="auto" w:fill="ffffff"/>
        </w:rPr>
        <w:t xml:space="preserve">，厂址为</w:t>
      </w:r>
      <w:r>
        <w:rPr>
          <w:rStyle w:val="804"/>
          <w:rFonts w:hint="eastAsia"/>
          <w:i w:val="0"/>
          <w:sz w:val="21"/>
          <w:szCs w:val="21"/>
          <w:u w:val="single"/>
          <w:shd w:val="clear" w:color="auto" w:fill="ffffff"/>
        </w:rPr>
        <w:t xml:space="preserve">（生产厂址）</w:t>
      </w:r>
      <w:r>
        <w:rPr>
          <w:rFonts w:hint="eastAsia"/>
          <w:sz w:val="21"/>
          <w:szCs w:val="21"/>
          <w:shd w:val="clear" w:color="auto" w:fill="ffffff"/>
        </w:rPr>
        <w:t xml:space="preserve">。</w:t>
      </w:r>
      <w:r>
        <w:rPr>
          <w:rStyle w:val="804"/>
          <w:rFonts w:hint="eastAsia"/>
          <w:i w:val="0"/>
          <w:sz w:val="21"/>
          <w:szCs w:val="21"/>
          <w:u w:val="single"/>
          <w:shd w:val="clear" w:color="auto" w:fill="ffffff"/>
        </w:rPr>
        <w:t xml:space="preserve">（产品名称2）</w:t>
      </w:r>
      <w:r>
        <w:rPr>
          <w:rFonts w:hint="eastAsia"/>
          <w:sz w:val="21"/>
          <w:szCs w:val="21"/>
          <w:shd w:val="clear" w:color="auto" w:fill="ffffff"/>
        </w:rPr>
        <w:t xml:space="preserve">的中国境内生产的组件成本占比≥</w:t>
      </w:r>
      <w:r>
        <w:rPr>
          <w:rStyle w:val="804"/>
          <w:rFonts w:hint="eastAsia"/>
          <w:i w:val="0"/>
          <w:sz w:val="21"/>
          <w:szCs w:val="21"/>
          <w:u w:val="single"/>
          <w:shd w:val="clear" w:color="auto" w:fill="ffffff"/>
        </w:rPr>
        <w:t xml:space="preserve">（规定比例）</w:t>
      </w:r>
      <w:r>
        <w:rPr>
          <w:rFonts w:hint="eastAsia"/>
          <w:sz w:val="21"/>
          <w:szCs w:val="21"/>
          <w:shd w:val="clear" w:color="auto" w:fill="ffffff"/>
        </w:rPr>
        <w:t xml:space="preserve">。</w:t>
      </w:r>
      <w:r>
        <w:rPr>
          <w:rStyle w:val="804"/>
          <w:rFonts w:hint="eastAsia"/>
          <w:i w:val="0"/>
          <w:sz w:val="21"/>
          <w:szCs w:val="21"/>
          <w:u w:val="single"/>
          <w:shd w:val="clear" w:color="auto" w:fill="ffffff"/>
        </w:rPr>
        <w:t xml:space="preserve">（产品名称2）</w:t>
      </w:r>
      <w:r>
        <w:rPr>
          <w:rFonts w:hint="eastAsia"/>
          <w:sz w:val="21"/>
          <w:szCs w:val="21"/>
          <w:shd w:val="clear" w:color="auto" w:fill="ffffff"/>
        </w:rPr>
        <w:t xml:space="preserve">的</w:t>
      </w:r>
      <w:r>
        <w:rPr>
          <w:rStyle w:val="804"/>
          <w:rFonts w:hint="eastAsia"/>
          <w:i w:val="0"/>
          <w:sz w:val="21"/>
          <w:szCs w:val="21"/>
          <w:u w:val="single"/>
          <w:shd w:val="clear" w:color="auto" w:fill="ffffff"/>
        </w:rPr>
        <w:t xml:space="preserve">（关键组件）</w:t>
      </w:r>
      <w:r>
        <w:rPr>
          <w:rFonts w:hint="eastAsia"/>
          <w:sz w:val="21"/>
          <w:szCs w:val="21"/>
          <w:shd w:val="clear" w:color="auto" w:fill="ffffff"/>
        </w:rPr>
        <w:t xml:space="preserve">在中国境内生产。</w:t>
      </w:r>
      <w:r>
        <w:rPr>
          <w:rStyle w:val="804"/>
          <w:rFonts w:hint="eastAsia"/>
          <w:i w:val="0"/>
          <w:sz w:val="21"/>
          <w:szCs w:val="21"/>
          <w:u w:val="single"/>
          <w:shd w:val="clear" w:color="auto" w:fill="ffffff"/>
        </w:rPr>
        <w:t xml:space="preserve">（产品名称1）</w:t>
      </w:r>
      <w:r>
        <w:rPr>
          <w:rFonts w:hint="eastAsia"/>
          <w:sz w:val="21"/>
          <w:szCs w:val="21"/>
          <w:shd w:val="clear" w:color="auto" w:fill="ffffff"/>
        </w:rPr>
        <w:t xml:space="preserve">的</w:t>
      </w:r>
      <w:r>
        <w:rPr>
          <w:rStyle w:val="804"/>
          <w:rFonts w:hint="eastAsia"/>
          <w:i w:val="0"/>
          <w:sz w:val="21"/>
          <w:szCs w:val="21"/>
          <w:u w:val="single"/>
          <w:shd w:val="clear" w:color="auto" w:fill="ffffff"/>
        </w:rPr>
        <w:t xml:space="preserve">（关键工序）</w:t>
      </w:r>
      <w:r>
        <w:rPr>
          <w:rFonts w:hint="eastAsia"/>
          <w:sz w:val="21"/>
          <w:szCs w:val="21"/>
          <w:shd w:val="clear" w:color="auto" w:fill="ffffff"/>
        </w:rPr>
        <w:t xml:space="preserve">在中国境内完成。</w:t>
      </w:r>
      <w:r/>
    </w:p>
    <w:p>
      <w:pPr>
        <w:pStyle w:val="795"/>
        <w:ind w:firstLine="420"/>
        <w:spacing w:before="30" w:beforeAutospacing="0" w:after="30" w:afterAutospacing="0" w:line="0" w:lineRule="atLeast"/>
        <w:rPr>
          <w:sz w:val="21"/>
          <w:szCs w:val="21"/>
        </w:rPr>
      </w:pPr>
      <w:r>
        <w:rPr>
          <w:rFonts w:hint="eastAsia"/>
          <w:sz w:val="21"/>
          <w:szCs w:val="21"/>
          <w:shd w:val="clear" w:color="auto" w:fill="ffffff"/>
        </w:rPr>
        <w:t xml:space="preserve">……</w:t>
      </w:r>
      <w:r/>
    </w:p>
    <w:p>
      <w:pPr>
        <w:pStyle w:val="795"/>
        <w:ind w:firstLine="420"/>
        <w:spacing w:before="30" w:beforeAutospacing="0" w:after="30" w:afterAutospacing="0" w:line="0" w:lineRule="atLeast"/>
        <w:rPr>
          <w:sz w:val="21"/>
          <w:szCs w:val="21"/>
        </w:rPr>
      </w:pPr>
      <w:r>
        <w:rPr>
          <w:rFonts w:hint="eastAsia"/>
          <w:sz w:val="21"/>
          <w:szCs w:val="21"/>
          <w:shd w:val="clear" w:color="auto" w:fill="ffffff"/>
        </w:rPr>
        <w:t xml:space="preserve">本公司（单位）对上述声明内容的真实性负责。如有虚假，愿承担相应法律责任。</w:t>
      </w:r>
      <w:r/>
    </w:p>
    <w:p>
      <w:pPr>
        <w:pStyle w:val="795"/>
        <w:spacing w:before="30" w:beforeAutospacing="0" w:after="30" w:afterAutospacing="0" w:line="0" w:lineRule="atLeast"/>
        <w:rPr>
          <w:sz w:val="21"/>
          <w:szCs w:val="21"/>
        </w:rPr>
      </w:pPr>
      <w:r>
        <w:rPr>
          <w:sz w:val="21"/>
          <w:szCs w:val="21"/>
        </w:rPr>
      </w:r>
      <w:r/>
    </w:p>
    <w:p>
      <w:pPr>
        <w:pStyle w:val="795"/>
        <w:ind w:right="480" w:firstLine="3255"/>
        <w:spacing w:before="30" w:beforeAutospacing="0" w:after="30" w:afterAutospacing="0" w:line="0" w:lineRule="atLeast"/>
        <w:rPr>
          <w:sz w:val="21"/>
          <w:szCs w:val="21"/>
        </w:rPr>
      </w:pPr>
      <w:r>
        <w:rPr>
          <w:rFonts w:hint="eastAsia"/>
          <w:sz w:val="21"/>
          <w:szCs w:val="21"/>
          <w:shd w:val="clear" w:color="auto" w:fill="ffffff"/>
        </w:rPr>
        <w:t xml:space="preserve">公司（单位）名称（盖章）：　        </w:t>
      </w:r>
      <w:r/>
    </w:p>
    <w:p>
      <w:pPr>
        <w:pStyle w:val="795"/>
        <w:jc w:val="center"/>
        <w:spacing w:before="30" w:beforeAutospacing="0" w:after="30" w:afterAutospacing="0" w:line="0" w:lineRule="atLeast"/>
        <w:rPr>
          <w:sz w:val="21"/>
          <w:szCs w:val="21"/>
        </w:rPr>
      </w:pPr>
      <w:r>
        <w:rPr>
          <w:rFonts w:hint="eastAsia"/>
          <w:sz w:val="21"/>
          <w:szCs w:val="21"/>
          <w:shd w:val="clear" w:color="auto" w:fill="ffffff"/>
        </w:rPr>
        <w:t xml:space="preserve">                                日期：　   年　  月　  日         </w:t>
      </w:r>
      <w:r/>
    </w:p>
    <w:p>
      <w:pPr>
        <w:pStyle w:val="795"/>
        <w:spacing w:before="30" w:beforeAutospacing="0" w:after="30" w:afterAutospacing="0" w:line="0" w:lineRule="atLeast"/>
        <w:rPr>
          <w:sz w:val="21"/>
          <w:szCs w:val="21"/>
        </w:rPr>
      </w:pPr>
      <w:r>
        <w:rPr>
          <w:rFonts w:hint="eastAsia"/>
          <w:sz w:val="21"/>
          <w:szCs w:val="21"/>
          <w:shd w:val="clear" w:color="auto" w:fill="ffffff"/>
        </w:rPr>
        <w:t xml:space="preserve">__________________</w:t>
      </w:r>
      <w:r/>
    </w:p>
    <w:p>
      <w:pPr>
        <w:pStyle w:val="795"/>
        <w:spacing w:before="30" w:beforeAutospacing="0" w:after="30" w:afterAutospacing="0" w:line="0" w:lineRule="atLeast"/>
        <w:rPr>
          <w:sz w:val="21"/>
          <w:szCs w:val="21"/>
        </w:rPr>
      </w:pPr>
      <w:r>
        <w:rPr>
          <w:rFonts w:hint="eastAsia"/>
          <w:sz w:val="21"/>
          <w:szCs w:val="21"/>
          <w:shd w:val="clear" w:color="auto" w:fill="ffffff"/>
        </w:rPr>
        <w:t xml:space="preserve">1.产品如有型号，请在“产品名称”栏一并填写。</w:t>
      </w:r>
      <w:r/>
    </w:p>
    <w:p>
      <w:pPr>
        <w:pStyle w:val="795"/>
        <w:spacing w:before="30" w:beforeAutospacing="0" w:after="30" w:afterAutospacing="0" w:line="0" w:lineRule="atLeast"/>
        <w:rPr>
          <w:sz w:val="21"/>
          <w:szCs w:val="21"/>
        </w:rPr>
      </w:pPr>
      <w:r>
        <w:rPr>
          <w:rFonts w:hint="eastAsia"/>
          <w:sz w:val="21"/>
          <w:szCs w:val="21"/>
          <w:shd w:val="clear" w:color="auto" w:fill="ffffff"/>
        </w:rPr>
        <w:t xml:space="preserve">2.生产厂名与厂址应与生产厂营业执照载明的相关信息保持一致。</w:t>
      </w:r>
      <w:r/>
    </w:p>
    <w:p>
      <w:pPr>
        <w:pStyle w:val="795"/>
        <w:spacing w:before="30" w:beforeAutospacing="0" w:after="30" w:afterAutospacing="0" w:line="0" w:lineRule="atLeast"/>
        <w:rPr>
          <w:sz w:val="21"/>
          <w:szCs w:val="21"/>
        </w:rPr>
      </w:pPr>
      <w:r>
        <w:rPr>
          <w:rFonts w:hint="eastAsia"/>
          <w:sz w:val="21"/>
          <w:szCs w:val="21"/>
          <w:shd w:val="clear" w:color="auto" w:fill="ffffff"/>
        </w:rPr>
        <w:t xml:space="preserve">3.该产品的中国境内生产的组件成本占比相关要求实施前，“规定比例”栏可不填，下同。</w:t>
      </w:r>
      <w:r/>
    </w:p>
    <w:p>
      <w:pPr>
        <w:pStyle w:val="795"/>
        <w:spacing w:before="30" w:beforeAutospacing="0" w:after="30" w:afterAutospacing="0" w:line="0" w:lineRule="atLeast"/>
        <w:rPr>
          <w:sz w:val="21"/>
          <w:szCs w:val="21"/>
        </w:rPr>
      </w:pPr>
      <w:r>
        <w:rPr>
          <w:rFonts w:hint="eastAsia"/>
          <w:sz w:val="21"/>
          <w:szCs w:val="21"/>
          <w:shd w:val="clear" w:color="auto" w:fill="ffffff"/>
        </w:rPr>
        <w:t xml:space="preserve">4.该产品的关键组件要求实施前，“关键组件”栏可不填，下同。</w:t>
      </w:r>
      <w:r/>
    </w:p>
    <w:p>
      <w:pPr>
        <w:pStyle w:val="795"/>
        <w:spacing w:before="30" w:beforeAutospacing="0" w:after="30" w:afterAutospacing="0" w:line="0" w:lineRule="atLeast"/>
        <w:rPr>
          <w:sz w:val="21"/>
          <w:szCs w:val="21"/>
          <w:shd w:val="clear" w:color="auto" w:fill="ffffff"/>
        </w:rPr>
      </w:pPr>
      <w:r>
        <w:rPr>
          <w:rFonts w:hint="eastAsia"/>
          <w:sz w:val="21"/>
          <w:szCs w:val="21"/>
          <w:shd w:val="clear" w:color="auto" w:fill="ffffff"/>
        </w:rPr>
        <w:t xml:space="preserve">5.该产品的关键工序要求实施前，“关键工序”栏可不填，下同。</w:t>
      </w:r>
      <w:r/>
    </w:p>
    <w:p>
      <w:pPr>
        <w:pStyle w:val="777"/>
        <w:spacing w:line="360" w:lineRule="auto"/>
        <w:rPr>
          <w:rFonts w:hAnsi="宋体" w:eastAsia="宋体" w:cs="宋体"/>
          <w:b/>
          <w:sz w:val="21"/>
          <w:szCs w:val="21"/>
        </w:rPr>
      </w:pPr>
      <w:r>
        <w:rPr>
          <w:rFonts w:hint="eastAsia" w:hAnsi="宋体" w:eastAsia="宋体" w:cs="宋体"/>
          <w:sz w:val="21"/>
          <w:szCs w:val="21"/>
          <w:shd w:val="clear" w:color="auto" w:fill="ffffff"/>
        </w:rPr>
        <w:t xml:space="preserve">6.用斜线划除的地方无需填写。</w:t>
      </w:r>
      <w:r/>
    </w:p>
    <w:p>
      <w:pPr>
        <w:pStyle w:val="777"/>
        <w:spacing w:line="360" w:lineRule="auto"/>
        <w:rPr>
          <w:rFonts w:hAnsi="宋体" w:eastAsia="宋体" w:cs="宋体"/>
          <w:b/>
          <w:sz w:val="21"/>
          <w:szCs w:val="21"/>
        </w:rPr>
      </w:pPr>
      <w:r>
        <w:rPr>
          <w:rFonts w:hAnsi="宋体" w:eastAsia="宋体" w:cs="宋体"/>
          <w:b/>
          <w:sz w:val="21"/>
          <w:szCs w:val="21"/>
        </w:rPr>
      </w:r>
      <w:r/>
    </w:p>
    <w:p>
      <w:pPr>
        <w:pStyle w:val="777"/>
        <w:spacing w:line="360" w:lineRule="auto"/>
        <w:rPr>
          <w:rFonts w:hAnsi="宋体" w:eastAsia="宋体" w:cs="宋体"/>
          <w:b/>
          <w:sz w:val="21"/>
          <w:szCs w:val="21"/>
        </w:rPr>
      </w:pPr>
      <w:r>
        <w:rPr>
          <w:rFonts w:hAnsi="宋体" w:eastAsia="宋体" w:cs="宋体"/>
          <w:b/>
          <w:sz w:val="21"/>
          <w:szCs w:val="21"/>
        </w:rPr>
      </w:r>
      <w:r/>
    </w:p>
    <w:p>
      <w:pPr>
        <w:pStyle w:val="777"/>
        <w:spacing w:line="360" w:lineRule="auto"/>
        <w:rPr>
          <w:rFonts w:hAnsi="宋体" w:eastAsia="宋体" w:cs="宋体"/>
          <w:b/>
          <w:sz w:val="21"/>
          <w:szCs w:val="21"/>
        </w:rPr>
      </w:pPr>
      <w:r>
        <w:rPr>
          <w:rFonts w:hAnsi="宋体" w:eastAsia="宋体" w:cs="宋体"/>
          <w:b/>
          <w:sz w:val="21"/>
          <w:szCs w:val="21"/>
        </w:rPr>
      </w:r>
      <w:r/>
    </w:p>
    <w:p>
      <w:pPr>
        <w:pStyle w:val="777"/>
        <w:spacing w:line="360" w:lineRule="auto"/>
        <w:rPr>
          <w:rFonts w:hAnsi="宋体" w:eastAsia="宋体" w:cs="宋体"/>
          <w:b/>
          <w:sz w:val="21"/>
          <w:szCs w:val="21"/>
        </w:rPr>
      </w:pPr>
      <w:r>
        <w:rPr>
          <w:rFonts w:hAnsi="宋体" w:eastAsia="宋体" w:cs="宋体"/>
          <w:b/>
          <w:sz w:val="21"/>
          <w:szCs w:val="21"/>
        </w:rPr>
      </w:r>
      <w:r/>
    </w:p>
    <w:p>
      <w:pPr>
        <w:pStyle w:val="777"/>
        <w:spacing w:line="360" w:lineRule="auto"/>
        <w:rPr>
          <w:rFonts w:hAnsi="宋体" w:eastAsia="宋体" w:cs="宋体"/>
          <w:b/>
          <w:sz w:val="21"/>
          <w:szCs w:val="21"/>
        </w:rPr>
      </w:pPr>
      <w:r>
        <w:rPr>
          <w:rFonts w:hAnsi="宋体" w:eastAsia="宋体" w:cs="宋体"/>
          <w:b/>
          <w:sz w:val="21"/>
          <w:szCs w:val="21"/>
        </w:rPr>
      </w:r>
      <w:r/>
    </w:p>
    <w:p>
      <w:pPr>
        <w:pStyle w:val="777"/>
        <w:spacing w:line="360" w:lineRule="auto"/>
        <w:rPr>
          <w:rFonts w:hAnsi="宋体" w:eastAsia="宋体" w:cs="宋体"/>
          <w:b/>
          <w:sz w:val="21"/>
          <w:szCs w:val="21"/>
        </w:rPr>
      </w:pPr>
      <w:r>
        <w:rPr>
          <w:rFonts w:hAnsi="宋体" w:eastAsia="宋体" w:cs="宋体"/>
          <w:b/>
          <w:sz w:val="21"/>
          <w:szCs w:val="21"/>
        </w:rPr>
      </w:r>
      <w:r/>
    </w:p>
    <w:p>
      <w:pPr>
        <w:pStyle w:val="777"/>
        <w:spacing w:line="360" w:lineRule="auto"/>
        <w:rPr>
          <w:rFonts w:hAnsi="宋体" w:eastAsia="宋体" w:cs="宋体"/>
          <w:b/>
          <w:sz w:val="21"/>
          <w:szCs w:val="21"/>
        </w:rPr>
      </w:pPr>
      <w:r>
        <w:rPr>
          <w:rFonts w:hAnsi="宋体" w:eastAsia="宋体" w:cs="宋体"/>
          <w:b/>
          <w:sz w:val="21"/>
          <w:szCs w:val="21"/>
        </w:rPr>
      </w:r>
      <w:r/>
    </w:p>
    <w:p>
      <w:pPr>
        <w:pStyle w:val="777"/>
        <w:spacing w:line="360" w:lineRule="auto"/>
        <w:rPr>
          <w:rFonts w:hAnsi="宋体" w:eastAsia="宋体" w:cs="宋体"/>
          <w:b/>
          <w:sz w:val="21"/>
          <w:szCs w:val="21"/>
        </w:rPr>
      </w:pPr>
      <w:r>
        <w:rPr>
          <w:rFonts w:hAnsi="宋体" w:eastAsia="宋体" w:cs="宋体"/>
          <w:b/>
          <w:sz w:val="21"/>
          <w:szCs w:val="21"/>
        </w:rPr>
      </w:r>
      <w:r/>
    </w:p>
    <w:p>
      <w:pPr>
        <w:pStyle w:val="777"/>
        <w:spacing w:line="360" w:lineRule="auto"/>
        <w:rPr>
          <w:rFonts w:hAnsi="宋体" w:eastAsia="宋体" w:cs="宋体"/>
          <w:b/>
          <w:sz w:val="21"/>
          <w:szCs w:val="21"/>
        </w:rPr>
      </w:pPr>
      <w:r>
        <w:rPr>
          <w:rFonts w:hAnsi="宋体" w:eastAsia="宋体" w:cs="宋体"/>
          <w:b/>
          <w:sz w:val="21"/>
          <w:szCs w:val="21"/>
        </w:rPr>
      </w:r>
      <w:r/>
    </w:p>
    <w:p>
      <w:pPr>
        <w:pStyle w:val="777"/>
        <w:spacing w:line="360" w:lineRule="auto"/>
        <w:rPr>
          <w:rFonts w:hAnsi="宋体" w:eastAsia="宋体" w:cs="宋体"/>
          <w:b/>
          <w:sz w:val="21"/>
          <w:szCs w:val="21"/>
        </w:rPr>
      </w:pPr>
      <w:r>
        <w:rPr>
          <w:rFonts w:hAnsi="宋体" w:eastAsia="宋体" w:cs="宋体"/>
          <w:b/>
          <w:sz w:val="21"/>
          <w:szCs w:val="21"/>
        </w:rPr>
      </w:r>
      <w:r/>
    </w:p>
    <w:p>
      <w:pPr>
        <w:pStyle w:val="777"/>
        <w:spacing w:line="360" w:lineRule="auto"/>
        <w:rPr>
          <w:rFonts w:hAnsi="宋体" w:eastAsia="宋体" w:cs="宋体"/>
          <w:b/>
          <w:sz w:val="21"/>
          <w:szCs w:val="21"/>
        </w:rPr>
      </w:pPr>
      <w:r>
        <w:rPr>
          <w:rFonts w:hAnsi="宋体" w:eastAsia="宋体" w:cs="宋体"/>
          <w:b/>
          <w:sz w:val="21"/>
          <w:szCs w:val="21"/>
        </w:rPr>
      </w:r>
      <w:r/>
    </w:p>
    <w:p>
      <w:pPr>
        <w:pStyle w:val="777"/>
        <w:spacing w:line="360" w:lineRule="auto"/>
        <w:rPr>
          <w:rFonts w:hAnsi="宋体" w:eastAsia="宋体" w:cs="宋体"/>
          <w:b/>
          <w:sz w:val="21"/>
          <w:szCs w:val="21"/>
        </w:rPr>
      </w:pPr>
      <w:r>
        <w:rPr>
          <w:rFonts w:hAnsi="宋体" w:eastAsia="宋体" w:cs="宋体"/>
          <w:b/>
          <w:sz w:val="21"/>
          <w:szCs w:val="21"/>
        </w:rPr>
      </w:r>
      <w:r/>
    </w:p>
    <w:p>
      <w:pPr>
        <w:pStyle w:val="777"/>
        <w:spacing w:line="360" w:lineRule="auto"/>
        <w:rPr>
          <w:rFonts w:hAnsi="宋体" w:eastAsia="宋体" w:cs="宋体"/>
          <w:b/>
          <w:sz w:val="21"/>
          <w:szCs w:val="21"/>
        </w:rPr>
      </w:pPr>
      <w:r>
        <w:rPr>
          <w:rFonts w:hAnsi="宋体" w:eastAsia="宋体" w:cs="宋体"/>
          <w:b/>
          <w:sz w:val="21"/>
          <w:szCs w:val="21"/>
        </w:rPr>
      </w:r>
      <w:r/>
    </w:p>
    <w:p>
      <w:pPr>
        <w:pStyle w:val="777"/>
        <w:spacing w:line="360" w:lineRule="auto"/>
        <w:rPr>
          <w:rFonts w:hAnsi="宋体" w:eastAsia="宋体" w:cs="宋体"/>
          <w:b/>
          <w:sz w:val="21"/>
          <w:szCs w:val="21"/>
        </w:rPr>
      </w:pPr>
      <w:r>
        <w:rPr>
          <w:rFonts w:hAnsi="宋体" w:eastAsia="宋体" w:cs="宋体"/>
          <w:b/>
          <w:sz w:val="21"/>
          <w:szCs w:val="21"/>
        </w:rPr>
      </w:r>
      <w:r/>
    </w:p>
    <w:p>
      <w:pPr>
        <w:pStyle w:val="777"/>
        <w:spacing w:line="360" w:lineRule="auto"/>
        <w:rPr>
          <w:rFonts w:hAnsi="宋体" w:eastAsia="宋体" w:cs="宋体"/>
          <w:b/>
          <w:sz w:val="21"/>
          <w:szCs w:val="21"/>
        </w:rPr>
      </w:pPr>
      <w:r>
        <w:rPr>
          <w:rFonts w:hAnsi="宋体" w:eastAsia="宋体" w:cs="宋体"/>
          <w:b/>
          <w:sz w:val="21"/>
          <w:szCs w:val="21"/>
        </w:rPr>
      </w:r>
      <w:r/>
    </w:p>
    <w:p>
      <w:pPr>
        <w:pStyle w:val="777"/>
        <w:spacing w:line="360" w:lineRule="auto"/>
        <w:rPr>
          <w:rFonts w:hAnsi="宋体" w:eastAsia="宋体" w:cs="宋体"/>
          <w:b/>
          <w:sz w:val="21"/>
          <w:szCs w:val="21"/>
        </w:rPr>
      </w:pPr>
      <w:r>
        <w:rPr>
          <w:rFonts w:hAnsi="宋体" w:eastAsia="宋体" w:cs="宋体"/>
          <w:b/>
          <w:sz w:val="21"/>
          <w:szCs w:val="21"/>
        </w:rPr>
      </w:r>
      <w:r/>
    </w:p>
    <w:p>
      <w:pPr>
        <w:pStyle w:val="777"/>
        <w:spacing w:line="360" w:lineRule="auto"/>
        <w:rPr>
          <w:rFonts w:hAnsi="宋体" w:eastAsia="宋体" w:cs="宋体"/>
          <w:b/>
          <w:sz w:val="21"/>
          <w:szCs w:val="21"/>
        </w:rPr>
      </w:pPr>
      <w:r>
        <w:rPr>
          <w:rFonts w:hAnsi="宋体" w:eastAsia="宋体" w:cs="宋体"/>
          <w:b/>
          <w:sz w:val="21"/>
          <w:szCs w:val="21"/>
        </w:rPr>
      </w:r>
      <w:r/>
    </w:p>
    <w:p>
      <w:pPr>
        <w:pStyle w:val="777"/>
        <w:spacing w:line="360" w:lineRule="auto"/>
        <w:rPr>
          <w:rFonts w:hint="eastAsia" w:hAnsi="宋体" w:eastAsia="宋体" w:cs="宋体"/>
          <w:b/>
          <w:sz w:val="21"/>
          <w:szCs w:val="21"/>
        </w:rPr>
      </w:pPr>
      <w:r>
        <w:rPr>
          <w:rFonts w:hint="eastAsia" w:hAnsi="宋体" w:eastAsia="宋体" w:cs="宋体"/>
          <w:b/>
          <w:sz w:val="21"/>
          <w:szCs w:val="21"/>
        </w:rPr>
      </w:r>
      <w:r/>
    </w:p>
    <w:p>
      <w:pPr>
        <w:pStyle w:val="777"/>
        <w:spacing w:line="360" w:lineRule="auto"/>
        <w:rPr>
          <w:rFonts w:hAnsi="宋体" w:eastAsia="宋体" w:cs="宋体"/>
          <w:b/>
          <w:sz w:val="21"/>
          <w:szCs w:val="21"/>
        </w:rPr>
      </w:pPr>
      <w:r>
        <w:rPr>
          <w:rFonts w:hint="eastAsia" w:hAnsi="宋体" w:eastAsia="宋体" w:cs="宋体"/>
          <w:b/>
          <w:sz w:val="21"/>
          <w:szCs w:val="21"/>
        </w:rPr>
        <w:t xml:space="preserve">附件15：政府采购合同信用融资政策告知函（本附件无需签章放置响应文件中）</w:t>
      </w:r>
      <w:r/>
    </w:p>
    <w:p>
      <w:pPr>
        <w:jc w:val="center"/>
        <w:spacing w:line="360" w:lineRule="auto"/>
        <w:widowControl/>
        <w:rPr>
          <w:rFonts w:ascii="宋体" w:hAnsi="宋体" w:cs="宋体"/>
          <w:b/>
          <w:sz w:val="28"/>
        </w:rPr>
      </w:pPr>
      <w:r>
        <w:rPr>
          <w:rFonts w:ascii="宋体" w:hAnsi="宋体" w:cs="宋体"/>
          <w:b/>
          <w:sz w:val="28"/>
        </w:rPr>
      </w:r>
      <w:r/>
    </w:p>
    <w:p>
      <w:pPr>
        <w:jc w:val="center"/>
        <w:spacing w:line="360" w:lineRule="auto"/>
        <w:widowControl/>
        <w:rPr>
          <w:rFonts w:ascii="宋体" w:hAnsi="宋体" w:cs="宋体"/>
          <w:b/>
          <w:sz w:val="24"/>
        </w:rPr>
      </w:pPr>
      <w:r>
        <w:rPr>
          <w:rFonts w:hint="eastAsia" w:ascii="宋体" w:hAnsi="宋体" w:cs="宋体"/>
          <w:b/>
          <w:sz w:val="28"/>
        </w:rPr>
        <w:t xml:space="preserve">政府采购合同信用融资政策告知函</w:t>
      </w:r>
      <w:r/>
    </w:p>
    <w:p>
      <w:pPr>
        <w:ind w:firstLine="480"/>
        <w:spacing w:line="360" w:lineRule="auto"/>
        <w:widowControl/>
        <w:rPr>
          <w:rFonts w:ascii="宋体" w:hAnsi="宋体" w:cs="宋体"/>
          <w:sz w:val="24"/>
        </w:rPr>
      </w:pPr>
      <w:r>
        <w:rPr>
          <w:rFonts w:ascii="宋体" w:hAnsi="宋体" w:cs="宋体"/>
          <w:sz w:val="24"/>
        </w:rPr>
      </w:r>
      <w:r/>
    </w:p>
    <w:p>
      <w:pPr>
        <w:spacing w:line="360" w:lineRule="auto"/>
        <w:widowControl/>
        <w:rPr>
          <w:rFonts w:ascii="宋体" w:hAnsi="宋体" w:cs="宋体"/>
          <w:szCs w:val="21"/>
        </w:rPr>
      </w:pPr>
      <w:r>
        <w:rPr>
          <w:rFonts w:hint="eastAsia" w:ascii="宋体" w:hAnsi="宋体" w:cs="宋体"/>
          <w:szCs w:val="21"/>
        </w:rPr>
        <w:t xml:space="preserve">各政府采购供应商：</w:t>
      </w:r>
      <w:r/>
    </w:p>
    <w:p>
      <w:pPr>
        <w:ind w:firstLine="480"/>
        <w:spacing w:line="360" w:lineRule="auto"/>
        <w:widowControl/>
        <w:rPr>
          <w:rFonts w:ascii="宋体" w:hAnsi="宋体" w:cs="宋体"/>
          <w:szCs w:val="21"/>
        </w:rPr>
      </w:pPr>
      <w:r>
        <w:rPr>
          <w:rFonts w:hint="eastAsia" w:ascii="宋体" w:hAnsi="宋体" w:cs="宋体"/>
          <w:szCs w:val="21"/>
        </w:rPr>
        <w:t xml:space="preserve">欢迎贵公司参加苏州市政府采购活动！</w:t>
      </w:r>
      <w:r/>
    </w:p>
    <w:p>
      <w:pPr>
        <w:pStyle w:val="777"/>
        <w:ind w:firstLine="420"/>
        <w:spacing w:line="360" w:lineRule="auto"/>
        <w:rPr>
          <w:rFonts w:hAnsi="宋体" w:eastAsia="宋体" w:cs="宋体"/>
          <w:b/>
          <w:sz w:val="21"/>
          <w:szCs w:val="21"/>
        </w:rPr>
      </w:pPr>
      <w:r>
        <w:rPr>
          <w:rFonts w:hint="eastAsia"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777"/>
        <w:spacing w:line="360" w:lineRule="auto"/>
        <w:rPr>
          <w:rFonts w:hAnsi="宋体" w:eastAsia="宋体" w:cs="宋体"/>
          <w:b/>
          <w:sz w:val="21"/>
          <w:szCs w:val="21"/>
        </w:rPr>
      </w:pPr>
      <w:r>
        <w:rPr>
          <w:rFonts w:hAnsi="宋体" w:eastAsia="宋体" w:cs="宋体"/>
          <w:b/>
          <w:sz w:val="21"/>
          <w:szCs w:val="21"/>
        </w:rPr>
      </w:r>
      <w:r/>
    </w:p>
    <w:p>
      <w:pPr>
        <w:pStyle w:val="777"/>
        <w:spacing w:line="360" w:lineRule="auto"/>
        <w:rPr>
          <w:rFonts w:hAnsi="宋体" w:eastAsia="宋体" w:cs="宋体"/>
          <w:b/>
          <w:sz w:val="21"/>
          <w:szCs w:val="21"/>
        </w:rPr>
      </w:pPr>
      <w:r>
        <w:rPr>
          <w:rFonts w:hAnsi="宋体" w:eastAsia="宋体" w:cs="宋体"/>
          <w:b/>
          <w:sz w:val="21"/>
          <w:szCs w:val="21"/>
        </w:rPr>
      </w:r>
      <w:r/>
    </w:p>
    <w:p>
      <w:pPr>
        <w:pStyle w:val="777"/>
        <w:spacing w:line="360" w:lineRule="auto"/>
        <w:rPr>
          <w:rFonts w:hint="eastAsia" w:hAnsi="宋体" w:eastAsia="宋体" w:cs="宋体"/>
          <w:b/>
          <w:sz w:val="21"/>
          <w:szCs w:val="21"/>
        </w:rPr>
      </w:pPr>
      <w:r>
        <w:rPr>
          <w:rFonts w:hint="eastAsia" w:hAnsi="宋体" w:eastAsia="宋体" w:cs="宋体"/>
          <w:b/>
          <w:sz w:val="21"/>
          <w:szCs w:val="21"/>
        </w:rPr>
      </w:r>
      <w:r/>
    </w:p>
    <w:p>
      <w:pPr>
        <w:pStyle w:val="777"/>
        <w:spacing w:line="360" w:lineRule="auto"/>
        <w:rPr>
          <w:rFonts w:hAnsi="宋体" w:eastAsia="宋体" w:cs="宋体"/>
          <w:b/>
          <w:sz w:val="21"/>
          <w:szCs w:val="21"/>
        </w:rPr>
      </w:pPr>
      <w:r>
        <w:rPr>
          <w:rFonts w:hAnsi="宋体" w:eastAsia="宋体" w:cs="宋体"/>
          <w:b/>
          <w:sz w:val="21"/>
          <w:szCs w:val="21"/>
        </w:rPr>
      </w:r>
      <w:r/>
    </w:p>
    <w:p>
      <w:pPr>
        <w:pStyle w:val="777"/>
        <w:spacing w:line="360" w:lineRule="auto"/>
        <w:rPr>
          <w:rFonts w:hAnsi="宋体" w:eastAsia="宋体" w:cs="宋体"/>
          <w:b/>
          <w:sz w:val="21"/>
          <w:szCs w:val="21"/>
        </w:rPr>
      </w:pPr>
      <w:r>
        <w:rPr>
          <w:rFonts w:hAnsi="宋体" w:eastAsia="宋体" w:cs="宋体"/>
          <w:b/>
          <w:sz w:val="21"/>
          <w:szCs w:val="21"/>
        </w:rPr>
      </w:r>
      <w:r/>
    </w:p>
    <w:p>
      <w:pPr>
        <w:pStyle w:val="777"/>
        <w:spacing w:line="360" w:lineRule="auto"/>
        <w:rPr>
          <w:rFonts w:hAnsi="宋体" w:eastAsia="宋体" w:cs="宋体"/>
          <w:b/>
          <w:sz w:val="21"/>
          <w:szCs w:val="21"/>
        </w:rPr>
      </w:pPr>
      <w:r>
        <w:rPr>
          <w:rFonts w:hint="eastAsia" w:hAnsi="宋体" w:eastAsia="宋体" w:cs="宋体"/>
          <w:b/>
          <w:sz w:val="21"/>
          <w:szCs w:val="21"/>
        </w:rPr>
        <w:t xml:space="preserve">（全文完）</w:t>
      </w:r>
      <w:r/>
    </w:p>
    <w:p>
      <w:pPr>
        <w:pStyle w:val="777"/>
        <w:spacing w:line="360" w:lineRule="auto"/>
        <w:rPr>
          <w:rFonts w:hAnsi="宋体" w:eastAsia="宋体" w:cs="宋体"/>
          <w:b/>
          <w:sz w:val="21"/>
          <w:szCs w:val="21"/>
        </w:rPr>
      </w:pPr>
      <w:r>
        <w:rPr>
          <w:rFonts w:hAnsi="宋体" w:eastAsia="宋体" w:cs="宋体"/>
          <w:b/>
          <w:sz w:val="21"/>
          <w:szCs w:val="21"/>
        </w:rPr>
      </w:r>
      <w:r/>
    </w:p>
    <w:sectPr>
      <w:footnotePr/>
      <w:endnotePr/>
      <w:type w:val="nextPage"/>
      <w:pgSz w:w="11906" w:h="16838" w:orient="portrait"/>
      <w:pgMar w:top="1134" w:right="1134" w:bottom="1134" w:left="1134" w:header="680"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3"/>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45</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3"/>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45</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rPr>
        <w:rStyle w:val="802"/>
      </w:rPr>
      <w:framePr w:wrap="around" w:vAnchor="text" w:hAnchor="margin" w:xAlign="center" w:y="1"/>
    </w:pPr>
    <w:r>
      <w:fldChar w:fldCharType="begin"/>
    </w:r>
    <w:r>
      <w:rPr>
        <w:rStyle w:val="802"/>
      </w:rPr>
      <w:instrText xml:space="preserve">PAGE  </w:instrText>
    </w:r>
    <w:r>
      <w:fldChar w:fldCharType="end"/>
    </w:r>
    <w:r/>
  </w:p>
  <w:p>
    <w:pPr>
      <w:pStyle w:val="7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采购编号：JSZC-320508-CJZB-C2026-0044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w:t>
    </w:r>
    <w:r>
      <w:rPr>
        <w:rFonts w:ascii="宋体" w:hAnsi="宋体"/>
      </w:rPr>
      <w:t xml:space="preserve">SZCJ20</w:t>
    </w:r>
    <w:r>
      <w:rPr>
        <w:rFonts w:hint="eastAsia" w:ascii="宋体" w:hAnsi="宋体"/>
      </w:rPr>
      <w:t xml:space="preserve">16</w:t>
    </w:r>
    <w:r>
      <w:rPr>
        <w:rFonts w:ascii="宋体" w:hAnsi="宋体"/>
      </w:rPr>
      <w:t xml:space="preserve">-</w:t>
    </w:r>
    <w:r>
      <w:rPr>
        <w:rFonts w:hint="eastAsia" w:ascii="宋体" w:hAnsi="宋体"/>
      </w:rPr>
      <w:t xml:space="preserve">C</w:t>
    </w:r>
    <w:r>
      <w:rPr>
        <w:rFonts w:ascii="宋体" w:hAnsi="宋体"/>
      </w:rPr>
      <w:t xml:space="preserve">-</w:t>
    </w:r>
    <w:r>
      <w:rPr>
        <w:rFonts w:hint="eastAsia" w:ascii="宋体" w:hAnsi="宋体"/>
      </w:rPr>
      <w:t xml:space="preserve">001号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45" w:hanging="525"/>
      </w:pPr>
      <w:rPr>
        <w:rFonts w:hint="default"/>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1">
    <w:multiLevelType w:val="hybridMultilevel"/>
    <w:lvl w:ilvl="0">
      <w:start w:val="1"/>
      <w:numFmt w:val="japaneseCounting"/>
      <w:pStyle w:val="980"/>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japaneseCounting"/>
      <w:pStyle w:val="796"/>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6">
    <w:name w:val="Heading 6 Char"/>
    <w:basedOn w:val="764"/>
    <w:link w:val="760"/>
    <w:uiPriority w:val="9"/>
    <w:rPr>
      <w:rFonts w:ascii="Arial" w:hAnsi="Arial" w:eastAsia="Arial" w:cs="Arial"/>
      <w:b/>
      <w:bCs/>
      <w:sz w:val="22"/>
      <w:szCs w:val="22"/>
    </w:rPr>
  </w:style>
  <w:style w:type="character" w:styleId="747">
    <w:name w:val="Heading 7 Char"/>
    <w:basedOn w:val="764"/>
    <w:link w:val="761"/>
    <w:uiPriority w:val="9"/>
    <w:rPr>
      <w:rFonts w:ascii="Arial" w:hAnsi="Arial" w:eastAsia="Arial" w:cs="Arial"/>
      <w:b/>
      <w:bCs/>
      <w:i/>
      <w:iCs/>
      <w:sz w:val="22"/>
      <w:szCs w:val="22"/>
    </w:rPr>
  </w:style>
  <w:style w:type="character" w:styleId="748">
    <w:name w:val="Heading 8 Char"/>
    <w:basedOn w:val="764"/>
    <w:link w:val="762"/>
    <w:uiPriority w:val="9"/>
    <w:rPr>
      <w:rFonts w:ascii="Arial" w:hAnsi="Arial" w:eastAsia="Arial" w:cs="Arial"/>
      <w:i/>
      <w:iCs/>
      <w:sz w:val="22"/>
      <w:szCs w:val="22"/>
    </w:rPr>
  </w:style>
  <w:style w:type="character" w:styleId="749">
    <w:name w:val="Heading 9 Char"/>
    <w:basedOn w:val="764"/>
    <w:link w:val="763"/>
    <w:uiPriority w:val="9"/>
    <w:rPr>
      <w:rFonts w:ascii="Arial" w:hAnsi="Arial" w:eastAsia="Arial" w:cs="Arial"/>
      <w:i/>
      <w:iCs/>
      <w:sz w:val="21"/>
      <w:szCs w:val="21"/>
    </w:rPr>
  </w:style>
  <w:style w:type="character" w:styleId="750">
    <w:name w:val="Quote Char"/>
    <w:link w:val="822"/>
    <w:uiPriority w:val="29"/>
    <w:rPr>
      <w:i/>
    </w:rPr>
  </w:style>
  <w:style w:type="character" w:styleId="751">
    <w:name w:val="Intense Quote Char"/>
    <w:link w:val="824"/>
    <w:uiPriority w:val="30"/>
    <w:rPr>
      <w:i/>
    </w:rPr>
  </w:style>
  <w:style w:type="character" w:styleId="752">
    <w:name w:val="Endnote Text Char"/>
    <w:link w:val="781"/>
    <w:uiPriority w:val="99"/>
    <w:rPr>
      <w:sz w:val="20"/>
    </w:rPr>
  </w:style>
  <w:style w:type="paragraph" w:styleId="753">
    <w:name w:val="TOC Heading"/>
    <w:uiPriority w:val="39"/>
    <w:unhideWhenUsed/>
  </w:style>
  <w:style w:type="paragraph" w:styleId="754" w:default="1">
    <w:name w:val="Normal"/>
    <w:qFormat/>
    <w:pPr>
      <w:jc w:val="both"/>
      <w:widowControl w:val="off"/>
    </w:pPr>
    <w:rPr>
      <w:sz w:val="21"/>
      <w:szCs w:val="24"/>
    </w:rPr>
  </w:style>
  <w:style w:type="paragraph" w:styleId="755">
    <w:name w:val="Heading 1"/>
    <w:basedOn w:val="754"/>
    <w:next w:val="754"/>
    <w:link w:val="957"/>
    <w:qFormat/>
    <w:pPr>
      <w:keepLines/>
      <w:keepNext/>
      <w:spacing w:before="340" w:after="330" w:line="578" w:lineRule="auto"/>
      <w:outlineLvl w:val="0"/>
    </w:pPr>
    <w:rPr>
      <w:b/>
      <w:bCs/>
      <w:sz w:val="44"/>
      <w:szCs w:val="44"/>
    </w:rPr>
  </w:style>
  <w:style w:type="paragraph" w:styleId="756">
    <w:name w:val="Heading 2"/>
    <w:basedOn w:val="754"/>
    <w:next w:val="754"/>
    <w:link w:val="809"/>
    <w:qFormat/>
    <w:pPr>
      <w:keepLines/>
      <w:keepNext/>
      <w:spacing w:before="260" w:after="260" w:line="416" w:lineRule="auto"/>
      <w:outlineLvl w:val="1"/>
    </w:pPr>
    <w:rPr>
      <w:rFonts w:ascii="Cambria" w:hAnsi="Cambria"/>
      <w:b/>
      <w:bCs/>
      <w:sz w:val="32"/>
      <w:szCs w:val="32"/>
    </w:rPr>
  </w:style>
  <w:style w:type="paragraph" w:styleId="757">
    <w:name w:val="Heading 3"/>
    <w:basedOn w:val="754"/>
    <w:next w:val="754"/>
    <w:link w:val="958"/>
    <w:qFormat/>
    <w:pPr>
      <w:keepLines/>
      <w:keepNext/>
      <w:spacing w:before="260" w:after="260" w:line="416" w:lineRule="auto"/>
      <w:outlineLvl w:val="2"/>
    </w:pPr>
    <w:rPr>
      <w:b/>
      <w:bCs/>
      <w:sz w:val="32"/>
      <w:szCs w:val="32"/>
    </w:rPr>
  </w:style>
  <w:style w:type="paragraph" w:styleId="758">
    <w:name w:val="Heading 4"/>
    <w:basedOn w:val="754"/>
    <w:next w:val="754"/>
    <w:link w:val="967"/>
    <w:qFormat/>
    <w:pPr>
      <w:keepNext/>
      <w:spacing w:before="240" w:after="60"/>
      <w:outlineLvl w:val="3"/>
    </w:pPr>
    <w:rPr>
      <w:b/>
      <w:bCs/>
      <w:sz w:val="28"/>
      <w:szCs w:val="28"/>
    </w:rPr>
  </w:style>
  <w:style w:type="paragraph" w:styleId="759">
    <w:name w:val="Heading 5"/>
    <w:basedOn w:val="754"/>
    <w:next w:val="754"/>
    <w:link w:val="962"/>
    <w:qFormat/>
    <w:pPr>
      <w:spacing w:before="240" w:after="60"/>
      <w:outlineLvl w:val="4"/>
    </w:pPr>
    <w:rPr>
      <w:b/>
      <w:bCs/>
      <w:i/>
      <w:iCs/>
      <w:sz w:val="26"/>
      <w:szCs w:val="26"/>
    </w:rPr>
  </w:style>
  <w:style w:type="paragraph" w:styleId="760">
    <w:name w:val="Heading 6"/>
    <w:basedOn w:val="754"/>
    <w:next w:val="754"/>
    <w:link w:val="816"/>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link w:val="817"/>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818"/>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link w:val="819"/>
    <w:uiPriority w:val="9"/>
    <w:unhideWhenUsed/>
    <w:qFormat/>
    <w:pPr>
      <w:keepLines/>
      <w:keepNext/>
      <w:spacing w:before="320" w:after="200"/>
      <w:outlineLvl w:val="8"/>
    </w:pPr>
    <w:rPr>
      <w:rFonts w:ascii="Arial" w:hAnsi="Arial" w:eastAsia="Arial" w:cs="Arial"/>
      <w:i/>
      <w:iCs/>
      <w:szCs w:val="21"/>
    </w:rPr>
  </w:style>
  <w:style w:type="character" w:styleId="764" w:default="1">
    <w:name w:val="Default Paragraph Font"/>
    <w:uiPriority w:val="1"/>
    <w:semiHidden/>
    <w:unhideWhenUsed/>
  </w:style>
  <w:style w:type="table" w:styleId="765" w:default="1">
    <w:name w:val="Normal Table"/>
    <w:uiPriority w:val="99"/>
    <w:semiHidden/>
    <w:unhideWhenUsed/>
    <w:qFormat/>
    <w:tblPr>
      <w:tblInd w:w="0" w:type="dxa"/>
      <w:tblCellMar>
        <w:left w:w="108" w:type="dxa"/>
        <w:top w:w="0" w:type="dxa"/>
        <w:right w:w="108" w:type="dxa"/>
        <w:bottom w:w="0" w:type="dxa"/>
      </w:tblCellMar>
    </w:tblPr>
  </w:style>
  <w:style w:type="numbering" w:styleId="766" w:default="1">
    <w:name w:val="No List"/>
    <w:uiPriority w:val="99"/>
    <w:semiHidden/>
    <w:unhideWhenUsed/>
  </w:style>
  <w:style w:type="paragraph" w:styleId="767">
    <w:name w:val="toc 7"/>
    <w:basedOn w:val="754"/>
    <w:next w:val="754"/>
    <w:uiPriority w:val="39"/>
    <w:unhideWhenUsed/>
    <w:qFormat/>
    <w:pPr>
      <w:ind w:left="1701"/>
      <w:spacing w:after="57"/>
    </w:pPr>
  </w:style>
  <w:style w:type="paragraph" w:styleId="768">
    <w:name w:val="Normal Indent"/>
    <w:basedOn w:val="754"/>
    <w:next w:val="754"/>
    <w:link w:val="961"/>
    <w:qFormat/>
    <w:pPr>
      <w:ind w:firstLine="420"/>
      <w:jc w:val="left"/>
      <w:widowControl/>
    </w:pPr>
    <w:rPr>
      <w:rFonts w:eastAsia="楷体_GB2312"/>
      <w:sz w:val="24"/>
      <w:szCs w:val="20"/>
    </w:rPr>
  </w:style>
  <w:style w:type="paragraph" w:styleId="769">
    <w:name w:val="Caption"/>
    <w:basedOn w:val="754"/>
    <w:next w:val="754"/>
    <w:uiPriority w:val="35"/>
    <w:semiHidden/>
    <w:unhideWhenUsed/>
    <w:qFormat/>
    <w:pPr>
      <w:spacing w:line="276" w:lineRule="auto"/>
    </w:pPr>
    <w:rPr>
      <w:b/>
      <w:bCs/>
      <w:color w:val="4f81bd" w:themeColor="accent1"/>
      <w:sz w:val="18"/>
      <w:szCs w:val="18"/>
    </w:rPr>
  </w:style>
  <w:style w:type="paragraph" w:styleId="770">
    <w:name w:val="Document Map"/>
    <w:basedOn w:val="754"/>
    <w:semiHidden/>
    <w:qFormat/>
    <w:pPr>
      <w:shd w:val="clear" w:color="auto" w:fill="000080"/>
    </w:pPr>
  </w:style>
  <w:style w:type="paragraph" w:styleId="771">
    <w:name w:val="annotation text"/>
    <w:basedOn w:val="754"/>
    <w:link w:val="975"/>
    <w:uiPriority w:val="99"/>
    <w:qFormat/>
    <w:pPr>
      <w:jc w:val="left"/>
    </w:pPr>
  </w:style>
  <w:style w:type="paragraph" w:styleId="772">
    <w:name w:val="Body Text"/>
    <w:basedOn w:val="754"/>
    <w:qFormat/>
    <w:pPr>
      <w:spacing w:after="120"/>
    </w:pPr>
  </w:style>
  <w:style w:type="paragraph" w:styleId="773">
    <w:name w:val="Body Text Indent"/>
    <w:basedOn w:val="754"/>
    <w:link w:val="1004"/>
    <w:qFormat/>
    <w:pPr>
      <w:ind w:left="420"/>
      <w:spacing w:after="120"/>
    </w:pPr>
  </w:style>
  <w:style w:type="paragraph" w:styleId="774">
    <w:name w:val="Block Text"/>
    <w:basedOn w:val="755"/>
    <w:next w:val="754"/>
    <w:qFormat/>
    <w:pPr>
      <w:ind w:left="630" w:right="-609" w:firstLine="420"/>
      <w:spacing w:line="360" w:lineRule="auto"/>
    </w:pPr>
    <w:rPr>
      <w:rFonts w:hint="eastAsia" w:ascii="仿宋_GB2312" w:eastAsia="仿宋_GB2312"/>
      <w:szCs w:val="20"/>
    </w:rPr>
  </w:style>
  <w:style w:type="paragraph" w:styleId="775">
    <w:name w:val="toc 5"/>
    <w:basedOn w:val="754"/>
    <w:next w:val="754"/>
    <w:uiPriority w:val="39"/>
    <w:unhideWhenUsed/>
    <w:qFormat/>
    <w:pPr>
      <w:ind w:left="1134"/>
      <w:spacing w:after="57"/>
    </w:pPr>
  </w:style>
  <w:style w:type="paragraph" w:styleId="776">
    <w:name w:val="toc 3"/>
    <w:basedOn w:val="754"/>
    <w:next w:val="754"/>
    <w:uiPriority w:val="39"/>
    <w:unhideWhenUsed/>
    <w:qFormat/>
    <w:pPr>
      <w:ind w:left="567"/>
      <w:spacing w:after="57"/>
    </w:pPr>
  </w:style>
  <w:style w:type="paragraph" w:styleId="777">
    <w:name w:val="Plain Text"/>
    <w:basedOn w:val="754"/>
    <w:link w:val="960"/>
    <w:qFormat/>
    <w:pPr>
      <w:jc w:val="left"/>
      <w:widowControl/>
    </w:pPr>
    <w:rPr>
      <w:rFonts w:ascii="宋体" w:hAnsi="Courier New" w:eastAsia="楷体_GB2312"/>
      <w:sz w:val="26"/>
    </w:rPr>
  </w:style>
  <w:style w:type="paragraph" w:styleId="778">
    <w:name w:val="toc 8"/>
    <w:basedOn w:val="754"/>
    <w:next w:val="754"/>
    <w:uiPriority w:val="39"/>
    <w:unhideWhenUsed/>
    <w:qFormat/>
    <w:pPr>
      <w:ind w:left="1984"/>
      <w:spacing w:after="57"/>
    </w:pPr>
  </w:style>
  <w:style w:type="paragraph" w:styleId="779">
    <w:name w:val="Date"/>
    <w:basedOn w:val="754"/>
    <w:next w:val="754"/>
    <w:link w:val="976"/>
    <w:qFormat/>
    <w:pPr>
      <w:ind w:left="100"/>
    </w:pPr>
    <w:rPr>
      <w:sz w:val="36"/>
      <w:szCs w:val="20"/>
    </w:rPr>
  </w:style>
  <w:style w:type="paragraph" w:styleId="780">
    <w:name w:val="Body Text Indent 2"/>
    <w:basedOn w:val="754"/>
    <w:qFormat/>
    <w:pPr>
      <w:ind w:left="420"/>
      <w:spacing w:after="120" w:line="480" w:lineRule="auto"/>
    </w:pPr>
  </w:style>
  <w:style w:type="paragraph" w:styleId="781">
    <w:name w:val="endnote text"/>
    <w:basedOn w:val="754"/>
    <w:link w:val="955"/>
    <w:uiPriority w:val="99"/>
    <w:semiHidden/>
    <w:unhideWhenUsed/>
    <w:qFormat/>
    <w:rPr>
      <w:sz w:val="20"/>
    </w:rPr>
  </w:style>
  <w:style w:type="paragraph" w:styleId="782">
    <w:name w:val="Balloon Text"/>
    <w:basedOn w:val="754"/>
    <w:semiHidden/>
    <w:qFormat/>
    <w:rPr>
      <w:sz w:val="18"/>
      <w:szCs w:val="18"/>
    </w:rPr>
  </w:style>
  <w:style w:type="paragraph" w:styleId="783">
    <w:name w:val="Footer"/>
    <w:basedOn w:val="754"/>
    <w:link w:val="965"/>
    <w:qFormat/>
    <w:pPr>
      <w:jc w:val="left"/>
      <w:tabs>
        <w:tab w:val="center" w:pos="4153" w:leader="none"/>
        <w:tab w:val="right" w:pos="8306" w:leader="none"/>
      </w:tabs>
    </w:pPr>
    <w:rPr>
      <w:sz w:val="18"/>
      <w:szCs w:val="18"/>
    </w:rPr>
  </w:style>
  <w:style w:type="paragraph" w:styleId="784">
    <w:name w:val="envelope return"/>
    <w:basedOn w:val="754"/>
    <w:qFormat/>
    <w:rPr>
      <w:rFonts w:ascii="Arial" w:hAnsi="Arial" w:eastAsia="楷体_GB2312"/>
      <w:sz w:val="26"/>
      <w:szCs w:val="20"/>
    </w:rPr>
  </w:style>
  <w:style w:type="paragraph" w:styleId="785">
    <w:name w:val="Header"/>
    <w:basedOn w:val="754"/>
    <w:link w:val="971"/>
    <w:uiPriority w:val="99"/>
    <w:qFormat/>
    <w:pPr>
      <w:jc w:val="center"/>
      <w:tabs>
        <w:tab w:val="center" w:pos="4153" w:leader="none"/>
        <w:tab w:val="right" w:pos="8306" w:leader="none"/>
      </w:tabs>
      <w:pBdr>
        <w:bottom w:val="single" w:color="auto" w:sz="6" w:space="1"/>
      </w:pBdr>
    </w:pPr>
    <w:rPr>
      <w:sz w:val="18"/>
      <w:szCs w:val="18"/>
    </w:rPr>
  </w:style>
  <w:style w:type="paragraph" w:styleId="786">
    <w:name w:val="toc 1"/>
    <w:basedOn w:val="754"/>
    <w:next w:val="754"/>
    <w:semiHidden/>
    <w:qFormat/>
    <w:pPr>
      <w:jc w:val="left"/>
    </w:pPr>
    <w:rPr>
      <w:rFonts w:eastAsia="楷体_GB2312"/>
      <w:sz w:val="24"/>
      <w:szCs w:val="20"/>
    </w:rPr>
  </w:style>
  <w:style w:type="paragraph" w:styleId="787">
    <w:name w:val="toc 4"/>
    <w:basedOn w:val="754"/>
    <w:next w:val="754"/>
    <w:uiPriority w:val="39"/>
    <w:unhideWhenUsed/>
    <w:qFormat/>
    <w:pPr>
      <w:ind w:left="850"/>
      <w:spacing w:after="57"/>
    </w:pPr>
  </w:style>
  <w:style w:type="paragraph" w:styleId="788">
    <w:name w:val="Subtitle"/>
    <w:basedOn w:val="754"/>
    <w:next w:val="754"/>
    <w:qFormat/>
    <w:pPr>
      <w:jc w:val="center"/>
      <w:spacing w:before="240" w:after="60" w:line="312" w:lineRule="auto"/>
      <w:outlineLvl w:val="1"/>
    </w:pPr>
    <w:rPr>
      <w:rFonts w:ascii="宋体" w:hAnsi="Courier New" w:eastAsia="楷体_GB2312"/>
      <w:sz w:val="26"/>
      <w:szCs w:val="20"/>
    </w:rPr>
  </w:style>
  <w:style w:type="paragraph" w:styleId="789">
    <w:name w:val="footnote text"/>
    <w:basedOn w:val="755"/>
    <w:next w:val="774"/>
    <w:qFormat/>
    <w:pPr>
      <w:ind w:firstLine="3584"/>
      <w:spacing w:before="0" w:after="0" w:line="360" w:lineRule="auto"/>
    </w:pPr>
  </w:style>
  <w:style w:type="paragraph" w:styleId="790">
    <w:name w:val="toc 6"/>
    <w:basedOn w:val="754"/>
    <w:next w:val="754"/>
    <w:uiPriority w:val="39"/>
    <w:unhideWhenUsed/>
    <w:qFormat/>
    <w:pPr>
      <w:ind w:left="1417"/>
      <w:spacing w:after="57"/>
    </w:pPr>
  </w:style>
  <w:style w:type="paragraph" w:styleId="791">
    <w:name w:val="Body Text Indent 3"/>
    <w:basedOn w:val="754"/>
    <w:qFormat/>
    <w:pPr>
      <w:ind w:firstLine="480"/>
      <w:jc w:val="left"/>
      <w:spacing w:line="440" w:lineRule="atLeast"/>
    </w:pPr>
    <w:rPr>
      <w:sz w:val="24"/>
    </w:rPr>
  </w:style>
  <w:style w:type="paragraph" w:styleId="792">
    <w:name w:val="table of figures"/>
    <w:basedOn w:val="754"/>
    <w:next w:val="754"/>
    <w:uiPriority w:val="99"/>
    <w:unhideWhenUsed/>
    <w:qFormat/>
  </w:style>
  <w:style w:type="paragraph" w:styleId="793">
    <w:name w:val="toc 2"/>
    <w:basedOn w:val="754"/>
    <w:next w:val="754"/>
    <w:uiPriority w:val="39"/>
    <w:unhideWhenUsed/>
    <w:qFormat/>
    <w:pPr>
      <w:ind w:left="283"/>
      <w:spacing w:after="57"/>
    </w:pPr>
  </w:style>
  <w:style w:type="paragraph" w:styleId="794">
    <w:name w:val="toc 9"/>
    <w:basedOn w:val="754"/>
    <w:next w:val="754"/>
    <w:uiPriority w:val="39"/>
    <w:unhideWhenUsed/>
    <w:qFormat/>
    <w:pPr>
      <w:ind w:left="2268"/>
      <w:spacing w:after="57"/>
    </w:pPr>
  </w:style>
  <w:style w:type="paragraph" w:styleId="795">
    <w:name w:val="Normal (Web)"/>
    <w:basedOn w:val="754"/>
    <w:qFormat/>
    <w:pPr>
      <w:jc w:val="left"/>
      <w:spacing w:before="100" w:beforeAutospacing="1" w:after="100" w:afterAutospacing="1"/>
      <w:widowControl/>
    </w:pPr>
    <w:rPr>
      <w:rFonts w:ascii="宋体" w:hAnsi="宋体" w:cs="宋体"/>
      <w:sz w:val="24"/>
    </w:rPr>
  </w:style>
  <w:style w:type="paragraph" w:styleId="796">
    <w:name w:val="Title"/>
    <w:basedOn w:val="754"/>
    <w:link w:val="968"/>
    <w:qFormat/>
    <w:pPr>
      <w:numPr>
        <w:numId w:val="1"/>
      </w:numPr>
      <w:jc w:val="center"/>
      <w:spacing w:before="240" w:after="60"/>
      <w:tabs>
        <w:tab w:val="left" w:pos="432" w:leader="none"/>
      </w:tabs>
      <w:outlineLvl w:val="0"/>
    </w:pPr>
    <w:rPr>
      <w:rFonts w:ascii="Arial" w:hAnsi="Arial"/>
      <w:b/>
      <w:bCs/>
      <w:sz w:val="32"/>
      <w:szCs w:val="32"/>
    </w:rPr>
  </w:style>
  <w:style w:type="paragraph" w:styleId="797">
    <w:name w:val="annotation subject"/>
    <w:basedOn w:val="771"/>
    <w:next w:val="771"/>
    <w:semiHidden/>
    <w:qFormat/>
    <w:rPr>
      <w:b/>
      <w:bCs/>
    </w:rPr>
  </w:style>
  <w:style w:type="paragraph" w:styleId="798">
    <w:name w:val="Body Text First Indent 2"/>
    <w:basedOn w:val="773"/>
    <w:qFormat/>
    <w:pPr>
      <w:ind w:firstLine="420"/>
    </w:pPr>
  </w:style>
  <w:style w:type="table" w:styleId="799">
    <w:name w:val="Table Grid"/>
    <w:basedOn w:val="765"/>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0">
    <w:name w:val="Strong"/>
    <w:basedOn w:val="764"/>
    <w:qFormat/>
    <w:rPr>
      <w:b/>
      <w:bCs/>
    </w:rPr>
  </w:style>
  <w:style w:type="character" w:styleId="801">
    <w:name w:val="endnote reference"/>
    <w:basedOn w:val="764"/>
    <w:uiPriority w:val="99"/>
    <w:semiHidden/>
    <w:unhideWhenUsed/>
    <w:qFormat/>
    <w:rPr>
      <w:vertAlign w:val="superscript"/>
    </w:rPr>
  </w:style>
  <w:style w:type="character" w:styleId="802">
    <w:name w:val="page number"/>
    <w:basedOn w:val="764"/>
    <w:qFormat/>
  </w:style>
  <w:style w:type="character" w:styleId="803">
    <w:name w:val="FollowedHyperlink"/>
    <w:basedOn w:val="764"/>
    <w:semiHidden/>
    <w:unhideWhenUsed/>
    <w:qFormat/>
    <w:rPr>
      <w:color w:val="333333"/>
      <w:u w:val="none"/>
    </w:rPr>
  </w:style>
  <w:style w:type="character" w:styleId="804">
    <w:name w:val="Emphasis"/>
    <w:qFormat/>
    <w:rPr>
      <w:i/>
      <w:iCs/>
    </w:rPr>
  </w:style>
  <w:style w:type="character" w:styleId="805">
    <w:name w:val="Hyperlink"/>
    <w:qFormat/>
    <w:rPr>
      <w:color w:val="000000"/>
      <w:u w:val="none"/>
    </w:rPr>
  </w:style>
  <w:style w:type="character" w:styleId="806">
    <w:name w:val="annotation reference"/>
    <w:uiPriority w:val="99"/>
    <w:qFormat/>
    <w:rPr>
      <w:sz w:val="21"/>
      <w:szCs w:val="21"/>
    </w:rPr>
  </w:style>
  <w:style w:type="character" w:styleId="807">
    <w:name w:val="footnote reference"/>
    <w:basedOn w:val="764"/>
    <w:uiPriority w:val="99"/>
    <w:unhideWhenUsed/>
    <w:qFormat/>
    <w:rPr>
      <w:vertAlign w:val="superscript"/>
    </w:rPr>
  </w:style>
  <w:style w:type="paragraph" w:styleId="808" w:customStyle="1">
    <w:name w:val="首行缩进"/>
    <w:basedOn w:val="754"/>
    <w:qFormat/>
    <w:pPr>
      <w:ind w:firstLine="480"/>
      <w:jc w:val="left"/>
      <w:spacing w:line="360" w:lineRule="auto"/>
    </w:pPr>
    <w:rPr>
      <w:rFonts w:ascii="宋体" w:hAnsi="宋体"/>
      <w:sz w:val="24"/>
    </w:rPr>
  </w:style>
  <w:style w:type="character" w:styleId="809" w:customStyle="1">
    <w:name w:val="标题 2 Char"/>
    <w:link w:val="756"/>
    <w:qFormat/>
    <w:rPr>
      <w:rFonts w:ascii="Cambria" w:hAnsi="Cambria"/>
      <w:b/>
      <w:bCs/>
      <w:sz w:val="32"/>
      <w:szCs w:val="32"/>
    </w:rPr>
  </w:style>
  <w:style w:type="paragraph" w:styleId="810" w:customStyle="1">
    <w:name w:val="段"/>
    <w:next w:val="754"/>
    <w:qFormat/>
    <w:pPr>
      <w:ind w:firstLine="200"/>
      <w:jc w:val="both"/>
    </w:pPr>
    <w:rPr>
      <w:rFonts w:ascii="宋体"/>
      <w:sz w:val="21"/>
    </w:rPr>
  </w:style>
  <w:style w:type="character" w:styleId="811" w:customStyle="1">
    <w:name w:val="Heading 1 Char"/>
    <w:basedOn w:val="764"/>
    <w:uiPriority w:val="9"/>
    <w:qFormat/>
    <w:rPr>
      <w:rFonts w:ascii="Arial" w:hAnsi="Arial" w:eastAsia="Arial" w:cs="Arial"/>
      <w:sz w:val="40"/>
      <w:szCs w:val="40"/>
    </w:rPr>
  </w:style>
  <w:style w:type="character" w:styleId="812" w:customStyle="1">
    <w:name w:val="Heading 2 Char"/>
    <w:basedOn w:val="764"/>
    <w:uiPriority w:val="9"/>
    <w:qFormat/>
    <w:rPr>
      <w:rFonts w:ascii="Arial" w:hAnsi="Arial" w:eastAsia="Arial" w:cs="Arial"/>
      <w:sz w:val="34"/>
    </w:rPr>
  </w:style>
  <w:style w:type="character" w:styleId="813" w:customStyle="1">
    <w:name w:val="Heading 3 Char"/>
    <w:basedOn w:val="764"/>
    <w:uiPriority w:val="9"/>
    <w:qFormat/>
    <w:rPr>
      <w:rFonts w:ascii="Arial" w:hAnsi="Arial" w:eastAsia="Arial" w:cs="Arial"/>
      <w:sz w:val="30"/>
      <w:szCs w:val="30"/>
    </w:rPr>
  </w:style>
  <w:style w:type="character" w:styleId="814" w:customStyle="1">
    <w:name w:val="Heading 4 Char"/>
    <w:basedOn w:val="764"/>
    <w:uiPriority w:val="9"/>
    <w:qFormat/>
    <w:rPr>
      <w:rFonts w:ascii="Arial" w:hAnsi="Arial" w:eastAsia="Arial" w:cs="Arial"/>
      <w:b/>
      <w:bCs/>
      <w:sz w:val="26"/>
      <w:szCs w:val="26"/>
    </w:rPr>
  </w:style>
  <w:style w:type="character" w:styleId="815" w:customStyle="1">
    <w:name w:val="Heading 5 Char"/>
    <w:basedOn w:val="764"/>
    <w:uiPriority w:val="9"/>
    <w:qFormat/>
    <w:rPr>
      <w:rFonts w:ascii="Arial" w:hAnsi="Arial" w:eastAsia="Arial" w:cs="Arial"/>
      <w:b/>
      <w:bCs/>
      <w:sz w:val="24"/>
      <w:szCs w:val="24"/>
    </w:rPr>
  </w:style>
  <w:style w:type="character" w:styleId="816" w:customStyle="1">
    <w:name w:val="标题 6 Char"/>
    <w:basedOn w:val="764"/>
    <w:link w:val="760"/>
    <w:uiPriority w:val="9"/>
    <w:qFormat/>
    <w:rPr>
      <w:rFonts w:ascii="Arial" w:hAnsi="Arial" w:eastAsia="Arial" w:cs="Arial"/>
      <w:b/>
      <w:bCs/>
      <w:sz w:val="22"/>
      <w:szCs w:val="22"/>
    </w:rPr>
  </w:style>
  <w:style w:type="character" w:styleId="817" w:customStyle="1">
    <w:name w:val="标题 7 Char"/>
    <w:basedOn w:val="764"/>
    <w:link w:val="761"/>
    <w:uiPriority w:val="9"/>
    <w:qFormat/>
    <w:rPr>
      <w:rFonts w:ascii="Arial" w:hAnsi="Arial" w:eastAsia="Arial" w:cs="Arial"/>
      <w:b/>
      <w:bCs/>
      <w:i/>
      <w:iCs/>
      <w:sz w:val="22"/>
      <w:szCs w:val="22"/>
    </w:rPr>
  </w:style>
  <w:style w:type="character" w:styleId="818" w:customStyle="1">
    <w:name w:val="标题 8 Char"/>
    <w:basedOn w:val="764"/>
    <w:link w:val="762"/>
    <w:uiPriority w:val="9"/>
    <w:qFormat/>
    <w:rPr>
      <w:rFonts w:ascii="Arial" w:hAnsi="Arial" w:eastAsia="Arial" w:cs="Arial"/>
      <w:i/>
      <w:iCs/>
      <w:sz w:val="22"/>
      <w:szCs w:val="22"/>
    </w:rPr>
  </w:style>
  <w:style w:type="character" w:styleId="819" w:customStyle="1">
    <w:name w:val="标题 9 Char"/>
    <w:basedOn w:val="764"/>
    <w:link w:val="763"/>
    <w:uiPriority w:val="9"/>
    <w:qFormat/>
    <w:rPr>
      <w:rFonts w:ascii="Arial" w:hAnsi="Arial" w:eastAsia="Arial" w:cs="Arial"/>
      <w:i/>
      <w:iCs/>
      <w:sz w:val="21"/>
      <w:szCs w:val="21"/>
    </w:rPr>
  </w:style>
  <w:style w:type="character" w:styleId="820" w:customStyle="1">
    <w:name w:val="Title Char"/>
    <w:basedOn w:val="764"/>
    <w:uiPriority w:val="10"/>
    <w:qFormat/>
    <w:rPr>
      <w:sz w:val="48"/>
      <w:szCs w:val="48"/>
    </w:rPr>
  </w:style>
  <w:style w:type="character" w:styleId="821" w:customStyle="1">
    <w:name w:val="Subtitle Char"/>
    <w:basedOn w:val="764"/>
    <w:uiPriority w:val="11"/>
    <w:qFormat/>
    <w:rPr>
      <w:sz w:val="24"/>
      <w:szCs w:val="24"/>
    </w:rPr>
  </w:style>
  <w:style w:type="paragraph" w:styleId="822">
    <w:name w:val="Quote"/>
    <w:basedOn w:val="754"/>
    <w:next w:val="754"/>
    <w:link w:val="823"/>
    <w:uiPriority w:val="29"/>
    <w:qFormat/>
    <w:pPr>
      <w:ind w:left="720" w:right="720"/>
    </w:pPr>
    <w:rPr>
      <w:i/>
    </w:rPr>
  </w:style>
  <w:style w:type="character" w:styleId="823" w:customStyle="1">
    <w:name w:val="引用 Char"/>
    <w:link w:val="822"/>
    <w:uiPriority w:val="29"/>
    <w:qFormat/>
    <w:rPr>
      <w:i/>
    </w:rPr>
  </w:style>
  <w:style w:type="paragraph" w:styleId="824">
    <w:name w:val="Intense Quote"/>
    <w:basedOn w:val="754"/>
    <w:next w:val="754"/>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Char"/>
    <w:link w:val="824"/>
    <w:uiPriority w:val="30"/>
    <w:qFormat/>
    <w:rPr>
      <w:i/>
    </w:rPr>
  </w:style>
  <w:style w:type="character" w:styleId="826" w:customStyle="1">
    <w:name w:val="Header Char"/>
    <w:basedOn w:val="764"/>
    <w:uiPriority w:val="99"/>
    <w:qFormat/>
  </w:style>
  <w:style w:type="character" w:styleId="827" w:customStyle="1">
    <w:name w:val="Footer Char"/>
    <w:basedOn w:val="764"/>
    <w:uiPriority w:val="99"/>
    <w:qFormat/>
  </w:style>
  <w:style w:type="character" w:styleId="828" w:customStyle="1">
    <w:name w:val="Caption Char"/>
    <w:uiPriority w:val="99"/>
    <w:qFormat/>
  </w:style>
  <w:style w:type="table" w:styleId="829" w:customStyle="1">
    <w:name w:val="Table Grid Light"/>
    <w:basedOn w:val="765"/>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0" w:customStyle="1">
    <w:name w:val="Plain Table 1"/>
    <w:basedOn w:val="765"/>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2"/>
    <w:basedOn w:val="765"/>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3"/>
    <w:basedOn w:val="76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Plain Table 4"/>
    <w:basedOn w:val="76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Plain Table 5"/>
    <w:basedOn w:val="76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Grid Table 1 Light"/>
    <w:basedOn w:val="765"/>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1"/>
    <w:basedOn w:val="765"/>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basedOn w:val="765"/>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basedOn w:val="765"/>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basedOn w:val="765"/>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basedOn w:val="765"/>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basedOn w:val="765"/>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2" w:customStyle="1">
    <w:name w:val="Grid Table 2"/>
    <w:basedOn w:val="765"/>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3" w:customStyle="1">
    <w:name w:val="Grid Table 2 - Accent 1"/>
    <w:basedOn w:val="765"/>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basedOn w:val="765"/>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basedOn w:val="765"/>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basedOn w:val="765"/>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basedOn w:val="765"/>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Grid Table 2 - Accent 6"/>
    <w:basedOn w:val="765"/>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Grid Table 3"/>
    <w:basedOn w:val="765"/>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1"/>
    <w:basedOn w:val="765"/>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2"/>
    <w:basedOn w:val="765"/>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3"/>
    <w:basedOn w:val="765"/>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4"/>
    <w:basedOn w:val="765"/>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5"/>
    <w:basedOn w:val="765"/>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6"/>
    <w:basedOn w:val="765"/>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4"/>
    <w:basedOn w:val="765"/>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4 - Accent 1"/>
    <w:basedOn w:val="765"/>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8" w:customStyle="1">
    <w:name w:val="Grid Table 4 - Accent 2"/>
    <w:basedOn w:val="765"/>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9" w:customStyle="1">
    <w:name w:val="Grid Table 4 - Accent 3"/>
    <w:basedOn w:val="765"/>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60" w:customStyle="1">
    <w:name w:val="Grid Table 4 - Accent 4"/>
    <w:basedOn w:val="765"/>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1" w:customStyle="1">
    <w:name w:val="Grid Table 4 - Accent 5"/>
    <w:basedOn w:val="765"/>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2" w:customStyle="1">
    <w:name w:val="Grid Table 4 - Accent 6"/>
    <w:basedOn w:val="765"/>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3" w:customStyle="1">
    <w:name w:val="Grid Table 5 Dark"/>
    <w:basedOn w:val="76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Grid Table 5 Dark- Accent 1"/>
    <w:basedOn w:val="76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5" w:customStyle="1">
    <w:name w:val="Grid Table 5 Dark - Accent 2"/>
    <w:basedOn w:val="76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6" w:customStyle="1">
    <w:name w:val="Grid Table 5 Dark - Accent 3"/>
    <w:basedOn w:val="76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7" w:customStyle="1">
    <w:name w:val="Grid Table 5 Dark- Accent 4"/>
    <w:basedOn w:val="76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8" w:customStyle="1">
    <w:name w:val="Grid Table 5 Dark - Accent 5"/>
    <w:basedOn w:val="76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9" w:customStyle="1">
    <w:name w:val="Grid Table 5 Dark - Accent 6"/>
    <w:basedOn w:val="76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0" w:customStyle="1">
    <w:name w:val="Grid Table 6 Colorful"/>
    <w:basedOn w:val="765"/>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1" w:customStyle="1">
    <w:name w:val="Grid Table 6 Colorful - Accent 1"/>
    <w:basedOn w:val="765"/>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72" w:customStyle="1">
    <w:name w:val="Grid Table 6 Colorful - Accent 2"/>
    <w:basedOn w:val="765"/>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73" w:customStyle="1">
    <w:name w:val="Grid Table 6 Colorful - Accent 3"/>
    <w:basedOn w:val="765"/>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4" w:customStyle="1">
    <w:name w:val="Grid Table 6 Colorful - Accent 4"/>
    <w:basedOn w:val="765"/>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75" w:customStyle="1">
    <w:name w:val="Grid Table 6 Colorful - Accent 5"/>
    <w:basedOn w:val="765"/>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6" w:customStyle="1">
    <w:name w:val="Grid Table 6 Colorful - Accent 6"/>
    <w:basedOn w:val="765"/>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7" w:customStyle="1">
    <w:name w:val="Grid Table 7 Colorful"/>
    <w:basedOn w:val="765"/>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8" w:customStyle="1">
    <w:name w:val="Grid Table 7 Colorful - Accent 1"/>
    <w:basedOn w:val="765"/>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basedOn w:val="765"/>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basedOn w:val="765"/>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basedOn w:val="765"/>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basedOn w:val="765"/>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basedOn w:val="765"/>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4" w:customStyle="1">
    <w:name w:val="List Table 1 Light"/>
    <w:basedOn w:val="765"/>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1 Light - Accent 1"/>
    <w:basedOn w:val="765"/>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1 Light - Accent 2"/>
    <w:basedOn w:val="765"/>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7" w:customStyle="1">
    <w:name w:val="List Table 1 Light - Accent 3"/>
    <w:basedOn w:val="765"/>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8" w:customStyle="1">
    <w:name w:val="List Table 1 Light - Accent 4"/>
    <w:basedOn w:val="765"/>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9" w:customStyle="1">
    <w:name w:val="List Table 1 Light - Accent 5"/>
    <w:basedOn w:val="765"/>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List Table 1 Light - Accent 6"/>
    <w:basedOn w:val="765"/>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List Table 2"/>
    <w:basedOn w:val="765"/>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2" w:customStyle="1">
    <w:name w:val="List Table 2 - Accent 1"/>
    <w:basedOn w:val="765"/>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3" w:customStyle="1">
    <w:name w:val="List Table 2 - Accent 2"/>
    <w:basedOn w:val="765"/>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4" w:customStyle="1">
    <w:name w:val="List Table 2 - Accent 3"/>
    <w:basedOn w:val="765"/>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5" w:customStyle="1">
    <w:name w:val="List Table 2 - Accent 4"/>
    <w:basedOn w:val="765"/>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6" w:customStyle="1">
    <w:name w:val="List Table 2 - Accent 5"/>
    <w:basedOn w:val="765"/>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7" w:customStyle="1">
    <w:name w:val="List Table 2 - Accent 6"/>
    <w:basedOn w:val="765"/>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8" w:customStyle="1">
    <w:name w:val="List Table 3"/>
    <w:basedOn w:val="765"/>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3 - Accent 1"/>
    <w:basedOn w:val="765"/>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3 - Accent 2"/>
    <w:basedOn w:val="765"/>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1" w:customStyle="1">
    <w:name w:val="List Table 3 - Accent 3"/>
    <w:basedOn w:val="765"/>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02" w:customStyle="1">
    <w:name w:val="List Table 3 - Accent 4"/>
    <w:basedOn w:val="765"/>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3" w:customStyle="1">
    <w:name w:val="List Table 3 - Accent 5"/>
    <w:basedOn w:val="765"/>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4" w:customStyle="1">
    <w:name w:val="List Table 3 - Accent 6"/>
    <w:basedOn w:val="765"/>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5" w:customStyle="1">
    <w:name w:val="List Table 4"/>
    <w:basedOn w:val="765"/>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4 - Accent 1"/>
    <w:basedOn w:val="765"/>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4 - Accent 2"/>
    <w:basedOn w:val="765"/>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8" w:customStyle="1">
    <w:name w:val="List Table 4 - Accent 3"/>
    <w:basedOn w:val="765"/>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9" w:customStyle="1">
    <w:name w:val="List Table 4 - Accent 4"/>
    <w:basedOn w:val="765"/>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0" w:customStyle="1">
    <w:name w:val="List Table 4 - Accent 5"/>
    <w:basedOn w:val="765"/>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1" w:customStyle="1">
    <w:name w:val="List Table 4 - Accent 6"/>
    <w:basedOn w:val="765"/>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2" w:customStyle="1">
    <w:name w:val="List Table 5 Dark"/>
    <w:basedOn w:val="765"/>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3" w:customStyle="1">
    <w:name w:val="List Table 5 Dark - Accent 1"/>
    <w:basedOn w:val="765"/>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4" w:customStyle="1">
    <w:name w:val="List Table 5 Dark - Accent 2"/>
    <w:basedOn w:val="765"/>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5" w:customStyle="1">
    <w:name w:val="List Table 5 Dark - Accent 3"/>
    <w:basedOn w:val="765"/>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6" w:customStyle="1">
    <w:name w:val="List Table 5 Dark - Accent 4"/>
    <w:basedOn w:val="765"/>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7" w:customStyle="1">
    <w:name w:val="List Table 5 Dark - Accent 5"/>
    <w:basedOn w:val="765"/>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8" w:customStyle="1">
    <w:name w:val="List Table 5 Dark - Accent 6"/>
    <w:basedOn w:val="765"/>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9" w:customStyle="1">
    <w:name w:val="List Table 6 Colorful"/>
    <w:basedOn w:val="765"/>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0" w:customStyle="1">
    <w:name w:val="List Table 6 Colorful - Accent 1"/>
    <w:basedOn w:val="765"/>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21" w:customStyle="1">
    <w:name w:val="List Table 6 Colorful - Accent 2"/>
    <w:basedOn w:val="765"/>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22" w:customStyle="1">
    <w:name w:val="List Table 6 Colorful - Accent 3"/>
    <w:basedOn w:val="765"/>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23" w:customStyle="1">
    <w:name w:val="List Table 6 Colorful - Accent 4"/>
    <w:basedOn w:val="765"/>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4" w:customStyle="1">
    <w:name w:val="List Table 6 Colorful - Accent 5"/>
    <w:basedOn w:val="765"/>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25" w:customStyle="1">
    <w:name w:val="List Table 6 Colorful - Accent 6"/>
    <w:basedOn w:val="765"/>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6" w:customStyle="1">
    <w:name w:val="List Table 7 Colorful"/>
    <w:basedOn w:val="765"/>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7" w:customStyle="1">
    <w:name w:val="List Table 7 Colorful - Accent 1"/>
    <w:basedOn w:val="765"/>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7 Colorful - Accent 2"/>
    <w:basedOn w:val="765"/>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9" w:customStyle="1">
    <w:name w:val="List Table 7 Colorful - Accent 3"/>
    <w:basedOn w:val="765"/>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30" w:customStyle="1">
    <w:name w:val="List Table 7 Colorful - Accent 4"/>
    <w:basedOn w:val="765"/>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List Table 7 Colorful - Accent 5"/>
    <w:basedOn w:val="765"/>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2" w:customStyle="1">
    <w:name w:val="List Table 7 Colorful - Accent 6"/>
    <w:basedOn w:val="765"/>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3" w:customStyle="1">
    <w:name w:val="Lined - Accent"/>
    <w:basedOn w:val="7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4" w:customStyle="1">
    <w:name w:val="Lined - Accent 1"/>
    <w:basedOn w:val="7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5" w:customStyle="1">
    <w:name w:val="Lined - Accent 2"/>
    <w:basedOn w:val="7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6" w:customStyle="1">
    <w:name w:val="Lined - Accent 3"/>
    <w:basedOn w:val="7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7" w:customStyle="1">
    <w:name w:val="Lined - Accent 4"/>
    <w:basedOn w:val="7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Lined - Accent 5"/>
    <w:basedOn w:val="7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Lined - Accent 6"/>
    <w:basedOn w:val="7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amp; Lined - Accent"/>
    <w:basedOn w:val="765"/>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1" w:customStyle="1">
    <w:name w:val="Bordered &amp; Lined - Accent 1"/>
    <w:basedOn w:val="765"/>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2" w:customStyle="1">
    <w:name w:val="Bordered &amp; Lined - Accent 2"/>
    <w:basedOn w:val="765"/>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3" w:customStyle="1">
    <w:name w:val="Bordered &amp; Lined - Accent 3"/>
    <w:basedOn w:val="765"/>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4" w:customStyle="1">
    <w:name w:val="Bordered &amp; Lined - Accent 4"/>
    <w:basedOn w:val="765"/>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Bordered &amp; Lined - Accent 5"/>
    <w:basedOn w:val="765"/>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Bordered &amp; Lined - Accent 6"/>
    <w:basedOn w:val="765"/>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w:basedOn w:val="765"/>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8" w:customStyle="1">
    <w:name w:val="Bordered - Accent 1"/>
    <w:basedOn w:val="765"/>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9" w:customStyle="1">
    <w:name w:val="Bordered - Accent 2"/>
    <w:basedOn w:val="765"/>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50" w:customStyle="1">
    <w:name w:val="Bordered - Accent 3"/>
    <w:basedOn w:val="765"/>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51" w:customStyle="1">
    <w:name w:val="Bordered - Accent 4"/>
    <w:basedOn w:val="765"/>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2" w:customStyle="1">
    <w:name w:val="Bordered - Accent 5"/>
    <w:basedOn w:val="765"/>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3" w:customStyle="1">
    <w:name w:val="Bordered - Accent 6"/>
    <w:basedOn w:val="765"/>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4" w:customStyle="1">
    <w:name w:val="Footnote Text Char"/>
    <w:uiPriority w:val="99"/>
    <w:qFormat/>
    <w:rPr>
      <w:sz w:val="18"/>
    </w:rPr>
  </w:style>
  <w:style w:type="character" w:styleId="955" w:customStyle="1">
    <w:name w:val="尾注文本 Char"/>
    <w:link w:val="781"/>
    <w:uiPriority w:val="99"/>
    <w:qFormat/>
    <w:rPr>
      <w:sz w:val="20"/>
    </w:rPr>
  </w:style>
  <w:style w:type="paragraph" w:styleId="956" w:customStyle="1">
    <w:name w:val="TOC 标题1"/>
    <w:uiPriority w:val="39"/>
    <w:unhideWhenUsed/>
    <w:qFormat/>
  </w:style>
  <w:style w:type="character" w:styleId="957" w:customStyle="1">
    <w:name w:val="标题 1 Char"/>
    <w:link w:val="755"/>
    <w:qFormat/>
    <w:rPr>
      <w:b/>
      <w:bCs/>
      <w:sz w:val="44"/>
      <w:szCs w:val="44"/>
    </w:rPr>
  </w:style>
  <w:style w:type="character" w:styleId="958" w:customStyle="1">
    <w:name w:val="标题 3 Char"/>
    <w:link w:val="757"/>
    <w:qFormat/>
    <w:rPr>
      <w:b/>
      <w:bCs/>
      <w:sz w:val="32"/>
      <w:szCs w:val="32"/>
    </w:rPr>
  </w:style>
  <w:style w:type="paragraph" w:styleId="959" w:customStyle="1">
    <w:name w:val="正文 A"/>
    <w:next w:val="810"/>
    <w:qFormat/>
    <w:pPr>
      <w:jc w:val="both"/>
      <w:widowControl w:val="off"/>
      <w:framePr w:wrap="around" w:hAnchor="text" w:yAlign="top"/>
    </w:pPr>
    <w:rPr>
      <w:rFonts w:ascii="Calibri" w:hAnsi="Calibri" w:eastAsia="Times New Roman"/>
      <w:color w:val="000000"/>
      <w:sz w:val="21"/>
      <w:szCs w:val="21"/>
    </w:rPr>
  </w:style>
  <w:style w:type="character" w:styleId="960" w:customStyle="1">
    <w:name w:val="纯文本 Char"/>
    <w:link w:val="777"/>
    <w:qFormat/>
    <w:rPr>
      <w:rFonts w:ascii="宋体" w:hAnsi="Courier New" w:eastAsia="楷体_GB2312"/>
      <w:sz w:val="26"/>
      <w:szCs w:val="24"/>
      <w:lang w:val="en-US" w:eastAsia="zh-CN" w:bidi="ar-SA"/>
    </w:rPr>
  </w:style>
  <w:style w:type="character" w:styleId="961" w:customStyle="1">
    <w:name w:val="正文缩进 Char"/>
    <w:link w:val="768"/>
    <w:qFormat/>
    <w:rPr>
      <w:rFonts w:eastAsia="楷体_GB2312"/>
      <w:sz w:val="24"/>
      <w:lang w:val="en-US" w:eastAsia="zh-CN" w:bidi="ar-SA"/>
    </w:rPr>
  </w:style>
  <w:style w:type="character" w:styleId="962" w:customStyle="1">
    <w:name w:val="标题 5 Char"/>
    <w:link w:val="759"/>
    <w:qFormat/>
    <w:rPr>
      <w:rFonts w:eastAsia="宋体"/>
      <w:b/>
      <w:bCs/>
      <w:i/>
      <w:iCs/>
      <w:sz w:val="26"/>
      <w:szCs w:val="26"/>
      <w:lang w:val="en-US" w:eastAsia="zh-CN" w:bidi="ar-SA"/>
    </w:rPr>
  </w:style>
  <w:style w:type="character" w:styleId="963" w:customStyle="1">
    <w:name w:val="+正文 Char3"/>
    <w:link w:val="964"/>
    <w:qFormat/>
    <w:rPr>
      <w:rFonts w:eastAsia="宋体"/>
      <w:sz w:val="24"/>
      <w:lang w:val="en-US" w:eastAsia="zh-CN" w:bidi="ar-SA"/>
    </w:rPr>
  </w:style>
  <w:style w:type="paragraph" w:styleId="964" w:customStyle="1">
    <w:name w:val="+正文"/>
    <w:basedOn w:val="754"/>
    <w:link w:val="963"/>
    <w:qFormat/>
    <w:pPr>
      <w:ind w:firstLine="200"/>
      <w:spacing w:line="360" w:lineRule="auto"/>
    </w:pPr>
    <w:rPr>
      <w:sz w:val="24"/>
      <w:szCs w:val="20"/>
    </w:rPr>
  </w:style>
  <w:style w:type="character" w:styleId="965" w:customStyle="1">
    <w:name w:val="页脚 Char"/>
    <w:link w:val="783"/>
    <w:semiHidden/>
    <w:qFormat/>
    <w:rPr>
      <w:rFonts w:eastAsia="宋体"/>
      <w:sz w:val="18"/>
      <w:szCs w:val="18"/>
      <w:lang w:val="en-US" w:eastAsia="zh-CN" w:bidi="ar-SA"/>
    </w:rPr>
  </w:style>
  <w:style w:type="character" w:styleId="966" w:customStyle="1">
    <w:name w:val="Char Char8"/>
    <w:qFormat/>
    <w:rPr>
      <w:sz w:val="18"/>
    </w:rPr>
  </w:style>
  <w:style w:type="character" w:styleId="967" w:customStyle="1">
    <w:name w:val="标题 4 Char"/>
    <w:link w:val="758"/>
    <w:qFormat/>
    <w:rPr>
      <w:rFonts w:eastAsia="宋体"/>
      <w:b/>
      <w:bCs/>
      <w:sz w:val="28"/>
      <w:szCs w:val="28"/>
      <w:lang w:val="en-US" w:eastAsia="zh-CN" w:bidi="ar-SA"/>
    </w:rPr>
  </w:style>
  <w:style w:type="character" w:styleId="968" w:customStyle="1">
    <w:name w:val="标题 Char"/>
    <w:link w:val="796"/>
    <w:qFormat/>
    <w:rPr>
      <w:rFonts w:ascii="Arial" w:hAnsi="Arial"/>
      <w:b/>
      <w:bCs/>
      <w:sz w:val="32"/>
      <w:szCs w:val="32"/>
      <w:lang w:bidi="ar-SA"/>
    </w:rPr>
  </w:style>
  <w:style w:type="character" w:styleId="969" w:customStyle="1">
    <w:name w:val="文字正文主体 Char Char"/>
    <w:link w:val="970"/>
    <w:qFormat/>
    <w:rPr>
      <w:rFonts w:ascii="仿宋" w:hAnsi="仿宋" w:eastAsia="仿宋"/>
      <w:color w:val="3a3a3a"/>
      <w:sz w:val="28"/>
      <w:lang w:val="en-US" w:eastAsia="zh-CN" w:bidi="ar-SA"/>
    </w:rPr>
  </w:style>
  <w:style w:type="paragraph" w:styleId="970" w:customStyle="1">
    <w:name w:val="文字正文主体"/>
    <w:basedOn w:val="754"/>
    <w:link w:val="969"/>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71" w:customStyle="1">
    <w:name w:val="页眉 Char"/>
    <w:link w:val="785"/>
    <w:uiPriority w:val="99"/>
    <w:qFormat/>
    <w:rPr>
      <w:rFonts w:eastAsia="宋体"/>
      <w:sz w:val="18"/>
      <w:szCs w:val="18"/>
      <w:lang w:val="en-US" w:eastAsia="zh-CN" w:bidi="ar-SA"/>
    </w:rPr>
  </w:style>
  <w:style w:type="character" w:styleId="972" w:customStyle="1">
    <w:name w:val="Char Char5"/>
    <w:qFormat/>
    <w:rPr>
      <w:sz w:val="24"/>
      <w:lang w:val="en-US" w:eastAsia="zh-CN"/>
    </w:rPr>
  </w:style>
  <w:style w:type="character" w:styleId="973" w:customStyle="1">
    <w:name w:val="Char Char11"/>
    <w:qFormat/>
    <w:rPr>
      <w:sz w:val="21"/>
    </w:rPr>
  </w:style>
  <w:style w:type="character" w:styleId="974" w:customStyle="1">
    <w:name w:val="c lh15"/>
    <w:basedOn w:val="764"/>
    <w:qFormat/>
  </w:style>
  <w:style w:type="character" w:styleId="975" w:customStyle="1">
    <w:name w:val="批注文字 Char"/>
    <w:link w:val="771"/>
    <w:qFormat/>
    <w:rPr>
      <w:rFonts w:eastAsia="宋体"/>
      <w:sz w:val="21"/>
      <w:szCs w:val="24"/>
      <w:lang w:val="en-US" w:eastAsia="zh-CN" w:bidi="ar-SA"/>
    </w:rPr>
  </w:style>
  <w:style w:type="character" w:styleId="976" w:customStyle="1">
    <w:name w:val="日期 Char"/>
    <w:link w:val="779"/>
    <w:qFormat/>
    <w:rPr>
      <w:sz w:val="36"/>
      <w:lang w:bidi="ar-SA"/>
    </w:rPr>
  </w:style>
  <w:style w:type="character" w:styleId="977" w:customStyle="1">
    <w:name w:val="Plain Text Char Char"/>
    <w:link w:val="978"/>
    <w:qFormat/>
    <w:rPr>
      <w:rFonts w:ascii="宋体" w:hAnsi="Courier New" w:eastAsia="楷体_GB2312"/>
      <w:sz w:val="28"/>
    </w:rPr>
  </w:style>
  <w:style w:type="paragraph" w:styleId="978" w:customStyle="1">
    <w:name w:val="纯文本1"/>
    <w:basedOn w:val="754"/>
    <w:link w:val="977"/>
    <w:qFormat/>
    <w:rPr>
      <w:rFonts w:ascii="宋体" w:hAnsi="Courier New" w:eastAsia="楷体_GB2312"/>
      <w:sz w:val="28"/>
      <w:szCs w:val="20"/>
    </w:rPr>
  </w:style>
  <w:style w:type="paragraph" w:styleId="979" w:customStyle="1">
    <w:name w:val="Char Char Char Char Char Char Char Char Char1 Char Char Char Char"/>
    <w:basedOn w:val="770"/>
    <w:qFormat/>
    <w:pPr>
      <w:spacing w:line="360" w:lineRule="auto"/>
    </w:pPr>
    <w:rPr>
      <w:rFonts w:eastAsia="楷体_GB2312"/>
      <w:sz w:val="26"/>
      <w:szCs w:val="20"/>
    </w:rPr>
  </w:style>
  <w:style w:type="paragraph" w:styleId="980" w:customStyle="1">
    <w:name w:val="Char Char Char Char Char Char Char Char Char Char"/>
    <w:basedOn w:val="754"/>
    <w:qFormat/>
    <w:pPr>
      <w:numPr>
        <w:numId w:val="2"/>
      </w:numPr>
    </w:pPr>
    <w:rPr>
      <w:sz w:val="24"/>
    </w:rPr>
  </w:style>
  <w:style w:type="paragraph" w:styleId="981" w:customStyle="1">
    <w:name w:val="Char Char Char Char Char Char Char Char Char1 Char"/>
    <w:basedOn w:val="770"/>
    <w:qFormat/>
    <w:pPr>
      <w:spacing w:line="360" w:lineRule="auto"/>
    </w:pPr>
    <w:rPr>
      <w:rFonts w:ascii="Tahoma" w:hAnsi="Tahoma"/>
      <w:sz w:val="24"/>
    </w:rPr>
  </w:style>
  <w:style w:type="paragraph" w:styleId="982" w:customStyle="1">
    <w:name w:val="Char Char Char"/>
    <w:basedOn w:val="770"/>
    <w:qFormat/>
    <w:pPr>
      <w:spacing w:line="360" w:lineRule="auto"/>
    </w:pPr>
    <w:rPr>
      <w:rFonts w:ascii="Tahoma" w:hAnsi="Tahoma"/>
      <w:sz w:val="24"/>
    </w:rPr>
  </w:style>
  <w:style w:type="paragraph" w:styleId="983" w:customStyle="1">
    <w:name w:val="Char Char Char Char"/>
    <w:basedOn w:val="770"/>
    <w:qFormat/>
    <w:pPr>
      <w:spacing w:line="360" w:lineRule="auto"/>
    </w:pPr>
    <w:rPr>
      <w:sz w:val="24"/>
      <w:szCs w:val="20"/>
    </w:rPr>
  </w:style>
  <w:style w:type="paragraph" w:styleId="984" w:customStyle="1">
    <w:name w:val="Char1 Char Char Char"/>
    <w:basedOn w:val="754"/>
    <w:qFormat/>
    <w:rPr>
      <w:rFonts w:ascii="Tahoma" w:hAnsi="Tahoma"/>
      <w:sz w:val="24"/>
      <w:szCs w:val="20"/>
    </w:rPr>
  </w:style>
  <w:style w:type="paragraph" w:styleId="985" w:customStyle="1">
    <w:name w:val="Char"/>
    <w:basedOn w:val="754"/>
    <w:qFormat/>
    <w:pPr>
      <w:ind w:left="420" w:hanging="420"/>
      <w:tabs>
        <w:tab w:val="left" w:pos="420" w:leader="none"/>
      </w:tabs>
    </w:pPr>
    <w:rPr>
      <w:sz w:val="24"/>
    </w:rPr>
  </w:style>
  <w:style w:type="paragraph" w:styleId="986" w:customStyle="1">
    <w:name w:val="正文2"/>
    <w:basedOn w:val="754"/>
    <w:qFormat/>
    <w:pPr>
      <w:ind w:firstLine="200"/>
      <w:jc w:val="left"/>
      <w:spacing w:after="160" w:line="360" w:lineRule="auto"/>
      <w:widowControl/>
    </w:pPr>
    <w:rPr>
      <w:rFonts w:ascii="Verdana" w:hAnsi="Verdana" w:eastAsia="黑体"/>
      <w:szCs w:val="20"/>
      <w:lang w:eastAsia="en-US"/>
    </w:rPr>
  </w:style>
  <w:style w:type="paragraph" w:styleId="987" w:customStyle="1">
    <w:name w:val="Char Char Char1 Char Char Char Char"/>
    <w:basedOn w:val="754"/>
    <w:qFormat/>
    <w:pPr>
      <w:jc w:val="left"/>
      <w:spacing w:after="160" w:line="240" w:lineRule="exact"/>
      <w:widowControl/>
    </w:pPr>
    <w:rPr>
      <w:sz w:val="24"/>
    </w:rPr>
  </w:style>
  <w:style w:type="paragraph" w:styleId="988">
    <w:name w:val="No Spacing"/>
    <w:uiPriority w:val="1"/>
    <w:qFormat/>
    <w:pPr>
      <w:jc w:val="both"/>
      <w:widowControl w:val="off"/>
    </w:pPr>
    <w:rPr>
      <w:sz w:val="21"/>
      <w:szCs w:val="24"/>
    </w:rPr>
  </w:style>
  <w:style w:type="paragraph" w:styleId="989" w:customStyle="1">
    <w:name w:val="纯文本11"/>
    <w:basedOn w:val="754"/>
    <w:qFormat/>
    <w:rPr>
      <w:rFonts w:ascii="宋体" w:hAnsi="Courier New" w:eastAsia="楷体_GB2312"/>
      <w:sz w:val="28"/>
      <w:szCs w:val="20"/>
    </w:rPr>
  </w:style>
  <w:style w:type="character" w:styleId="990" w:customStyle="1">
    <w:name w:val="纯文本 Char1"/>
    <w:qFormat/>
    <w:rPr>
      <w:rFonts w:ascii="宋体" w:hAnsi="Courier New" w:eastAsia="楷体_GB2312"/>
      <w:sz w:val="24"/>
      <w:lang w:val="en-US" w:eastAsia="zh-CN" w:bidi="ar-SA"/>
    </w:rPr>
  </w:style>
  <w:style w:type="paragraph" w:styleId="991" w:customStyle="1">
    <w:name w:val="纯文本2"/>
    <w:basedOn w:val="754"/>
    <w:qFormat/>
    <w:rPr>
      <w:rFonts w:ascii="宋体" w:hAnsi="Courier New" w:eastAsia="楷体_GB2312"/>
      <w:sz w:val="26"/>
      <w:szCs w:val="20"/>
    </w:rPr>
  </w:style>
  <w:style w:type="character" w:styleId="992" w:customStyle="1">
    <w:name w:val="Plain Text Char"/>
    <w:qFormat/>
    <w:rPr>
      <w:rFonts w:ascii="宋体" w:hAnsi="Courier New" w:eastAsia="楷体_GB2312"/>
      <w:sz w:val="26"/>
      <w:lang w:val="en-US" w:eastAsia="zh-CN" w:bidi="ar-SA"/>
    </w:rPr>
  </w:style>
  <w:style w:type="paragraph" w:styleId="993" w:customStyle="1">
    <w:name w:val="修订1"/>
    <w:hidden/>
    <w:uiPriority w:val="99"/>
    <w:semiHidden/>
    <w:unhideWhenUsed/>
    <w:qFormat/>
    <w:rPr>
      <w:sz w:val="21"/>
      <w:szCs w:val="24"/>
    </w:rPr>
  </w:style>
  <w:style w:type="character" w:styleId="994" w:customStyle="1">
    <w:name w:val="apple-converted-space"/>
    <w:basedOn w:val="764"/>
    <w:qFormat/>
  </w:style>
  <w:style w:type="paragraph" w:styleId="995" w:customStyle="1">
    <w:name w:val="p1"/>
    <w:basedOn w:val="754"/>
    <w:qFormat/>
    <w:pPr>
      <w:jc w:val="left"/>
      <w:spacing w:before="100" w:beforeAutospacing="1" w:after="100" w:afterAutospacing="1"/>
      <w:widowControl/>
    </w:pPr>
    <w:rPr>
      <w:rFonts w:ascii="宋体" w:hAnsi="宋体" w:cs="宋体"/>
      <w:sz w:val="24"/>
    </w:rPr>
  </w:style>
  <w:style w:type="paragraph" w:styleId="996" w:customStyle="1">
    <w:name w:val="p3"/>
    <w:basedOn w:val="754"/>
    <w:qFormat/>
    <w:pPr>
      <w:jc w:val="left"/>
      <w:spacing w:before="100" w:beforeAutospacing="1" w:after="100" w:afterAutospacing="1"/>
      <w:widowControl/>
    </w:pPr>
    <w:rPr>
      <w:rFonts w:ascii="宋体" w:hAnsi="宋体" w:cs="宋体"/>
      <w:sz w:val="24"/>
    </w:rPr>
  </w:style>
  <w:style w:type="character" w:styleId="997" w:customStyle="1">
    <w:name w:val="s6"/>
    <w:basedOn w:val="764"/>
    <w:qFormat/>
  </w:style>
  <w:style w:type="character" w:styleId="998" w:customStyle="1">
    <w:name w:val="s1"/>
    <w:basedOn w:val="764"/>
    <w:qFormat/>
  </w:style>
  <w:style w:type="paragraph" w:styleId="999" w:customStyle="1">
    <w:name w:val="列出段落1"/>
    <w:basedOn w:val="754"/>
    <w:uiPriority w:val="34"/>
    <w:qFormat/>
    <w:pPr>
      <w:ind w:firstLine="420"/>
    </w:pPr>
    <w:rPr>
      <w:lang w:val="zh-CN"/>
    </w:rPr>
  </w:style>
  <w:style w:type="character" w:styleId="1000" w:customStyle="1">
    <w:name w:val="批注文字 Char3"/>
    <w:qFormat/>
    <w:rPr>
      <w:rFonts w:eastAsia="宋体"/>
      <w:sz w:val="21"/>
      <w:szCs w:val="24"/>
      <w:lang w:val="en-US" w:eastAsia="zh-CN" w:bidi="ar-SA"/>
    </w:rPr>
  </w:style>
  <w:style w:type="paragraph" w:styleId="1001">
    <w:name w:val="List Paragraph"/>
    <w:basedOn w:val="754"/>
    <w:uiPriority w:val="99"/>
    <w:qFormat/>
    <w:pPr>
      <w:ind w:firstLine="420"/>
    </w:pPr>
  </w:style>
  <w:style w:type="paragraph" w:styleId="1002" w:customStyle="1">
    <w:name w:val="BodyText"/>
    <w:basedOn w:val="754"/>
    <w:uiPriority w:val="99"/>
    <w:qFormat/>
    <w:pPr>
      <w:spacing w:after="120"/>
    </w:pPr>
  </w:style>
  <w:style w:type="character" w:styleId="1003" w:customStyle="1">
    <w:name w:val="NormalCharacter"/>
    <w:semiHidden/>
    <w:qFormat/>
  </w:style>
  <w:style w:type="character" w:styleId="1004" w:customStyle="1">
    <w:name w:val="正文文本缩进 Char"/>
    <w:basedOn w:val="764"/>
    <w:link w:val="773"/>
    <w:qFormat/>
    <w:rPr>
      <w:rFonts w:ascii="Times New Roman" w:hAnsi="Times New Roman"/>
      <w:sz w:val="21"/>
      <w:szCs w:val="24"/>
    </w:rPr>
  </w:style>
  <w:style w:type="paragraph" w:styleId="1005" w:customStyle="1">
    <w:name w:val="纯文本3"/>
    <w:basedOn w:val="754"/>
    <w:qFormat/>
    <w:rPr>
      <w:rFonts w:ascii="宋体" w:hAnsi="Courier New" w:eastAsia="楷体_GB2312"/>
      <w:sz w:val="28"/>
      <w:szCs w:val="20"/>
    </w:rPr>
  </w:style>
  <w:style w:type="paragraph" w:styleId="1006" w:customStyle="1">
    <w:name w:val="修订2"/>
    <w:hidden/>
    <w:uiPriority w:val="99"/>
    <w:semiHidden/>
    <w:qFormat/>
    <w:rPr>
      <w:sz w:val="21"/>
      <w:szCs w:val="24"/>
    </w:rPr>
  </w:style>
  <w:style w:type="paragraph" w:styleId="1007" w:customStyle="1">
    <w:name w:val="修订3"/>
    <w:hidden/>
    <w:uiPriority w:val="99"/>
    <w:semiHidden/>
    <w:qFormat/>
    <w:rPr>
      <w:sz w:val="21"/>
      <w:szCs w:val="24"/>
    </w:rPr>
  </w:style>
  <w:style w:type="paragraph" w:styleId="1008" w:customStyle="1">
    <w:name w:val="修订4"/>
    <w:hidden/>
    <w:uiPriority w:val="99"/>
    <w:semiHidden/>
    <w:qFormat/>
    <w:rPr>
      <w:sz w:val="21"/>
      <w:szCs w:val="24"/>
    </w:rPr>
  </w:style>
  <w:style w:type="paragraph" w:styleId="1009" w:customStyle="1">
    <w:name w:val="列出段落2"/>
    <w:basedOn w:val="754"/>
    <w:uiPriority w:val="34"/>
    <w:qFormat/>
    <w:pPr>
      <w:ind w:firstLine="420"/>
    </w:pPr>
  </w:style>
  <w:style w:type="paragraph" w:styleId="1010" w:customStyle="1">
    <w:name w:val="_正文段落"/>
    <w:basedOn w:val="754"/>
    <w:qFormat/>
    <w:pPr>
      <w:ind w:firstLine="200"/>
      <w:spacing w:line="360" w:lineRule="auto"/>
    </w:pPr>
    <w:rPr>
      <w:sz w:val="24"/>
    </w:rPr>
  </w:style>
  <w:style w:type="paragraph" w:styleId="1011" w:customStyle="1">
    <w:name w:val="_Style 30"/>
    <w:basedOn w:val="754"/>
    <w:next w:val="777"/>
    <w:qFormat/>
    <w:rPr>
      <w:rFonts w:ascii="宋体" w:hAnsi="Courier New"/>
    </w:rPr>
  </w:style>
  <w:style w:type="paragraph" w:styleId="1012" w:customStyle="1">
    <w:name w:val="正文1"/>
    <w:next w:val="754"/>
    <w:qFormat/>
    <w:pPr>
      <w:jc w:val="both"/>
      <w:spacing w:line="315" w:lineRule="atLeast"/>
      <w:widowControl w:val="off"/>
    </w:pPr>
    <w:rPr>
      <w:rFonts w:ascii="宋体" w:hAnsi="宋体"/>
      <w:sz w:val="21"/>
    </w:rPr>
  </w:style>
  <w:style w:type="character" w:styleId="1013" w:customStyle="1">
    <w:name w:val="15"/>
    <w:basedOn w:val="764"/>
    <w:qFormat/>
    <w:rPr>
      <w:rFonts w:hint="default" w:ascii="Calibri" w:hAnsi="Calibri" w:cs="Calibri"/>
    </w:rPr>
  </w:style>
  <w:style w:type="character" w:styleId="1014" w:customStyle="1">
    <w:name w:val="font21"/>
    <w:basedOn w:val="764"/>
    <w:qFormat/>
    <w:rPr>
      <w:rFonts w:hint="eastAsia" w:ascii="宋体" w:hAnsi="宋体" w:eastAsia="宋体" w:cs="宋体"/>
      <w:color w:val="000000"/>
      <w:sz w:val="21"/>
      <w:szCs w:val="21"/>
      <w:u w:val="none"/>
    </w:rPr>
  </w:style>
  <w:style w:type="character" w:styleId="1015" w:customStyle="1">
    <w:name w:val="font41"/>
    <w:basedOn w:val="764"/>
    <w:qFormat/>
    <w:rPr>
      <w:rFonts w:hint="eastAsia" w:ascii="宋体" w:hAnsi="宋体" w:eastAsia="宋体" w:cs="宋体"/>
      <w:color w:val="ff0000"/>
      <w:sz w:val="21"/>
      <w:szCs w:val="21"/>
      <w:u w:val="none"/>
    </w:rPr>
  </w:style>
  <w:style w:type="character" w:styleId="1016" w:customStyle="1">
    <w:name w:val="font31"/>
    <w:basedOn w:val="764"/>
    <w:qFormat/>
    <w:rPr>
      <w:rFonts w:hint="eastAsia" w:ascii="宋体" w:hAnsi="宋体" w:eastAsia="宋体" w:cs="宋体"/>
      <w:color w:val="000000"/>
      <w:sz w:val="21"/>
      <w:szCs w:val="21"/>
      <w:u w:val="none"/>
    </w:rPr>
  </w:style>
  <w:style w:type="character" w:styleId="1017" w:customStyle="1">
    <w:name w:val="font51"/>
    <w:basedOn w:val="764"/>
    <w:qFormat/>
    <w:rPr>
      <w:rFonts w:hint="eastAsia" w:ascii="宋体" w:hAnsi="宋体" w:eastAsia="宋体" w:cs="宋体"/>
      <w:color w:val="000000"/>
      <w:sz w:val="21"/>
      <w:szCs w:val="21"/>
      <w:u w:val="none"/>
    </w:rPr>
  </w:style>
  <w:style w:type="paragraph" w:styleId="1018" w:customStyle="1">
    <w:name w:val="纯文本21"/>
    <w:basedOn w:val="754"/>
    <w:qFormat/>
    <w:rPr>
      <w:rFonts w:ascii="宋体" w:hAnsi="Courier New"/>
    </w:rPr>
  </w:style>
  <w:style w:type="paragraph" w:styleId="1019" w:customStyle="1">
    <w:name w:val="正文缩进1"/>
    <w:basedOn w:val="754"/>
    <w:next w:val="754"/>
    <w:qFormat/>
    <w:pPr>
      <w:ind w:firstLine="420"/>
      <w:jc w:val="left"/>
      <w:widowControl/>
    </w:pPr>
    <w:rPr>
      <w:rFonts w:eastAsia="楷体_GB2312"/>
      <w:sz w:val="24"/>
      <w:szCs w:val="20"/>
    </w:rPr>
  </w:style>
  <w:style w:type="paragraph" w:styleId="1020" w:customStyle="1">
    <w:name w:val="Body text|1"/>
    <w:basedOn w:val="754"/>
    <w:qFormat/>
    <w:pPr>
      <w:ind w:firstLine="400"/>
      <w:spacing w:line="415" w:lineRule="auto"/>
    </w:pPr>
    <w:rPr>
      <w:rFonts w:ascii="宋体" w:hAnsi="宋体" w:cs="宋体"/>
      <w:color w:val="1a151d"/>
      <w:sz w:val="20"/>
      <w:szCs w:val="20"/>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路丽丽</cp:lastModifiedBy>
  <cp:revision>21</cp:revision>
  <dcterms:created xsi:type="dcterms:W3CDTF">2024-01-03T18:17:00Z</dcterms:created>
  <dcterms:modified xsi:type="dcterms:W3CDTF">2026-04-07T07:26:43Z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2440D33AC9374952B86105990848F346_13</vt:lpwstr>
  </property>
  <property fmtid="{D5CDD505-2E9C-101B-9397-08002B2CF9AE}" pid="4" name="ContentTypeId">
    <vt:lpwstr>0x01010081C51C0CE0027140830352BF468F90BF</vt:lpwstr>
  </property>
  <property fmtid="{D5CDD505-2E9C-101B-9397-08002B2CF9AE}" pid="5" name="KSOTemplateDocerSaveRecord">
    <vt:lpwstr>eyJoZGlkIjoiZGRlNGE1OWE1NDIxZDAwMTQwZTBiZjRjOWQyYjZkMDIiLCJ1c2VySWQiOiIxMDQzMzQ5ODU4In0=</vt:lpwstr>
  </property>
</Properties>
</file>