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96"/>
          <w:szCs w:val="96"/>
          <w:highlight w:val="none"/>
        </w:rPr>
      </w:pPr>
      <w:r>
        <w:rPr>
          <w:rFonts w:ascii="宋体" w:hAnsi="宋体" w:cs="宋体"/>
          <w:b/>
          <w:color w:val="auto"/>
          <w:sz w:val="96"/>
          <w:szCs w:val="96"/>
          <w:highlight w:val="none"/>
        </w:rPr>
      </w:r>
      <w:r/>
    </w:p>
    <w:p>
      <w:pPr>
        <w:jc w:val="center"/>
        <w:rPr>
          <w:rFonts w:cs="宋体"/>
          <w:color w:val="auto"/>
          <w:highlight w:val="none"/>
        </w:rPr>
      </w:pPr>
      <w:r>
        <w:rPr>
          <w:rFonts w:hint="eastAsia" w:cs="宋体"/>
          <w:bCs/>
          <w:color w:val="auto"/>
          <w:sz w:val="84"/>
          <w:szCs w:val="84"/>
          <w:highlight w:val="none"/>
        </w:rPr>
        <w:t xml:space="preserve">单一来源采购文件</w:t>
      </w:r>
      <w:r/>
    </w:p>
    <w:p>
      <w:pPr>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spacing w:line="360" w:lineRule="auto"/>
        <w:rPr>
          <w:rFonts w:cs="宋体"/>
          <w:b/>
          <w:color w:val="auto"/>
          <w:sz w:val="44"/>
          <w:szCs w:val="44"/>
          <w:highlight w:val="none"/>
        </w:rPr>
      </w:pPr>
      <w:r>
        <w:rPr>
          <w:rFonts w:cs="宋体"/>
          <w:b/>
          <w:color w:val="auto"/>
          <w:sz w:val="44"/>
          <w:szCs w:val="44"/>
          <w:highlight w:val="none"/>
        </w:rPr>
      </w:r>
      <w:r/>
    </w:p>
    <w:p>
      <w:pPr>
        <w:spacing w:line="360" w:lineRule="auto"/>
        <w:rPr>
          <w:rFonts w:cs="宋体"/>
          <w:b/>
          <w:color w:val="auto"/>
          <w:sz w:val="44"/>
          <w:szCs w:val="44"/>
          <w:highlight w:val="none"/>
        </w:rPr>
      </w:pPr>
      <w:r>
        <w:rPr>
          <w:rFonts w:cs="宋体"/>
          <w:b/>
          <w:color w:val="auto"/>
          <w:sz w:val="44"/>
          <w:szCs w:val="44"/>
          <w:highlight w:val="none"/>
        </w:rPr>
      </w:r>
      <w:r/>
    </w:p>
    <w:p>
      <w:pPr>
        <w:ind w:right="630"/>
        <w:jc w:val="center"/>
        <w:spacing w:line="360" w:lineRule="auto"/>
        <w:rPr>
          <w:rFonts w:cs="宋体"/>
          <w:b/>
          <w:color w:val="auto"/>
          <w:sz w:val="44"/>
          <w:szCs w:val="44"/>
          <w:highlight w:val="none"/>
        </w:rPr>
      </w:pPr>
      <w:r>
        <w:rPr>
          <w:rFonts w:hint="eastAsia" w:cs="宋体"/>
          <w:b/>
          <w:color w:val="auto"/>
          <w:sz w:val="44"/>
          <w:szCs w:val="44"/>
          <w:highlight w:val="none"/>
        </w:rPr>
        <w:t xml:space="preserve">项目名称：常熟市2026年度水稻良种补贴及救灾备荒种项目</w:t>
      </w:r>
      <w:r/>
    </w:p>
    <w:p>
      <w:pPr>
        <w:ind w:right="629" w:firstLine="221"/>
        <w:spacing w:line="360" w:lineRule="auto"/>
        <w:rPr>
          <w:rFonts w:hint="eastAsia" w:eastAsia="宋体" w:cs="宋体"/>
          <w:b/>
          <w:color w:val="auto"/>
          <w:sz w:val="44"/>
          <w:szCs w:val="44"/>
          <w:highlight w:val="none"/>
          <w:lang w:eastAsia="zh-CN"/>
        </w:rPr>
      </w:pPr>
      <w:r>
        <w:rPr>
          <w:rFonts w:hint="eastAsia" w:cs="宋体"/>
          <w:b/>
          <w:color w:val="auto"/>
          <w:sz w:val="44"/>
          <w:szCs w:val="44"/>
          <w:highlight w:val="none"/>
        </w:rPr>
        <w:t xml:space="preserve">项目编号：</w:t>
      </w:r>
      <w:r>
        <w:rPr>
          <w:rFonts w:hint="eastAsia" w:cs="宋体"/>
          <w:b/>
          <w:color w:val="auto"/>
          <w:sz w:val="44"/>
          <w:szCs w:val="44"/>
          <w:highlight w:val="none"/>
          <w:lang w:eastAsia="zh-CN"/>
        </w:rPr>
        <w:t xml:space="preserve">JSZC-320581-LYDL-D2026-0001</w:t>
      </w:r>
      <w:r/>
    </w:p>
    <w:p>
      <w:pPr>
        <w:ind w:firstLine="221"/>
        <w:spacing w:line="360" w:lineRule="auto"/>
        <w:rPr>
          <w:rFonts w:cs="宋体"/>
          <w:b/>
          <w:color w:val="auto"/>
          <w:sz w:val="44"/>
          <w:szCs w:val="44"/>
          <w:highlight w:val="none"/>
        </w:rPr>
      </w:pPr>
      <w:r>
        <w:rPr>
          <w:rFonts w:hint="eastAsia" w:cs="宋体"/>
          <w:b/>
          <w:color w:val="auto"/>
          <w:sz w:val="44"/>
          <w:szCs w:val="44"/>
          <w:highlight w:val="none"/>
        </w:rPr>
        <w:t xml:space="preserve">项目属性：货物类项目</w:t>
      </w:r>
      <w:r/>
    </w:p>
    <w:p>
      <w:pPr>
        <w:ind w:firstLine="221"/>
        <w:spacing w:line="360" w:lineRule="auto"/>
        <w:rPr>
          <w:rFonts w:cs="宋体"/>
          <w:b/>
          <w:color w:val="auto"/>
          <w:sz w:val="44"/>
          <w:szCs w:val="44"/>
          <w:highlight w:val="none"/>
        </w:rPr>
      </w:pPr>
      <w:r>
        <w:rPr>
          <w:rFonts w:hint="eastAsia" w:cs="宋体"/>
          <w:b/>
          <w:color w:val="auto"/>
          <w:sz w:val="44"/>
          <w:szCs w:val="44"/>
          <w:highlight w:val="none"/>
        </w:rPr>
        <w:t xml:space="preserve">标的所属行业：农、林、牧、渔业</w:t>
      </w:r>
      <w:r/>
    </w:p>
    <w:p>
      <w:pPr>
        <w:spacing w:line="360" w:lineRule="auto"/>
        <w:rPr>
          <w:rFonts w:cs="宋体"/>
          <w:b/>
          <w:color w:val="auto"/>
          <w:sz w:val="44"/>
          <w:szCs w:val="44"/>
          <w:highlight w:val="none"/>
        </w:rPr>
      </w:pPr>
      <w:r>
        <w:rPr>
          <w:rFonts w:cs="宋体"/>
          <w:b/>
          <w:color w:val="auto"/>
          <w:sz w:val="44"/>
          <w:szCs w:val="44"/>
          <w:highlight w:val="none"/>
        </w:rPr>
      </w:r>
      <w:r/>
    </w:p>
    <w:p>
      <w:pPr>
        <w:spacing w:line="360" w:lineRule="auto"/>
        <w:rPr>
          <w:rFonts w:cs="宋体"/>
          <w:b/>
          <w:color w:val="auto"/>
          <w:sz w:val="44"/>
          <w:szCs w:val="44"/>
          <w:highlight w:val="none"/>
        </w:rPr>
      </w:pPr>
      <w:r>
        <w:rPr>
          <w:rFonts w:cs="宋体"/>
          <w:b/>
          <w:color w:val="auto"/>
          <w:sz w:val="44"/>
          <w:szCs w:val="44"/>
          <w:highlight w:val="none"/>
        </w:rPr>
      </w:r>
      <w:r/>
    </w:p>
    <w:p>
      <w:pPr>
        <w:jc w:val="center"/>
        <w:rPr>
          <w:rFonts w:cs="宋体"/>
          <w:b/>
          <w:color w:val="auto"/>
          <w:sz w:val="36"/>
          <w:szCs w:val="36"/>
          <w:highlight w:val="none"/>
        </w:rPr>
      </w:pPr>
      <w:r>
        <w:rPr>
          <w:rFonts w:cs="宋体"/>
          <w:b/>
          <w:color w:val="auto"/>
          <w:sz w:val="36"/>
          <w:szCs w:val="36"/>
          <w:highlight w:val="none"/>
        </w:rPr>
      </w:r>
      <w:r/>
    </w:p>
    <w:p>
      <w:pPr>
        <w:jc w:val="center"/>
        <w:rPr>
          <w:rFonts w:cs="宋体"/>
          <w:b/>
          <w:color w:val="auto"/>
          <w:sz w:val="36"/>
          <w:szCs w:val="36"/>
          <w:highlight w:val="none"/>
        </w:rPr>
      </w:pPr>
      <w:r>
        <w:rPr>
          <w:rFonts w:hint="eastAsia" w:cs="宋体"/>
          <w:b/>
          <w:color w:val="auto"/>
          <w:sz w:val="36"/>
          <w:szCs w:val="36"/>
          <w:highlight w:val="none"/>
        </w:rPr>
        <w:t xml:space="preserve">力原工程咨询（苏州）有限公司</w:t>
      </w:r>
      <w:r/>
    </w:p>
    <w:p>
      <w:pPr>
        <w:jc w:val="center"/>
        <w:rPr>
          <w:rFonts w:hint="eastAsia" w:cs="宋体"/>
          <w:b/>
          <w:color w:val="auto"/>
          <w:sz w:val="36"/>
          <w:szCs w:val="36"/>
          <w:highlight w:val="none"/>
        </w:rPr>
      </w:pPr>
      <w:r>
        <w:rPr>
          <w:rFonts w:hint="eastAsia" w:cs="宋体"/>
          <w:b/>
          <w:color w:val="auto"/>
          <w:sz w:val="36"/>
          <w:szCs w:val="36"/>
          <w:highlight w:val="none"/>
        </w:rPr>
        <w:t xml:space="preserve">2026年</w:t>
      </w:r>
      <w:r>
        <w:rPr>
          <w:rFonts w:hint="eastAsia" w:cs="宋体"/>
          <w:b/>
          <w:color w:val="auto"/>
          <w:sz w:val="36"/>
          <w:szCs w:val="36"/>
          <w:highlight w:val="none"/>
          <w:lang w:val="en-US" w:eastAsia="zh-CN"/>
        </w:rPr>
        <w:t xml:space="preserve">4</w:t>
      </w:r>
      <w:r>
        <w:rPr>
          <w:rFonts w:hint="eastAsia" w:cs="宋体"/>
          <w:b/>
          <w:color w:val="auto"/>
          <w:sz w:val="36"/>
          <w:szCs w:val="36"/>
          <w:highlight w:val="none"/>
        </w:rPr>
        <w:t xml:space="preserve">月</w:t>
      </w:r>
      <w:r/>
    </w:p>
    <w:p>
      <w:pPr>
        <w:rPr>
          <w:rFonts w:hint="eastAsia" w:cs="宋体"/>
          <w:b/>
          <w:color w:val="auto"/>
          <w:sz w:val="36"/>
          <w:szCs w:val="36"/>
          <w:highlight w:val="none"/>
        </w:rPr>
      </w:pPr>
      <w:r>
        <w:rPr>
          <w:rFonts w:hint="eastAsia" w:cs="宋体"/>
          <w:b/>
          <w:color w:val="auto"/>
          <w:sz w:val="36"/>
          <w:szCs w:val="36"/>
          <w:highlight w:val="none"/>
        </w:rPr>
        <w:br w:type="page" w:clear="all"/>
      </w:r>
      <w:r/>
    </w:p>
    <w:p>
      <w:pPr>
        <w:jc w:val="center"/>
        <w:rPr>
          <w:rFonts w:hint="eastAsia" w:cs="宋体"/>
          <w:b/>
          <w:color w:val="auto"/>
          <w:sz w:val="36"/>
          <w:szCs w:val="36"/>
          <w:highlight w:val="none"/>
          <w:lang w:val="en-US" w:eastAsia="zh-CN"/>
        </w:rPr>
      </w:pPr>
      <w:r>
        <w:rPr>
          <w:rFonts w:hint="eastAsia" w:cs="宋体"/>
          <w:b/>
          <w:color w:val="auto"/>
          <w:sz w:val="36"/>
          <w:szCs w:val="36"/>
          <w:highlight w:val="none"/>
          <w:lang w:val="en-US" w:eastAsia="zh-CN"/>
        </w:rPr>
        <w:t xml:space="preserve">目 录</w:t>
      </w:r>
      <w:r/>
    </w:p>
    <w:sdt>
      <w:sdtPr>
        <w15:appearance w15:val="boundingBox"/>
        <w15:color w:val="dbdbdb"/>
        <w:id w:val="147481584"/>
        <w:docPartObj>
          <w:docPartGallery w:val="Table of Contents"/>
          <w:docPartUnique w:val="true"/>
        </w:docPartObj>
        <w:rPr>
          <w:rFonts w:ascii="宋体" w:hAnsi="宋体" w:eastAsia="宋体" w:cs="Times New Roman"/>
          <w:sz w:val="21"/>
          <w:lang w:val="en-US" w:eastAsia="zh-CN" w:bidi="ar-SA"/>
        </w:rPr>
      </w:sdtPr>
      <w:sdtContent>
        <w:p>
          <w:pPr>
            <w:ind w:left="0" w:right="0" w:firstLine="0"/>
            <w:jc w:val="center"/>
            <w:spacing w:before="0" w:after="0" w:line="240" w:lineRule="auto"/>
          </w:pPr>
          <w:r/>
          <w:r/>
        </w:p>
        <w:p>
          <w:pPr>
            <w:pStyle w:val="673"/>
            <w:tabs>
              <w:tab w:val="right" w:pos="9660" w:leader="dot"/>
            </w:tabs>
            <w:rPr>
              <w:sz w:val="28"/>
              <w:szCs w:val="28"/>
            </w:rPr>
          </w:pPr>
          <w:r>
            <w:rPr>
              <w:rFonts w:hint="eastAsia" w:cs="宋体"/>
              <w:b/>
              <w:color w:val="auto"/>
              <w:sz w:val="36"/>
              <w:szCs w:val="36"/>
              <w:highlight w:val="none"/>
              <w:lang w:val="en-US" w:eastAsia="zh-CN"/>
            </w:rPr>
            <w:fldChar w:fldCharType="begin"/>
          </w:r>
          <w:r>
            <w:rPr>
              <w:rFonts w:hint="eastAsia" w:cs="宋体"/>
              <w:b/>
              <w:color w:val="auto"/>
              <w:sz w:val="36"/>
              <w:szCs w:val="36"/>
              <w:highlight w:val="none"/>
              <w:lang w:val="en-US" w:eastAsia="zh-CN"/>
            </w:rPr>
            <w:instrText xml:space="preserve">TOC \o "1-3" \h \u </w:instrText>
          </w:r>
          <w:r>
            <w:rPr>
              <w:rFonts w:hint="eastAsia" w:cs="宋体"/>
              <w:b/>
              <w:color w:val="auto"/>
              <w:sz w:val="36"/>
              <w:szCs w:val="36"/>
              <w:highlight w:val="none"/>
              <w:lang w:val="en-US" w:eastAsia="zh-CN"/>
            </w:rPr>
            <w:fldChar w:fldCharType="separate"/>
          </w:r>
          <w:r>
            <w:rPr>
              <w:rFonts w:hint="eastAsia" w:cs="宋体"/>
              <w:color w:val="auto"/>
              <w:sz w:val="28"/>
              <w:szCs w:val="28"/>
              <w:highlight w:val="none"/>
              <w:lang w:val="en-US" w:eastAsia="zh-CN"/>
            </w:rPr>
            <w:fldChar w:fldCharType="begin"/>
          </w:r>
          <w:r>
            <w:rPr>
              <w:rFonts w:hint="eastAsia" w:cs="宋体"/>
              <w:sz w:val="28"/>
              <w:szCs w:val="28"/>
              <w:highlight w:val="none"/>
              <w:lang w:val="en-US" w:eastAsia="zh-CN"/>
            </w:rPr>
            <w:instrText xml:space="preserve"> HYPERLINK \l _Toc3917 </w:instrText>
          </w:r>
          <w:r>
            <w:rPr>
              <w:rFonts w:hint="eastAsia" w:cs="宋体"/>
              <w:sz w:val="28"/>
              <w:szCs w:val="28"/>
              <w:highlight w:val="none"/>
              <w:lang w:val="en-US" w:eastAsia="zh-CN"/>
            </w:rPr>
            <w:fldChar w:fldCharType="separate"/>
          </w:r>
          <w:r>
            <w:rPr>
              <w:rFonts w:hint="eastAsia" w:cs="宋体"/>
              <w:bCs/>
              <w:sz w:val="28"/>
              <w:szCs w:val="28"/>
              <w:highlight w:val="none"/>
            </w:rPr>
            <w:t xml:space="preserve">第一章  单一来源采购邀请</w:t>
          </w:r>
          <w:r>
            <w:rPr>
              <w:sz w:val="28"/>
              <w:szCs w:val="28"/>
            </w:rPr>
            <w:tab/>
          </w:r>
          <w:r>
            <w:rPr>
              <w:sz w:val="28"/>
              <w:szCs w:val="28"/>
            </w:rPr>
            <w:fldChar w:fldCharType="begin"/>
          </w:r>
          <w:r>
            <w:rPr>
              <w:sz w:val="28"/>
              <w:szCs w:val="28"/>
            </w:rPr>
            <w:instrText xml:space="preserve"> PAGEREF _Toc3917 \h </w:instrText>
          </w:r>
          <w:r>
            <w:rPr>
              <w:sz w:val="28"/>
              <w:szCs w:val="28"/>
            </w:rPr>
            <w:fldChar w:fldCharType="separate"/>
          </w:r>
          <w:r>
            <w:rPr>
              <w:sz w:val="28"/>
              <w:szCs w:val="28"/>
            </w:rPr>
            <w:t xml:space="preserve">1</w:t>
            <w:fldChar w:fldCharType="end"/>
          </w:r>
          <w:r>
            <w:rPr>
              <w:rFonts w:hint="eastAsia" w:cs="宋体"/>
              <w:color w:val="auto"/>
              <w:sz w:val="28"/>
              <w:szCs w:val="28"/>
              <w:highlight w:val="none"/>
              <w:lang w:val="en-US" w:eastAsia="zh-CN"/>
            </w:rPr>
            <w:fldChar w:fldCharType="end"/>
          </w:r>
          <w:r/>
        </w:p>
        <w:p>
          <w:pPr>
            <w:pStyle w:val="673"/>
            <w:tabs>
              <w:tab w:val="right" w:pos="9660" w:leader="dot"/>
            </w:tabs>
            <w:rPr>
              <w:sz w:val="28"/>
              <w:szCs w:val="28"/>
            </w:rPr>
          </w:pPr>
          <w:r>
            <w:rPr>
              <w:rFonts w:hint="eastAsia" w:cs="宋体"/>
              <w:color w:val="auto"/>
              <w:sz w:val="28"/>
              <w:szCs w:val="28"/>
              <w:highlight w:val="none"/>
              <w:lang w:val="en-US" w:eastAsia="zh-CN"/>
            </w:rPr>
            <w:fldChar w:fldCharType="begin"/>
          </w:r>
          <w:r>
            <w:rPr>
              <w:rFonts w:hint="eastAsia" w:cs="宋体"/>
              <w:sz w:val="28"/>
              <w:szCs w:val="28"/>
              <w:highlight w:val="none"/>
              <w:lang w:val="en-US" w:eastAsia="zh-CN"/>
            </w:rPr>
            <w:instrText xml:space="preserve"> HYPERLINK \l _Toc29157 </w:instrText>
          </w:r>
          <w:r>
            <w:rPr>
              <w:rFonts w:hint="eastAsia" w:cs="宋体"/>
              <w:sz w:val="28"/>
              <w:szCs w:val="28"/>
              <w:highlight w:val="none"/>
              <w:lang w:val="en-US" w:eastAsia="zh-CN"/>
            </w:rPr>
            <w:fldChar w:fldCharType="separate"/>
          </w:r>
          <w:r>
            <w:rPr>
              <w:rFonts w:hint="eastAsia" w:cs="宋体"/>
              <w:bCs/>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_Toc29157 \h </w:instrText>
          </w:r>
          <w:r>
            <w:rPr>
              <w:sz w:val="28"/>
              <w:szCs w:val="28"/>
            </w:rPr>
            <w:fldChar w:fldCharType="separate"/>
          </w:r>
          <w:r>
            <w:rPr>
              <w:sz w:val="28"/>
              <w:szCs w:val="28"/>
            </w:rPr>
            <w:t xml:space="preserve">4</w:t>
            <w:fldChar w:fldCharType="end"/>
          </w:r>
          <w:r>
            <w:rPr>
              <w:rFonts w:hint="eastAsia" w:cs="宋体"/>
              <w:color w:val="auto"/>
              <w:sz w:val="28"/>
              <w:szCs w:val="28"/>
              <w:highlight w:val="none"/>
              <w:lang w:val="en-US" w:eastAsia="zh-CN"/>
            </w:rPr>
            <w:fldChar w:fldCharType="end"/>
          </w:r>
          <w:r/>
        </w:p>
        <w:p>
          <w:pPr>
            <w:pStyle w:val="673"/>
            <w:tabs>
              <w:tab w:val="right" w:pos="9660" w:leader="dot"/>
            </w:tabs>
            <w:rPr>
              <w:sz w:val="28"/>
              <w:szCs w:val="28"/>
            </w:rPr>
          </w:pPr>
          <w:r>
            <w:rPr>
              <w:rFonts w:hint="eastAsia" w:cs="宋体"/>
              <w:color w:val="auto"/>
              <w:sz w:val="28"/>
              <w:szCs w:val="28"/>
              <w:highlight w:val="none"/>
              <w:lang w:val="en-US" w:eastAsia="zh-CN"/>
            </w:rPr>
            <w:fldChar w:fldCharType="begin"/>
          </w:r>
          <w:r>
            <w:rPr>
              <w:rFonts w:hint="eastAsia" w:cs="宋体"/>
              <w:sz w:val="28"/>
              <w:szCs w:val="28"/>
              <w:highlight w:val="none"/>
              <w:lang w:val="en-US" w:eastAsia="zh-CN"/>
            </w:rPr>
            <w:instrText xml:space="preserve"> HYPERLINK \l _Toc31986 </w:instrText>
          </w:r>
          <w:r>
            <w:rPr>
              <w:rFonts w:hint="eastAsia" w:cs="宋体"/>
              <w:sz w:val="28"/>
              <w:szCs w:val="28"/>
              <w:highlight w:val="none"/>
              <w:lang w:val="en-US" w:eastAsia="zh-CN"/>
            </w:rPr>
            <w:fldChar w:fldCharType="separate"/>
          </w:r>
          <w:r>
            <w:rPr>
              <w:rFonts w:hint="eastAsia" w:cs="宋体"/>
              <w:bCs/>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_Toc31986 \h </w:instrText>
          </w:r>
          <w:r>
            <w:rPr>
              <w:sz w:val="28"/>
              <w:szCs w:val="28"/>
            </w:rPr>
            <w:fldChar w:fldCharType="separate"/>
          </w:r>
          <w:r>
            <w:rPr>
              <w:sz w:val="28"/>
              <w:szCs w:val="28"/>
            </w:rPr>
            <w:t xml:space="preserve">13</w:t>
            <w:fldChar w:fldCharType="end"/>
          </w:r>
          <w:r>
            <w:rPr>
              <w:rFonts w:hint="eastAsia" w:cs="宋体"/>
              <w:color w:val="auto"/>
              <w:sz w:val="28"/>
              <w:szCs w:val="28"/>
              <w:highlight w:val="none"/>
              <w:lang w:val="en-US" w:eastAsia="zh-CN"/>
            </w:rPr>
            <w:fldChar w:fldCharType="end"/>
          </w:r>
          <w:r/>
        </w:p>
        <w:p>
          <w:pPr>
            <w:pStyle w:val="673"/>
            <w:tabs>
              <w:tab w:val="right" w:pos="9660" w:leader="dot"/>
            </w:tabs>
            <w:rPr>
              <w:sz w:val="28"/>
              <w:szCs w:val="28"/>
            </w:rPr>
          </w:pPr>
          <w:r>
            <w:rPr>
              <w:rFonts w:hint="eastAsia" w:cs="宋体"/>
              <w:color w:val="auto"/>
              <w:sz w:val="28"/>
              <w:szCs w:val="28"/>
              <w:highlight w:val="none"/>
              <w:lang w:val="en-US" w:eastAsia="zh-CN"/>
            </w:rPr>
            <w:fldChar w:fldCharType="begin"/>
          </w:r>
          <w:r>
            <w:rPr>
              <w:rFonts w:hint="eastAsia" w:cs="宋体"/>
              <w:sz w:val="28"/>
              <w:szCs w:val="28"/>
              <w:highlight w:val="none"/>
              <w:lang w:val="en-US" w:eastAsia="zh-CN"/>
            </w:rPr>
            <w:instrText xml:space="preserve"> HYPERLINK \l _Toc8250 </w:instrText>
          </w:r>
          <w:r>
            <w:rPr>
              <w:rFonts w:hint="eastAsia" w:cs="宋体"/>
              <w:sz w:val="28"/>
              <w:szCs w:val="28"/>
              <w:highlight w:val="none"/>
              <w:lang w:val="en-US" w:eastAsia="zh-CN"/>
            </w:rPr>
            <w:fldChar w:fldCharType="separate"/>
          </w:r>
          <w:r>
            <w:rPr>
              <w:rFonts w:hint="eastAsia" w:ascii="Times New Roman" w:hAnsi="Times New Roman" w:cs="宋体"/>
              <w:bCs/>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_Toc8250 \h </w:instrText>
          </w:r>
          <w:r>
            <w:rPr>
              <w:sz w:val="28"/>
              <w:szCs w:val="28"/>
            </w:rPr>
            <w:fldChar w:fldCharType="separate"/>
          </w:r>
          <w:r>
            <w:rPr>
              <w:sz w:val="28"/>
              <w:szCs w:val="28"/>
            </w:rPr>
            <w:t xml:space="preserve">18</w:t>
            <w:fldChar w:fldCharType="end"/>
          </w:r>
          <w:r>
            <w:rPr>
              <w:rFonts w:hint="eastAsia" w:cs="宋体"/>
              <w:color w:val="auto"/>
              <w:sz w:val="28"/>
              <w:szCs w:val="28"/>
              <w:highlight w:val="none"/>
              <w:lang w:val="en-US" w:eastAsia="zh-CN"/>
            </w:rPr>
            <w:fldChar w:fldCharType="end"/>
          </w:r>
          <w:r/>
        </w:p>
        <w:p>
          <w:pPr>
            <w:pStyle w:val="673"/>
            <w:tabs>
              <w:tab w:val="right" w:pos="9660" w:leader="dot"/>
            </w:tabs>
          </w:pPr>
          <w:r>
            <w:rPr>
              <w:rFonts w:hint="eastAsia" w:cs="宋体"/>
              <w:color w:val="auto"/>
              <w:sz w:val="28"/>
              <w:szCs w:val="28"/>
              <w:highlight w:val="none"/>
              <w:lang w:val="en-US" w:eastAsia="zh-CN"/>
            </w:rPr>
            <w:fldChar w:fldCharType="begin"/>
          </w:r>
          <w:r>
            <w:rPr>
              <w:rFonts w:hint="eastAsia" w:cs="宋体"/>
              <w:sz w:val="28"/>
              <w:szCs w:val="28"/>
              <w:highlight w:val="none"/>
              <w:lang w:val="en-US" w:eastAsia="zh-CN"/>
            </w:rPr>
            <w:instrText xml:space="preserve"> HYPERLINK \l _Toc10557 </w:instrText>
          </w:r>
          <w:r>
            <w:rPr>
              <w:rFonts w:hint="eastAsia" w:cs="宋体"/>
              <w:sz w:val="28"/>
              <w:szCs w:val="28"/>
              <w:highlight w:val="none"/>
              <w:lang w:val="en-US" w:eastAsia="zh-CN"/>
            </w:rPr>
            <w:fldChar w:fldCharType="separate"/>
          </w:r>
          <w:r>
            <w:rPr>
              <w:rFonts w:hint="eastAsia" w:cs="宋体"/>
              <w:bCs/>
              <w:sz w:val="28"/>
              <w:szCs w:val="28"/>
              <w:highlight w:val="none"/>
            </w:rPr>
            <w:t xml:space="preserve">第五章  响应文件格式</w:t>
          </w:r>
          <w:r>
            <w:rPr>
              <w:sz w:val="28"/>
              <w:szCs w:val="28"/>
            </w:rPr>
            <w:tab/>
          </w:r>
          <w:r>
            <w:rPr>
              <w:sz w:val="28"/>
              <w:szCs w:val="28"/>
            </w:rPr>
            <w:fldChar w:fldCharType="begin"/>
          </w:r>
          <w:r>
            <w:rPr>
              <w:sz w:val="28"/>
              <w:szCs w:val="28"/>
            </w:rPr>
            <w:instrText xml:space="preserve"> PAGEREF _Toc10557 \h </w:instrText>
          </w:r>
          <w:r>
            <w:rPr>
              <w:sz w:val="28"/>
              <w:szCs w:val="28"/>
            </w:rPr>
            <w:fldChar w:fldCharType="separate"/>
          </w:r>
          <w:r>
            <w:rPr>
              <w:sz w:val="28"/>
              <w:szCs w:val="28"/>
            </w:rPr>
            <w:t xml:space="preserve">20</w:t>
            <w:fldChar w:fldCharType="end"/>
          </w:r>
          <w:r>
            <w:rPr>
              <w:rFonts w:hint="eastAsia" w:cs="宋体"/>
              <w:color w:val="auto"/>
              <w:sz w:val="28"/>
              <w:szCs w:val="28"/>
              <w:highlight w:val="none"/>
              <w:lang w:val="en-US" w:eastAsia="zh-CN"/>
            </w:rPr>
            <w:fldChar w:fldCharType="end"/>
          </w:r>
          <w:r/>
        </w:p>
        <w:p>
          <w:pPr>
            <w:pStyle w:val="679"/>
            <w:tabs>
              <w:tab w:val="right" w:pos="9660" w:leader="dot"/>
            </w:tabs>
          </w:pPr>
          <w:r/>
          <w:r/>
        </w:p>
        <w:p>
          <w:pPr>
            <w:jc w:val="center"/>
            <w:rPr>
              <w:rFonts w:hint="eastAsia" w:ascii="Times New Roman" w:hAnsi="Times New Roman" w:eastAsia="宋体" w:cs="宋体"/>
              <w:color w:val="auto"/>
              <w:sz w:val="21"/>
              <w:szCs w:val="36"/>
              <w:highlight w:val="none"/>
              <w:lang w:val="en-US" w:eastAsia="zh-CN" w:bidi="ar-SA"/>
            </w:rPr>
          </w:pPr>
          <w:r>
            <w:rPr>
              <w:rFonts w:hint="eastAsia" w:cs="宋体"/>
              <w:color w:val="auto"/>
              <w:szCs w:val="36"/>
              <w:highlight w:val="none"/>
              <w:lang w:val="en-US" w:eastAsia="zh-CN"/>
            </w:rPr>
            <w:fldChar w:fldCharType="end"/>
          </w:r>
          <w:r/>
        </w:p>
      </w:sdtContent>
    </w:sdt>
    <w:p>
      <w:pPr>
        <w:pStyle w:val="834"/>
        <w:jc w:val="center"/>
        <w:spacing w:line="480" w:lineRule="exact"/>
        <w:rPr>
          <w:rFonts w:hint="eastAsia" w:cs="宋体"/>
          <w:b w:val="0"/>
          <w:bCs/>
          <w:color w:val="auto"/>
          <w:sz w:val="44"/>
          <w:szCs w:val="22"/>
          <w:highlight w:val="none"/>
        </w:rPr>
        <w:sectPr>
          <w:footerReference w:type="default" r:id="rId9"/>
          <w:footnotePr/>
          <w:endnotePr/>
          <w:type w:val="nextPage"/>
          <w:pgSz w:w="11907" w:h="16840" w:orient="portrait"/>
          <w:pgMar w:top="1134" w:right="882" w:bottom="1134" w:left="1365" w:header="567" w:footer="794" w:gutter="0"/>
          <w:pgNumType w:start="1"/>
          <w:cols w:num="1" w:sep="0" w:space="1701" w:equalWidth="1"/>
          <w:docGrid w:linePitch="360"/>
        </w:sectPr>
      </w:pPr>
      <w:r/>
      <w:bookmarkStart w:id="0" w:name="_Toc158691765"/>
      <w:r/>
      <w:bookmarkStart w:id="1" w:name="_Toc103345449"/>
      <w:r/>
      <w:bookmarkStart w:id="2" w:name="_Toc315875312"/>
      <w:r/>
      <w:bookmarkStart w:id="3" w:name="_Toc315868049"/>
      <w:r/>
      <w:bookmarkStart w:id="4" w:name="_Toc31486"/>
      <w:r/>
      <w:bookmarkStart w:id="5" w:name="_Toc3917"/>
      <w:r/>
      <w:r/>
    </w:p>
    <w:p>
      <w:pPr>
        <w:pStyle w:val="834"/>
        <w:jc w:val="center"/>
        <w:spacing w:line="480" w:lineRule="exact"/>
        <w:rPr>
          <w:rFonts w:hint="eastAsia" w:cs="宋体"/>
          <w:b w:val="0"/>
          <w:bCs/>
          <w:color w:val="auto"/>
          <w:sz w:val="44"/>
          <w:szCs w:val="22"/>
          <w:highlight w:val="none"/>
        </w:rPr>
      </w:pPr>
      <w:r>
        <w:rPr>
          <w:rFonts w:hint="eastAsia" w:cs="宋体"/>
          <w:b w:val="0"/>
          <w:bCs/>
          <w:color w:val="auto"/>
          <w:sz w:val="44"/>
          <w:szCs w:val="22"/>
          <w:highlight w:val="none"/>
        </w:rPr>
        <w:t xml:space="preserve">第一章</w:t>
      </w:r>
      <w:bookmarkEnd w:id="0"/>
      <w:r/>
      <w:bookmarkEnd w:id="1"/>
      <w:r/>
      <w:bookmarkEnd w:id="2"/>
      <w:r/>
      <w:bookmarkEnd w:id="3"/>
      <w:r>
        <w:rPr>
          <w:rFonts w:hint="eastAsia" w:cs="宋体"/>
          <w:b w:val="0"/>
          <w:bCs/>
          <w:color w:val="auto"/>
          <w:sz w:val="44"/>
          <w:szCs w:val="22"/>
          <w:highlight w:val="none"/>
        </w:rPr>
        <w:t xml:space="preserve">  单一来源采购邀请</w:t>
      </w:r>
      <w:bookmarkEnd w:id="4"/>
      <w:r/>
      <w:bookmarkEnd w:id="5"/>
      <w:r/>
      <w:r/>
    </w:p>
    <w:p>
      <w:pPr>
        <w:spacing w:line="480" w:lineRule="exact"/>
        <w:rPr>
          <w:rFonts w:cs="宋体"/>
          <w:b/>
          <w:bCs/>
          <w:color w:val="auto"/>
          <w:sz w:val="24"/>
          <w:szCs w:val="24"/>
          <w:highlight w:val="none"/>
        </w:rPr>
      </w:pPr>
      <w:r/>
      <w:bookmarkStart w:id="6" w:name="_Toc28359079"/>
      <w:r/>
      <w:bookmarkStart w:id="7" w:name="_Toc35393621"/>
      <w:r/>
      <w:bookmarkStart w:id="8" w:name="_Toc35393790"/>
      <w:r/>
      <w:bookmarkStart w:id="9" w:name="_Toc28359002"/>
      <w:r/>
      <w:bookmarkStart w:id="10" w:name="_Hlk24379207"/>
      <w:r/>
      <w:bookmarkStart w:id="11" w:name="OLE_LINK2"/>
      <w:r>
        <w:rPr>
          <w:rFonts w:hint="eastAsia" w:cs="宋体"/>
          <w:b/>
          <w:bCs/>
          <w:color w:val="auto"/>
          <w:sz w:val="24"/>
          <w:szCs w:val="24"/>
          <w:highlight w:val="none"/>
        </w:rPr>
        <w:t xml:space="preserve">常熟市种业有限公司：</w:t>
      </w:r>
      <w:r/>
    </w:p>
    <w:p>
      <w:pPr>
        <w:spacing w:line="480" w:lineRule="exact"/>
        <w:rPr>
          <w:rFonts w:cs="宋体"/>
          <w:b/>
          <w:bCs/>
          <w:color w:val="auto"/>
          <w:sz w:val="24"/>
          <w:szCs w:val="24"/>
          <w:highlight w:val="none"/>
        </w:rPr>
      </w:pPr>
      <w:r>
        <w:rPr>
          <w:rFonts w:hint="eastAsia" w:cs="宋体"/>
          <w:b/>
          <w:bCs/>
          <w:color w:val="auto"/>
          <w:sz w:val="24"/>
          <w:szCs w:val="24"/>
          <w:highlight w:val="none"/>
        </w:rPr>
        <w:t xml:space="preserve">一、项目基本情况</w:t>
      </w:r>
      <w:bookmarkEnd w:id="6"/>
      <w:r/>
      <w:bookmarkEnd w:id="7"/>
      <w:r/>
      <w:bookmarkEnd w:id="8"/>
      <w:r/>
      <w:bookmarkEnd w:id="9"/>
      <w:r/>
      <w:r/>
    </w:p>
    <w:p>
      <w:pPr>
        <w:ind w:firstLine="480"/>
        <w:spacing w:line="480" w:lineRule="exact"/>
        <w:rPr>
          <w:rFonts w:hint="eastAsia" w:eastAsia="宋体" w:cs="宋体"/>
          <w:color w:val="auto"/>
          <w:sz w:val="24"/>
          <w:szCs w:val="24"/>
          <w:highlight w:val="none"/>
          <w:lang w:eastAsia="zh-CN"/>
        </w:rPr>
      </w:pPr>
      <w:r>
        <w:rPr>
          <w:rFonts w:hint="eastAsia" w:cs="宋体"/>
          <w:color w:val="auto"/>
          <w:sz w:val="24"/>
          <w:szCs w:val="24"/>
          <w:highlight w:val="none"/>
        </w:rPr>
        <w:t xml:space="preserve">项目编号：</w:t>
      </w:r>
      <w:r>
        <w:rPr>
          <w:rFonts w:hint="eastAsia" w:cs="宋体"/>
          <w:color w:val="auto"/>
          <w:sz w:val="24"/>
          <w:szCs w:val="24"/>
          <w:highlight w:val="none"/>
          <w:lang w:eastAsia="zh-CN"/>
        </w:rPr>
        <w:t xml:space="preserve">JSZC-320581-LYDL-D2026-0001</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项目名称：常熟市2026年度水稻良种补贴及救灾备荒种项目</w:t>
      </w:r>
      <w:bookmarkEnd w:id="10"/>
      <w:r/>
    </w:p>
    <w:p>
      <w:pPr>
        <w:ind w:firstLine="480"/>
        <w:spacing w:line="480" w:lineRule="exact"/>
        <w:rPr>
          <w:rFonts w:cs="宋体"/>
          <w:color w:val="auto"/>
          <w:highlight w:val="none"/>
          <w:shd w:val="clear" w:color="auto" w:fill="ffff00"/>
        </w:rPr>
      </w:pPr>
      <w:r>
        <w:rPr>
          <w:rFonts w:hint="eastAsia" w:cs="宋体"/>
          <w:color w:val="auto"/>
          <w:sz w:val="24"/>
          <w:szCs w:val="24"/>
          <w:highlight w:val="none"/>
        </w:rPr>
        <w:t xml:space="preserve">预算金额：人民币6881600.00元整</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采购需求：</w:t>
      </w:r>
      <w:bookmarkStart w:id="12" w:name="_Hlk129760223"/>
      <w:r>
        <w:rPr>
          <w:rFonts w:hint="eastAsia" w:cs="宋体"/>
          <w:color w:val="auto"/>
          <w:sz w:val="24"/>
          <w:szCs w:val="24"/>
          <w:highlight w:val="none"/>
        </w:rPr>
        <w:t xml:space="preserve">常熟市农业技术推广中心要求的常熟市2026年度水稻良种补贴及救灾备荒种项目所需种子，包括常农粳14号、常香粳1813、宁香粳9号、苏香粳100、沪软玉1号、苏粳1180、南粳108等品种共计101.2万公斤。</w:t>
      </w:r>
      <w:bookmarkEnd w:id="12"/>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合同履行期限：</w:t>
      </w:r>
      <w:r>
        <w:rPr>
          <w:rFonts w:hint="eastAsia"/>
          <w:color w:val="auto"/>
          <w:sz w:val="24"/>
          <w:szCs w:val="24"/>
          <w:highlight w:val="none"/>
        </w:rPr>
        <w:t xml:space="preserve">2026年5月15日前按照采购人要求完成。</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本项目不接受联合体协商。</w:t>
      </w:r>
      <w:r/>
    </w:p>
    <w:p>
      <w:pPr>
        <w:spacing w:line="480" w:lineRule="exact"/>
        <w:rPr>
          <w:rFonts w:cs="宋体"/>
          <w:b/>
          <w:bCs/>
          <w:color w:val="auto"/>
          <w:sz w:val="24"/>
          <w:szCs w:val="24"/>
          <w:highlight w:val="none"/>
        </w:rPr>
      </w:pPr>
      <w:r/>
      <w:bookmarkStart w:id="13" w:name="_Toc28359080"/>
      <w:r/>
      <w:bookmarkStart w:id="14" w:name="_Toc35393791"/>
      <w:r/>
      <w:bookmarkStart w:id="15" w:name="_Toc35393622"/>
      <w:r/>
      <w:bookmarkStart w:id="16" w:name="_Toc28359003"/>
      <w:r>
        <w:rPr>
          <w:rFonts w:hint="eastAsia" w:cs="宋体"/>
          <w:b/>
          <w:bCs/>
          <w:color w:val="auto"/>
          <w:sz w:val="24"/>
          <w:szCs w:val="24"/>
          <w:highlight w:val="none"/>
        </w:rPr>
        <w:t xml:space="preserve">二、合格单一来源供应商资格要求：</w:t>
      </w:r>
      <w:bookmarkEnd w:id="13"/>
      <w:r/>
      <w:bookmarkEnd w:id="14"/>
      <w:r/>
      <w:bookmarkEnd w:id="15"/>
      <w:r/>
      <w:bookmarkEnd w:id="16"/>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1.满足《中华人民共和国政府采购法》第二十二条规定。</w:t>
      </w:r>
      <w:r/>
    </w:p>
    <w:p>
      <w:pPr>
        <w:ind w:firstLine="480"/>
        <w:spacing w:line="440" w:lineRule="exact"/>
        <w:rPr>
          <w:rFonts w:cs="宋体"/>
          <w:color w:val="auto"/>
          <w:sz w:val="24"/>
          <w:szCs w:val="24"/>
          <w:highlight w:val="none"/>
        </w:rPr>
      </w:pPr>
      <w:r/>
      <w:bookmarkStart w:id="17" w:name="_Toc28359004"/>
      <w:r/>
      <w:bookmarkStart w:id="18" w:name="_Toc28359081"/>
      <w:r>
        <w:rPr>
          <w:rFonts w:hint="eastAsia" w:cs="宋体"/>
          <w:color w:val="auto"/>
          <w:sz w:val="24"/>
          <w:szCs w:val="24"/>
          <w:highlight w:val="none"/>
        </w:rPr>
        <w:t xml:space="preserve">2.落实政府采购政策需满足的资格要求：</w:t>
      </w:r>
      <w:r/>
    </w:p>
    <w:p>
      <w:pPr>
        <w:ind w:firstLine="482"/>
        <w:spacing w:line="440" w:lineRule="exact"/>
        <w:rPr>
          <w:rFonts w:cs="宋体"/>
          <w:b/>
          <w:bCs/>
          <w:color w:val="auto"/>
          <w:sz w:val="24"/>
          <w:szCs w:val="24"/>
          <w:highlight w:val="none"/>
        </w:rPr>
      </w:pPr>
      <w:r>
        <w:rPr>
          <w:rFonts w:hint="eastAsia" w:cs="宋体"/>
          <w:b/>
          <w:bCs/>
          <w:color w:val="auto"/>
          <w:sz w:val="24"/>
          <w:szCs w:val="24"/>
          <w:highlight w:val="none"/>
        </w:rPr>
        <w:t xml:space="preserve">本项目专门面向中小企业采购，所属行业为农、林、牧、渔业，投标时须提供《中小企业声明函》。</w:t>
      </w:r>
      <w:r/>
    </w:p>
    <w:p>
      <w:pPr>
        <w:ind w:firstLine="482"/>
        <w:spacing w:line="440" w:lineRule="exact"/>
        <w:rPr>
          <w:rFonts w:cs="宋体"/>
          <w:color w:val="auto"/>
          <w:sz w:val="24"/>
          <w:szCs w:val="24"/>
          <w:highlight w:val="none"/>
        </w:rPr>
      </w:pPr>
      <w:r>
        <w:rPr>
          <w:rFonts w:hint="eastAsia" w:cs="宋体"/>
          <w:b/>
          <w:bCs/>
          <w:color w:val="auto"/>
          <w:sz w:val="24"/>
          <w:szCs w:val="24"/>
          <w:highlight w:val="none"/>
        </w:rPr>
        <w:t xml:space="preserve">注：对残疾人福利性单位、监狱企业视同小型、微型企业，但须按要求提供有关声明函或证明文件。</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3.本项目的特定资格要求：无。</w:t>
      </w:r>
      <w:r/>
    </w:p>
    <w:p>
      <w:pPr>
        <w:spacing w:line="480" w:lineRule="exact"/>
        <w:rPr>
          <w:rFonts w:cs="宋体"/>
          <w:b/>
          <w:bCs/>
          <w:color w:val="auto"/>
          <w:sz w:val="24"/>
          <w:szCs w:val="24"/>
          <w:highlight w:val="none"/>
        </w:rPr>
      </w:pPr>
      <w:r/>
      <w:bookmarkStart w:id="19" w:name="_Toc35393623"/>
      <w:r/>
      <w:bookmarkStart w:id="20" w:name="_Toc35393792"/>
      <w:r>
        <w:rPr>
          <w:rFonts w:hint="eastAsia" w:cs="宋体"/>
          <w:b/>
          <w:bCs/>
          <w:color w:val="auto"/>
          <w:sz w:val="24"/>
          <w:szCs w:val="24"/>
          <w:highlight w:val="none"/>
        </w:rPr>
        <w:t xml:space="preserve">三、获取采购文件</w:t>
      </w:r>
      <w:bookmarkEnd w:id="17"/>
      <w:r/>
      <w:bookmarkEnd w:id="18"/>
      <w:r/>
      <w:bookmarkEnd w:id="19"/>
      <w:r/>
      <w:bookmarkEnd w:id="20"/>
      <w:r/>
      <w:r/>
    </w:p>
    <w:p>
      <w:pPr>
        <w:ind w:firstLine="480"/>
        <w:spacing w:line="480" w:lineRule="exact"/>
        <w:rPr>
          <w:rFonts w:cs="宋体"/>
          <w:color w:val="auto"/>
          <w:sz w:val="24"/>
          <w:szCs w:val="24"/>
          <w:highlight w:val="none"/>
        </w:rPr>
      </w:pPr>
      <w:r/>
      <w:bookmarkStart w:id="21" w:name="_Toc35393624"/>
      <w:r/>
      <w:bookmarkStart w:id="22" w:name="_Toc28359082"/>
      <w:r/>
      <w:bookmarkStart w:id="23" w:name="_Toc35393793"/>
      <w:r/>
      <w:bookmarkStart w:id="24" w:name="_Toc28359005"/>
      <w:r>
        <w:rPr>
          <w:rFonts w:hint="eastAsia" w:cs="宋体"/>
          <w:color w:val="auto"/>
          <w:sz w:val="24"/>
          <w:szCs w:val="24"/>
          <w:highlight w:val="none"/>
        </w:rPr>
        <w:t xml:space="preserve">时间：2026年4月</w:t>
      </w:r>
      <w:r>
        <w:rPr>
          <w:rFonts w:hint="eastAsia" w:cs="宋体"/>
          <w:color w:val="auto"/>
          <w:sz w:val="24"/>
          <w:szCs w:val="24"/>
          <w:highlight w:val="none"/>
          <w:lang w:val="en-US" w:eastAsia="zh-CN"/>
        </w:rPr>
        <w:t xml:space="preserve">8</w:t>
      </w:r>
      <w:r>
        <w:rPr>
          <w:rFonts w:hint="eastAsia" w:cs="宋体"/>
          <w:color w:val="auto"/>
          <w:sz w:val="24"/>
          <w:szCs w:val="24"/>
          <w:highlight w:val="none"/>
        </w:rPr>
        <w:t xml:space="preserve">日至2026年4月</w:t>
      </w:r>
      <w:r>
        <w:rPr>
          <w:rFonts w:hint="eastAsia" w:cs="宋体"/>
          <w:color w:val="auto"/>
          <w:sz w:val="24"/>
          <w:szCs w:val="24"/>
          <w:highlight w:val="none"/>
          <w:lang w:val="en-US" w:eastAsia="zh-CN"/>
        </w:rPr>
        <w:t xml:space="preserve">10</w:t>
      </w:r>
      <w:r>
        <w:rPr>
          <w:rFonts w:hint="eastAsia" w:cs="宋体"/>
          <w:color w:val="auto"/>
          <w:sz w:val="24"/>
          <w:szCs w:val="24"/>
          <w:highlight w:val="none"/>
        </w:rPr>
        <w:t xml:space="preserve">日。</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地点：“苏采云政府采购一体化平台”</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方式：在“苏采云政府采购一体化平台”自行免费下载招标文件。</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（1）参与采购活动：投标人进入苏州市政府采购网</w:t>
      </w:r>
      <w:bookmarkStart w:id="188" w:name="_GoBack"/>
      <w:r/>
      <w:bookmarkEnd w:id="188"/>
      <w:r>
        <w:rPr>
          <w:rFonts w:hint="eastAsia" w:cs="宋体"/>
          <w:color w:val="auto"/>
          <w:sz w:val="24"/>
          <w:szCs w:val="24"/>
          <w:highlight w:val="none"/>
        </w:rPr>
        <w:t xml:space="preserve">，点击网站首页底部苏采云图标，插入CA证书登陆“苏采云”系统后选择具体项目，点击“我要参与”并签章提交《投标供应商确认函》，提交《投标供应商确认函》日期视同为依法获取招标文件日期。对《投标供应商确认函》投标人应予打印保留。</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售价：免费。</w:t>
      </w:r>
      <w:r/>
    </w:p>
    <w:p>
      <w:pPr>
        <w:spacing w:line="480" w:lineRule="exact"/>
        <w:rPr>
          <w:rFonts w:cs="宋体"/>
          <w:b/>
          <w:bCs/>
          <w:color w:val="auto"/>
          <w:sz w:val="24"/>
          <w:szCs w:val="24"/>
          <w:highlight w:val="none"/>
        </w:rPr>
      </w:pPr>
      <w:r>
        <w:rPr>
          <w:rFonts w:hint="eastAsia" w:cs="宋体"/>
          <w:b/>
          <w:bCs/>
          <w:color w:val="auto"/>
          <w:sz w:val="24"/>
          <w:szCs w:val="24"/>
          <w:highlight w:val="none"/>
        </w:rPr>
        <w:t xml:space="preserve">四、</w:t>
      </w:r>
      <w:bookmarkStart w:id="25" w:name="_Hlk58416992"/>
      <w:r>
        <w:rPr>
          <w:rFonts w:hint="eastAsia" w:cs="宋体"/>
          <w:b/>
          <w:bCs/>
          <w:color w:val="auto"/>
          <w:sz w:val="24"/>
          <w:szCs w:val="24"/>
          <w:highlight w:val="none"/>
        </w:rPr>
        <w:t xml:space="preserve">响应文件</w:t>
      </w:r>
      <w:bookmarkEnd w:id="21"/>
      <w:r/>
      <w:bookmarkEnd w:id="22"/>
      <w:r/>
      <w:bookmarkEnd w:id="23"/>
      <w:r/>
      <w:bookmarkEnd w:id="24"/>
      <w:r/>
      <w:bookmarkEnd w:id="25"/>
      <w:r>
        <w:rPr>
          <w:rFonts w:hint="eastAsia" w:cs="宋体"/>
          <w:b/>
          <w:bCs/>
          <w:color w:val="auto"/>
          <w:sz w:val="24"/>
          <w:szCs w:val="24"/>
          <w:highlight w:val="none"/>
        </w:rPr>
        <w:t xml:space="preserve">提交</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截止时间：2026年4月</w:t>
      </w:r>
      <w:r>
        <w:rPr>
          <w:rFonts w:hint="eastAsia" w:cs="宋体"/>
          <w:color w:val="auto"/>
          <w:sz w:val="24"/>
          <w:szCs w:val="24"/>
          <w:highlight w:val="none"/>
          <w:lang w:val="en-US" w:eastAsia="zh-CN"/>
        </w:rPr>
        <w:t xml:space="preserve">13</w:t>
      </w:r>
      <w:r>
        <w:rPr>
          <w:rFonts w:hint="eastAsia" w:cs="宋体"/>
          <w:color w:val="auto"/>
          <w:sz w:val="24"/>
          <w:szCs w:val="24"/>
          <w:highlight w:val="none"/>
        </w:rPr>
        <w:t xml:space="preserve">日9点00分（北京时间）</w:t>
      </w:r>
      <w:r/>
    </w:p>
    <w:p>
      <w:pPr>
        <w:ind w:firstLine="480"/>
        <w:spacing w:line="480" w:lineRule="exact"/>
        <w:shd w:val="clear" w:color="auto" w:fill="ffffff"/>
        <w:widowControl/>
        <w:rPr>
          <w:rFonts w:cs="宋体"/>
          <w:color w:val="auto"/>
          <w:sz w:val="24"/>
          <w:szCs w:val="24"/>
          <w:highlight w:val="none"/>
        </w:rPr>
      </w:pPr>
      <w:r>
        <w:rPr>
          <w:rFonts w:hint="eastAsia" w:cs="宋体"/>
          <w:color w:val="auto"/>
          <w:sz w:val="24"/>
          <w:szCs w:val="24"/>
          <w:highlight w:val="none"/>
        </w:rPr>
        <w:t xml:space="preserve">地点：“苏采云”政府采购交易系统网上开标大厅。</w:t>
      </w:r>
      <w:r/>
    </w:p>
    <w:p>
      <w:pPr>
        <w:ind w:firstLine="480"/>
        <w:spacing w:line="480" w:lineRule="exact"/>
        <w:shd w:val="clear" w:color="auto" w:fill="ffffff"/>
        <w:widowControl/>
        <w:rPr>
          <w:rFonts w:cs="宋体"/>
          <w:color w:val="auto"/>
          <w:sz w:val="24"/>
          <w:szCs w:val="24"/>
          <w:highlight w:val="none"/>
        </w:rPr>
      </w:pPr>
      <w:r>
        <w:rPr>
          <w:rFonts w:hint="eastAsia" w:cs="宋体"/>
          <w:color w:val="auto"/>
          <w:sz w:val="24"/>
          <w:szCs w:val="24"/>
          <w:highlight w:val="none"/>
        </w:rPr>
        <w:t xml:space="preserve">本项目采用电子化采购形式，投标人应当按照《苏采云系统供应商操作手册》规定，须在投标截止时间前制作并上传电子投标文件至“苏采云”系统，否则视为放弃参加该采购项目。</w:t>
      </w:r>
      <w:r/>
    </w:p>
    <w:p>
      <w:pPr>
        <w:ind w:firstLine="480"/>
        <w:spacing w:line="480" w:lineRule="exact"/>
        <w:shd w:val="clear" w:color="auto" w:fill="ffffff"/>
        <w:widowControl/>
        <w:rPr>
          <w:rFonts w:cs="宋体"/>
          <w:color w:val="auto"/>
          <w:sz w:val="24"/>
          <w:szCs w:val="24"/>
          <w:highlight w:val="none"/>
        </w:rPr>
      </w:pPr>
      <w:r>
        <w:rPr>
          <w:rFonts w:hint="eastAsia" w:cs="宋体"/>
          <w:color w:val="auto"/>
          <w:sz w:val="24"/>
          <w:szCs w:val="24"/>
          <w:highlight w:val="none"/>
        </w:rPr>
        <w:t xml:space="preserve">本项目采用不见面开标，投标人登录“苏采云”系统在平台首页点击“开标大厅”，进入江苏省政府采购一体化不见面开标（采购）大厅，选择对应项目，并按系统提示完成开标流程。</w:t>
      </w:r>
      <w:r/>
    </w:p>
    <w:p>
      <w:pPr>
        <w:spacing w:line="480" w:lineRule="exact"/>
        <w:rPr>
          <w:rFonts w:cs="宋体"/>
          <w:b/>
          <w:bCs/>
          <w:color w:val="auto"/>
          <w:sz w:val="24"/>
          <w:szCs w:val="24"/>
          <w:highlight w:val="none"/>
        </w:rPr>
      </w:pPr>
      <w:r/>
      <w:bookmarkStart w:id="26" w:name="_Toc35393626"/>
      <w:r/>
      <w:bookmarkStart w:id="27" w:name="_Toc35393795"/>
      <w:r>
        <w:rPr>
          <w:rFonts w:hint="eastAsia" w:cs="宋体"/>
          <w:b/>
          <w:bCs/>
          <w:color w:val="auto"/>
          <w:sz w:val="24"/>
          <w:szCs w:val="24"/>
          <w:highlight w:val="none"/>
        </w:rPr>
        <w:t xml:space="preserve">五、其他补充事宜</w:t>
      </w:r>
      <w:bookmarkEnd w:id="26"/>
      <w:r/>
      <w:bookmarkEnd w:id="27"/>
      <w:r/>
      <w:r/>
    </w:p>
    <w:p>
      <w:pPr>
        <w:ind w:firstLine="480"/>
        <w:spacing w:line="480" w:lineRule="exact"/>
        <w:rPr>
          <w:rFonts w:cs="宋体"/>
          <w:color w:val="auto"/>
          <w:sz w:val="24"/>
          <w:szCs w:val="24"/>
          <w:highlight w:val="none"/>
        </w:rPr>
      </w:pPr>
      <w:r/>
      <w:bookmarkStart w:id="28" w:name="_Toc28359008"/>
      <w:r/>
      <w:bookmarkStart w:id="29" w:name="_Toc28359085"/>
      <w:r/>
      <w:bookmarkStart w:id="30" w:name="_Toc35393796"/>
      <w:r/>
      <w:bookmarkStart w:id="31" w:name="_Toc35393627"/>
      <w:r>
        <w:rPr>
          <w:rFonts w:hint="eastAsia" w:cs="宋体"/>
          <w:color w:val="auto"/>
          <w:sz w:val="24"/>
          <w:szCs w:val="24"/>
          <w:highlight w:val="none"/>
        </w:rPr>
        <w:t xml:space="preserve">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数字证书和电子签章具体办理方法请访问“苏采云”系统登录页面（http://jszfcg.jscz.gov.cn/jszc/login）点击“新CA办理指南”进行查阅，江苏省内各地区办理的“苏采云”系统下的政务CA证书全省通用。</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投标人在“苏采云”系统操作过程中如有疑问，请按以下方式联系：①CA技术咨询电话：400-608-6099；②电子签章技术咨询电话：15380932027、15371015030、13675197356、13675197221；③系统使用指导与咨询电话：18261002950、0512-69820854、0519-86722802。</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3.本次采购不收取投标保证金。</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4.本次采购项目有关时间要求均以北京时间为准，使用24小时制。</w:t>
      </w:r>
      <w:r/>
    </w:p>
    <w:p>
      <w:pPr>
        <w:ind w:firstLine="480"/>
        <w:spacing w:line="440" w:lineRule="exact"/>
        <w:rPr>
          <w:rFonts w:cs="宋体"/>
          <w:color w:val="auto"/>
          <w:sz w:val="24"/>
          <w:szCs w:val="24"/>
          <w:highlight w:val="none"/>
        </w:rPr>
      </w:pPr>
      <w:r>
        <w:rPr>
          <w:rFonts w:hint="eastAsia" w:cs="宋体"/>
          <w:color w:val="auto"/>
          <w:sz w:val="24"/>
          <w:szCs w:val="32"/>
          <w:highlight w:val="none"/>
        </w:rPr>
        <w:t xml:space="preserve">5、</w:t>
      </w:r>
      <w:r>
        <w:rPr>
          <w:rFonts w:hint="eastAsia" w:cs="宋体"/>
          <w:color w:val="auto"/>
          <w:sz w:val="24"/>
          <w:szCs w:val="24"/>
          <w:highlight w:val="none"/>
        </w:rPr>
        <w:t xml:space="preserve">其他要求：</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rFonts w:cs="宋体"/>
          <w:color w:val="auto"/>
          <w:sz w:val="24"/>
          <w:szCs w:val="32"/>
          <w:highlight w:val="none"/>
        </w:rPr>
      </w:pPr>
      <w:r>
        <w:rPr>
          <w:rFonts w:hint="eastAsia" w:cs="宋体"/>
          <w:color w:val="auto"/>
          <w:sz w:val="24"/>
          <w:szCs w:val="24"/>
          <w:highlight w:val="none"/>
        </w:rPr>
        <w:t xml:space="preserve">（2）单位负责人为同一人或者存在直接控股、管理关系的不同投标人，不得参加同一合同项下的政府采购活动。</w:t>
      </w:r>
      <w:r/>
    </w:p>
    <w:p>
      <w:pPr>
        <w:spacing w:line="480" w:lineRule="exact"/>
        <w:rPr>
          <w:rFonts w:hint="eastAsia" w:cs="宋体"/>
          <w:b/>
          <w:bCs/>
          <w:color w:val="auto"/>
          <w:sz w:val="24"/>
          <w:szCs w:val="24"/>
          <w:highlight w:val="none"/>
        </w:rPr>
      </w:pPr>
      <w:r>
        <w:rPr>
          <w:rFonts w:hint="eastAsia" w:cs="宋体"/>
          <w:b/>
          <w:bCs/>
          <w:color w:val="auto"/>
          <w:sz w:val="24"/>
          <w:szCs w:val="24"/>
          <w:highlight w:val="none"/>
        </w:rPr>
        <w:t xml:space="preserve">六、对本次采购提出询问，请按以下方式联系。</w:t>
      </w:r>
      <w:bookmarkEnd w:id="28"/>
      <w:r/>
      <w:bookmarkEnd w:id="29"/>
      <w:r/>
      <w:bookmarkEnd w:id="30"/>
      <w:r/>
      <w:bookmarkEnd w:id="31"/>
      <w:r/>
      <w:bookmarkStart w:id="32" w:name="_Toc28359019"/>
      <w:r/>
      <w:bookmarkStart w:id="33" w:name="_Toc28359096"/>
      <w:r/>
      <w:bookmarkStart w:id="34" w:name="_Toc35393637"/>
      <w:r/>
      <w:bookmarkStart w:id="35" w:name="_Toc35393806"/>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1.采购人信息</w:t>
      </w:r>
      <w:bookmarkEnd w:id="32"/>
      <w:r/>
      <w:bookmarkEnd w:id="33"/>
      <w:r/>
      <w:bookmarkEnd w:id="34"/>
      <w:r/>
      <w:bookmarkEnd w:id="35"/>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单位名称：常熟市农业技术推广中心</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单位地址：常熟市珠江路384号</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联系人：章湖鑫</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联系方式：0512-52843760</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2、采购代理机构信息</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单位名称：力原工程咨询（苏州）有限公司</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单位地址：常熟市黄河路22号汇丰时代广场4号楼9楼922室</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联系人：徐佳怡</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联系方式：0512-51533915</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3、项目联系方式</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项目联系人：徐佳怡</w:t>
      </w:r>
      <w:r/>
    </w:p>
    <w:p>
      <w:pPr>
        <w:ind w:firstLine="480"/>
        <w:spacing w:line="440" w:lineRule="exact"/>
        <w:rPr>
          <w:rFonts w:hint="eastAsia" w:cs="宋体"/>
          <w:color w:val="auto"/>
          <w:sz w:val="24"/>
          <w:szCs w:val="24"/>
          <w:highlight w:val="none"/>
        </w:rPr>
      </w:pPr>
      <w:r>
        <w:rPr>
          <w:rFonts w:hint="eastAsia" w:cs="宋体"/>
          <w:color w:val="auto"/>
          <w:sz w:val="24"/>
          <w:szCs w:val="24"/>
          <w:highlight w:val="none"/>
        </w:rPr>
        <w:t xml:space="preserve">电话：0512-51533915</w:t>
      </w:r>
      <w:r/>
    </w:p>
    <w:p>
      <w:pPr>
        <w:ind w:firstLine="480"/>
        <w:spacing w:line="440" w:lineRule="exact"/>
        <w:rPr>
          <w:rFonts w:hint="eastAsia" w:cs="宋体"/>
          <w:color w:val="auto"/>
          <w:sz w:val="24"/>
          <w:szCs w:val="24"/>
          <w:highlight w:val="none"/>
        </w:rPr>
      </w:pPr>
      <w:r>
        <w:rPr>
          <w:rFonts w:hint="eastAsia" w:cs="宋体"/>
          <w:color w:val="auto"/>
          <w:sz w:val="24"/>
          <w:szCs w:val="24"/>
          <w:highlight w:val="none"/>
        </w:rPr>
      </w:r>
      <w:bookmarkEnd w:id="11"/>
      <w:r/>
    </w:p>
    <w:p>
      <w:pPr>
        <w:rPr>
          <w:rFonts w:hint="eastAsia" w:cs="宋体"/>
          <w:b w:val="0"/>
          <w:bCs/>
          <w:color w:val="auto"/>
          <w:sz w:val="44"/>
          <w:szCs w:val="22"/>
          <w:highlight w:val="none"/>
        </w:rPr>
      </w:pPr>
      <w:r/>
      <w:bookmarkStart w:id="36" w:name="_Hlt97715964"/>
      <w:r/>
      <w:bookmarkEnd w:id="36"/>
      <w:r/>
      <w:bookmarkStart w:id="37" w:name="_Toc103345451"/>
      <w:r/>
      <w:bookmarkStart w:id="38" w:name="_Toc77849137"/>
      <w:r/>
      <w:bookmarkStart w:id="39" w:name="_Toc315868051"/>
      <w:r/>
      <w:bookmarkStart w:id="40" w:name="_Toc315875314"/>
      <w:r/>
      <w:bookmarkStart w:id="41" w:name="_Toc158691767"/>
      <w:r/>
      <w:bookmarkStart w:id="42" w:name="_Toc49416827"/>
      <w:r/>
      <w:bookmarkStart w:id="43" w:name="_Toc18666"/>
      <w:r/>
      <w:bookmarkStart w:id="44" w:name="_Toc315875321"/>
      <w:r/>
      <w:bookmarkStart w:id="45" w:name="_Toc315868058"/>
      <w:r/>
      <w:bookmarkStart w:id="46" w:name="_Toc158691774"/>
      <w:r/>
      <w:bookmarkStart w:id="47" w:name="_Toc158691776"/>
      <w:r/>
      <w:bookmarkStart w:id="48" w:name="_Toc315868059"/>
      <w:r/>
      <w:bookmarkStart w:id="49" w:name="_Toc315868060"/>
      <w:r/>
      <w:bookmarkStart w:id="50" w:name="_Toc158691775"/>
      <w:r/>
      <w:bookmarkStart w:id="51" w:name="_Hlk48743383"/>
      <w:r/>
      <w:bookmarkStart w:id="52" w:name="_Hlk48913207"/>
      <w:r/>
      <w:bookmarkStart w:id="53" w:name="_Toc315875323"/>
      <w:r/>
      <w:bookmarkStart w:id="54" w:name="_Toc511680876"/>
      <w:r/>
      <w:bookmarkStart w:id="55" w:name="_Toc315875322"/>
      <w:r>
        <w:rPr>
          <w:rFonts w:hint="eastAsia" w:cs="宋体"/>
          <w:b w:val="0"/>
          <w:bCs/>
          <w:color w:val="auto"/>
          <w:sz w:val="44"/>
          <w:szCs w:val="22"/>
          <w:highlight w:val="none"/>
        </w:rPr>
        <w:br w:type="page" w:clear="all"/>
      </w:r>
      <w:r/>
    </w:p>
    <w:p>
      <w:pPr>
        <w:pStyle w:val="834"/>
        <w:spacing w:line="480" w:lineRule="exact"/>
        <w:rPr>
          <w:rFonts w:cs="宋体"/>
          <w:b w:val="0"/>
          <w:bCs/>
          <w:color w:val="auto"/>
          <w:sz w:val="44"/>
          <w:szCs w:val="22"/>
          <w:highlight w:val="none"/>
        </w:rPr>
      </w:pPr>
      <w:r/>
      <w:bookmarkStart w:id="56" w:name="_Toc29157"/>
      <w:r>
        <w:rPr>
          <w:rFonts w:hint="eastAsia" w:cs="宋体"/>
          <w:b w:val="0"/>
          <w:bCs/>
          <w:color w:val="auto"/>
          <w:sz w:val="44"/>
          <w:szCs w:val="22"/>
          <w:highlight w:val="none"/>
        </w:rPr>
        <w:t xml:space="preserve">第二章</w:t>
      </w:r>
      <w:bookmarkEnd w:id="37"/>
      <w:r/>
      <w:bookmarkEnd w:id="38"/>
      <w:r/>
      <w:bookmarkEnd w:id="39"/>
      <w:r/>
      <w:bookmarkEnd w:id="40"/>
      <w:r/>
      <w:bookmarkEnd w:id="41"/>
      <w:r/>
      <w:bookmarkEnd w:id="42"/>
      <w:r>
        <w:rPr>
          <w:rFonts w:hint="eastAsia" w:cs="宋体"/>
          <w:b w:val="0"/>
          <w:bCs/>
          <w:color w:val="auto"/>
          <w:sz w:val="44"/>
          <w:szCs w:val="22"/>
          <w:highlight w:val="none"/>
        </w:rPr>
        <w:t xml:space="preserve">  供应商须知</w:t>
      </w:r>
      <w:bookmarkEnd w:id="43"/>
      <w:r/>
      <w:bookmarkEnd w:id="56"/>
      <w:r/>
      <w:r/>
    </w:p>
    <w:p>
      <w:pPr>
        <w:pStyle w:val="835"/>
        <w:jc w:val="left"/>
        <w:spacing w:before="152" w:after="152" w:line="480" w:lineRule="exact"/>
        <w:rPr>
          <w:rFonts w:eastAsia="宋体" w:cs="宋体"/>
          <w:color w:val="auto"/>
          <w:sz w:val="32"/>
          <w:szCs w:val="32"/>
          <w:highlight w:val="none"/>
        </w:rPr>
      </w:pPr>
      <w:r/>
      <w:bookmarkStart w:id="57" w:name="_Toc21240"/>
      <w:r/>
      <w:bookmarkStart w:id="58" w:name="_Toc315875315"/>
      <w:r/>
      <w:bookmarkStart w:id="59" w:name="_Toc158691768"/>
      <w:r/>
      <w:bookmarkStart w:id="60" w:name="_Toc103345452"/>
      <w:r/>
      <w:bookmarkStart w:id="61" w:name="_Toc77849138"/>
      <w:r/>
      <w:bookmarkStart w:id="62" w:name="_Toc49416828"/>
      <w:r/>
      <w:bookmarkStart w:id="63" w:name="_Toc315868052"/>
      <w:r>
        <w:rPr>
          <w:rFonts w:hint="eastAsia" w:eastAsia="宋体" w:cs="宋体"/>
          <w:color w:val="auto"/>
          <w:sz w:val="32"/>
          <w:szCs w:val="32"/>
          <w:highlight w:val="none"/>
        </w:rPr>
        <w:t xml:space="preserve">一、总则</w:t>
      </w:r>
      <w:bookmarkEnd w:id="57"/>
      <w:r/>
      <w:bookmarkEnd w:id="58"/>
      <w:r/>
      <w:bookmarkEnd w:id="59"/>
      <w:r/>
      <w:bookmarkEnd w:id="60"/>
      <w:r/>
      <w:bookmarkEnd w:id="61"/>
      <w:r/>
      <w:bookmarkEnd w:id="62"/>
      <w:r/>
      <w:bookmarkEnd w:id="63"/>
      <w:r/>
      <w:r/>
    </w:p>
    <w:p>
      <w:pPr>
        <w:spacing w:before="152" w:line="480" w:lineRule="exact"/>
        <w:rPr>
          <w:rFonts w:cs="宋体"/>
          <w:bCs/>
          <w:color w:val="auto"/>
          <w:sz w:val="28"/>
          <w:szCs w:val="28"/>
          <w:highlight w:val="none"/>
        </w:rPr>
        <w:outlineLvl w:val="2"/>
      </w:pPr>
      <w:r/>
      <w:bookmarkStart w:id="64" w:name="_Toc23386"/>
      <w:r>
        <w:rPr>
          <w:rFonts w:hint="eastAsia" w:cs="宋体"/>
          <w:bCs/>
          <w:color w:val="auto"/>
          <w:sz w:val="28"/>
          <w:szCs w:val="28"/>
          <w:highlight w:val="none"/>
        </w:rPr>
        <w:t xml:space="preserve">1、采购方式</w:t>
      </w:r>
      <w:bookmarkEnd w:id="64"/>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1.1 本次政府采购活动采取单一来源采购方式。</w:t>
      </w:r>
      <w:r/>
    </w:p>
    <w:p>
      <w:pPr>
        <w:spacing w:before="152" w:line="480" w:lineRule="exact"/>
        <w:rPr>
          <w:rFonts w:cs="宋体"/>
          <w:bCs/>
          <w:color w:val="auto"/>
          <w:sz w:val="28"/>
          <w:szCs w:val="28"/>
          <w:highlight w:val="none"/>
        </w:rPr>
        <w:outlineLvl w:val="2"/>
      </w:pPr>
      <w:r/>
      <w:bookmarkStart w:id="65" w:name="_Toc11471"/>
      <w:r>
        <w:rPr>
          <w:rFonts w:hint="eastAsia" w:cs="宋体"/>
          <w:bCs/>
          <w:color w:val="auto"/>
          <w:sz w:val="28"/>
          <w:szCs w:val="28"/>
          <w:highlight w:val="none"/>
        </w:rPr>
        <w:t xml:space="preserve">2、合格的供应商</w:t>
      </w:r>
      <w:bookmarkEnd w:id="65"/>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2.1 满足采购文件中合格单一来源供应商资格要求的规定。</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2.2 满足本采购文件实质性条款的规定。</w:t>
      </w:r>
      <w:r/>
    </w:p>
    <w:p>
      <w:pPr>
        <w:spacing w:before="152" w:line="480" w:lineRule="exact"/>
        <w:rPr>
          <w:rFonts w:cs="宋体"/>
          <w:bCs/>
          <w:color w:val="auto"/>
          <w:sz w:val="28"/>
          <w:szCs w:val="28"/>
          <w:highlight w:val="none"/>
        </w:rPr>
        <w:outlineLvl w:val="2"/>
      </w:pPr>
      <w:r/>
      <w:bookmarkStart w:id="66" w:name="_Toc28753"/>
      <w:r>
        <w:rPr>
          <w:rFonts w:hint="eastAsia" w:cs="宋体"/>
          <w:bCs/>
          <w:color w:val="auto"/>
          <w:sz w:val="28"/>
          <w:szCs w:val="28"/>
          <w:highlight w:val="none"/>
        </w:rPr>
        <w:t xml:space="preserve">3、适用法律</w:t>
      </w:r>
      <w:bookmarkEnd w:id="66"/>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3.1 本次采购及由此产生的合同受中华人民共和国有关的法律法规制约和保护。</w:t>
      </w:r>
      <w:r/>
    </w:p>
    <w:p>
      <w:pPr>
        <w:spacing w:before="152" w:line="480" w:lineRule="exact"/>
        <w:rPr>
          <w:rFonts w:cs="宋体"/>
          <w:bCs/>
          <w:color w:val="auto"/>
          <w:sz w:val="28"/>
          <w:szCs w:val="28"/>
          <w:highlight w:val="none"/>
        </w:rPr>
        <w:outlineLvl w:val="2"/>
      </w:pPr>
      <w:r/>
      <w:bookmarkStart w:id="67" w:name="_Toc22295"/>
      <w:r>
        <w:rPr>
          <w:rFonts w:hint="eastAsia" w:cs="宋体"/>
          <w:bCs/>
          <w:color w:val="auto"/>
          <w:sz w:val="28"/>
          <w:szCs w:val="28"/>
          <w:highlight w:val="none"/>
        </w:rPr>
        <w:t xml:space="preserve">4、相关费用</w:t>
      </w:r>
      <w:bookmarkEnd w:id="67"/>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4.1 供应商应自行承担所有与参加本次采购有关的费用，无论采购过程中的做法和结果如何，力原工程咨询（苏州）有限公司（以下简称代理机构）在任何情况下均无义务和责任承担这些费用。</w:t>
      </w:r>
      <w:r/>
    </w:p>
    <w:p>
      <w:pPr>
        <w:ind w:firstLine="361"/>
        <w:spacing w:line="480" w:lineRule="exact"/>
        <w:rPr>
          <w:b/>
          <w:bCs/>
          <w:color w:val="auto"/>
          <w:sz w:val="24"/>
          <w:szCs w:val="24"/>
          <w:highlight w:val="none"/>
        </w:rPr>
      </w:pPr>
      <w:r>
        <w:rPr>
          <w:b/>
          <w:bCs/>
          <w:color w:val="auto"/>
          <w:sz w:val="24"/>
          <w:szCs w:val="24"/>
          <w:highlight w:val="none"/>
        </w:rPr>
        <w:t xml:space="preserve">4.2</w:t>
      </w:r>
      <w:r>
        <w:rPr>
          <w:rFonts w:hint="eastAsia"/>
          <w:b/>
          <w:bCs/>
          <w:color w:val="auto"/>
          <w:sz w:val="24"/>
          <w:szCs w:val="24"/>
          <w:highlight w:val="none"/>
        </w:rPr>
        <w:t xml:space="preserve"> </w:t>
      </w:r>
      <w:r>
        <w:rPr>
          <w:b/>
          <w:bCs/>
          <w:color w:val="auto"/>
          <w:sz w:val="24"/>
          <w:szCs w:val="24"/>
          <w:highlight w:val="none"/>
        </w:rPr>
        <w:t xml:space="preserve">本次</w:t>
      </w:r>
      <w:r>
        <w:rPr>
          <w:rFonts w:hint="eastAsia"/>
          <w:b/>
          <w:bCs/>
          <w:color w:val="auto"/>
          <w:sz w:val="24"/>
          <w:szCs w:val="24"/>
          <w:highlight w:val="none"/>
        </w:rPr>
        <w:t xml:space="preserve">采购</w:t>
      </w:r>
      <w:r>
        <w:rPr>
          <w:b/>
          <w:bCs/>
          <w:color w:val="auto"/>
          <w:sz w:val="24"/>
          <w:szCs w:val="24"/>
          <w:highlight w:val="none"/>
        </w:rPr>
        <w:t xml:space="preserve">项目</w:t>
      </w:r>
      <w:r>
        <w:rPr>
          <w:rFonts w:hint="eastAsia"/>
          <w:b/>
          <w:bCs/>
          <w:color w:val="auto"/>
          <w:sz w:val="24"/>
          <w:szCs w:val="24"/>
          <w:highlight w:val="none"/>
        </w:rPr>
        <w:t xml:space="preserve">成交</w:t>
      </w:r>
      <w:r>
        <w:rPr>
          <w:b/>
          <w:bCs/>
          <w:color w:val="auto"/>
          <w:sz w:val="24"/>
          <w:szCs w:val="24"/>
          <w:highlight w:val="none"/>
        </w:rPr>
        <w:t xml:space="preserve">服务费</w:t>
      </w:r>
      <w:r>
        <w:rPr>
          <w:rFonts w:hint="eastAsia"/>
          <w:b/>
          <w:bCs/>
          <w:color w:val="auto"/>
          <w:sz w:val="24"/>
          <w:szCs w:val="24"/>
          <w:highlight w:val="none"/>
        </w:rPr>
        <w:t xml:space="preserve">人民币叁万元，由成交供应商支付。</w:t>
      </w:r>
      <w:r/>
    </w:p>
    <w:p>
      <w:pPr>
        <w:ind w:firstLine="361"/>
        <w:spacing w:line="480" w:lineRule="exact"/>
        <w:rPr>
          <w:b/>
          <w:bCs/>
          <w:color w:val="auto"/>
          <w:sz w:val="24"/>
          <w:szCs w:val="24"/>
          <w:highlight w:val="none"/>
        </w:rPr>
      </w:pPr>
      <w:r>
        <w:rPr>
          <w:rFonts w:hint="eastAsia"/>
          <w:b/>
          <w:bCs/>
          <w:color w:val="auto"/>
          <w:sz w:val="24"/>
          <w:szCs w:val="24"/>
          <w:highlight w:val="none"/>
        </w:rPr>
        <w:t xml:space="preserve">力原工程咨询（苏州）有限公司指定账户：</w:t>
      </w:r>
      <w:r/>
    </w:p>
    <w:p>
      <w:pPr>
        <w:ind w:firstLine="361"/>
        <w:spacing w:line="480" w:lineRule="exact"/>
        <w:rPr>
          <w:b/>
          <w:bCs/>
          <w:color w:val="auto"/>
          <w:sz w:val="24"/>
          <w:szCs w:val="24"/>
          <w:highlight w:val="none"/>
        </w:rPr>
      </w:pPr>
      <w:r>
        <w:rPr>
          <w:rFonts w:hint="eastAsia"/>
          <w:b/>
          <w:bCs/>
          <w:color w:val="auto"/>
          <w:sz w:val="24"/>
          <w:szCs w:val="24"/>
          <w:highlight w:val="none"/>
        </w:rPr>
        <w:t xml:space="preserve">账户名：力原工程咨询（苏州）有限公司</w:t>
      </w:r>
      <w:r/>
    </w:p>
    <w:p>
      <w:pPr>
        <w:ind w:firstLine="361"/>
        <w:spacing w:line="480" w:lineRule="exact"/>
        <w:rPr>
          <w:b/>
          <w:bCs/>
          <w:color w:val="auto"/>
          <w:sz w:val="24"/>
          <w:szCs w:val="24"/>
          <w:highlight w:val="none"/>
        </w:rPr>
      </w:pPr>
      <w:r>
        <w:rPr>
          <w:rFonts w:hint="eastAsia"/>
          <w:b/>
          <w:bCs/>
          <w:color w:val="auto"/>
          <w:sz w:val="24"/>
          <w:szCs w:val="24"/>
          <w:highlight w:val="none"/>
        </w:rPr>
        <w:t xml:space="preserve">开户银行：中国民生银行常熟支行</w:t>
      </w:r>
      <w:r/>
    </w:p>
    <w:p>
      <w:pPr>
        <w:ind w:firstLine="361"/>
        <w:spacing w:line="480" w:lineRule="exact"/>
        <w:rPr>
          <w:b/>
          <w:bCs/>
          <w:color w:val="auto"/>
          <w:sz w:val="24"/>
          <w:szCs w:val="24"/>
          <w:highlight w:val="none"/>
        </w:rPr>
      </w:pPr>
      <w:r>
        <w:rPr>
          <w:rFonts w:hint="eastAsia"/>
          <w:b/>
          <w:bCs/>
          <w:color w:val="auto"/>
          <w:sz w:val="24"/>
          <w:szCs w:val="24"/>
          <w:highlight w:val="none"/>
        </w:rPr>
        <w:t xml:space="preserve">帐  号：692156213</w:t>
      </w:r>
      <w:r/>
    </w:p>
    <w:p>
      <w:pPr>
        <w:spacing w:before="152" w:line="480" w:lineRule="exact"/>
        <w:rPr>
          <w:rFonts w:cs="宋体"/>
          <w:bCs/>
          <w:color w:val="auto"/>
          <w:sz w:val="28"/>
          <w:szCs w:val="28"/>
          <w:highlight w:val="none"/>
        </w:rPr>
        <w:outlineLvl w:val="2"/>
      </w:pPr>
      <w:r/>
      <w:bookmarkStart w:id="68" w:name="_Toc17427"/>
      <w:r>
        <w:rPr>
          <w:rFonts w:hint="eastAsia" w:cs="宋体"/>
          <w:bCs/>
          <w:color w:val="auto"/>
          <w:sz w:val="28"/>
          <w:szCs w:val="28"/>
          <w:highlight w:val="none"/>
        </w:rPr>
        <w:t xml:space="preserve">5、采购文件的约束力</w:t>
      </w:r>
      <w:bookmarkEnd w:id="68"/>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835"/>
        <w:ind w:firstLine="321"/>
        <w:jc w:val="left"/>
        <w:spacing w:before="152" w:after="152" w:line="480" w:lineRule="exact"/>
        <w:rPr>
          <w:rFonts w:eastAsia="宋体" w:cs="宋体"/>
          <w:color w:val="auto"/>
          <w:sz w:val="32"/>
          <w:szCs w:val="32"/>
          <w:highlight w:val="none"/>
        </w:rPr>
      </w:pPr>
      <w:r/>
      <w:bookmarkStart w:id="69" w:name="_Toc77849139"/>
      <w:r/>
      <w:bookmarkStart w:id="70" w:name="_Toc158691769"/>
      <w:r/>
      <w:bookmarkStart w:id="71" w:name="_Toc103345453"/>
      <w:r/>
      <w:bookmarkStart w:id="72" w:name="_Toc14759"/>
      <w:r/>
      <w:bookmarkStart w:id="73" w:name="_Toc49416829"/>
      <w:r/>
      <w:bookmarkStart w:id="74" w:name="_Toc315875316"/>
      <w:r/>
      <w:bookmarkStart w:id="75" w:name="_Toc315868053"/>
      <w:r>
        <w:rPr>
          <w:rFonts w:hint="eastAsia" w:eastAsia="宋体" w:cs="宋体"/>
          <w:color w:val="auto"/>
          <w:sz w:val="32"/>
          <w:szCs w:val="32"/>
          <w:highlight w:val="none"/>
        </w:rPr>
        <w:t xml:space="preserve">二、采购文件</w:t>
      </w:r>
      <w:bookmarkEnd w:id="69"/>
      <w:r/>
      <w:bookmarkEnd w:id="70"/>
      <w:r/>
      <w:bookmarkEnd w:id="71"/>
      <w:r/>
      <w:bookmarkEnd w:id="72"/>
      <w:r/>
      <w:bookmarkEnd w:id="73"/>
      <w:r/>
      <w:bookmarkEnd w:id="74"/>
      <w:r/>
      <w:bookmarkEnd w:id="75"/>
      <w:r/>
      <w:r/>
    </w:p>
    <w:p>
      <w:pPr>
        <w:spacing w:before="152" w:line="480" w:lineRule="exact"/>
        <w:rPr>
          <w:rFonts w:cs="宋体"/>
          <w:bCs/>
          <w:color w:val="auto"/>
          <w:sz w:val="28"/>
          <w:szCs w:val="28"/>
          <w:highlight w:val="none"/>
        </w:rPr>
        <w:outlineLvl w:val="2"/>
      </w:pPr>
      <w:r/>
      <w:bookmarkStart w:id="76" w:name="_Toc514"/>
      <w:r>
        <w:rPr>
          <w:rFonts w:hint="eastAsia" w:cs="宋体"/>
          <w:bCs/>
          <w:color w:val="auto"/>
          <w:sz w:val="28"/>
          <w:szCs w:val="28"/>
          <w:highlight w:val="none"/>
        </w:rPr>
        <w:t xml:space="preserve">6、采购文件构成</w:t>
      </w:r>
      <w:bookmarkEnd w:id="76"/>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6.1 采购文件由下列内容组成：</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（1）单一来源采购邀请</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（2）供应商须知</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（3）合同文本</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（4）采购需求</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（5）响应文件格式</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请仔细检查采购文件是否齐全，如有缺漏，请立即与代理机构联系解决。</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6.2 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spacing w:before="152" w:line="480" w:lineRule="exact"/>
        <w:rPr>
          <w:rFonts w:cs="宋体"/>
          <w:bCs/>
          <w:color w:val="auto"/>
          <w:sz w:val="28"/>
          <w:szCs w:val="28"/>
          <w:highlight w:val="none"/>
        </w:rPr>
        <w:outlineLvl w:val="2"/>
      </w:pPr>
      <w:r/>
      <w:bookmarkStart w:id="77" w:name="_Toc20890"/>
      <w:r/>
      <w:bookmarkStart w:id="78" w:name="_Hlk160786419"/>
      <w:r>
        <w:rPr>
          <w:rFonts w:hint="eastAsia" w:cs="宋体"/>
          <w:bCs/>
          <w:color w:val="auto"/>
          <w:sz w:val="28"/>
          <w:szCs w:val="28"/>
          <w:highlight w:val="none"/>
        </w:rPr>
        <w:t xml:space="preserve">7、采购文件的澄清</w:t>
      </w:r>
      <w:bookmarkEnd w:id="77"/>
      <w:r/>
      <w:bookmarkEnd w:id="78"/>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7.1 供应商如果要求对采购文件进行澄清的，应在响应文件接收截止时间（以下简称“截止时间”）三天前，在苏采云系统中通知代理机构。代理机构将在苏采云系统中对澄清要求予以答复。</w:t>
      </w:r>
      <w:r/>
    </w:p>
    <w:p>
      <w:pPr>
        <w:spacing w:before="152" w:line="480" w:lineRule="exact"/>
        <w:rPr>
          <w:rFonts w:cs="宋体"/>
          <w:bCs/>
          <w:color w:val="auto"/>
          <w:sz w:val="28"/>
          <w:szCs w:val="28"/>
          <w:highlight w:val="none"/>
        </w:rPr>
        <w:outlineLvl w:val="2"/>
      </w:pPr>
      <w:r/>
      <w:bookmarkStart w:id="79" w:name="_Toc15629"/>
      <w:r>
        <w:rPr>
          <w:rFonts w:hint="eastAsia" w:cs="宋体"/>
          <w:bCs/>
          <w:color w:val="auto"/>
          <w:sz w:val="28"/>
          <w:szCs w:val="28"/>
          <w:highlight w:val="none"/>
        </w:rPr>
        <w:t xml:space="preserve">8、采购文件的修改</w:t>
      </w:r>
      <w:bookmarkEnd w:id="79"/>
      <w:r/>
      <w:r/>
    </w:p>
    <w:p>
      <w:pPr>
        <w:ind w:firstLine="482"/>
        <w:spacing w:line="480" w:lineRule="exact"/>
        <w:rPr>
          <w:rFonts w:cs="宋体"/>
          <w:color w:val="auto"/>
          <w:sz w:val="24"/>
          <w:szCs w:val="24"/>
          <w:highlight w:val="none"/>
        </w:rPr>
      </w:pPr>
      <w:r>
        <w:rPr>
          <w:rFonts w:hint="eastAsia" w:cs="宋体"/>
          <w:color w:val="auto"/>
          <w:sz w:val="24"/>
          <w:szCs w:val="24"/>
          <w:highlight w:val="none"/>
        </w:rPr>
        <w:t xml:space="preserve">8.1 在截止时间前，代理机构可以以补充文件的方式对采购文件进行修改。</w:t>
      </w:r>
      <w:r/>
    </w:p>
    <w:p>
      <w:pPr>
        <w:ind w:firstLine="482"/>
        <w:spacing w:line="480" w:lineRule="exact"/>
        <w:rPr>
          <w:rFonts w:cs="宋体"/>
          <w:color w:val="auto"/>
          <w:sz w:val="24"/>
          <w:szCs w:val="24"/>
          <w:highlight w:val="none"/>
        </w:rPr>
      </w:pPr>
      <w:r>
        <w:rPr>
          <w:rFonts w:hint="eastAsia" w:cs="宋体"/>
          <w:color w:val="auto"/>
          <w:sz w:val="24"/>
          <w:szCs w:val="24"/>
          <w:highlight w:val="none"/>
        </w:rPr>
        <w:t xml:space="preserve">8.2 代理机构有权按照政府采购的有关要求推迟截止时间。</w:t>
      </w:r>
      <w:r/>
    </w:p>
    <w:p>
      <w:pPr>
        <w:ind w:firstLine="482"/>
        <w:spacing w:line="480" w:lineRule="exact"/>
        <w:rPr>
          <w:rFonts w:cs="宋体"/>
          <w:color w:val="auto"/>
          <w:sz w:val="24"/>
          <w:szCs w:val="24"/>
          <w:highlight w:val="none"/>
        </w:rPr>
      </w:pPr>
      <w:r>
        <w:rPr>
          <w:rFonts w:hint="eastAsia" w:cs="宋体"/>
          <w:color w:val="auto"/>
          <w:sz w:val="24"/>
          <w:szCs w:val="24"/>
          <w:highlight w:val="none"/>
        </w:rPr>
        <w:t xml:space="preserve">8.3 采购文件的补充文件将作为采购文件的组成部分，并对供应商具有约束力。</w:t>
      </w:r>
      <w:r/>
    </w:p>
    <w:p>
      <w:pPr>
        <w:pStyle w:val="835"/>
        <w:jc w:val="left"/>
        <w:spacing w:before="152" w:after="152" w:line="480" w:lineRule="exact"/>
        <w:rPr>
          <w:rFonts w:eastAsia="宋体" w:cs="宋体"/>
          <w:color w:val="auto"/>
          <w:sz w:val="32"/>
          <w:szCs w:val="32"/>
          <w:highlight w:val="none"/>
        </w:rPr>
      </w:pPr>
      <w:r/>
      <w:bookmarkStart w:id="80" w:name="_Toc103345454"/>
      <w:r/>
      <w:bookmarkStart w:id="81" w:name="_Toc158691770"/>
      <w:r/>
      <w:bookmarkStart w:id="82" w:name="_Toc77849140"/>
      <w:r/>
      <w:bookmarkStart w:id="83" w:name="_Toc12149"/>
      <w:r/>
      <w:bookmarkStart w:id="84" w:name="_Toc315868054"/>
      <w:r/>
      <w:bookmarkStart w:id="85" w:name="_Toc315875317"/>
      <w:r/>
      <w:bookmarkStart w:id="86" w:name="_Toc49416830"/>
      <w:r>
        <w:rPr>
          <w:rFonts w:hint="eastAsia" w:eastAsia="宋体" w:cs="宋体"/>
          <w:color w:val="auto"/>
          <w:sz w:val="32"/>
          <w:szCs w:val="32"/>
          <w:highlight w:val="none"/>
        </w:rPr>
        <w:t xml:space="preserve">三、响应文件的编制</w:t>
      </w:r>
      <w:bookmarkEnd w:id="80"/>
      <w:r/>
      <w:bookmarkEnd w:id="81"/>
      <w:r/>
      <w:bookmarkEnd w:id="82"/>
      <w:r/>
      <w:bookmarkEnd w:id="83"/>
      <w:r/>
      <w:bookmarkEnd w:id="84"/>
      <w:r/>
      <w:bookmarkEnd w:id="85"/>
      <w:r/>
      <w:bookmarkEnd w:id="86"/>
      <w:r/>
      <w:r/>
    </w:p>
    <w:p>
      <w:pPr>
        <w:spacing w:before="152" w:line="480" w:lineRule="exact"/>
        <w:rPr>
          <w:rFonts w:cs="宋体"/>
          <w:bCs/>
          <w:color w:val="auto"/>
          <w:sz w:val="28"/>
          <w:szCs w:val="28"/>
          <w:highlight w:val="none"/>
        </w:rPr>
        <w:outlineLvl w:val="2"/>
      </w:pPr>
      <w:r/>
      <w:bookmarkStart w:id="87" w:name="_Toc12199"/>
      <w:r>
        <w:rPr>
          <w:rFonts w:hint="eastAsia" w:cs="宋体"/>
          <w:bCs/>
          <w:color w:val="auto"/>
          <w:sz w:val="28"/>
          <w:szCs w:val="28"/>
          <w:highlight w:val="none"/>
        </w:rPr>
        <w:t xml:space="preserve">9、响应文件的语言及度量衡单位</w:t>
      </w:r>
      <w:bookmarkEnd w:id="87"/>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9.1 供应商提交的响应文件以及供应商与代理机构就有关采购活动的所有来往通知、函件和文件均应使用</w:t>
      </w:r>
      <w:r>
        <w:rPr>
          <w:rFonts w:hint="eastAsia" w:cs="宋体"/>
          <w:b/>
          <w:bCs/>
          <w:color w:val="auto"/>
          <w:sz w:val="24"/>
          <w:szCs w:val="24"/>
          <w:highlight w:val="none"/>
        </w:rPr>
        <w:t xml:space="preserve">简体中文</w:t>
      </w:r>
      <w:r>
        <w:rPr>
          <w:rFonts w:hint="eastAsia" w:cs="宋体"/>
          <w:color w:val="auto"/>
          <w:sz w:val="24"/>
          <w:szCs w:val="24"/>
          <w:highlight w:val="none"/>
        </w:rPr>
        <w:t xml:space="preserve">。</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9.2 除技术性能另有规定外，响应文件所使用的度量衡单位，均须采用国家法定计量单位。</w:t>
      </w:r>
      <w:r/>
    </w:p>
    <w:p>
      <w:pPr>
        <w:spacing w:before="152" w:line="480" w:lineRule="exact"/>
        <w:rPr>
          <w:rFonts w:cs="宋体"/>
          <w:bCs/>
          <w:color w:val="auto"/>
          <w:sz w:val="28"/>
          <w:szCs w:val="28"/>
          <w:highlight w:val="none"/>
        </w:rPr>
        <w:outlineLvl w:val="2"/>
      </w:pPr>
      <w:r/>
      <w:bookmarkStart w:id="88" w:name="_Toc1985"/>
      <w:r>
        <w:rPr>
          <w:rFonts w:hint="eastAsia" w:cs="宋体"/>
          <w:bCs/>
          <w:color w:val="auto"/>
          <w:sz w:val="28"/>
          <w:szCs w:val="28"/>
          <w:highlight w:val="none"/>
        </w:rPr>
        <w:t xml:space="preserve">10、响应文件构成</w:t>
      </w:r>
      <w:bookmarkEnd w:id="88"/>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10.1 供应商编写的响应文件应包括资格证明文件、符合性证明文件、分项报价表、合同条款偏离表、其他证明文件、单一来源响应函等部分。</w:t>
      </w:r>
      <w:r/>
    </w:p>
    <w:p>
      <w:pPr>
        <w:spacing w:before="152" w:line="480" w:lineRule="exact"/>
        <w:rPr>
          <w:rFonts w:cs="宋体"/>
          <w:bCs/>
          <w:color w:val="auto"/>
          <w:sz w:val="28"/>
          <w:szCs w:val="28"/>
          <w:highlight w:val="none"/>
        </w:rPr>
        <w:outlineLvl w:val="2"/>
      </w:pPr>
      <w:r/>
      <w:bookmarkStart w:id="89" w:name="_Toc6292"/>
      <w:r>
        <w:rPr>
          <w:rFonts w:hint="eastAsia" w:cs="宋体"/>
          <w:bCs/>
          <w:color w:val="auto"/>
          <w:sz w:val="28"/>
          <w:szCs w:val="28"/>
          <w:highlight w:val="none"/>
        </w:rPr>
        <w:t xml:space="preserve">11、证明供应商及响应标的符合采购文件规定的文件</w:t>
      </w:r>
      <w:bookmarkEnd w:id="89"/>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11.1 供应商应按照法律、法规、规章和规范性文件以及采购文件要求提交证明文件，证明其及响应标的符合采购文件规定。</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11.2 采购文件对证明文件无明确形式要求的，证明文件可以以文字资料、图纸和数据等形式提交。</w:t>
      </w:r>
      <w:r/>
    </w:p>
    <w:p>
      <w:pPr>
        <w:spacing w:before="152" w:line="480" w:lineRule="exact"/>
        <w:rPr>
          <w:rFonts w:cs="宋体"/>
          <w:bCs/>
          <w:color w:val="auto"/>
          <w:sz w:val="28"/>
          <w:szCs w:val="28"/>
          <w:highlight w:val="none"/>
        </w:rPr>
        <w:outlineLvl w:val="2"/>
      </w:pPr>
      <w:r/>
      <w:bookmarkStart w:id="90" w:name="_Toc28964"/>
      <w:r>
        <w:rPr>
          <w:rFonts w:hint="eastAsia" w:cs="宋体"/>
          <w:bCs/>
          <w:color w:val="auto"/>
          <w:sz w:val="28"/>
          <w:szCs w:val="28"/>
          <w:highlight w:val="none"/>
        </w:rPr>
        <w:t xml:space="preserve">12、分项报价表</w:t>
      </w:r>
      <w:bookmarkEnd w:id="90"/>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12.1 供应商应按照采购文件规定格式填报分项报价表。</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12.2 报价货币。响应文件中的单价和总价无特殊规定的采用人民币报价，以元为单位标注。采购文件中另有规定的按规定执行。</w:t>
      </w:r>
      <w:r/>
    </w:p>
    <w:p>
      <w:pPr>
        <w:spacing w:before="152" w:line="480" w:lineRule="exact"/>
        <w:rPr>
          <w:rFonts w:cs="宋体"/>
          <w:bCs/>
          <w:color w:val="auto"/>
          <w:sz w:val="28"/>
          <w:szCs w:val="28"/>
          <w:highlight w:val="none"/>
        </w:rPr>
        <w:outlineLvl w:val="2"/>
      </w:pPr>
      <w:r/>
      <w:bookmarkStart w:id="91" w:name="_Toc781"/>
      <w:r>
        <w:rPr>
          <w:rFonts w:hint="eastAsia" w:cs="宋体"/>
          <w:bCs/>
          <w:color w:val="auto"/>
          <w:sz w:val="28"/>
          <w:szCs w:val="28"/>
          <w:highlight w:val="none"/>
        </w:rPr>
        <w:t xml:space="preserve">13、技术要求响应及偏离表（如有）、合同条款偏离表</w:t>
      </w:r>
      <w:bookmarkEnd w:id="91"/>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13.1供应商需对采购文件中的技术要求与合同条款要求逐项作出响应或偏离，并说明原因。</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13.2供应商可在响应文件中提供认为需要的其他技术文件或说明。</w:t>
      </w:r>
      <w:r/>
    </w:p>
    <w:p>
      <w:pPr>
        <w:spacing w:before="152" w:line="480" w:lineRule="exact"/>
        <w:rPr>
          <w:rFonts w:cs="宋体"/>
          <w:bCs/>
          <w:color w:val="auto"/>
          <w:sz w:val="28"/>
          <w:szCs w:val="28"/>
          <w:highlight w:val="none"/>
        </w:rPr>
        <w:outlineLvl w:val="2"/>
      </w:pPr>
      <w:r/>
      <w:bookmarkStart w:id="92" w:name="_Toc1141"/>
      <w:r>
        <w:rPr>
          <w:rFonts w:hint="eastAsia" w:cs="宋体"/>
          <w:bCs/>
          <w:color w:val="auto"/>
          <w:sz w:val="28"/>
          <w:szCs w:val="28"/>
          <w:highlight w:val="none"/>
        </w:rPr>
        <w:t xml:space="preserve">14、服务承诺、培训计划、人员安排及其他（如有）</w:t>
      </w:r>
      <w:bookmarkEnd w:id="92"/>
      <w:r/>
      <w:r/>
    </w:p>
    <w:p>
      <w:pPr>
        <w:ind w:firstLine="360"/>
        <w:spacing w:line="480" w:lineRule="exact"/>
        <w:rPr>
          <w:rFonts w:cs="宋体"/>
          <w:color w:val="auto"/>
          <w:sz w:val="24"/>
          <w:szCs w:val="24"/>
          <w:highlight w:val="none"/>
        </w:rPr>
      </w:pPr>
      <w:r/>
      <w:bookmarkStart w:id="93" w:name="_Hlk161749841"/>
      <w:r>
        <w:rPr>
          <w:rFonts w:hint="eastAsia" w:cs="宋体"/>
          <w:color w:val="auto"/>
          <w:sz w:val="24"/>
          <w:szCs w:val="24"/>
          <w:highlight w:val="none"/>
        </w:rPr>
        <w:t xml:space="preserve">14.1 供应商需根据采购文件要求提供有关售后服务的管理制度，售后服务机构的分布情况，售后服务人员的数量、素质、技术水平及售后服务的反应能力等。</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14.2 供应商需根据采购文件要求提供培训计划。</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14.3 供应商需根据采购文件要求提供所投标的的主要组成部分、功能设计、实现思路及关键技术等。</w:t>
      </w:r>
      <w:bookmarkEnd w:id="93"/>
      <w:r/>
    </w:p>
    <w:p>
      <w:pPr>
        <w:spacing w:before="152" w:line="480" w:lineRule="exact"/>
        <w:rPr>
          <w:rFonts w:cs="宋体"/>
          <w:bCs/>
          <w:color w:val="auto"/>
          <w:sz w:val="28"/>
          <w:szCs w:val="28"/>
          <w:highlight w:val="none"/>
        </w:rPr>
        <w:outlineLvl w:val="2"/>
      </w:pPr>
      <w:r/>
      <w:bookmarkStart w:id="94" w:name="_Toc32005"/>
      <w:r>
        <w:rPr>
          <w:rFonts w:hint="eastAsia" w:cs="宋体"/>
          <w:bCs/>
          <w:color w:val="auto"/>
          <w:sz w:val="28"/>
          <w:szCs w:val="28"/>
          <w:highlight w:val="none"/>
        </w:rPr>
        <w:t xml:space="preserve">15、单一来源响应函</w:t>
      </w:r>
      <w:bookmarkEnd w:id="94"/>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15.1 供应商应按照采购文件中提供的格式完整、正确填写单一来源响应函。</w:t>
      </w:r>
      <w:r/>
    </w:p>
    <w:p>
      <w:pPr>
        <w:spacing w:before="152" w:line="480" w:lineRule="exact"/>
        <w:rPr>
          <w:rFonts w:cs="宋体"/>
          <w:bCs/>
          <w:color w:val="auto"/>
          <w:sz w:val="28"/>
          <w:szCs w:val="28"/>
          <w:highlight w:val="none"/>
        </w:rPr>
        <w:outlineLvl w:val="2"/>
      </w:pPr>
      <w:r/>
      <w:bookmarkStart w:id="95" w:name="_Toc30319"/>
      <w:r>
        <w:rPr>
          <w:rFonts w:hint="eastAsia" w:cs="宋体"/>
          <w:bCs/>
          <w:color w:val="auto"/>
          <w:sz w:val="28"/>
          <w:szCs w:val="28"/>
          <w:highlight w:val="none"/>
        </w:rPr>
        <w:t xml:space="preserve">16、投标有效期的延长</w:t>
      </w:r>
      <w:bookmarkEnd w:id="95"/>
      <w:r/>
      <w:r/>
    </w:p>
    <w:p>
      <w:pPr>
        <w:ind w:firstLine="482"/>
        <w:spacing w:line="480" w:lineRule="exact"/>
        <w:rPr>
          <w:rFonts w:cs="宋体"/>
          <w:color w:val="auto"/>
          <w:sz w:val="24"/>
          <w:szCs w:val="24"/>
          <w:highlight w:val="none"/>
        </w:rPr>
      </w:pPr>
      <w:r>
        <w:rPr>
          <w:rFonts w:hint="eastAsia" w:cs="宋体"/>
          <w:color w:val="auto"/>
          <w:sz w:val="24"/>
          <w:szCs w:val="24"/>
          <w:highlight w:val="none"/>
        </w:rPr>
        <w:t xml:space="preserve">16.1 单一来源采购有效期（以下简称“有效期”）为代理机构规定的响应文件接收截止之日后</w:t>
      </w:r>
      <w:r>
        <w:rPr>
          <w:rFonts w:hint="eastAsia" w:cs="宋体"/>
          <w:b/>
          <w:bCs/>
          <w:color w:val="auto"/>
          <w:sz w:val="24"/>
          <w:szCs w:val="24"/>
          <w:highlight w:val="none"/>
          <w:u w:val="single"/>
        </w:rPr>
        <w:t xml:space="preserve">三十（30）天</w:t>
      </w:r>
      <w:r>
        <w:rPr>
          <w:rFonts w:hint="eastAsia" w:cs="宋体"/>
          <w:color w:val="auto"/>
          <w:sz w:val="24"/>
          <w:szCs w:val="24"/>
          <w:highlight w:val="none"/>
        </w:rPr>
        <w:t xml:space="preserve">。有效期比规定期限短的将被视为未响应采购文件要求而予以拒绝。</w:t>
      </w:r>
      <w:r/>
    </w:p>
    <w:p>
      <w:pPr>
        <w:spacing w:before="152" w:line="480" w:lineRule="exact"/>
        <w:rPr>
          <w:rFonts w:cs="宋体"/>
          <w:bCs/>
          <w:color w:val="auto"/>
          <w:sz w:val="28"/>
          <w:szCs w:val="28"/>
          <w:highlight w:val="none"/>
        </w:rPr>
        <w:outlineLvl w:val="2"/>
      </w:pPr>
      <w:r/>
      <w:bookmarkStart w:id="96" w:name="_Toc5269"/>
      <w:r>
        <w:rPr>
          <w:rFonts w:hint="eastAsia" w:cs="宋体"/>
          <w:bCs/>
          <w:color w:val="auto"/>
          <w:sz w:val="28"/>
          <w:szCs w:val="28"/>
          <w:highlight w:val="none"/>
        </w:rPr>
        <w:t xml:space="preserve">17、有效期的延长</w:t>
      </w:r>
      <w:bookmarkEnd w:id="96"/>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17.1 在特殊情况下，代理机构于原有效期满之前，可向供应商提出延长有效期的要求。这种要求与答复均应采用书面形式。供应商可以拒绝代理机构的这一要求而放弃投标。同意延长有效期的供应商既不能要求也不允许修改其响应文件，同时受有效期约束的所有权利与义务均延长至新的有效期。</w:t>
      </w:r>
      <w:r/>
    </w:p>
    <w:p>
      <w:pPr>
        <w:pStyle w:val="835"/>
        <w:jc w:val="left"/>
        <w:spacing w:before="152" w:after="152" w:line="480" w:lineRule="exact"/>
        <w:rPr>
          <w:rFonts w:eastAsia="宋体" w:cs="宋体"/>
          <w:color w:val="auto"/>
          <w:sz w:val="32"/>
          <w:szCs w:val="32"/>
          <w:highlight w:val="none"/>
        </w:rPr>
      </w:pPr>
      <w:r/>
      <w:bookmarkStart w:id="97" w:name="_Toc315868055"/>
      <w:r/>
      <w:bookmarkStart w:id="98" w:name="_Toc49416831"/>
      <w:r/>
      <w:bookmarkStart w:id="99" w:name="_Toc315875318"/>
      <w:r/>
      <w:bookmarkStart w:id="100" w:name="_Toc158691771"/>
      <w:r/>
      <w:bookmarkStart w:id="101" w:name="_Toc103345455"/>
      <w:r/>
      <w:bookmarkStart w:id="102" w:name="_Toc77849141"/>
      <w:r/>
      <w:bookmarkStart w:id="103" w:name="_Toc16356"/>
      <w:r>
        <w:rPr>
          <w:rFonts w:hint="eastAsia" w:eastAsia="宋体" w:cs="宋体"/>
          <w:color w:val="auto"/>
          <w:sz w:val="32"/>
          <w:szCs w:val="32"/>
          <w:highlight w:val="none"/>
        </w:rPr>
        <w:t xml:space="preserve">四、响应文件的</w:t>
      </w:r>
      <w:bookmarkEnd w:id="97"/>
      <w:r/>
      <w:bookmarkEnd w:id="98"/>
      <w:r/>
      <w:bookmarkEnd w:id="99"/>
      <w:r/>
      <w:bookmarkEnd w:id="100"/>
      <w:r/>
      <w:bookmarkEnd w:id="101"/>
      <w:r/>
      <w:bookmarkEnd w:id="102"/>
      <w:r>
        <w:rPr>
          <w:rFonts w:hint="eastAsia" w:eastAsia="宋体" w:cs="宋体"/>
          <w:color w:val="auto"/>
          <w:sz w:val="32"/>
          <w:szCs w:val="32"/>
          <w:highlight w:val="none"/>
        </w:rPr>
        <w:t xml:space="preserve">递交</w:t>
      </w:r>
      <w:bookmarkEnd w:id="103"/>
      <w:r/>
      <w:r/>
    </w:p>
    <w:p>
      <w:pPr>
        <w:spacing w:before="152" w:line="480" w:lineRule="exact"/>
        <w:rPr>
          <w:rFonts w:cs="宋体"/>
          <w:bCs/>
          <w:color w:val="auto"/>
          <w:sz w:val="28"/>
          <w:szCs w:val="28"/>
          <w:highlight w:val="none"/>
        </w:rPr>
        <w:outlineLvl w:val="2"/>
      </w:pPr>
      <w:r/>
      <w:bookmarkStart w:id="104" w:name="_Toc32224"/>
      <w:r>
        <w:rPr>
          <w:rFonts w:hint="eastAsia" w:cs="宋体"/>
          <w:bCs/>
          <w:color w:val="auto"/>
          <w:sz w:val="28"/>
          <w:szCs w:val="28"/>
          <w:highlight w:val="none"/>
        </w:rPr>
        <w:t xml:space="preserve">18、电子响应文件的递交</w:t>
      </w:r>
      <w:bookmarkEnd w:id="104"/>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18.1 供应商应当按照《操作手册》规定，在截止时间前制作并上传电子响应文件。</w:t>
      </w:r>
      <w:r/>
    </w:p>
    <w:p>
      <w:pPr>
        <w:spacing w:before="152" w:line="480" w:lineRule="exact"/>
        <w:rPr>
          <w:rFonts w:cs="宋体"/>
          <w:bCs/>
          <w:color w:val="auto"/>
          <w:sz w:val="28"/>
          <w:szCs w:val="28"/>
          <w:highlight w:val="none"/>
        </w:rPr>
        <w:outlineLvl w:val="2"/>
      </w:pPr>
      <w:r/>
      <w:bookmarkStart w:id="105" w:name="_Toc20643"/>
      <w:r>
        <w:rPr>
          <w:rFonts w:hint="eastAsia" w:cs="宋体"/>
          <w:bCs/>
          <w:color w:val="auto"/>
          <w:sz w:val="28"/>
          <w:szCs w:val="28"/>
          <w:highlight w:val="none"/>
        </w:rPr>
        <w:t xml:space="preserve">19、提交响应文件截止时间</w:t>
      </w:r>
      <w:bookmarkEnd w:id="105"/>
      <w:r/>
      <w:r/>
    </w:p>
    <w:p>
      <w:pPr>
        <w:ind w:firstLine="360"/>
        <w:spacing w:line="480" w:lineRule="exact"/>
        <w:rPr>
          <w:rFonts w:cs="宋体"/>
          <w:i/>
          <w:iCs/>
          <w:color w:val="auto"/>
          <w:sz w:val="24"/>
          <w:szCs w:val="24"/>
          <w:highlight w:val="none"/>
          <w:u w:val="single"/>
        </w:rPr>
      </w:pPr>
      <w:r>
        <w:rPr>
          <w:rFonts w:hint="eastAsia" w:cs="宋体"/>
          <w:i/>
          <w:iCs/>
          <w:color w:val="auto"/>
          <w:sz w:val="24"/>
          <w:szCs w:val="24"/>
          <w:highlight w:val="none"/>
          <w:u w:val="single"/>
        </w:rPr>
        <w:t xml:space="preserve">19.1 供应商上传电子响应文件的时间不得迟于单一来源采购邀请中规定的截止时间。</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供应商应充分考虑到网络环境、网络带宽等风险因素，如因供应商自身原因造成的电子响应文件上传不成功由供应商自行承担全部责任。</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19.2 代理机构可以按照规定，通过修改采购文件酌情延长截止时间，在此情况下，供应商的所有权利和义务以及供应商受制的截止时间以延长后新的截止时间为准。</w:t>
      </w:r>
      <w:r/>
    </w:p>
    <w:p>
      <w:pPr>
        <w:spacing w:before="152" w:line="480" w:lineRule="exact"/>
        <w:rPr>
          <w:rFonts w:cs="宋体"/>
          <w:bCs/>
          <w:color w:val="auto"/>
          <w:sz w:val="28"/>
          <w:szCs w:val="28"/>
          <w:highlight w:val="none"/>
        </w:rPr>
        <w:outlineLvl w:val="2"/>
      </w:pPr>
      <w:r/>
      <w:bookmarkStart w:id="106" w:name="_Toc3302"/>
      <w:r>
        <w:rPr>
          <w:rFonts w:hint="eastAsia" w:cs="宋体"/>
          <w:bCs/>
          <w:color w:val="auto"/>
          <w:sz w:val="28"/>
          <w:szCs w:val="28"/>
          <w:highlight w:val="none"/>
        </w:rPr>
        <w:t xml:space="preserve">20、响应文件的拒收</w:t>
      </w:r>
      <w:bookmarkEnd w:id="106"/>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20.1 代理机构拒绝接收在其规定的截止时间后上传的任何电子响应文件。</w:t>
      </w:r>
      <w:r/>
    </w:p>
    <w:p>
      <w:pPr>
        <w:spacing w:before="152" w:line="480" w:lineRule="exact"/>
        <w:rPr>
          <w:rFonts w:cs="宋体"/>
          <w:bCs/>
          <w:color w:val="auto"/>
          <w:sz w:val="28"/>
          <w:szCs w:val="28"/>
          <w:highlight w:val="none"/>
        </w:rPr>
        <w:outlineLvl w:val="2"/>
      </w:pPr>
      <w:r/>
      <w:bookmarkStart w:id="107" w:name="_Toc27244"/>
      <w:r>
        <w:rPr>
          <w:rFonts w:hint="eastAsia" w:cs="宋体"/>
          <w:bCs/>
          <w:color w:val="auto"/>
          <w:sz w:val="28"/>
          <w:szCs w:val="28"/>
          <w:highlight w:val="none"/>
        </w:rPr>
        <w:t xml:space="preserve">21、响应文件的撤回和修改</w:t>
      </w:r>
      <w:bookmarkEnd w:id="107"/>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21.1 响应文件的撤回</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21.1.1 电子响应文件的撤回</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供应商可在截止时间前，撤回其电子响应文件，具体操作方法见《操作手册》。</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21.1.2 供应商撤回电子响应文件，则认为其不再参与本项目采购活动。</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21.2 响应文件的修改</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供应商可在截止时间前，对其电子响应文件进行修改，具体操作方法见《操作手册》。</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21.3 在截止时间之后，供应商不得对其电子响应文件作任何修改。</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21.4 在截止时间至有效期满之间的这段时间内，供应商不得撤回其响应文件。</w:t>
      </w:r>
      <w:r/>
    </w:p>
    <w:p>
      <w:pPr>
        <w:pStyle w:val="835"/>
        <w:jc w:val="left"/>
        <w:spacing w:before="152" w:after="152" w:line="480" w:lineRule="exact"/>
        <w:rPr>
          <w:rFonts w:eastAsia="宋体" w:cs="宋体"/>
          <w:color w:val="auto"/>
          <w:sz w:val="32"/>
          <w:szCs w:val="32"/>
          <w:highlight w:val="none"/>
        </w:rPr>
      </w:pPr>
      <w:r/>
      <w:bookmarkStart w:id="108" w:name="_Toc315868056"/>
      <w:r/>
      <w:bookmarkStart w:id="109" w:name="_Toc315875319"/>
      <w:r/>
      <w:bookmarkStart w:id="110" w:name="_Toc158691772"/>
      <w:r/>
      <w:bookmarkStart w:id="111" w:name="_Toc49416832"/>
      <w:r/>
      <w:bookmarkStart w:id="112" w:name="_Toc103345456"/>
      <w:r/>
      <w:bookmarkStart w:id="113" w:name="_Toc228093024"/>
      <w:r/>
      <w:bookmarkStart w:id="114" w:name="_Toc77849142"/>
      <w:r/>
      <w:bookmarkStart w:id="115" w:name="_Toc19231"/>
      <w:r>
        <w:rPr>
          <w:rFonts w:hint="eastAsia" w:eastAsia="宋体" w:cs="宋体"/>
          <w:color w:val="auto"/>
          <w:sz w:val="32"/>
          <w:szCs w:val="32"/>
          <w:highlight w:val="none"/>
        </w:rPr>
        <w:t xml:space="preserve">五、</w:t>
      </w:r>
      <w:bookmarkEnd w:id="108"/>
      <w:r/>
      <w:bookmarkEnd w:id="109"/>
      <w:r/>
      <w:bookmarkEnd w:id="110"/>
      <w:r/>
      <w:bookmarkEnd w:id="111"/>
      <w:r/>
      <w:bookmarkEnd w:id="112"/>
      <w:r/>
      <w:bookmarkEnd w:id="113"/>
      <w:r/>
      <w:bookmarkEnd w:id="114"/>
      <w:r>
        <w:rPr>
          <w:rFonts w:hint="eastAsia" w:eastAsia="宋体" w:cs="宋体"/>
          <w:color w:val="auto"/>
          <w:sz w:val="32"/>
          <w:szCs w:val="32"/>
          <w:highlight w:val="none"/>
        </w:rPr>
        <w:t xml:space="preserve">响应文件的解密与评审</w:t>
      </w:r>
      <w:bookmarkEnd w:id="115"/>
      <w:r/>
      <w:r/>
    </w:p>
    <w:p>
      <w:pPr>
        <w:spacing w:before="152" w:line="480" w:lineRule="exact"/>
        <w:rPr>
          <w:rFonts w:cs="宋体"/>
          <w:bCs/>
          <w:color w:val="auto"/>
          <w:sz w:val="28"/>
          <w:szCs w:val="28"/>
          <w:highlight w:val="none"/>
        </w:rPr>
        <w:outlineLvl w:val="2"/>
      </w:pPr>
      <w:r/>
      <w:bookmarkStart w:id="116" w:name="_Toc27814"/>
      <w:r>
        <w:rPr>
          <w:rFonts w:hint="eastAsia" w:cs="宋体"/>
          <w:bCs/>
          <w:color w:val="auto"/>
          <w:sz w:val="28"/>
          <w:szCs w:val="28"/>
          <w:highlight w:val="none"/>
        </w:rPr>
        <w:t xml:space="preserve">22、响应文件解密</w:t>
      </w:r>
      <w:bookmarkEnd w:id="116"/>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22.1供应商应当按照《操作手册》规定，在苏采云系统规定的时间内对响应文件进行解密。</w:t>
      </w:r>
      <w:r/>
    </w:p>
    <w:p>
      <w:pPr>
        <w:spacing w:before="152" w:line="480" w:lineRule="exact"/>
        <w:rPr>
          <w:rFonts w:cs="宋体"/>
          <w:bCs/>
          <w:color w:val="auto"/>
          <w:sz w:val="28"/>
          <w:szCs w:val="28"/>
          <w:highlight w:val="none"/>
        </w:rPr>
        <w:outlineLvl w:val="2"/>
      </w:pPr>
      <w:r/>
      <w:bookmarkStart w:id="117" w:name="_Toc28383"/>
      <w:r>
        <w:rPr>
          <w:rFonts w:hint="eastAsia" w:cs="宋体"/>
          <w:bCs/>
          <w:color w:val="auto"/>
          <w:sz w:val="28"/>
          <w:szCs w:val="28"/>
          <w:highlight w:val="none"/>
        </w:rPr>
        <w:t xml:space="preserve">23、单一来源协商小组</w:t>
      </w:r>
      <w:bookmarkEnd w:id="117"/>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23.1单一来源协商小组（以下简称“协商小组”）由政府采购评审专家、采购人代表组成，且人员构成符合政府采购有关规定。</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23.2协商小组应当按照客观、公正、审慎的原则评审供应商的响应文件，并与供应商协商采购标的的价格。</w:t>
      </w:r>
      <w:r/>
    </w:p>
    <w:p>
      <w:pPr>
        <w:spacing w:before="152" w:line="480" w:lineRule="exact"/>
        <w:rPr>
          <w:rFonts w:cs="宋体"/>
          <w:bCs/>
          <w:color w:val="auto"/>
          <w:sz w:val="28"/>
          <w:szCs w:val="28"/>
          <w:highlight w:val="none"/>
        </w:rPr>
        <w:outlineLvl w:val="2"/>
      </w:pPr>
      <w:r/>
      <w:bookmarkStart w:id="118" w:name="_Toc24250"/>
      <w:r>
        <w:rPr>
          <w:rFonts w:hint="eastAsia" w:cs="宋体"/>
          <w:bCs/>
          <w:color w:val="auto"/>
          <w:sz w:val="28"/>
          <w:szCs w:val="28"/>
          <w:highlight w:val="none"/>
        </w:rPr>
        <w:t xml:space="preserve">24、单一来源协商过程的保密与公正</w:t>
      </w:r>
      <w:bookmarkEnd w:id="118"/>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24.1协商小组、采购人和代理机构工作人员、相关监督人员等与评审工作有关的人员，对评审、单一来源协商情况以及在评审、单一来源协商过程（以下简称“协商过程”）中获悉的国家秘密、商业秘密负有保密责任。</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24.2在协商过程中，供应商不得以任何行为影响评审及协商过程，否则将会导致其响应文件被拒绝。</w:t>
      </w:r>
      <w:r/>
    </w:p>
    <w:p>
      <w:pPr>
        <w:spacing w:before="152" w:line="480" w:lineRule="exact"/>
        <w:rPr>
          <w:rFonts w:cs="宋体"/>
          <w:bCs/>
          <w:color w:val="auto"/>
          <w:sz w:val="28"/>
          <w:szCs w:val="28"/>
          <w:highlight w:val="none"/>
        </w:rPr>
        <w:outlineLvl w:val="2"/>
      </w:pPr>
      <w:r/>
      <w:bookmarkStart w:id="119" w:name="_Toc27334"/>
      <w:r>
        <w:rPr>
          <w:rFonts w:hint="eastAsia" w:cs="宋体"/>
          <w:bCs/>
          <w:color w:val="auto"/>
          <w:sz w:val="28"/>
          <w:szCs w:val="28"/>
          <w:highlight w:val="none"/>
        </w:rPr>
        <w:t xml:space="preserve">25、评审及协商过程中的澄清</w:t>
      </w:r>
      <w:bookmarkEnd w:id="119"/>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25.1 项目评审及协商过程中，协商小组有权要求供应商对响应文件中含义不明确、同类问题表述不一致或者有明显文字和计算错误的内容等作出必要的澄清、说明或者更正。</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25.2 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25.3 接到协商小组澄清、说明和更正要求的供应商如未按规定做出澄清、说明和更正，其风险由供应商自行承担。</w:t>
      </w:r>
      <w:r/>
    </w:p>
    <w:p>
      <w:pPr>
        <w:spacing w:before="152" w:line="480" w:lineRule="exact"/>
        <w:rPr>
          <w:rFonts w:cs="宋体"/>
          <w:bCs/>
          <w:color w:val="auto"/>
          <w:sz w:val="28"/>
          <w:szCs w:val="28"/>
          <w:highlight w:val="none"/>
        </w:rPr>
        <w:outlineLvl w:val="2"/>
      </w:pPr>
      <w:r/>
      <w:bookmarkStart w:id="120" w:name="_Toc13880"/>
      <w:r>
        <w:rPr>
          <w:rFonts w:hint="eastAsia" w:cs="宋体"/>
          <w:bCs/>
          <w:color w:val="auto"/>
          <w:sz w:val="28"/>
          <w:szCs w:val="28"/>
          <w:highlight w:val="none"/>
        </w:rPr>
        <w:t xml:space="preserve">26、对响应文件的审查</w:t>
      </w:r>
      <w:bookmarkEnd w:id="120"/>
      <w:r/>
      <w:r/>
    </w:p>
    <w:p>
      <w:pPr>
        <w:ind w:firstLine="360"/>
        <w:spacing w:line="480" w:lineRule="exact"/>
        <w:rPr>
          <w:rFonts w:cs="宋体"/>
          <w:color w:val="auto"/>
          <w:sz w:val="24"/>
          <w:szCs w:val="24"/>
          <w:highlight w:val="none"/>
        </w:rPr>
      </w:pPr>
      <w:r>
        <w:rPr>
          <w:rFonts w:hint="eastAsia" w:cs="宋体"/>
          <w:color w:val="auto"/>
          <w:sz w:val="24"/>
          <w:szCs w:val="24"/>
          <w:highlight w:val="none"/>
        </w:rPr>
        <w:t xml:space="preserve">26.1 响应文件审查分为资格审查和符合性审查。</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26.1.1 资格审查：由采购人授权代表依据法律法规和采购文件的规定，对响应文件中的资格证明文件进行审查，以确定供应商是否具备参加单一来源协商的资格。</w:t>
      </w:r>
      <w:r/>
    </w:p>
    <w:p>
      <w:pPr>
        <w:ind w:left="315" w:firstLine="480"/>
        <w:spacing w:line="480" w:lineRule="exact"/>
        <w:rPr>
          <w:color w:val="auto"/>
          <w:sz w:val="24"/>
          <w:szCs w:val="24"/>
          <w:highlight w:val="none"/>
        </w:rPr>
      </w:pPr>
      <w:r>
        <w:rPr>
          <w:rFonts w:hint="eastAsia"/>
          <w:color w:val="auto"/>
          <w:sz w:val="24"/>
          <w:szCs w:val="24"/>
          <w:highlight w:val="none"/>
        </w:rPr>
        <w:t xml:space="preserve">采购人授权代表在进行资格性审查的同时，将在“信用中国”网站（www.creditchina.gov.cn）、</w:t>
      </w:r>
      <w:bookmarkStart w:id="121" w:name="_Hlk160787763"/>
      <w:r>
        <w:rPr>
          <w:rFonts w:hint="eastAsia"/>
          <w:color w:val="auto"/>
          <w:sz w:val="24"/>
          <w:szCs w:val="24"/>
          <w:highlight w:val="none"/>
        </w:rPr>
        <w:t xml:space="preserve">“中国政府采购网”网站（</w:t>
      </w:r>
      <w:r>
        <w:rPr>
          <w:color w:val="auto"/>
          <w:sz w:val="24"/>
          <w:szCs w:val="24"/>
          <w:highlight w:val="none"/>
        </w:rPr>
        <w:t xml:space="preserve">www.ccgp.gov.cn</w:t>
      </w:r>
      <w:r>
        <w:rPr>
          <w:rFonts w:hint="eastAsia"/>
          <w:color w:val="auto"/>
          <w:sz w:val="24"/>
          <w:szCs w:val="24"/>
          <w:highlight w:val="none"/>
        </w:rPr>
        <w:t xml:space="preserve">）</w:t>
      </w:r>
      <w:bookmarkEnd w:id="121"/>
      <w:r>
        <w:rPr>
          <w:rFonts w:hint="eastAsia"/>
          <w:color w:val="auto"/>
          <w:sz w:val="24"/>
          <w:szCs w:val="24"/>
          <w:highlight w:val="none"/>
        </w:rPr>
        <w:t xml:space="preserve">查询供应商的信用记录，以确定供应商是否具备协商资格，查询结果留存并归档。</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26.1.2 符合性审查：依据采购文件的规定，由协商小组从响应文件的有效性、完整性和对采购文件的响应程度进行审查，以确定是否对采购文件的实质性要求作出响应。</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26.2 在正式进行协商之前，协商小组将首先审查每份响应文件是否实质性响应了采购文件的要求。实质性响应的响应文件应该是与采购文件要求的条款、条件和规格相符，没有重大偏离或保留。</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所谓重大偏离或保留是指与采购文件规定的实质性要求存在负偏离，或者在实质上与采购文件不一致，而且限制了合同中买方和代理机构的权利或供应商的义务。重大偏离由协商小组按照少数服从多数的原则认定。协商小组决定响应文件的响应性只根据响应文件本身的内容，而不寻求外部的证据。</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26.3 未实质性响应采购文件的情形</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26.3.1 供应商在苏采云系统规定的时间内未成功解密电子响应文件的。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26.3.2 供应商未按照采购文件要求上传电子响应文件的。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26.3.3 供应商提交两个（含两个）以上不同的响应文件或者最后报价的。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26.3.4 供应商不具备采购文件中规定资格要求的。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26.3.5 供应商的最后报价超过了采购预算。</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26.3.6 不符合采购文件中规定的实质性要求和条件的</w:t>
      </w:r>
      <w:r>
        <w:rPr>
          <w:rFonts w:hint="eastAsia" w:cs="宋体"/>
          <w:i/>
          <w:iCs/>
          <w:color w:val="auto"/>
          <w:sz w:val="24"/>
          <w:szCs w:val="24"/>
          <w:highlight w:val="none"/>
          <w:u w:val="single"/>
        </w:rPr>
        <w:t xml:space="preserve">（本采购文件中斜体且有下划线部分为实质性要求和条件）。</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26.3.8 响应文件含有采购人不能接受的附加条件的。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26.3.9 本项目采购产品被财政部、国家发改委、生态环境部等列入“节能产品品目清单”、“环境标志产品品目清单”强制采购范围，而供应商所投产品不在强制采购范围内的。（采购的产品如属于政府强制采购节能产品品目清单范围内，响应文件中必须提供国家确定的认证机构出具的、处于有效期之内的该节能产品认证证书图片）</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26.3.10 响应文件未按照采购文件要求加盖CA电子公章的。</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26.4 未实质性响应采购文件的响应文件按无效响应处理。</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26.5 如果响应文件实质上没有响应采购文件的要求，协商小组将予以拒绝。</w:t>
      </w:r>
      <w:r/>
    </w:p>
    <w:p>
      <w:pPr>
        <w:ind w:firstLine="480"/>
        <w:spacing w:line="480" w:lineRule="exact"/>
        <w:rPr>
          <w:rFonts w:cs="宋体"/>
          <w:color w:val="auto"/>
          <w:sz w:val="24"/>
          <w:szCs w:val="24"/>
          <w:highlight w:val="none"/>
        </w:rPr>
      </w:pPr>
      <w:r/>
      <w:bookmarkStart w:id="122" w:name="_Toc16938550"/>
      <w:r/>
      <w:bookmarkEnd w:id="122"/>
      <w:r/>
      <w:bookmarkStart w:id="123" w:name="_Toc513029234"/>
      <w:r/>
      <w:bookmarkEnd w:id="123"/>
      <w:r/>
      <w:bookmarkStart w:id="124" w:name="_Toc20823306"/>
      <w:r>
        <w:rPr>
          <w:rFonts w:hint="eastAsia" w:cs="宋体"/>
          <w:color w:val="auto"/>
          <w:sz w:val="24"/>
          <w:szCs w:val="24"/>
          <w:highlight w:val="none"/>
        </w:rPr>
        <w:t xml:space="preserve">26.6 供应商在项目评审及协商全过程中应保持通讯畅通，并安排专人与代理机构及协商小组联系。</w:t>
      </w:r>
      <w:bookmarkEnd w:id="124"/>
      <w:r/>
      <w:r/>
    </w:p>
    <w:p>
      <w:pPr>
        <w:spacing w:before="152" w:line="480" w:lineRule="exact"/>
        <w:rPr>
          <w:rFonts w:cs="宋体"/>
          <w:bCs/>
          <w:color w:val="auto"/>
          <w:sz w:val="28"/>
          <w:szCs w:val="28"/>
          <w:highlight w:val="none"/>
        </w:rPr>
        <w:outlineLvl w:val="2"/>
      </w:pPr>
      <w:r/>
      <w:bookmarkStart w:id="125" w:name="_Toc15823"/>
      <w:r>
        <w:rPr>
          <w:rFonts w:hint="eastAsia" w:cs="宋体"/>
          <w:bCs/>
          <w:color w:val="auto"/>
          <w:sz w:val="28"/>
          <w:szCs w:val="28"/>
          <w:highlight w:val="none"/>
        </w:rPr>
        <w:t xml:space="preserve">27、单一来源协商及成交原则</w:t>
      </w:r>
      <w:bookmarkEnd w:id="125"/>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27.1单一来源协商</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27.1.1 对于通过资格审查和符合性审查的供应商，协商小组将通过苏采云系统与其就采购标的的价格、服务等内容进行单一来源协商。</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27.1.2 供应商应当在苏采云系统中以书面形式对协商过程中做出的承诺与澄清进行确认，并在协商小组规定的时间内完成最后报价。</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27.2 成交原则</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协商小组根据政府采购相关法律、规章的规定，在供应商的响应情况能保证采购项目质量且最后报价合理的基础上确定其为成交供应商。</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27.3 单一来源协商终止情形处理</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出现下列情形之一的，代理机构将终止采购活动，发布项目终止公告并说明原因，重新开展采购活动：</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27.3.1 因情况变化，不再符合规定的单一来源采购方式适用情形的；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27.3.2 出现影响采购公正的违法、违规行为的；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27.3.3 供应商最后报价超过采购预算的；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27.3.4 供应商的技术方案、服务承诺、商务条款等不能满足采购人或协商小组的要求；</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27.3.5 法律、法规、规章规定的其他应当终止的情形。</w:t>
      </w:r>
      <w:r/>
    </w:p>
    <w:p>
      <w:pPr>
        <w:pStyle w:val="835"/>
        <w:jc w:val="left"/>
        <w:spacing w:before="152" w:after="152" w:line="480" w:lineRule="exact"/>
        <w:rPr>
          <w:rFonts w:eastAsia="宋体" w:cs="宋体"/>
          <w:color w:val="auto"/>
          <w:sz w:val="32"/>
          <w:szCs w:val="32"/>
          <w:highlight w:val="none"/>
        </w:rPr>
      </w:pPr>
      <w:r/>
      <w:bookmarkStart w:id="126" w:name="_Toc315868057"/>
      <w:r/>
      <w:bookmarkStart w:id="127" w:name="_Toc228093025"/>
      <w:r/>
      <w:bookmarkStart w:id="128" w:name="_Toc158691773"/>
      <w:r/>
      <w:bookmarkStart w:id="129" w:name="_Toc315875320"/>
      <w:r/>
      <w:bookmarkStart w:id="130" w:name="_Toc49416833"/>
      <w:r/>
      <w:bookmarkStart w:id="131" w:name="_Toc77849143"/>
      <w:r/>
      <w:bookmarkStart w:id="132" w:name="_Toc103345457"/>
      <w:r/>
      <w:bookmarkStart w:id="133" w:name="_Toc32563"/>
      <w:r>
        <w:rPr>
          <w:rFonts w:hint="eastAsia" w:eastAsia="宋体" w:cs="宋体"/>
          <w:color w:val="auto"/>
          <w:sz w:val="32"/>
          <w:szCs w:val="32"/>
          <w:highlight w:val="none"/>
        </w:rPr>
        <w:t xml:space="preserve">六、</w:t>
      </w:r>
      <w:bookmarkEnd w:id="126"/>
      <w:r/>
      <w:bookmarkEnd w:id="127"/>
      <w:r/>
      <w:bookmarkEnd w:id="128"/>
      <w:r/>
      <w:bookmarkEnd w:id="129"/>
      <w:r/>
      <w:bookmarkEnd w:id="130"/>
      <w:r/>
      <w:bookmarkEnd w:id="131"/>
      <w:r/>
      <w:bookmarkEnd w:id="132"/>
      <w:r>
        <w:rPr>
          <w:rFonts w:hint="eastAsia" w:eastAsia="宋体" w:cs="宋体"/>
          <w:color w:val="auto"/>
          <w:sz w:val="32"/>
          <w:szCs w:val="32"/>
          <w:highlight w:val="none"/>
        </w:rPr>
        <w:t xml:space="preserve">成交</w:t>
      </w:r>
      <w:bookmarkEnd w:id="133"/>
      <w:r/>
      <w:r/>
    </w:p>
    <w:p>
      <w:pPr>
        <w:spacing w:before="152" w:line="480" w:lineRule="exact"/>
        <w:rPr>
          <w:rFonts w:cs="宋体"/>
          <w:bCs/>
          <w:color w:val="auto"/>
          <w:sz w:val="28"/>
          <w:szCs w:val="28"/>
          <w:highlight w:val="none"/>
        </w:rPr>
        <w:outlineLvl w:val="2"/>
      </w:pPr>
      <w:r/>
      <w:bookmarkStart w:id="134" w:name="_Toc12476"/>
      <w:r>
        <w:rPr>
          <w:rFonts w:hint="eastAsia" w:cs="宋体"/>
          <w:bCs/>
          <w:color w:val="auto"/>
          <w:sz w:val="28"/>
          <w:szCs w:val="28"/>
          <w:highlight w:val="none"/>
        </w:rPr>
        <w:t xml:space="preserve">28、确定成交供应商</w:t>
      </w:r>
      <w:bookmarkEnd w:id="134"/>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28.1协商小组根据协商情况编写单一来源评审报告，推荐成交候选供应商。</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28.2 采购人根据协商小组推荐的成交候选供应商确定成交供应商。</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28.3 若有充分证据证明，成交供应商出现下列情况之一的，一经查实，将被取消成交资格：</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28.3.1提供虚假材料谋取成交的。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28.3.2与评审专家、采购人、其他供应商或者代理机构工作人员恶意串通的。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28.3.3向评审专家、采购人或代理机构工作人员行贿或者提供其他不正当利益的。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28.3.4恶意竞争，最后报价明显低于其自身合理成本且又无法提供证明的。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28.3.5不满足本采购文件规定的实质性要求，但在评审过程中又未被协商小组发现的。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28.3.6成交后无正当理由拒不与采购人签订政府采购合同或者未按照采购文件确定的事项签订政府采购合同的。</w:t>
      </w:r>
      <w:r/>
    </w:p>
    <w:p>
      <w:pPr>
        <w:ind w:left="315" w:firstLine="480"/>
        <w:spacing w:line="480" w:lineRule="exact"/>
        <w:rPr>
          <w:rFonts w:cs="宋体"/>
          <w:color w:val="auto"/>
          <w:sz w:val="24"/>
          <w:szCs w:val="24"/>
          <w:highlight w:val="none"/>
        </w:rPr>
      </w:pPr>
      <w:r>
        <w:rPr>
          <w:rFonts w:hint="eastAsia" w:cs="宋体"/>
          <w:color w:val="auto"/>
          <w:sz w:val="24"/>
          <w:szCs w:val="24"/>
          <w:highlight w:val="none"/>
        </w:rPr>
        <w:t xml:space="preserve">28.3.7将政府采购合同转包的。</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成交供应商被取消成交资格后，代理机构有权重新组织采购。</w:t>
      </w:r>
      <w:r/>
    </w:p>
    <w:p>
      <w:pPr>
        <w:spacing w:before="152" w:line="480" w:lineRule="exact"/>
        <w:rPr>
          <w:rFonts w:cs="宋体"/>
          <w:bCs/>
          <w:color w:val="auto"/>
          <w:sz w:val="28"/>
          <w:szCs w:val="28"/>
          <w:highlight w:val="none"/>
        </w:rPr>
        <w:outlineLvl w:val="2"/>
      </w:pPr>
      <w:r/>
      <w:bookmarkStart w:id="135" w:name="_Toc121"/>
      <w:r>
        <w:rPr>
          <w:rFonts w:hint="eastAsia" w:cs="宋体"/>
          <w:bCs/>
          <w:color w:val="auto"/>
          <w:sz w:val="28"/>
          <w:szCs w:val="28"/>
          <w:highlight w:val="none"/>
        </w:rPr>
        <w:t xml:space="preserve">29、成交通知书</w:t>
      </w:r>
      <w:bookmarkEnd w:id="135"/>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29.1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29.2 成交通知书将是合同的一个组成部分。对采购人和成交供应商均具有法律效力。成交通知书发出后，采购人改变成交结果的，或者成交供应商放弃成交项目的，应当依法承担法律责任。</w:t>
      </w:r>
      <w:r/>
    </w:p>
    <w:p>
      <w:pPr>
        <w:pStyle w:val="835"/>
        <w:jc w:val="left"/>
        <w:spacing w:before="152" w:after="152" w:line="480" w:lineRule="exact"/>
        <w:rPr>
          <w:rFonts w:eastAsia="宋体" w:cs="宋体"/>
          <w:color w:val="auto"/>
          <w:sz w:val="32"/>
          <w:szCs w:val="32"/>
          <w:highlight w:val="none"/>
        </w:rPr>
      </w:pPr>
      <w:r/>
      <w:bookmarkStart w:id="136" w:name="_Toc21481"/>
      <w:r>
        <w:rPr>
          <w:rFonts w:hint="eastAsia" w:eastAsia="宋体" w:cs="宋体"/>
          <w:color w:val="auto"/>
          <w:sz w:val="32"/>
          <w:szCs w:val="32"/>
          <w:highlight w:val="none"/>
        </w:rPr>
        <w:t xml:space="preserve">七、授予合同</w:t>
      </w:r>
      <w:bookmarkEnd w:id="136"/>
      <w:r/>
      <w:r/>
    </w:p>
    <w:p>
      <w:pPr>
        <w:spacing w:before="152" w:line="480" w:lineRule="exact"/>
        <w:rPr>
          <w:rFonts w:cs="宋体"/>
          <w:bCs/>
          <w:color w:val="auto"/>
          <w:sz w:val="28"/>
          <w:szCs w:val="28"/>
          <w:highlight w:val="none"/>
        </w:rPr>
        <w:outlineLvl w:val="2"/>
      </w:pPr>
      <w:r/>
      <w:bookmarkStart w:id="137" w:name="_Toc658"/>
      <w:r>
        <w:rPr>
          <w:rFonts w:hint="eastAsia" w:cs="宋体"/>
          <w:bCs/>
          <w:color w:val="auto"/>
          <w:sz w:val="28"/>
          <w:szCs w:val="28"/>
          <w:highlight w:val="none"/>
        </w:rPr>
        <w:t xml:space="preserve">30、签订合同</w:t>
      </w:r>
      <w:bookmarkEnd w:id="137"/>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30.l成交供应商应当在成交通知书发出之日起三十日内，按照采购文件确定的事项与采购人签订政府采购合同。</w:t>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30.2采购文件、成交供应商的响应文件及协商过程中有关澄清、承诺文件均应作为合同附件。</w:t>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30.3 签订合同后，</w:t>
      </w:r>
      <w:r>
        <w:rPr>
          <w:rFonts w:hint="eastAsia" w:cs="宋体"/>
          <w:i/>
          <w:iCs/>
          <w:color w:val="auto"/>
          <w:sz w:val="24"/>
          <w:szCs w:val="24"/>
          <w:highlight w:val="none"/>
          <w:u w:val="single"/>
        </w:rPr>
        <w:t xml:space="preserve">成交供应商不得将合同标的进行转包</w:t>
      </w:r>
      <w:r>
        <w:rPr>
          <w:rFonts w:hint="eastAsia" w:cs="宋体"/>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spacing w:before="152" w:line="480" w:lineRule="exact"/>
        <w:rPr>
          <w:rFonts w:cs="宋体"/>
          <w:bCs/>
          <w:color w:val="auto"/>
          <w:sz w:val="28"/>
          <w:szCs w:val="28"/>
          <w:highlight w:val="none"/>
        </w:rPr>
        <w:outlineLvl w:val="2"/>
      </w:pPr>
      <w:r/>
      <w:bookmarkStart w:id="138" w:name="_Toc26841"/>
      <w:r>
        <w:rPr>
          <w:rFonts w:hint="eastAsia" w:cs="宋体"/>
          <w:bCs/>
          <w:color w:val="auto"/>
          <w:sz w:val="28"/>
          <w:szCs w:val="28"/>
          <w:highlight w:val="none"/>
        </w:rPr>
        <w:t xml:space="preserve">31、标的物的追加</w:t>
      </w:r>
      <w:bookmarkEnd w:id="138"/>
      <w:r/>
      <w:r/>
    </w:p>
    <w:p>
      <w:pPr>
        <w:ind w:firstLine="601"/>
        <w:spacing w:line="480" w:lineRule="exact"/>
        <w:rPr>
          <w:rFonts w:cs="宋体"/>
          <w:color w:val="auto"/>
          <w:sz w:val="24"/>
          <w:szCs w:val="24"/>
          <w:highlight w:val="none"/>
        </w:rPr>
      </w:pPr>
      <w:r>
        <w:rPr>
          <w:rFonts w:hint="eastAsia"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before="152" w:line="480" w:lineRule="exact"/>
        <w:rPr>
          <w:rFonts w:cs="宋体"/>
          <w:bCs/>
          <w:color w:val="auto"/>
          <w:sz w:val="28"/>
          <w:szCs w:val="28"/>
          <w:highlight w:val="none"/>
        </w:rPr>
        <w:outlineLvl w:val="2"/>
      </w:pPr>
      <w:r/>
      <w:bookmarkStart w:id="139" w:name="_Toc16938558"/>
      <w:r/>
      <w:bookmarkEnd w:id="139"/>
      <w:r/>
      <w:bookmarkStart w:id="140" w:name="_Toc479757207"/>
      <w:r/>
      <w:bookmarkEnd w:id="140"/>
      <w:r/>
      <w:bookmarkStart w:id="141" w:name="_Toc513029242"/>
      <w:r/>
      <w:bookmarkEnd w:id="141"/>
      <w:r/>
      <w:bookmarkStart w:id="142" w:name="_Toc120614221"/>
      <w:r/>
      <w:bookmarkEnd w:id="142"/>
      <w:r/>
      <w:bookmarkStart w:id="143" w:name="_Toc20823314"/>
      <w:r/>
      <w:bookmarkStart w:id="144" w:name="_Toc22443"/>
      <w:r>
        <w:rPr>
          <w:rFonts w:hint="eastAsia" w:cs="宋体"/>
          <w:bCs/>
          <w:color w:val="auto"/>
          <w:sz w:val="28"/>
          <w:szCs w:val="28"/>
          <w:highlight w:val="none"/>
        </w:rPr>
        <w:t xml:space="preserve">32、政府采购履约资金扶持政策</w:t>
      </w:r>
      <w:bookmarkEnd w:id="143"/>
      <w:r/>
      <w:bookmarkEnd w:id="144"/>
      <w:r/>
      <w:r/>
    </w:p>
    <w:p>
      <w:pPr>
        <w:ind w:firstLine="601"/>
        <w:spacing w:line="480" w:lineRule="exact"/>
        <w:rPr>
          <w:rFonts w:cs="宋体"/>
          <w:color w:val="auto"/>
          <w:highlight w:val="none"/>
        </w:rPr>
      </w:pPr>
      <w:r>
        <w:rPr>
          <w:rFonts w:hint="eastAsia" w:cs="宋体"/>
          <w:color w:val="auto"/>
          <w:sz w:val="24"/>
          <w:szCs w:val="24"/>
          <w:highlight w:val="none"/>
        </w:rPr>
        <w:t xml:space="preserve">中标人可凭政府采购合同办理融资贷款，详情请见政府采购信用融资政策及产品汇总。</w:t>
      </w:r>
      <w:r/>
    </w:p>
    <w:p>
      <w:pPr>
        <w:pStyle w:val="834"/>
        <w:rPr>
          <w:rFonts w:cs="宋体"/>
          <w:b w:val="0"/>
          <w:bCs/>
          <w:color w:val="auto"/>
          <w:sz w:val="44"/>
          <w:szCs w:val="22"/>
          <w:highlight w:val="none"/>
        </w:rPr>
      </w:pPr>
      <w:r>
        <w:rPr>
          <w:rFonts w:hint="eastAsia" w:cs="宋体"/>
          <w:color w:val="auto"/>
          <w:highlight w:val="none"/>
        </w:rPr>
        <w:br w:type="page" w:clear="all"/>
      </w:r>
      <w:bookmarkStart w:id="145" w:name="_Toc158691766"/>
      <w:r/>
      <w:bookmarkStart w:id="146" w:name="_Toc103345450"/>
      <w:r/>
      <w:bookmarkStart w:id="147" w:name="_Toc315875313"/>
      <w:r/>
      <w:bookmarkStart w:id="148" w:name="_Toc315868050"/>
      <w:r/>
      <w:bookmarkStart w:id="149" w:name="_Toc5089"/>
      <w:r/>
      <w:bookmarkStart w:id="150" w:name="_Toc31986"/>
      <w:r>
        <w:rPr>
          <w:rFonts w:hint="eastAsia" w:cs="宋体"/>
          <w:b w:val="0"/>
          <w:bCs/>
          <w:color w:val="auto"/>
          <w:sz w:val="44"/>
          <w:szCs w:val="22"/>
          <w:highlight w:val="none"/>
        </w:rPr>
        <w:t xml:space="preserve">第三章</w:t>
      </w:r>
      <w:bookmarkEnd w:id="145"/>
      <w:r/>
      <w:bookmarkEnd w:id="146"/>
      <w:r/>
      <w:bookmarkEnd w:id="147"/>
      <w:r/>
      <w:bookmarkEnd w:id="148"/>
      <w:r>
        <w:rPr>
          <w:rFonts w:hint="eastAsia" w:cs="宋体"/>
          <w:b w:val="0"/>
          <w:bCs/>
          <w:color w:val="auto"/>
          <w:sz w:val="44"/>
          <w:szCs w:val="22"/>
          <w:highlight w:val="none"/>
        </w:rPr>
        <w:t xml:space="preserve">  合同文本</w:t>
      </w:r>
      <w:bookmarkEnd w:id="149"/>
      <w:r/>
      <w:bookmarkEnd w:id="150"/>
      <w:r/>
      <w:r/>
    </w:p>
    <w:p>
      <w:pPr>
        <w:rPr>
          <w:rFonts w:ascii="宋体" w:hAnsi="宋体" w:cs="宋体"/>
          <w:color w:val="auto"/>
          <w:highlight w:val="none"/>
        </w:rPr>
      </w:pPr>
      <w:r>
        <w:rPr>
          <w:rFonts w:ascii="宋体" w:hAnsi="宋体" w:cs="宋体"/>
          <w:color w:val="auto"/>
          <w:highlight w:val="none"/>
        </w:rPr>
      </w:r>
      <w:r/>
    </w:p>
    <w:p>
      <w:pPr>
        <w:jc w:val="center"/>
        <w:spacing w:line="660" w:lineRule="exact"/>
        <w:rPr>
          <w:rFonts w:cs="宋体"/>
          <w:b/>
          <w:color w:val="auto"/>
          <w:sz w:val="36"/>
          <w:szCs w:val="36"/>
          <w:highlight w:val="none"/>
        </w:rPr>
      </w:pPr>
      <w:r>
        <w:rPr>
          <w:rFonts w:hint="eastAsia" w:cs="宋体"/>
          <w:b/>
          <w:color w:val="auto"/>
          <w:sz w:val="36"/>
          <w:szCs w:val="36"/>
          <w:highlight w:val="none"/>
        </w:rPr>
        <w:t xml:space="preserve">常熟市政府采购服务合同</w:t>
      </w:r>
      <w:r/>
    </w:p>
    <w:p>
      <w:pPr>
        <w:ind w:left="-1" w:hanging="419"/>
        <w:jc w:val="center"/>
        <w:spacing w:line="660" w:lineRule="exact"/>
        <w:rPr>
          <w:rFonts w:cs="宋体"/>
          <w:b/>
          <w:color w:val="auto"/>
          <w:sz w:val="36"/>
          <w:szCs w:val="36"/>
          <w:highlight w:val="none"/>
        </w:rPr>
        <w:outlineLvl w:val="1"/>
      </w:pPr>
      <w:r/>
      <w:bookmarkStart w:id="151" w:name="_Toc29651"/>
      <w:r>
        <w:rPr>
          <w:rFonts w:hint="eastAsia" w:cs="宋体"/>
          <w:b/>
          <w:color w:val="auto"/>
          <w:sz w:val="36"/>
          <w:szCs w:val="36"/>
          <w:highlight w:val="none"/>
        </w:rPr>
        <w:t xml:space="preserve">（一）常熟市2026年度水稻良种补贴项目供种合同</w:t>
      </w:r>
      <w:bookmarkEnd w:id="151"/>
      <w:r/>
      <w:r/>
    </w:p>
    <w:p>
      <w:pPr>
        <w:ind w:right="960"/>
        <w:jc w:val="center"/>
        <w:spacing w:line="440" w:lineRule="exact"/>
        <w:rPr>
          <w:rFonts w:cs="宋体"/>
          <w:color w:val="auto"/>
          <w:sz w:val="24"/>
          <w:szCs w:val="24"/>
          <w:highlight w:val="none"/>
        </w:rPr>
      </w:pPr>
      <w:r>
        <w:rPr>
          <w:rFonts w:hint="eastAsia" w:cs="宋体"/>
          <w:color w:val="auto"/>
          <w:sz w:val="24"/>
          <w:szCs w:val="24"/>
          <w:highlight w:val="none"/>
        </w:rPr>
        <w:t xml:space="preserve">                                                 合同编号：</w:t>
      </w:r>
      <w:r/>
    </w:p>
    <w:p>
      <w:pPr>
        <w:ind w:right="960"/>
        <w:jc w:val="right"/>
        <w:spacing w:line="440" w:lineRule="exact"/>
        <w:rPr>
          <w:rFonts w:cs="宋体"/>
          <w:color w:val="auto"/>
          <w:sz w:val="24"/>
          <w:szCs w:val="24"/>
          <w:highlight w:val="none"/>
        </w:rPr>
      </w:pPr>
      <w:r>
        <w:rPr>
          <w:rFonts w:hint="eastAsia" w:cs="宋体"/>
          <w:color w:val="auto"/>
          <w:sz w:val="24"/>
          <w:szCs w:val="24"/>
          <w:highlight w:val="none"/>
        </w:rPr>
        <w:t xml:space="preserve">签订地点：常熟市</w:t>
      </w:r>
      <w:r/>
    </w:p>
    <w:p>
      <w:pPr>
        <w:spacing w:line="440" w:lineRule="exact"/>
        <w:rPr>
          <w:rFonts w:cs="宋体"/>
          <w:color w:val="auto"/>
          <w:sz w:val="24"/>
          <w:szCs w:val="24"/>
          <w:highlight w:val="none"/>
          <w:u w:val="single"/>
        </w:rPr>
      </w:pPr>
      <w:r>
        <w:rPr>
          <w:rFonts w:hint="eastAsia" w:cs="宋体"/>
          <w:b/>
          <w:bCs/>
          <w:color w:val="auto"/>
          <w:sz w:val="24"/>
          <w:szCs w:val="24"/>
          <w:highlight w:val="none"/>
        </w:rPr>
        <w:t xml:space="preserve">甲方（采购人）：</w:t>
      </w:r>
      <w:r>
        <w:rPr>
          <w:rFonts w:hint="eastAsia" w:cs="宋体"/>
          <w:color w:val="auto"/>
          <w:sz w:val="24"/>
          <w:szCs w:val="24"/>
          <w:highlight w:val="none"/>
          <w:u w:val="single"/>
        </w:rPr>
        <w:t xml:space="preserve">常熟市农业技术推广中心</w:t>
      </w:r>
      <w:r/>
    </w:p>
    <w:p>
      <w:pPr>
        <w:spacing w:line="440" w:lineRule="exact"/>
        <w:rPr>
          <w:rFonts w:cs="宋体"/>
          <w:color w:val="auto"/>
          <w:sz w:val="24"/>
          <w:szCs w:val="24"/>
          <w:highlight w:val="none"/>
        </w:rPr>
      </w:pPr>
      <w:r>
        <w:rPr>
          <w:rFonts w:hint="eastAsia" w:cs="宋体"/>
          <w:b/>
          <w:bCs/>
          <w:color w:val="auto"/>
          <w:sz w:val="24"/>
          <w:szCs w:val="24"/>
          <w:highlight w:val="none"/>
        </w:rPr>
        <w:t xml:space="preserve">乙方（中标人）：</w:t>
      </w:r>
      <w:r>
        <w:rPr>
          <w:rFonts w:hint="eastAsia" w:cs="宋体"/>
          <w:color w:val="auto"/>
          <w:sz w:val="24"/>
          <w:szCs w:val="24"/>
          <w:highlight w:val="none"/>
          <w:u w:val="single"/>
        </w:rPr>
        <w:t xml:space="preserve">常熟市种业有限公司</w:t>
      </w:r>
      <w:r/>
    </w:p>
    <w:p>
      <w:pPr>
        <w:ind w:firstLine="561"/>
        <w:spacing w:line="480" w:lineRule="exact"/>
        <w:rPr>
          <w:rFonts w:cs="宋体"/>
          <w:color w:val="auto"/>
          <w:sz w:val="24"/>
          <w:szCs w:val="24"/>
          <w:highlight w:val="none"/>
        </w:rPr>
      </w:pPr>
      <w:r>
        <w:rPr>
          <w:rFonts w:hint="eastAsia" w:cs="宋体"/>
          <w:color w:val="auto"/>
          <w:sz w:val="24"/>
          <w:szCs w:val="24"/>
          <w:highlight w:val="none"/>
        </w:rPr>
        <w:t xml:space="preserve">经力原工程咨询（苏州）有限公司单一来源采购，确定乙方为甲方实施</w:t>
      </w:r>
      <w:r>
        <w:rPr>
          <w:rFonts w:hint="eastAsia" w:cs="宋体"/>
          <w:color w:val="auto"/>
          <w:sz w:val="24"/>
          <w:szCs w:val="24"/>
          <w:highlight w:val="none"/>
          <w:u w:val="single"/>
        </w:rPr>
        <w:t xml:space="preserve">常熟市2026年度水稻良种补贴及救灾备荒种项目</w:t>
      </w:r>
      <w:r>
        <w:rPr>
          <w:rFonts w:hint="eastAsia" w:cs="宋体"/>
          <w:color w:val="auto"/>
          <w:sz w:val="24"/>
          <w:szCs w:val="24"/>
          <w:highlight w:val="none"/>
        </w:rPr>
        <w:t xml:space="preserve">项目的供种企业，根据《苏州市稻麦良种补贴项目实施管理办法》，为确保完成项目区统一供种实施工作，经甲乙双方充分协商，签订关于</w:t>
      </w:r>
      <w:r>
        <w:rPr>
          <w:rFonts w:hint="eastAsia" w:cs="宋体"/>
          <w:color w:val="auto"/>
          <w:sz w:val="24"/>
          <w:szCs w:val="24"/>
          <w:highlight w:val="none"/>
          <w:u w:val="single"/>
        </w:rPr>
        <w:t xml:space="preserve">常熟市2026年度水稻良种补贴</w:t>
      </w:r>
      <w:r>
        <w:rPr>
          <w:rFonts w:hint="eastAsia" w:cs="宋体"/>
          <w:color w:val="auto"/>
          <w:sz w:val="24"/>
          <w:szCs w:val="24"/>
          <w:highlight w:val="none"/>
        </w:rPr>
        <w:t xml:space="preserve">部分协议如下：</w:t>
      </w:r>
      <w:r/>
    </w:p>
    <w:p>
      <w:pPr>
        <w:ind w:firstLine="482"/>
        <w:spacing w:line="440" w:lineRule="exact"/>
        <w:rPr>
          <w:rFonts w:cs="宋体"/>
          <w:b/>
          <w:bCs/>
          <w:color w:val="auto"/>
          <w:sz w:val="24"/>
          <w:szCs w:val="24"/>
          <w:highlight w:val="none"/>
        </w:rPr>
      </w:pPr>
      <w:r>
        <w:rPr>
          <w:rFonts w:hint="eastAsia" w:cs="宋体"/>
          <w:b/>
          <w:bCs/>
          <w:color w:val="auto"/>
          <w:sz w:val="24"/>
          <w:szCs w:val="24"/>
          <w:highlight w:val="none"/>
        </w:rPr>
        <w:t xml:space="preserve">一、甲方职责</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1、负责制定项目实施办法，制定项目示意图、镇（街道）统计供种需求并汇总。</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2、负责根据供种需求表，制定详细的供种计划，包括种子送达地点、时间、数量，并于种子送达时间前30天提供给乙方。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3、负责抓好项目区良种良法配套技术的培训、指导，确保项目实施成功。</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4、负责根据政府采购确定的中标价格，确定优惠供种价格，由镇（街道）农业农村管理部门根据在种子供应时的实际购种量，向农户收缴农户应付的种子款，收缴完成后及时划拨给乙方。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5、付款方式甲乙双方协商决定。</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6、负责在供种结束后，向代理机构出具乙方供种质量认可书。</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7、负责监督项目区供种秩序，保障乙方正常供种。</w:t>
      </w:r>
      <w:r/>
    </w:p>
    <w:p>
      <w:pPr>
        <w:ind w:firstLine="482"/>
        <w:spacing w:line="440" w:lineRule="exact"/>
        <w:rPr>
          <w:rFonts w:cs="宋体"/>
          <w:color w:val="auto"/>
          <w:sz w:val="24"/>
          <w:szCs w:val="24"/>
          <w:highlight w:val="none"/>
        </w:rPr>
      </w:pPr>
      <w:r>
        <w:rPr>
          <w:rFonts w:hint="eastAsia" w:cs="宋体"/>
          <w:b/>
          <w:bCs/>
          <w:color w:val="auto"/>
          <w:sz w:val="24"/>
          <w:szCs w:val="24"/>
          <w:highlight w:val="none"/>
        </w:rPr>
        <w:t xml:space="preserve">二、乙方职责</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1、采取有效措施，严格按照农户签订购种协议确定的品种、质量、数量向项目区供种，并承担因农户签订购种协议后不购种或少购种造成的转商损失。</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2、严格按照中标确定的价格供种，具体价格如下：</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常农粳14号 </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常香粳1813 </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宁香粳9号 </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苏香粳100 </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沪软玉1号 </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苏粳1180</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600"/>
        <w:spacing w:line="440" w:lineRule="exact"/>
        <w:rPr>
          <w:rFonts w:cs="宋体"/>
          <w:color w:val="auto"/>
          <w:sz w:val="24"/>
          <w:szCs w:val="24"/>
          <w:highlight w:val="none"/>
        </w:rPr>
      </w:pPr>
      <w:r>
        <w:rPr>
          <w:rFonts w:hint="eastAsia" w:cs="宋体"/>
          <w:color w:val="auto"/>
          <w:sz w:val="24"/>
          <w:szCs w:val="24"/>
          <w:highlight w:val="none"/>
          <w:u w:val="single"/>
        </w:rPr>
        <w:t xml:space="preserve">南粳108</w:t>
      </w:r>
      <w:r>
        <w:rPr>
          <w:rFonts w:hint="eastAsia" w:cs="宋体"/>
          <w:color w:val="auto"/>
          <w:sz w:val="24"/>
          <w:szCs w:val="24"/>
          <w:highlight w:val="none"/>
        </w:rPr>
        <w:t xml:space="preserve">（品种）亩播量 </w:t>
      </w:r>
      <w:r>
        <w:rPr>
          <w:rFonts w:hint="eastAsia" w:cs="宋体"/>
          <w:color w:val="auto"/>
          <w:sz w:val="24"/>
          <w:szCs w:val="24"/>
          <w:highlight w:val="none"/>
          <w:u w:val="single"/>
        </w:rPr>
        <w:t xml:space="preserve">    </w:t>
      </w:r>
      <w:r>
        <w:rPr>
          <w:rFonts w:hint="eastAsia" w:cs="宋体"/>
          <w:color w:val="auto"/>
          <w:sz w:val="24"/>
          <w:szCs w:val="24"/>
          <w:highlight w:val="none"/>
        </w:rPr>
        <w:t xml:space="preserve">公斤，每公斤优惠供种价格</w:t>
      </w:r>
      <w:r>
        <w:rPr>
          <w:rFonts w:hint="eastAsia" w:cs="宋体"/>
          <w:color w:val="auto"/>
          <w:sz w:val="24"/>
          <w:szCs w:val="24"/>
          <w:highlight w:val="none"/>
          <w:u w:val="single"/>
        </w:rPr>
        <w:t xml:space="preserve">  </w:t>
      </w:r>
      <w:r>
        <w:rPr>
          <w:rFonts w:hint="eastAsia" w:cs="宋体"/>
          <w:color w:val="auto"/>
          <w:sz w:val="24"/>
          <w:szCs w:val="24"/>
          <w:highlight w:val="none"/>
        </w:rPr>
        <w:t xml:space="preserve">元（扣除财政补贴额后的价格）向项目区供种，确保每亩</w:t>
      </w:r>
      <w:r>
        <w:rPr>
          <w:rFonts w:hint="eastAsia" w:cs="宋体"/>
          <w:color w:val="auto"/>
          <w:sz w:val="24"/>
          <w:szCs w:val="24"/>
          <w:highlight w:val="none"/>
          <w:u w:val="single"/>
        </w:rPr>
        <w:t xml:space="preserve">       </w:t>
      </w:r>
      <w:r>
        <w:rPr>
          <w:rFonts w:hint="eastAsia" w:cs="宋体"/>
          <w:color w:val="auto"/>
          <w:sz w:val="24"/>
          <w:szCs w:val="24"/>
          <w:highlight w:val="none"/>
        </w:rPr>
        <w:t xml:space="preserve">元补贴给农户。</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3、严格按照甲方制定的供种需求表及指定的时间、地点，将种子送到供种地区（镇（街道）农业农村管理部门为最小送种地点），确保供种秩序。</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4、负责对供种前的种子进行检测，须于4月3</w:t>
      </w:r>
      <w:r>
        <w:rPr>
          <w:rFonts w:cs="宋体"/>
          <w:color w:val="auto"/>
          <w:sz w:val="24"/>
          <w:szCs w:val="24"/>
          <w:highlight w:val="none"/>
        </w:rPr>
        <w:t xml:space="preserve">0</w:t>
      </w:r>
      <w:r>
        <w:rPr>
          <w:rFonts w:hint="eastAsia" w:cs="宋体"/>
          <w:color w:val="auto"/>
          <w:sz w:val="24"/>
          <w:szCs w:val="24"/>
          <w:highlight w:val="none"/>
        </w:rPr>
        <w:t xml:space="preserve">日前提交供种计划，内容包括但不限于种子批号、供种数量及对应质量自检报告。如质量不合格的，需及时调换质量合格的种源，确保项目实施。</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5、乙方应保证对各种源在供种总数量的基础上分别提供2%的预备种，以备面积扩大及自然灾害应急之需，确保项目顺利实施。</w:t>
      </w:r>
      <w:r/>
    </w:p>
    <w:p>
      <w:pPr>
        <w:ind w:firstLine="482"/>
        <w:spacing w:line="440" w:lineRule="exact"/>
        <w:rPr>
          <w:rFonts w:cs="宋体"/>
          <w:color w:val="auto"/>
          <w:sz w:val="24"/>
          <w:szCs w:val="24"/>
          <w:highlight w:val="none"/>
        </w:rPr>
      </w:pPr>
      <w:r>
        <w:rPr>
          <w:rFonts w:hint="eastAsia" w:cs="宋体"/>
          <w:b/>
          <w:bCs/>
          <w:color w:val="auto"/>
          <w:sz w:val="24"/>
          <w:szCs w:val="24"/>
          <w:highlight w:val="none"/>
        </w:rPr>
        <w:t xml:space="preserve">三、双方共同职责</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1、甲方确保为乙方提供供种条件，重点是补贴资金，因资金不到位造成乙方供种损失，由甲方负责。</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2、因供种数量、时间不到位而出现的供种问题由乙方负责，因种子质量出现问题按《中华人民共和国种子法》、《江苏省种子条例》等有关规定处理。</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3、乙方将种子送达镇（街道）农业农村管理部门时，各镇（街道）农业农村管理部门应和乙方联合抽样封样，如发生种子质量纠纷，以该样品为准。</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4、所需分品种具体供种数量，由各镇（街道）统计确定后，由甲方通知乙方。</w:t>
      </w:r>
      <w:r/>
    </w:p>
    <w:p>
      <w:pPr>
        <w:ind w:firstLine="482"/>
        <w:spacing w:line="440" w:lineRule="exact"/>
        <w:rPr>
          <w:rFonts w:cs="宋体"/>
          <w:b/>
          <w:bCs/>
          <w:color w:val="auto"/>
          <w:sz w:val="24"/>
          <w:szCs w:val="24"/>
          <w:highlight w:val="none"/>
        </w:rPr>
      </w:pPr>
      <w:r>
        <w:rPr>
          <w:rFonts w:hint="eastAsia" w:cs="宋体"/>
          <w:b/>
          <w:bCs/>
          <w:color w:val="auto"/>
          <w:sz w:val="24"/>
          <w:szCs w:val="24"/>
          <w:highlight w:val="none"/>
        </w:rPr>
        <w:t xml:space="preserve">四、履约保证金</w:t>
      </w:r>
      <w:r/>
    </w:p>
    <w:p>
      <w:pPr>
        <w:ind w:firstLine="480"/>
        <w:spacing w:line="440" w:lineRule="exact"/>
        <w:rPr>
          <w:rFonts w:cs="宋体"/>
          <w:color w:val="auto"/>
          <w:sz w:val="24"/>
          <w:highlight w:val="none"/>
        </w:rPr>
      </w:pPr>
      <w:r>
        <w:rPr>
          <w:rFonts w:hint="eastAsia" w:cs="宋体"/>
          <w:color w:val="auto"/>
          <w:sz w:val="24"/>
          <w:szCs w:val="24"/>
          <w:highlight w:val="none"/>
        </w:rPr>
        <w:t xml:space="preserve">1、履约保证金：无。</w:t>
      </w:r>
      <w:r/>
    </w:p>
    <w:p>
      <w:pPr>
        <w:ind w:firstLine="482"/>
        <w:spacing w:line="480" w:lineRule="exact"/>
        <w:rPr>
          <w:rFonts w:cs="宋体"/>
          <w:b/>
          <w:bCs/>
          <w:color w:val="auto"/>
          <w:sz w:val="24"/>
          <w:szCs w:val="24"/>
          <w:highlight w:val="none"/>
        </w:rPr>
      </w:pPr>
      <w:r>
        <w:rPr>
          <w:rFonts w:hint="eastAsia" w:cs="宋体"/>
          <w:b/>
          <w:bCs/>
          <w:color w:val="auto"/>
          <w:sz w:val="24"/>
          <w:szCs w:val="24"/>
          <w:highlight w:val="none"/>
        </w:rPr>
        <w:t xml:space="preserve">五、其他</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1、本协议未尽事宜，按《苏州市稻麦良种补贴项目实施管理办法》由双方共同协商解决。</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2、本协议一式三份，甲方、乙方、力原工程咨询（苏州）有限公司各执一份，具有同等法律效力。</w:t>
      </w:r>
      <w:r/>
    </w:p>
    <w:p>
      <w:pPr>
        <w:ind w:firstLine="554"/>
        <w:spacing w:line="480" w:lineRule="exact"/>
        <w:rPr>
          <w:rFonts w:cs="宋体"/>
          <w:color w:val="auto"/>
          <w:sz w:val="24"/>
          <w:szCs w:val="24"/>
          <w:highlight w:val="none"/>
        </w:rPr>
      </w:pPr>
      <w:r>
        <w:rPr>
          <w:rFonts w:cs="宋体"/>
          <w:color w:val="auto"/>
          <w:sz w:val="24"/>
          <w:szCs w:val="24"/>
          <w:highlight w:val="none"/>
        </w:rPr>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甲方：（公章）                      乙方：（公章）          </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法定代表人或委托代理人：</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法定代表人或委托代理人：</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联系电话：  </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联系电话：</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年    月    日                       年    月    日             </w:t>
      </w:r>
      <w:r/>
    </w:p>
    <w:p>
      <w:pPr>
        <w:rPr>
          <w:rFonts w:cs="宋体"/>
          <w:b/>
          <w:color w:val="auto"/>
          <w:sz w:val="36"/>
          <w:szCs w:val="36"/>
          <w:highlight w:val="none"/>
        </w:rPr>
      </w:pPr>
      <w:r>
        <w:rPr>
          <w:rFonts w:hint="eastAsia" w:cs="宋体"/>
          <w:b/>
          <w:color w:val="auto"/>
          <w:sz w:val="36"/>
          <w:szCs w:val="36"/>
          <w:highlight w:val="none"/>
        </w:rPr>
        <w:br w:type="page" w:clear="all"/>
      </w:r>
      <w:r/>
    </w:p>
    <w:p>
      <w:pPr>
        <w:ind w:left="-1" w:hanging="419"/>
        <w:jc w:val="center"/>
        <w:spacing w:line="660" w:lineRule="exact"/>
        <w:rPr>
          <w:rFonts w:cs="宋体"/>
          <w:b/>
          <w:color w:val="auto"/>
          <w:sz w:val="36"/>
          <w:szCs w:val="36"/>
          <w:highlight w:val="none"/>
        </w:rPr>
        <w:outlineLvl w:val="1"/>
      </w:pPr>
      <w:r/>
      <w:bookmarkStart w:id="152" w:name="_Toc26432"/>
      <w:r>
        <w:rPr>
          <w:rFonts w:hint="eastAsia" w:cs="宋体"/>
          <w:b/>
          <w:color w:val="auto"/>
          <w:sz w:val="36"/>
          <w:szCs w:val="36"/>
          <w:highlight w:val="none"/>
        </w:rPr>
        <w:t xml:space="preserve">（二）常熟市2026年度水稻救灾备荒种项目救灾备荒种子委托储备合同</w:t>
      </w:r>
      <w:bookmarkEnd w:id="152"/>
      <w:r/>
      <w:r/>
    </w:p>
    <w:p>
      <w:pPr>
        <w:ind w:right="960"/>
        <w:jc w:val="center"/>
        <w:spacing w:line="440" w:lineRule="exact"/>
        <w:rPr>
          <w:rFonts w:cs="宋体"/>
          <w:color w:val="auto"/>
          <w:sz w:val="24"/>
          <w:szCs w:val="24"/>
          <w:highlight w:val="none"/>
        </w:rPr>
      </w:pPr>
      <w:r>
        <w:rPr>
          <w:rFonts w:hint="eastAsia" w:cs="宋体"/>
          <w:color w:val="auto"/>
          <w:sz w:val="24"/>
          <w:szCs w:val="24"/>
          <w:highlight w:val="none"/>
        </w:rPr>
        <w:t xml:space="preserve">                                                 合同编号：</w:t>
      </w:r>
      <w:r/>
    </w:p>
    <w:p>
      <w:pPr>
        <w:ind w:right="960"/>
        <w:jc w:val="right"/>
        <w:spacing w:line="440" w:lineRule="exact"/>
        <w:rPr>
          <w:rFonts w:cs="宋体"/>
          <w:color w:val="auto"/>
          <w:sz w:val="24"/>
          <w:szCs w:val="24"/>
          <w:highlight w:val="none"/>
        </w:rPr>
      </w:pPr>
      <w:r>
        <w:rPr>
          <w:rFonts w:hint="eastAsia" w:cs="宋体"/>
          <w:color w:val="auto"/>
          <w:sz w:val="24"/>
          <w:szCs w:val="24"/>
          <w:highlight w:val="none"/>
        </w:rPr>
        <w:t xml:space="preserve">签订地点：常熟市</w:t>
      </w:r>
      <w:r/>
    </w:p>
    <w:p>
      <w:pPr>
        <w:spacing w:line="440" w:lineRule="exact"/>
        <w:rPr>
          <w:rFonts w:cs="宋体"/>
          <w:color w:val="auto"/>
          <w:sz w:val="24"/>
          <w:szCs w:val="24"/>
          <w:highlight w:val="none"/>
          <w:u w:val="single"/>
        </w:rPr>
      </w:pPr>
      <w:r>
        <w:rPr>
          <w:rFonts w:hint="eastAsia" w:cs="宋体"/>
          <w:b/>
          <w:bCs/>
          <w:color w:val="auto"/>
          <w:sz w:val="24"/>
          <w:szCs w:val="24"/>
          <w:highlight w:val="none"/>
        </w:rPr>
        <w:t xml:space="preserve">甲方（采购人）：</w:t>
      </w:r>
      <w:r>
        <w:rPr>
          <w:rFonts w:hint="eastAsia" w:cs="宋体"/>
          <w:color w:val="auto"/>
          <w:sz w:val="24"/>
          <w:szCs w:val="24"/>
          <w:highlight w:val="none"/>
          <w:u w:val="single"/>
        </w:rPr>
        <w:t xml:space="preserve">常熟市农业技术推广中心</w:t>
      </w:r>
      <w:r/>
    </w:p>
    <w:p>
      <w:pPr>
        <w:spacing w:line="440" w:lineRule="exact"/>
        <w:rPr>
          <w:rFonts w:cs="宋体"/>
          <w:color w:val="auto"/>
          <w:sz w:val="24"/>
          <w:szCs w:val="24"/>
          <w:highlight w:val="none"/>
        </w:rPr>
      </w:pPr>
      <w:r>
        <w:rPr>
          <w:rFonts w:hint="eastAsia" w:cs="宋体"/>
          <w:b/>
          <w:bCs/>
          <w:color w:val="auto"/>
          <w:sz w:val="24"/>
          <w:szCs w:val="24"/>
          <w:highlight w:val="none"/>
        </w:rPr>
        <w:t xml:space="preserve">乙方（中标人）：</w:t>
      </w:r>
      <w:r>
        <w:rPr>
          <w:rFonts w:hint="eastAsia" w:cs="宋体"/>
          <w:color w:val="auto"/>
          <w:sz w:val="24"/>
          <w:szCs w:val="24"/>
          <w:highlight w:val="none"/>
          <w:u w:val="single"/>
        </w:rPr>
        <w:t xml:space="preserve">常熟市种业有限公司</w:t>
      </w:r>
      <w:r/>
    </w:p>
    <w:p>
      <w:pPr>
        <w:ind w:firstLine="561"/>
        <w:spacing w:line="480" w:lineRule="exact"/>
        <w:rPr>
          <w:rFonts w:cs="宋体"/>
          <w:color w:val="auto"/>
          <w:sz w:val="24"/>
          <w:szCs w:val="24"/>
          <w:highlight w:val="none"/>
        </w:rPr>
      </w:pPr>
      <w:r>
        <w:rPr>
          <w:rFonts w:hint="eastAsia" w:cs="宋体"/>
          <w:color w:val="auto"/>
          <w:sz w:val="24"/>
          <w:szCs w:val="24"/>
          <w:highlight w:val="none"/>
        </w:rPr>
        <w:t xml:space="preserve">经力原工程咨询（苏州）有限公司单一来源采购，确定乙方为甲方实施</w:t>
      </w:r>
      <w:r>
        <w:rPr>
          <w:rFonts w:hint="eastAsia" w:cs="宋体"/>
          <w:color w:val="auto"/>
          <w:sz w:val="24"/>
          <w:szCs w:val="24"/>
          <w:highlight w:val="none"/>
          <w:u w:val="single"/>
        </w:rPr>
        <w:t xml:space="preserve">常熟市2026年度水稻良种补贴及救灾备荒种项目</w:t>
      </w:r>
      <w:r>
        <w:rPr>
          <w:rFonts w:hint="eastAsia" w:cs="宋体"/>
          <w:color w:val="auto"/>
          <w:sz w:val="24"/>
          <w:szCs w:val="24"/>
          <w:highlight w:val="none"/>
        </w:rPr>
        <w:t xml:space="preserve">项目的供种企业，经甲乙双方充分协商，签订关于</w:t>
      </w:r>
      <w:r>
        <w:rPr>
          <w:rFonts w:hint="eastAsia" w:cs="宋体"/>
          <w:color w:val="auto"/>
          <w:sz w:val="24"/>
          <w:szCs w:val="24"/>
          <w:highlight w:val="none"/>
          <w:u w:val="single"/>
        </w:rPr>
        <w:t xml:space="preserve">常熟市2026年度水稻救灾备荒种</w:t>
      </w:r>
      <w:r>
        <w:rPr>
          <w:rFonts w:hint="eastAsia" w:cs="宋体"/>
          <w:color w:val="auto"/>
          <w:sz w:val="24"/>
          <w:szCs w:val="24"/>
          <w:highlight w:val="none"/>
        </w:rPr>
        <w:t xml:space="preserve">部分协议如下：</w:t>
      </w:r>
      <w:r/>
    </w:p>
    <w:p>
      <w:pPr>
        <w:ind w:firstLine="554"/>
        <w:spacing w:line="440" w:lineRule="exact"/>
        <w:rPr>
          <w:rFonts w:cs="宋体"/>
          <w:b/>
          <w:bCs/>
          <w:color w:val="auto"/>
          <w:sz w:val="24"/>
          <w:szCs w:val="24"/>
          <w:highlight w:val="none"/>
        </w:rPr>
      </w:pPr>
      <w:r/>
      <w:bookmarkStart w:id="153" w:name="_Toc103345458"/>
      <w:r>
        <w:rPr>
          <w:rFonts w:hint="eastAsia" w:cs="宋体"/>
          <w:b/>
          <w:bCs/>
          <w:color w:val="auto"/>
          <w:sz w:val="24"/>
          <w:szCs w:val="24"/>
          <w:highlight w:val="none"/>
        </w:rPr>
        <w:t xml:space="preserve">一、采购品种、数量、价格</w:t>
      </w:r>
      <w:r/>
    </w:p>
    <w:p>
      <w:pPr>
        <w:ind w:firstLine="560"/>
        <w:spacing w:line="480" w:lineRule="exact"/>
        <w:rPr>
          <w:rFonts w:cs="宋体"/>
          <w:color w:val="auto"/>
          <w:sz w:val="24"/>
          <w:szCs w:val="24"/>
          <w:highlight w:val="none"/>
        </w:rPr>
      </w:pPr>
      <w:r>
        <w:rPr>
          <w:rFonts w:hint="eastAsia" w:cs="宋体"/>
          <w:color w:val="auto"/>
          <w:sz w:val="24"/>
          <w:szCs w:val="24"/>
          <w:highlight w:val="none"/>
        </w:rPr>
        <w:t xml:space="preserve">甲方采购常熟市2026年度水稻救灾备荒种品种为“常农粳14号”，数量为100000公斤，价格按常熟市2026年度水稻救灾备荒种项目政府采购价格，“常农粳14号”</w:t>
      </w:r>
      <w:r>
        <w:rPr>
          <w:rFonts w:hint="eastAsia" w:cs="宋体"/>
          <w:color w:val="auto"/>
          <w:sz w:val="24"/>
          <w:szCs w:val="24"/>
          <w:highlight w:val="none"/>
          <w:u w:val="single"/>
        </w:rPr>
        <w:t xml:space="preserve">     </w:t>
      </w:r>
      <w:r>
        <w:rPr>
          <w:rFonts w:hint="eastAsia" w:cs="宋体"/>
          <w:color w:val="auto"/>
          <w:sz w:val="24"/>
          <w:szCs w:val="24"/>
          <w:highlight w:val="none"/>
        </w:rPr>
        <w:t xml:space="preserve">元/公斤。</w:t>
      </w:r>
      <w:r/>
    </w:p>
    <w:p>
      <w:pPr>
        <w:ind w:firstLine="482"/>
        <w:spacing w:line="440" w:lineRule="exact"/>
        <w:rPr>
          <w:rFonts w:cs="宋体"/>
          <w:color w:val="auto"/>
          <w:sz w:val="24"/>
          <w:szCs w:val="24"/>
          <w:highlight w:val="none"/>
        </w:rPr>
      </w:pPr>
      <w:r>
        <w:rPr>
          <w:rFonts w:hint="eastAsia" w:cs="宋体"/>
          <w:b/>
          <w:bCs/>
          <w:color w:val="auto"/>
          <w:sz w:val="24"/>
          <w:szCs w:val="24"/>
          <w:highlight w:val="none"/>
        </w:rPr>
        <w:t xml:space="preserve">二、交货地点及要求</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1、储备时间：合同签订日至2026年</w:t>
      </w:r>
      <w:r>
        <w:rPr>
          <w:rFonts w:cs="宋体"/>
          <w:color w:val="auto"/>
          <w:sz w:val="24"/>
          <w:szCs w:val="24"/>
          <w:highlight w:val="none"/>
        </w:rPr>
        <w:t xml:space="preserve">8</w:t>
      </w:r>
      <w:r>
        <w:rPr>
          <w:rFonts w:hint="eastAsia" w:cs="宋体"/>
          <w:color w:val="auto"/>
          <w:sz w:val="24"/>
          <w:szCs w:val="24"/>
          <w:highlight w:val="none"/>
        </w:rPr>
        <w:t xml:space="preserve">月31日止</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2、交货地点：甲方指定地点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3、交货要求：常熟市2026年度水稻救灾备荒种种子委托储备合同签订后，乙方应根据合同安排储备任务，满足甲方需求。</w:t>
      </w:r>
      <w:r/>
    </w:p>
    <w:p>
      <w:pPr>
        <w:ind w:firstLine="482"/>
        <w:spacing w:line="440" w:lineRule="exact"/>
        <w:rPr>
          <w:rFonts w:cs="宋体"/>
          <w:color w:val="auto"/>
          <w:sz w:val="24"/>
          <w:szCs w:val="24"/>
          <w:highlight w:val="none"/>
        </w:rPr>
      </w:pPr>
      <w:r>
        <w:rPr>
          <w:rFonts w:hint="eastAsia" w:cs="宋体"/>
          <w:b/>
          <w:bCs/>
          <w:color w:val="auto"/>
          <w:sz w:val="24"/>
          <w:szCs w:val="24"/>
          <w:highlight w:val="none"/>
        </w:rPr>
        <w:t xml:space="preserve">三、供货要求</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甲方委托乙方进行救灾备荒种子的供应。</w:t>
      </w:r>
      <w:r/>
    </w:p>
    <w:p>
      <w:pPr>
        <w:ind w:firstLine="482"/>
        <w:spacing w:line="440" w:lineRule="exact"/>
        <w:rPr>
          <w:rFonts w:cs="宋体"/>
          <w:b/>
          <w:bCs/>
          <w:color w:val="auto"/>
          <w:sz w:val="24"/>
          <w:szCs w:val="24"/>
          <w:highlight w:val="none"/>
        </w:rPr>
      </w:pPr>
      <w:r>
        <w:rPr>
          <w:rFonts w:hint="eastAsia" w:cs="宋体"/>
          <w:b/>
          <w:bCs/>
          <w:color w:val="auto"/>
          <w:sz w:val="24"/>
          <w:szCs w:val="24"/>
          <w:highlight w:val="none"/>
        </w:rPr>
        <w:t xml:space="preserve">四、相关要求</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1、乙方确保储备种子的品种、数量及储备时间，储备的种子质量要达到国家标准，并承担因种子质量引起的经济责任。若种子储备不足，经甲方同意，可从苏州市良种补贴品种目录里选择其他品种补充储备。</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2、储备种子的调拨权在甲方，乙方无权动用。</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3、救灾备荒种子调运由乙方向甲方提交书面申请，经甲方同意后，应尽快组织储备种子的调运，并于结束后将调出的时间、数量、调入单位（人员）等情况书面报告甲方。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4、乙方将救灾备荒种子供应结束后，应及时通知甲方对剩余种子进行确认，在得到甲方同意后，将剩余救灾备荒种子转商处理，并将转商数量、货款以书面形式报告甲方。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5、乙方在将救灾备荒种子转商结束后，转商部分的差价由甲方向常熟市财政局申请补助。</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6、甲方将救灾备荒种子财政补助资金申请完成后及时拨付给乙方。</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7、在储备期内，甲方将不定期对乙方的执行情况进行检查，内容包括储备数量、种子质量，乙方应接受甲方的监督、检查。</w:t>
      </w:r>
      <w:r/>
    </w:p>
    <w:p>
      <w:pPr>
        <w:ind w:firstLine="480"/>
        <w:spacing w:line="440" w:lineRule="exact"/>
        <w:rPr>
          <w:rFonts w:cs="宋体"/>
          <w:color w:val="auto"/>
          <w:sz w:val="24"/>
          <w:szCs w:val="24"/>
          <w:highlight w:val="none"/>
        </w:rPr>
      </w:pPr>
      <w:r>
        <w:rPr>
          <w:rFonts w:hint="eastAsia" w:cs="宋体"/>
          <w:color w:val="auto"/>
          <w:sz w:val="24"/>
          <w:szCs w:val="24"/>
          <w:highlight w:val="none"/>
        </w:rPr>
        <w:t xml:space="preserve">8、合同签订后，甲、乙双方不得违约，乙方如有违反本合同规定（没有满足储备种子数量、种子质量不合格），甲方有权拒付补助款，并由乙方承担由于违约而造成的相应责任。</w:t>
      </w:r>
      <w:r/>
    </w:p>
    <w:p>
      <w:pPr>
        <w:ind w:firstLine="482"/>
        <w:spacing w:line="480" w:lineRule="exact"/>
        <w:rPr>
          <w:rFonts w:cs="宋体"/>
          <w:b/>
          <w:bCs/>
          <w:color w:val="auto"/>
          <w:sz w:val="24"/>
          <w:szCs w:val="24"/>
          <w:highlight w:val="none"/>
        </w:rPr>
      </w:pPr>
      <w:r>
        <w:rPr>
          <w:rFonts w:hint="eastAsia" w:cs="宋体"/>
          <w:b/>
          <w:bCs/>
          <w:color w:val="auto"/>
          <w:sz w:val="24"/>
          <w:szCs w:val="24"/>
          <w:highlight w:val="none"/>
        </w:rPr>
        <w:t xml:space="preserve">五、履约保证金</w:t>
      </w:r>
      <w:r/>
    </w:p>
    <w:p>
      <w:pPr>
        <w:ind w:firstLine="480"/>
        <w:spacing w:line="480" w:lineRule="exact"/>
        <w:rPr>
          <w:rFonts w:cs="宋体"/>
          <w:color w:val="auto"/>
          <w:sz w:val="24"/>
          <w:highlight w:val="none"/>
        </w:rPr>
      </w:pPr>
      <w:r>
        <w:rPr>
          <w:rFonts w:hint="eastAsia" w:cs="宋体"/>
          <w:color w:val="auto"/>
          <w:sz w:val="24"/>
          <w:szCs w:val="24"/>
          <w:highlight w:val="none"/>
        </w:rPr>
        <w:t xml:space="preserve">1、履约保证金：无。</w:t>
      </w:r>
      <w:r/>
    </w:p>
    <w:p>
      <w:pPr>
        <w:ind w:firstLine="482"/>
        <w:spacing w:line="480" w:lineRule="exact"/>
        <w:rPr>
          <w:rFonts w:cs="宋体"/>
          <w:b/>
          <w:bCs/>
          <w:color w:val="auto"/>
          <w:sz w:val="24"/>
          <w:szCs w:val="24"/>
          <w:highlight w:val="none"/>
        </w:rPr>
      </w:pPr>
      <w:r>
        <w:rPr>
          <w:rFonts w:hint="eastAsia" w:cs="宋体"/>
          <w:b/>
          <w:bCs/>
          <w:color w:val="auto"/>
          <w:sz w:val="24"/>
          <w:szCs w:val="24"/>
          <w:highlight w:val="none"/>
        </w:rPr>
        <w:t xml:space="preserve">六、其他</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1、本协议未尽事宜，由双方共同协商解决。</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2、本协议一式三份，甲方、乙方、力原工程咨询（苏州）有限公司各执一份，具有同等法律效力。</w:t>
      </w:r>
      <w:r/>
    </w:p>
    <w:p>
      <w:pPr>
        <w:ind w:firstLine="554"/>
        <w:spacing w:line="480" w:lineRule="exact"/>
        <w:rPr>
          <w:rFonts w:cs="宋体"/>
          <w:color w:val="auto"/>
          <w:sz w:val="24"/>
          <w:szCs w:val="24"/>
          <w:highlight w:val="none"/>
        </w:rPr>
      </w:pPr>
      <w:r>
        <w:rPr>
          <w:rFonts w:cs="宋体"/>
          <w:color w:val="auto"/>
          <w:sz w:val="24"/>
          <w:szCs w:val="24"/>
          <w:highlight w:val="none"/>
        </w:rPr>
      </w:r>
      <w:r/>
    </w:p>
    <w:p>
      <w:pPr>
        <w:ind w:firstLine="554"/>
        <w:spacing w:line="480" w:lineRule="exact"/>
        <w:rPr>
          <w:rFonts w:cs="宋体"/>
          <w:color w:val="auto"/>
          <w:sz w:val="24"/>
          <w:szCs w:val="24"/>
          <w:highlight w:val="none"/>
        </w:rPr>
      </w:pPr>
      <w:r>
        <w:rPr>
          <w:rFonts w:cs="宋体"/>
          <w:color w:val="auto"/>
          <w:sz w:val="24"/>
          <w:szCs w:val="24"/>
          <w:highlight w:val="none"/>
        </w:rPr>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甲方：（公章）                     乙方：（公章）          </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法定代表人或委托代理人：</w:t>
      </w:r>
      <w:r>
        <w:rPr>
          <w:rFonts w:hint="eastAsia" w:cs="宋体"/>
          <w:color w:val="auto"/>
          <w:sz w:val="24"/>
          <w:szCs w:val="24"/>
          <w:highlight w:val="none"/>
        </w:rPr>
        <w:tab/>
      </w:r>
      <w:r>
        <w:rPr>
          <w:rFonts w:hint="eastAsia" w:cs="宋体"/>
          <w:color w:val="auto"/>
          <w:sz w:val="24"/>
          <w:szCs w:val="24"/>
          <w:highlight w:val="none"/>
        </w:rPr>
        <w:t xml:space="preserve">         法定代表人或委托代理人：</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联系电话：                          联系电话：</w:t>
      </w:r>
      <w:r>
        <w:rPr>
          <w:rFonts w:hint="eastAsia" w:cs="宋体"/>
          <w:color w:val="auto"/>
          <w:sz w:val="24"/>
          <w:szCs w:val="24"/>
          <w:highlight w:val="none"/>
        </w:rPr>
        <w:tab/>
      </w:r>
      <w:r>
        <w:rPr>
          <w:rFonts w:hint="eastAsia" w:cs="宋体"/>
          <w:color w:val="auto"/>
          <w:sz w:val="24"/>
          <w:szCs w:val="24"/>
          <w:highlight w:val="none"/>
        </w:rPr>
        <w:tab/>
      </w:r>
      <w:r>
        <w:rPr>
          <w:rFonts w:hint="eastAsia" w:cs="宋体"/>
          <w:color w:val="auto"/>
          <w:sz w:val="24"/>
          <w:szCs w:val="24"/>
          <w:highlight w:val="none"/>
        </w:rPr>
        <w:t xml:space="preserve">               </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年    月    日                      年    月    日             </w:t>
      </w:r>
      <w:r/>
    </w:p>
    <w:p>
      <w:pPr>
        <w:pStyle w:val="834"/>
        <w:rPr>
          <w:rFonts w:ascii="Times New Roman" w:hAnsi="Times New Roman" w:cs="宋体"/>
          <w:b w:val="0"/>
          <w:bCs/>
          <w:color w:val="auto"/>
          <w:sz w:val="44"/>
          <w:szCs w:val="22"/>
          <w:highlight w:val="none"/>
        </w:rPr>
      </w:pPr>
      <w:r>
        <w:rPr>
          <w:rFonts w:hint="eastAsia" w:ascii="Times New Roman" w:hAnsi="Times New Roman" w:cs="宋体"/>
          <w:color w:val="auto"/>
          <w:highlight w:val="none"/>
        </w:rPr>
        <w:br w:type="page" w:clear="all"/>
      </w:r>
      <w:bookmarkStart w:id="154" w:name="_Toc8250"/>
      <w:r/>
      <w:bookmarkStart w:id="155" w:name="_Toc2552"/>
      <w:r/>
      <w:bookmarkStart w:id="156" w:name="_Hlk162423770"/>
      <w:r>
        <w:rPr>
          <w:rFonts w:hint="eastAsia" w:ascii="Times New Roman" w:hAnsi="Times New Roman" w:cs="宋体"/>
          <w:b w:val="0"/>
          <w:bCs/>
          <w:color w:val="auto"/>
          <w:sz w:val="44"/>
          <w:szCs w:val="22"/>
          <w:highlight w:val="none"/>
        </w:rPr>
        <w:t xml:space="preserve">第四章  采购需求</w:t>
      </w:r>
      <w:bookmarkEnd w:id="44"/>
      <w:r/>
      <w:bookmarkEnd w:id="45"/>
      <w:r/>
      <w:bookmarkEnd w:id="46"/>
      <w:r/>
      <w:bookmarkEnd w:id="153"/>
      <w:r/>
      <w:bookmarkEnd w:id="154"/>
      <w:r/>
      <w:bookmarkEnd w:id="155"/>
      <w:r/>
      <w:r/>
    </w:p>
    <w:p>
      <w:pPr>
        <w:spacing w:line="450" w:lineRule="exact"/>
        <w:rPr>
          <w:rFonts w:cs="宋体"/>
          <w:b/>
          <w:bCs/>
          <w:color w:val="auto"/>
          <w:sz w:val="28"/>
          <w:szCs w:val="22"/>
          <w:highlight w:val="none"/>
        </w:rPr>
      </w:pPr>
      <w:r/>
      <w:bookmarkStart w:id="157" w:name="_Toc49090575"/>
      <w:r/>
      <w:bookmarkStart w:id="158" w:name="_Hlk104303087"/>
      <w:r/>
      <w:bookmarkStart w:id="159" w:name="_Hlk104304014"/>
      <w:r>
        <w:rPr>
          <w:rFonts w:hint="eastAsia" w:cs="宋体"/>
          <w:b/>
          <w:bCs/>
          <w:color w:val="auto"/>
          <w:sz w:val="28"/>
          <w:szCs w:val="22"/>
          <w:highlight w:val="none"/>
        </w:rPr>
        <w:t xml:space="preserve">项目名称：</w:t>
      </w:r>
      <w:r>
        <w:rPr>
          <w:rFonts w:hint="eastAsia" w:cs="宋体"/>
          <w:b/>
          <w:bCs/>
          <w:color w:val="auto"/>
          <w:sz w:val="28"/>
          <w:szCs w:val="28"/>
          <w:highlight w:val="none"/>
        </w:rPr>
        <w:t xml:space="preserve">常熟市2026年度水稻良种补贴及救灾备荒种项目</w:t>
      </w:r>
      <w:r/>
    </w:p>
    <w:p>
      <w:pPr>
        <w:spacing w:line="450" w:lineRule="exact"/>
        <w:rPr>
          <w:rFonts w:cs="宋体"/>
          <w:b/>
          <w:bCs/>
          <w:color w:val="auto"/>
          <w:sz w:val="28"/>
          <w:szCs w:val="22"/>
          <w:highlight w:val="none"/>
        </w:rPr>
      </w:pPr>
      <w:r>
        <w:rPr>
          <w:rFonts w:hint="eastAsia" w:cs="宋体"/>
          <w:b/>
          <w:bCs/>
          <w:color w:val="auto"/>
          <w:sz w:val="28"/>
          <w:szCs w:val="22"/>
          <w:highlight w:val="none"/>
        </w:rPr>
        <w:t xml:space="preserve">采 购 人：</w:t>
      </w:r>
      <w:r>
        <w:rPr>
          <w:rFonts w:hint="eastAsia" w:cs="宋体"/>
          <w:b/>
          <w:bCs/>
          <w:color w:val="auto"/>
          <w:sz w:val="28"/>
          <w:szCs w:val="28"/>
          <w:highlight w:val="none"/>
        </w:rPr>
        <w:t xml:space="preserve">常熟市农业技术推广中心</w:t>
      </w:r>
      <w:r/>
    </w:p>
    <w:p>
      <w:pPr>
        <w:spacing w:line="450" w:lineRule="exact"/>
        <w:rPr>
          <w:rFonts w:cs="宋体"/>
          <w:b/>
          <w:bCs/>
          <w:color w:val="auto"/>
          <w:sz w:val="28"/>
          <w:szCs w:val="22"/>
          <w:highlight w:val="none"/>
        </w:rPr>
      </w:pPr>
      <w:r>
        <w:rPr>
          <w:rFonts w:hint="eastAsia" w:cs="宋体"/>
          <w:b/>
          <w:bCs/>
          <w:color w:val="auto"/>
          <w:sz w:val="28"/>
          <w:szCs w:val="22"/>
          <w:highlight w:val="none"/>
        </w:rPr>
        <w:t xml:space="preserve">项目属性：货物类项目</w:t>
      </w:r>
      <w:bookmarkEnd w:id="157"/>
      <w:r/>
      <w:r/>
    </w:p>
    <w:p>
      <w:pPr>
        <w:spacing w:line="450" w:lineRule="exact"/>
        <w:tabs>
          <w:tab w:val="left" w:pos="360" w:leader="none"/>
        </w:tabs>
        <w:rPr>
          <w:rFonts w:cs="宋体"/>
          <w:b/>
          <w:color w:val="auto"/>
          <w:sz w:val="28"/>
          <w:szCs w:val="28"/>
          <w:highlight w:val="none"/>
        </w:rPr>
      </w:pPr>
      <w:r>
        <w:rPr>
          <w:rFonts w:hint="eastAsia" w:cs="宋体"/>
          <w:b/>
          <w:color w:val="auto"/>
          <w:sz w:val="28"/>
          <w:szCs w:val="28"/>
          <w:highlight w:val="none"/>
        </w:rPr>
        <w:t xml:space="preserve">一、项目说明：</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1、项目简介：常熟市农业技术推广中心要求的常熟市2026年度水稻良种补贴及救灾备荒种项目所需种子，包括常农粳14号、常香粳1813、宁香粳9号、苏香粳100、沪软玉1号、苏粳1180、南粳108等品种共计101.2万公斤。</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2、服务内容：</w:t>
      </w:r>
      <w:r>
        <w:rPr>
          <w:rFonts w:hint="eastAsia" w:cs="宋体"/>
          <w:b/>
          <w:bCs/>
          <w:color w:val="auto"/>
          <w:sz w:val="24"/>
          <w:szCs w:val="24"/>
          <w:highlight w:val="none"/>
        </w:rPr>
        <w:t xml:space="preserve">常农粳14号、常香粳1813、宁香粳9号、苏香粳100、沪软玉1号、苏粳1180、南粳108种子。</w:t>
      </w:r>
      <w:r/>
    </w:p>
    <w:p>
      <w:pPr>
        <w:ind w:firstLine="480"/>
        <w:spacing w:line="480" w:lineRule="exact"/>
        <w:rPr>
          <w:rFonts w:cs="宋体"/>
          <w:i/>
          <w:iCs/>
          <w:color w:val="auto"/>
          <w:sz w:val="24"/>
          <w:szCs w:val="24"/>
          <w:highlight w:val="none"/>
          <w:u w:val="single"/>
        </w:rPr>
      </w:pPr>
      <w:r>
        <w:rPr>
          <w:rFonts w:hint="eastAsia" w:cs="宋体"/>
          <w:color w:val="auto"/>
          <w:sz w:val="24"/>
          <w:szCs w:val="24"/>
          <w:highlight w:val="none"/>
        </w:rPr>
        <w:t xml:space="preserve">3、</w:t>
      </w:r>
      <w:r>
        <w:rPr>
          <w:rFonts w:hint="eastAsia" w:cs="宋体"/>
          <w:i/>
          <w:iCs/>
          <w:color w:val="auto"/>
          <w:sz w:val="24"/>
          <w:szCs w:val="24"/>
          <w:highlight w:val="none"/>
          <w:u w:val="single"/>
        </w:rPr>
        <w:t xml:space="preserve">服务期限：2026年5月15日前按照采购人要求完成。</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4、供应商应对现场进行踏勘，但相关费用由供应商自行承担。现场踏勘联系人：章湖鑫，联系电话：0512-52843760。供应商在报价时应充分考虑现场实际情况，采购人不负担因供应商对项目现场情况考虑不周而产生的其他任何费用。</w:t>
      </w:r>
      <w:r/>
    </w:p>
    <w:p>
      <w:pPr>
        <w:ind w:firstLine="482"/>
        <w:spacing w:line="480" w:lineRule="exact"/>
        <w:rPr>
          <w:rFonts w:cs="宋体"/>
          <w:b/>
          <w:bCs/>
          <w:color w:val="auto"/>
          <w:sz w:val="24"/>
          <w:szCs w:val="24"/>
          <w:highlight w:val="none"/>
        </w:rPr>
      </w:pPr>
      <w:r>
        <w:rPr>
          <w:rFonts w:hint="eastAsia" w:cs="宋体"/>
          <w:b/>
          <w:bCs/>
          <w:color w:val="auto"/>
          <w:sz w:val="24"/>
          <w:szCs w:val="24"/>
          <w:highlight w:val="none"/>
        </w:rPr>
        <w:t xml:space="preserve">5、本项目采购预算为¥6881600.00元（人民币陆佰捌拾捌万壹仟陆佰元整），供应商的每轮报价均不得超过采购预算，否则将作无效报价处理。</w:t>
      </w:r>
      <w:r/>
    </w:p>
    <w:p>
      <w:pPr>
        <w:spacing w:line="440" w:lineRule="exact"/>
        <w:rPr>
          <w:rFonts w:cs="宋体"/>
          <w:b/>
          <w:bCs/>
          <w:color w:val="auto"/>
          <w:sz w:val="28"/>
          <w:szCs w:val="28"/>
          <w:highlight w:val="none"/>
        </w:rPr>
      </w:pPr>
      <w:r>
        <w:rPr>
          <w:rFonts w:hint="eastAsia" w:cs="宋体"/>
          <w:b/>
          <w:color w:val="auto"/>
          <w:sz w:val="28"/>
          <w:szCs w:val="28"/>
          <w:highlight w:val="none"/>
        </w:rPr>
        <w:t xml:space="preserve">二、</w:t>
      </w:r>
      <w:r>
        <w:rPr>
          <w:rFonts w:hint="eastAsia" w:cs="宋体"/>
          <w:b/>
          <w:bCs/>
          <w:color w:val="auto"/>
          <w:sz w:val="28"/>
          <w:szCs w:val="28"/>
          <w:highlight w:val="none"/>
        </w:rPr>
        <w:t xml:space="preserve">项目配置要求：</w:t>
      </w:r>
      <w:bookmarkEnd w:id="47"/>
      <w:bookmarkEnd w:id="48"/>
      <w:bookmarkEnd w:id="49"/>
      <w:bookmarkEnd w:id="50"/>
      <w:bookmarkEnd w:id="51"/>
      <w:bookmarkEnd w:id="52"/>
      <w:bookmarkEnd w:id="53"/>
      <w:bookmarkEnd w:id="54"/>
      <w:bookmarkEnd w:id="55"/>
      <w:bookmarkEnd w:id="156"/>
      <w:bookmarkEnd w:id="158"/>
      <w:bookmarkEnd w:id="159"/>
      <w:r/>
    </w:p>
    <w:p>
      <w:pPr>
        <w:ind w:firstLine="120"/>
        <w:spacing w:line="440" w:lineRule="exact"/>
        <w:rPr>
          <w:rFonts w:cs="宋体"/>
          <w:color w:val="auto"/>
          <w:sz w:val="24"/>
          <w:szCs w:val="24"/>
          <w:highlight w:val="none"/>
        </w:rPr>
      </w:pPr>
      <w:r/>
      <w:bookmarkStart w:id="160" w:name="_Toc103345475"/>
      <w:r>
        <w:rPr>
          <w:rFonts w:hint="eastAsia" w:cs="宋体"/>
          <w:color w:val="auto"/>
          <w:sz w:val="24"/>
          <w:szCs w:val="24"/>
          <w:highlight w:val="none"/>
        </w:rPr>
        <w:t xml:space="preserve">本项目的常农粳14号、常香粳1813、宁香粳9号、苏香粳100、沪软玉1号、苏粳1180、南粳108等品种种子共计101.2万公斤，（若种源不足，经甲方同意，可从苏州市良种补贴品种目录里选择其他品种补充），具体需求见下表：</w:t>
      </w:r>
      <w:r/>
    </w:p>
    <w:tbl>
      <w:tblPr>
        <w:tblStyle w:val="660"/>
        <w:tblW w:w="943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876"/>
        <w:gridCol w:w="1876"/>
        <w:gridCol w:w="2917"/>
      </w:tblGrid>
      <w:tr>
        <w:trPr>
          <w:trHeight w:val="551"/>
        </w:trPr>
        <w:tc>
          <w:tcPr>
            <w:gridSpan w:val="2"/>
            <w:tcW w:w="464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品种要求</w:t>
            </w:r>
            <w:r/>
          </w:p>
        </w:tc>
        <w:tc>
          <w:tcPr>
            <w:tcW w:w="187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数量（公斤）</w:t>
            </w:r>
            <w:r/>
          </w:p>
        </w:tc>
        <w:tc>
          <w:tcPr>
            <w:tcW w:w="2917"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备注</w:t>
            </w:r>
            <w:r/>
          </w:p>
        </w:tc>
      </w:tr>
      <w:tr>
        <w:trPr>
          <w:cantSplit/>
          <w:trHeight w:val="551"/>
        </w:trPr>
        <w:tc>
          <w:tcPr>
            <w:tcW w:w="2770" w:type="dxa"/>
            <w:vAlign w:val="center"/>
            <w:vMerge w:val="restart"/>
            <w:textDirection w:val="lrTb"/>
            <w:noWrap w:val="false"/>
          </w:tcPr>
          <w:p>
            <w:pPr>
              <w:jc w:val="center"/>
              <w:spacing w:line="440" w:lineRule="exact"/>
              <w:rPr>
                <w:rFonts w:cs="宋体"/>
                <w:b/>
                <w:bCs/>
                <w:color w:val="auto"/>
                <w:sz w:val="24"/>
                <w:szCs w:val="24"/>
                <w:highlight w:val="none"/>
              </w:rPr>
            </w:pPr>
            <w:r>
              <w:rPr>
                <w:rFonts w:hint="eastAsia" w:cs="宋体"/>
                <w:b/>
                <w:bCs/>
                <w:color w:val="auto"/>
                <w:sz w:val="28"/>
                <w:szCs w:val="28"/>
                <w:highlight w:val="none"/>
              </w:rPr>
              <w:t xml:space="preserve">良种补贴种子</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b/>
                <w:bCs/>
                <w:color w:val="auto"/>
                <w:sz w:val="24"/>
                <w:szCs w:val="24"/>
                <w:highlight w:val="none"/>
              </w:rPr>
              <w:t xml:space="preserve">常农粳14号</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320800.00</w:t>
            </w:r>
            <w:r/>
          </w:p>
        </w:tc>
        <w:tc>
          <w:tcPr>
            <w:tcW w:w="2917" w:type="dxa"/>
            <w:vAlign w:val="center"/>
            <w:vMerge w:val="restart"/>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实际供种数量按采购人要求可做适当调整</w:t>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b/>
                <w:bCs/>
                <w:color w:val="auto"/>
                <w:sz w:val="24"/>
                <w:szCs w:val="24"/>
                <w:highlight w:val="none"/>
              </w:rPr>
              <w:t xml:space="preserve">常香粳1813</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16000.00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b/>
                <w:bCs/>
                <w:color w:val="auto"/>
                <w:sz w:val="24"/>
                <w:szCs w:val="24"/>
                <w:highlight w:val="none"/>
              </w:rPr>
              <w:t xml:space="preserve">宁香粳9号</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14800.00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苏香粳100</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198000.00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沪软玉1号</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26400.00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苏粳1180</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140000.00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51"/>
        </w:trPr>
        <w:tc>
          <w:tcPr>
            <w:tcW w:w="2770" w:type="dxa"/>
            <w:vAlign w:val="center"/>
            <w:vMerge w:val="continue"/>
            <w:textDirection w:val="lrTb"/>
            <w:noWrap w:val="false"/>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876"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南粳108</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196000.00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r>
        <w:trPr>
          <w:cantSplit/>
          <w:trHeight w:val="560"/>
        </w:trPr>
        <w:tc>
          <w:tcPr>
            <w:tcW w:w="2770" w:type="dxa"/>
            <w:vAlign w:val="center"/>
            <w:textDirection w:val="lrTb"/>
            <w:noWrap w:val="false"/>
          </w:tcPr>
          <w:p>
            <w:pPr>
              <w:jc w:val="center"/>
              <w:spacing w:line="440" w:lineRule="exact"/>
              <w:rPr>
                <w:rFonts w:cs="宋体"/>
                <w:b/>
                <w:bCs/>
                <w:color w:val="auto"/>
                <w:sz w:val="24"/>
                <w:szCs w:val="24"/>
                <w:highlight w:val="none"/>
              </w:rPr>
            </w:pPr>
            <w:r>
              <w:rPr>
                <w:rFonts w:hint="eastAsia" w:cs="宋体"/>
                <w:b/>
                <w:bCs/>
                <w:color w:val="auto"/>
                <w:sz w:val="28"/>
                <w:szCs w:val="28"/>
                <w:highlight w:val="none"/>
              </w:rPr>
              <w:t xml:space="preserve">救灾备荒种子</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b/>
                <w:bCs/>
                <w:color w:val="auto"/>
                <w:sz w:val="24"/>
                <w:szCs w:val="24"/>
                <w:highlight w:val="none"/>
              </w:rPr>
              <w:t xml:space="preserve">常农粳14号</w:t>
            </w:r>
            <w:r/>
          </w:p>
        </w:tc>
        <w:tc>
          <w:tcPr>
            <w:tcW w:w="1876" w:type="dxa"/>
            <w:vAlign w:val="center"/>
            <w:textDirection w:val="lrTb"/>
            <w:noWrap w:val="false"/>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100000.00</w:t>
            </w:r>
            <w:r/>
          </w:p>
        </w:tc>
        <w:tc>
          <w:tcPr>
            <w:tcW w:w="2917" w:type="dxa"/>
            <w:vAlign w:val="center"/>
            <w:vMerge w:val="continue"/>
            <w:textDirection w:val="lrTb"/>
            <w:noWrap w:val="false"/>
          </w:tcPr>
          <w:p>
            <w:pPr>
              <w:spacing w:line="440" w:lineRule="exact"/>
              <w:rPr>
                <w:rFonts w:cs="宋体"/>
                <w:color w:val="auto"/>
                <w:sz w:val="24"/>
                <w:szCs w:val="24"/>
                <w:highlight w:val="none"/>
              </w:rPr>
            </w:pPr>
            <w:r>
              <w:rPr>
                <w:rFonts w:cs="宋体"/>
                <w:color w:val="auto"/>
                <w:sz w:val="24"/>
                <w:szCs w:val="24"/>
                <w:highlight w:val="none"/>
              </w:rPr>
            </w:r>
            <w:r/>
          </w:p>
        </w:tc>
      </w:tr>
    </w:tbl>
    <w:p>
      <w:pPr>
        <w:ind w:firstLine="720"/>
        <w:spacing w:line="440" w:lineRule="exact"/>
        <w:rPr>
          <w:rFonts w:cs="宋体"/>
          <w:i/>
          <w:iCs/>
          <w:color w:val="auto"/>
          <w:highlight w:val="none"/>
        </w:rPr>
      </w:pPr>
      <w:r>
        <w:rPr>
          <w:rFonts w:hint="eastAsia" w:cs="宋体"/>
          <w:i/>
          <w:iCs/>
          <w:color w:val="auto"/>
          <w:sz w:val="24"/>
          <w:szCs w:val="24"/>
          <w:highlight w:val="none"/>
          <w:u w:val="single"/>
        </w:rPr>
        <w:t xml:space="preserve">注：水稻良种补贴种子质量除符合国家标准（GB4404.1-2</w:t>
      </w:r>
      <w:r>
        <w:rPr>
          <w:rFonts w:cs="宋体"/>
          <w:i/>
          <w:iCs/>
          <w:color w:val="auto"/>
          <w:sz w:val="24"/>
          <w:szCs w:val="24"/>
          <w:highlight w:val="none"/>
          <w:u w:val="single"/>
        </w:rPr>
        <w:t xml:space="preserve">024</w:t>
      </w:r>
      <w:r>
        <w:rPr>
          <w:rFonts w:hint="eastAsia" w:cs="宋体"/>
          <w:i/>
          <w:iCs/>
          <w:color w:val="auto"/>
          <w:sz w:val="24"/>
          <w:szCs w:val="24"/>
          <w:highlight w:val="none"/>
          <w:u w:val="single"/>
        </w:rPr>
        <w:t xml:space="preserve">）外，还应符合《苏州市稻麦良种补贴项目实施管理办法》的要求，“杂草稻谷”含量不超过万分之一。种子包装袋上印刷字样按照《苏州市稻麦良种补贴项目实施管理办法》中的要求制作。水稻救灾备荒种子质量应符合国家标准（GB4404.1-2024），种子包装袋上印刷“常熟备荒种”字样。</w:t>
      </w:r>
      <w:r/>
    </w:p>
    <w:p>
      <w:pPr>
        <w:spacing w:line="440" w:lineRule="exact"/>
        <w:rPr>
          <w:rFonts w:cs="宋体"/>
          <w:color w:val="auto"/>
          <w:sz w:val="24"/>
          <w:szCs w:val="24"/>
          <w:highlight w:val="none"/>
        </w:rPr>
      </w:pPr>
      <w:r>
        <w:rPr>
          <w:rFonts w:hint="eastAsia" w:cs="宋体"/>
          <w:b/>
          <w:color w:val="auto"/>
          <w:sz w:val="28"/>
          <w:szCs w:val="28"/>
          <w:highlight w:val="none"/>
        </w:rPr>
        <w:t xml:space="preserve">三、报价要求：</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1、供应商须对本项目中的所有服务进行报价，不得拆开报价或只对其中的部分内容进行报价，否则将作无效报价处理。</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2、供应商应以人民币报价，报价总价包括：水稻良种、各种税费、人工、保险、运输、仓储、发货、送货以及质保期间的一切费用。</w:t>
      </w:r>
      <w:r/>
    </w:p>
    <w:p>
      <w:pPr>
        <w:ind w:firstLine="480"/>
        <w:spacing w:line="480" w:lineRule="exact"/>
        <w:rPr>
          <w:rFonts w:cs="宋体"/>
          <w:color w:val="auto"/>
          <w:sz w:val="24"/>
          <w:szCs w:val="24"/>
          <w:highlight w:val="none"/>
        </w:rPr>
      </w:pPr>
      <w:r>
        <w:rPr>
          <w:rFonts w:hint="eastAsia" w:cs="宋体"/>
          <w:color w:val="auto"/>
          <w:sz w:val="24"/>
          <w:szCs w:val="24"/>
          <w:highlight w:val="none"/>
        </w:rPr>
        <w:t xml:space="preserve">3、供应商在报价时应考虑各种风险因素，相关风险因素费用包含在报价中。风险因素包括但不限于遇活动、检查、税费调整等。</w:t>
      </w:r>
      <w:r/>
    </w:p>
    <w:p>
      <w:pPr>
        <w:pStyle w:val="834"/>
        <w:spacing w:line="460" w:lineRule="exact"/>
        <w:rPr>
          <w:rFonts w:cs="宋体"/>
          <w:b w:val="0"/>
          <w:bCs/>
          <w:color w:val="auto"/>
          <w:sz w:val="44"/>
          <w:szCs w:val="22"/>
          <w:highlight w:val="none"/>
        </w:rPr>
      </w:pPr>
      <w:r>
        <w:rPr>
          <w:rFonts w:hint="eastAsia" w:ascii="Times New Roman" w:hAnsi="Times New Roman" w:cs="宋体"/>
          <w:b w:val="0"/>
          <w:bCs/>
          <w:color w:val="auto"/>
          <w:sz w:val="44"/>
          <w:szCs w:val="22"/>
          <w:highlight w:val="none"/>
        </w:rPr>
        <w:br w:type="page" w:clear="all"/>
      </w:r>
      <w:bookmarkStart w:id="161" w:name="_Toc812"/>
      <w:r/>
      <w:bookmarkStart w:id="162" w:name="_Toc10557"/>
      <w:r>
        <w:rPr>
          <w:rFonts w:hint="eastAsia" w:cs="宋体"/>
          <w:b w:val="0"/>
          <w:bCs/>
          <w:color w:val="auto"/>
          <w:sz w:val="44"/>
          <w:szCs w:val="22"/>
          <w:highlight w:val="none"/>
        </w:rPr>
        <w:t xml:space="preserve">第五章</w:t>
      </w:r>
      <w:bookmarkEnd w:id="160"/>
      <w:r>
        <w:rPr>
          <w:rFonts w:hint="eastAsia" w:cs="宋体"/>
          <w:b w:val="0"/>
          <w:bCs/>
          <w:color w:val="auto"/>
          <w:sz w:val="44"/>
          <w:szCs w:val="22"/>
          <w:highlight w:val="none"/>
        </w:rPr>
        <w:t xml:space="preserve">  响应文件格式</w:t>
      </w:r>
      <w:bookmarkEnd w:id="161"/>
      <w:r/>
      <w:bookmarkEnd w:id="162"/>
      <w:r/>
      <w:r/>
    </w:p>
    <w:p>
      <w:pPr>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44"/>
          <w:szCs w:val="44"/>
          <w:highlight w:val="none"/>
        </w:rPr>
      </w:pPr>
      <w:r>
        <w:rPr>
          <w:rFonts w:ascii="宋体" w:hAnsi="宋体" w:cs="宋体"/>
          <w:b/>
          <w:color w:val="auto"/>
          <w:sz w:val="44"/>
          <w:szCs w:val="44"/>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响  应  文件</w:t>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ind w:firstLine="643"/>
        <w:spacing w:line="360" w:lineRule="auto"/>
        <w:rPr>
          <w:rFonts w:cs="宋体"/>
          <w:b/>
          <w:color w:val="auto"/>
          <w:sz w:val="32"/>
          <w:szCs w:val="32"/>
          <w:highlight w:val="none"/>
          <w:u w:val="single"/>
        </w:rPr>
      </w:pPr>
      <w:r>
        <w:rPr>
          <w:rFonts w:hint="eastAsia" w:cs="宋体"/>
          <w:b/>
          <w:color w:val="auto"/>
          <w:sz w:val="32"/>
          <w:szCs w:val="32"/>
          <w:highlight w:val="none"/>
        </w:rPr>
        <w:t xml:space="preserve">项目名称：</w:t>
      </w:r>
      <w:r>
        <w:rPr>
          <w:rFonts w:hint="eastAsia" w:cs="宋体"/>
          <w:b/>
          <w:color w:val="auto"/>
          <w:sz w:val="32"/>
          <w:szCs w:val="32"/>
          <w:highlight w:val="none"/>
          <w:u w:val="single"/>
        </w:rPr>
        <w:t xml:space="preserve">常熟市2026年度水稻良种补贴及救灾备荒种项目</w:t>
      </w:r>
      <w:r/>
    </w:p>
    <w:p>
      <w:pPr>
        <w:ind w:firstLine="643"/>
        <w:jc w:val="left"/>
        <w:spacing w:line="360" w:lineRule="auto"/>
        <w:rPr>
          <w:rFonts w:hint="eastAsia" w:eastAsia="宋体" w:cs="宋体"/>
          <w:b/>
          <w:color w:val="auto"/>
          <w:sz w:val="32"/>
          <w:szCs w:val="32"/>
          <w:highlight w:val="none"/>
          <w:lang w:eastAsia="zh-CN"/>
        </w:rPr>
      </w:pPr>
      <w:r>
        <w:rPr>
          <w:rFonts w:hint="eastAsia" w:cs="宋体"/>
          <w:b/>
          <w:color w:val="auto"/>
          <w:sz w:val="32"/>
          <w:szCs w:val="32"/>
          <w:highlight w:val="none"/>
        </w:rPr>
        <w:t xml:space="preserve">项目编号：</w:t>
      </w:r>
      <w:r>
        <w:rPr>
          <w:rFonts w:hint="eastAsia" w:cs="宋体"/>
          <w:b/>
          <w:color w:val="auto"/>
          <w:sz w:val="32"/>
          <w:szCs w:val="32"/>
          <w:highlight w:val="none"/>
          <w:u w:val="single"/>
          <w:lang w:eastAsia="zh-CN"/>
        </w:rPr>
        <w:t xml:space="preserve">JSZC-320581-LYDL-D2026-0001</w:t>
      </w:r>
      <w:r/>
    </w:p>
    <w:p>
      <w:pPr>
        <w:ind w:firstLine="643"/>
        <w:jc w:val="left"/>
        <w:spacing w:line="360" w:lineRule="auto"/>
        <w:rPr>
          <w:rFonts w:cs="宋体"/>
          <w:b/>
          <w:color w:val="auto"/>
          <w:sz w:val="32"/>
          <w:szCs w:val="32"/>
          <w:highlight w:val="none"/>
        </w:rPr>
      </w:pPr>
      <w:r>
        <w:rPr>
          <w:rFonts w:hint="eastAsia" w:cs="宋体"/>
          <w:b/>
          <w:color w:val="auto"/>
          <w:sz w:val="32"/>
          <w:szCs w:val="32"/>
          <w:highlight w:val="none"/>
        </w:rPr>
        <w:t xml:space="preserve">供应商名称：</w:t>
      </w:r>
      <w:r>
        <w:rPr>
          <w:rFonts w:hint="eastAsia" w:cs="宋体"/>
          <w:b/>
          <w:color w:val="auto"/>
          <w:sz w:val="32"/>
          <w:szCs w:val="32"/>
          <w:highlight w:val="none"/>
          <w:u w:val="single"/>
        </w:rPr>
        <w:t xml:space="preserve">（加盖CA电子公章）         </w:t>
      </w:r>
      <w:r/>
    </w:p>
    <w:p>
      <w:pPr>
        <w:ind w:firstLine="643"/>
        <w:jc w:val="left"/>
        <w:spacing w:line="360" w:lineRule="auto"/>
        <w:rPr>
          <w:rFonts w:cs="宋体"/>
          <w:b/>
          <w:color w:val="auto"/>
          <w:sz w:val="32"/>
          <w:szCs w:val="32"/>
          <w:highlight w:val="none"/>
          <w:u w:val="single"/>
        </w:rPr>
      </w:pPr>
      <w:r>
        <w:rPr>
          <w:rFonts w:hint="eastAsia" w:cs="宋体"/>
          <w:b/>
          <w:color w:val="auto"/>
          <w:sz w:val="32"/>
          <w:szCs w:val="32"/>
          <w:highlight w:val="none"/>
        </w:rPr>
        <w:t xml:space="preserve">日期：</w:t>
      </w:r>
      <w:r>
        <w:rPr>
          <w:rFonts w:hint="eastAsia" w:cs="宋体"/>
          <w:b/>
          <w:color w:val="auto"/>
          <w:sz w:val="32"/>
          <w:szCs w:val="32"/>
          <w:highlight w:val="none"/>
          <w:u w:val="single"/>
        </w:rPr>
        <w:t xml:space="preserve">2026年    月    日</w:t>
      </w:r>
      <w:r/>
    </w:p>
    <w:p>
      <w:pPr>
        <w:ind w:firstLine="1440"/>
        <w:rPr>
          <w:rFonts w:ascii="宋体" w:hAnsi="宋体" w:cs="宋体"/>
          <w:color w:val="auto"/>
          <w:sz w:val="36"/>
          <w:szCs w:val="36"/>
          <w:highlight w:val="none"/>
        </w:rPr>
      </w:pPr>
      <w:r>
        <w:rPr>
          <w:rFonts w:ascii="宋体" w:hAnsi="宋体" w:cs="宋体"/>
          <w:color w:val="auto"/>
          <w:sz w:val="36"/>
          <w:szCs w:val="36"/>
          <w:highlight w:val="none"/>
        </w:rPr>
      </w: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before="152" w:after="152" w:line="440" w:lineRule="exact"/>
        <w:rPr>
          <w:rFonts w:ascii="宋体" w:hAnsi="宋体" w:cs="宋体"/>
          <w:color w:val="auto"/>
          <w:sz w:val="20"/>
          <w:highlight w:val="none"/>
        </w:rPr>
      </w:pPr>
      <w:r>
        <w:rPr>
          <w:rFonts w:hint="eastAsia" w:ascii="宋体" w:hAnsi="宋体" w:cs="宋体"/>
          <w:b/>
          <w:color w:val="auto"/>
          <w:sz w:val="44"/>
          <w:szCs w:val="44"/>
          <w:highlight w:val="none"/>
        </w:rPr>
        <w:br w:type="page" w:clear="all"/>
      </w:r>
      <w:r>
        <w:rPr>
          <w:rFonts w:hint="eastAsia" w:ascii="宋体" w:hAnsi="宋体" w:cs="宋体"/>
          <w:b/>
          <w:color w:val="auto"/>
          <w:sz w:val="32"/>
          <w:szCs w:val="32"/>
          <w:highlight w:val="none"/>
        </w:rPr>
        <w:t xml:space="preserve">响应文件目录</w:t>
      </w:r>
      <w:r/>
    </w:p>
    <w:p>
      <w:pPr>
        <w:ind w:left="480"/>
        <w:spacing w:line="480" w:lineRule="exact"/>
        <w:rPr>
          <w:rFonts w:cs="宋体"/>
          <w:b/>
          <w:color w:val="auto"/>
          <w:sz w:val="24"/>
          <w:szCs w:val="21"/>
          <w:highlight w:val="none"/>
        </w:rPr>
      </w:pPr>
      <w:r>
        <w:rPr>
          <w:rFonts w:hint="eastAsia" w:cs="宋体"/>
          <w:b/>
          <w:color w:val="auto"/>
          <w:sz w:val="24"/>
          <w:szCs w:val="21"/>
          <w:highlight w:val="none"/>
        </w:rPr>
        <w:t xml:space="preserve">一、基本目录</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1.开标一览表（格式见附件1）</w:t>
      </w:r>
      <w:r/>
    </w:p>
    <w:p>
      <w:pPr>
        <w:ind w:left="480"/>
        <w:spacing w:line="480" w:lineRule="exact"/>
        <w:rPr>
          <w:rFonts w:cs="宋体"/>
          <w:color w:val="auto"/>
          <w:sz w:val="24"/>
          <w:szCs w:val="21"/>
          <w:highlight w:val="none"/>
        </w:rPr>
      </w:pPr>
      <w:r>
        <w:rPr>
          <w:rFonts w:hint="eastAsia" w:cs="宋体"/>
          <w:color w:val="auto"/>
          <w:sz w:val="24"/>
          <w:szCs w:val="21"/>
          <w:highlight w:val="none"/>
        </w:rPr>
        <w:t xml:space="preserve">2.分项报价表（格式见附件2）</w:t>
      </w:r>
      <w:r/>
    </w:p>
    <w:p>
      <w:pPr>
        <w:ind w:left="480"/>
        <w:spacing w:line="480" w:lineRule="exact"/>
        <w:rPr>
          <w:rFonts w:cs="宋体"/>
          <w:color w:val="auto"/>
          <w:sz w:val="24"/>
          <w:szCs w:val="21"/>
          <w:highlight w:val="none"/>
        </w:rPr>
      </w:pPr>
      <w:r>
        <w:rPr>
          <w:rFonts w:hint="eastAsia" w:cs="宋体"/>
          <w:color w:val="auto"/>
          <w:sz w:val="24"/>
          <w:szCs w:val="21"/>
          <w:highlight w:val="none"/>
        </w:rPr>
        <w:t xml:space="preserve">3.品种主要特性说明（格式见附件3）</w:t>
      </w:r>
      <w:r/>
    </w:p>
    <w:p>
      <w:pPr>
        <w:ind w:left="480"/>
        <w:spacing w:line="480" w:lineRule="exact"/>
        <w:rPr>
          <w:rFonts w:cs="宋体"/>
          <w:color w:val="auto"/>
          <w:sz w:val="24"/>
          <w:szCs w:val="21"/>
          <w:highlight w:val="none"/>
        </w:rPr>
      </w:pPr>
      <w:r>
        <w:rPr>
          <w:rFonts w:hint="eastAsia" w:cs="宋体"/>
          <w:color w:val="auto"/>
          <w:sz w:val="24"/>
          <w:szCs w:val="21"/>
          <w:highlight w:val="none"/>
        </w:rPr>
        <w:t xml:space="preserve">4.</w:t>
      </w:r>
      <w:r>
        <w:rPr>
          <w:rFonts w:hint="eastAsia" w:cs="宋体"/>
          <w:color w:val="auto"/>
          <w:sz w:val="24"/>
          <w:szCs w:val="24"/>
          <w:highlight w:val="none"/>
        </w:rPr>
        <w:t xml:space="preserve">供种方案与服务承诺</w:t>
      </w:r>
      <w:r>
        <w:rPr>
          <w:rFonts w:hint="eastAsia" w:cs="宋体"/>
          <w:color w:val="auto"/>
          <w:sz w:val="24"/>
          <w:szCs w:val="21"/>
          <w:highlight w:val="none"/>
        </w:rPr>
        <w:t xml:space="preserve">（格式见附件4）</w:t>
      </w:r>
      <w:r/>
    </w:p>
    <w:p>
      <w:pPr>
        <w:ind w:left="480"/>
        <w:spacing w:line="480" w:lineRule="exact"/>
        <w:rPr>
          <w:rFonts w:cs="宋体"/>
          <w:color w:val="auto"/>
          <w:sz w:val="24"/>
          <w:szCs w:val="21"/>
          <w:highlight w:val="none"/>
        </w:rPr>
      </w:pPr>
      <w:r>
        <w:rPr>
          <w:rFonts w:hint="eastAsia" w:cs="宋体"/>
          <w:color w:val="auto"/>
          <w:sz w:val="24"/>
          <w:szCs w:val="21"/>
          <w:highlight w:val="none"/>
        </w:rPr>
        <w:t xml:space="preserve">5.质量保证措施（格式见附件5）</w:t>
      </w:r>
      <w:r/>
    </w:p>
    <w:p>
      <w:pPr>
        <w:ind w:left="480"/>
        <w:spacing w:line="480" w:lineRule="exact"/>
        <w:rPr>
          <w:rFonts w:cs="宋体"/>
          <w:b/>
          <w:color w:val="auto"/>
          <w:sz w:val="24"/>
          <w:szCs w:val="21"/>
          <w:highlight w:val="none"/>
        </w:rPr>
      </w:pPr>
      <w:r>
        <w:rPr>
          <w:rFonts w:hint="eastAsia" w:cs="宋体"/>
          <w:b/>
          <w:color w:val="auto"/>
          <w:sz w:val="24"/>
          <w:szCs w:val="21"/>
          <w:highlight w:val="none"/>
        </w:rPr>
        <w:t xml:space="preserve">二、资格审查内容</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1.法人或者其他组织的营业执照等证明文件，自然人的身份证明</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2.最近一期财务状况报告（供应商成立不满一年无需提供），或银行出具的资信证明</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4.具备履行合同所必需的设备和专业技术能力的书面声明（格式见附件7）</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5.参加政府采购活动前3年内在经营活动中没有重大违法记录的书面声明（格式见附件8）</w:t>
      </w:r>
      <w:r/>
    </w:p>
    <w:p>
      <w:pPr>
        <w:ind w:left="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6.中小企业声明函（格式见附件12）或残疾人福利性单位声明函（格式见附件13）或省级以上监狱管理局、戒毒管理局（含新疆生产建设兵团）出具的属于监狱企业的证明文件。</w:t>
      </w:r>
      <w:r/>
    </w:p>
    <w:p>
      <w:pPr>
        <w:ind w:left="480"/>
        <w:spacing w:line="480" w:lineRule="exact"/>
        <w:rPr>
          <w:rFonts w:cs="宋体"/>
          <w:b/>
          <w:color w:val="auto"/>
          <w:sz w:val="24"/>
          <w:szCs w:val="21"/>
          <w:highlight w:val="none"/>
        </w:rPr>
      </w:pPr>
      <w:r>
        <w:rPr>
          <w:rFonts w:hint="eastAsia" w:cs="宋体"/>
          <w:b/>
          <w:color w:val="auto"/>
          <w:sz w:val="24"/>
          <w:szCs w:val="21"/>
          <w:highlight w:val="none"/>
        </w:rPr>
        <w:t xml:space="preserve">三、符合性审查内容</w:t>
      </w:r>
      <w:r/>
    </w:p>
    <w:p>
      <w:pPr>
        <w:ind w:firstLine="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1.法人授权书（如有授权，格式见附件9）</w:t>
      </w:r>
      <w:r/>
    </w:p>
    <w:p>
      <w:pPr>
        <w:ind w:firstLine="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2.单一来源响应函（格式见附件10）</w:t>
      </w:r>
      <w:r/>
    </w:p>
    <w:p>
      <w:pPr>
        <w:ind w:firstLine="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3.实质性要求响应及偏离表（格式见附件11）</w:t>
      </w:r>
      <w:r/>
    </w:p>
    <w:p>
      <w:pPr>
        <w:ind w:firstLine="480"/>
        <w:spacing w:line="480" w:lineRule="exact"/>
        <w:rPr>
          <w:rFonts w:cs="宋体"/>
          <w:i/>
          <w:iCs/>
          <w:color w:val="auto"/>
          <w:sz w:val="24"/>
          <w:szCs w:val="21"/>
          <w:highlight w:val="none"/>
          <w:u w:val="single"/>
        </w:rPr>
      </w:pPr>
      <w:r>
        <w:rPr>
          <w:rFonts w:hint="eastAsia" w:cs="宋体"/>
          <w:i/>
          <w:iCs/>
          <w:color w:val="auto"/>
          <w:sz w:val="24"/>
          <w:szCs w:val="21"/>
          <w:highlight w:val="none"/>
          <w:u w:val="single"/>
        </w:rPr>
        <w:t xml:space="preserve">4.合同条款偏离表（格式见附件6）</w:t>
      </w:r>
      <w:r/>
    </w:p>
    <w:p>
      <w:pPr>
        <w:pStyle w:val="882"/>
        <w:ind w:left="525"/>
        <w:rPr>
          <w:rFonts w:cs="宋体"/>
          <w:bCs w:val="0"/>
          <w:smallCaps w:val="0"/>
          <w:color w:val="auto"/>
          <w:highlight w:val="none"/>
        </w:rPr>
      </w:pPr>
      <w:r>
        <w:rPr>
          <w:rFonts w:cs="宋体"/>
          <w:bCs w:val="0"/>
          <w:smallCaps w:val="0"/>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Start w:id="163" w:name="_Toc26961"/>
      <w:r>
        <w:rPr>
          <w:rFonts w:hint="eastAsia" w:eastAsia="宋体" w:cs="宋体"/>
          <w:color w:val="auto"/>
          <w:sz w:val="24"/>
          <w:szCs w:val="24"/>
          <w:highlight w:val="none"/>
        </w:rPr>
        <w:t xml:space="preserve">附件1 开标一览表</w:t>
      </w:r>
      <w:bookmarkEnd w:id="163"/>
      <w:r/>
      <w:r/>
    </w:p>
    <w:p>
      <w:pPr>
        <w:ind w:firstLine="482"/>
        <w:spacing w:line="360" w:lineRule="auto"/>
        <w:rPr>
          <w:rFonts w:cs="宋体"/>
          <w:color w:val="auto"/>
          <w:sz w:val="24"/>
          <w:szCs w:val="24"/>
          <w:highlight w:val="none"/>
        </w:rPr>
      </w:pPr>
      <w:r/>
      <w:bookmarkStart w:id="164" w:name="_Hlk161058480"/>
      <w:r>
        <w:rPr>
          <w:rFonts w:hint="eastAsia" w:cs="宋体"/>
          <w:color w:val="auto"/>
          <w:sz w:val="24"/>
          <w:szCs w:val="24"/>
          <w:highlight w:val="none"/>
        </w:rPr>
        <w:t xml:space="preserve">投标人全称（加盖公章）</w:t>
      </w:r>
      <w:bookmarkEnd w:id="164"/>
      <w:r>
        <w:rPr>
          <w:rFonts w:hint="eastAsia" w:cs="宋体"/>
          <w:color w:val="auto"/>
          <w:sz w:val="24"/>
          <w:szCs w:val="24"/>
          <w:highlight w:val="none"/>
        </w:rPr>
        <w:t xml:space="preserve">：</w:t>
      </w:r>
      <w:r/>
    </w:p>
    <w:p>
      <w:pPr>
        <w:ind w:firstLine="482"/>
        <w:spacing w:line="360" w:lineRule="auto"/>
        <w:rPr>
          <w:rFonts w:cs="宋体"/>
          <w:color w:val="auto"/>
          <w:sz w:val="24"/>
          <w:szCs w:val="24"/>
          <w:highlight w:val="none"/>
        </w:rPr>
      </w:pPr>
      <w:r>
        <w:rPr>
          <w:rFonts w:hint="eastAsia" w:cs="宋体"/>
          <w:color w:val="auto"/>
          <w:sz w:val="24"/>
          <w:szCs w:val="24"/>
          <w:highlight w:val="none"/>
        </w:rPr>
        <w:t xml:space="preserve">项目名称：常熟市2026年度水稻良种补贴及救灾备荒种项目</w:t>
      </w:r>
      <w:r/>
    </w:p>
    <w:p>
      <w:pPr>
        <w:ind w:firstLine="482"/>
        <w:spacing w:line="360" w:lineRule="auto"/>
        <w:rPr>
          <w:rFonts w:hint="eastAsia" w:eastAsia="宋体" w:cs="宋体"/>
          <w:color w:val="auto"/>
          <w:sz w:val="24"/>
          <w:szCs w:val="24"/>
          <w:highlight w:val="none"/>
          <w:lang w:eastAsia="zh-CN"/>
        </w:rPr>
      </w:pPr>
      <w:r>
        <w:rPr>
          <w:rFonts w:hint="eastAsia" w:cs="宋体"/>
          <w:color w:val="auto"/>
          <w:sz w:val="24"/>
          <w:szCs w:val="24"/>
          <w:highlight w:val="none"/>
        </w:rPr>
        <w:t xml:space="preserve">项目编号：</w:t>
      </w:r>
      <w:r>
        <w:rPr>
          <w:rFonts w:hint="eastAsia" w:cs="宋体"/>
          <w:color w:val="auto"/>
          <w:sz w:val="24"/>
          <w:szCs w:val="24"/>
          <w:highlight w:val="none"/>
          <w:lang w:eastAsia="zh-CN"/>
        </w:rPr>
        <w:t xml:space="preserve">JSZC-320581-LYDL-D2026-0001</w:t>
      </w:r>
      <w:r/>
    </w:p>
    <w:tbl>
      <w:tblPr>
        <w:tblStyle w:val="682"/>
        <w:tblpPr w:horzAnchor="page" w:tblpX="1753" w:vertAnchor="text" w:tblpY="279" w:leftFromText="180" w:topFromText="0" w:rightFromText="180" w:bottomFromText="0"/>
        <w:tblW w:w="87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59"/>
        <w:gridCol w:w="4005"/>
      </w:tblGrid>
      <w:tr>
        <w:trPr>
          <w:trHeight w:val="660"/>
        </w:trPr>
        <w:tc>
          <w:tcPr>
            <w:tcW w:w="4759" w:type="dxa"/>
            <w:vAlign w:val="center"/>
            <w:textDirection w:val="lrTb"/>
            <w:noWrap w:val="false"/>
          </w:tcPr>
          <w:p>
            <w:pPr>
              <w:jc w:val="center"/>
              <w:spacing w:line="360" w:lineRule="auto"/>
              <w:rPr>
                <w:rFonts w:cs="宋体"/>
                <w:bCs/>
                <w:color w:val="auto"/>
                <w:sz w:val="24"/>
                <w:szCs w:val="24"/>
                <w:highlight w:val="none"/>
              </w:rPr>
            </w:pPr>
            <w:r>
              <w:rPr>
                <w:rFonts w:hint="eastAsia" w:cs="宋体"/>
                <w:bCs/>
                <w:color w:val="auto"/>
                <w:sz w:val="24"/>
                <w:szCs w:val="24"/>
                <w:highlight w:val="none"/>
              </w:rPr>
              <w:t xml:space="preserve">项目名称</w:t>
            </w:r>
            <w:r/>
          </w:p>
        </w:tc>
        <w:tc>
          <w:tcPr>
            <w:tcW w:w="4005" w:type="dxa"/>
            <w:vAlign w:val="center"/>
            <w:textDirection w:val="lrTb"/>
            <w:noWrap w:val="false"/>
          </w:tcPr>
          <w:p>
            <w:pPr>
              <w:jc w:val="center"/>
              <w:spacing w:line="360" w:lineRule="auto"/>
              <w:rPr>
                <w:rFonts w:cs="宋体"/>
                <w:bCs/>
                <w:color w:val="auto"/>
                <w:sz w:val="24"/>
                <w:szCs w:val="24"/>
                <w:highlight w:val="none"/>
              </w:rPr>
            </w:pPr>
            <w:r>
              <w:rPr>
                <w:rFonts w:hint="eastAsia" w:cs="宋体"/>
                <w:bCs/>
                <w:color w:val="auto"/>
                <w:sz w:val="24"/>
                <w:szCs w:val="24"/>
                <w:highlight w:val="none"/>
              </w:rPr>
              <w:t xml:space="preserve">投标总报价</w:t>
            </w:r>
            <w:r/>
          </w:p>
        </w:tc>
      </w:tr>
      <w:tr>
        <w:trPr>
          <w:trHeight w:val="796"/>
        </w:trPr>
        <w:tc>
          <w:tcPr>
            <w:tcW w:w="4759" w:type="dxa"/>
            <w:vAlign w:val="center"/>
            <w:textDirection w:val="lrTb"/>
            <w:noWrap w:val="false"/>
          </w:tcPr>
          <w:p>
            <w:pPr>
              <w:jc w:val="center"/>
              <w:spacing w:line="360" w:lineRule="auto"/>
              <w:rPr>
                <w:rFonts w:cs="宋体"/>
                <w:b/>
                <w:color w:val="auto"/>
                <w:sz w:val="24"/>
                <w:szCs w:val="24"/>
                <w:highlight w:val="none"/>
              </w:rPr>
            </w:pPr>
            <w:r>
              <w:rPr>
                <w:rFonts w:hint="eastAsia" w:cs="宋体"/>
                <w:color w:val="auto"/>
                <w:sz w:val="24"/>
                <w:szCs w:val="24"/>
                <w:highlight w:val="none"/>
              </w:rPr>
              <w:t xml:space="preserve">常熟市2026年度水稻良种补贴及救灾备荒种项目</w:t>
            </w:r>
            <w:r/>
          </w:p>
        </w:tc>
        <w:tc>
          <w:tcPr>
            <w:tcW w:w="4005" w:type="dxa"/>
            <w:vAlign w:val="center"/>
            <w:textDirection w:val="lrTb"/>
            <w:noWrap w:val="false"/>
          </w:tcPr>
          <w:p>
            <w:pPr>
              <w:spacing w:line="360" w:lineRule="auto"/>
              <w:rPr>
                <w:rFonts w:cs="宋体"/>
                <w:b/>
                <w:color w:val="auto"/>
                <w:sz w:val="24"/>
                <w:szCs w:val="24"/>
                <w:highlight w:val="none"/>
              </w:rPr>
            </w:pPr>
            <w:r>
              <w:rPr>
                <w:rFonts w:hint="eastAsia" w:cs="宋体"/>
                <w:bCs/>
                <w:color w:val="auto"/>
                <w:sz w:val="24"/>
                <w:szCs w:val="24"/>
                <w:highlight w:val="none"/>
              </w:rPr>
              <w:t xml:space="preserve">小写：          （元人民币）</w:t>
            </w:r>
            <w:r/>
          </w:p>
        </w:tc>
      </w:tr>
      <w:tr>
        <w:trPr>
          <w:trHeight w:val="843"/>
        </w:trPr>
        <w:tc>
          <w:tcPr>
            <w:tcW w:w="4759" w:type="dxa"/>
            <w:vAlign w:val="center"/>
            <w:textDirection w:val="lrTb"/>
            <w:noWrap w:val="false"/>
          </w:tcPr>
          <w:p>
            <w:pPr>
              <w:jc w:val="center"/>
              <w:spacing w:line="360" w:lineRule="auto"/>
              <w:rPr>
                <w:rFonts w:cs="宋体"/>
                <w:b/>
                <w:color w:val="auto"/>
                <w:sz w:val="24"/>
                <w:szCs w:val="24"/>
                <w:highlight w:val="none"/>
              </w:rPr>
            </w:pPr>
            <w:r>
              <w:rPr>
                <w:rFonts w:hint="eastAsia" w:cs="宋体"/>
                <w:bCs/>
                <w:color w:val="auto"/>
                <w:sz w:val="24"/>
                <w:szCs w:val="24"/>
                <w:highlight w:val="none"/>
              </w:rPr>
              <w:t xml:space="preserve">投标报价</w:t>
            </w:r>
            <w:r/>
          </w:p>
        </w:tc>
        <w:tc>
          <w:tcPr>
            <w:tcW w:w="4005" w:type="dxa"/>
            <w:vAlign w:val="center"/>
            <w:textDirection w:val="lrTb"/>
            <w:noWrap w:val="false"/>
          </w:tcPr>
          <w:p>
            <w:pPr>
              <w:spacing w:line="360" w:lineRule="auto"/>
              <w:rPr>
                <w:rFonts w:cs="宋体"/>
                <w:b/>
                <w:color w:val="auto"/>
                <w:sz w:val="24"/>
                <w:szCs w:val="24"/>
                <w:highlight w:val="none"/>
              </w:rPr>
            </w:pPr>
            <w:r>
              <w:rPr>
                <w:rFonts w:hint="eastAsia" w:cs="宋体"/>
                <w:bCs/>
                <w:color w:val="auto"/>
                <w:sz w:val="24"/>
                <w:szCs w:val="24"/>
                <w:highlight w:val="none"/>
              </w:rPr>
              <w:t xml:space="preserve">大写金额：</w:t>
            </w:r>
            <w:r/>
          </w:p>
        </w:tc>
      </w:tr>
    </w:tbl>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cs="宋体"/>
          <w:color w:val="auto"/>
          <w:sz w:val="24"/>
          <w:szCs w:val="24"/>
          <w:highlight w:val="none"/>
        </w:rPr>
      </w:r>
      <w:r/>
    </w:p>
    <w:p>
      <w:pPr>
        <w:ind w:firstLine="480"/>
        <w:spacing w:line="360" w:lineRule="auto"/>
        <w:rPr>
          <w:rFonts w:cs="宋体"/>
          <w:color w:val="auto"/>
          <w:sz w:val="24"/>
          <w:szCs w:val="24"/>
          <w:highlight w:val="none"/>
        </w:rPr>
      </w:pPr>
      <w:r>
        <w:rPr>
          <w:rFonts w:hint="eastAsia" w:cs="宋体"/>
          <w:color w:val="auto"/>
          <w:sz w:val="24"/>
          <w:szCs w:val="24"/>
          <w:highlight w:val="none"/>
        </w:rPr>
        <w:t xml:space="preserve">日期：</w:t>
      </w:r>
      <w:r>
        <w:rPr>
          <w:rFonts w:hint="eastAsia" w:cs="宋体"/>
          <w:color w:val="auto"/>
          <w:sz w:val="24"/>
          <w:szCs w:val="24"/>
          <w:highlight w:val="none"/>
          <w:u w:val="single"/>
        </w:rPr>
        <w:t xml:space="preserve">     </w:t>
      </w:r>
      <w:r>
        <w:rPr>
          <w:rFonts w:hint="eastAsia" w:cs="宋体"/>
          <w:color w:val="auto"/>
          <w:sz w:val="24"/>
          <w:szCs w:val="24"/>
          <w:highlight w:val="none"/>
        </w:rPr>
        <w:t xml:space="preserve">年</w:t>
      </w:r>
      <w:r>
        <w:rPr>
          <w:rFonts w:hint="eastAsia" w:cs="宋体"/>
          <w:color w:val="auto"/>
          <w:sz w:val="24"/>
          <w:szCs w:val="24"/>
          <w:highlight w:val="none"/>
          <w:u w:val="single"/>
        </w:rPr>
        <w:t xml:space="preserve">    </w:t>
      </w:r>
      <w:r>
        <w:rPr>
          <w:rFonts w:hint="eastAsia" w:cs="宋体"/>
          <w:color w:val="auto"/>
          <w:sz w:val="24"/>
          <w:szCs w:val="24"/>
          <w:highlight w:val="none"/>
        </w:rPr>
        <w:t xml:space="preserve">月</w:t>
      </w:r>
      <w:r>
        <w:rPr>
          <w:rFonts w:hint="eastAsia" w:cs="宋体"/>
          <w:color w:val="auto"/>
          <w:sz w:val="24"/>
          <w:szCs w:val="24"/>
          <w:highlight w:val="none"/>
          <w:u w:val="single"/>
        </w:rPr>
        <w:t xml:space="preserve">    </w:t>
      </w:r>
      <w:r>
        <w:rPr>
          <w:rFonts w:hint="eastAsia" w:cs="宋体"/>
          <w:color w:val="auto"/>
          <w:sz w:val="24"/>
          <w:szCs w:val="24"/>
          <w:highlight w:val="none"/>
        </w:rPr>
        <w:t xml:space="preserve">日</w:t>
      </w:r>
      <w:r/>
    </w:p>
    <w:p>
      <w:pPr>
        <w:pStyle w:val="854"/>
        <w:spacing w:line="360" w:lineRule="auto"/>
        <w:rPr>
          <w:rFonts w:ascii="Times New Roman" w:cs="宋体"/>
          <w:color w:val="auto"/>
          <w:highlight w:val="none"/>
        </w:rPr>
      </w:pPr>
      <w:r>
        <w:rPr>
          <w:rFonts w:ascii="Times New Roman" w:cs="宋体"/>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Start w:id="165" w:name="_Toc103345487"/>
      <w:r/>
      <w:bookmarkEnd w:id="165"/>
      <w:r/>
      <w:bookmarkStart w:id="166" w:name="_Toc29423"/>
      <w:r/>
      <w:bookmarkStart w:id="167" w:name="_Toc37422568"/>
      <w:r>
        <w:rPr>
          <w:rFonts w:hint="eastAsia" w:eastAsia="宋体" w:cs="宋体"/>
          <w:color w:val="auto"/>
          <w:sz w:val="24"/>
          <w:szCs w:val="24"/>
          <w:highlight w:val="none"/>
        </w:rPr>
        <w:t xml:space="preserve">附件2 分项报价表</w:t>
      </w:r>
      <w:bookmarkEnd w:id="166"/>
      <w:r/>
      <w:r/>
    </w:p>
    <w:tbl>
      <w:tblPr>
        <w:tblStyle w:val="660"/>
        <w:tblW w:w="9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1877"/>
        <w:gridCol w:w="1563"/>
        <w:gridCol w:w="1612"/>
        <w:gridCol w:w="1724"/>
        <w:gridCol w:w="1888"/>
      </w:tblGrid>
      <w:tr>
        <w:trPr>
          <w:cantSplit/>
          <w:jc w:val="center"/>
          <w:trHeight w:val="625"/>
        </w:trPr>
        <w:tc>
          <w:tcPr>
            <w:tcW w:w="919"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序号</w:t>
            </w:r>
            <w:r/>
          </w:p>
        </w:tc>
        <w:tc>
          <w:tcPr>
            <w:gridSpan w:val="2"/>
            <w:tcW w:w="3440"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品种名称</w:t>
            </w:r>
            <w:r/>
          </w:p>
        </w:tc>
        <w:tc>
          <w:tcPr>
            <w:tcW w:w="1612"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供种数量</w:t>
            </w:r>
            <w:r/>
          </w:p>
          <w:p>
            <w:pPr>
              <w:jc w:val="center"/>
              <w:rPr>
                <w:rFonts w:cs="宋体"/>
                <w:b/>
                <w:bCs/>
                <w:color w:val="auto"/>
                <w:sz w:val="24"/>
                <w:szCs w:val="24"/>
                <w:highlight w:val="none"/>
              </w:rPr>
            </w:pPr>
            <w:r>
              <w:rPr>
                <w:rFonts w:hint="eastAsia" w:cs="宋体"/>
                <w:b/>
                <w:bCs/>
                <w:color w:val="auto"/>
                <w:sz w:val="24"/>
                <w:szCs w:val="24"/>
                <w:highlight w:val="none"/>
              </w:rPr>
              <w:t xml:space="preserve">（公斤）</w:t>
            </w:r>
            <w:r/>
          </w:p>
        </w:tc>
        <w:tc>
          <w:tcPr>
            <w:tcW w:w="1724"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单价</w:t>
            </w:r>
            <w:r/>
          </w:p>
          <w:p>
            <w:pPr>
              <w:jc w:val="center"/>
              <w:rPr>
                <w:rFonts w:cs="宋体"/>
                <w:b/>
                <w:bCs/>
                <w:color w:val="auto"/>
                <w:sz w:val="24"/>
                <w:szCs w:val="24"/>
                <w:highlight w:val="none"/>
              </w:rPr>
            </w:pPr>
            <w:r>
              <w:rPr>
                <w:rFonts w:hint="eastAsia" w:cs="宋体"/>
                <w:b/>
                <w:bCs/>
                <w:color w:val="auto"/>
                <w:sz w:val="24"/>
                <w:szCs w:val="24"/>
                <w:highlight w:val="none"/>
              </w:rPr>
              <w:t xml:space="preserve">（元/公斤）</w:t>
            </w:r>
            <w:r/>
          </w:p>
        </w:tc>
        <w:tc>
          <w:tcPr>
            <w:tcW w:w="1888"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分类总价</w:t>
            </w:r>
            <w:r/>
          </w:p>
          <w:p>
            <w:pPr>
              <w:jc w:val="center"/>
              <w:rPr>
                <w:rFonts w:cs="宋体"/>
                <w:b/>
                <w:bCs/>
                <w:color w:val="auto"/>
                <w:sz w:val="24"/>
                <w:szCs w:val="24"/>
                <w:highlight w:val="none"/>
              </w:rPr>
            </w:pPr>
            <w:r>
              <w:rPr>
                <w:rFonts w:hint="eastAsia" w:cs="宋体"/>
                <w:b/>
                <w:bCs/>
                <w:color w:val="auto"/>
                <w:sz w:val="24"/>
                <w:szCs w:val="24"/>
                <w:highlight w:val="none"/>
              </w:rPr>
              <w:t xml:space="preserve">（元）</w:t>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1</w:t>
            </w:r>
            <w:r/>
          </w:p>
        </w:tc>
        <w:tc>
          <w:tcPr>
            <w:tcW w:w="1877" w:type="dxa"/>
            <w:vAlign w:val="center"/>
            <w:vMerge w:val="restart"/>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良种补贴种子</w:t>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常农粳14号</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320800.00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2</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常香粳1813</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16000.00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3</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宁香粳9号</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14800.00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4</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苏香粳100</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198000.00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5</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沪软玉1号</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26400.00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6</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苏粳1180</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140000.00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7</w:t>
            </w:r>
            <w:r/>
          </w:p>
        </w:tc>
        <w:tc>
          <w:tcPr>
            <w:tcW w:w="1877" w:type="dxa"/>
            <w:vAlign w:val="center"/>
            <w:vMerge w:val="continue"/>
            <w:textDirection w:val="lrTb"/>
            <w:noWrap/>
          </w:tcPr>
          <w:p>
            <w:pPr>
              <w:jc w:val="center"/>
              <w:spacing w:line="440" w:lineRule="exact"/>
              <w:rPr>
                <w:rFonts w:cs="宋体"/>
                <w:b/>
                <w:bCs/>
                <w:color w:val="auto"/>
                <w:sz w:val="24"/>
                <w:szCs w:val="24"/>
                <w:highlight w:val="none"/>
              </w:rPr>
            </w:pPr>
            <w:r>
              <w:rPr>
                <w:rFonts w:cs="宋体"/>
                <w:b/>
                <w:bCs/>
                <w:color w:val="auto"/>
                <w:sz w:val="24"/>
                <w:szCs w:val="24"/>
                <w:highlight w:val="none"/>
              </w:rPr>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南粳108</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196000.00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695"/>
        </w:trPr>
        <w:tc>
          <w:tcPr>
            <w:tcW w:w="919"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8</w:t>
            </w:r>
            <w:r/>
          </w:p>
        </w:tc>
        <w:tc>
          <w:tcPr>
            <w:tcW w:w="1877"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救灾备荒种子</w:t>
            </w:r>
            <w:r/>
          </w:p>
        </w:tc>
        <w:tc>
          <w:tcPr>
            <w:tcW w:w="1563" w:type="dxa"/>
            <w:vAlign w:val="center"/>
            <w:textDirection w:val="lrTb"/>
            <w:noWrap/>
          </w:tcPr>
          <w:p>
            <w:pPr>
              <w:jc w:val="center"/>
              <w:spacing w:line="440" w:lineRule="exact"/>
              <w:rPr>
                <w:rFonts w:cs="宋体"/>
                <w:b/>
                <w:bCs/>
                <w:color w:val="auto"/>
                <w:sz w:val="24"/>
                <w:szCs w:val="24"/>
                <w:highlight w:val="none"/>
              </w:rPr>
            </w:pPr>
            <w:r>
              <w:rPr>
                <w:rFonts w:hint="eastAsia" w:cs="宋体"/>
                <w:b/>
                <w:bCs/>
                <w:color w:val="auto"/>
                <w:sz w:val="24"/>
                <w:szCs w:val="24"/>
                <w:highlight w:val="none"/>
              </w:rPr>
              <w:t xml:space="preserve">常农粳14号</w:t>
            </w:r>
            <w:r/>
          </w:p>
        </w:tc>
        <w:tc>
          <w:tcPr>
            <w:tcW w:w="1612" w:type="dxa"/>
            <w:vAlign w:val="center"/>
            <w:textDirection w:val="lrTb"/>
            <w:noWrap/>
          </w:tcPr>
          <w:p>
            <w:pPr>
              <w:jc w:val="center"/>
              <w:spacing w:line="440" w:lineRule="exact"/>
              <w:rPr>
                <w:rFonts w:cs="宋体"/>
                <w:color w:val="auto"/>
                <w:sz w:val="24"/>
                <w:szCs w:val="24"/>
                <w:highlight w:val="none"/>
              </w:rPr>
            </w:pPr>
            <w:r>
              <w:rPr>
                <w:rFonts w:hint="eastAsia" w:cs="宋体"/>
                <w:color w:val="auto"/>
                <w:sz w:val="24"/>
                <w:szCs w:val="24"/>
                <w:highlight w:val="none"/>
              </w:rPr>
              <w:t xml:space="preserve">100000.00</w:t>
            </w:r>
            <w:r/>
          </w:p>
        </w:tc>
        <w:tc>
          <w:tcPr>
            <w:tcW w:w="1724"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r>
        <w:trPr>
          <w:cantSplit/>
          <w:jc w:val="center"/>
          <w:trHeight w:val="1078"/>
        </w:trPr>
        <w:tc>
          <w:tcPr>
            <w:gridSpan w:val="5"/>
            <w:tcW w:w="7695" w:type="dxa"/>
            <w:vAlign w:val="center"/>
            <w:textDirection w:val="lrTb"/>
            <w:noWrap/>
          </w:tcPr>
          <w:p>
            <w:pPr>
              <w:ind w:right="964"/>
              <w:jc w:val="center"/>
              <w:spacing w:line="540" w:lineRule="exact"/>
              <w:rPr>
                <w:rFonts w:cs="宋体"/>
                <w:b/>
                <w:bCs/>
                <w:color w:val="auto"/>
                <w:sz w:val="24"/>
                <w:szCs w:val="24"/>
                <w:highlight w:val="none"/>
              </w:rPr>
            </w:pPr>
            <w:r>
              <w:rPr>
                <w:rFonts w:hint="eastAsia" w:cs="宋体"/>
                <w:b/>
                <w:bCs/>
                <w:color w:val="auto"/>
                <w:sz w:val="24"/>
                <w:szCs w:val="24"/>
                <w:highlight w:val="none"/>
              </w:rPr>
              <w:t xml:space="preserve">总报价（人民币：元）</w:t>
            </w:r>
            <w:r/>
          </w:p>
        </w:tc>
        <w:tc>
          <w:tcPr>
            <w:tcW w:w="1888" w:type="dxa"/>
            <w:vAlign w:val="center"/>
            <w:textDirection w:val="lrTb"/>
            <w:noWrap/>
          </w:tcPr>
          <w:p>
            <w:pPr>
              <w:jc w:val="center"/>
              <w:spacing w:line="540" w:lineRule="exact"/>
              <w:rPr>
                <w:rFonts w:cs="宋体"/>
                <w:b/>
                <w:bCs/>
                <w:color w:val="auto"/>
                <w:sz w:val="24"/>
                <w:szCs w:val="24"/>
                <w:highlight w:val="none"/>
              </w:rPr>
            </w:pPr>
            <w:r>
              <w:rPr>
                <w:rFonts w:cs="宋体"/>
                <w:b/>
                <w:bCs/>
                <w:color w:val="auto"/>
                <w:sz w:val="24"/>
                <w:szCs w:val="24"/>
                <w:highlight w:val="none"/>
              </w:rPr>
            </w:r>
            <w:r/>
          </w:p>
        </w:tc>
      </w:tr>
    </w:tbl>
    <w:p>
      <w:pPr>
        <w:spacing w:line="440" w:lineRule="exact"/>
        <w:rPr>
          <w:rFonts w:cs="宋体"/>
          <w:color w:val="auto"/>
          <w:sz w:val="24"/>
          <w:szCs w:val="24"/>
          <w:highlight w:val="none"/>
        </w:rPr>
      </w:pPr>
      <w:r>
        <w:rPr>
          <w:rFonts w:hint="eastAsia" w:cs="宋体"/>
          <w:color w:val="auto"/>
          <w:sz w:val="24"/>
          <w:szCs w:val="24"/>
          <w:highlight w:val="none"/>
        </w:rPr>
        <w:t xml:space="preserve">备注：报价采用总承包方式，供应商的报价应包括采购人需求的服务（包含与服务相关的货物）价格、质量保证费用、售后服务费用，项目在指定地点、环境交付、验收所需费用和所有相关税金费用及为完成整个项目所产生的其它所有费用。</w:t>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End w:id="167"/>
      <w:r/>
      <w:bookmarkStart w:id="168" w:name="_Toc9977"/>
      <w:r/>
      <w:bookmarkStart w:id="169" w:name="_Hlk161649342"/>
      <w:r>
        <w:rPr>
          <w:rFonts w:hint="eastAsia" w:eastAsia="宋体" w:cs="宋体"/>
          <w:color w:val="auto"/>
          <w:sz w:val="24"/>
          <w:szCs w:val="24"/>
          <w:highlight w:val="none"/>
        </w:rPr>
        <w:t xml:space="preserve">附件3 品种主要特性说明</w:t>
      </w:r>
      <w:bookmarkEnd w:id="168"/>
      <w:r/>
      <w:r/>
    </w:p>
    <w:p>
      <w:pPr>
        <w:ind w:right="312"/>
        <w:spacing w:line="440" w:lineRule="exact"/>
        <w:rPr>
          <w:rFonts w:cs="宋体"/>
          <w:color w:val="auto"/>
          <w:sz w:val="24"/>
          <w:highlight w:val="none"/>
        </w:rPr>
      </w:pPr>
      <w:r>
        <w:rPr>
          <w:rFonts w:hint="eastAsia" w:cs="宋体"/>
          <w:color w:val="auto"/>
          <w:sz w:val="24"/>
          <w:highlight w:val="none"/>
        </w:rPr>
        <w:t xml:space="preserve">供应商应对所报品种的特性作出详细说明，主要内容包括但不限于：</w:t>
      </w:r>
      <w:r/>
    </w:p>
    <w:p>
      <w:pPr>
        <w:ind w:right="312" w:firstLine="480"/>
        <w:spacing w:line="440" w:lineRule="exact"/>
        <w:rPr>
          <w:rFonts w:cs="宋体"/>
          <w:color w:val="auto"/>
          <w:sz w:val="24"/>
          <w:highlight w:val="none"/>
        </w:rPr>
      </w:pPr>
      <w:r>
        <w:rPr>
          <w:rFonts w:hint="eastAsia" w:cs="宋体"/>
          <w:color w:val="auto"/>
          <w:sz w:val="24"/>
          <w:highlight w:val="none"/>
        </w:rPr>
        <w:t xml:space="preserve">1、品种名称、品种选育及成果拥有单位、经营权限等；</w:t>
      </w:r>
      <w:r/>
    </w:p>
    <w:p>
      <w:pPr>
        <w:ind w:right="312" w:firstLine="480"/>
        <w:spacing w:line="440" w:lineRule="exact"/>
        <w:rPr>
          <w:rFonts w:cs="宋体"/>
          <w:color w:val="auto"/>
          <w:sz w:val="24"/>
          <w:highlight w:val="none"/>
        </w:rPr>
      </w:pPr>
      <w:r>
        <w:rPr>
          <w:rFonts w:hint="eastAsia" w:cs="宋体"/>
          <w:color w:val="auto"/>
          <w:sz w:val="24"/>
          <w:highlight w:val="none"/>
        </w:rPr>
        <w:t xml:space="preserve">2、种子来源及生产时间；</w:t>
      </w:r>
      <w:r/>
    </w:p>
    <w:p>
      <w:pPr>
        <w:ind w:right="312" w:firstLine="480"/>
        <w:spacing w:line="440" w:lineRule="exact"/>
        <w:rPr>
          <w:rFonts w:cs="宋体"/>
          <w:color w:val="auto"/>
          <w:sz w:val="24"/>
          <w:highlight w:val="none"/>
        </w:rPr>
      </w:pPr>
      <w:r>
        <w:rPr>
          <w:rFonts w:hint="eastAsia" w:cs="宋体"/>
          <w:color w:val="auto"/>
          <w:sz w:val="24"/>
          <w:highlight w:val="none"/>
        </w:rPr>
        <w:t xml:space="preserve">3、供种数量；</w:t>
      </w:r>
      <w:r/>
    </w:p>
    <w:p>
      <w:pPr>
        <w:ind w:right="312" w:firstLine="480"/>
        <w:spacing w:line="440" w:lineRule="exact"/>
        <w:rPr>
          <w:rFonts w:cs="宋体"/>
          <w:color w:val="auto"/>
          <w:sz w:val="24"/>
          <w:highlight w:val="none"/>
        </w:rPr>
      </w:pPr>
      <w:r>
        <w:rPr>
          <w:rFonts w:hint="eastAsia" w:cs="宋体"/>
          <w:color w:val="auto"/>
          <w:sz w:val="24"/>
          <w:highlight w:val="none"/>
        </w:rPr>
        <w:t xml:space="preserve">4、品种品质特点；</w:t>
      </w:r>
      <w:r/>
    </w:p>
    <w:p>
      <w:pPr>
        <w:ind w:right="312" w:firstLine="480"/>
        <w:spacing w:line="440" w:lineRule="exact"/>
        <w:rPr>
          <w:rFonts w:cs="宋体"/>
          <w:color w:val="auto"/>
          <w:sz w:val="24"/>
          <w:highlight w:val="none"/>
        </w:rPr>
      </w:pPr>
      <w:r>
        <w:rPr>
          <w:rFonts w:hint="eastAsia" w:cs="宋体"/>
          <w:color w:val="auto"/>
          <w:sz w:val="24"/>
          <w:highlight w:val="none"/>
        </w:rPr>
        <w:t xml:space="preserve">5、种子质量技术指标（水分、发芽率、纯度、净度等）；</w:t>
      </w:r>
      <w:r/>
    </w:p>
    <w:p>
      <w:pPr>
        <w:ind w:right="312" w:firstLine="480"/>
        <w:spacing w:line="440" w:lineRule="exact"/>
        <w:rPr>
          <w:rFonts w:cs="宋体"/>
          <w:color w:val="auto"/>
          <w:sz w:val="24"/>
          <w:highlight w:val="none"/>
        </w:rPr>
      </w:pPr>
      <w:r>
        <w:rPr>
          <w:rFonts w:hint="eastAsia" w:cs="宋体"/>
          <w:color w:val="auto"/>
          <w:sz w:val="24"/>
          <w:highlight w:val="none"/>
        </w:rPr>
        <w:t xml:space="preserve">6、品种近年种植表现；</w:t>
      </w:r>
      <w:r/>
    </w:p>
    <w:p>
      <w:pPr>
        <w:ind w:right="312" w:firstLine="480"/>
        <w:spacing w:line="440" w:lineRule="exact"/>
        <w:rPr>
          <w:rFonts w:cs="宋体"/>
          <w:color w:val="auto"/>
          <w:sz w:val="24"/>
          <w:highlight w:val="none"/>
        </w:rPr>
      </w:pPr>
      <w:r>
        <w:rPr>
          <w:rFonts w:hint="eastAsia" w:cs="宋体"/>
          <w:color w:val="auto"/>
          <w:sz w:val="24"/>
          <w:highlight w:val="none"/>
        </w:rPr>
        <w:t xml:space="preserve">7、种植技术要点（不同栽培方式）；</w:t>
      </w:r>
      <w:r/>
    </w:p>
    <w:p>
      <w:pPr>
        <w:ind w:right="312" w:firstLine="480"/>
        <w:spacing w:line="440" w:lineRule="exact"/>
        <w:rPr>
          <w:rFonts w:cs="宋体"/>
          <w:color w:val="auto"/>
          <w:sz w:val="24"/>
          <w:highlight w:val="none"/>
        </w:rPr>
      </w:pPr>
      <w:r>
        <w:rPr>
          <w:rFonts w:hint="eastAsia" w:cs="宋体"/>
          <w:color w:val="auto"/>
          <w:sz w:val="24"/>
          <w:highlight w:val="none"/>
        </w:rPr>
        <w:t xml:space="preserve">8、其他。</w:t>
      </w:r>
      <w:r/>
    </w:p>
    <w:p>
      <w:pPr>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Start w:id="170" w:name="_Toc19673"/>
      <w:r>
        <w:rPr>
          <w:rFonts w:hint="eastAsia" w:eastAsia="宋体" w:cs="宋体"/>
          <w:color w:val="auto"/>
          <w:sz w:val="24"/>
          <w:szCs w:val="24"/>
          <w:highlight w:val="none"/>
        </w:rPr>
        <w:t xml:space="preserve">附件4 供种方案与服务承诺</w:t>
      </w:r>
      <w:bookmarkEnd w:id="170"/>
      <w:r/>
      <w:r/>
    </w:p>
    <w:p>
      <w:pPr>
        <w:ind w:right="312"/>
        <w:spacing w:line="440" w:lineRule="exact"/>
        <w:rPr>
          <w:rFonts w:cs="宋体"/>
          <w:color w:val="auto"/>
          <w:sz w:val="24"/>
          <w:highlight w:val="none"/>
        </w:rPr>
      </w:pPr>
      <w:r>
        <w:rPr>
          <w:rFonts w:hint="eastAsia" w:cs="宋体"/>
          <w:color w:val="auto"/>
          <w:sz w:val="24"/>
          <w:szCs w:val="24"/>
          <w:highlight w:val="none"/>
        </w:rPr>
        <w:t xml:space="preserve">供应商</w:t>
      </w:r>
      <w:r>
        <w:rPr>
          <w:rFonts w:hint="eastAsia" w:cs="宋体"/>
          <w:color w:val="auto"/>
          <w:sz w:val="24"/>
          <w:highlight w:val="none"/>
        </w:rPr>
        <w:t xml:space="preserve">编写的供种方案与服务承诺应包括但不限于：</w:t>
      </w:r>
      <w:r/>
    </w:p>
    <w:p>
      <w:pPr>
        <w:ind w:right="312" w:firstLine="480"/>
        <w:spacing w:line="440" w:lineRule="exact"/>
        <w:rPr>
          <w:rFonts w:cs="宋体"/>
          <w:color w:val="auto"/>
          <w:sz w:val="24"/>
          <w:highlight w:val="none"/>
        </w:rPr>
      </w:pPr>
      <w:r>
        <w:rPr>
          <w:rFonts w:hint="eastAsia" w:cs="宋体"/>
          <w:color w:val="auto"/>
          <w:sz w:val="24"/>
          <w:highlight w:val="none"/>
        </w:rPr>
        <w:t xml:space="preserve">1、种源落实情况；</w:t>
      </w:r>
      <w:r/>
    </w:p>
    <w:p>
      <w:pPr>
        <w:ind w:right="312" w:firstLine="480"/>
        <w:spacing w:line="440" w:lineRule="exact"/>
        <w:rPr>
          <w:rFonts w:cs="宋体"/>
          <w:color w:val="auto"/>
          <w:sz w:val="24"/>
          <w:highlight w:val="none"/>
        </w:rPr>
      </w:pPr>
      <w:r>
        <w:rPr>
          <w:rFonts w:hint="eastAsia" w:cs="宋体"/>
          <w:color w:val="auto"/>
          <w:sz w:val="24"/>
          <w:highlight w:val="none"/>
        </w:rPr>
        <w:t xml:space="preserve">2、供种方式；</w:t>
      </w:r>
      <w:r/>
    </w:p>
    <w:p>
      <w:pPr>
        <w:ind w:right="312" w:firstLine="480"/>
        <w:spacing w:line="440" w:lineRule="exact"/>
        <w:rPr>
          <w:rFonts w:cs="宋体"/>
          <w:color w:val="auto"/>
          <w:sz w:val="24"/>
          <w:highlight w:val="none"/>
        </w:rPr>
      </w:pPr>
      <w:r>
        <w:rPr>
          <w:rFonts w:hint="eastAsia" w:cs="宋体"/>
          <w:color w:val="auto"/>
          <w:sz w:val="24"/>
          <w:highlight w:val="none"/>
        </w:rPr>
        <w:t xml:space="preserve">3、供种计划进度；</w:t>
      </w:r>
      <w:r/>
    </w:p>
    <w:p>
      <w:pPr>
        <w:ind w:right="312" w:firstLine="480"/>
        <w:spacing w:line="440" w:lineRule="exact"/>
        <w:rPr>
          <w:rFonts w:cs="宋体"/>
          <w:color w:val="auto"/>
          <w:sz w:val="24"/>
          <w:highlight w:val="none"/>
        </w:rPr>
      </w:pPr>
      <w:r>
        <w:rPr>
          <w:rFonts w:hint="eastAsia" w:cs="宋体"/>
          <w:color w:val="auto"/>
          <w:sz w:val="24"/>
          <w:highlight w:val="none"/>
        </w:rPr>
        <w:t xml:space="preserve">4、供种组织管理及相关保障措施；</w:t>
      </w:r>
      <w:r/>
    </w:p>
    <w:p>
      <w:pPr>
        <w:ind w:right="312" w:firstLine="480"/>
        <w:spacing w:line="440" w:lineRule="exact"/>
        <w:rPr>
          <w:rFonts w:cs="宋体"/>
          <w:color w:val="auto"/>
          <w:sz w:val="24"/>
          <w:highlight w:val="none"/>
        </w:rPr>
      </w:pPr>
      <w:r>
        <w:rPr>
          <w:rFonts w:hint="eastAsia" w:cs="宋体"/>
          <w:color w:val="auto"/>
          <w:sz w:val="24"/>
          <w:highlight w:val="none"/>
        </w:rPr>
        <w:t xml:space="preserve">5、服务承诺（包括供种网点、人员配备、供种日期、方式方法等）；</w:t>
      </w:r>
      <w:r/>
    </w:p>
    <w:p>
      <w:pPr>
        <w:ind w:right="312" w:firstLine="480"/>
        <w:spacing w:line="440" w:lineRule="exact"/>
        <w:rPr>
          <w:rFonts w:cs="宋体"/>
          <w:color w:val="auto"/>
          <w:sz w:val="24"/>
          <w:highlight w:val="none"/>
        </w:rPr>
      </w:pPr>
      <w:r>
        <w:rPr>
          <w:rFonts w:hint="eastAsia" w:cs="宋体"/>
          <w:color w:val="auto"/>
          <w:sz w:val="24"/>
          <w:highlight w:val="none"/>
        </w:rPr>
        <w:t xml:space="preserve">6、其他。</w:t>
      </w:r>
      <w:r/>
    </w:p>
    <w:p>
      <w:pPr>
        <w:ind w:right="312" w:firstLine="480"/>
        <w:spacing w:line="440" w:lineRule="exact"/>
        <w:rPr>
          <w:rFonts w:cs="宋体"/>
          <w:color w:val="auto"/>
          <w:sz w:val="24"/>
          <w:highlight w:val="none"/>
        </w:rPr>
      </w:pPr>
      <w:r>
        <w:rPr>
          <w:rFonts w:cs="宋体"/>
          <w:color w:val="auto"/>
          <w:sz w:val="24"/>
          <w:highlight w:val="none"/>
        </w:rPr>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Start w:id="171" w:name="_Toc14123"/>
      <w:r>
        <w:rPr>
          <w:rFonts w:hint="eastAsia" w:eastAsia="宋体" w:cs="宋体"/>
          <w:color w:val="auto"/>
          <w:sz w:val="24"/>
          <w:szCs w:val="24"/>
          <w:highlight w:val="none"/>
        </w:rPr>
        <w:t xml:space="preserve">附件5 质量保证措施</w:t>
      </w:r>
      <w:bookmarkEnd w:id="171"/>
      <w:r/>
      <w:r/>
    </w:p>
    <w:p>
      <w:pPr>
        <w:spacing w:line="460" w:lineRule="exact"/>
        <w:rPr>
          <w:rFonts w:cs="宋体"/>
          <w:color w:val="auto"/>
          <w:sz w:val="24"/>
          <w:szCs w:val="24"/>
          <w:highlight w:val="none"/>
        </w:rPr>
      </w:pPr>
      <w:r>
        <w:rPr>
          <w:rFonts w:hint="eastAsia" w:cs="宋体"/>
          <w:color w:val="auto"/>
          <w:sz w:val="24"/>
          <w:szCs w:val="24"/>
          <w:highlight w:val="none"/>
        </w:rPr>
        <w:t xml:space="preserve">主要内容应包括但不限于以下方面：</w:t>
      </w:r>
      <w:r/>
    </w:p>
    <w:p>
      <w:pPr>
        <w:ind w:right="312" w:firstLine="480"/>
        <w:spacing w:line="440" w:lineRule="exact"/>
        <w:rPr>
          <w:rFonts w:cs="宋体"/>
          <w:color w:val="auto"/>
          <w:sz w:val="24"/>
          <w:highlight w:val="none"/>
        </w:rPr>
      </w:pPr>
      <w:r>
        <w:rPr>
          <w:rFonts w:hint="eastAsia" w:cs="宋体"/>
          <w:color w:val="auto"/>
          <w:sz w:val="24"/>
          <w:highlight w:val="none"/>
        </w:rPr>
        <w:t xml:space="preserve">1、种子良繁基地状况；</w:t>
      </w:r>
      <w:r/>
    </w:p>
    <w:p>
      <w:pPr>
        <w:ind w:right="312" w:firstLine="480"/>
        <w:spacing w:line="440" w:lineRule="exact"/>
        <w:rPr>
          <w:rFonts w:cs="宋体"/>
          <w:color w:val="auto"/>
          <w:sz w:val="24"/>
          <w:highlight w:val="none"/>
        </w:rPr>
      </w:pPr>
      <w:r>
        <w:rPr>
          <w:rFonts w:hint="eastAsia" w:cs="宋体"/>
          <w:color w:val="auto"/>
          <w:sz w:val="24"/>
          <w:highlight w:val="none"/>
        </w:rPr>
        <w:t xml:space="preserve">2、种子生产加工条件、储藏仓库、检验设施与设备状况；</w:t>
      </w:r>
      <w:r/>
    </w:p>
    <w:p>
      <w:pPr>
        <w:ind w:right="312" w:firstLine="480"/>
        <w:spacing w:line="440" w:lineRule="exact"/>
        <w:rPr>
          <w:rFonts w:cs="宋体"/>
          <w:color w:val="auto"/>
          <w:sz w:val="24"/>
          <w:highlight w:val="none"/>
        </w:rPr>
      </w:pPr>
      <w:r>
        <w:rPr>
          <w:rFonts w:hint="eastAsia" w:cs="宋体"/>
          <w:color w:val="auto"/>
          <w:sz w:val="24"/>
          <w:highlight w:val="none"/>
        </w:rPr>
        <w:t xml:space="preserve">3、近年供种质量状况；</w:t>
      </w:r>
      <w:r/>
    </w:p>
    <w:p>
      <w:pPr>
        <w:ind w:right="312" w:firstLine="480"/>
        <w:spacing w:line="440" w:lineRule="exact"/>
        <w:rPr>
          <w:rFonts w:cs="宋体"/>
          <w:color w:val="auto"/>
          <w:sz w:val="24"/>
          <w:highlight w:val="none"/>
        </w:rPr>
      </w:pPr>
      <w:r>
        <w:rPr>
          <w:rFonts w:hint="eastAsia" w:cs="宋体"/>
          <w:color w:val="auto"/>
          <w:sz w:val="24"/>
          <w:highlight w:val="none"/>
        </w:rPr>
        <w:t xml:space="preserve">4、种子质量风险保证措施；</w:t>
      </w:r>
      <w:r/>
    </w:p>
    <w:p>
      <w:pPr>
        <w:ind w:right="312" w:firstLine="480"/>
        <w:spacing w:line="440" w:lineRule="exact"/>
        <w:rPr>
          <w:rFonts w:cs="宋体"/>
          <w:color w:val="auto"/>
          <w:sz w:val="24"/>
          <w:highlight w:val="none"/>
        </w:rPr>
      </w:pPr>
      <w:r>
        <w:rPr>
          <w:rFonts w:hint="eastAsia" w:cs="宋体"/>
          <w:color w:val="auto"/>
          <w:sz w:val="24"/>
          <w:highlight w:val="none"/>
        </w:rPr>
        <w:t xml:space="preserve">5、其他。</w:t>
      </w:r>
      <w:r/>
    </w:p>
    <w:p>
      <w:pPr>
        <w:pStyle w:val="835"/>
        <w:spacing w:line="360" w:lineRule="auto"/>
        <w:rPr>
          <w:rFonts w:eastAsia="宋体" w:cs="宋体"/>
          <w:color w:val="auto"/>
          <w:sz w:val="24"/>
          <w:szCs w:val="24"/>
          <w:highlight w:val="none"/>
        </w:rPr>
      </w:pPr>
      <w:r>
        <w:rPr>
          <w:rFonts w:hint="eastAsia" w:eastAsia="宋体" w:cs="宋体"/>
          <w:color w:val="auto"/>
          <w:sz w:val="24"/>
          <w:szCs w:val="24"/>
          <w:highlight w:val="none"/>
        </w:rPr>
        <w:br w:type="page" w:clear="all"/>
      </w:r>
      <w:bookmarkStart w:id="172" w:name="_Toc16020"/>
      <w:r>
        <w:rPr>
          <w:rFonts w:hint="eastAsia" w:eastAsia="宋体" w:cs="宋体"/>
          <w:color w:val="auto"/>
          <w:sz w:val="24"/>
          <w:szCs w:val="24"/>
          <w:highlight w:val="none"/>
        </w:rPr>
        <w:t xml:space="preserve">附件6 合同条款偏离表</w:t>
      </w:r>
      <w:bookmarkEnd w:id="172"/>
      <w:r/>
      <w:bookmarkEnd w:id="169"/>
      <w:r/>
    </w:p>
    <w:tbl>
      <w:tblPr>
        <w:tblStyle w:val="660"/>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6"/>
        <w:gridCol w:w="2314"/>
        <w:gridCol w:w="2945"/>
      </w:tblGrid>
      <w:tr>
        <w:trPr>
          <w:trHeight w:val="561"/>
        </w:trPr>
        <w:tc>
          <w:tcPr>
            <w:tcW w:w="3786"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合同条款</w:t>
            </w:r>
            <w:r/>
          </w:p>
        </w:tc>
        <w:tc>
          <w:tcPr>
            <w:tcW w:w="2314"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有无偏离</w:t>
            </w:r>
            <w:r/>
          </w:p>
        </w:tc>
        <w:tc>
          <w:tcPr>
            <w:tcW w:w="2945"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偏离内容及原因</w:t>
            </w:r>
            <w:r/>
          </w:p>
        </w:tc>
      </w:tr>
      <w:tr>
        <w:trPr>
          <w:trHeight w:val="528"/>
        </w:trPr>
        <w:tc>
          <w:tcPr>
            <w:gridSpan w:val="3"/>
            <w:tcW w:w="9045" w:type="dxa"/>
            <w:textDirection w:val="lrTb"/>
            <w:noWrap/>
          </w:tcPr>
          <w:p>
            <w:pPr>
              <w:jc w:val="center"/>
              <w:spacing w:line="660" w:lineRule="exact"/>
              <w:rPr>
                <w:rFonts w:cs="宋体"/>
                <w:b/>
                <w:bCs/>
                <w:color w:val="auto"/>
                <w:sz w:val="24"/>
                <w:szCs w:val="24"/>
                <w:highlight w:val="none"/>
              </w:rPr>
              <w:outlineLvl w:val="1"/>
            </w:pPr>
            <w:r/>
            <w:bookmarkStart w:id="173" w:name="_Toc1711"/>
            <w:r>
              <w:rPr>
                <w:rFonts w:hint="eastAsia" w:cs="宋体"/>
                <w:b/>
                <w:color w:val="auto"/>
                <w:sz w:val="24"/>
                <w:szCs w:val="24"/>
                <w:highlight w:val="none"/>
              </w:rPr>
              <w:t xml:space="preserve">（一）常熟市2026年度水稻良种补贴项目供种合同</w:t>
            </w:r>
            <w:bookmarkEnd w:id="173"/>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color w:val="auto"/>
                <w:sz w:val="24"/>
                <w:szCs w:val="24"/>
                <w:highlight w:val="none"/>
              </w:rPr>
              <w:t xml:space="preserve">一</w:t>
            </w:r>
            <w:r>
              <w:rPr>
                <w:rFonts w:hint="eastAsia"/>
                <w:color w:val="auto"/>
                <w:sz w:val="24"/>
                <w:szCs w:val="24"/>
                <w:highlight w:val="none"/>
              </w:rPr>
              <w:t xml:space="preserve">、</w:t>
            </w:r>
            <w:r>
              <w:rPr>
                <w:color w:val="auto"/>
                <w:sz w:val="24"/>
                <w:szCs w:val="24"/>
                <w:highlight w:val="none"/>
              </w:rPr>
              <w:t xml:space="preserve">甲方</w:t>
            </w:r>
            <w:r>
              <w:rPr>
                <w:rFonts w:hint="eastAsia"/>
                <w:color w:val="auto"/>
                <w:sz w:val="24"/>
                <w:szCs w:val="24"/>
                <w:highlight w:val="none"/>
              </w:rPr>
              <w:t xml:space="preserve">职责</w:t>
            </w:r>
            <w:r/>
          </w:p>
        </w:tc>
        <w:tc>
          <w:tcPr>
            <w:tcW w:w="2314"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二</w:t>
            </w:r>
            <w:r>
              <w:rPr>
                <w:color w:val="auto"/>
                <w:sz w:val="24"/>
                <w:szCs w:val="24"/>
                <w:highlight w:val="none"/>
              </w:rPr>
              <w:t xml:space="preserve">、乙方职责</w:t>
            </w:r>
            <w:r/>
          </w:p>
        </w:tc>
        <w:tc>
          <w:tcPr>
            <w:tcW w:w="2314"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三</w:t>
            </w:r>
            <w:r>
              <w:rPr>
                <w:color w:val="auto"/>
                <w:sz w:val="24"/>
                <w:szCs w:val="24"/>
                <w:highlight w:val="none"/>
              </w:rPr>
              <w:t xml:space="preserve">、双方共同职责</w:t>
            </w:r>
            <w:r/>
          </w:p>
        </w:tc>
        <w:tc>
          <w:tcPr>
            <w:tcW w:w="2314"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四</w:t>
            </w:r>
            <w:r>
              <w:rPr>
                <w:color w:val="auto"/>
                <w:sz w:val="24"/>
                <w:szCs w:val="24"/>
                <w:highlight w:val="none"/>
              </w:rPr>
              <w:t xml:space="preserve">、履约保证金</w:t>
            </w:r>
            <w:r/>
          </w:p>
        </w:tc>
        <w:tc>
          <w:tcPr>
            <w:tcW w:w="2314"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五</w:t>
            </w:r>
            <w:r>
              <w:rPr>
                <w:color w:val="auto"/>
                <w:sz w:val="24"/>
                <w:szCs w:val="24"/>
                <w:highlight w:val="none"/>
              </w:rPr>
              <w:t xml:space="preserve">、其他</w:t>
            </w:r>
            <w:r/>
          </w:p>
        </w:tc>
        <w:tc>
          <w:tcPr>
            <w:tcW w:w="2314"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trHeight w:val="636"/>
        </w:trPr>
        <w:tc>
          <w:tcPr>
            <w:gridSpan w:val="3"/>
            <w:shd w:val="clear" w:color="auto" w:fill="auto"/>
            <w:tcW w:w="9045" w:type="dxa"/>
            <w:vAlign w:val="center"/>
            <w:textDirection w:val="lrTb"/>
            <w:noWrap/>
          </w:tcPr>
          <w:p>
            <w:pPr>
              <w:jc w:val="center"/>
              <w:spacing w:line="660" w:lineRule="exact"/>
              <w:rPr>
                <w:rFonts w:cs="宋体"/>
                <w:color w:val="auto"/>
                <w:sz w:val="24"/>
                <w:szCs w:val="24"/>
                <w:highlight w:val="none"/>
              </w:rPr>
              <w:outlineLvl w:val="1"/>
            </w:pPr>
            <w:r/>
            <w:bookmarkStart w:id="174" w:name="_Toc16137"/>
            <w:r>
              <w:rPr>
                <w:rFonts w:hint="eastAsia" w:cs="宋体"/>
                <w:b/>
                <w:color w:val="auto"/>
                <w:sz w:val="24"/>
                <w:szCs w:val="24"/>
                <w:highlight w:val="none"/>
              </w:rPr>
              <w:t xml:space="preserve">（二）常熟市2026年度水稻救灾备荒种项目救灾备荒种子委托储备合同</w:t>
            </w:r>
            <w:bookmarkEnd w:id="174"/>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一、采购品种、数量、价格</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二、交货地点及要求</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三、供货要求</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四、相关要求</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color w:val="auto"/>
                <w:sz w:val="24"/>
                <w:szCs w:val="24"/>
                <w:highlight w:val="none"/>
              </w:rPr>
            </w:pPr>
            <w:r>
              <w:rPr>
                <w:rFonts w:hint="eastAsia"/>
                <w:color w:val="auto"/>
                <w:sz w:val="24"/>
                <w:szCs w:val="24"/>
                <w:highlight w:val="none"/>
              </w:rPr>
              <w:t xml:space="preserve">五、履约保证金</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r>
        <w:trPr>
          <w:trHeight w:val="492"/>
        </w:trPr>
        <w:tc>
          <w:tcPr>
            <w:shd w:val="clear" w:color="auto" w:fill="auto"/>
            <w:tcW w:w="3786" w:type="dxa"/>
            <w:vAlign w:val="center"/>
            <w:textDirection w:val="lrTb"/>
            <w:noWrap/>
          </w:tcPr>
          <w:p>
            <w:pPr>
              <w:jc w:val="left"/>
              <w:rPr>
                <w:rFonts w:hint="eastAsia"/>
                <w:color w:val="auto"/>
                <w:sz w:val="24"/>
                <w:szCs w:val="24"/>
                <w:highlight w:val="none"/>
              </w:rPr>
            </w:pPr>
            <w:r>
              <w:rPr>
                <w:rFonts w:hint="eastAsia"/>
                <w:color w:val="auto"/>
                <w:sz w:val="24"/>
                <w:szCs w:val="24"/>
                <w:highlight w:val="none"/>
              </w:rPr>
              <w:t xml:space="preserve">六、其他</w:t>
            </w:r>
            <w:r/>
          </w:p>
        </w:tc>
        <w:tc>
          <w:tcPr>
            <w:tcW w:w="2314" w:type="dxa"/>
            <w:vAlign w:val="center"/>
            <w:textDirection w:val="lrTb"/>
            <w:noWrap/>
          </w:tcPr>
          <w:p>
            <w:pPr>
              <w:rPr>
                <w:rFonts w:cs="宋体"/>
                <w:color w:val="auto"/>
                <w:sz w:val="24"/>
                <w:szCs w:val="24"/>
                <w:highlight w:val="none"/>
              </w:rPr>
            </w:pPr>
            <w:r>
              <w:rPr>
                <w:rFonts w:cs="宋体"/>
                <w:color w:val="auto"/>
                <w:sz w:val="24"/>
                <w:szCs w:val="24"/>
                <w:highlight w:val="none"/>
              </w:rPr>
            </w:r>
            <w:r/>
          </w:p>
        </w:tc>
        <w:tc>
          <w:tcPr>
            <w:tcW w:w="2945" w:type="dxa"/>
            <w:vAlign w:val="center"/>
            <w:textDirection w:val="lrTb"/>
            <w:noWrap/>
          </w:tcPr>
          <w:p>
            <w:pPr>
              <w:rPr>
                <w:rFonts w:cs="宋体"/>
                <w:color w:val="auto"/>
                <w:sz w:val="24"/>
                <w:szCs w:val="24"/>
                <w:highlight w:val="none"/>
              </w:rPr>
            </w:pPr>
            <w:r>
              <w:rPr>
                <w:rFonts w:cs="宋体"/>
                <w:color w:val="auto"/>
                <w:sz w:val="24"/>
                <w:szCs w:val="24"/>
                <w:highlight w:val="none"/>
              </w:rPr>
            </w:r>
            <w:r/>
          </w:p>
        </w:tc>
      </w:tr>
    </w:tbl>
    <w:p>
      <w:pPr>
        <w:ind w:firstLine="120"/>
        <w:spacing w:line="480" w:lineRule="exact"/>
        <w:rPr>
          <w:rFonts w:cs="宋体"/>
          <w:color w:val="auto"/>
          <w:sz w:val="24"/>
          <w:szCs w:val="24"/>
          <w:highlight w:val="none"/>
        </w:rPr>
      </w:pPr>
      <w:r>
        <w:rPr>
          <w:rFonts w:hint="eastAsia" w:cs="宋体"/>
          <w:color w:val="auto"/>
          <w:sz w:val="24"/>
          <w:szCs w:val="24"/>
          <w:highlight w:val="none"/>
        </w:rPr>
        <w:t xml:space="preserve">注：1、供应商应据实填写上述表格，因表述含糊导致的评审风险将由供应商承担。</w:t>
      </w:r>
      <w:r/>
    </w:p>
    <w:p>
      <w:pPr>
        <w:ind w:firstLine="600"/>
        <w:spacing w:line="360" w:lineRule="exact"/>
        <w:rPr>
          <w:rFonts w:cs="宋体"/>
          <w:color w:val="auto"/>
          <w:sz w:val="24"/>
          <w:szCs w:val="24"/>
          <w:highlight w:val="none"/>
        </w:rPr>
      </w:pPr>
      <w:r>
        <w:rPr>
          <w:rFonts w:hint="eastAsia" w:cs="宋体"/>
          <w:color w:val="auto"/>
          <w:sz w:val="24"/>
          <w:szCs w:val="24"/>
          <w:highlight w:val="none"/>
        </w:rPr>
        <w:t xml:space="preserve">2、若无偏离，在“有无偏离”栏中填写“无”；若有偏离在“有无偏离”栏中填写“有”并在“偏离内容及原因”栏中作出说明。</w:t>
      </w:r>
      <w:r/>
    </w:p>
    <w:p>
      <w:pPr>
        <w:rPr>
          <w:rFonts w:cs="宋体"/>
          <w:color w:val="auto"/>
          <w:highlight w:val="none"/>
        </w:rPr>
      </w:pPr>
      <w:r>
        <w:rPr>
          <w:rFonts w:cs="宋体"/>
          <w:color w:val="auto"/>
          <w:highlight w:val="none"/>
        </w:rPr>
      </w:r>
      <w:r/>
    </w:p>
    <w:p>
      <w:pPr>
        <w:rPr>
          <w:rFonts w:cs="宋体"/>
          <w:color w:val="auto"/>
          <w:highlight w:val="none"/>
        </w:rPr>
      </w:pPr>
      <w:r>
        <w:rPr>
          <w:rFonts w:cs="宋体"/>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sz w:val="24"/>
          <w:szCs w:val="24"/>
          <w:highlight w:val="none"/>
        </w:rPr>
        <w:br w:type="page" w:clear="all"/>
      </w:r>
      <w:bookmarkStart w:id="175" w:name="_Toc8427"/>
      <w:r>
        <w:rPr>
          <w:rFonts w:hint="eastAsia" w:eastAsia="宋体" w:cs="宋体"/>
          <w:color w:val="auto"/>
          <w:sz w:val="24"/>
          <w:szCs w:val="24"/>
          <w:highlight w:val="none"/>
        </w:rPr>
        <w:t xml:space="preserve">附件7 具备履行合同所必需的设备和专业技术能力的书面声明</w:t>
      </w:r>
      <w:bookmarkEnd w:id="175"/>
      <w:r/>
      <w:r/>
    </w:p>
    <w:p>
      <w:pPr>
        <w:ind w:firstLine="492"/>
        <w:spacing w:line="460" w:lineRule="exact"/>
        <w:rPr>
          <w:rFonts w:cs="宋体"/>
          <w:bCs/>
          <w:color w:val="auto"/>
          <w:sz w:val="24"/>
          <w:szCs w:val="21"/>
          <w:highlight w:val="none"/>
        </w:rPr>
      </w:pPr>
      <w:r>
        <w:rPr>
          <w:rFonts w:hint="eastAsia" w:cs="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cs="宋体"/>
          <w:bCs/>
          <w:color w:val="auto"/>
          <w:sz w:val="24"/>
          <w:szCs w:val="21"/>
          <w:highlight w:val="none"/>
        </w:rPr>
      </w:pPr>
      <w:r>
        <w:rPr>
          <w:rFonts w:hint="eastAsia" w:cs="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cs="宋体"/>
          <w:bCs/>
          <w:color w:val="auto"/>
          <w:sz w:val="24"/>
          <w:szCs w:val="21"/>
          <w:highlight w:val="none"/>
        </w:rPr>
        <w:t xml:space="preserve">。</w:t>
      </w:r>
      <w:r/>
    </w:p>
    <w:p>
      <w:pPr>
        <w:ind w:firstLine="492"/>
        <w:spacing w:line="460" w:lineRule="exact"/>
        <w:rPr>
          <w:rFonts w:cs="宋体"/>
          <w:bCs/>
          <w:color w:val="auto"/>
          <w:sz w:val="24"/>
          <w:szCs w:val="21"/>
          <w:highlight w:val="none"/>
        </w:rPr>
      </w:pPr>
      <w:r>
        <w:rPr>
          <w:rFonts w:hint="eastAsia" w:cs="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cs="宋体"/>
          <w:bCs/>
          <w:color w:val="auto"/>
          <w:sz w:val="24"/>
          <w:szCs w:val="21"/>
          <w:highlight w:val="none"/>
        </w:rPr>
        <w:t xml:space="preserve">。</w:t>
      </w:r>
      <w:r/>
    </w:p>
    <w:p>
      <w:pPr>
        <w:pStyle w:val="854"/>
        <w:rPr>
          <w:rFonts w:ascii="Times New Roman" w:cs="宋体"/>
          <w:color w:val="auto"/>
          <w:highlight w:val="none"/>
        </w:rPr>
      </w:pPr>
      <w:r>
        <w:rPr>
          <w:rFonts w:ascii="Times New Roman" w:cs="宋体"/>
          <w:color w:val="auto"/>
          <w:highlight w:val="none"/>
        </w:rPr>
      </w:r>
      <w:r/>
    </w:p>
    <w:p>
      <w:pPr>
        <w:pStyle w:val="854"/>
        <w:rPr>
          <w:rFonts w:ascii="Times New Roman" w:cs="宋体"/>
          <w:color w:val="auto"/>
          <w:highlight w:val="none"/>
        </w:rPr>
      </w:pPr>
      <w:r>
        <w:rPr>
          <w:rFonts w:ascii="Times New Roman" w:cs="宋体"/>
          <w:color w:val="auto"/>
          <w:highlight w:val="none"/>
        </w:rPr>
      </w:r>
      <w:r/>
    </w:p>
    <w:p>
      <w:pPr>
        <w:pStyle w:val="854"/>
        <w:rPr>
          <w:rFonts w:ascii="Times New Roman" w:cs="宋体"/>
          <w:color w:val="auto"/>
          <w:highlight w:val="none"/>
        </w:rPr>
      </w:pPr>
      <w:r>
        <w:rPr>
          <w:rFonts w:ascii="Times New Roman" w:cs="宋体"/>
          <w:color w:val="auto"/>
          <w:highlight w:val="none"/>
        </w:rPr>
      </w:r>
      <w:r/>
    </w:p>
    <w:p>
      <w:pPr>
        <w:pStyle w:val="835"/>
        <w:rPr>
          <w:rFonts w:eastAsia="宋体" w:cs="宋体"/>
          <w:color w:val="auto"/>
          <w:highlight w:val="none"/>
        </w:rPr>
      </w:pPr>
      <w:r>
        <w:rPr>
          <w:rFonts w:hint="eastAsia" w:eastAsia="宋体" w:cs="宋体"/>
          <w:color w:val="auto"/>
          <w:sz w:val="24"/>
          <w:szCs w:val="24"/>
          <w:highlight w:val="none"/>
        </w:rPr>
        <w:br w:type="page" w:clear="all"/>
      </w:r>
      <w:bookmarkStart w:id="176" w:name="_Toc25506"/>
      <w:r>
        <w:rPr>
          <w:rFonts w:hint="eastAsia" w:eastAsia="宋体" w:cs="宋体"/>
          <w:color w:val="auto"/>
          <w:sz w:val="24"/>
          <w:szCs w:val="24"/>
          <w:highlight w:val="none"/>
        </w:rPr>
        <w:t xml:space="preserve">附件8 参加政府采购活动前 3 年内在经营活动中没有重大违法记录的书面声明</w:t>
      </w:r>
      <w:bookmarkEnd w:id="176"/>
      <w:r/>
      <w:r/>
    </w:p>
    <w:p>
      <w:pPr>
        <w:ind w:firstLine="480"/>
        <w:spacing w:line="460" w:lineRule="exact"/>
        <w:rPr>
          <w:rFonts w:cs="宋体"/>
          <w:bCs/>
          <w:color w:val="auto"/>
          <w:sz w:val="24"/>
          <w:szCs w:val="21"/>
          <w:highlight w:val="none"/>
        </w:rPr>
      </w:pPr>
      <w:r>
        <w:rPr>
          <w:rFonts w:cs="宋体"/>
          <w:bCs/>
          <w:color w:val="auto"/>
          <w:sz w:val="24"/>
          <w:szCs w:val="21"/>
          <w:highlight w:val="none"/>
        </w:rPr>
      </w:r>
      <w:r/>
    </w:p>
    <w:p>
      <w:pPr>
        <w:jc w:val="center"/>
        <w:spacing w:line="460" w:lineRule="exact"/>
        <w:rPr>
          <w:rFonts w:cs="宋体"/>
          <w:b/>
          <w:bCs/>
          <w:color w:val="auto"/>
          <w:sz w:val="24"/>
          <w:szCs w:val="22"/>
          <w:highlight w:val="none"/>
        </w:rPr>
      </w:pPr>
      <w:r>
        <w:rPr>
          <w:rFonts w:hint="eastAsia" w:cs="宋体"/>
          <w:b/>
          <w:bCs/>
          <w:color w:val="auto"/>
          <w:sz w:val="24"/>
          <w:szCs w:val="22"/>
          <w:highlight w:val="none"/>
        </w:rPr>
        <w:t xml:space="preserve">声  明</w:t>
      </w:r>
      <w:r/>
    </w:p>
    <w:p>
      <w:pPr>
        <w:ind w:firstLine="480"/>
        <w:spacing w:line="460" w:lineRule="exact"/>
        <w:rPr>
          <w:rFonts w:cs="宋体"/>
          <w:bCs/>
          <w:color w:val="auto"/>
          <w:sz w:val="24"/>
          <w:szCs w:val="21"/>
          <w:highlight w:val="none"/>
        </w:rPr>
      </w:pPr>
      <w:r>
        <w:rPr>
          <w:rFonts w:hint="eastAsia"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4"/>
        <w:rPr>
          <w:rFonts w:ascii="Times New Roman" w:cs="宋体"/>
          <w:color w:val="auto"/>
          <w:highlight w:val="none"/>
        </w:rPr>
      </w:pPr>
      <w:r>
        <w:rPr>
          <w:rFonts w:ascii="Times New Roman" w:cs="宋体"/>
          <w:color w:val="auto"/>
          <w:highlight w:val="none"/>
        </w:rPr>
      </w:r>
      <w:r/>
    </w:p>
    <w:p>
      <w:pPr>
        <w:pStyle w:val="854"/>
        <w:rPr>
          <w:rFonts w:ascii="Times New Roman" w:cs="宋体"/>
          <w:color w:val="auto"/>
          <w:highlight w:val="none"/>
        </w:rPr>
      </w:pPr>
      <w:r>
        <w:rPr>
          <w:rFonts w:ascii="Times New Roman" w:cs="宋体"/>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sz w:val="24"/>
          <w:szCs w:val="24"/>
          <w:highlight w:val="none"/>
        </w:rPr>
        <w:br w:type="page" w:clear="all"/>
      </w:r>
      <w:bookmarkStart w:id="177" w:name="_Toc1746"/>
      <w:r>
        <w:rPr>
          <w:rFonts w:hint="eastAsia" w:eastAsia="宋体" w:cs="宋体"/>
          <w:color w:val="auto"/>
          <w:sz w:val="24"/>
          <w:szCs w:val="24"/>
          <w:highlight w:val="none"/>
        </w:rPr>
        <w:t xml:space="preserve">附件9 法人授权书</w:t>
      </w:r>
      <w:bookmarkEnd w:id="177"/>
      <w:r/>
      <w:r/>
    </w:p>
    <w:p>
      <w:pPr>
        <w:ind w:firstLine="480"/>
        <w:spacing w:line="360" w:lineRule="auto"/>
        <w:tabs>
          <w:tab w:val="left" w:pos="360" w:leader="none"/>
        </w:tabs>
        <w:rPr>
          <w:rFonts w:cs="宋体"/>
          <w:color w:val="auto"/>
          <w:sz w:val="24"/>
          <w:szCs w:val="24"/>
          <w:highlight w:val="none"/>
        </w:rPr>
      </w:pPr>
      <w:r>
        <w:rPr>
          <w:rFonts w:hint="eastAsia" w:cs="宋体"/>
          <w:color w:val="auto"/>
          <w:sz w:val="24"/>
          <w:szCs w:val="24"/>
          <w:highlight w:val="none"/>
        </w:rPr>
        <w:t xml:space="preserve">本授权书声明：____________（供应商名称）授权________________（被授权人的姓名）为我方就</w:t>
      </w:r>
      <w:r>
        <w:rPr>
          <w:rFonts w:hint="eastAsia" w:cs="宋体"/>
          <w:color w:val="auto"/>
          <w:sz w:val="24"/>
          <w:szCs w:val="24"/>
          <w:highlight w:val="none"/>
          <w:u w:val="single"/>
          <w:lang w:eastAsia="zh-CN"/>
        </w:rPr>
        <w:t xml:space="preserve">JSZC-320581-LYDL-D2026-0001</w:t>
      </w:r>
      <w:r>
        <w:rPr>
          <w:rFonts w:hint="eastAsia" w:cs="宋体"/>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本授权书于______年____月____日起生效，特此声明。</w:t>
      </w:r>
      <w:r/>
    </w:p>
    <w:p>
      <w:pPr>
        <w:ind w:firstLine="120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被授权人身份证号码：</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120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被授权人联系电话：（手机）</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120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授权单位名称：</w:t>
      </w:r>
      <w:r>
        <w:rPr>
          <w:color w:val="auto"/>
          <w:sz w:val="24"/>
          <w:szCs w:val="24"/>
          <w:highlight w:val="none"/>
          <w:u w:val="single"/>
        </w:rPr>
        <w:t xml:space="preserve">（加盖CA电子公章）</w:t>
      </w:r>
      <w:r/>
    </w:p>
    <w:p>
      <w:pPr>
        <w:ind w:firstLine="120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单位地址：</w:t>
      </w:r>
      <w:r>
        <w:rPr>
          <w:color w:val="auto"/>
          <w:sz w:val="24"/>
          <w:szCs w:val="24"/>
          <w:highlight w:val="none"/>
          <w:u w:val="single"/>
        </w:rPr>
        <w:t xml:space="preserve"> </w:t>
      </w:r>
      <w:r>
        <w:rPr>
          <w:rFonts w:hint="eastAsia"/>
          <w:color w:val="auto"/>
          <w:sz w:val="24"/>
          <w:szCs w:val="24"/>
          <w:highlight w:val="none"/>
          <w:u w:val="single"/>
        </w:rPr>
        <w:t xml:space="preserve">                  </w:t>
      </w:r>
      <w:r/>
    </w:p>
    <w:p>
      <w:pPr>
        <w:ind w:firstLine="1200"/>
        <w:spacing w:line="360" w:lineRule="auto"/>
        <w:tabs>
          <w:tab w:val="left" w:pos="360" w:leader="none"/>
        </w:tabs>
        <w:rPr>
          <w:rFonts w:ascii="宋体" w:hAnsi="宋体" w:cs="宋体"/>
          <w:color w:val="auto"/>
          <w:sz w:val="24"/>
          <w:szCs w:val="24"/>
          <w:highlight w:val="none"/>
        </w:rPr>
      </w:pPr>
      <w:r>
        <w:rPr>
          <w:color w:val="auto"/>
          <w:sz w:val="24"/>
          <w:szCs w:val="24"/>
          <w:highlight w:val="none"/>
        </w:rPr>
        <w:t xml:space="preserve">日期：</w:t>
      </w:r>
      <w:bookmarkStart w:id="178" w:name="_Hlt26955070"/>
      <w:r/>
      <w:bookmarkEnd w:id="178"/>
      <w:r/>
      <w:bookmarkStart w:id="179" w:name="_Hlt26671380"/>
      <w:r/>
      <w:bookmarkEnd w:id="179"/>
      <w:r>
        <w:rPr>
          <w:color w:val="auto"/>
          <w:sz w:val="24"/>
          <w:szCs w:val="24"/>
          <w:highlight w:val="none"/>
          <w:u w:val="single"/>
        </w:rPr>
        <w:t xml:space="preserve"> </w:t>
      </w:r>
      <w:r>
        <w:rPr>
          <w:rFonts w:hint="eastAsia"/>
          <w:color w:val="auto"/>
          <w:sz w:val="24"/>
          <w:szCs w:val="24"/>
          <w:highlight w:val="none"/>
          <w:u w:val="single"/>
        </w:rPr>
        <w:t xml:space="preserve">                          </w:t>
      </w:r>
      <w:r/>
    </w:p>
    <w:p>
      <w:pPr>
        <w:pStyle w:val="854"/>
        <w:rPr>
          <w:rFonts w:ascii="Times New Roman" w:cs="宋体"/>
          <w:color w:val="auto"/>
          <w:highlight w:val="none"/>
        </w:rPr>
      </w:pPr>
      <w:r>
        <w:rPr>
          <w:rFonts w:ascii="Times New Roman" w:cs="宋体"/>
          <w:color w:val="auto"/>
          <w:highlight w:val="none"/>
        </w:rPr>
      </w:r>
      <w:r/>
    </w:p>
    <w:p>
      <w:pPr>
        <w:pStyle w:val="835"/>
        <w:spacing w:line="360" w:lineRule="auto"/>
        <w:rPr>
          <w:rFonts w:eastAsia="宋体" w:cs="宋体"/>
          <w:color w:val="auto"/>
          <w:sz w:val="24"/>
          <w:szCs w:val="24"/>
          <w:highlight w:val="none"/>
        </w:rPr>
      </w:pPr>
      <w:r>
        <w:rPr>
          <w:rFonts w:hint="eastAsia" w:eastAsia="宋体" w:cs="宋体"/>
          <w:color w:val="auto"/>
          <w:highlight w:val="none"/>
        </w:rPr>
        <w:br w:type="page" w:clear="all"/>
      </w:r>
      <w:bookmarkStart w:id="180" w:name="_Toc11764"/>
      <w:r>
        <w:rPr>
          <w:rFonts w:hint="eastAsia" w:eastAsia="宋体" w:cs="宋体"/>
          <w:color w:val="auto"/>
          <w:sz w:val="24"/>
          <w:szCs w:val="24"/>
          <w:highlight w:val="none"/>
        </w:rPr>
        <w:t xml:space="preserve">附件10 单一来源响应函</w:t>
      </w:r>
      <w:bookmarkEnd w:id="180"/>
      <w:r/>
      <w:r/>
    </w:p>
    <w:p>
      <w:pPr>
        <w:jc w:val="left"/>
        <w:spacing w:line="440" w:lineRule="exact"/>
        <w:rPr>
          <w:rFonts w:cs="宋体"/>
          <w:color w:val="auto"/>
          <w:sz w:val="24"/>
          <w:szCs w:val="24"/>
          <w:highlight w:val="none"/>
        </w:rPr>
      </w:pPr>
      <w:r>
        <w:rPr>
          <w:rFonts w:hint="eastAsia" w:cs="宋体"/>
          <w:color w:val="auto"/>
          <w:sz w:val="24"/>
          <w:szCs w:val="24"/>
          <w:highlight w:val="none"/>
        </w:rPr>
        <w:t xml:space="preserve">致：力原工程咨询（苏州）有限公司</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根据贵方的</w:t>
      </w:r>
      <w:r>
        <w:rPr>
          <w:rFonts w:hint="eastAsia" w:cs="宋体"/>
          <w:color w:val="auto"/>
          <w:sz w:val="24"/>
          <w:szCs w:val="24"/>
          <w:highlight w:val="none"/>
          <w:lang w:eastAsia="zh-CN"/>
        </w:rPr>
        <w:t xml:space="preserve">JSZC-320581-LYDL-D2026-0001</w:t>
      </w:r>
      <w:r>
        <w:rPr>
          <w:rFonts w:hint="eastAsia" w:cs="宋体"/>
          <w:color w:val="auto"/>
          <w:sz w:val="24"/>
          <w:szCs w:val="24"/>
          <w:highlight w:val="none"/>
        </w:rPr>
        <w:t xml:space="preserve">号采购文件，正式授权下述签字人______(姓名)代表我方______________（供应商的名称），全权处理本次项目单一来源采购的有关事宜。</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据此函，__________签字人兹宣布同意如下：</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1.按采购文件规定的各项要求，向买方提供所需货物、服务（包含与货物相关的服务及与服务相关的货物）。</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2.我们已详细审核全部采购文件及其有效补充文件，我们知道必须放弃提出含糊不清或误解问题的权利。</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3.我们同意从规定的单一来源协商时间起遵循本响应文件，并在规定的单一来源协商有效期期满之前均具有约束力。</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4.同意向贵方提供贵方可能另外要求的与单一来源采购有关的任何证据或资料，并保证我方已提供和将要提供的文件是真实的、准确的。</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5.一旦我方成交,我方将根据采购文件的规定，严格履行合同的责任和义务,并保证在采购文件规定的时间完成项目，交付买方验收、使用。</w:t>
      </w:r>
      <w:r/>
    </w:p>
    <w:p>
      <w:pPr>
        <w:ind w:firstLine="480"/>
        <w:jc w:val="left"/>
        <w:spacing w:line="440" w:lineRule="exact"/>
        <w:rPr>
          <w:rFonts w:cs="宋体"/>
          <w:color w:val="auto"/>
          <w:sz w:val="24"/>
          <w:szCs w:val="24"/>
          <w:highlight w:val="none"/>
        </w:rPr>
      </w:pPr>
      <w:r>
        <w:rPr>
          <w:rFonts w:hint="eastAsia" w:cs="宋体"/>
          <w:color w:val="auto"/>
          <w:sz w:val="24"/>
          <w:szCs w:val="24"/>
          <w:highlight w:val="none"/>
        </w:rPr>
        <w:t xml:space="preserve">6.我方与本次单一来源采购有关的正式通讯地址为：</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地        址：</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邮        编：</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电        话：</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传        真：</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供应商开户行：</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账        号： </w:t>
      </w:r>
      <w:r/>
    </w:p>
    <w:p>
      <w:pPr>
        <w:pStyle w:val="928"/>
        <w:ind w:left="420"/>
        <w:spacing w:before="0" w:after="0"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日        期：________年____月____日</w:t>
      </w:r>
      <w:r/>
    </w:p>
    <w:p>
      <w:pPr>
        <w:jc w:val="left"/>
        <w:widowControl/>
        <w:rPr>
          <w:rFonts w:cs="宋体"/>
          <w:color w:val="auto"/>
          <w:sz w:val="24"/>
          <w:szCs w:val="24"/>
          <w:highlight w:val="none"/>
        </w:rPr>
      </w:pPr>
      <w:r>
        <w:rPr>
          <w:rFonts w:cs="宋体"/>
          <w:color w:val="auto"/>
          <w:sz w:val="24"/>
          <w:szCs w:val="24"/>
          <w:highlight w:val="none"/>
        </w:rPr>
      </w:r>
      <w:r/>
    </w:p>
    <w:p>
      <w:pPr>
        <w:rPr>
          <w:rFonts w:cs="宋体"/>
          <w:color w:val="auto"/>
          <w:highlight w:val="none"/>
        </w:rPr>
      </w:pPr>
      <w:r>
        <w:rPr>
          <w:rFonts w:cs="宋体"/>
          <w:color w:val="auto"/>
          <w:highlight w:val="none"/>
        </w:rPr>
      </w:r>
      <w:r/>
    </w:p>
    <w:p>
      <w:pPr>
        <w:pStyle w:val="835"/>
        <w:rPr>
          <w:rFonts w:eastAsia="宋体" w:cs="宋体"/>
          <w:color w:val="auto"/>
          <w:sz w:val="24"/>
          <w:szCs w:val="24"/>
          <w:highlight w:val="none"/>
        </w:rPr>
      </w:pPr>
      <w:r>
        <w:rPr>
          <w:rFonts w:hint="eastAsia" w:eastAsia="宋体" w:cs="宋体"/>
          <w:color w:val="auto"/>
          <w:sz w:val="24"/>
          <w:szCs w:val="24"/>
          <w:highlight w:val="none"/>
        </w:rPr>
        <w:br w:type="page" w:clear="all"/>
      </w:r>
      <w:bookmarkStart w:id="181" w:name="_Toc20074"/>
      <w:r>
        <w:rPr>
          <w:rFonts w:hint="eastAsia" w:eastAsia="宋体" w:cs="宋体"/>
          <w:color w:val="auto"/>
          <w:sz w:val="24"/>
          <w:szCs w:val="24"/>
          <w:highlight w:val="none"/>
        </w:rPr>
        <w:t xml:space="preserve">附件11 实质性要求响应及偏离表</w:t>
      </w:r>
      <w:bookmarkEnd w:id="181"/>
      <w:r/>
      <w:r/>
    </w:p>
    <w:tbl>
      <w:tblPr>
        <w:tblStyle w:val="6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4906"/>
        <w:gridCol w:w="1693"/>
        <w:gridCol w:w="1526"/>
      </w:tblGrid>
      <w:tr>
        <w:trPr>
          <w:cantSplit/>
          <w:trHeight w:val="584"/>
        </w:trPr>
        <w:tc>
          <w:tcPr>
            <w:tcW w:w="872"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序号</w:t>
            </w:r>
            <w:r/>
          </w:p>
        </w:tc>
        <w:tc>
          <w:tcPr>
            <w:tcW w:w="4906"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技术要求和商务要求中的实质性要求</w:t>
            </w:r>
            <w:r/>
          </w:p>
        </w:tc>
        <w:tc>
          <w:tcPr>
            <w:tcW w:w="1693"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响应情况</w:t>
            </w:r>
            <w:r/>
          </w:p>
        </w:tc>
        <w:tc>
          <w:tcPr>
            <w:tcW w:w="1526" w:type="dxa"/>
            <w:vAlign w:val="center"/>
            <w:textDirection w:val="lrTb"/>
            <w:noWrap/>
          </w:tcPr>
          <w:p>
            <w:pPr>
              <w:jc w:val="center"/>
              <w:rPr>
                <w:rFonts w:cs="宋体"/>
                <w:b/>
                <w:bCs/>
                <w:color w:val="auto"/>
                <w:sz w:val="24"/>
                <w:szCs w:val="24"/>
                <w:highlight w:val="none"/>
              </w:rPr>
            </w:pPr>
            <w:r>
              <w:rPr>
                <w:rFonts w:hint="eastAsia" w:cs="宋体"/>
                <w:b/>
                <w:bCs/>
                <w:color w:val="auto"/>
                <w:sz w:val="24"/>
                <w:szCs w:val="24"/>
                <w:highlight w:val="none"/>
              </w:rPr>
              <w:t xml:space="preserve">偏离情况</w:t>
            </w:r>
            <w:r/>
          </w:p>
        </w:tc>
      </w:tr>
      <w:tr>
        <w:trPr>
          <w:cantSplit/>
          <w:trHeight w:val="623"/>
        </w:trPr>
        <w:tc>
          <w:tcPr>
            <w:tcW w:w="872"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1</w:t>
            </w:r>
            <w:r/>
          </w:p>
        </w:tc>
        <w:tc>
          <w:tcPr>
            <w:tcW w:w="4906" w:type="dxa"/>
            <w:vAlign w:val="center"/>
            <w:textDirection w:val="lrTb"/>
            <w:noWrap/>
          </w:tcPr>
          <w:p>
            <w:pPr>
              <w:jc w:val="left"/>
              <w:spacing w:after="120"/>
              <w:rPr>
                <w:rFonts w:cs="宋体"/>
                <w:color w:val="auto"/>
                <w:sz w:val="24"/>
                <w:szCs w:val="24"/>
                <w:highlight w:val="none"/>
              </w:rPr>
            </w:pPr>
            <w:r>
              <w:rPr>
                <w:rFonts w:hint="eastAsia" w:cs="宋体"/>
                <w:i/>
                <w:iCs/>
                <w:color w:val="auto"/>
                <w:sz w:val="24"/>
                <w:szCs w:val="24"/>
                <w:highlight w:val="none"/>
                <w:u w:val="single"/>
              </w:rPr>
              <w:t xml:space="preserve">服务期限：2026年5月15日前按照采购人要求完成。</w:t>
            </w:r>
            <w:r/>
          </w:p>
        </w:tc>
        <w:tc>
          <w:tcPr>
            <w:tcW w:w="1693"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1526"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r>
        <w:trPr>
          <w:cantSplit/>
          <w:trHeight w:val="640"/>
        </w:trPr>
        <w:tc>
          <w:tcPr>
            <w:tcW w:w="872" w:type="dxa"/>
            <w:vAlign w:val="center"/>
            <w:textDirection w:val="lrTb"/>
            <w:noWrap/>
          </w:tcPr>
          <w:p>
            <w:pPr>
              <w:jc w:val="center"/>
              <w:rPr>
                <w:rFonts w:cs="宋体"/>
                <w:color w:val="auto"/>
                <w:sz w:val="24"/>
                <w:szCs w:val="24"/>
                <w:highlight w:val="none"/>
              </w:rPr>
            </w:pPr>
            <w:r>
              <w:rPr>
                <w:rFonts w:hint="eastAsia" w:cs="宋体"/>
                <w:color w:val="auto"/>
                <w:sz w:val="24"/>
                <w:szCs w:val="24"/>
                <w:highlight w:val="none"/>
              </w:rPr>
              <w:t xml:space="preserve">2</w:t>
            </w:r>
            <w:r/>
          </w:p>
        </w:tc>
        <w:tc>
          <w:tcPr>
            <w:tcW w:w="4906" w:type="dxa"/>
            <w:vAlign w:val="center"/>
            <w:textDirection w:val="lrTb"/>
            <w:noWrap/>
          </w:tcPr>
          <w:p>
            <w:pPr>
              <w:spacing w:line="440" w:lineRule="exact"/>
              <w:rPr>
                <w:rFonts w:cs="宋体"/>
                <w:color w:val="auto"/>
                <w:sz w:val="24"/>
                <w:szCs w:val="24"/>
                <w:highlight w:val="none"/>
              </w:rPr>
            </w:pPr>
            <w:r>
              <w:rPr>
                <w:rFonts w:hint="eastAsia" w:cs="宋体"/>
                <w:i/>
                <w:iCs/>
                <w:color w:val="auto"/>
                <w:sz w:val="24"/>
                <w:szCs w:val="24"/>
                <w:highlight w:val="none"/>
                <w:u w:val="single"/>
              </w:rPr>
              <w:t xml:space="preserve">水稻良种补贴种子质量除符合国家标准（GB4404.1-2024）外，还应符合《苏州市稻麦良种补贴项目实施管理办法》的要求，“杂草稻谷”含量不超过万分之一。种子包装袋上印刷字样按照《苏州市稻麦良种补贴项目实施管理办法》中的要求制作。水稻救灾备荒种子质量应符合国家标准（GB4404.1-2024），种子包装袋上印刷“常熟备荒种”字样。</w:t>
            </w:r>
            <w:r/>
          </w:p>
        </w:tc>
        <w:tc>
          <w:tcPr>
            <w:tcW w:w="1693"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c>
          <w:tcPr>
            <w:tcW w:w="1526" w:type="dxa"/>
            <w:vAlign w:val="center"/>
            <w:textDirection w:val="lrTb"/>
            <w:noWrap/>
          </w:tcPr>
          <w:p>
            <w:pPr>
              <w:jc w:val="center"/>
              <w:rPr>
                <w:rFonts w:cs="宋体"/>
                <w:color w:val="auto"/>
                <w:sz w:val="24"/>
                <w:szCs w:val="24"/>
                <w:highlight w:val="none"/>
              </w:rPr>
            </w:pPr>
            <w:r>
              <w:rPr>
                <w:rFonts w:cs="宋体"/>
                <w:color w:val="auto"/>
                <w:sz w:val="24"/>
                <w:szCs w:val="24"/>
                <w:highlight w:val="none"/>
              </w:rPr>
            </w:r>
            <w:r/>
          </w:p>
        </w:tc>
      </w:tr>
    </w:tbl>
    <w:p>
      <w:pPr>
        <w:spacing w:line="400" w:lineRule="exact"/>
        <w:rPr>
          <w:rFonts w:cs="宋体"/>
          <w:color w:val="auto"/>
          <w:sz w:val="24"/>
          <w:szCs w:val="24"/>
          <w:highlight w:val="none"/>
        </w:rPr>
      </w:pPr>
      <w:r>
        <w:rPr>
          <w:rFonts w:cs="宋体"/>
          <w:color w:val="auto"/>
          <w:sz w:val="24"/>
          <w:szCs w:val="24"/>
          <w:highlight w:val="none"/>
        </w:rPr>
      </w:r>
      <w:r/>
    </w:p>
    <w:p>
      <w:pPr>
        <w:spacing w:line="400" w:lineRule="exact"/>
        <w:rPr>
          <w:rFonts w:cs="宋体"/>
          <w:color w:val="auto"/>
          <w:sz w:val="24"/>
          <w:szCs w:val="24"/>
          <w:highlight w:val="none"/>
        </w:rPr>
      </w:pPr>
      <w:r>
        <w:rPr>
          <w:rFonts w:hint="eastAsia" w:cs="宋体"/>
          <w:color w:val="auto"/>
          <w:sz w:val="24"/>
          <w:szCs w:val="24"/>
          <w:highlight w:val="none"/>
        </w:rPr>
        <w:t xml:space="preserve">备注：</w:t>
      </w:r>
      <w:r/>
    </w:p>
    <w:p>
      <w:pPr>
        <w:spacing w:line="400" w:lineRule="exact"/>
        <w:rPr>
          <w:rFonts w:cs="宋体"/>
          <w:color w:val="auto"/>
          <w:sz w:val="24"/>
          <w:szCs w:val="24"/>
          <w:highlight w:val="none"/>
        </w:rPr>
      </w:pPr>
      <w:r>
        <w:rPr>
          <w:rFonts w:hint="eastAsia" w:cs="宋体"/>
          <w:color w:val="auto"/>
          <w:sz w:val="24"/>
          <w:szCs w:val="24"/>
          <w:highlight w:val="none"/>
        </w:rPr>
        <w:t xml:space="preserve">1.</w:t>
      </w:r>
      <w:bookmarkStart w:id="182" w:name="_Hlk161666862"/>
      <w:r>
        <w:rPr>
          <w:rFonts w:hint="eastAsia" w:cs="宋体"/>
          <w:color w:val="auto"/>
          <w:sz w:val="24"/>
          <w:szCs w:val="24"/>
          <w:highlight w:val="none"/>
        </w:rPr>
        <w:t xml:space="preserve">供应商</w:t>
      </w:r>
      <w:bookmarkEnd w:id="182"/>
      <w:r>
        <w:rPr>
          <w:rFonts w:hint="eastAsia" w:cs="宋体"/>
          <w:color w:val="auto"/>
          <w:sz w:val="24"/>
          <w:szCs w:val="24"/>
          <w:highlight w:val="none"/>
        </w:rPr>
        <w:t xml:space="preserve">必须对技术要求和商务要求中的实质性要求逐条做出明确响应，</w:t>
      </w:r>
      <w:r>
        <w:rPr>
          <w:rFonts w:hint="eastAsia" w:cs="宋体"/>
          <w:color w:val="auto"/>
          <w:sz w:val="24"/>
          <w:szCs w:val="21"/>
          <w:highlight w:val="none"/>
        </w:rPr>
        <w:t xml:space="preserve">否则作无效响应处理。</w:t>
      </w:r>
      <w:r/>
    </w:p>
    <w:p>
      <w:pPr>
        <w:spacing w:line="400" w:lineRule="exact"/>
        <w:rPr>
          <w:rFonts w:cs="宋体"/>
          <w:color w:val="auto"/>
          <w:sz w:val="24"/>
          <w:szCs w:val="24"/>
          <w:highlight w:val="none"/>
        </w:rPr>
      </w:pPr>
      <w:r>
        <w:rPr>
          <w:rFonts w:hint="eastAsia" w:cs="宋体"/>
          <w:color w:val="auto"/>
          <w:sz w:val="24"/>
          <w:szCs w:val="24"/>
          <w:highlight w:val="none"/>
        </w:rPr>
        <w:t xml:space="preserve">2.如果采购文件要求提供证明材料，供应商必须将证明材料列于该表之下。</w:t>
      </w:r>
      <w:r/>
    </w:p>
    <w:p>
      <w:pPr>
        <w:spacing w:line="400" w:lineRule="exact"/>
        <w:rPr>
          <w:rFonts w:cs="宋体"/>
          <w:color w:val="auto"/>
          <w:sz w:val="24"/>
          <w:szCs w:val="24"/>
          <w:highlight w:val="none"/>
        </w:rPr>
      </w:pPr>
      <w:r>
        <w:rPr>
          <w:rFonts w:hint="eastAsia" w:cs="宋体"/>
          <w:color w:val="auto"/>
          <w:sz w:val="24"/>
          <w:szCs w:val="24"/>
          <w:highlight w:val="none"/>
        </w:rPr>
        <w:t xml:space="preserve">3.供应商未对实质性要求逐条作出明确响应的，或未按采购文件要求提供证明材料的，该分包作无效响应处理。</w:t>
      </w:r>
      <w:r/>
    </w:p>
    <w:p>
      <w:pPr>
        <w:spacing w:line="400" w:lineRule="exact"/>
        <w:rPr>
          <w:rFonts w:cs="宋体"/>
          <w:color w:val="auto"/>
          <w:sz w:val="24"/>
          <w:szCs w:val="22"/>
          <w:highlight w:val="none"/>
        </w:rPr>
      </w:pPr>
      <w:r>
        <w:rPr>
          <w:rFonts w:hint="eastAsia" w:cs="宋体"/>
          <w:color w:val="auto"/>
          <w:sz w:val="24"/>
          <w:szCs w:val="22"/>
          <w:highlight w:val="none"/>
        </w:rPr>
        <w:t xml:space="preserve">4.“偏离情况”列应据实填写“无偏离”、“正偏离”或“负偏离”。</w:t>
      </w:r>
      <w:r/>
    </w:p>
    <w:p>
      <w:pPr>
        <w:rPr>
          <w:rFonts w:cs="宋体"/>
          <w:color w:val="auto"/>
          <w:highlight w:val="none"/>
        </w:rPr>
      </w:pPr>
      <w:r>
        <w:rPr>
          <w:rFonts w:hint="eastAsia" w:cs="宋体"/>
          <w:color w:val="auto"/>
          <w:highlight w:val="none"/>
        </w:rPr>
        <w:br w:type="page" w:clear="all"/>
      </w:r>
      <w:r/>
    </w:p>
    <w:p>
      <w:pPr>
        <w:ind w:firstLine="482"/>
        <w:jc w:val="center"/>
        <w:spacing w:line="440" w:lineRule="exact"/>
        <w:rPr>
          <w:rFonts w:cs="宋体"/>
          <w:b/>
          <w:bCs/>
          <w:color w:val="auto"/>
          <w:sz w:val="28"/>
          <w:szCs w:val="28"/>
          <w:highlight w:val="none"/>
        </w:rPr>
        <w:outlineLvl w:val="1"/>
      </w:pPr>
      <w:r/>
      <w:bookmarkStart w:id="183" w:name="_Toc32287"/>
      <w:r/>
      <w:bookmarkStart w:id="184" w:name="_Toc5029"/>
      <w:r>
        <w:rPr>
          <w:rFonts w:hint="eastAsia" w:cs="宋体"/>
          <w:b/>
          <w:bCs/>
          <w:color w:val="auto"/>
          <w:sz w:val="28"/>
          <w:szCs w:val="28"/>
          <w:highlight w:val="none"/>
        </w:rPr>
        <w:t xml:space="preserve">附件12 中小企业声明函</w:t>
      </w:r>
      <w:bookmarkEnd w:id="183"/>
      <w:r/>
      <w:bookmarkEnd w:id="184"/>
      <w:r/>
      <w:r/>
    </w:p>
    <w:p>
      <w:pPr>
        <w:pStyle w:val="929"/>
        <w:spacing w:line="440" w:lineRule="exact"/>
        <w:widowControl/>
        <w:rPr>
          <w:rFonts w:hint="default" w:ascii="Times New Roman" w:hAnsi="Times New Roman" w:eastAsia="宋体" w:cs="宋体"/>
          <w:color w:val="auto"/>
          <w:sz w:val="24"/>
          <w:szCs w:val="24"/>
          <w:highlight w:val="none"/>
          <w:lang w:val="zh-CN"/>
        </w:rPr>
      </w:pPr>
      <w:r>
        <w:rPr>
          <w:rFonts w:ascii="Times New Roman" w:hAnsi="Times New Roman" w:eastAsia="宋体" w:cs="宋体"/>
          <w:color w:val="auto"/>
          <w:sz w:val="24"/>
          <w:szCs w:val="24"/>
          <w:highlight w:val="none"/>
          <w:lang w:val="zh-CN"/>
        </w:rPr>
        <w:t xml:space="preserve">力原工程咨询（苏州）有限公司：</w:t>
      </w:r>
      <w:r/>
    </w:p>
    <w:p>
      <w:pPr>
        <w:ind w:firstLine="360"/>
        <w:spacing w:line="440" w:lineRule="exact"/>
        <w:rPr>
          <w:rFonts w:cs="宋体"/>
          <w:color w:val="auto"/>
          <w:sz w:val="24"/>
          <w:szCs w:val="21"/>
          <w:highlight w:val="none"/>
        </w:rPr>
      </w:pPr>
      <w:r/>
      <w:bookmarkStart w:id="185" w:name="_Toc3097"/>
      <w:r>
        <w:rPr>
          <w:rFonts w:hint="eastAsia" w:cs="宋体"/>
          <w:color w:val="auto"/>
          <w:sz w:val="24"/>
          <w:szCs w:val="21"/>
          <w:highlight w:val="none"/>
          <w:lang w:bidi="ar"/>
        </w:rPr>
        <w:t xml:space="preserve">本公司郑重声明，根据《政府采购促进中小企业发展管理办法》（财库[2020]46号）的规定，本公司参加</w:t>
      </w:r>
      <w:r>
        <w:rPr>
          <w:rFonts w:hint="eastAsia" w:cs="宋体"/>
          <w:color w:val="auto"/>
          <w:sz w:val="24"/>
          <w:szCs w:val="24"/>
          <w:highlight w:val="none"/>
          <w:u w:val="single"/>
        </w:rPr>
        <w:t xml:space="preserve">常熟市农业技术推广中心</w:t>
      </w:r>
      <w:r>
        <w:rPr>
          <w:rFonts w:hint="eastAsia" w:cs="宋体"/>
          <w:color w:val="auto"/>
          <w:sz w:val="24"/>
          <w:szCs w:val="21"/>
          <w:highlight w:val="none"/>
          <w:lang w:val="zh-CN" w:bidi="ar"/>
        </w:rPr>
        <w:t xml:space="preserve">的</w:t>
      </w:r>
      <w:r>
        <w:rPr>
          <w:rFonts w:hint="eastAsia"/>
          <w:color w:val="auto"/>
          <w:sz w:val="24"/>
          <w:szCs w:val="24"/>
          <w:highlight w:val="none"/>
          <w:u w:val="single"/>
        </w:rPr>
        <w:t xml:space="preserve">常熟市2026年度水稻良种补贴及救灾备荒种项目</w:t>
      </w:r>
      <w:r>
        <w:rPr>
          <w:rFonts w:hint="eastAsia" w:cs="宋体"/>
          <w:color w:val="auto"/>
          <w:sz w:val="24"/>
          <w:szCs w:val="21"/>
          <w:highlight w:val="none"/>
          <w:lang w:bidi="ar"/>
        </w:rPr>
        <w:t xml:space="preserve">采购活动，提供的货物全部由符合政策要求的中小企业制造。相关企业的具体情况如下：</w:t>
      </w:r>
      <w:r/>
    </w:p>
    <w:p>
      <w:pPr>
        <w:ind w:firstLine="480"/>
        <w:jc w:val="left"/>
        <w:spacing w:line="440" w:lineRule="exact"/>
        <w:widowControl/>
        <w:rPr>
          <w:rFonts w:cs="宋体"/>
          <w:color w:val="auto"/>
          <w:sz w:val="24"/>
          <w:szCs w:val="24"/>
          <w:highlight w:val="none"/>
        </w:rPr>
      </w:pPr>
      <w:r>
        <w:rPr>
          <w:rFonts w:hint="eastAsia" w:cs="宋体"/>
          <w:color w:val="auto"/>
          <w:sz w:val="24"/>
          <w:szCs w:val="24"/>
          <w:highlight w:val="none"/>
          <w:lang w:bidi="ar"/>
        </w:rPr>
        <w:t xml:space="preserve">1、</w:t>
      </w:r>
      <w:r>
        <w:rPr>
          <w:rFonts w:hint="eastAsia" w:cs="宋体"/>
          <w:color w:val="auto"/>
          <w:sz w:val="24"/>
          <w:szCs w:val="24"/>
          <w:highlight w:val="none"/>
          <w:u w:val="single"/>
          <w:lang w:bidi="ar"/>
        </w:rPr>
        <w:t xml:space="preserve">  常农粳14号  </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bidi="ar"/>
        </w:rPr>
        <w:t xml:space="preserve">；制造商为</w:t>
      </w:r>
      <w:r>
        <w:rPr>
          <w:rFonts w:hint="eastAsia" w:cs="宋体"/>
          <w:color w:val="auto"/>
          <w:sz w:val="24"/>
          <w:szCs w:val="24"/>
          <w:highlight w:val="none"/>
          <w:u w:val="single"/>
          <w:lang w:bidi="ar"/>
        </w:rPr>
        <w:t xml:space="preserve">（企业名称）</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rPr>
      </w:pPr>
      <w:r>
        <w:rPr>
          <w:rFonts w:hint="eastAsia" w:cs="宋体"/>
          <w:color w:val="auto"/>
          <w:sz w:val="24"/>
          <w:szCs w:val="24"/>
          <w:highlight w:val="none"/>
          <w:lang w:bidi="ar"/>
        </w:rPr>
        <w:t xml:space="preserve">2、</w:t>
      </w:r>
      <w:r>
        <w:rPr>
          <w:rFonts w:hint="eastAsia" w:cs="宋体"/>
          <w:color w:val="auto"/>
          <w:sz w:val="24"/>
          <w:szCs w:val="24"/>
          <w:highlight w:val="none"/>
          <w:u w:val="single"/>
          <w:lang w:bidi="ar"/>
        </w:rPr>
        <w:t xml:space="preserve">  常香粳1813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rPr>
      </w:pPr>
      <w:r>
        <w:rPr>
          <w:rFonts w:hint="eastAsia" w:cs="宋体"/>
          <w:color w:val="auto"/>
          <w:sz w:val="24"/>
          <w:szCs w:val="24"/>
          <w:highlight w:val="none"/>
          <w:lang w:bidi="ar"/>
        </w:rPr>
        <w:t xml:space="preserve">3、</w:t>
      </w:r>
      <w:r>
        <w:rPr>
          <w:rFonts w:hint="eastAsia" w:cs="宋体"/>
          <w:color w:val="auto"/>
          <w:sz w:val="24"/>
          <w:szCs w:val="24"/>
          <w:highlight w:val="none"/>
          <w:u w:val="single"/>
          <w:lang w:bidi="ar"/>
        </w:rPr>
        <w:t xml:space="preserve">  宁香粳9号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lang w:bidi="ar"/>
        </w:rPr>
      </w:pPr>
      <w:r>
        <w:rPr>
          <w:rFonts w:hint="eastAsia" w:cs="宋体"/>
          <w:color w:val="auto"/>
          <w:sz w:val="24"/>
          <w:szCs w:val="24"/>
          <w:highlight w:val="none"/>
          <w:lang w:bidi="ar"/>
        </w:rPr>
        <w:t xml:space="preserve">4、</w:t>
      </w:r>
      <w:r>
        <w:rPr>
          <w:rFonts w:hint="eastAsia" w:cs="宋体"/>
          <w:color w:val="auto"/>
          <w:sz w:val="24"/>
          <w:szCs w:val="24"/>
          <w:highlight w:val="none"/>
          <w:u w:val="single"/>
          <w:lang w:bidi="ar"/>
        </w:rPr>
        <w:t xml:space="preserve">  苏香粳100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lang w:bidi="ar"/>
        </w:rPr>
      </w:pPr>
      <w:r>
        <w:rPr>
          <w:rFonts w:hint="eastAsia" w:cs="宋体"/>
          <w:color w:val="auto"/>
          <w:sz w:val="24"/>
          <w:szCs w:val="24"/>
          <w:highlight w:val="none"/>
          <w:lang w:bidi="ar"/>
        </w:rPr>
        <w:t xml:space="preserve">5、</w:t>
      </w:r>
      <w:r>
        <w:rPr>
          <w:rFonts w:hint="eastAsia" w:cs="宋体"/>
          <w:color w:val="auto"/>
          <w:sz w:val="24"/>
          <w:szCs w:val="24"/>
          <w:highlight w:val="none"/>
          <w:u w:val="single"/>
          <w:lang w:bidi="ar"/>
        </w:rPr>
        <w:t xml:space="preserve">  沪软玉1号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lang w:bidi="ar"/>
        </w:rPr>
      </w:pPr>
      <w:r>
        <w:rPr>
          <w:rFonts w:hint="eastAsia" w:cs="宋体"/>
          <w:color w:val="auto"/>
          <w:sz w:val="24"/>
          <w:szCs w:val="24"/>
          <w:highlight w:val="none"/>
          <w:lang w:bidi="ar"/>
        </w:rPr>
        <w:t xml:space="preserve">6、</w:t>
      </w:r>
      <w:r>
        <w:rPr>
          <w:rFonts w:hint="eastAsia" w:cs="宋体"/>
          <w:color w:val="auto"/>
          <w:sz w:val="24"/>
          <w:szCs w:val="24"/>
          <w:highlight w:val="none"/>
          <w:u w:val="single"/>
          <w:lang w:bidi="ar"/>
        </w:rPr>
        <w:t xml:space="preserve">  苏粳1180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0"/>
        <w:jc w:val="left"/>
        <w:spacing w:line="440" w:lineRule="exact"/>
        <w:widowControl/>
        <w:rPr>
          <w:rFonts w:cs="宋体"/>
          <w:color w:val="auto"/>
          <w:sz w:val="24"/>
          <w:szCs w:val="24"/>
          <w:highlight w:val="none"/>
          <w:lang w:bidi="ar"/>
        </w:rPr>
      </w:pPr>
      <w:r>
        <w:rPr>
          <w:rFonts w:hint="eastAsia" w:cs="宋体"/>
          <w:color w:val="auto"/>
          <w:sz w:val="24"/>
          <w:szCs w:val="24"/>
          <w:highlight w:val="none"/>
          <w:lang w:bidi="ar"/>
        </w:rPr>
        <w:t xml:space="preserve">7、</w:t>
      </w:r>
      <w:r>
        <w:rPr>
          <w:rFonts w:hint="eastAsia" w:cs="宋体"/>
          <w:color w:val="auto"/>
          <w:sz w:val="24"/>
          <w:szCs w:val="24"/>
          <w:highlight w:val="none"/>
          <w:u w:val="single"/>
          <w:lang w:bidi="ar"/>
        </w:rPr>
        <w:t xml:space="preserve">  南粳108  </w:t>
      </w:r>
      <w:r>
        <w:rPr>
          <w:rFonts w:hint="eastAsia" w:cs="宋体"/>
          <w:color w:val="auto"/>
          <w:sz w:val="24"/>
          <w:szCs w:val="24"/>
          <w:highlight w:val="none"/>
          <w:lang w:val="zh-CN" w:bidi="ar"/>
        </w:rPr>
        <w:t xml:space="preserve">，属于</w:t>
      </w:r>
      <w:r>
        <w:rPr>
          <w:rFonts w:hint="eastAsia" w:cs="宋体"/>
          <w:color w:val="auto"/>
          <w:sz w:val="24"/>
          <w:szCs w:val="24"/>
          <w:highlight w:val="none"/>
          <w:u w:val="single"/>
          <w:lang w:bidi="ar"/>
        </w:rPr>
        <w:t xml:space="preserve">农、林、牧、渔业</w:t>
      </w:r>
      <w:r>
        <w:rPr>
          <w:rFonts w:hint="eastAsia" w:cs="宋体"/>
          <w:color w:val="auto"/>
          <w:sz w:val="24"/>
          <w:szCs w:val="24"/>
          <w:highlight w:val="none"/>
          <w:lang w:val="zh-CN" w:bidi="ar"/>
        </w:rPr>
        <w:t xml:space="preserve">；制造商为</w:t>
      </w:r>
      <w:r>
        <w:rPr>
          <w:rFonts w:hint="eastAsia" w:cs="宋体"/>
          <w:color w:val="auto"/>
          <w:sz w:val="24"/>
          <w:szCs w:val="24"/>
          <w:highlight w:val="none"/>
          <w:u w:val="single"/>
          <w:lang w:val="zh-CN" w:bidi="ar"/>
        </w:rPr>
        <w:t xml:space="preserve">（企业名称）</w:t>
      </w:r>
      <w:r>
        <w:rPr>
          <w:rFonts w:hint="eastAsia" w:cs="宋体"/>
          <w:color w:val="auto"/>
          <w:sz w:val="24"/>
          <w:szCs w:val="24"/>
          <w:highlight w:val="none"/>
          <w:lang w:val="zh-CN" w:bidi="ar"/>
        </w:rPr>
        <w:t xml:space="preserve">，</w:t>
      </w:r>
      <w:r>
        <w:rPr>
          <w:rFonts w:hint="eastAsia" w:cs="宋体"/>
          <w:color w:val="auto"/>
          <w:sz w:val="24"/>
          <w:szCs w:val="24"/>
          <w:highlight w:val="none"/>
          <w:lang w:bidi="ar"/>
        </w:rPr>
        <w:t xml:space="preserve">从业人员</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人，营业收入为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万元，资产总额为</w:t>
      </w:r>
      <w:r>
        <w:rPr>
          <w:rFonts w:hint="eastAsia" w:cs="宋体"/>
          <w:color w:val="auto"/>
          <w:sz w:val="24"/>
          <w:szCs w:val="24"/>
          <w:highlight w:val="none"/>
          <w:u w:val="single"/>
          <w:lang w:bidi="ar"/>
        </w:rPr>
        <w:t xml:space="preserve">      </w:t>
      </w:r>
      <w:r>
        <w:rPr>
          <w:rFonts w:hint="eastAsia" w:cs="宋体"/>
          <w:color w:val="auto"/>
          <w:sz w:val="24"/>
          <w:szCs w:val="24"/>
          <w:highlight w:val="none"/>
          <w:lang w:bidi="ar"/>
        </w:rPr>
        <w:t xml:space="preserve">万元，属于</w:t>
      </w:r>
      <w:r>
        <w:rPr>
          <w:rFonts w:hint="eastAsia" w:cs="宋体"/>
          <w:color w:val="auto"/>
          <w:sz w:val="24"/>
          <w:szCs w:val="24"/>
          <w:highlight w:val="none"/>
          <w:u w:val="single"/>
          <w:lang w:bidi="ar"/>
        </w:rPr>
        <w:t xml:space="preserve">（中型企业、小型企业、微型企业）</w:t>
      </w:r>
      <w:r>
        <w:rPr>
          <w:rFonts w:hint="eastAsia" w:cs="宋体"/>
          <w:color w:val="auto"/>
          <w:sz w:val="24"/>
          <w:szCs w:val="24"/>
          <w:highlight w:val="none"/>
          <w:lang w:bidi="ar"/>
        </w:rPr>
        <w:t xml:space="preserve">；</w:t>
      </w:r>
      <w:r/>
    </w:p>
    <w:p>
      <w:pPr>
        <w:ind w:firstLine="482"/>
        <w:jc w:val="left"/>
        <w:spacing w:line="440" w:lineRule="exact"/>
        <w:widowControl/>
        <w:rPr>
          <w:rFonts w:cs="宋体"/>
          <w:b/>
          <w:color w:val="auto"/>
          <w:sz w:val="24"/>
          <w:szCs w:val="24"/>
          <w:highlight w:val="none"/>
        </w:rPr>
      </w:pPr>
      <w:r>
        <w:rPr>
          <w:rFonts w:hint="eastAsia" w:cs="宋体"/>
          <w:b/>
          <w:color w:val="auto"/>
          <w:sz w:val="24"/>
          <w:szCs w:val="24"/>
          <w:highlight w:val="none"/>
          <w:lang w:bidi="ar"/>
        </w:rPr>
        <w:t xml:space="preserve">以上企业，不属于大企业的分支机构，不存在控股股东为大企业的情形，也不存在与大企业的负责人为同一人的情形。</w:t>
      </w:r>
      <w:r/>
    </w:p>
    <w:p>
      <w:pPr>
        <w:ind w:firstLine="600"/>
        <w:spacing w:line="440" w:lineRule="exact"/>
        <w:rPr>
          <w:rFonts w:cs="宋体"/>
          <w:color w:val="auto"/>
          <w:sz w:val="24"/>
          <w:szCs w:val="24"/>
          <w:highlight w:val="none"/>
        </w:rPr>
      </w:pPr>
      <w:r>
        <w:rPr>
          <w:rFonts w:hint="eastAsia" w:cs="宋体"/>
          <w:color w:val="auto"/>
          <w:sz w:val="24"/>
          <w:szCs w:val="24"/>
          <w:highlight w:val="none"/>
          <w:lang w:bidi="ar"/>
        </w:rPr>
        <w:t xml:space="preserve">本企业对上述声明内容的真实性负责。如有虚假，将依法承担相应责任。</w:t>
      </w:r>
      <w:r/>
    </w:p>
    <w:p>
      <w:pPr>
        <w:ind w:firstLine="5760"/>
        <w:spacing w:line="440" w:lineRule="exact"/>
        <w:rPr>
          <w:rFonts w:cs="宋体"/>
          <w:color w:val="auto"/>
          <w:sz w:val="24"/>
          <w:highlight w:val="none"/>
          <w:lang w:bidi="ar"/>
        </w:rPr>
      </w:pPr>
      <w:r>
        <w:rPr>
          <w:rFonts w:cs="宋体"/>
          <w:color w:val="auto"/>
          <w:sz w:val="24"/>
          <w:highlight w:val="none"/>
          <w:lang w:bidi="ar"/>
        </w:rPr>
      </w:r>
      <w:r/>
    </w:p>
    <w:p>
      <w:pPr>
        <w:ind w:firstLine="5760"/>
        <w:spacing w:line="440" w:lineRule="exact"/>
        <w:rPr>
          <w:rFonts w:cs="宋体"/>
          <w:color w:val="auto"/>
          <w:sz w:val="24"/>
          <w:highlight w:val="none"/>
        </w:rPr>
      </w:pPr>
      <w:r>
        <w:rPr>
          <w:rFonts w:hint="eastAsia" w:cs="宋体"/>
          <w:color w:val="auto"/>
          <w:sz w:val="24"/>
          <w:highlight w:val="none"/>
          <w:lang w:bidi="ar"/>
        </w:rPr>
        <w:t xml:space="preserve">企业名称：</w:t>
      </w:r>
      <w:r/>
    </w:p>
    <w:p>
      <w:pPr>
        <w:spacing w:line="440" w:lineRule="exact"/>
        <w:rPr>
          <w:rFonts w:cs="宋体"/>
          <w:color w:val="auto"/>
          <w:sz w:val="24"/>
          <w:highlight w:val="none"/>
        </w:rPr>
      </w:pPr>
      <w:r>
        <w:rPr>
          <w:rFonts w:hint="eastAsia" w:cs="宋体"/>
          <w:color w:val="auto"/>
          <w:sz w:val="24"/>
          <w:highlight w:val="none"/>
          <w:lang w:bidi="ar"/>
        </w:rPr>
        <w:t xml:space="preserve">                                                日  期：</w:t>
      </w:r>
      <w:r/>
    </w:p>
    <w:p>
      <w:pPr>
        <w:spacing w:line="460" w:lineRule="exact"/>
        <w:rPr>
          <w:rFonts w:cs="宋体"/>
          <w:color w:val="auto"/>
          <w:sz w:val="24"/>
          <w:szCs w:val="24"/>
          <w:highlight w:val="none"/>
          <w:lang w:val="zh-CN" w:bidi="ar"/>
        </w:rPr>
      </w:pPr>
      <w:r>
        <w:rPr>
          <w:rFonts w:cs="宋体"/>
          <w:color w:val="auto"/>
          <w:sz w:val="24"/>
          <w:szCs w:val="24"/>
          <w:highlight w:val="none"/>
          <w:lang w:val="zh-CN" w:bidi="ar"/>
        </w:rPr>
      </w:r>
      <w:r/>
    </w:p>
    <w:p>
      <w:pPr>
        <w:spacing w:line="460" w:lineRule="exact"/>
        <w:rPr>
          <w:rFonts w:cs="宋体"/>
          <w:color w:val="auto"/>
          <w:sz w:val="24"/>
          <w:szCs w:val="24"/>
          <w:highlight w:val="none"/>
          <w:lang w:val="zh-CN" w:bidi="ar"/>
        </w:rPr>
      </w:pPr>
      <w:r>
        <w:rPr>
          <w:rFonts w:cs="宋体"/>
          <w:color w:val="auto"/>
          <w:sz w:val="24"/>
          <w:szCs w:val="24"/>
          <w:highlight w:val="none"/>
          <w:lang w:val="zh-CN" w:bidi="ar"/>
        </w:rPr>
      </w:r>
      <w:r/>
    </w:p>
    <w:p>
      <w:pPr>
        <w:spacing w:line="460" w:lineRule="exact"/>
        <w:rPr>
          <w:rFonts w:cs="宋体"/>
          <w:color w:val="auto"/>
          <w:sz w:val="24"/>
          <w:szCs w:val="24"/>
          <w:highlight w:val="none"/>
          <w:lang w:val="zh-CN"/>
        </w:rPr>
      </w:pPr>
      <w:r>
        <w:rPr>
          <w:rFonts w:hint="eastAsia" w:cs="宋体"/>
          <w:color w:val="auto"/>
          <w:sz w:val="24"/>
          <w:szCs w:val="24"/>
          <w:highlight w:val="none"/>
          <w:lang w:val="zh-CN" w:bidi="ar"/>
        </w:rPr>
        <w:t xml:space="preserve">备注：</w:t>
      </w:r>
      <w:r/>
    </w:p>
    <w:p>
      <w:pPr>
        <w:ind w:firstLine="600"/>
        <w:spacing w:line="460" w:lineRule="exact"/>
        <w:rPr>
          <w:rFonts w:cs="宋体"/>
          <w:color w:val="auto"/>
          <w:sz w:val="24"/>
          <w:szCs w:val="24"/>
          <w:highlight w:val="none"/>
          <w:lang w:val="zh-CN"/>
        </w:rPr>
      </w:pPr>
      <w:r>
        <w:rPr>
          <w:rFonts w:hint="eastAsia" w:cs="宋体"/>
          <w:color w:val="auto"/>
          <w:sz w:val="24"/>
          <w:szCs w:val="24"/>
          <w:highlight w:val="none"/>
          <w:lang w:val="zh-CN" w:bidi="ar"/>
        </w:rPr>
        <w:t xml:space="preserve">1、中小企业的认定：</w:t>
      </w:r>
      <w:r/>
    </w:p>
    <w:p>
      <w:pPr>
        <w:ind w:firstLine="843"/>
        <w:spacing w:line="460" w:lineRule="exact"/>
        <w:rPr>
          <w:rFonts w:cs="宋体"/>
          <w:b/>
          <w:color w:val="auto"/>
          <w:sz w:val="24"/>
          <w:szCs w:val="24"/>
          <w:highlight w:val="none"/>
          <w:lang w:val="zh-CN"/>
        </w:rPr>
      </w:pPr>
      <w:r>
        <w:rPr>
          <w:rFonts w:hint="eastAsia" w:cs="宋体"/>
          <w:b/>
          <w:color w:val="auto"/>
          <w:sz w:val="24"/>
          <w:szCs w:val="24"/>
          <w:highlight w:val="none"/>
          <w:lang w:bidi="ar"/>
        </w:rPr>
        <w:t xml:space="preserve">1.1请投标人在投标文件中提供中小企业声明函</w:t>
      </w:r>
      <w:r>
        <w:rPr>
          <w:rFonts w:hint="eastAsia" w:cs="宋体"/>
          <w:b/>
          <w:color w:val="auto"/>
          <w:sz w:val="24"/>
          <w:highlight w:val="none"/>
          <w:lang w:bidi="ar"/>
        </w:rPr>
        <w:t xml:space="preserve">。未按</w:t>
      </w:r>
      <w:r>
        <w:rPr>
          <w:rFonts w:hint="eastAsia" w:cs="宋体"/>
          <w:b/>
          <w:color w:val="auto"/>
          <w:sz w:val="24"/>
          <w:szCs w:val="24"/>
          <w:highlight w:val="none"/>
          <w:lang w:bidi="ar"/>
        </w:rPr>
        <w:t xml:space="preserve">招标</w:t>
      </w:r>
      <w:r>
        <w:rPr>
          <w:rFonts w:hint="eastAsia" w:cs="宋体"/>
          <w:b/>
          <w:color w:val="auto"/>
          <w:sz w:val="24"/>
          <w:highlight w:val="none"/>
          <w:lang w:bidi="ar"/>
        </w:rPr>
        <w:t xml:space="preserve">文件的规定在</w:t>
      </w:r>
      <w:r>
        <w:rPr>
          <w:rFonts w:hint="eastAsia" w:cs="宋体"/>
          <w:b/>
          <w:color w:val="auto"/>
          <w:sz w:val="24"/>
          <w:szCs w:val="24"/>
          <w:highlight w:val="none"/>
          <w:lang w:bidi="ar"/>
        </w:rPr>
        <w:t xml:space="preserve">投标文件</w:t>
      </w:r>
      <w:r>
        <w:rPr>
          <w:rFonts w:hint="eastAsia" w:cs="宋体"/>
          <w:b/>
          <w:color w:val="auto"/>
          <w:sz w:val="24"/>
          <w:highlight w:val="none"/>
          <w:lang w:bidi="ar"/>
        </w:rPr>
        <w:t xml:space="preserve">中</w:t>
      </w:r>
      <w:r>
        <w:rPr>
          <w:rFonts w:hint="eastAsia" w:cs="宋体"/>
          <w:b/>
          <w:color w:val="auto"/>
          <w:sz w:val="24"/>
          <w:szCs w:val="24"/>
          <w:highlight w:val="none"/>
          <w:lang w:bidi="ar"/>
        </w:rPr>
        <w:t xml:space="preserve">提供有效的中小企业声明函的，不享受促进</w:t>
      </w:r>
      <w:r>
        <w:rPr>
          <w:rFonts w:hint="eastAsia" w:cs="宋体"/>
          <w:b/>
          <w:color w:val="auto"/>
          <w:sz w:val="24"/>
          <w:szCs w:val="24"/>
          <w:highlight w:val="none"/>
          <w:lang w:val="zh-CN" w:bidi="ar"/>
        </w:rPr>
        <w:t xml:space="preserve">中小企业</w:t>
      </w:r>
      <w:r>
        <w:rPr>
          <w:rFonts w:hint="eastAsia" w:cs="宋体"/>
          <w:b/>
          <w:color w:val="auto"/>
          <w:sz w:val="24"/>
          <w:szCs w:val="24"/>
          <w:highlight w:val="none"/>
          <w:lang w:bidi="ar"/>
        </w:rPr>
        <w:t xml:space="preserve">发展的相关政府采购政策</w:t>
      </w:r>
      <w:r>
        <w:rPr>
          <w:rFonts w:hint="eastAsia" w:cs="宋体"/>
          <w:b/>
          <w:color w:val="auto"/>
          <w:sz w:val="24"/>
          <w:szCs w:val="24"/>
          <w:highlight w:val="none"/>
          <w:lang w:val="zh-CN" w:bidi="ar"/>
        </w:rPr>
        <w:t xml:space="preserve">。</w:t>
      </w:r>
      <w:r/>
    </w:p>
    <w:p>
      <w:pPr>
        <w:ind w:firstLine="843"/>
        <w:spacing w:line="460" w:lineRule="exact"/>
        <w:rPr>
          <w:rFonts w:cs="宋体"/>
          <w:b/>
          <w:color w:val="auto"/>
          <w:sz w:val="24"/>
          <w:szCs w:val="24"/>
          <w:highlight w:val="none"/>
        </w:rPr>
      </w:pPr>
      <w:r>
        <w:rPr>
          <w:rFonts w:hint="eastAsia" w:cs="宋体"/>
          <w:b/>
          <w:color w:val="auto"/>
          <w:sz w:val="24"/>
          <w:szCs w:val="24"/>
          <w:highlight w:val="none"/>
          <w:lang w:bidi="ar"/>
        </w:rPr>
        <w:t xml:space="preserve">1.2如未对上述声明函内（中型企业、小型企业、微型企业）进行勾选或明确，引起的评审风险由投标人自行承担。</w:t>
      </w:r>
      <w:r/>
    </w:p>
    <w:p>
      <w:pPr>
        <w:ind w:firstLine="843"/>
        <w:spacing w:line="460" w:lineRule="exact"/>
        <w:rPr>
          <w:rFonts w:cs="宋体"/>
          <w:b/>
          <w:color w:val="auto"/>
          <w:sz w:val="24"/>
          <w:szCs w:val="24"/>
          <w:highlight w:val="none"/>
        </w:rPr>
      </w:pPr>
      <w:r>
        <w:rPr>
          <w:rFonts w:hint="eastAsia" w:cs="宋体"/>
          <w:b/>
          <w:color w:val="auto"/>
          <w:sz w:val="24"/>
          <w:szCs w:val="24"/>
          <w:highlight w:val="none"/>
          <w:lang w:bidi="ar"/>
        </w:rPr>
        <w:t xml:space="preserve">1.3</w:t>
      </w:r>
      <w:r>
        <w:rPr>
          <w:rFonts w:hint="eastAsia" w:cs="宋体"/>
          <w:b/>
          <w:color w:val="auto"/>
          <w:sz w:val="24"/>
          <w:szCs w:val="24"/>
          <w:highlight w:val="none"/>
          <w:lang w:val="zh-CN" w:bidi="ar"/>
        </w:rPr>
        <w:t xml:space="preserve">上述“中小企业声明函”格式原则上不得改动，因擅自改动引起的评审风险由投标人自行承担。</w:t>
      </w:r>
      <w:r/>
    </w:p>
    <w:p>
      <w:pPr>
        <w:ind w:firstLine="600"/>
        <w:spacing w:line="460" w:lineRule="exact"/>
        <w:rPr>
          <w:rFonts w:cs="宋体"/>
          <w:color w:val="auto"/>
          <w:sz w:val="24"/>
          <w:szCs w:val="24"/>
          <w:highlight w:val="none"/>
          <w:lang w:val="zh-CN"/>
        </w:rPr>
      </w:pPr>
      <w:r>
        <w:rPr>
          <w:rFonts w:hint="eastAsia" w:cs="宋体"/>
          <w:color w:val="auto"/>
          <w:sz w:val="24"/>
          <w:szCs w:val="24"/>
          <w:highlight w:val="none"/>
          <w:lang w:bidi="ar"/>
        </w:rPr>
        <w:t xml:space="preserve">2、</w:t>
      </w:r>
      <w:r>
        <w:rPr>
          <w:rFonts w:hint="eastAsia" w:cs="宋体"/>
          <w:color w:val="auto"/>
          <w:sz w:val="24"/>
          <w:szCs w:val="24"/>
          <w:highlight w:val="none"/>
          <w:lang w:val="zh-CN" w:bidi="ar"/>
        </w:rPr>
        <w:t xml:space="preserve">从业人员、营业收入、资产总额填报上一年度数据，无上一年度数据的新成立企业可不填报。</w:t>
      </w:r>
      <w:r/>
    </w:p>
    <w:p>
      <w:pPr>
        <w:ind w:firstLine="602"/>
        <w:spacing w:line="460" w:lineRule="exact"/>
        <w:rPr>
          <w:rFonts w:cs="宋体"/>
          <w:b/>
          <w:bCs/>
          <w:color w:val="auto"/>
          <w:sz w:val="24"/>
          <w:szCs w:val="24"/>
          <w:highlight w:val="none"/>
          <w:lang w:bidi="ar"/>
        </w:rPr>
      </w:pPr>
      <w:r>
        <w:rPr>
          <w:rFonts w:hint="eastAsia" w:cs="宋体"/>
          <w:b/>
          <w:bCs/>
          <w:color w:val="auto"/>
          <w:sz w:val="24"/>
          <w:szCs w:val="24"/>
          <w:highlight w:val="none"/>
          <w:lang w:bidi="ar"/>
        </w:rPr>
        <w:t xml:space="preserve">3、本项目所属行业为：农、林、牧、渔业</w:t>
      </w:r>
      <w:r>
        <w:rPr>
          <w:rFonts w:hint="eastAsia" w:cs="宋体"/>
          <w:b/>
          <w:bCs/>
          <w:color w:val="auto"/>
          <w:sz w:val="24"/>
          <w:szCs w:val="24"/>
          <w:highlight w:val="none"/>
          <w:lang w:val="zh-CN" w:bidi="ar"/>
        </w:rPr>
        <w:t xml:space="preserve">。</w:t>
      </w:r>
      <w:bookmarkEnd w:id="185"/>
      <w:r/>
    </w:p>
    <w:p>
      <w:pPr>
        <w:rPr>
          <w:rFonts w:cs="宋体"/>
          <w:b/>
          <w:bCs/>
          <w:color w:val="auto"/>
          <w:sz w:val="28"/>
          <w:szCs w:val="28"/>
          <w:highlight w:val="none"/>
        </w:rPr>
      </w:pPr>
      <w:r/>
      <w:bookmarkStart w:id="186" w:name="_Toc23091"/>
      <w:r>
        <w:rPr>
          <w:rFonts w:hint="eastAsia" w:cs="宋体"/>
          <w:b/>
          <w:bCs/>
          <w:color w:val="auto"/>
          <w:sz w:val="28"/>
          <w:szCs w:val="28"/>
          <w:highlight w:val="none"/>
        </w:rPr>
        <w:br w:type="page" w:clear="all"/>
      </w:r>
      <w:r/>
    </w:p>
    <w:p>
      <w:pPr>
        <w:jc w:val="center"/>
        <w:spacing w:line="440" w:lineRule="exact"/>
        <w:rPr>
          <w:rFonts w:cs="宋体"/>
          <w:b/>
          <w:bCs/>
          <w:color w:val="auto"/>
          <w:sz w:val="28"/>
          <w:szCs w:val="28"/>
          <w:highlight w:val="none"/>
        </w:rPr>
        <w:outlineLvl w:val="1"/>
      </w:pPr>
      <w:r/>
      <w:bookmarkStart w:id="187" w:name="_Toc22418"/>
      <w:r>
        <w:rPr>
          <w:rFonts w:hint="eastAsia" w:cs="宋体"/>
          <w:b/>
          <w:bCs/>
          <w:color w:val="auto"/>
          <w:sz w:val="28"/>
          <w:szCs w:val="28"/>
          <w:highlight w:val="none"/>
        </w:rPr>
        <w:t xml:space="preserve">附件13 残疾人福利性单位声明函</w:t>
      </w:r>
      <w:bookmarkEnd w:id="186"/>
      <w:r/>
      <w:bookmarkEnd w:id="187"/>
      <w:r/>
      <w:r/>
    </w:p>
    <w:p>
      <w:pPr>
        <w:ind w:firstLine="480"/>
        <w:spacing w:line="588" w:lineRule="exact"/>
        <w:rPr>
          <w:rFonts w:cs="宋体"/>
          <w:color w:val="auto"/>
          <w:sz w:val="24"/>
          <w:szCs w:val="21"/>
          <w:highlight w:val="none"/>
        </w:rPr>
      </w:pPr>
      <w:r>
        <w:rPr>
          <w:rFonts w:hint="eastAsia"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auto"/>
          <w:sz w:val="24"/>
          <w:szCs w:val="21"/>
          <w:highlight w:val="none"/>
          <w:u w:val="single"/>
        </w:rPr>
        <w:t xml:space="preserve">       </w:t>
      </w:r>
      <w:r>
        <w:rPr>
          <w:rFonts w:hint="eastAsia" w:cs="宋体"/>
          <w:color w:val="auto"/>
          <w:sz w:val="24"/>
          <w:szCs w:val="21"/>
          <w:highlight w:val="none"/>
        </w:rPr>
        <w:t xml:space="preserve">项目采购活动提供本单位制造的货物</w:t>
      </w:r>
      <w:r>
        <w:rPr>
          <w:rFonts w:hint="eastAsia" w:cs="宋体"/>
          <w:color w:val="auto"/>
          <w:sz w:val="24"/>
          <w:szCs w:val="21"/>
          <w:highlight w:val="none"/>
          <w:lang w:val="zh-CN" w:bidi="ar"/>
        </w:rPr>
        <w:t xml:space="preserve">（由本单位承担工程/提供服务）</w:t>
      </w:r>
      <w:r>
        <w:rPr>
          <w:rFonts w:hint="eastAsia" w:cs="宋体"/>
          <w:color w:val="auto"/>
          <w:sz w:val="24"/>
          <w:szCs w:val="21"/>
          <w:highlight w:val="none"/>
        </w:rPr>
        <w:t xml:space="preserve">，或者提供其他残疾人福利性单位制造的货物（不包括使用非残疾人福利性单位注册商标的货物）。</w:t>
      </w:r>
      <w:r/>
    </w:p>
    <w:p>
      <w:pPr>
        <w:ind w:firstLine="480"/>
        <w:spacing w:line="588" w:lineRule="exact"/>
        <w:rPr>
          <w:rFonts w:cs="宋体"/>
          <w:color w:val="auto"/>
          <w:sz w:val="24"/>
          <w:szCs w:val="21"/>
          <w:highlight w:val="none"/>
        </w:rPr>
      </w:pPr>
      <w:r>
        <w:rPr>
          <w:rFonts w:hint="eastAsia" w:cs="宋体"/>
          <w:color w:val="auto"/>
          <w:sz w:val="24"/>
          <w:szCs w:val="21"/>
          <w:highlight w:val="none"/>
        </w:rPr>
        <w:t xml:space="preserve">本单位对上述声明的真实性负责。如有虚假，将依法承担相应责任。</w:t>
      </w:r>
      <w:r/>
    </w:p>
    <w:p>
      <w:pPr>
        <w:ind w:firstLine="480"/>
        <w:spacing w:line="588" w:lineRule="exact"/>
        <w:rPr>
          <w:rFonts w:cs="宋体"/>
          <w:color w:val="auto"/>
          <w:sz w:val="24"/>
          <w:szCs w:val="21"/>
          <w:highlight w:val="none"/>
        </w:rPr>
      </w:pPr>
      <w:r>
        <w:rPr>
          <w:rFonts w:hint="eastAsia" w:cs="宋体"/>
          <w:color w:val="auto"/>
          <w:sz w:val="24"/>
          <w:szCs w:val="21"/>
          <w:highlight w:val="none"/>
        </w:rPr>
        <w:t xml:space="preserve">（备注：1、投标人如不提供此声明函，价格将不做相应扣除。2、中标人为残疾人福利单位的，此声明函将随中标结果同时公告，接受社会监督）</w:t>
      </w:r>
      <w:r/>
    </w:p>
    <w:p>
      <w:pPr>
        <w:ind w:firstLine="624"/>
        <w:spacing w:line="588" w:lineRule="exact"/>
        <w:rPr>
          <w:rFonts w:cs="宋体"/>
          <w:color w:val="auto"/>
          <w:spacing w:val="6"/>
          <w:sz w:val="30"/>
          <w:szCs w:val="30"/>
          <w:highlight w:val="none"/>
        </w:rPr>
      </w:pPr>
      <w:r>
        <w:rPr>
          <w:rFonts w:cs="宋体"/>
          <w:color w:val="auto"/>
          <w:spacing w:val="6"/>
          <w:sz w:val="30"/>
          <w:szCs w:val="30"/>
          <w:highlight w:val="none"/>
        </w:rPr>
      </w:r>
      <w:r/>
    </w:p>
    <w:p>
      <w:pPr>
        <w:ind w:right="1560" w:firstLine="624"/>
        <w:jc w:val="center"/>
        <w:spacing w:line="588" w:lineRule="exact"/>
        <w:tabs>
          <w:tab w:val="left" w:pos="4860" w:leader="none"/>
        </w:tabs>
        <w:rPr>
          <w:rFonts w:cs="宋体"/>
          <w:color w:val="auto"/>
          <w:sz w:val="24"/>
          <w:szCs w:val="21"/>
          <w:highlight w:val="none"/>
        </w:rPr>
      </w:pPr>
      <w:r>
        <w:rPr>
          <w:rFonts w:hint="eastAsia" w:cs="宋体"/>
          <w:color w:val="auto"/>
          <w:spacing w:val="6"/>
          <w:sz w:val="30"/>
          <w:szCs w:val="30"/>
          <w:highlight w:val="none"/>
        </w:rPr>
        <w:t xml:space="preserve">             </w:t>
      </w:r>
      <w:r>
        <w:rPr>
          <w:rFonts w:hint="eastAsia"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cs="宋体"/>
          <w:color w:val="auto"/>
          <w:sz w:val="24"/>
          <w:szCs w:val="21"/>
          <w:highlight w:val="none"/>
        </w:rPr>
      </w:pPr>
      <w:r>
        <w:rPr>
          <w:rFonts w:hint="eastAsia" w:cs="宋体"/>
          <w:color w:val="auto"/>
          <w:sz w:val="24"/>
          <w:szCs w:val="21"/>
          <w:highlight w:val="none"/>
        </w:rPr>
        <w:t xml:space="preserve">        日  期：</w:t>
      </w:r>
      <w:r/>
    </w:p>
    <w:p>
      <w:pPr>
        <w:spacing w:line="420" w:lineRule="exact"/>
        <w:rPr>
          <w:rFonts w:cs="宋体"/>
          <w:b/>
          <w:color w:val="auto"/>
          <w:szCs w:val="21"/>
          <w:highlight w:val="none"/>
          <w:lang w:val="zh-CN"/>
        </w:rPr>
      </w:pPr>
      <w:r>
        <w:rPr>
          <w:rFonts w:hint="eastAsia" w:cs="宋体"/>
          <w:b/>
          <w:color w:val="auto"/>
          <w:szCs w:val="21"/>
          <w:highlight w:val="none"/>
          <w:lang w:val="zh-CN" w:bidi="ar"/>
        </w:rPr>
        <w:t xml:space="preserve">请</w:t>
      </w:r>
      <w:r>
        <w:rPr>
          <w:rFonts w:hint="eastAsia" w:cs="宋体"/>
          <w:b/>
          <w:color w:val="auto"/>
          <w:szCs w:val="21"/>
          <w:highlight w:val="none"/>
          <w:lang w:bidi="ar"/>
        </w:rPr>
        <w:t xml:space="preserve">投标人</w:t>
      </w:r>
      <w:r>
        <w:rPr>
          <w:rFonts w:hint="eastAsia" w:cs="宋体"/>
          <w:b/>
          <w:color w:val="auto"/>
          <w:szCs w:val="21"/>
          <w:highlight w:val="none"/>
          <w:lang w:val="zh-CN" w:bidi="ar"/>
        </w:rPr>
        <w:t xml:space="preserve">认真阅读如下内容：</w:t>
      </w:r>
      <w:r/>
    </w:p>
    <w:p>
      <w:pPr>
        <w:spacing w:line="420" w:lineRule="exact"/>
        <w:rPr>
          <w:rFonts w:cs="宋体"/>
          <w:color w:val="auto"/>
          <w:szCs w:val="21"/>
          <w:highlight w:val="none"/>
          <w:lang w:val="zh-CN"/>
        </w:rPr>
      </w:pPr>
      <w:r>
        <w:rPr>
          <w:rFonts w:hint="eastAsia" w:cs="宋体"/>
          <w:color w:val="auto"/>
          <w:szCs w:val="21"/>
          <w:highlight w:val="none"/>
          <w:lang w:val="zh-CN" w:bidi="ar"/>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420"/>
        <w:spacing w:line="420" w:lineRule="exact"/>
        <w:rPr>
          <w:rFonts w:cs="宋体"/>
          <w:color w:val="auto"/>
          <w:szCs w:val="21"/>
          <w:highlight w:val="none"/>
          <w:lang w:val="zh-CN"/>
        </w:rPr>
      </w:pPr>
      <w:r>
        <w:rPr>
          <w:rFonts w:hint="eastAsia" w:cs="宋体"/>
          <w:color w:val="auto"/>
          <w:szCs w:val="21"/>
          <w:highlight w:val="none"/>
          <w:lang w:bidi="ar"/>
        </w:rPr>
        <w:t xml:space="preserve">1、</w:t>
      </w:r>
      <w:r>
        <w:rPr>
          <w:rFonts w:hint="eastAsia" w:cs="宋体"/>
          <w:color w:val="auto"/>
          <w:szCs w:val="21"/>
          <w:highlight w:val="none"/>
          <w:lang w:val="zh-CN" w:bidi="ar"/>
        </w:rPr>
        <w:t xml:space="preserve">安置的残疾人占本单位在职职工人数的比例不低于25%（含25%），并且安置的残疾人人数不少于10人（含10人）；</w:t>
      </w:r>
      <w:r/>
    </w:p>
    <w:p>
      <w:pPr>
        <w:ind w:firstLine="420"/>
        <w:spacing w:line="420" w:lineRule="exact"/>
        <w:rPr>
          <w:rFonts w:cs="宋体"/>
          <w:color w:val="auto"/>
          <w:szCs w:val="21"/>
          <w:highlight w:val="none"/>
          <w:lang w:bidi="ar"/>
        </w:rPr>
      </w:pPr>
      <w:r>
        <w:rPr>
          <w:rFonts w:hint="eastAsia" w:cs="宋体"/>
          <w:color w:val="auto"/>
          <w:szCs w:val="21"/>
          <w:highlight w:val="none"/>
          <w:lang w:val="zh-CN" w:bidi="ar"/>
        </w:rPr>
        <w:t xml:space="preserve">2、依法与安置的每位残疾人签订了一年以上（含一年）的劳动合同或服务协议；</w:t>
      </w:r>
      <w:r/>
    </w:p>
    <w:p>
      <w:pPr>
        <w:ind w:firstLine="420"/>
        <w:spacing w:line="420" w:lineRule="exact"/>
        <w:rPr>
          <w:rFonts w:cs="宋体"/>
          <w:color w:val="auto"/>
          <w:szCs w:val="21"/>
          <w:highlight w:val="none"/>
          <w:lang w:val="zh-CN" w:bidi="ar"/>
        </w:rPr>
      </w:pPr>
      <w:r>
        <w:rPr>
          <w:rFonts w:hint="eastAsia" w:cs="宋体"/>
          <w:color w:val="auto"/>
          <w:szCs w:val="21"/>
          <w:highlight w:val="none"/>
          <w:lang w:val="zh-CN" w:bidi="ar"/>
        </w:rPr>
        <w:t xml:space="preserve">3、为安置的每位残疾人按月足额缴纳了基本养老保险、基本医疗保险、失业保险、工伤保险和生育保险等社会保险费；</w:t>
      </w:r>
      <w:r/>
    </w:p>
    <w:p>
      <w:pPr>
        <w:ind w:firstLine="420"/>
        <w:spacing w:line="420" w:lineRule="exact"/>
        <w:rPr>
          <w:rFonts w:cs="宋体"/>
          <w:color w:val="auto"/>
          <w:szCs w:val="21"/>
          <w:highlight w:val="none"/>
          <w:lang w:bidi="ar"/>
        </w:rPr>
      </w:pPr>
      <w:r>
        <w:rPr>
          <w:rFonts w:hint="eastAsia" w:cs="宋体"/>
          <w:color w:val="auto"/>
          <w:szCs w:val="21"/>
          <w:highlight w:val="none"/>
          <w:lang w:bidi="ar"/>
        </w:rPr>
        <w:t xml:space="preserve">    </w:t>
      </w:r>
      <w:r>
        <w:rPr>
          <w:rFonts w:hint="eastAsia" w:cs="宋体"/>
          <w:color w:val="auto"/>
          <w:szCs w:val="21"/>
          <w:highlight w:val="none"/>
          <w:lang w:val="zh-CN" w:bidi="ar"/>
        </w:rPr>
        <w:t xml:space="preserve">4、通过银行等金融机构向安置的每位残疾人，按月支付了不低于单位所在区县适用的经省级人民政府批准的月最低工资标准的工资；</w:t>
      </w:r>
      <w:r/>
    </w:p>
    <w:p>
      <w:pPr>
        <w:ind w:firstLine="420"/>
        <w:spacing w:line="420" w:lineRule="exact"/>
        <w:rPr>
          <w:rFonts w:cs="宋体"/>
          <w:color w:val="auto"/>
          <w:szCs w:val="21"/>
          <w:highlight w:val="none"/>
          <w:lang w:bidi="ar"/>
        </w:rPr>
      </w:pPr>
      <w:r>
        <w:rPr>
          <w:rFonts w:hint="eastAsia" w:cs="宋体"/>
          <w:color w:val="auto"/>
          <w:szCs w:val="21"/>
          <w:highlight w:val="none"/>
          <w:lang w:val="zh-CN" w:bidi="ar"/>
        </w:rPr>
        <w:t xml:space="preserve">5、提供本单位制造的货物、承担的工程或者服务（以下简称产品），或者提供其他残疾人福利性单位制造的货物（不包括使用非残疾人福利性单位注册商标的货物）。</w:t>
      </w:r>
      <w:r/>
    </w:p>
    <w:p>
      <w:pPr>
        <w:ind w:firstLine="420"/>
        <w:spacing w:line="420" w:lineRule="exact"/>
        <w:rPr>
          <w:rFonts w:cs="宋体"/>
          <w:color w:val="auto"/>
          <w:szCs w:val="21"/>
          <w:highlight w:val="none"/>
          <w:lang w:val="zh-CN" w:bidi="ar"/>
        </w:rPr>
      </w:pPr>
      <w:r>
        <w:rPr>
          <w:rFonts w:hint="eastAsia" w:cs="宋体"/>
          <w:color w:val="auto"/>
          <w:szCs w:val="21"/>
          <w:highlight w:val="none"/>
          <w:lang w:val="zh-CN" w:bidi="ar"/>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cs="宋体"/>
          <w:color w:val="auto"/>
          <w:highlight w:val="none"/>
        </w:rPr>
      </w:pPr>
      <w:r>
        <w:rPr>
          <w:rFonts w:cs="宋体"/>
          <w:color w:val="auto"/>
          <w:highlight w:val="none"/>
        </w:rPr>
      </w:r>
      <w:r/>
    </w:p>
    <w:p>
      <w:pPr>
        <w:jc w:val="left"/>
        <w:tabs>
          <w:tab w:val="left" w:pos="6975" w:leader="none"/>
        </w:tabs>
        <w:rPr>
          <w:rFonts w:ascii="Times New Roman" w:hAnsi="Times New Roman" w:eastAsia="宋体" w:cs="Times New Roman"/>
          <w:sz w:val="21"/>
          <w:lang w:val="en-US" w:eastAsia="zh-CN" w:bidi="ar-SA"/>
        </w:rPr>
      </w:pPr>
      <w:r>
        <w:rPr>
          <w:rFonts w:hint="eastAsia" w:cs="Times New Roman"/>
          <w:sz w:val="21"/>
          <w:lang w:val="en-US" w:eastAsia="zh-CN" w:bidi="ar-SA"/>
        </w:rPr>
        <w:tab/>
      </w:r>
      <w:r/>
    </w:p>
    <w:p>
      <w:pPr>
        <w:jc w:val="left"/>
        <w:tabs>
          <w:tab w:val="left" w:pos="8167" w:leader="none"/>
        </w:tabs>
        <w:rPr>
          <w:rFonts w:ascii="Times New Roman" w:hAnsi="Times New Roman" w:eastAsia="宋体" w:cs="Times New Roman"/>
          <w:sz w:val="21"/>
          <w:szCs w:val="21"/>
        </w:rPr>
      </w:pPr>
      <w:r>
        <w:rPr>
          <w:rFonts w:ascii="Times New Roman" w:hAnsi="Times New Roman" w:eastAsia="宋体" w:cs="Times New Roman"/>
          <w:sz w:val="21"/>
          <w:szCs w:val="21"/>
        </w:rPr>
      </w:r>
      <w:r>
        <w:rPr>
          <w:rFonts w:ascii="Times New Roman" w:hAnsi="Times New Roman" w:eastAsia="宋体" w:cs="Times New Roman"/>
          <w:sz w:val="21"/>
          <w:szCs w:val="21"/>
        </w:rPr>
        <w:tab/>
      </w:r>
      <w:r>
        <w:rPr>
          <w:rFonts w:ascii="Times New Roman" w:hAnsi="Times New Roman" w:eastAsia="宋体" w:cs="Times New Roman"/>
          <w:sz w:val="21"/>
          <w:szCs w:val="21"/>
        </w:rPr>
      </w:r>
    </w:p>
    <w:sectPr>
      <w:footerReference w:type="default" r:id="rId10"/>
      <w:footnotePr/>
      <w:endnotePr/>
      <w:type w:val="nextPage"/>
      <w:pgSz w:w="11907" w:h="16840" w:orient="portrait"/>
      <w:pgMar w:top="1134" w:right="882" w:bottom="1134" w:left="1365" w:header="567"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right"/>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jc w:val="right"/>
    </w:pPr>
    <w:fldSimple w:instr="PAGE \* MERGEFORMAT">
      <w:r>
        <w:t xml:space="preserve">1</w:t>
      </w:r>
    </w:fldSimple>
    <w:r/>
    <w:r/>
  </w:p>
  <w:p>
    <w:pPr>
      <w:pStyle w:val="671"/>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08"/>
      <w:isLgl w:val="false"/>
      <w:suff w:val="tab"/>
      <w:lvlText w:val="%1、"/>
      <w:lvlJc w:val="left"/>
      <w:pPr>
        <w:ind w:left="4149" w:hanging="375"/>
        <w:tabs>
          <w:tab w:val="left" w:pos="4149" w:leader="none"/>
        </w:tabs>
      </w:pPr>
      <w:rPr>
        <w:rFonts w:hint="eastAsia"/>
      </w:rPr>
    </w:lvl>
    <w:lvl w:ilvl="1">
      <w:start w:val="1"/>
      <w:numFmt w:val="lowerLetter"/>
      <w:isLgl w:val="false"/>
      <w:suff w:val="tab"/>
      <w:lvlText w:val="%2)"/>
      <w:lvlJc w:val="left"/>
      <w:pPr>
        <w:ind w:left="4614" w:hanging="420"/>
        <w:tabs>
          <w:tab w:val="left" w:pos="4614" w:leader="none"/>
        </w:tabs>
      </w:pPr>
    </w:lvl>
    <w:lvl w:ilvl="2">
      <w:start w:val="1"/>
      <w:numFmt w:val="lowerRoman"/>
      <w:isLgl w:val="false"/>
      <w:suff w:val="tab"/>
      <w:lvlText w:val="%3."/>
      <w:lvlJc w:val="right"/>
      <w:pPr>
        <w:ind w:left="5034" w:hanging="420"/>
        <w:tabs>
          <w:tab w:val="left" w:pos="5034" w:leader="none"/>
        </w:tabs>
      </w:pPr>
    </w:lvl>
    <w:lvl w:ilvl="3">
      <w:start w:val="1"/>
      <w:numFmt w:val="decimal"/>
      <w:isLgl w:val="false"/>
      <w:suff w:val="tab"/>
      <w:lvlText w:val="%4."/>
      <w:lvlJc w:val="left"/>
      <w:pPr>
        <w:ind w:left="5454" w:hanging="420"/>
        <w:tabs>
          <w:tab w:val="left" w:pos="5454" w:leader="none"/>
        </w:tabs>
      </w:pPr>
    </w:lvl>
    <w:lvl w:ilvl="4">
      <w:start w:val="1"/>
      <w:numFmt w:val="lowerLetter"/>
      <w:isLgl w:val="false"/>
      <w:suff w:val="tab"/>
      <w:lvlText w:val="%5)"/>
      <w:lvlJc w:val="left"/>
      <w:pPr>
        <w:ind w:left="5874" w:hanging="420"/>
        <w:tabs>
          <w:tab w:val="left" w:pos="5874" w:leader="none"/>
        </w:tabs>
      </w:pPr>
    </w:lvl>
    <w:lvl w:ilvl="5">
      <w:start w:val="1"/>
      <w:numFmt w:val="lowerRoman"/>
      <w:isLgl w:val="false"/>
      <w:suff w:val="tab"/>
      <w:lvlText w:val="%6."/>
      <w:lvlJc w:val="right"/>
      <w:pPr>
        <w:ind w:left="6294" w:hanging="420"/>
        <w:tabs>
          <w:tab w:val="left" w:pos="6294" w:leader="none"/>
        </w:tabs>
      </w:pPr>
    </w:lvl>
    <w:lvl w:ilvl="6">
      <w:start w:val="1"/>
      <w:numFmt w:val="decimal"/>
      <w:isLgl w:val="false"/>
      <w:suff w:val="tab"/>
      <w:lvlText w:val="%7."/>
      <w:lvlJc w:val="left"/>
      <w:pPr>
        <w:ind w:left="6714" w:hanging="420"/>
        <w:tabs>
          <w:tab w:val="left" w:pos="6714" w:leader="none"/>
        </w:tabs>
      </w:pPr>
    </w:lvl>
    <w:lvl w:ilvl="7">
      <w:start w:val="1"/>
      <w:numFmt w:val="lowerLetter"/>
      <w:isLgl w:val="false"/>
      <w:suff w:val="tab"/>
      <w:lvlText w:val="%8)"/>
      <w:lvlJc w:val="left"/>
      <w:pPr>
        <w:ind w:left="7134" w:hanging="420"/>
        <w:tabs>
          <w:tab w:val="left" w:pos="7134" w:leader="none"/>
        </w:tabs>
      </w:pPr>
    </w:lvl>
    <w:lvl w:ilvl="8">
      <w:start w:val="1"/>
      <w:numFmt w:val="lowerRoman"/>
      <w:isLgl w:val="false"/>
      <w:suff w:val="tab"/>
      <w:lvlText w:val="%9."/>
      <w:lvlJc w:val="right"/>
      <w:pPr>
        <w:ind w:left="7554" w:hanging="420"/>
        <w:tabs>
          <w:tab w:val="left" w:pos="7554" w:leader="none"/>
        </w:tabs>
      </w:pPr>
    </w:lvl>
  </w:abstractNum>
  <w:abstractNum w:abstractNumId="2">
    <w:multiLevelType w:val="hybridMultilevel"/>
    <w:lvl w:ilvl="0">
      <w:start w:val="1"/>
      <w:numFmt w:val="decimal"/>
      <w:pStyle w:val="915"/>
      <w:isLgl w:val="false"/>
      <w:suff w:val="tab"/>
      <w:lvlText w:val="%1."/>
      <w:lvlJc w:val="left"/>
      <w:pPr>
        <w:ind w:left="1418" w:hanging="709"/>
        <w:tabs>
          <w:tab w:val="left" w:pos="1418" w:leader="none"/>
        </w:tabs>
      </w:pPr>
      <w:rPr>
        <w:rFonts w:hint="eastAsia"/>
      </w:rPr>
    </w:lvl>
    <w:lvl w:ilvl="1">
      <w:start w:val="1"/>
      <w:numFmt w:val="decimal"/>
      <w:isLgl w:val="false"/>
      <w:suff w:val="tab"/>
      <w:lvlText w:val="%1.%2"/>
      <w:lvlJc w:val="left"/>
      <w:pPr>
        <w:ind w:left="1418" w:hanging="709"/>
        <w:tabs>
          <w:tab w:val="left" w:pos="1418" w:leader="none"/>
        </w:tabs>
      </w:pPr>
      <w:rPr>
        <w:rFonts w:hint="eastAsia"/>
        <w:color w:val="000000"/>
      </w:rPr>
    </w:lvl>
    <w:lvl w:ilvl="2">
      <w:start w:val="1"/>
      <w:numFmt w:val="decimal"/>
      <w:isLgl w:val="false"/>
      <w:suff w:val="tab"/>
      <w:lvlText w:val="%1.%2.%3."/>
      <w:lvlJc w:val="left"/>
      <w:pPr>
        <w:ind w:left="1134" w:hanging="425"/>
        <w:tabs>
          <w:tab w:val="left" w:pos="1134" w:leader="none"/>
        </w:tabs>
      </w:pPr>
      <w:rPr>
        <w:rFonts w:hint="eastAsia"/>
      </w:rPr>
    </w:lvl>
    <w:lvl w:ilvl="3">
      <w:start w:val="1"/>
      <w:numFmt w:val="decimal"/>
      <w:isLgl w:val="false"/>
      <w:suff w:val="tab"/>
      <w:lvlText w:val="%1.%2.%3.%4."/>
      <w:lvlJc w:val="left"/>
      <w:pPr>
        <w:ind w:left="1560" w:hanging="851"/>
        <w:tabs>
          <w:tab w:val="left" w:pos="1560" w:leader="none"/>
        </w:tabs>
      </w:pPr>
      <w:rPr>
        <w:rFonts w:hint="eastAsia"/>
      </w:rPr>
    </w:lvl>
    <w:lvl w:ilvl="4">
      <w:start w:val="1"/>
      <w:numFmt w:val="decimal"/>
      <w:isLgl w:val="false"/>
      <w:suff w:val="tab"/>
      <w:lvlText w:val="%1.%2.%3.%4.%5."/>
      <w:lvlJc w:val="left"/>
      <w:pPr>
        <w:ind w:left="1701" w:hanging="992"/>
        <w:tabs>
          <w:tab w:val="left" w:pos="1701" w:leader="none"/>
        </w:tabs>
      </w:pPr>
      <w:rPr>
        <w:rFonts w:hint="eastAsia"/>
      </w:rPr>
    </w:lvl>
    <w:lvl w:ilvl="5">
      <w:start w:val="1"/>
      <w:numFmt w:val="decimal"/>
      <w:isLgl w:val="false"/>
      <w:suff w:val="tab"/>
      <w:lvlText w:val="%1.%2.%3.%4.%5.%6."/>
      <w:lvlJc w:val="left"/>
      <w:pPr>
        <w:ind w:left="1843" w:hanging="1134"/>
        <w:tabs>
          <w:tab w:val="left" w:pos="1843" w:leader="none"/>
        </w:tabs>
      </w:pPr>
      <w:rPr>
        <w:rFonts w:hint="eastAsia"/>
      </w:rPr>
    </w:lvl>
    <w:lvl w:ilvl="6">
      <w:start w:val="1"/>
      <w:numFmt w:val="decimal"/>
      <w:isLgl w:val="false"/>
      <w:suff w:val="tab"/>
      <w:lvlText w:val="%1.%2.%3.%4.%5.%6.%7."/>
      <w:lvlJc w:val="left"/>
      <w:pPr>
        <w:ind w:left="1985" w:hanging="1276"/>
        <w:tabs>
          <w:tab w:val="left" w:pos="1985" w:leader="none"/>
        </w:tabs>
      </w:pPr>
      <w:rPr>
        <w:rFonts w:hint="eastAsia"/>
      </w:rPr>
    </w:lvl>
    <w:lvl w:ilvl="7">
      <w:start w:val="1"/>
      <w:numFmt w:val="decimal"/>
      <w:isLgl w:val="false"/>
      <w:suff w:val="tab"/>
      <w:lvlText w:val="%1.%2.%3.%4.%5.%6.%7.%8."/>
      <w:lvlJc w:val="left"/>
      <w:pPr>
        <w:ind w:left="2127" w:hanging="1418"/>
        <w:tabs>
          <w:tab w:val="left" w:pos="2127" w:leader="none"/>
        </w:tabs>
      </w:pPr>
      <w:rPr>
        <w:rFonts w:hint="eastAsia"/>
      </w:rPr>
    </w:lvl>
    <w:lvl w:ilvl="8">
      <w:start w:val="1"/>
      <w:numFmt w:val="decimal"/>
      <w:isLgl w:val="false"/>
      <w:suff w:val="tab"/>
      <w:lvlText w:val="%1.%2.%3.%4.%5.%6.%7.%8.%9."/>
      <w:lvlJc w:val="left"/>
      <w:pPr>
        <w:ind w:left="2268" w:hanging="1559"/>
        <w:tabs>
          <w:tab w:val="left" w:pos="2268"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9"/>
    <w:link w:val="650"/>
    <w:uiPriority w:val="9"/>
    <w:rPr>
      <w:rFonts w:ascii="Arial" w:hAnsi="Arial" w:eastAsia="Arial" w:cs="Arial"/>
      <w:sz w:val="40"/>
      <w:szCs w:val="40"/>
    </w:rPr>
  </w:style>
  <w:style w:type="character" w:styleId="15">
    <w:name w:val="Heading 2 Char"/>
    <w:basedOn w:val="659"/>
    <w:link w:val="651"/>
    <w:uiPriority w:val="9"/>
    <w:rPr>
      <w:rFonts w:ascii="Arial" w:hAnsi="Arial" w:eastAsia="Arial" w:cs="Arial"/>
      <w:sz w:val="34"/>
    </w:rPr>
  </w:style>
  <w:style w:type="character" w:styleId="17">
    <w:name w:val="Heading 3 Char"/>
    <w:basedOn w:val="659"/>
    <w:link w:val="652"/>
    <w:uiPriority w:val="9"/>
    <w:rPr>
      <w:rFonts w:ascii="Arial" w:hAnsi="Arial" w:eastAsia="Arial" w:cs="Arial"/>
      <w:sz w:val="30"/>
      <w:szCs w:val="30"/>
    </w:rPr>
  </w:style>
  <w:style w:type="character" w:styleId="19">
    <w:name w:val="Heading 4 Char"/>
    <w:basedOn w:val="659"/>
    <w:link w:val="653"/>
    <w:uiPriority w:val="9"/>
    <w:rPr>
      <w:rFonts w:ascii="Arial" w:hAnsi="Arial" w:eastAsia="Arial" w:cs="Arial"/>
      <w:b/>
      <w:bCs/>
      <w:sz w:val="26"/>
      <w:szCs w:val="26"/>
    </w:rPr>
  </w:style>
  <w:style w:type="character" w:styleId="21">
    <w:name w:val="Heading 5 Char"/>
    <w:basedOn w:val="659"/>
    <w:link w:val="654"/>
    <w:uiPriority w:val="9"/>
    <w:rPr>
      <w:rFonts w:ascii="Arial" w:hAnsi="Arial" w:eastAsia="Arial" w:cs="Arial"/>
      <w:b/>
      <w:bCs/>
      <w:sz w:val="24"/>
      <w:szCs w:val="24"/>
    </w:rPr>
  </w:style>
  <w:style w:type="character" w:styleId="23">
    <w:name w:val="Heading 6 Char"/>
    <w:basedOn w:val="659"/>
    <w:link w:val="655"/>
    <w:uiPriority w:val="9"/>
    <w:rPr>
      <w:rFonts w:ascii="Arial" w:hAnsi="Arial" w:eastAsia="Arial" w:cs="Arial"/>
      <w:b/>
      <w:bCs/>
      <w:sz w:val="22"/>
      <w:szCs w:val="22"/>
    </w:rPr>
  </w:style>
  <w:style w:type="character" w:styleId="25">
    <w:name w:val="Heading 7 Char"/>
    <w:basedOn w:val="659"/>
    <w:link w:val="656"/>
    <w:uiPriority w:val="9"/>
    <w:rPr>
      <w:rFonts w:ascii="Arial" w:hAnsi="Arial" w:eastAsia="Arial" w:cs="Arial"/>
      <w:b/>
      <w:bCs/>
      <w:i/>
      <w:iCs/>
      <w:sz w:val="22"/>
      <w:szCs w:val="22"/>
    </w:rPr>
  </w:style>
  <w:style w:type="character" w:styleId="27">
    <w:name w:val="Heading 8 Char"/>
    <w:basedOn w:val="659"/>
    <w:link w:val="657"/>
    <w:uiPriority w:val="9"/>
    <w:rPr>
      <w:rFonts w:ascii="Arial" w:hAnsi="Arial" w:eastAsia="Arial" w:cs="Arial"/>
      <w:i/>
      <w:iCs/>
      <w:sz w:val="22"/>
      <w:szCs w:val="22"/>
    </w:rPr>
  </w:style>
  <w:style w:type="character" w:styleId="29">
    <w:name w:val="Heading 9 Char"/>
    <w:basedOn w:val="659"/>
    <w:link w:val="658"/>
    <w:uiPriority w:val="9"/>
    <w:rPr>
      <w:rFonts w:ascii="Arial" w:hAnsi="Arial" w:eastAsia="Arial" w:cs="Arial"/>
      <w:i/>
      <w:iCs/>
      <w:sz w:val="21"/>
      <w:szCs w:val="21"/>
    </w:rPr>
  </w:style>
  <w:style w:type="character" w:styleId="34">
    <w:name w:val="Title Char"/>
    <w:basedOn w:val="659"/>
    <w:link w:val="681"/>
    <w:uiPriority w:val="10"/>
    <w:rPr>
      <w:sz w:val="48"/>
      <w:szCs w:val="48"/>
    </w:rPr>
  </w:style>
  <w:style w:type="character" w:styleId="36">
    <w:name w:val="Subtitle Char"/>
    <w:basedOn w:val="659"/>
    <w:link w:val="675"/>
    <w:uiPriority w:val="11"/>
    <w:rPr>
      <w:sz w:val="24"/>
      <w:szCs w:val="24"/>
    </w:rPr>
  </w:style>
  <w:style w:type="character" w:styleId="38">
    <w:name w:val="Quote Char"/>
    <w:link w:val="699"/>
    <w:uiPriority w:val="29"/>
    <w:rPr>
      <w:i/>
    </w:rPr>
  </w:style>
  <w:style w:type="character" w:styleId="40">
    <w:name w:val="Intense Quote Char"/>
    <w:link w:val="701"/>
    <w:uiPriority w:val="30"/>
    <w:rPr>
      <w:i/>
    </w:rPr>
  </w:style>
  <w:style w:type="character" w:styleId="42">
    <w:name w:val="Header Char"/>
    <w:basedOn w:val="659"/>
    <w:link w:val="672"/>
    <w:uiPriority w:val="99"/>
  </w:style>
  <w:style w:type="character" w:styleId="46">
    <w:name w:val="Caption Char"/>
    <w:basedOn w:val="662"/>
    <w:link w:val="671"/>
    <w:uiPriority w:val="99"/>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6"/>
    <w:uiPriority w:val="99"/>
    <w:rPr>
      <w:sz w:val="18"/>
    </w:rPr>
  </w:style>
  <w:style w:type="character" w:styleId="178">
    <w:name w:val="Endnote Text Char"/>
    <w:link w:val="669"/>
    <w:uiPriority w:val="99"/>
    <w:rPr>
      <w:sz w:val="20"/>
    </w:rPr>
  </w:style>
  <w:style w:type="paragraph" w:styleId="189">
    <w:name w:val="TOC Heading"/>
    <w:uiPriority w:val="39"/>
    <w:unhideWhenUsed/>
  </w:style>
  <w:style w:type="paragraph" w:styleId="64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50">
    <w:name w:val="Heading 1"/>
    <w:basedOn w:val="649"/>
    <w:next w:val="649"/>
    <w:link w:val="686"/>
    <w:uiPriority w:val="9"/>
    <w:qFormat/>
    <w:pPr>
      <w:keepLines/>
      <w:keepNext/>
      <w:spacing w:before="480" w:after="200"/>
      <w:outlineLvl w:val="0"/>
    </w:pPr>
    <w:rPr>
      <w:rFonts w:ascii="Arial" w:hAnsi="Arial" w:eastAsia="Arial" w:cs="Arial"/>
      <w:sz w:val="40"/>
      <w:szCs w:val="40"/>
    </w:rPr>
  </w:style>
  <w:style w:type="paragraph" w:styleId="651">
    <w:name w:val="Heading 2"/>
    <w:basedOn w:val="649"/>
    <w:next w:val="649"/>
    <w:link w:val="687"/>
    <w:uiPriority w:val="9"/>
    <w:unhideWhenUsed/>
    <w:qFormat/>
    <w:pPr>
      <w:keepLines/>
      <w:keepNext/>
      <w:spacing w:before="360" w:after="200"/>
      <w:outlineLvl w:val="1"/>
    </w:pPr>
    <w:rPr>
      <w:rFonts w:ascii="Arial" w:hAnsi="Arial" w:eastAsia="Arial" w:cs="Arial"/>
      <w:sz w:val="34"/>
    </w:rPr>
  </w:style>
  <w:style w:type="paragraph" w:styleId="652">
    <w:name w:val="Heading 3"/>
    <w:basedOn w:val="649"/>
    <w:next w:val="649"/>
    <w:link w:val="688"/>
    <w:uiPriority w:val="9"/>
    <w:unhideWhenUsed/>
    <w:qFormat/>
    <w:pPr>
      <w:keepLines/>
      <w:keepNext/>
      <w:spacing w:before="320" w:after="200"/>
      <w:outlineLvl w:val="2"/>
    </w:pPr>
    <w:rPr>
      <w:rFonts w:ascii="Arial" w:hAnsi="Arial" w:eastAsia="Arial" w:cs="Arial"/>
      <w:sz w:val="30"/>
      <w:szCs w:val="30"/>
    </w:rPr>
  </w:style>
  <w:style w:type="paragraph" w:styleId="653">
    <w:name w:val="Heading 4"/>
    <w:basedOn w:val="649"/>
    <w:next w:val="649"/>
    <w:link w:val="689"/>
    <w:uiPriority w:val="9"/>
    <w:unhideWhenUsed/>
    <w:qFormat/>
    <w:pPr>
      <w:keepLines/>
      <w:keepNext/>
      <w:spacing w:before="320" w:after="200"/>
      <w:outlineLvl w:val="3"/>
    </w:pPr>
    <w:rPr>
      <w:rFonts w:ascii="Arial" w:hAnsi="Arial" w:eastAsia="Arial" w:cs="Arial"/>
      <w:b/>
      <w:bCs/>
      <w:sz w:val="26"/>
      <w:szCs w:val="26"/>
    </w:rPr>
  </w:style>
  <w:style w:type="paragraph" w:styleId="654">
    <w:name w:val="Heading 5"/>
    <w:basedOn w:val="649"/>
    <w:next w:val="649"/>
    <w:link w:val="690"/>
    <w:uiPriority w:val="9"/>
    <w:unhideWhenUsed/>
    <w:qFormat/>
    <w:pPr>
      <w:keepLines/>
      <w:keepNext/>
      <w:spacing w:before="320" w:after="200"/>
      <w:outlineLvl w:val="4"/>
    </w:pPr>
    <w:rPr>
      <w:rFonts w:ascii="Arial" w:hAnsi="Arial" w:eastAsia="Arial" w:cs="Arial"/>
      <w:b/>
      <w:bCs/>
      <w:sz w:val="24"/>
      <w:szCs w:val="24"/>
    </w:rPr>
  </w:style>
  <w:style w:type="paragraph" w:styleId="655">
    <w:name w:val="Heading 6"/>
    <w:basedOn w:val="649"/>
    <w:next w:val="649"/>
    <w:link w:val="691"/>
    <w:uiPriority w:val="9"/>
    <w:unhideWhenUsed/>
    <w:qFormat/>
    <w:pPr>
      <w:keepLines/>
      <w:keepNext/>
      <w:spacing w:before="320" w:after="200"/>
      <w:outlineLvl w:val="5"/>
    </w:pPr>
    <w:rPr>
      <w:rFonts w:ascii="Arial" w:hAnsi="Arial" w:eastAsia="Arial" w:cs="Arial"/>
      <w:b/>
      <w:bCs/>
      <w:sz w:val="22"/>
      <w:szCs w:val="22"/>
    </w:rPr>
  </w:style>
  <w:style w:type="paragraph" w:styleId="656">
    <w:name w:val="Heading 7"/>
    <w:basedOn w:val="649"/>
    <w:next w:val="649"/>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57">
    <w:name w:val="Heading 8"/>
    <w:basedOn w:val="649"/>
    <w:next w:val="649"/>
    <w:link w:val="693"/>
    <w:uiPriority w:val="9"/>
    <w:unhideWhenUsed/>
    <w:qFormat/>
    <w:pPr>
      <w:keepLines/>
      <w:keepNext/>
      <w:spacing w:before="320" w:after="200"/>
      <w:outlineLvl w:val="7"/>
    </w:pPr>
    <w:rPr>
      <w:rFonts w:ascii="Arial" w:hAnsi="Arial" w:eastAsia="Arial" w:cs="Arial"/>
      <w:i/>
      <w:iCs/>
      <w:sz w:val="22"/>
      <w:szCs w:val="22"/>
    </w:rPr>
  </w:style>
  <w:style w:type="paragraph" w:styleId="658">
    <w:name w:val="Heading 9"/>
    <w:basedOn w:val="649"/>
    <w:next w:val="649"/>
    <w:link w:val="694"/>
    <w:uiPriority w:val="9"/>
    <w:unhideWhenUsed/>
    <w:qFormat/>
    <w:pPr>
      <w:keepLines/>
      <w:keepNext/>
      <w:spacing w:before="320" w:after="200"/>
      <w:outlineLvl w:val="8"/>
    </w:pPr>
    <w:rPr>
      <w:rFonts w:ascii="Arial" w:hAnsi="Arial" w:eastAsia="Arial" w:cs="Arial"/>
      <w:i/>
      <w:iCs/>
      <w:szCs w:val="21"/>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toc 7"/>
    <w:basedOn w:val="649"/>
    <w:next w:val="649"/>
    <w:uiPriority w:val="39"/>
    <w:unhideWhenUsed/>
    <w:qFormat/>
    <w:pPr>
      <w:ind w:left="1701"/>
      <w:spacing w:after="57"/>
    </w:pPr>
  </w:style>
  <w:style w:type="paragraph" w:styleId="662">
    <w:name w:val="Caption"/>
    <w:basedOn w:val="649"/>
    <w:next w:val="6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3">
    <w:name w:val="Body Text"/>
    <w:basedOn w:val="649"/>
    <w:next w:val="649"/>
    <w:uiPriority w:val="0"/>
    <w:qFormat/>
    <w:rPr>
      <w:rFonts w:ascii="楷体_GB2312" w:hAnsi="Arial" w:eastAsia="楷体_GB2312"/>
      <w:sz w:val="28"/>
    </w:rPr>
  </w:style>
  <w:style w:type="paragraph" w:styleId="664">
    <w:name w:val="Body Text Indent"/>
    <w:basedOn w:val="649"/>
    <w:next w:val="665"/>
    <w:uiPriority w:val="99"/>
    <w:semiHidden/>
    <w:unhideWhenUsed/>
    <w:qFormat/>
    <w:pPr>
      <w:ind w:left="420"/>
      <w:spacing w:after="120"/>
    </w:pPr>
  </w:style>
  <w:style w:type="paragraph" w:styleId="665">
    <w:name w:val="envelope return"/>
    <w:basedOn w:val="649"/>
    <w:uiPriority w:val="99"/>
    <w:unhideWhenUsed/>
    <w:qFormat/>
    <w:rPr>
      <w:rFonts w:ascii="Arial" w:hAnsi="Arial"/>
    </w:rPr>
  </w:style>
  <w:style w:type="paragraph" w:styleId="666">
    <w:name w:val="toc 5"/>
    <w:basedOn w:val="649"/>
    <w:next w:val="649"/>
    <w:uiPriority w:val="39"/>
    <w:unhideWhenUsed/>
    <w:qFormat/>
    <w:pPr>
      <w:ind w:left="1134"/>
      <w:spacing w:after="57"/>
    </w:pPr>
  </w:style>
  <w:style w:type="paragraph" w:styleId="667">
    <w:name w:val="toc 3"/>
    <w:basedOn w:val="649"/>
    <w:next w:val="649"/>
    <w:uiPriority w:val="39"/>
    <w:unhideWhenUsed/>
    <w:qFormat/>
    <w:pPr>
      <w:ind w:left="567"/>
      <w:spacing w:after="57"/>
    </w:pPr>
  </w:style>
  <w:style w:type="paragraph" w:styleId="668">
    <w:name w:val="toc 8"/>
    <w:basedOn w:val="649"/>
    <w:next w:val="649"/>
    <w:uiPriority w:val="39"/>
    <w:unhideWhenUsed/>
    <w:qFormat/>
    <w:pPr>
      <w:ind w:left="1984"/>
      <w:spacing w:after="57"/>
    </w:pPr>
  </w:style>
  <w:style w:type="paragraph" w:styleId="669">
    <w:name w:val="endnote text"/>
    <w:basedOn w:val="649"/>
    <w:link w:val="832"/>
    <w:uiPriority w:val="99"/>
    <w:semiHidden/>
    <w:unhideWhenUsed/>
    <w:qFormat/>
    <w:rPr>
      <w:sz w:val="20"/>
    </w:rPr>
  </w:style>
  <w:style w:type="paragraph" w:styleId="670">
    <w:name w:val="Balloon Text"/>
    <w:basedOn w:val="649"/>
    <w:link w:val="930"/>
    <w:uiPriority w:val="99"/>
    <w:semiHidden/>
    <w:unhideWhenUsed/>
    <w:qFormat/>
    <w:rPr>
      <w:sz w:val="18"/>
      <w:szCs w:val="18"/>
    </w:rPr>
  </w:style>
  <w:style w:type="paragraph" w:styleId="671">
    <w:name w:val="Footer"/>
    <w:basedOn w:val="649"/>
    <w:link w:val="705"/>
    <w:uiPriority w:val="99"/>
    <w:unhideWhenUsed/>
    <w:qFormat/>
    <w:pPr>
      <w:tabs>
        <w:tab w:val="center" w:pos="7143" w:leader="none"/>
        <w:tab w:val="right" w:pos="14287" w:leader="none"/>
      </w:tabs>
    </w:pPr>
  </w:style>
  <w:style w:type="paragraph" w:styleId="672">
    <w:name w:val="Header"/>
    <w:basedOn w:val="649"/>
    <w:link w:val="703"/>
    <w:uiPriority w:val="99"/>
    <w:unhideWhenUsed/>
    <w:qFormat/>
    <w:pPr>
      <w:tabs>
        <w:tab w:val="center" w:pos="7143" w:leader="none"/>
        <w:tab w:val="right" w:pos="14287" w:leader="none"/>
      </w:tabs>
    </w:pPr>
  </w:style>
  <w:style w:type="paragraph" w:styleId="673">
    <w:name w:val="toc 1"/>
    <w:basedOn w:val="649"/>
    <w:next w:val="649"/>
    <w:uiPriority w:val="39"/>
    <w:unhideWhenUsed/>
    <w:qFormat/>
    <w:pPr>
      <w:spacing w:after="57"/>
    </w:pPr>
  </w:style>
  <w:style w:type="paragraph" w:styleId="674">
    <w:name w:val="toc 4"/>
    <w:basedOn w:val="649"/>
    <w:next w:val="649"/>
    <w:uiPriority w:val="39"/>
    <w:unhideWhenUsed/>
    <w:qFormat/>
    <w:pPr>
      <w:ind w:left="850"/>
      <w:spacing w:after="57"/>
    </w:pPr>
  </w:style>
  <w:style w:type="paragraph" w:styleId="675">
    <w:name w:val="Subtitle"/>
    <w:basedOn w:val="649"/>
    <w:next w:val="649"/>
    <w:link w:val="698"/>
    <w:uiPriority w:val="11"/>
    <w:qFormat/>
    <w:pPr>
      <w:spacing w:before="200" w:after="200"/>
    </w:pPr>
    <w:rPr>
      <w:sz w:val="24"/>
      <w:szCs w:val="24"/>
    </w:rPr>
  </w:style>
  <w:style w:type="paragraph" w:styleId="676">
    <w:name w:val="footnote text"/>
    <w:basedOn w:val="649"/>
    <w:link w:val="831"/>
    <w:uiPriority w:val="99"/>
    <w:semiHidden/>
    <w:unhideWhenUsed/>
    <w:qFormat/>
    <w:pPr>
      <w:spacing w:after="40"/>
    </w:pPr>
    <w:rPr>
      <w:sz w:val="18"/>
    </w:rPr>
  </w:style>
  <w:style w:type="paragraph" w:styleId="677">
    <w:name w:val="toc 6"/>
    <w:basedOn w:val="649"/>
    <w:next w:val="649"/>
    <w:uiPriority w:val="39"/>
    <w:unhideWhenUsed/>
    <w:qFormat/>
    <w:pPr>
      <w:ind w:left="1417"/>
      <w:spacing w:after="57"/>
    </w:pPr>
  </w:style>
  <w:style w:type="paragraph" w:styleId="678">
    <w:name w:val="table of figures"/>
    <w:basedOn w:val="649"/>
    <w:next w:val="649"/>
    <w:uiPriority w:val="99"/>
    <w:unhideWhenUsed/>
    <w:qFormat/>
  </w:style>
  <w:style w:type="paragraph" w:styleId="679">
    <w:name w:val="toc 2"/>
    <w:basedOn w:val="649"/>
    <w:next w:val="649"/>
    <w:uiPriority w:val="39"/>
    <w:unhideWhenUsed/>
    <w:qFormat/>
    <w:pPr>
      <w:ind w:left="283"/>
      <w:spacing w:after="57"/>
    </w:pPr>
  </w:style>
  <w:style w:type="paragraph" w:styleId="680">
    <w:name w:val="toc 9"/>
    <w:basedOn w:val="649"/>
    <w:next w:val="649"/>
    <w:uiPriority w:val="39"/>
    <w:unhideWhenUsed/>
    <w:qFormat/>
    <w:pPr>
      <w:ind w:left="2268"/>
      <w:spacing w:after="57"/>
    </w:pPr>
  </w:style>
  <w:style w:type="paragraph" w:styleId="681">
    <w:name w:val="Title"/>
    <w:basedOn w:val="649"/>
    <w:next w:val="649"/>
    <w:link w:val="697"/>
    <w:uiPriority w:val="10"/>
    <w:qFormat/>
    <w:pPr>
      <w:contextualSpacing/>
      <w:spacing w:before="300" w:after="200"/>
    </w:pPr>
    <w:rPr>
      <w:sz w:val="48"/>
      <w:szCs w:val="48"/>
    </w:r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Hyperlink"/>
    <w:uiPriority w:val="99"/>
    <w:unhideWhenUsed/>
    <w:qFormat/>
    <w:rPr>
      <w:color w:val="0000ff" w:themeColor="hyperlink"/>
      <w:u w:val="single"/>
      <w14:textFill>
        <w14:solidFill>
          <w14:schemeClr w14:val="hlink"/>
        </w14:solidFill>
      </w14:textFill>
    </w:rPr>
  </w:style>
  <w:style w:type="character" w:styleId="685">
    <w:name w:val="footnote reference"/>
    <w:uiPriority w:val="99"/>
    <w:unhideWhenUsed/>
    <w:qFormat/>
    <w:rPr>
      <w:vertAlign w:val="superscript"/>
    </w:rPr>
  </w:style>
  <w:style w:type="character" w:styleId="686" w:customStyle="1">
    <w:name w:val="标题 1 字符1"/>
    <w:link w:val="650"/>
    <w:uiPriority w:val="9"/>
    <w:qFormat/>
    <w:rPr>
      <w:rFonts w:ascii="Arial" w:hAnsi="Arial" w:eastAsia="Arial" w:cs="Arial"/>
      <w:sz w:val="40"/>
      <w:szCs w:val="40"/>
    </w:rPr>
  </w:style>
  <w:style w:type="character" w:styleId="687" w:customStyle="1">
    <w:name w:val="标题 2 字符2"/>
    <w:link w:val="651"/>
    <w:uiPriority w:val="9"/>
    <w:qFormat/>
    <w:rPr>
      <w:rFonts w:ascii="Arial" w:hAnsi="Arial" w:eastAsia="Arial" w:cs="Arial"/>
      <w:sz w:val="34"/>
    </w:rPr>
  </w:style>
  <w:style w:type="character" w:styleId="688" w:customStyle="1">
    <w:name w:val="标题 3 字符"/>
    <w:link w:val="652"/>
    <w:uiPriority w:val="9"/>
    <w:qFormat/>
    <w:rPr>
      <w:rFonts w:ascii="Arial" w:hAnsi="Arial" w:eastAsia="Arial" w:cs="Arial"/>
      <w:sz w:val="30"/>
      <w:szCs w:val="30"/>
    </w:rPr>
  </w:style>
  <w:style w:type="character" w:styleId="689" w:customStyle="1">
    <w:name w:val="标题 4 字符"/>
    <w:link w:val="653"/>
    <w:uiPriority w:val="9"/>
    <w:qFormat/>
    <w:rPr>
      <w:rFonts w:ascii="Arial" w:hAnsi="Arial" w:eastAsia="Arial" w:cs="Arial"/>
      <w:b/>
      <w:bCs/>
      <w:sz w:val="26"/>
      <w:szCs w:val="26"/>
    </w:rPr>
  </w:style>
  <w:style w:type="character" w:styleId="690" w:customStyle="1">
    <w:name w:val="标题 5 字符"/>
    <w:link w:val="654"/>
    <w:uiPriority w:val="9"/>
    <w:qFormat/>
    <w:rPr>
      <w:rFonts w:ascii="Arial" w:hAnsi="Arial" w:eastAsia="Arial" w:cs="Arial"/>
      <w:b/>
      <w:bCs/>
      <w:sz w:val="24"/>
      <w:szCs w:val="24"/>
    </w:rPr>
  </w:style>
  <w:style w:type="character" w:styleId="691" w:customStyle="1">
    <w:name w:val="标题 6 字符"/>
    <w:link w:val="655"/>
    <w:uiPriority w:val="9"/>
    <w:qFormat/>
    <w:rPr>
      <w:rFonts w:ascii="Arial" w:hAnsi="Arial" w:eastAsia="Arial" w:cs="Arial"/>
      <w:b/>
      <w:bCs/>
      <w:sz w:val="22"/>
      <w:szCs w:val="22"/>
    </w:rPr>
  </w:style>
  <w:style w:type="character" w:styleId="692" w:customStyle="1">
    <w:name w:val="标题 7 字符"/>
    <w:link w:val="656"/>
    <w:uiPriority w:val="9"/>
    <w:qFormat/>
    <w:rPr>
      <w:rFonts w:ascii="Arial" w:hAnsi="Arial" w:eastAsia="Arial" w:cs="Arial"/>
      <w:b/>
      <w:bCs/>
      <w:i/>
      <w:iCs/>
      <w:sz w:val="22"/>
      <w:szCs w:val="22"/>
    </w:rPr>
  </w:style>
  <w:style w:type="character" w:styleId="693" w:customStyle="1">
    <w:name w:val="标题 8 字符"/>
    <w:link w:val="657"/>
    <w:uiPriority w:val="9"/>
    <w:qFormat/>
    <w:rPr>
      <w:rFonts w:ascii="Arial" w:hAnsi="Arial" w:eastAsia="Arial" w:cs="Arial"/>
      <w:i/>
      <w:iCs/>
      <w:sz w:val="22"/>
      <w:szCs w:val="22"/>
    </w:rPr>
  </w:style>
  <w:style w:type="character" w:styleId="694" w:customStyle="1">
    <w:name w:val="标题 9 字符"/>
    <w:link w:val="658"/>
    <w:uiPriority w:val="9"/>
    <w:qFormat/>
    <w:rPr>
      <w:rFonts w:ascii="Arial" w:hAnsi="Arial" w:eastAsia="Arial" w:cs="Arial"/>
      <w:i/>
      <w:iCs/>
      <w:sz w:val="21"/>
      <w:szCs w:val="21"/>
    </w:rPr>
  </w:style>
  <w:style w:type="paragraph" w:styleId="695">
    <w:name w:val="List Paragraph"/>
    <w:basedOn w:val="649"/>
    <w:uiPriority w:val="34"/>
    <w:qFormat/>
    <w:pPr>
      <w:contextualSpacing/>
      <w:ind w:left="720"/>
    </w:pPr>
  </w:style>
  <w:style w:type="paragraph" w:styleId="696">
    <w:name w:val="No Spacing"/>
    <w:uiPriority w:val="1"/>
    <w:qFormat/>
    <w:rPr>
      <w:rFonts w:ascii="Times New Roman" w:hAnsi="Times New Roman" w:eastAsia="宋体" w:cs="Times New Roman"/>
      <w:lang w:val="en-US" w:eastAsia="zh-CN" w:bidi="ar-SA"/>
    </w:rPr>
  </w:style>
  <w:style w:type="character" w:styleId="697" w:customStyle="1">
    <w:name w:val="标题 字符"/>
    <w:link w:val="681"/>
    <w:uiPriority w:val="10"/>
    <w:qFormat/>
    <w:rPr>
      <w:sz w:val="48"/>
      <w:szCs w:val="48"/>
    </w:rPr>
  </w:style>
  <w:style w:type="character" w:styleId="698" w:customStyle="1">
    <w:name w:val="副标题 字符"/>
    <w:link w:val="675"/>
    <w:uiPriority w:val="11"/>
    <w:qFormat/>
    <w:rPr>
      <w:sz w:val="24"/>
      <w:szCs w:val="24"/>
    </w:rPr>
  </w:style>
  <w:style w:type="paragraph" w:styleId="699">
    <w:name w:val="Quote"/>
    <w:basedOn w:val="649"/>
    <w:next w:val="649"/>
    <w:link w:val="700"/>
    <w:uiPriority w:val="29"/>
    <w:qFormat/>
    <w:pPr>
      <w:ind w:left="720" w:right="720"/>
    </w:pPr>
    <w:rPr>
      <w:i/>
    </w:rPr>
  </w:style>
  <w:style w:type="character" w:styleId="700" w:customStyle="1">
    <w:name w:val="引用 字符"/>
    <w:link w:val="699"/>
    <w:uiPriority w:val="29"/>
    <w:qFormat/>
    <w:rPr>
      <w:i/>
    </w:rPr>
  </w:style>
  <w:style w:type="paragraph" w:styleId="701">
    <w:name w:val="Intense Quote"/>
    <w:basedOn w:val="649"/>
    <w:next w:val="649"/>
    <w:link w:val="7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明显引用 字符"/>
    <w:link w:val="701"/>
    <w:uiPriority w:val="30"/>
    <w:qFormat/>
    <w:rPr>
      <w:i/>
    </w:rPr>
  </w:style>
  <w:style w:type="character" w:styleId="703" w:customStyle="1">
    <w:name w:val="页眉 字符"/>
    <w:link w:val="672"/>
    <w:uiPriority w:val="99"/>
    <w:qFormat/>
  </w:style>
  <w:style w:type="character" w:styleId="704" w:customStyle="1">
    <w:name w:val="Footer Char"/>
    <w:uiPriority w:val="99"/>
    <w:qFormat/>
  </w:style>
  <w:style w:type="character" w:styleId="705" w:customStyle="1">
    <w:name w:val="页脚 字符"/>
    <w:link w:val="671"/>
    <w:uiPriority w:val="99"/>
    <w:qFormat/>
  </w:style>
  <w:style w:type="table" w:styleId="7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脚注文本 字符"/>
    <w:link w:val="676"/>
    <w:uiPriority w:val="99"/>
    <w:qFormat/>
    <w:rPr>
      <w:sz w:val="18"/>
    </w:rPr>
  </w:style>
  <w:style w:type="character" w:styleId="832" w:customStyle="1">
    <w:name w:val="尾注文本 字符"/>
    <w:link w:val="669"/>
    <w:uiPriority w:val="99"/>
    <w:qFormat/>
    <w:rPr>
      <w:sz w:val="20"/>
    </w:rPr>
  </w:style>
  <w:style w:type="paragraph" w:styleId="833" w:customStyle="1">
    <w:name w:val="TOC 标题1"/>
    <w:uiPriority w:val="39"/>
    <w:unhideWhenUsed/>
    <w:qFormat/>
    <w:rPr>
      <w:rFonts w:ascii="Times New Roman" w:hAnsi="Times New Roman" w:eastAsia="宋体" w:cs="Times New Roman"/>
      <w:lang w:val="en-US" w:eastAsia="zh-CN" w:bidi="ar-SA"/>
    </w:rPr>
  </w:style>
  <w:style w:type="paragraph" w:styleId="834" w:customStyle="1">
    <w:name w:val="标题 11"/>
    <w:basedOn w:val="649"/>
    <w:next w:val="649"/>
    <w:link w:val="841"/>
    <w:uiPriority w:val="0"/>
    <w:qFormat/>
    <w:pPr>
      <w:jc w:val="center"/>
      <w:keepNext/>
      <w:tabs>
        <w:tab w:val="left" w:pos="200" w:leader="none"/>
      </w:tabs>
      <w:outlineLvl w:val="0"/>
    </w:pPr>
    <w:rPr>
      <w:rFonts w:ascii="宋体" w:hAnsi="宋体"/>
      <w:b/>
      <w:sz w:val="36"/>
    </w:rPr>
  </w:style>
  <w:style w:type="paragraph" w:styleId="835" w:customStyle="1">
    <w:name w:val="标题 21"/>
    <w:basedOn w:val="649"/>
    <w:next w:val="649"/>
    <w:link w:val="842"/>
    <w:uiPriority w:val="0"/>
    <w:qFormat/>
    <w:pPr>
      <w:jc w:val="center"/>
      <w:keepNext/>
      <w:outlineLvl w:val="1"/>
    </w:pPr>
    <w:rPr>
      <w:rFonts w:eastAsia="楷体_GB2312"/>
      <w:b/>
      <w:bCs/>
      <w:sz w:val="28"/>
      <w:szCs w:val="28"/>
    </w:rPr>
  </w:style>
  <w:style w:type="paragraph" w:styleId="836" w:customStyle="1">
    <w:name w:val="标题 31"/>
    <w:basedOn w:val="649"/>
    <w:next w:val="649"/>
    <w:uiPriority w:val="0"/>
    <w:qFormat/>
    <w:pPr>
      <w:jc w:val="center"/>
      <w:keepNext/>
      <w:outlineLvl w:val="2"/>
    </w:pPr>
    <w:rPr>
      <w:rFonts w:ascii="宋体" w:hAnsi="宋体"/>
      <w:sz w:val="28"/>
    </w:rPr>
  </w:style>
  <w:style w:type="paragraph" w:styleId="837" w:customStyle="1">
    <w:name w:val="标题 41"/>
    <w:basedOn w:val="649"/>
    <w:next w:val="649"/>
    <w:uiPriority w:val="0"/>
    <w:qFormat/>
    <w:pPr>
      <w:keepNext/>
      <w:outlineLvl w:val="3"/>
    </w:pPr>
    <w:rPr>
      <w:b/>
      <w:bCs/>
      <w:sz w:val="18"/>
    </w:rPr>
  </w:style>
  <w:style w:type="paragraph" w:styleId="838" w:customStyle="1">
    <w:name w:val="标题 51"/>
    <w:basedOn w:val="649"/>
    <w:next w:val="649"/>
    <w:uiPriority w:val="0"/>
    <w:qFormat/>
    <w:pPr>
      <w:jc w:val="center"/>
      <w:keepNext/>
      <w:outlineLvl w:val="4"/>
    </w:pPr>
    <w:rPr>
      <w:b/>
      <w:bCs/>
      <w:sz w:val="18"/>
    </w:rPr>
  </w:style>
  <w:style w:type="character" w:styleId="839" w:customStyle="1">
    <w:name w:val="默认段落字体1"/>
    <w:uiPriority w:val="1"/>
    <w:unhideWhenUsed/>
    <w:qFormat/>
  </w:style>
  <w:style w:type="table" w:styleId="840" w:customStyle="1">
    <w:name w:val="普通表格1"/>
    <w:uiPriority w:val="99"/>
    <w:unhideWhenUsed/>
    <w:qFormat/>
    <w:tblPr>
      <w:tblCellMar>
        <w:left w:w="0" w:type="dxa"/>
        <w:top w:w="0" w:type="dxa"/>
        <w:right w:w="0" w:type="dxa"/>
        <w:bottom w:w="0" w:type="dxa"/>
      </w:tblCellMar>
    </w:tblPr>
  </w:style>
  <w:style w:type="character" w:styleId="841" w:customStyle="1">
    <w:name w:val="标题 1 字符"/>
    <w:link w:val="834"/>
    <w:uiPriority w:val="0"/>
    <w:qFormat/>
    <w:rPr>
      <w:rFonts w:ascii="宋体" w:hAnsi="宋体"/>
      <w:b/>
      <w:sz w:val="36"/>
    </w:rPr>
  </w:style>
  <w:style w:type="character" w:styleId="842" w:customStyle="1">
    <w:name w:val="标题 2 字符1"/>
    <w:link w:val="835"/>
    <w:uiPriority w:val="0"/>
    <w:qFormat/>
    <w:rPr>
      <w:rFonts w:eastAsia="楷体_GB2312"/>
      <w:b/>
      <w:bCs/>
      <w:sz w:val="28"/>
      <w:szCs w:val="28"/>
    </w:rPr>
  </w:style>
  <w:style w:type="paragraph" w:styleId="843" w:customStyle="1">
    <w:name w:val="目录 71"/>
    <w:basedOn w:val="649"/>
    <w:next w:val="649"/>
    <w:uiPriority w:val="0"/>
    <w:semiHidden/>
    <w:qFormat/>
    <w:pPr>
      <w:ind w:left="1260"/>
      <w:jc w:val="left"/>
    </w:pPr>
    <w:rPr>
      <w:szCs w:val="21"/>
    </w:rPr>
  </w:style>
  <w:style w:type="paragraph" w:styleId="844" w:customStyle="1">
    <w:name w:val="索引 81"/>
    <w:basedOn w:val="649"/>
    <w:next w:val="649"/>
    <w:uiPriority w:val="0"/>
    <w:semiHidden/>
    <w:qFormat/>
    <w:pPr>
      <w:ind w:left="1400"/>
    </w:pPr>
  </w:style>
  <w:style w:type="paragraph" w:styleId="845" w:customStyle="1">
    <w:name w:val="正文缩进1"/>
    <w:basedOn w:val="649"/>
    <w:link w:val="846"/>
    <w:uiPriority w:val="0"/>
    <w:qFormat/>
    <w:pPr>
      <w:ind w:firstLine="420"/>
    </w:pPr>
  </w:style>
  <w:style w:type="character" w:styleId="846" w:customStyle="1">
    <w:name w:val="正文缩进 字符"/>
    <w:link w:val="845"/>
    <w:uiPriority w:val="0"/>
    <w:qFormat/>
    <w:rPr>
      <w:sz w:val="21"/>
    </w:rPr>
  </w:style>
  <w:style w:type="paragraph" w:styleId="847" w:customStyle="1">
    <w:name w:val="索引 51"/>
    <w:basedOn w:val="649"/>
    <w:next w:val="649"/>
    <w:uiPriority w:val="0"/>
    <w:semiHidden/>
    <w:qFormat/>
    <w:pPr>
      <w:ind w:left="800"/>
    </w:pPr>
  </w:style>
  <w:style w:type="paragraph" w:styleId="848" w:customStyle="1">
    <w:name w:val="文档结构图1"/>
    <w:basedOn w:val="649"/>
    <w:uiPriority w:val="0"/>
    <w:semiHidden/>
    <w:qFormat/>
    <w:pPr>
      <w:shd w:val="clear" w:color="auto" w:fill="000080"/>
    </w:pPr>
  </w:style>
  <w:style w:type="paragraph" w:styleId="849" w:customStyle="1">
    <w:name w:val="批注文字1"/>
    <w:basedOn w:val="649"/>
    <w:link w:val="850"/>
    <w:uiPriority w:val="0"/>
    <w:qFormat/>
    <w:pPr>
      <w:jc w:val="left"/>
    </w:pPr>
  </w:style>
  <w:style w:type="character" w:styleId="850" w:customStyle="1">
    <w:name w:val="批注文字 字符"/>
    <w:link w:val="849"/>
    <w:uiPriority w:val="0"/>
    <w:qFormat/>
    <w:rPr>
      <w:sz w:val="21"/>
    </w:rPr>
  </w:style>
  <w:style w:type="paragraph" w:styleId="851" w:customStyle="1">
    <w:name w:val="索引 61"/>
    <w:basedOn w:val="649"/>
    <w:next w:val="649"/>
    <w:uiPriority w:val="0"/>
    <w:semiHidden/>
    <w:qFormat/>
    <w:pPr>
      <w:ind w:left="1000"/>
    </w:pPr>
  </w:style>
  <w:style w:type="paragraph" w:styleId="852" w:customStyle="1">
    <w:name w:val="正文文本1"/>
    <w:basedOn w:val="649"/>
    <w:link w:val="853"/>
    <w:uiPriority w:val="0"/>
    <w:qFormat/>
    <w:rPr>
      <w:rFonts w:ascii="楷体_GB2312" w:hAnsi="Arial" w:eastAsia="楷体_GB2312"/>
      <w:sz w:val="28"/>
    </w:rPr>
  </w:style>
  <w:style w:type="character" w:styleId="853" w:customStyle="1">
    <w:name w:val="正文文本 字符1"/>
    <w:link w:val="852"/>
    <w:uiPriority w:val="0"/>
    <w:qFormat/>
    <w:rPr>
      <w:rFonts w:ascii="楷体_GB2312" w:hAnsi="Arial" w:eastAsia="楷体_GB2312"/>
      <w:sz w:val="28"/>
    </w:rPr>
  </w:style>
  <w:style w:type="paragraph" w:styleId="854" w:customStyle="1">
    <w:name w:val="正文文本缩进11"/>
    <w:basedOn w:val="649"/>
    <w:link w:val="855"/>
    <w:uiPriority w:val="0"/>
    <w:qFormat/>
    <w:pPr>
      <w:ind w:firstLine="574"/>
      <w:spacing w:line="312" w:lineRule="atLeast"/>
    </w:pPr>
    <w:rPr>
      <w:rFonts w:ascii="宋体"/>
      <w:sz w:val="28"/>
    </w:rPr>
  </w:style>
  <w:style w:type="character" w:styleId="855" w:customStyle="1">
    <w:name w:val="正文文本缩进 字符"/>
    <w:link w:val="854"/>
    <w:uiPriority w:val="0"/>
    <w:qFormat/>
    <w:rPr>
      <w:rFonts w:ascii="宋体"/>
      <w:sz w:val="28"/>
    </w:rPr>
  </w:style>
  <w:style w:type="paragraph" w:styleId="856" w:customStyle="1">
    <w:name w:val="文本块1"/>
    <w:basedOn w:val="649"/>
    <w:uiPriority w:val="0"/>
    <w:qFormat/>
    <w:pPr>
      <w:ind w:left="1890" w:right="11" w:hanging="1409"/>
      <w:spacing w:before="89"/>
      <w:tabs>
        <w:tab w:val="left" w:pos="822" w:leader="none"/>
        <w:tab w:val="left" w:pos="2205" w:leader="none"/>
        <w:tab w:val="left" w:pos="9000" w:leader="none"/>
      </w:tabs>
    </w:pPr>
    <w:rPr>
      <w:sz w:val="24"/>
    </w:rPr>
  </w:style>
  <w:style w:type="paragraph" w:styleId="857" w:customStyle="1">
    <w:name w:val="索引 41"/>
    <w:basedOn w:val="649"/>
    <w:next w:val="649"/>
    <w:uiPriority w:val="0"/>
    <w:semiHidden/>
    <w:qFormat/>
    <w:pPr>
      <w:ind w:left="600"/>
    </w:pPr>
  </w:style>
  <w:style w:type="paragraph" w:styleId="858" w:customStyle="1">
    <w:name w:val="目录 51"/>
    <w:basedOn w:val="649"/>
    <w:next w:val="649"/>
    <w:uiPriority w:val="0"/>
    <w:semiHidden/>
    <w:qFormat/>
    <w:pPr>
      <w:ind w:left="840"/>
      <w:jc w:val="left"/>
    </w:pPr>
    <w:rPr>
      <w:szCs w:val="21"/>
    </w:rPr>
  </w:style>
  <w:style w:type="paragraph" w:styleId="859" w:customStyle="1">
    <w:name w:val="目录 31"/>
    <w:basedOn w:val="649"/>
    <w:next w:val="649"/>
    <w:uiPriority w:val="39"/>
    <w:qFormat/>
    <w:pPr>
      <w:ind w:left="420"/>
      <w:jc w:val="left"/>
    </w:pPr>
    <w:rPr>
      <w:i/>
      <w:iCs/>
      <w:szCs w:val="24"/>
    </w:rPr>
  </w:style>
  <w:style w:type="paragraph" w:styleId="860" w:customStyle="1">
    <w:name w:val="纯文本11"/>
    <w:basedOn w:val="649"/>
    <w:link w:val="861"/>
    <w:uiPriority w:val="0"/>
    <w:qFormat/>
    <w:rPr>
      <w:rFonts w:ascii="宋体" w:hAnsi="Courier New"/>
    </w:rPr>
  </w:style>
  <w:style w:type="character" w:styleId="861" w:customStyle="1">
    <w:name w:val="纯文本 字符"/>
    <w:link w:val="860"/>
    <w:uiPriority w:val="0"/>
    <w:qFormat/>
    <w:rPr>
      <w:rFonts w:ascii="宋体" w:hAnsi="Courier New"/>
      <w:sz w:val="21"/>
    </w:rPr>
  </w:style>
  <w:style w:type="paragraph" w:styleId="862" w:customStyle="1">
    <w:name w:val="目录 81"/>
    <w:basedOn w:val="649"/>
    <w:next w:val="649"/>
    <w:uiPriority w:val="0"/>
    <w:semiHidden/>
    <w:qFormat/>
    <w:pPr>
      <w:ind w:left="1470"/>
      <w:jc w:val="left"/>
    </w:pPr>
    <w:rPr>
      <w:szCs w:val="21"/>
    </w:rPr>
  </w:style>
  <w:style w:type="paragraph" w:styleId="863" w:customStyle="1">
    <w:name w:val="索引 31"/>
    <w:basedOn w:val="649"/>
    <w:next w:val="649"/>
    <w:uiPriority w:val="0"/>
    <w:semiHidden/>
    <w:qFormat/>
    <w:pPr>
      <w:ind w:left="400"/>
    </w:pPr>
  </w:style>
  <w:style w:type="paragraph" w:styleId="864" w:customStyle="1">
    <w:name w:val="日期1"/>
    <w:basedOn w:val="649"/>
    <w:next w:val="649"/>
    <w:link w:val="865"/>
    <w:uiPriority w:val="0"/>
    <w:qFormat/>
    <w:pPr>
      <w:spacing w:line="312" w:lineRule="atLeast"/>
    </w:pPr>
    <w:rPr>
      <w:rFonts w:ascii="宋体"/>
      <w:sz w:val="28"/>
    </w:rPr>
  </w:style>
  <w:style w:type="character" w:styleId="865" w:customStyle="1">
    <w:name w:val="日期 字符"/>
    <w:link w:val="864"/>
    <w:uiPriority w:val="0"/>
    <w:qFormat/>
    <w:rPr>
      <w:rFonts w:ascii="宋体"/>
      <w:sz w:val="28"/>
    </w:rPr>
  </w:style>
  <w:style w:type="paragraph" w:styleId="866" w:customStyle="1">
    <w:name w:val="正文文本缩进 21"/>
    <w:basedOn w:val="649"/>
    <w:uiPriority w:val="0"/>
    <w:qFormat/>
    <w:pPr>
      <w:ind w:left="1890" w:hanging="1409"/>
      <w:tabs>
        <w:tab w:val="left" w:pos="1785" w:leader="none"/>
        <w:tab w:val="left" w:pos="1887" w:leader="none"/>
        <w:tab w:val="left" w:pos="2112" w:leader="none"/>
        <w:tab w:val="left" w:pos="9000" w:leader="none"/>
      </w:tabs>
    </w:pPr>
    <w:rPr>
      <w:sz w:val="24"/>
    </w:rPr>
  </w:style>
  <w:style w:type="paragraph" w:styleId="867" w:customStyle="1">
    <w:name w:val="批注框文本1"/>
    <w:basedOn w:val="649"/>
    <w:link w:val="868"/>
    <w:uiPriority w:val="0"/>
    <w:qFormat/>
    <w:rPr>
      <w:sz w:val="18"/>
      <w:szCs w:val="18"/>
    </w:rPr>
  </w:style>
  <w:style w:type="character" w:styleId="868" w:customStyle="1">
    <w:name w:val="批注框文本 字符"/>
    <w:link w:val="867"/>
    <w:uiPriority w:val="0"/>
    <w:qFormat/>
    <w:rPr>
      <w:sz w:val="18"/>
      <w:szCs w:val="18"/>
    </w:rPr>
  </w:style>
  <w:style w:type="paragraph" w:styleId="869" w:customStyle="1">
    <w:name w:val="页脚1"/>
    <w:basedOn w:val="649"/>
    <w:uiPriority w:val="0"/>
    <w:qFormat/>
    <w:pPr>
      <w:jc w:val="left"/>
      <w:tabs>
        <w:tab w:val="center" w:pos="4153" w:leader="none"/>
        <w:tab w:val="right" w:pos="8306" w:leader="none"/>
      </w:tabs>
    </w:pPr>
    <w:rPr>
      <w:sz w:val="18"/>
    </w:rPr>
  </w:style>
  <w:style w:type="paragraph" w:styleId="870" w:customStyle="1">
    <w:name w:val="页眉1"/>
    <w:basedOn w:val="649"/>
    <w:uiPriority w:val="0"/>
    <w:qFormat/>
    <w:pPr>
      <w:jc w:val="center"/>
      <w:tabs>
        <w:tab w:val="center" w:pos="4153" w:leader="none"/>
        <w:tab w:val="right" w:pos="8306" w:leader="none"/>
      </w:tabs>
      <w:pBdr>
        <w:bottom w:val="single" w:color="000000" w:sz="6" w:space="1"/>
      </w:pBdr>
    </w:pPr>
    <w:rPr>
      <w:sz w:val="18"/>
    </w:rPr>
  </w:style>
  <w:style w:type="paragraph" w:styleId="871" w:customStyle="1">
    <w:name w:val="签名1"/>
    <w:basedOn w:val="649"/>
    <w:link w:val="872"/>
    <w:uiPriority w:val="0"/>
    <w:qFormat/>
    <w:pPr>
      <w:jc w:val="center"/>
      <w:spacing w:after="600" w:line="312" w:lineRule="atLeast"/>
    </w:pPr>
    <w:rPr>
      <w:rFonts w:eastAsia="仿宋_GB2312"/>
      <w:sz w:val="24"/>
    </w:rPr>
  </w:style>
  <w:style w:type="character" w:styleId="872" w:customStyle="1">
    <w:name w:val="签名 字符1"/>
    <w:link w:val="871"/>
    <w:uiPriority w:val="0"/>
    <w:qFormat/>
    <w:rPr>
      <w:rFonts w:eastAsia="仿宋_GB2312"/>
      <w:sz w:val="24"/>
    </w:rPr>
  </w:style>
  <w:style w:type="paragraph" w:styleId="873" w:customStyle="1">
    <w:name w:val="目录 111"/>
    <w:basedOn w:val="649"/>
    <w:next w:val="649"/>
    <w:uiPriority w:val="39"/>
    <w:qFormat/>
    <w:pPr>
      <w:ind w:left="210"/>
      <w:spacing w:before="100" w:beforeAutospacing="1" w:after="100" w:afterAutospacing="1" w:line="360" w:lineRule="exact"/>
      <w:tabs>
        <w:tab w:val="right" w:pos="9450" w:leader="dot"/>
      </w:tabs>
    </w:pPr>
    <w:rPr>
      <w:b/>
      <w:bCs/>
      <w:caps/>
      <w:sz w:val="28"/>
      <w:szCs w:val="36"/>
    </w:rPr>
  </w:style>
  <w:style w:type="paragraph" w:styleId="874" w:customStyle="1">
    <w:name w:val="目录 41"/>
    <w:basedOn w:val="649"/>
    <w:next w:val="649"/>
    <w:uiPriority w:val="0"/>
    <w:semiHidden/>
    <w:qFormat/>
    <w:pPr>
      <w:ind w:left="630"/>
      <w:jc w:val="left"/>
    </w:pPr>
    <w:rPr>
      <w:szCs w:val="21"/>
    </w:rPr>
  </w:style>
  <w:style w:type="paragraph" w:styleId="875" w:customStyle="1">
    <w:name w:val="索引标题1"/>
    <w:basedOn w:val="649"/>
    <w:next w:val="876"/>
    <w:uiPriority w:val="0"/>
    <w:semiHidden/>
    <w:qFormat/>
  </w:style>
  <w:style w:type="paragraph" w:styleId="876" w:customStyle="1">
    <w:name w:val="索引 11"/>
    <w:basedOn w:val="649"/>
    <w:next w:val="649"/>
    <w:uiPriority w:val="0"/>
    <w:semiHidden/>
    <w:qFormat/>
  </w:style>
  <w:style w:type="paragraph" w:styleId="877" w:customStyle="1">
    <w:name w:val="目录 61"/>
    <w:basedOn w:val="649"/>
    <w:next w:val="649"/>
    <w:uiPriority w:val="0"/>
    <w:semiHidden/>
    <w:qFormat/>
    <w:pPr>
      <w:ind w:left="1050"/>
      <w:jc w:val="left"/>
    </w:pPr>
    <w:rPr>
      <w:szCs w:val="21"/>
    </w:rPr>
  </w:style>
  <w:style w:type="paragraph" w:styleId="878" w:customStyle="1">
    <w:name w:val="正文文本缩进 31"/>
    <w:basedOn w:val="649"/>
    <w:uiPriority w:val="0"/>
    <w:qFormat/>
    <w:pPr>
      <w:ind w:firstLine="555"/>
    </w:pPr>
    <w:rPr>
      <w:b/>
      <w:bCs/>
      <w:sz w:val="28"/>
      <w:u w:val="single"/>
    </w:rPr>
  </w:style>
  <w:style w:type="paragraph" w:styleId="879" w:customStyle="1">
    <w:name w:val="索引 71"/>
    <w:basedOn w:val="649"/>
    <w:next w:val="649"/>
    <w:uiPriority w:val="0"/>
    <w:semiHidden/>
    <w:qFormat/>
    <w:pPr>
      <w:ind w:left="1200"/>
    </w:pPr>
  </w:style>
  <w:style w:type="paragraph" w:styleId="880" w:customStyle="1">
    <w:name w:val="索引 91"/>
    <w:basedOn w:val="649"/>
    <w:next w:val="649"/>
    <w:uiPriority w:val="0"/>
    <w:semiHidden/>
    <w:qFormat/>
    <w:pPr>
      <w:ind w:left="1600"/>
    </w:pPr>
  </w:style>
  <w:style w:type="paragraph" w:styleId="881" w:customStyle="1">
    <w:name w:val="图表目录1"/>
    <w:basedOn w:val="649"/>
    <w:next w:val="649"/>
    <w:uiPriority w:val="0"/>
    <w:semiHidden/>
    <w:qFormat/>
    <w:pPr>
      <w:ind w:left="840" w:hanging="420"/>
    </w:pPr>
  </w:style>
  <w:style w:type="paragraph" w:styleId="882" w:customStyle="1">
    <w:name w:val="目录 211"/>
    <w:basedOn w:val="649"/>
    <w:next w:val="649"/>
    <w:uiPriority w:val="39"/>
    <w:qFormat/>
    <w:pPr>
      <w:ind w:left="250"/>
      <w:jc w:val="left"/>
      <w:spacing w:line="400" w:lineRule="exact"/>
      <w:tabs>
        <w:tab w:val="right" w:pos="9450" w:leader="dot"/>
      </w:tabs>
    </w:pPr>
    <w:rPr>
      <w:bCs/>
      <w:smallCaps/>
      <w:sz w:val="24"/>
      <w:szCs w:val="24"/>
    </w:rPr>
  </w:style>
  <w:style w:type="paragraph" w:styleId="883" w:customStyle="1">
    <w:name w:val="目录 91"/>
    <w:basedOn w:val="649"/>
    <w:next w:val="649"/>
    <w:uiPriority w:val="0"/>
    <w:semiHidden/>
    <w:qFormat/>
    <w:pPr>
      <w:ind w:left="1680"/>
      <w:jc w:val="left"/>
    </w:pPr>
    <w:rPr>
      <w:szCs w:val="21"/>
    </w:rPr>
  </w:style>
  <w:style w:type="paragraph" w:styleId="884" w:customStyle="1">
    <w:name w:val="HTML 预设格式1"/>
    <w:basedOn w:val="649"/>
    <w:link w:val="8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85" w:customStyle="1">
    <w:name w:val="HTML 预设格式 字符"/>
    <w:link w:val="884"/>
    <w:uiPriority w:val="0"/>
    <w:qFormat/>
    <w:rPr>
      <w:rFonts w:ascii="Arial" w:hAnsi="Arial" w:cs="Arial"/>
      <w:sz w:val="24"/>
      <w:szCs w:val="24"/>
    </w:rPr>
  </w:style>
  <w:style w:type="paragraph" w:styleId="886" w:customStyle="1">
    <w:name w:val="普通(网站)1"/>
    <w:basedOn w:val="649"/>
    <w:uiPriority w:val="0"/>
    <w:qFormat/>
    <w:pPr>
      <w:jc w:val="left"/>
      <w:spacing w:before="100" w:beforeAutospacing="1" w:after="100" w:afterAutospacing="1"/>
      <w:widowControl/>
    </w:pPr>
    <w:rPr>
      <w:rFonts w:ascii="宋体" w:hAnsi="宋体" w:cs="宋体"/>
      <w:sz w:val="24"/>
      <w:szCs w:val="24"/>
    </w:rPr>
  </w:style>
  <w:style w:type="paragraph" w:styleId="887" w:customStyle="1">
    <w:name w:val="索引 21"/>
    <w:basedOn w:val="649"/>
    <w:next w:val="649"/>
    <w:uiPriority w:val="0"/>
    <w:semiHidden/>
    <w:qFormat/>
    <w:pPr>
      <w:ind w:left="200"/>
    </w:pPr>
  </w:style>
  <w:style w:type="paragraph" w:styleId="888" w:customStyle="1">
    <w:name w:val="批注主题1"/>
    <w:basedOn w:val="849"/>
    <w:next w:val="849"/>
    <w:link w:val="889"/>
    <w:uiPriority w:val="0"/>
    <w:qFormat/>
    <w:rPr>
      <w:b/>
      <w:bCs/>
    </w:rPr>
  </w:style>
  <w:style w:type="character" w:styleId="889" w:customStyle="1">
    <w:name w:val="批注主题 字符"/>
    <w:link w:val="888"/>
    <w:uiPriority w:val="0"/>
    <w:qFormat/>
    <w:rPr>
      <w:b/>
      <w:bCs/>
      <w:sz w:val="21"/>
    </w:rPr>
  </w:style>
  <w:style w:type="table" w:styleId="890" w:customStyle="1">
    <w:name w:val="网格型1"/>
    <w:basedOn w:val="840"/>
    <w:uiPriority w:val="59"/>
    <w:qFormat/>
    <w:pPr>
      <w:jc w:val="both"/>
      <w:widowControl w:val="off"/>
    </w:pPr>
    <w:tblPr/>
  </w:style>
  <w:style w:type="character" w:styleId="891" w:customStyle="1">
    <w:name w:val="要点1"/>
    <w:uiPriority w:val="22"/>
    <w:qFormat/>
    <w:rPr>
      <w:b/>
      <w:bCs/>
    </w:rPr>
  </w:style>
  <w:style w:type="character" w:styleId="892" w:customStyle="1">
    <w:name w:val="页码1"/>
    <w:uiPriority w:val="0"/>
    <w:qFormat/>
  </w:style>
  <w:style w:type="character" w:styleId="893" w:customStyle="1">
    <w:name w:val="已访问的超链接1"/>
    <w:uiPriority w:val="0"/>
    <w:qFormat/>
    <w:rPr>
      <w:color w:val="800080"/>
      <w:u w:val="single"/>
    </w:rPr>
  </w:style>
  <w:style w:type="character" w:styleId="894" w:customStyle="1">
    <w:name w:val="强调1"/>
    <w:uiPriority w:val="20"/>
    <w:qFormat/>
    <w:rPr>
      <w:i/>
      <w:iCs/>
    </w:rPr>
  </w:style>
  <w:style w:type="character" w:styleId="895" w:customStyle="1">
    <w:name w:val="超链接1"/>
    <w:uiPriority w:val="99"/>
    <w:qFormat/>
    <w:rPr>
      <w:color w:val="0000ff"/>
      <w:u w:val="single"/>
    </w:rPr>
  </w:style>
  <w:style w:type="character" w:styleId="896" w:customStyle="1">
    <w:name w:val="批注引用1"/>
    <w:uiPriority w:val="0"/>
    <w:qFormat/>
    <w:rPr>
      <w:sz w:val="21"/>
      <w:szCs w:val="21"/>
    </w:rPr>
  </w:style>
  <w:style w:type="character" w:styleId="897" w:customStyle="1">
    <w:name w:val="标题 2 字符"/>
    <w:uiPriority w:val="9"/>
    <w:qFormat/>
    <w:rPr>
      <w:rFonts w:ascii="Times New Roman" w:hAnsi="Times New Roman" w:eastAsia="楷体_GB2312" w:cs="Times New Roman"/>
      <w:b/>
      <w:bCs/>
      <w:sz w:val="28"/>
      <w:szCs w:val="28"/>
    </w:rPr>
  </w:style>
  <w:style w:type="character" w:styleId="898" w:customStyle="1">
    <w:name w:val="批注文字 Char"/>
    <w:uiPriority w:val="0"/>
    <w:qFormat/>
    <w:rPr>
      <w:sz w:val="21"/>
    </w:rPr>
  </w:style>
  <w:style w:type="character" w:styleId="899" w:customStyle="1">
    <w:name w:val="正文文本 字符"/>
    <w:uiPriority w:val="0"/>
    <w:qFormat/>
    <w:rPr>
      <w:rFonts w:ascii="楷体_GB2312" w:hAnsi="Arial" w:eastAsia="楷体_GB2312"/>
      <w:sz w:val="28"/>
    </w:rPr>
  </w:style>
  <w:style w:type="character" w:styleId="900" w:customStyle="1">
    <w:name w:val="表 靠左 字符"/>
    <w:link w:val="901"/>
    <w:uiPriority w:val="0"/>
    <w:qFormat/>
    <w:rPr>
      <w:sz w:val="21"/>
      <w:szCs w:val="21"/>
    </w:rPr>
  </w:style>
  <w:style w:type="paragraph" w:styleId="901" w:customStyle="1">
    <w:name w:val="表 靠左"/>
    <w:basedOn w:val="649"/>
    <w:link w:val="900"/>
    <w:uiPriority w:val="0"/>
    <w:qFormat/>
    <w:pPr>
      <w:jc w:val="left"/>
    </w:pPr>
    <w:rPr>
      <w:szCs w:val="21"/>
    </w:rPr>
  </w:style>
  <w:style w:type="character" w:styleId="902" w:customStyle="1">
    <w:name w:val="签名 字符"/>
    <w:uiPriority w:val="0"/>
    <w:qFormat/>
    <w:rPr>
      <w:rFonts w:eastAsia="仿宋_GB2312"/>
      <w:sz w:val="24"/>
    </w:rPr>
  </w:style>
  <w:style w:type="paragraph" w:styleId="903" w:customStyle="1">
    <w:name w:val="Char Char Char Char"/>
    <w:basedOn w:val="848"/>
    <w:uiPriority w:val="0"/>
    <w:qFormat/>
    <w:pPr>
      <w:spacing w:line="360" w:lineRule="auto"/>
    </w:pPr>
    <w:rPr>
      <w:rFonts w:ascii="Tahoma" w:hAnsi="Tahoma"/>
      <w:sz w:val="24"/>
      <w:szCs w:val="24"/>
    </w:rPr>
  </w:style>
  <w:style w:type="paragraph" w:styleId="904" w:customStyle="1">
    <w:name w:val="目录 21"/>
    <w:basedOn w:val="649"/>
    <w:next w:val="649"/>
    <w:uiPriority w:val="0"/>
    <w:qFormat/>
    <w:pPr>
      <w:ind w:left="250"/>
      <w:jc w:val="left"/>
      <w:spacing w:line="400" w:lineRule="exact"/>
      <w:tabs>
        <w:tab w:val="right" w:pos="9450" w:leader="dot"/>
      </w:tabs>
    </w:pPr>
    <w:rPr>
      <w:bCs/>
      <w:smallCaps/>
      <w:sz w:val="24"/>
      <w:szCs w:val="24"/>
    </w:rPr>
  </w:style>
  <w:style w:type="paragraph" w:styleId="905" w:customStyle="1">
    <w:name w:val="列表段落1"/>
    <w:basedOn w:val="649"/>
    <w:uiPriority w:val="34"/>
    <w:qFormat/>
    <w:pPr>
      <w:ind w:firstLine="420"/>
      <w:spacing w:line="360" w:lineRule="auto"/>
    </w:pPr>
    <w:rPr>
      <w:sz w:val="24"/>
      <w:szCs w:val="21"/>
    </w:rPr>
  </w:style>
  <w:style w:type="paragraph" w:styleId="906" w:customStyle="1">
    <w:name w:val="Char1 Char Char Char"/>
    <w:basedOn w:val="649"/>
    <w:uiPriority w:val="0"/>
    <w:qFormat/>
    <w:rPr>
      <w:rFonts w:ascii="Tahoma" w:hAnsi="Tahoma"/>
      <w:sz w:val="24"/>
    </w:rPr>
  </w:style>
  <w:style w:type="paragraph" w:styleId="907" w:customStyle="1">
    <w:name w:val="Plain Text1"/>
    <w:basedOn w:val="649"/>
    <w:uiPriority w:val="0"/>
    <w:qFormat/>
    <w:rPr>
      <w:rFonts w:ascii="宋体" w:hAnsi="Courier New" w:eastAsia="楷体_GB2312"/>
      <w:sz w:val="28"/>
    </w:rPr>
  </w:style>
  <w:style w:type="paragraph" w:styleId="908" w:customStyle="1">
    <w:name w:val="Char Char Char"/>
    <w:basedOn w:val="649"/>
    <w:uiPriority w:val="0"/>
    <w:qFormat/>
    <w:pPr>
      <w:numPr>
        <w:ilvl w:val="0"/>
        <w:numId w:val="1"/>
      </w:numPr>
      <w:tabs>
        <w:tab w:val="left" w:pos="375" w:leader="none"/>
        <w:tab w:val="left" w:pos="1545" w:leader="none"/>
      </w:tabs>
    </w:pPr>
  </w:style>
  <w:style w:type="paragraph" w:styleId="909" w:customStyle="1">
    <w:name w:val="Char"/>
    <w:basedOn w:val="649"/>
    <w:uiPriority w:val="0"/>
    <w:qFormat/>
    <w:pPr>
      <w:numPr>
        <w:ilvl w:val="0"/>
        <w:numId w:val="2"/>
      </w:numPr>
    </w:pPr>
    <w:rPr>
      <w:sz w:val="24"/>
      <w:szCs w:val="24"/>
    </w:rPr>
  </w:style>
  <w:style w:type="paragraph" w:styleId="910" w:customStyle="1">
    <w:name w:val="Char Char Char1"/>
    <w:basedOn w:val="649"/>
    <w:uiPriority w:val="0"/>
    <w:qFormat/>
    <w:pPr>
      <w:ind w:left="375" w:hanging="375"/>
      <w:tabs>
        <w:tab w:val="left" w:pos="375" w:leader="none"/>
        <w:tab w:val="left" w:pos="1545" w:leader="none"/>
      </w:tabs>
    </w:pPr>
  </w:style>
  <w:style w:type="paragraph" w:styleId="911" w:customStyle="1">
    <w:name w:val="Char Char"/>
    <w:basedOn w:val="649"/>
    <w:uiPriority w:val="0"/>
    <w:qFormat/>
    <w:rPr>
      <w:szCs w:val="21"/>
    </w:rPr>
  </w:style>
  <w:style w:type="paragraph" w:styleId="912" w:customStyle="1">
    <w:name w:val="Char Char1 Char Char Char Char Char Char Char"/>
    <w:basedOn w:val="649"/>
    <w:uiPriority w:val="0"/>
    <w:qFormat/>
    <w:rPr>
      <w:rFonts w:ascii="Tahoma" w:hAnsi="Tahoma"/>
      <w:sz w:val="24"/>
    </w:rPr>
  </w:style>
  <w:style w:type="paragraph" w:styleId="913"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14" w:customStyle="1">
    <w:name w:val="Char Char1 Char Char Char Char Char Char Char1"/>
    <w:basedOn w:val="649"/>
    <w:uiPriority w:val="0"/>
    <w:qFormat/>
    <w:rPr>
      <w:rFonts w:ascii="Calibri Light" w:hAnsi="Calibri Light" w:cs="Berlin Sans FB Demi"/>
      <w:sz w:val="24"/>
    </w:rPr>
  </w:style>
  <w:style w:type="paragraph" w:styleId="915" w:customStyle="1">
    <w:name w:val="样式1"/>
    <w:basedOn w:val="649"/>
    <w:uiPriority w:val="0"/>
    <w:qFormat/>
    <w:pPr>
      <w:numPr>
        <w:ilvl w:val="0"/>
        <w:numId w:val="3"/>
      </w:numPr>
    </w:pPr>
    <w:rPr>
      <w:rFonts w:ascii="宋体" w:hAnsi="宋体"/>
      <w:szCs w:val="21"/>
    </w:rPr>
  </w:style>
  <w:style w:type="paragraph" w:styleId="916" w:customStyle="1">
    <w:name w:val="_Style 12"/>
    <w:basedOn w:val="848"/>
    <w:uiPriority w:val="0"/>
    <w:qFormat/>
    <w:pPr>
      <w:jc w:val="left"/>
      <w:spacing w:line="360" w:lineRule="auto"/>
      <w:widowControl/>
    </w:pPr>
    <w:rPr>
      <w:sz w:val="24"/>
      <w:szCs w:val="24"/>
    </w:rPr>
  </w:style>
  <w:style w:type="paragraph" w:styleId="917" w:customStyle="1">
    <w:name w:val="修订1"/>
    <w:uiPriority w:val="99"/>
    <w:unhideWhenUsed/>
    <w:qFormat/>
    <w:rPr>
      <w:rFonts w:ascii="Times New Roman" w:hAnsi="Times New Roman" w:eastAsia="宋体" w:cs="Times New Roman"/>
      <w:sz w:val="21"/>
      <w:lang w:val="en-US" w:eastAsia="zh-CN" w:bidi="ar-SA"/>
    </w:rPr>
  </w:style>
  <w:style w:type="character" w:styleId="918" w:customStyle="1">
    <w:name w:val="Plain Text Char Char"/>
    <w:link w:val="919"/>
    <w:uiPriority w:val="0"/>
    <w:qFormat/>
    <w:rPr>
      <w:rFonts w:ascii="宋体" w:hAnsi="Courier New" w:eastAsia="楷体_GB2312"/>
      <w:sz w:val="28"/>
    </w:rPr>
  </w:style>
  <w:style w:type="paragraph" w:styleId="919" w:customStyle="1">
    <w:name w:val="纯文本1"/>
    <w:basedOn w:val="649"/>
    <w:link w:val="918"/>
    <w:uiPriority w:val="0"/>
    <w:qFormat/>
    <w:rPr>
      <w:rFonts w:ascii="宋体" w:hAnsi="Courier New" w:eastAsia="楷体_GB2312"/>
      <w:sz w:val="28"/>
    </w:rPr>
  </w:style>
  <w:style w:type="character" w:styleId="920" w:customStyle="1">
    <w:name w:val="标题 2 Char"/>
    <w:uiPriority w:val="0"/>
    <w:qFormat/>
    <w:rPr>
      <w:rFonts w:eastAsia="楷体_GB2312"/>
      <w:b/>
      <w:bCs/>
      <w:sz w:val="28"/>
      <w:szCs w:val="28"/>
    </w:rPr>
  </w:style>
  <w:style w:type="paragraph" w:styleId="921" w:customStyle="1">
    <w:name w:val="正文文本缩进1"/>
    <w:basedOn w:val="649"/>
    <w:uiPriority w:val="0"/>
    <w:qFormat/>
    <w:pPr>
      <w:ind w:firstLine="574"/>
      <w:spacing w:line="312" w:lineRule="atLeast"/>
    </w:pPr>
    <w:rPr>
      <w:rFonts w:ascii="宋体"/>
      <w:sz w:val="28"/>
    </w:rPr>
  </w:style>
  <w:style w:type="character" w:styleId="922" w:customStyle="1">
    <w:name w:val="en-code1"/>
    <w:uiPriority w:val="0"/>
    <w:qFormat/>
    <w:rPr>
      <w:b/>
      <w:bCs/>
      <w:color w:val="0a5ca8"/>
      <w:sz w:val="26"/>
      <w:szCs w:val="26"/>
    </w:rPr>
  </w:style>
  <w:style w:type="character" w:styleId="923" w:customStyle="1">
    <w:name w:val="正文文本 Char"/>
    <w:uiPriority w:val="0"/>
    <w:qFormat/>
    <w:rPr>
      <w:rFonts w:ascii="楷体_GB2312" w:hAnsi="Arial" w:eastAsia="楷体_GB2312"/>
      <w:sz w:val="28"/>
    </w:rPr>
  </w:style>
  <w:style w:type="character" w:styleId="924" w:customStyle="1">
    <w:name w:val="未处理的提及1"/>
    <w:uiPriority w:val="99"/>
    <w:unhideWhenUsed/>
    <w:qFormat/>
    <w:rPr>
      <w:color w:val="605e5c"/>
      <w:shd w:val="clear" w:color="auto" w:fill="e1dfdd"/>
    </w:rPr>
  </w:style>
  <w:style w:type="paragraph" w:styleId="925" w:customStyle="1">
    <w:name w:val="Normal_22"/>
    <w:uiPriority w:val="0"/>
    <w:qFormat/>
    <w:pPr>
      <w:jc w:val="both"/>
      <w:spacing w:before="120" w:after="240"/>
    </w:pPr>
    <w:rPr>
      <w:rFonts w:ascii="Calibri" w:hAnsi="Calibri" w:eastAsia="Calibri" w:cs="Times New Roman"/>
      <w:sz w:val="22"/>
      <w:szCs w:val="22"/>
      <w:lang w:val="ru-RU" w:eastAsia="en-US" w:bidi="ar-SA"/>
    </w:rPr>
  </w:style>
  <w:style w:type="paragraph" w:styleId="926" w:customStyle="1">
    <w:name w:val="修订2"/>
    <w:uiPriority w:val="99"/>
    <w:unhideWhenUsed/>
    <w:qFormat/>
    <w:rPr>
      <w:rFonts w:ascii="Times New Roman" w:hAnsi="Times New Roman" w:eastAsia="宋体" w:cs="Times New Roman"/>
      <w:sz w:val="21"/>
      <w:lang w:val="en-US" w:eastAsia="zh-CN" w:bidi="ar-SA"/>
    </w:rPr>
  </w:style>
  <w:style w:type="paragraph" w:styleId="927" w:customStyle="1">
    <w:name w:val="目录 11"/>
    <w:basedOn w:val="649"/>
    <w:next w:val="64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28" w:customStyle="1">
    <w:name w:val="普通正文"/>
    <w:basedOn w:val="649"/>
    <w:uiPriority w:val="0"/>
    <w:qFormat/>
    <w:pPr>
      <w:ind w:firstLine="480"/>
      <w:jc w:val="left"/>
      <w:spacing w:before="120" w:after="120" w:line="360" w:lineRule="auto"/>
    </w:pPr>
    <w:rPr>
      <w:rFonts w:ascii="Arial" w:hAnsi="Arial"/>
      <w:sz w:val="24"/>
      <w:szCs w:val="24"/>
    </w:rPr>
  </w:style>
  <w:style w:type="paragraph" w:styleId="929" w:customStyle="1">
    <w:name w:val="纯文本2"/>
    <w:basedOn w:val="649"/>
    <w:uiPriority w:val="0"/>
    <w:qFormat/>
    <w:rPr>
      <w:rFonts w:hint="eastAsia" w:ascii="宋体" w:hAnsi="Courier New" w:eastAsia="楷体_GB2312"/>
      <w:sz w:val="28"/>
    </w:rPr>
  </w:style>
  <w:style w:type="character" w:styleId="930" w:customStyle="1">
    <w:name w:val="批注框文本 字符1"/>
    <w:basedOn w:val="659"/>
    <w:link w:val="670"/>
    <w:uiPriority w:val="99"/>
    <w:semiHidden/>
    <w:qFormat/>
    <w:rPr>
      <w:sz w:val="18"/>
      <w:szCs w:val="18"/>
      <w:lang w:bidi="ar-SA"/>
    </w:rPr>
  </w:style>
  <w:style w:type="numbering" w:styleId="5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NT</dc:creator>
  <cp:lastModifiedBy>徐佳怡</cp:lastModifiedBy>
  <cp:revision>31</cp:revision>
  <dcterms:created xsi:type="dcterms:W3CDTF">2024-08-22T03:46:00Z</dcterms:created>
  <dcterms:modified xsi:type="dcterms:W3CDTF">2026-04-07T05:51:57Z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1EABB5EECB034DDAB81577E13E1CFC64_13</vt:lpwstr>
  </property>
  <property fmtid="{D5CDD505-2E9C-101B-9397-08002B2CF9AE}" pid="4" name="KSOTemplateDocerSaveRecord">
    <vt:lpwstr>eyJoZGlkIjoiNjQ5NmJjNGY0ZTVkYjlkNGM1MmVmZmRkYjI5NDM0N2IiLCJ1c2VySWQiOiI5NDM5MjMzOTEifQ==</vt:lpwstr>
  </property>
</Properties>
</file>