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000000" w:themeColor="text1"/>
          <w:sz w:val="26"/>
          <w:szCs w:val="20"/>
          <w:highlight w:val="none"/>
          <w14:textFill>
            <w14:solidFill>
              <w14:schemeClr w14:val="tx1"/>
            </w14:solidFill>
          </w14:textFill>
        </w:rPr>
      </w:pPr>
      <w:r/>
      <w:bookmarkStart w:id="0" w:name="_Toc13642115"/>
      <w:r/>
      <w:bookmarkStart w:id="1" w:name="_Toc484614639"/>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jc w:val="center"/>
        <w:spacing w:line="360" w:lineRule="auto"/>
        <w:rPr>
          <w:rFonts w:ascii="宋体" w:hAnsi="宋体" w:cs="宋体"/>
          <w:b/>
          <w:color w:val="000000" w:themeColor="text1"/>
          <w:sz w:val="72"/>
          <w:szCs w:val="20"/>
          <w:highlight w:val="none"/>
          <w14:textFill>
            <w14:solidFill>
              <w14:schemeClr w14:val="tx1"/>
            </w14:solidFill>
          </w14:textFill>
        </w:rPr>
      </w:pPr>
      <w:r>
        <w:rPr>
          <w:rFonts w:hint="eastAsia" w:ascii="宋体" w:hAnsi="宋体" w:eastAsia="宋体" w:cs="宋体"/>
          <w:b/>
          <w:color w:val="000000" w:themeColor="text1"/>
          <w:sz w:val="72"/>
          <w:szCs w:val="20"/>
          <w:highlight w:val="none"/>
          <w14:textFill>
            <w14:solidFill>
              <w14:schemeClr w14:val="tx1"/>
            </w14:solidFill>
          </w14:textFill>
        </w:rPr>
        <w:t xml:space="preserve">竞 争 性 磋 商 文 件</w:t>
      </w:r>
      <w:r/>
    </w:p>
    <w:p>
      <w:pPr>
        <w:jc w:val="cente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spacing w:line="360" w:lineRule="auto"/>
        <w:rPr>
          <w:rFonts w:ascii="宋体" w:hAnsi="宋体" w:cs="宋体"/>
          <w:color w:val="000000" w:themeColor="text1"/>
          <w:sz w:val="26"/>
          <w:szCs w:val="20"/>
          <w:highlight w:val="none"/>
          <w14:textFill>
            <w14:solidFill>
              <w14:schemeClr w14:val="tx1"/>
            </w14:solidFill>
          </w14:textFill>
        </w:rPr>
      </w:pPr>
      <w:r>
        <w:rPr>
          <w:rFonts w:ascii="宋体" w:hAnsi="宋体" w:cs="宋体"/>
          <w:color w:val="000000" w:themeColor="text1"/>
          <w:sz w:val="26"/>
          <w:szCs w:val="20"/>
          <w:highlight w:val="none"/>
          <w14:textFill>
            <w14:solidFill>
              <w14:schemeClr w14:val="tx1"/>
            </w14:solidFill>
          </w14:textFill>
        </w:rPr>
      </w:r>
      <w:r/>
    </w:p>
    <w:p>
      <w:pPr>
        <w:ind w:firstLine="709"/>
        <w:spacing w:line="360" w:lineRule="auto"/>
        <w:rPr>
          <w:rFonts w:hint="default" w:ascii="宋体" w:hAnsi="宋体" w:eastAsia="宋体" w:cs="宋体"/>
          <w:b/>
          <w:color w:val="000000" w:themeColor="text1"/>
          <w:spacing w:val="-6"/>
          <w:sz w:val="32"/>
          <w:szCs w:val="20"/>
          <w:highlight w:val="none"/>
          <w:lang w:val="en-US" w:eastAsia="zh-CN"/>
          <w14:textFill>
            <w14:solidFill>
              <w14:schemeClr w14:val="tx1"/>
            </w14:solidFill>
          </w14:textFill>
        </w:rPr>
      </w:pPr>
      <w:r/>
      <w:bookmarkStart w:id="2" w:name="_Hlk63256218"/>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采购编号：</w:t>
      </w:r>
      <w:r>
        <w:rPr>
          <w:rFonts w:hint="eastAsia" w:ascii="宋体" w:hAnsi="宋体" w:cs="宋体"/>
          <w:b/>
          <w:color w:val="auto"/>
          <w:spacing w:val="-6"/>
          <w:sz w:val="32"/>
          <w:szCs w:val="20"/>
          <w:highlight w:val="none"/>
          <w:lang w:eastAsia="zh-CN"/>
        </w:rPr>
        <w:t xml:space="preserve">JSZC-320506-CLGL-C2026-0002</w:t>
      </w:r>
      <w:r/>
    </w:p>
    <w:p>
      <w:pPr>
        <w:ind w:firstLine="709"/>
        <w:spacing w:line="360" w:lineRule="auto"/>
        <w:rPr>
          <w:rFonts w:ascii="宋体" w:hAnsi="宋体" w:cs="宋体"/>
          <w:b/>
          <w:color w:val="000000" w:themeColor="text1"/>
          <w:spacing w:val="-6"/>
          <w:sz w:val="32"/>
          <w:szCs w:val="20"/>
          <w:highlight w:val="none"/>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采购单位：中国共产党苏州市吴中区委员会宣传部</w:t>
      </w:r>
      <w:r/>
    </w:p>
    <w:p>
      <w:pPr>
        <w:ind w:firstLine="709"/>
        <w:spacing w:line="360" w:lineRule="auto"/>
        <w:rPr>
          <w:rFonts w:hint="eastAsia" w:ascii="宋体" w:hAnsi="宋体" w:eastAsia="宋体" w:cs="宋体"/>
          <w:b/>
          <w:color w:val="000000" w:themeColor="text1"/>
          <w:spacing w:val="-6"/>
          <w:sz w:val="32"/>
          <w:szCs w:val="20"/>
          <w:highlight w:val="none"/>
          <w:lang w:eastAsia="zh-CN"/>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采购内容：</w:t>
      </w:r>
      <w:bookmarkEnd w:id="2"/>
      <w:r>
        <w:rPr>
          <w:rFonts w:hint="eastAsia" w:ascii="宋体" w:hAnsi="宋体" w:cs="宋体"/>
          <w:b/>
          <w:color w:val="000000" w:themeColor="text1"/>
          <w:spacing w:val="-6"/>
          <w:sz w:val="32"/>
          <w:szCs w:val="20"/>
          <w:highlight w:val="none"/>
          <w:lang w:eastAsia="zh-CN"/>
          <w14:textFill>
            <w14:solidFill>
              <w14:schemeClr w14:val="tx1"/>
            </w14:solidFill>
          </w14:textFill>
        </w:rPr>
        <w:t xml:space="preserve">2026年“吴中百匠”项目</w:t>
      </w:r>
      <w:r/>
    </w:p>
    <w:p>
      <w:pPr>
        <w:ind w:firstLine="709"/>
        <w:spacing w:line="360" w:lineRule="auto"/>
        <w:rPr>
          <w:rFonts w:ascii="宋体" w:hAnsi="宋体" w:cs="宋体"/>
          <w:b/>
          <w:color w:val="000000" w:themeColor="text1"/>
          <w:spacing w:val="-6"/>
          <w:sz w:val="32"/>
          <w:szCs w:val="20"/>
          <w:highlight w:val="none"/>
          <w14:textFill>
            <w14:solidFill>
              <w14:schemeClr w14:val="tx1"/>
            </w14:solidFill>
          </w14:textFill>
        </w:rPr>
      </w:pPr>
      <w:r>
        <w:rPr>
          <w:rFonts w:hint="eastAsia" w:ascii="宋体" w:hAnsi="宋体" w:eastAsia="宋体" w:cs="宋体"/>
          <w:b/>
          <w:color w:val="000000" w:themeColor="text1"/>
          <w:spacing w:val="-6"/>
          <w:sz w:val="32"/>
          <w:szCs w:val="20"/>
          <w:highlight w:val="none"/>
          <w14:textFill>
            <w14:solidFill>
              <w14:schemeClr w14:val="tx1"/>
            </w14:solidFill>
          </w14:textFill>
        </w:rPr>
        <w:t xml:space="preserve">采购类别：服务类</w:t>
      </w:r>
      <w:r/>
    </w:p>
    <w:p>
      <w:pPr>
        <w:jc w:val="center"/>
        <w:spacing w:line="360" w:lineRule="auto"/>
        <w:rPr>
          <w:rFonts w:ascii="宋体" w:hAnsi="宋体" w:cs="宋体"/>
          <w:color w:val="000000" w:themeColor="text1"/>
          <w:sz w:val="24"/>
          <w:szCs w:val="20"/>
          <w:highlight w:val="none"/>
          <w14:textFill>
            <w14:solidFill>
              <w14:schemeClr w14:val="tx1"/>
            </w14:solidFill>
          </w14:textFill>
        </w:rPr>
      </w:pPr>
      <w:r>
        <w:rPr>
          <w:rFonts w:ascii="宋体" w:hAnsi="宋体" w:cs="宋体"/>
          <w:color w:val="000000" w:themeColor="text1"/>
          <w:sz w:val="24"/>
          <w:szCs w:val="20"/>
          <w:highlight w:val="none"/>
          <w14:textFill>
            <w14:solidFill>
              <w14:schemeClr w14:val="tx1"/>
            </w14:solidFill>
          </w14:textFill>
        </w:rPr>
      </w:r>
      <w:r/>
    </w:p>
    <w:p>
      <w:pPr>
        <w:jc w:val="center"/>
        <w:spacing w:line="360" w:lineRule="auto"/>
        <w:rPr>
          <w:rFonts w:ascii="宋体" w:hAnsi="宋体" w:cs="宋体"/>
          <w:b/>
          <w:color w:val="000000" w:themeColor="text1"/>
          <w:sz w:val="26"/>
          <w:szCs w:val="20"/>
          <w:highlight w:val="none"/>
          <w14:textFill>
            <w14:solidFill>
              <w14:schemeClr w14:val="tx1"/>
            </w14:solidFill>
          </w14:textFill>
        </w:rPr>
      </w:pPr>
      <w:r>
        <w:rPr>
          <w:rFonts w:ascii="宋体" w:hAnsi="宋体" w:cs="宋体"/>
          <w:b/>
          <w:color w:val="000000" w:themeColor="text1"/>
          <w:sz w:val="26"/>
          <w:szCs w:val="20"/>
          <w:highlight w:val="none"/>
          <w14:textFill>
            <w14:solidFill>
              <w14:schemeClr w14:val="tx1"/>
            </w14:solidFill>
          </w14:textFill>
        </w:rPr>
      </w:r>
      <w:r/>
    </w:p>
    <w:p>
      <w:pPr>
        <w:jc w:val="center"/>
        <w:spacing w:line="360" w:lineRule="auto"/>
        <w:rPr>
          <w:rFonts w:ascii="宋体" w:hAnsi="宋体" w:cs="宋体"/>
          <w:b/>
          <w:color w:val="000000" w:themeColor="text1"/>
          <w:sz w:val="26"/>
          <w:szCs w:val="20"/>
          <w:highlight w:val="none"/>
          <w14:textFill>
            <w14:solidFill>
              <w14:schemeClr w14:val="tx1"/>
            </w14:solidFill>
          </w14:textFill>
        </w:rPr>
      </w:pPr>
      <w:r>
        <w:rPr>
          <w:rFonts w:ascii="宋体" w:hAnsi="宋体" w:cs="宋体"/>
          <w:b/>
          <w:color w:val="000000" w:themeColor="text1"/>
          <w:sz w:val="26"/>
          <w:szCs w:val="20"/>
          <w:highlight w:val="none"/>
          <w14:textFill>
            <w14:solidFill>
              <w14:schemeClr w14:val="tx1"/>
            </w14:solidFill>
          </w14:textFill>
        </w:rPr>
      </w:r>
      <w:r/>
    </w:p>
    <w:p>
      <w:pPr>
        <w:jc w:val="center"/>
        <w:spacing w:line="360" w:lineRule="auto"/>
        <w:rPr>
          <w:rFonts w:ascii="宋体" w:hAnsi="宋体" w:cs="宋体"/>
          <w:b/>
          <w:color w:val="000000" w:themeColor="text1"/>
          <w:sz w:val="26"/>
          <w:szCs w:val="20"/>
          <w:highlight w:val="none"/>
          <w14:textFill>
            <w14:solidFill>
              <w14:schemeClr w14:val="tx1"/>
            </w14:solidFill>
          </w14:textFill>
        </w:rPr>
      </w:pPr>
      <w:r>
        <w:rPr>
          <w:rFonts w:ascii="宋体" w:hAnsi="宋体" w:eastAsia="宋体"/>
        </w:rPr>
        <mc:AlternateContent>
          <mc:Choice Requires="wpg">
            <w:drawing>
              <wp:inline xmlns:wp="http://schemas.openxmlformats.org/drawingml/2006/wordprocessingDrawing" distT="0" distB="0" distL="0" distR="0">
                <wp:extent cx="1584325" cy="1223010"/>
                <wp:effectExtent l="0" t="0" r="15875" b="15240"/>
                <wp:docPr id="1" name="图片 1" descr="D:\Documents\WeChat Files\zhangyufei1989\FileStorage\Temp\1716183216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Documents\WeChat Files\zhangyufei1989\FileStorage\Temp\1716183216816.png"/>
                        <pic:cNvPicPr>
                          <a:picLocks noChangeAspect="1"/>
                        </pic:cNvPicPr>
                        <pic:nvPr/>
                      </pic:nvPicPr>
                      <pic:blipFill>
                        <a:blip r:embed="rId11"/>
                        <a:stretch/>
                      </pic:blipFill>
                      <pic:spPr bwMode="auto">
                        <a:xfrm>
                          <a:off x="0" y="0"/>
                          <a:ext cx="1584324" cy="12230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4.8pt;height:96.3pt;mso-wrap-distance-left:0.0pt;mso-wrap-distance-top:0.0pt;mso-wrap-distance-right:0.0pt;mso-wrap-distance-bottom:0.0pt;" stroked="f">
                <v:path textboxrect="0,0,0,0"/>
                <v:imagedata r:id="rId11" o:title=""/>
              </v:shape>
            </w:pict>
          </mc:Fallback>
        </mc:AlternateContent>
      </w:r>
      <w:r/>
    </w:p>
    <w:p>
      <w:pPr>
        <w:jc w:val="center"/>
        <w:spacing w:line="360" w:lineRule="auto"/>
        <w:rPr>
          <w:rFonts w:ascii="宋体" w:hAnsi="宋体" w:cs="宋体"/>
          <w:b/>
          <w:color w:val="000000" w:themeColor="text1"/>
          <w:sz w:val="32"/>
          <w:szCs w:val="20"/>
          <w:highlight w:val="none"/>
          <w14:textFill>
            <w14:solidFill>
              <w14:schemeClr w14:val="tx1"/>
            </w14:solidFill>
          </w14:textFill>
        </w:rPr>
      </w:pPr>
      <w:r>
        <w:rPr>
          <w:rFonts w:ascii="宋体" w:hAnsi="宋体" w:cs="宋体"/>
          <w:b/>
          <w:color w:val="000000" w:themeColor="text1"/>
          <w:sz w:val="32"/>
          <w:szCs w:val="20"/>
          <w:highlight w:val="none"/>
          <w14:textFill>
            <w14:solidFill>
              <w14:schemeClr w14:val="tx1"/>
            </w14:solidFill>
          </w14:textFill>
        </w:rPr>
      </w:r>
      <w:r/>
    </w:p>
    <w:p>
      <w:pPr>
        <w:jc w:val="both"/>
        <w:spacing w:line="360" w:lineRule="auto"/>
        <w:rPr>
          <w:rFonts w:ascii="宋体" w:hAnsi="宋体" w:cs="宋体"/>
          <w:b/>
          <w:color w:val="000000" w:themeColor="text1"/>
          <w:sz w:val="32"/>
          <w:szCs w:val="20"/>
          <w:highlight w:val="none"/>
          <w14:textFill>
            <w14:solidFill>
              <w14:schemeClr w14:val="tx1"/>
            </w14:solidFill>
          </w14:textFill>
        </w:rPr>
      </w:pPr>
      <w:r>
        <w:rPr>
          <w:rFonts w:ascii="宋体" w:hAnsi="宋体" w:cs="宋体"/>
          <w:b/>
          <w:color w:val="000000" w:themeColor="text1"/>
          <w:sz w:val="32"/>
          <w:szCs w:val="2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20"/>
          <w:highlight w:val="none"/>
          <w:lang w:eastAsia="zh-CN"/>
          <w14:textFill>
            <w14:solidFill>
              <w14:schemeClr w14:val="tx1"/>
            </w14:solidFill>
          </w14:textFill>
        </w:rPr>
      </w:pPr>
      <w:r>
        <w:rPr>
          <w:rFonts w:hint="eastAsia" w:ascii="宋体" w:hAnsi="宋体" w:cs="宋体"/>
          <w:b/>
          <w:color w:val="000000" w:themeColor="text1"/>
          <w:sz w:val="32"/>
          <w:szCs w:val="20"/>
          <w:highlight w:val="none"/>
          <w:lang w:eastAsia="zh-CN"/>
          <w14:textFill>
            <w14:solidFill>
              <w14:schemeClr w14:val="tx1"/>
            </w14:solidFill>
          </w14:textFill>
        </w:rPr>
        <w:t xml:space="preserve">苏州诚来项目管理有限公司</w:t>
      </w:r>
      <w:r/>
    </w:p>
    <w:p>
      <w:pPr>
        <w:jc w:val="center"/>
        <w:spacing w:line="360" w:lineRule="auto"/>
        <w:rPr>
          <w:rFonts w:ascii="宋体" w:hAnsi="宋体" w:cs="宋体"/>
          <w:b/>
          <w:color w:val="000000" w:themeColor="text1"/>
          <w:sz w:val="32"/>
          <w:szCs w:val="20"/>
          <w:highlight w:val="none"/>
          <w14:textFill>
            <w14:solidFill>
              <w14:schemeClr w14:val="tx1"/>
            </w14:solidFill>
          </w14:textFill>
        </w:rPr>
      </w:pPr>
      <w:r>
        <w:rPr>
          <w:rFonts w:hint="eastAsia" w:ascii="宋体" w:hAnsi="宋体" w:eastAsia="宋体" w:cs="宋体"/>
          <w:b/>
          <w:color w:val="000000" w:themeColor="text1"/>
          <w:sz w:val="32"/>
          <w:szCs w:val="20"/>
          <w:highlight w:val="none"/>
          <w14:textFill>
            <w14:solidFill>
              <w14:schemeClr w14:val="tx1"/>
            </w14:solidFill>
          </w14:textFill>
        </w:rPr>
        <w:t xml:space="preserve">二○二</w:t>
      </w:r>
      <w:r>
        <w:rPr>
          <w:rFonts w:hint="eastAsia" w:ascii="宋体" w:hAnsi="宋体" w:cs="宋体"/>
          <w:b/>
          <w:color w:val="000000" w:themeColor="text1"/>
          <w:sz w:val="32"/>
          <w:szCs w:val="20"/>
          <w:highlight w:val="none"/>
          <w:lang w:eastAsia="zh-CN"/>
          <w14:textFill>
            <w14:solidFill>
              <w14:schemeClr w14:val="tx1"/>
            </w14:solidFill>
          </w14:textFill>
        </w:rPr>
        <w:t xml:space="preserve">六</w:t>
      </w:r>
      <w:r>
        <w:rPr>
          <w:rFonts w:hint="eastAsia" w:ascii="宋体" w:hAnsi="宋体" w:eastAsia="宋体" w:cs="宋体"/>
          <w:b/>
          <w:color w:val="000000" w:themeColor="text1"/>
          <w:sz w:val="32"/>
          <w:szCs w:val="20"/>
          <w:highlight w:val="none"/>
          <w14:textFill>
            <w14:solidFill>
              <w14:schemeClr w14:val="tx1"/>
            </w14:solidFill>
          </w14:textFill>
        </w:rPr>
        <w:t xml:space="preserve">年</w:t>
      </w:r>
      <w:r>
        <w:rPr>
          <w:rFonts w:hint="eastAsia" w:ascii="宋体" w:hAnsi="宋体" w:cs="宋体"/>
          <w:b/>
          <w:color w:val="000000" w:themeColor="text1"/>
          <w:sz w:val="32"/>
          <w:szCs w:val="20"/>
          <w:highlight w:val="none"/>
          <w:lang w:eastAsia="zh-CN"/>
          <w14:textFill>
            <w14:solidFill>
              <w14:schemeClr w14:val="tx1"/>
            </w14:solidFill>
          </w14:textFill>
        </w:rPr>
        <w:t xml:space="preserve">四</w:t>
      </w:r>
      <w:r>
        <w:rPr>
          <w:rFonts w:hint="eastAsia" w:ascii="宋体" w:hAnsi="宋体" w:eastAsia="宋体" w:cs="宋体"/>
          <w:b/>
          <w:color w:val="000000" w:themeColor="text1"/>
          <w:sz w:val="32"/>
          <w:szCs w:val="20"/>
          <w:highlight w:val="none"/>
          <w14:textFill>
            <w14:solidFill>
              <w14:schemeClr w14:val="tx1"/>
            </w14:solidFill>
          </w14:textFill>
        </w:rPr>
        <w:t xml:space="preserve">月</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 w:val="44"/>
          <w:szCs w:val="44"/>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44"/>
          <w:szCs w:val="44"/>
          <w:highlight w:val="none"/>
          <w14:textFill>
            <w14:solidFill>
              <w14:schemeClr w14:val="tx1"/>
            </w14:solidFill>
          </w14:textFill>
        </w:rPr>
        <w:t xml:space="preserve">总目录</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fldChar w:fldCharType="begin"/>
      </w:r>
      <w:r>
        <w:rPr>
          <w:rFonts w:ascii="宋体" w:hAnsi="宋体" w:cs="宋体"/>
          <w:b/>
          <w:bCs/>
          <w:color w:val="000000" w:themeColor="text1"/>
          <w:sz w:val="24"/>
          <w:szCs w:val="24"/>
          <w:highlight w:val="none"/>
          <w14:textFill>
            <w14:solidFill>
              <w14:schemeClr w14:val="tx1"/>
            </w14:solidFill>
          </w14:textFill>
        </w:rPr>
        <w:instrText xml:space="preserve"> TOC \o "1-1"</w:instrText>
      </w:r>
      <w:r>
        <w:rPr>
          <w:rFonts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磋商公告</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第二章 磋商响应文件格式</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合同主要条款</w:t>
      </w:r>
      <w:r/>
    </w:p>
    <w:p>
      <w:pPr>
        <w:jc w:val="left"/>
        <w:tabs>
          <w:tab w:val="right" w:pos="8222" w:leader="dot"/>
        </w:tabs>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第五章</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评审办法</w:t>
      </w:r>
      <w:r/>
    </w:p>
    <w:p>
      <w:pPr>
        <w:tabs>
          <w:tab w:val="right" w:pos="8222" w:leader="dot"/>
        </w:tabs>
        <w:rPr>
          <w:rFonts w:ascii="宋体" w:hAnsi="宋体" w:cs="宋体"/>
          <w:color w:val="000000" w:themeColor="text1"/>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p>
    <w:p>
      <w:pPr>
        <w:numPr>
          <w:ilvl w:val="0"/>
          <w:numId w:val="0"/>
        </w:numPr>
        <w:jc w:val="center"/>
        <w:keepLines/>
        <w:keepNext/>
        <w:spacing w:before="340" w:after="330"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bookmarkStart w:id="3" w:name="_Toc484614637"/>
      <w:r>
        <w:rPr>
          <w:rFonts w:hint="eastAsia" w:ascii="宋体" w:hAnsi="宋体" w:cs="宋体"/>
          <w:b/>
          <w:color w:val="000000" w:themeColor="text1"/>
          <w:sz w:val="28"/>
          <w:szCs w:val="28"/>
          <w:highlight w:val="none"/>
          <w:lang w:eastAsia="zh-CN"/>
          <w14:textFill>
            <w14:solidFill>
              <w14:schemeClr w14:val="tx1"/>
            </w14:solidFill>
          </w14:textFill>
        </w:rPr>
        <w:t xml:space="preserve">第一章</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磋商</w:t>
      </w:r>
      <w:bookmarkEnd w:id="3"/>
      <w:r>
        <w:rPr>
          <w:rFonts w:hint="eastAsia" w:ascii="宋体" w:hAnsi="宋体" w:eastAsia="宋体" w:cs="宋体"/>
          <w:b/>
          <w:color w:val="000000" w:themeColor="text1"/>
          <w:sz w:val="28"/>
          <w:szCs w:val="28"/>
          <w:highlight w:val="none"/>
          <w14:textFill>
            <w14:solidFill>
              <w14:schemeClr w14:val="tx1"/>
            </w14:solidFill>
          </w14:textFill>
        </w:rPr>
        <w:t xml:space="preserve">公告</w:t>
      </w:r>
      <w:bookmarkStart w:id="4" w:name="_Toc35393629"/>
      <w:r/>
      <w:bookmarkStart w:id="5" w:name="_Toc28359089"/>
      <w:r/>
      <w:bookmarkStart w:id="6" w:name="_Toc35393798"/>
      <w:r/>
      <w:bookmarkStart w:id="7" w:name="_Toc28359012"/>
      <w:r/>
      <w:r/>
    </w:p>
    <w:tbl>
      <w:tblPr>
        <w:tblStyle w:val="683"/>
        <w:tblW w:w="895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953"/>
      </w:tblGrid>
      <w:tr>
        <w:trPr/>
        <w:tc>
          <w:tcPr>
            <w:shd w:val="clear" w:color="auto" w:fill="ffffff"/>
            <w:tcBorders>
              <w:top w:val="single" w:color="000000" w:sz="6" w:space="0"/>
              <w:left w:val="single" w:color="000000" w:sz="6" w:space="0"/>
              <w:bottom w:val="single" w:color="000000" w:sz="6" w:space="0"/>
              <w:right w:val="single" w:color="000000" w:sz="6" w:space="0"/>
            </w:tcBorders>
            <w:tcW w:w="8953" w:type="dxa"/>
            <w:vAlign w:val="center"/>
            <w:textDirection w:val="lrTb"/>
            <w:noWrap w:val="false"/>
          </w:tcPr>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t xml:space="preserve">项目概况</w:t>
            </w:r>
            <w:r/>
          </w:p>
          <w:p>
            <w:pPr>
              <w:pStyle w:val="704"/>
              <w:ind w:left="0" w:right="0" w:firstLine="42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1"/>
                <w:szCs w:val="21"/>
                <w:highlight w:val="none"/>
                <w:u w:val="none"/>
                <w:lang w:eastAsia="zh-CN"/>
                <w14:textFill>
                  <w14:solidFill>
                    <w14:schemeClr w14:val="tx1"/>
                  </w14:solidFill>
                </w14:textFill>
              </w:rPr>
              <w:t xml:space="preserve">2026年“吴中百匠”项目</w:t>
            </w:r>
            <w:r>
              <w:rPr>
                <w:rFonts w:hint="eastAsia" w:ascii="宋体" w:hAnsi="宋体" w:cs="宋体"/>
                <w:i w:val="0"/>
                <w:iCs w:val="0"/>
                <w:caps w:val="0"/>
                <w:color w:val="333333"/>
                <w:spacing w:val="0"/>
                <w:sz w:val="21"/>
                <w:szCs w:val="21"/>
                <w:lang w:eastAsia="zh-CN"/>
              </w:rPr>
              <w:t xml:space="preserve">JSZC-320506-CLGL-C2026-0002</w:t>
            </w:r>
            <w:r>
              <w:rPr>
                <w:rFonts w:hint="eastAsia" w:ascii="宋体" w:hAnsi="宋体" w:eastAsia="宋体" w:cs="宋体"/>
                <w:i w:val="0"/>
                <w:iCs w:val="0"/>
                <w:caps w:val="0"/>
                <w:color w:val="333333"/>
                <w:spacing w:val="0"/>
                <w:sz w:val="21"/>
                <w:szCs w:val="21"/>
              </w:rPr>
              <w:t xml:space="preserve">采购项目的潜在供应商应在“苏采云”系统 获取采购文件，并于2026-</w:t>
            </w:r>
            <w:r>
              <w:rPr>
                <w:rFonts w:hint="eastAsia" w:ascii="宋体" w:hAnsi="宋体" w:cs="宋体"/>
                <w:i w:val="0"/>
                <w:iCs w:val="0"/>
                <w:caps w:val="0"/>
                <w:color w:val="333333"/>
                <w:spacing w:val="0"/>
                <w:sz w:val="21"/>
                <w:szCs w:val="21"/>
                <w:lang w:val="en-US" w:eastAsia="zh-CN"/>
              </w:rPr>
              <w:t xml:space="preserve">04</w:t>
            </w:r>
            <w:r>
              <w:rPr>
                <w:rFonts w:hint="eastAsia" w:ascii="宋体" w:hAnsi="宋体" w:eastAsia="宋体" w:cs="宋体"/>
                <w:i w:val="0"/>
                <w:iCs w:val="0"/>
                <w:caps w:val="0"/>
                <w:color w:val="333333"/>
                <w:spacing w:val="0"/>
                <w:sz w:val="21"/>
                <w:szCs w:val="21"/>
              </w:rPr>
              <w:t xml:space="preserve">-</w:t>
            </w:r>
            <w:r>
              <w:rPr>
                <w:rFonts w:hint="eastAsia" w:ascii="宋体" w:hAnsi="宋体" w:cs="宋体"/>
                <w:i w:val="0"/>
                <w:iCs w:val="0"/>
                <w:caps w:val="0"/>
                <w:color w:val="333333"/>
                <w:spacing w:val="0"/>
                <w:sz w:val="21"/>
                <w:szCs w:val="21"/>
                <w:lang w:val="en-US" w:eastAsia="zh-CN"/>
              </w:rPr>
              <w:t xml:space="preserve">21</w:t>
            </w:r>
            <w:r>
              <w:rPr>
                <w:rFonts w:hint="eastAsia" w:ascii="宋体" w:hAnsi="宋体" w:eastAsia="宋体" w:cs="宋体"/>
                <w:i w:val="0"/>
                <w:iCs w:val="0"/>
                <w:caps w:val="0"/>
                <w:color w:val="333333"/>
                <w:spacing w:val="0"/>
                <w:sz w:val="21"/>
                <w:szCs w:val="21"/>
              </w:rPr>
              <w:t xml:space="preserve"> 1</w:t>
            </w:r>
            <w:r>
              <w:rPr>
                <w:rFonts w:hint="eastAsia" w:ascii="宋体" w:hAnsi="宋体" w:eastAsia="宋体" w:cs="宋体"/>
                <w:i w:val="0"/>
                <w:iCs w:val="0"/>
                <w:caps w:val="0"/>
                <w:color w:val="333333"/>
                <w:spacing w:val="0"/>
                <w:sz w:val="21"/>
                <w:szCs w:val="21"/>
                <w:lang w:val="en-US" w:eastAsia="zh-CN"/>
              </w:rPr>
              <w:t xml:space="preserve">3</w:t>
            </w:r>
            <w:r>
              <w:rPr>
                <w:rFonts w:hint="eastAsia" w:ascii="宋体" w:hAnsi="宋体" w:eastAsia="宋体" w:cs="宋体"/>
                <w:i w:val="0"/>
                <w:iCs w:val="0"/>
                <w:caps w:val="0"/>
                <w:color w:val="333333"/>
                <w:spacing w:val="0"/>
                <w:sz w:val="21"/>
                <w:szCs w:val="21"/>
              </w:rPr>
              <w:t xml:space="preserve">:</w:t>
            </w:r>
            <w:r>
              <w:rPr>
                <w:rFonts w:hint="eastAsia" w:ascii="宋体" w:hAnsi="宋体" w:eastAsia="宋体" w:cs="宋体"/>
                <w:i w:val="0"/>
                <w:iCs w:val="0"/>
                <w:caps w:val="0"/>
                <w:color w:val="333333"/>
                <w:spacing w:val="0"/>
                <w:sz w:val="21"/>
                <w:szCs w:val="21"/>
                <w:lang w:val="en-US" w:eastAsia="zh-CN"/>
              </w:rPr>
              <w:t xml:space="preserve">3</w:t>
            </w:r>
            <w:r>
              <w:rPr>
                <w:rFonts w:hint="eastAsia" w:ascii="宋体" w:hAnsi="宋体" w:eastAsia="宋体" w:cs="宋体"/>
                <w:i w:val="0"/>
                <w:iCs w:val="0"/>
                <w:caps w:val="0"/>
                <w:color w:val="333333"/>
                <w:spacing w:val="0"/>
                <w:sz w:val="21"/>
                <w:szCs w:val="21"/>
              </w:rPr>
              <w:t xml:space="preserve">0（北京时间）前提交响应文件。</w:t>
            </w:r>
            <w:r/>
          </w:p>
        </w:tc>
      </w:tr>
    </w:tbl>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一、项目基本情况</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项目编号：</w:t>
      </w:r>
      <w:r>
        <w:rPr>
          <w:rFonts w:hint="eastAsia" w:ascii="宋体" w:hAnsi="宋体" w:cs="宋体"/>
          <w:i w:val="0"/>
          <w:iCs w:val="0"/>
          <w:caps w:val="0"/>
          <w:color w:val="333333"/>
          <w:spacing w:val="0"/>
          <w:sz w:val="21"/>
          <w:szCs w:val="21"/>
          <w:lang w:eastAsia="zh-CN"/>
        </w:rPr>
        <w:t xml:space="preserve">JSZC-320506-CLGL-C2026-0002</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项目名称：2026年“吴中百匠”项目</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采购方式：竞争性磋商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预算金额：1</w:t>
      </w:r>
      <w:r>
        <w:rPr>
          <w:rFonts w:hint="eastAsia" w:ascii="宋体" w:hAnsi="宋体" w:eastAsia="宋体" w:cs="宋体"/>
          <w:i w:val="0"/>
          <w:iCs w:val="0"/>
          <w:caps w:val="0"/>
          <w:color w:val="333333"/>
          <w:spacing w:val="0"/>
          <w:sz w:val="21"/>
          <w:szCs w:val="21"/>
          <w:shd w:val="clear" w:color="auto" w:fill="ffffff"/>
          <w:lang w:val="en-US" w:eastAsia="zh-CN"/>
        </w:rPr>
        <w:t xml:space="preserve">05</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00</w:t>
      </w:r>
      <w:r>
        <w:rPr>
          <w:rFonts w:hint="eastAsia" w:ascii="宋体" w:hAnsi="宋体" w:eastAsia="宋体" w:cs="宋体"/>
          <w:i w:val="0"/>
          <w:iCs w:val="0"/>
          <w:caps w:val="0"/>
          <w:color w:val="333333"/>
          <w:spacing w:val="0"/>
          <w:sz w:val="21"/>
          <w:szCs w:val="21"/>
          <w:shd w:val="clear" w:color="auto" w:fill="ffffff"/>
        </w:rPr>
        <w:t xml:space="preserve">00</w:t>
      </w:r>
      <w:r>
        <w:rPr>
          <w:rFonts w:hint="eastAsia" w:ascii="宋体" w:hAnsi="宋体" w:eastAsia="宋体" w:cs="宋体"/>
          <w:i w:val="0"/>
          <w:iCs w:val="0"/>
          <w:caps w:val="0"/>
          <w:color w:val="333333"/>
          <w:spacing w:val="0"/>
          <w:sz w:val="21"/>
          <w:szCs w:val="21"/>
          <w:shd w:val="clear" w:color="auto" w:fill="ffffff"/>
          <w:lang w:val="en-US" w:eastAsia="zh-CN"/>
        </w:rPr>
        <w:t xml:space="preserve">0</w:t>
      </w:r>
      <w:r>
        <w:rPr>
          <w:rFonts w:hint="eastAsia" w:ascii="宋体" w:hAnsi="宋体" w:eastAsia="宋体" w:cs="宋体"/>
          <w:i w:val="0"/>
          <w:iCs w:val="0"/>
          <w:caps w:val="0"/>
          <w:color w:val="333333"/>
          <w:spacing w:val="0"/>
          <w:sz w:val="21"/>
          <w:szCs w:val="21"/>
          <w:shd w:val="clear" w:color="auto" w:fill="ffffff"/>
        </w:rPr>
        <w:t xml:space="preserve">0万元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最高限价（如有）：/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采购需求：为持续深化“吴中百匠”品牌的内涵，提升其创新力、传播力和影响力，2026年“吴中百匠”系列活动将深入挖掘江南文化的深厚底蕴和自信，从文化交流、技能提升、IP塑造、非</w:t>
      </w:r>
      <w:r>
        <w:rPr>
          <w:rFonts w:hint="eastAsia" w:ascii="宋体" w:hAnsi="宋体" w:cs="宋体"/>
          <w:i w:val="0"/>
          <w:iCs w:val="0"/>
          <w:caps w:val="0"/>
          <w:color w:val="333333"/>
          <w:spacing w:val="0"/>
          <w:sz w:val="21"/>
          <w:szCs w:val="21"/>
          <w:shd w:val="clear" w:color="auto" w:fill="ffffff"/>
          <w:lang w:eastAsia="zh-CN"/>
        </w:rPr>
        <w:t xml:space="preserve">遗</w:t>
      </w:r>
      <w:r>
        <w:rPr>
          <w:rFonts w:hint="eastAsia" w:ascii="宋体" w:hAnsi="宋体" w:eastAsia="宋体" w:cs="宋体"/>
          <w:i w:val="0"/>
          <w:iCs w:val="0"/>
          <w:caps w:val="0"/>
          <w:color w:val="333333"/>
          <w:spacing w:val="0"/>
          <w:sz w:val="21"/>
          <w:szCs w:val="21"/>
          <w:shd w:val="clear" w:color="auto" w:fill="ffffff"/>
        </w:rPr>
        <w:t xml:space="preserve">出海、文创开发等多个维度探索苏工苏作的市场潜力和商业价值，推动苏工苏作的产业化发展，进一步彰显“吴中百匠”的品牌力量，促进苏工苏作与现代生活的深度融合，使苏工苏作在新时代焕发新的</w:t>
      </w:r>
      <w:r>
        <w:rPr>
          <w:rFonts w:hint="eastAsia" w:ascii="宋体" w:hAnsi="宋体" w:cs="宋体"/>
          <w:i w:val="0"/>
          <w:iCs w:val="0"/>
          <w:caps w:val="0"/>
          <w:color w:val="333333"/>
          <w:spacing w:val="0"/>
          <w:sz w:val="21"/>
          <w:szCs w:val="21"/>
          <w:shd w:val="clear" w:color="auto" w:fill="ffffff"/>
          <w:lang w:eastAsia="zh-CN"/>
        </w:rPr>
        <w:t xml:space="preserve">光彩。</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合同履行期限：</w:t>
      </w:r>
      <w:r>
        <w:rPr>
          <w:rFonts w:hint="eastAsia" w:ascii="宋体" w:hAnsi="宋体" w:eastAsia="宋体" w:cs="宋体"/>
          <w:color w:val="000000" w:themeColor="text1"/>
          <w:sz w:val="21"/>
          <w:szCs w:val="21"/>
          <w:highlight w:val="none"/>
          <w14:textFill>
            <w14:solidFill>
              <w14:schemeClr w14:val="tx1"/>
            </w14:solidFill>
          </w14:textFill>
        </w:rPr>
        <w:t xml:space="preserve">合同签订后一年（按实际活动启动之日起算，如出现不可抗力因素，可与甲方商讨，进行顺延)。</w:t>
      </w:r>
      <w:r>
        <w:rPr>
          <w:rFonts w:hint="eastAsia" w:ascii="宋体" w:hAnsi="宋体" w:eastAsia="宋体" w:cs="宋体"/>
          <w:i w:val="0"/>
          <w:iCs w:val="0"/>
          <w:caps w:val="0"/>
          <w:color w:val="333333"/>
          <w:spacing w:val="0"/>
          <w:sz w:val="21"/>
          <w:szCs w:val="21"/>
          <w:shd w:val="clear" w:color="auto" w:fill="ffffff"/>
        </w:rPr>
        <w:t xml:space="preserve">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本项目（是/否）接受联合体：否 </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二、申请人的资格要求：</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（一）满足《中华人民共和国政府采购法》第二十二条规定：</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1.具有独立承担民事责任的能力；</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2.具有良好的商业信誉和健全的财务会计制度；</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3.具有履行合同所必需的设备和专业技术能力；</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4.有依法缴纳税收和社会保障资金的良好记录；</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5.参加政府采购活动前三年内，在经营活动中没有重大违法记录；</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6.法律、行政法规规定的其他条件。</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（二）落实政府采购政策需满足的资格要求：</w:t>
      </w:r>
      <w:r/>
    </w:p>
    <w:p>
      <w:pPr>
        <w:pStyle w:val="704"/>
        <w:ind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根据《政府采购促进中小企业发展管理办法》的相关规定，本项目专门面向中小企业，所属行业为其他未列明行业，供应商应为中小微企业或监狱企业或残疾人福利性单位。</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（三）本项目的特定资格要求：</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1.未被“信用中国”网站（www.creditchina.gov.cn）列入失信被执行人、重大税收违法案件当事人名单、政府采购严重失信行为记录名单。</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三、获取采购文件</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时间：自磋商文件公告发布之日起5个工作日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地点：“苏采云”系统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方式：“苏采云”系统</w:t>
      </w:r>
      <w:r>
        <w:rPr>
          <w:rFonts w:hint="eastAsia" w:ascii="宋体" w:hAnsi="宋体" w:eastAsia="宋体" w:cs="宋体"/>
          <w:i w:val="0"/>
          <w:iCs w:val="0"/>
          <w:caps w:val="0"/>
          <w:color w:val="333333"/>
          <w:spacing w:val="0"/>
          <w:sz w:val="21"/>
          <w:szCs w:val="21"/>
          <w:shd w:val="clear" w:color="auto" w:fill="ffffff"/>
          <w:lang w:eastAsia="zh-CN"/>
        </w:rPr>
        <w:t xml:space="preserve">在线获取</w:t>
      </w:r>
      <w:r>
        <w:rPr>
          <w:rFonts w:hint="eastAsia" w:ascii="宋体" w:hAnsi="宋体" w:eastAsia="宋体" w:cs="宋体"/>
          <w:i w:val="0"/>
          <w:iCs w:val="0"/>
          <w:caps w:val="0"/>
          <w:color w:val="333333"/>
          <w:spacing w:val="0"/>
          <w:sz w:val="21"/>
          <w:szCs w:val="21"/>
          <w:shd w:val="clear" w:color="auto" w:fill="ffffff"/>
        </w:rPr>
        <w:t xml:space="preserve"> </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售价：0.00元 </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四、响应文件提交</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截止时间：2026-0</w:t>
      </w:r>
      <w:r>
        <w:rPr>
          <w:rFonts w:hint="eastAsia" w:ascii="宋体" w:hAnsi="宋体" w:cs="宋体"/>
          <w:i w:val="0"/>
          <w:iCs w:val="0"/>
          <w:caps w:val="0"/>
          <w:color w:val="333333"/>
          <w:spacing w:val="0"/>
          <w:sz w:val="21"/>
          <w:szCs w:val="21"/>
          <w:shd w:val="clear" w:color="auto" w:fill="ffffff"/>
          <w:lang w:val="en-US" w:eastAsia="zh-CN"/>
        </w:rPr>
        <w:t xml:space="preserve">4</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cs="宋体"/>
          <w:i w:val="0"/>
          <w:iCs w:val="0"/>
          <w:caps w:val="0"/>
          <w:color w:val="333333"/>
          <w:spacing w:val="0"/>
          <w:sz w:val="21"/>
          <w:szCs w:val="21"/>
          <w:shd w:val="clear" w:color="auto" w:fill="ffffff"/>
          <w:lang w:val="en-US" w:eastAsia="zh-CN"/>
        </w:rPr>
        <w:t xml:space="preserve">21</w:t>
      </w:r>
      <w:r>
        <w:rPr>
          <w:rFonts w:hint="eastAsia" w:ascii="宋体" w:hAnsi="宋体" w:eastAsia="宋体" w:cs="宋体"/>
          <w:i w:val="0"/>
          <w:iCs w:val="0"/>
          <w:caps w:val="0"/>
          <w:color w:val="333333"/>
          <w:spacing w:val="0"/>
          <w:sz w:val="21"/>
          <w:szCs w:val="21"/>
          <w:shd w:val="clear" w:color="auto" w:fill="ffffff"/>
        </w:rPr>
        <w:t xml:space="preserve"> 1</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0 （北京时间）</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地点：“苏采云”系统</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五、开启</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时间：2026-0</w:t>
      </w:r>
      <w:r>
        <w:rPr>
          <w:rFonts w:hint="eastAsia" w:ascii="宋体" w:hAnsi="宋体" w:cs="宋体"/>
          <w:i w:val="0"/>
          <w:iCs w:val="0"/>
          <w:caps w:val="0"/>
          <w:color w:val="333333"/>
          <w:spacing w:val="0"/>
          <w:sz w:val="21"/>
          <w:szCs w:val="21"/>
          <w:shd w:val="clear" w:color="auto" w:fill="ffffff"/>
          <w:lang w:val="en-US" w:eastAsia="zh-CN"/>
        </w:rPr>
        <w:t xml:space="preserve">4</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cs="宋体"/>
          <w:i w:val="0"/>
          <w:iCs w:val="0"/>
          <w:caps w:val="0"/>
          <w:color w:val="333333"/>
          <w:spacing w:val="0"/>
          <w:sz w:val="21"/>
          <w:szCs w:val="21"/>
          <w:shd w:val="clear" w:color="auto" w:fill="ffffff"/>
          <w:lang w:val="en-US" w:eastAsia="zh-CN"/>
        </w:rPr>
        <w:t xml:space="preserve">21</w:t>
      </w:r>
      <w:r>
        <w:rPr>
          <w:rFonts w:hint="eastAsia" w:ascii="宋体" w:hAnsi="宋体" w:eastAsia="宋体" w:cs="宋体"/>
          <w:i w:val="0"/>
          <w:iCs w:val="0"/>
          <w:caps w:val="0"/>
          <w:color w:val="333333"/>
          <w:spacing w:val="0"/>
          <w:sz w:val="21"/>
          <w:szCs w:val="21"/>
          <w:shd w:val="clear" w:color="auto" w:fill="ffffff"/>
        </w:rPr>
        <w:t xml:space="preserve"> 1</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Fonts w:hint="eastAsia" w:ascii="宋体" w:hAnsi="宋体" w:eastAsia="宋体" w:cs="宋体"/>
          <w:i w:val="0"/>
          <w:iCs w:val="0"/>
          <w:caps w:val="0"/>
          <w:color w:val="333333"/>
          <w:spacing w:val="0"/>
          <w:sz w:val="21"/>
          <w:szCs w:val="21"/>
          <w:shd w:val="clear" w:color="auto" w:fill="ffffff"/>
          <w:lang w:val="en-US" w:eastAsia="zh-CN"/>
        </w:rPr>
        <w:t xml:space="preserve">3</w:t>
      </w:r>
      <w:r>
        <w:rPr>
          <w:rFonts w:hint="eastAsia" w:ascii="宋体" w:hAnsi="宋体" w:eastAsia="宋体" w:cs="宋体"/>
          <w:i w:val="0"/>
          <w:iCs w:val="0"/>
          <w:caps w:val="0"/>
          <w:color w:val="333333"/>
          <w:spacing w:val="0"/>
          <w:sz w:val="21"/>
          <w:szCs w:val="21"/>
          <w:shd w:val="clear" w:color="auto" w:fill="ffffff"/>
        </w:rPr>
        <w:t xml:space="preserve">0 （北京时间）</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地点：苏州市市辖区政府采购不见面虚拟开标室 </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六、公告期限</w:t>
      </w:r>
      <w:r/>
    </w:p>
    <w:p>
      <w:pPr>
        <w:pStyle w:val="70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自本公告发布之日起3个工作日。</w:t>
      </w:r>
      <w:r/>
    </w:p>
    <w:p>
      <w:pPr>
        <w:pStyle w:val="67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Style w:val="708"/>
          <w:rFonts w:hint="eastAsia" w:ascii="宋体" w:hAnsi="宋体" w:eastAsia="宋体" w:cs="宋体"/>
          <w:i w:val="0"/>
          <w:iCs w:val="0"/>
          <w:caps w:val="0"/>
          <w:color w:val="333333"/>
          <w:spacing w:val="0"/>
          <w:sz w:val="21"/>
          <w:szCs w:val="21"/>
          <w:shd w:val="clear" w:color="auto" w:fill="ffffff"/>
        </w:rPr>
        <w:t xml:space="preserve">七、其他补充事宜</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1.方式：</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（1）CA证书办理</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（2）参与采购活动</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（3）电子投标准备</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在系统操作过程中如有疑问，请按以下方式联系：</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注册咨询：0512-69820854；</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CA技术咨询电话：400-608-6099；</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签章使用问题：025-83633811、025-83633812、15380932027、15371015030；</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系统使用指导与咨询：联系电话：0512-69820854；智能客服：登录苏采云系统后，联系系统右下方智能客服图标进行咨询。</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2、响应文件提交</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（1）地点：“苏采云”系统（网址：http://jszfcg.jsczt.cn/）。响应文件网上递交，不需要现场参加采购活动，无需提供纸质响应文件。</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3、开启</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（1）地点：“苏采云”系统（网址：http://jszfcg.jsczt.cn/）</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请供应商确保电脑、系统及其他设备（视频输入输出设备等）无误，且开启直至项目结束始终保持系统在线状态。</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4、其他补充事宜</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（1）苏州市吴中区财政政府采购监管电话：0512-65283947。</w:t>
      </w:r>
      <w:r/>
    </w:p>
    <w:p>
      <w:pPr>
        <w:pStyle w:val="704"/>
        <w:ind w:left="0" w:right="0"/>
        <w:keepLines w:val="0"/>
        <w:keepNext w:val="0"/>
        <w:pageBreakBefore w:val="0"/>
        <w:spacing w:before="0" w:beforeAutospacing="0" w:after="0" w:afterAutospacing="0" w:line="360" w:lineRule="auto"/>
        <w:widowControl/>
        <w:rPr>
          <w:rFonts w:hint="eastAsia" w:ascii="宋体" w:hAnsi="宋体" w:eastAsia="宋体" w:cs="宋体"/>
          <w:b/>
          <w:color w:val="000000" w:themeColor="text1"/>
          <w:sz w:val="21"/>
          <w:szCs w:val="21"/>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（2）本次采购的相关信息刊登在中国政府采购网中央主网、江苏政府采购网、苏州市政府采购网。</w:t>
      </w:r>
      <w:bookmarkEnd w:id="4"/>
      <w:r/>
      <w:bookmarkEnd w:id="5"/>
      <w:r/>
      <w:bookmarkEnd w:id="6"/>
      <w:r/>
      <w:bookmarkEnd w:id="7"/>
      <w:r/>
      <w:r/>
    </w:p>
    <w:p>
      <w:pP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bookmarkStart w:id="8" w:name="_Toc28359018"/>
      <w:r/>
      <w:bookmarkStart w:id="9" w:name="_Toc35393805"/>
      <w:r/>
      <w:bookmarkStart w:id="10" w:name="_Toc28359095"/>
      <w:r/>
      <w:bookmarkStart w:id="11" w:name="_Toc35393636"/>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八</w:t>
      </w:r>
      <w:r>
        <w:rPr>
          <w:rFonts w:hint="eastAsia" w:ascii="宋体" w:hAnsi="宋体" w:eastAsia="宋体" w:cs="宋体"/>
          <w:b/>
          <w:color w:val="000000" w:themeColor="text1"/>
          <w:sz w:val="21"/>
          <w:szCs w:val="21"/>
          <w:highlight w:val="none"/>
          <w14:textFill>
            <w14:solidFill>
              <w14:schemeClr w14:val="tx1"/>
            </w14:solidFill>
          </w14:textFill>
        </w:rPr>
        <w:t xml:space="preserve">、凡对本次采购提出询问，请按以下方式联系。</w:t>
      </w:r>
      <w:bookmarkEnd w:id="8"/>
      <w:r/>
      <w:bookmarkEnd w:id="9"/>
      <w:r/>
      <w:bookmarkEnd w:id="10"/>
      <w:r/>
      <w:bookmarkEnd w:id="11"/>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1.采购人信息</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单位名称</w:t>
      </w:r>
      <w:r>
        <w:rPr>
          <w:rFonts w:hint="eastAsia" w:ascii="宋体" w:hAnsi="宋体" w:eastAsia="宋体" w:cs="宋体"/>
          <w:bCs/>
          <w:color w:val="000000" w:themeColor="text1"/>
          <w:sz w:val="21"/>
          <w:szCs w:val="21"/>
          <w:highlight w:val="none"/>
          <w14:textFill>
            <w14:solidFill>
              <w14:schemeClr w14:val="tx1"/>
            </w14:solidFill>
          </w14:textFill>
        </w:rPr>
        <w:t xml:space="preserve">：中国共产党苏州市吴中区委员会宣传部</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单位地址</w:t>
      </w:r>
      <w:r>
        <w:rPr>
          <w:rFonts w:hint="eastAsia" w:ascii="宋体" w:hAnsi="宋体" w:eastAsia="宋体" w:cs="宋体"/>
          <w:bCs/>
          <w:color w:val="000000" w:themeColor="text1"/>
          <w:sz w:val="21"/>
          <w:szCs w:val="21"/>
          <w:highlight w:val="none"/>
          <w14:textFill>
            <w14:solidFill>
              <w14:schemeClr w14:val="tx1"/>
            </w14:solidFill>
          </w14:textFill>
        </w:rPr>
        <w:t xml:space="preserve">：苏州市吴中区太湖东路288号</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联系人：</w:t>
      </w:r>
      <w:r>
        <w:rPr>
          <w:rFonts w:hint="eastAsia" w:ascii="宋体" w:hAnsi="宋体" w:eastAsia="宋体" w:cs="宋体"/>
          <w:bCs/>
          <w:color w:val="000000" w:themeColor="text1"/>
          <w:sz w:val="21"/>
          <w:szCs w:val="21"/>
          <w:highlight w:val="none"/>
          <w14:textFill>
            <w14:solidFill>
              <w14:schemeClr w14:val="tx1"/>
            </w14:solidFill>
          </w14:textFill>
        </w:rPr>
        <w:t xml:space="preserve">周蔚</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联系方式：0512-66983708</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i w:val="0"/>
          <w:iCs w:val="0"/>
          <w:caps w:val="0"/>
          <w:color w:val="333333"/>
          <w:spacing w:val="0"/>
          <w:sz w:val="21"/>
          <w:szCs w:val="21"/>
          <w:shd w:val="clear" w:color="auto" w:fill="ffffff"/>
        </w:rPr>
        <w:t xml:space="preserve">采购代理机构信息（如有）</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单位名称</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苏州诚来项目管理有限公司</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单位地址</w:t>
      </w:r>
      <w:r>
        <w:rPr>
          <w:rFonts w:hint="eastAsia" w:ascii="宋体" w:hAnsi="宋体" w:eastAsia="宋体" w:cs="宋体"/>
          <w:bCs/>
          <w:color w:val="000000" w:themeColor="text1"/>
          <w:sz w:val="21"/>
          <w:szCs w:val="21"/>
          <w:highlight w:val="none"/>
          <w14:textFill>
            <w14:solidFill>
              <w14:schemeClr w14:val="tx1"/>
            </w14:solidFill>
          </w14:textFill>
        </w:rPr>
        <w:t xml:space="preserve">：苏州市人民路4555号繁花中心A楼西座1618室</w:t>
      </w:r>
      <w:r/>
    </w:p>
    <w:p>
      <w:pPr>
        <w:ind w:firstLine="420"/>
        <w:keepLines w:val="0"/>
        <w:keepNext w:val="0"/>
        <w:pageBreakBefore w:val="0"/>
        <w:spacing w:line="360" w:lineRule="auto"/>
        <w:widowControl/>
        <w:rPr>
          <w:rFonts w:hint="eastAsia" w:ascii="宋体" w:hAnsi="宋体" w:eastAsia="宋体" w:cs="宋体"/>
          <w:i w:val="0"/>
          <w:iCs w:val="0"/>
          <w:caps w:val="0"/>
          <w:color w:val="333333"/>
          <w:spacing w:val="0"/>
          <w:sz w:val="21"/>
          <w:szCs w:val="21"/>
          <w:shd w:val="clear" w:color="auto" w:fill="ffffff"/>
          <w:lang w:eastAsia="zh-CN"/>
        </w:rPr>
      </w:pPr>
      <w:r>
        <w:rPr>
          <w:rFonts w:hint="eastAsia" w:ascii="宋体" w:hAnsi="宋体" w:eastAsia="宋体" w:cs="宋体"/>
          <w:i w:val="0"/>
          <w:iCs w:val="0"/>
          <w:caps w:val="0"/>
          <w:color w:val="333333"/>
          <w:spacing w:val="0"/>
          <w:sz w:val="21"/>
          <w:szCs w:val="21"/>
          <w:shd w:val="clear" w:color="auto" w:fill="ffffff"/>
        </w:rPr>
        <w:t xml:space="preserve">联系人</w:t>
      </w:r>
      <w:r>
        <w:rPr>
          <w:rFonts w:hint="eastAsia" w:ascii="宋体" w:hAnsi="宋体" w:eastAsia="宋体" w:cs="宋体"/>
          <w:i w:val="0"/>
          <w:iCs w:val="0"/>
          <w:caps w:val="0"/>
          <w:color w:val="333333"/>
          <w:spacing w:val="0"/>
          <w:sz w:val="21"/>
          <w:szCs w:val="21"/>
          <w:shd w:val="clear" w:color="auto" w:fill="ffffff"/>
          <w:lang w:eastAsia="zh-CN"/>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许霞萍</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i w:val="0"/>
          <w:iCs w:val="0"/>
          <w:caps w:val="0"/>
          <w:color w:val="333333"/>
          <w:spacing w:val="0"/>
          <w:sz w:val="21"/>
          <w:szCs w:val="21"/>
          <w:shd w:val="clear" w:color="auto" w:fill="ffffff"/>
        </w:rPr>
        <w:t xml:space="preserve">联系电话</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0512-65208215</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3.项目联系方式</w:t>
      </w:r>
      <w:r/>
    </w:p>
    <w:p>
      <w:pPr>
        <w:ind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项目联系人：</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许霞萍</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电话：</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0512-65208215</w:t>
      </w:r>
      <w:r/>
    </w:p>
    <w:p>
      <w:pPr>
        <w:pStyle w:val="684"/>
        <w:rPr>
          <w:rFonts w:hint="eastAsia"/>
        </w:rPr>
      </w:pPr>
      <w:r>
        <w:rPr>
          <w:rFonts w:hint="eastAsia"/>
        </w:rPr>
      </w:r>
      <w:r/>
    </w:p>
    <w:p>
      <w:pPr>
        <w:keepLines w:val="0"/>
        <w:keepNext w:val="0"/>
        <w:pageBreakBefore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jc w:val="center"/>
        <w:keepLines/>
        <w:keepNext/>
        <w:spacing w:before="340" w:after="330" w:line="360" w:lineRule="auto"/>
        <w:rPr>
          <w:rFonts w:ascii="宋体" w:hAnsi="宋体" w:cs="宋体"/>
          <w:color w:val="000000" w:themeColor="text1"/>
          <w:sz w:val="28"/>
          <w:szCs w:val="28"/>
          <w:highlight w:val="none"/>
          <w14:textFill>
            <w14:solidFill>
              <w14:schemeClr w14:val="tx1"/>
            </w14:solidFill>
          </w14:textFill>
        </w:rPr>
        <w:outlineLvl w:val="0"/>
      </w:pPr>
      <w:r/>
      <w:bookmarkStart w:id="12" w:name="_Toc484614638"/>
      <w:r>
        <w:rPr>
          <w:rFonts w:hint="eastAsia" w:ascii="宋体" w:hAnsi="宋体" w:eastAsia="宋体" w:cs="宋体"/>
          <w:b/>
          <w:color w:val="000000" w:themeColor="text1"/>
          <w:sz w:val="28"/>
          <w:szCs w:val="28"/>
          <w:highlight w:val="none"/>
          <w14:textFill>
            <w14:solidFill>
              <w14:schemeClr w14:val="tx1"/>
            </w14:solidFill>
          </w14:textFill>
        </w:rPr>
        <w:t xml:space="preserve">第二章 磋商响应文件格式</w:t>
      </w:r>
      <w:bookmarkEnd w:id="12"/>
      <w:r/>
      <w:r/>
    </w:p>
    <w:p>
      <w:pPr>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对本章所有的格式，磋商供应商可根据自身情况进行补充和修改，但补充和修改不得造成与本格式内容有实质性的违背。</w:t>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、（供应方）法定代表人授权委托书</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授权委托书</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       </w:t>
      </w:r>
      <w:r>
        <w:rPr>
          <w:rFonts w:hint="eastAsia" w:ascii="宋体" w:hAnsi="宋体" w:eastAsia="宋体" w:cs="宋体"/>
          <w:color w:val="000000" w:themeColor="text1"/>
          <w:sz w:val="21"/>
          <w:szCs w:val="21"/>
          <w:highlight w:val="none"/>
          <w14:textFill>
            <w14:solidFill>
              <w14:schemeClr w14:val="tx1"/>
            </w14:solidFill>
          </w14:textFill>
        </w:rPr>
        <w:t xml:space="preserve">系</w:t>
      </w:r>
      <w:r>
        <w:rPr>
          <w:rFonts w:hint="eastAsia" w:ascii="宋体" w:hAnsi="宋体" w:eastAsia="宋体" w:cs="宋体"/>
          <w:color w:val="000000" w:themeColor="text1"/>
          <w:sz w:val="21"/>
          <w:szCs w:val="21"/>
          <w:highlight w:val="none"/>
          <w:u w:val="single"/>
          <w14:textFill>
            <w14:solidFill>
              <w14:schemeClr w14:val="tx1"/>
            </w14:solidFill>
          </w14:textFill>
        </w:rPr>
        <w:t xml:space="preserve">（供应单位名称）            </w:t>
      </w:r>
      <w:r>
        <w:rPr>
          <w:rFonts w:hint="eastAsia" w:ascii="宋体" w:hAnsi="宋体" w:eastAsia="宋体" w:cs="宋体"/>
          <w:color w:val="000000" w:themeColor="text1"/>
          <w:sz w:val="21"/>
          <w:szCs w:val="21"/>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          </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            </w:t>
      </w:r>
      <w:r>
        <w:rPr>
          <w:rFonts w:hint="eastAsia" w:ascii="宋体" w:hAnsi="宋体" w:eastAsia="宋体" w:cs="宋体"/>
          <w:color w:val="000000" w:themeColor="text1"/>
          <w:sz w:val="21"/>
          <w:szCs w:val="21"/>
          <w:highlight w:val="none"/>
          <w14:textFill>
            <w14:solidFill>
              <w14:schemeClr w14:val="tx1"/>
            </w14:solidFill>
          </w14:textFill>
        </w:rPr>
        <w:t xml:space="preserve">为我公司代理人，以本公司的名义参加</w:t>
      </w:r>
      <w:r>
        <w:rPr>
          <w:rFonts w:hint="eastAsia" w:ascii="宋体" w:hAnsi="宋体" w:cs="宋体"/>
          <w:color w:val="000000" w:themeColor="text1"/>
          <w:sz w:val="21"/>
          <w:szCs w:val="21"/>
          <w:highlight w:val="non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号</w:t>
      </w:r>
      <w:r>
        <w:rPr>
          <w:rFonts w:hint="eastAsia" w:ascii="宋体" w:hAnsi="宋体" w:eastAsia="宋体" w:cs="宋体"/>
          <w:color w:val="000000" w:themeColor="text1"/>
          <w:sz w:val="21"/>
          <w:szCs w:val="21"/>
          <w:highlight w:val="none"/>
          <w14:textFill>
            <w14:solidFill>
              <w14:schemeClr w14:val="tx1"/>
            </w14:solidFill>
          </w14:textFill>
        </w:rPr>
        <w:t xml:space="preserve">的竞争性磋商活动。代理人在磋商活动过程中所签署的一切文件和处理与这有关的一切事务，我均予以承认。</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代理人无转委托权。特此委托。</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代理人：（签字或盖章）</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2、磋商响应函</w:t>
      </w:r>
      <w:r/>
    </w:p>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磋商响应函</w:t>
      </w:r>
      <w:r/>
    </w:p>
    <w:p>
      <w:pPr>
        <w:contextualSpacing/>
        <w:keepLines w:val="0"/>
        <w:keepNext w:val="0"/>
        <w:pageBreakBefore w:val="0"/>
        <w:spacing w:line="360" w:lineRule="auto"/>
        <w:widowControl w:val="off"/>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我们收到贵公司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号</w:t>
      </w:r>
      <w:r>
        <w:rPr>
          <w:rFonts w:hint="eastAsia" w:ascii="宋体" w:hAnsi="宋体" w:eastAsia="宋体" w:cs="宋体"/>
          <w:color w:val="000000" w:themeColor="text1"/>
          <w:sz w:val="21"/>
          <w:szCs w:val="21"/>
          <w:highlight w:val="none"/>
          <w14:textFill>
            <w14:solidFill>
              <w14:schemeClr w14:val="tx1"/>
            </w14:solidFill>
          </w14:textFill>
        </w:rPr>
        <w:t xml:space="preserve">采购文件，经仔细阅读和研究，我们决定参加磋商活动。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我们愿意按照采购文件的一切要求，提供完成该项目的全部内容，我们的报价包括服务的整体方案策划费、各项活动的执行费、场地租赁、现场布置、布展搭建、人员差旅、货运交通、宣传报道、资源对接、合理利润、税金、政策性文件规定及合同包含的所有风险、责任等各项应有费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、如果我们的磋商响应文件被接受，我们将严格履行采购文件中规定的每一项要求，按期、按质、按量履行合同的义务。</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、我们已</w:t>
      </w:r>
      <w:r>
        <w:rPr>
          <w:rFonts w:ascii="宋体" w:hAnsi="宋体" w:eastAsia="宋体" w:cs="宋体"/>
          <w:color w:val="000000" w:themeColor="text1"/>
          <w:sz w:val="21"/>
          <w:szCs w:val="21"/>
          <w:highlight w:val="none"/>
          <w14:textFill>
            <w14:solidFill>
              <w14:schemeClr w14:val="tx1"/>
            </w14:solidFill>
          </w14:textFill>
        </w:rPr>
        <w:t xml:space="preserve">详细审查全部</w:t>
      </w:r>
      <w:r>
        <w:rPr>
          <w:rFonts w:hint="eastAsia" w:ascii="宋体" w:hAnsi="宋体" w:eastAsia="宋体" w:cs="宋体"/>
          <w:color w:val="000000" w:themeColor="text1"/>
          <w:sz w:val="21"/>
          <w:szCs w:val="21"/>
          <w:highlight w:val="none"/>
          <w14:textFill>
            <w14:solidFill>
              <w14:schemeClr w14:val="tx1"/>
            </w14:solidFill>
          </w14:textFill>
        </w:rPr>
        <w:t xml:space="preserve">采购</w:t>
      </w:r>
      <w:r>
        <w:rPr>
          <w:rFonts w:ascii="宋体" w:hAnsi="宋体" w:eastAsia="宋体" w:cs="宋体"/>
          <w:color w:val="000000" w:themeColor="text1"/>
          <w:sz w:val="21"/>
          <w:szCs w:val="21"/>
          <w:highlight w:val="none"/>
          <w14:textFill>
            <w14:solidFill>
              <w14:schemeClr w14:val="tx1"/>
            </w14:solidFill>
          </w14:textFill>
        </w:rPr>
        <w:t xml:space="preserve">文件，包括</w:t>
      </w:r>
      <w:r>
        <w:rPr>
          <w:rFonts w:hint="eastAsia" w:ascii="宋体" w:hAnsi="宋体" w:eastAsia="宋体" w:cs="宋体"/>
          <w:color w:val="000000" w:themeColor="text1"/>
          <w:sz w:val="21"/>
          <w:szCs w:val="21"/>
          <w:highlight w:val="none"/>
          <w14:textFill>
            <w14:solidFill>
              <w14:schemeClr w14:val="tx1"/>
            </w14:solidFill>
          </w14:textFill>
        </w:rPr>
        <w:t xml:space="preserve">更正公告</w:t>
      </w:r>
      <w:r>
        <w:rPr>
          <w:rFonts w:ascii="宋体" w:hAnsi="宋体" w:eastAsia="宋体" w:cs="宋体"/>
          <w:color w:val="000000" w:themeColor="text1"/>
          <w:sz w:val="21"/>
          <w:szCs w:val="21"/>
          <w:highlight w:val="none"/>
          <w14:textFill>
            <w14:solidFill>
              <w14:schemeClr w14:val="tx1"/>
            </w14:solidFill>
          </w14:textFill>
        </w:rPr>
        <w:t xml:space="preserve">(如</w:t>
      </w:r>
      <w:r>
        <w:rPr>
          <w:rFonts w:hint="eastAsia" w:ascii="宋体" w:hAnsi="宋体" w:eastAsia="宋体" w:cs="宋体"/>
          <w:color w:val="000000" w:themeColor="text1"/>
          <w:sz w:val="21"/>
          <w:szCs w:val="21"/>
          <w:highlight w:val="none"/>
          <w14:textFill>
            <w14:solidFill>
              <w14:schemeClr w14:val="tx1"/>
            </w14:solidFill>
          </w14:textFill>
        </w:rPr>
        <w:t xml:space="preserve">有</w:t>
      </w:r>
      <w:r>
        <w:rPr>
          <w:rFonts w:ascii="宋体" w:hAnsi="宋体" w:eastAsia="宋体" w:cs="宋体"/>
          <w:color w:val="000000" w:themeColor="text1"/>
          <w:sz w:val="21"/>
          <w:szCs w:val="21"/>
          <w:highlight w:val="none"/>
          <w14:textFill>
            <w14:solidFill>
              <w14:schemeClr w14:val="tx1"/>
            </w14:solidFill>
          </w14:textFill>
        </w:rPr>
        <w:t xml:space="preserve">)。我们完全理解并同意放弃对这方面有不明及误解的权力。</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4、我们同意按采购文件中的规定，本磋商响应文件的有效期限为响应文件提交截止之日起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九十</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5、我们愿意提供磋商采购单位在采购文件中要求的所有资料。</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6、我们愿意遵守采购文件中所列的收费标准。</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7、我们承诺该磋商响应文件在磋商开始后的全过程中保持有效，不作任何更改和变动。</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8、我们承诺我公司符合采购文件中“合格磋商供应商的一般条件和特殊条件”的要求，若与真实情况不符，本公司愿意承担由此而产生的一切后果。</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我们声明：我们在参加本次政府采购活动前</w:t>
      </w:r>
      <w:r>
        <w:rPr>
          <w:rFonts w:ascii="宋体" w:hAnsi="宋体" w:eastAsia="宋体" w:cs="宋体"/>
          <w:color w:val="000000" w:themeColor="text1"/>
          <w:sz w:val="21"/>
          <w:szCs w:val="21"/>
          <w:highlight w:val="none"/>
          <w14:textFill>
            <w14:solidFill>
              <w14:schemeClr w14:val="tx1"/>
            </w14:solidFill>
          </w14:textFill>
        </w:rPr>
        <w:t xml:space="preserve">3年内在经营活动中没有重大违法记录。</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、如果我们成交，我们愿意在领取成交通知书时按采购文件的规定支付代理服务费；</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、综合说明：</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）伴随服务及配合措施；（</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）要求甲方提供的配合；</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）对采购文件有不同意见的偏离说明；（</w:t>
      </w:r>
      <w:r>
        <w:rPr>
          <w:rFonts w:ascii="宋体" w:hAnsi="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）其它说明。</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所有有关磋商响应文件的函电，请按下列地址联系：</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                             联系人：</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邮政编码：</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传真：</w:t>
      </w:r>
      <w:r/>
    </w:p>
    <w:p>
      <w:pPr>
        <w:contextualSpacing/>
        <w:ind w:firstLine="480"/>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contextualSpacing/>
        <w:ind w:left="3400" w:firstLine="4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contextualSpacing/>
        <w:ind w:left="38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contextualSpacing/>
        <w:ind w:left="3400" w:firstLine="425"/>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contextualSpacing/>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3</w:t>
      </w:r>
      <w:r>
        <w:rPr>
          <w:rFonts w:hint="eastAsia" w:ascii="宋体" w:hAnsi="宋体" w:eastAsia="宋体" w:cs="宋体"/>
          <w:b/>
          <w:color w:val="000000" w:themeColor="text1"/>
          <w:sz w:val="24"/>
          <w:highlight w:val="none"/>
          <w14:textFill>
            <w14:solidFill>
              <w14:schemeClr w14:val="tx1"/>
            </w14:solidFill>
          </w14:textFill>
        </w:rPr>
        <w:t xml:space="preserve">、开标一览表</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开标一览表（见系统格式）</w:t>
      </w:r>
      <w:r/>
    </w:p>
    <w:p>
      <w:pP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响应报价分析表</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响应报价分析表</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报价项目名称：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tbl>
      <w:tblPr>
        <w:tblStyle w:val="683"/>
        <w:tblW w:w="94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3769"/>
        <w:gridCol w:w="1659"/>
        <w:gridCol w:w="850"/>
        <w:gridCol w:w="1042"/>
        <w:gridCol w:w="1368"/>
      </w:tblGrid>
      <w:tr>
        <w:trPr>
          <w:cantSplit/>
          <w:jc w:val="center"/>
        </w:trPr>
        <w:tc>
          <w:tcPr>
            <w:tcW w:w="76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376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服务内容</w:t>
            </w:r>
            <w:r/>
          </w:p>
        </w:tc>
        <w:tc>
          <w:tcPr>
            <w:tcBorders>
              <w:bottom w:val="single" w:color="auto" w:sz="4" w:space="0"/>
            </w:tcBorders>
            <w:tcW w:w="165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单价（元）</w:t>
            </w:r>
            <w:r/>
          </w:p>
        </w:tc>
        <w:tc>
          <w:tcPr>
            <w:tcBorders>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w:t>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数量</w:t>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合计（元）</w:t>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tcBorders>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Pr>
        <w:tc>
          <w:tcPr>
            <w:tcW w:w="7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376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64"/>
        </w:trPr>
        <w:tc>
          <w:tcPr>
            <w:gridSpan w:val="2"/>
            <w:tcBorders>
              <w:bottom w:val="single" w:color="auto" w:sz="6" w:space="0"/>
            </w:tcBorders>
            <w:tcW w:w="4537"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总价（元）</w:t>
            </w:r>
            <w:r/>
          </w:p>
        </w:tc>
        <w:tc>
          <w:tcPr>
            <w:tcBorders>
              <w:bottom w:val="single" w:color="auto" w:sz="6" w:space="0"/>
            </w:tcBorders>
            <w:tcW w:w="1659"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6" w:space="0"/>
              <w:right w:val="single" w:color="auto" w:sz="4" w:space="0"/>
            </w:tcBorders>
            <w:tcW w:w="850"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6" w:space="0"/>
              <w:right w:val="single" w:color="auto" w:sz="4" w:space="0"/>
            </w:tcBorders>
            <w:tcW w:w="1042"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6" w:space="0"/>
              <w:right w:val="single" w:color="auto" w:sz="4" w:space="0"/>
            </w:tcBorders>
            <w:tcW w:w="1368"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注：上述报价包含一切由供方承担的费用，各响应单位可参照上述格式自制《磋商响应报价表》参加磋商。</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szCs w:val="20"/>
          <w:highlight w:val="none"/>
          <w14:textFill>
            <w14:solidFill>
              <w14:schemeClr w14:val="tx1"/>
            </w14:solidFill>
          </w14:textFill>
        </w:rPr>
        <w:outlineLvl w:val="1"/>
      </w:pPr>
      <w:r>
        <w:rPr>
          <w:rFonts w:ascii="宋体" w:hAnsi="宋体" w:cs="宋体"/>
          <w:color w:val="000000" w:themeColor="text1"/>
          <w:sz w:val="24"/>
          <w:highlight w:val="none"/>
          <w:lang w:val="zh-CN"/>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5</w:t>
      </w:r>
      <w:r>
        <w:rPr>
          <w:rFonts w:hint="eastAsia" w:ascii="宋体" w:hAnsi="宋体" w:eastAsia="宋体" w:cs="宋体"/>
          <w:b/>
          <w:color w:val="000000" w:themeColor="text1"/>
          <w:sz w:val="24"/>
          <w:highlight w:val="none"/>
          <w14:textFill>
            <w14:solidFill>
              <w14:schemeClr w14:val="tx1"/>
            </w14:solidFill>
          </w14:textFill>
        </w:rPr>
        <w:t xml:space="preserve">、商务条款偏离表</w:t>
      </w:r>
      <w:r/>
    </w:p>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bl>
      <w:tblPr>
        <w:tblStyle w:val="683"/>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92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采购文件条目号</w:t>
            </w:r>
            <w:r/>
          </w:p>
        </w:tc>
        <w:tc>
          <w:tcPr>
            <w:tcW w:w="240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采购文件的商务条款</w:t>
            </w:r>
            <w:r/>
          </w:p>
        </w:tc>
        <w:tc>
          <w:tcPr>
            <w:tcW w:w="2400"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响应文件的商务条款</w:t>
            </w:r>
            <w:r/>
          </w:p>
        </w:tc>
        <w:tc>
          <w:tcPr>
            <w:tcW w:w="1097" w:type="dxa"/>
            <w:textDirection w:val="lrTb"/>
            <w:noWrap w:val="false"/>
          </w:tcPr>
          <w:p>
            <w:pPr>
              <w:jc w:val="cente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jc w:val="center"/>
        </w:trPr>
        <w:tc>
          <w:tcPr>
            <w:tcW w:w="708"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92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2400"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097" w:type="dxa"/>
            <w:textDirection w:val="lrTb"/>
            <w:noWrap w:val="false"/>
          </w:tcPr>
          <w:p>
            <w:pPr>
              <w:spacing w:before="240" w:after="240"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spacing w:line="360" w:lineRule="auto"/>
        <w:rPr>
          <w:rFonts w:ascii="宋体" w:hAnsi="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jc w:val="left"/>
        <w:rPr>
          <w:rFonts w:ascii="宋体" w:hAnsi="宋体" w:cs="宋体"/>
          <w:b/>
          <w:color w:val="000000" w:themeColor="text1"/>
          <w:sz w:val="24"/>
          <w:szCs w:val="20"/>
          <w:highlight w:val="none"/>
          <w14:textFill>
            <w14:solidFill>
              <w14:schemeClr w14:val="tx1"/>
            </w14:solidFill>
          </w14:textFill>
        </w:rPr>
        <w:outlineLvl w:val="1"/>
      </w:pPr>
      <w:r>
        <w:rPr>
          <w:rFonts w:ascii="宋体" w:hAnsi="宋体" w:cs="宋体"/>
          <w:color w:val="000000" w:themeColor="text1"/>
          <w:sz w:val="24"/>
          <w:highlight w:val="none"/>
          <w14:textFill>
            <w14:solidFill>
              <w14:schemeClr w14:val="tx1"/>
            </w14:solidFill>
          </w14:textFill>
        </w:rPr>
        <w:br w:type="page" w:clear="all"/>
      </w:r>
      <w:r>
        <w:rPr>
          <w:rFonts w:ascii="宋体" w:hAnsi="宋体" w:cs="宋体"/>
          <w:b/>
          <w:color w:val="000000" w:themeColor="text1"/>
          <w:sz w:val="24"/>
          <w:szCs w:val="20"/>
          <w:highlight w:val="none"/>
          <w14:textFill>
            <w14:solidFill>
              <w14:schemeClr w14:val="tx1"/>
            </w14:solidFill>
          </w14:textFill>
        </w:rPr>
        <w:t xml:space="preserve">6</w:t>
      </w:r>
      <w:r>
        <w:rPr>
          <w:rFonts w:hint="eastAsia" w:ascii="宋体" w:hAnsi="宋体" w:eastAsia="宋体" w:cs="宋体"/>
          <w:b/>
          <w:color w:val="000000" w:themeColor="text1"/>
          <w:sz w:val="24"/>
          <w:szCs w:val="20"/>
          <w:highlight w:val="none"/>
          <w14:textFill>
            <w14:solidFill>
              <w14:schemeClr w14:val="tx1"/>
            </w14:solidFill>
          </w14:textFill>
        </w:rPr>
        <w:t xml:space="preserve">、服务要求偏离表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服务要求偏离表</w:t>
      </w:r>
      <w:r/>
    </w:p>
    <w:tbl>
      <w:tblPr>
        <w:tblStyle w:val="68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采购内容</w:t>
            </w:r>
            <w:r/>
          </w:p>
        </w:tc>
        <w:tc>
          <w:tcPr>
            <w:tcW w:w="162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采购要求</w:t>
            </w:r>
            <w:r/>
          </w:p>
        </w:tc>
        <w:tc>
          <w:tcPr>
            <w:tcW w:w="144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响应要求</w:t>
            </w:r>
            <w:r/>
          </w:p>
        </w:tc>
        <w:tc>
          <w:tcPr>
            <w:tcW w:w="1699"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偏离/响应</w:t>
            </w:r>
            <w:r/>
          </w:p>
        </w:tc>
        <w:tc>
          <w:tcPr>
            <w:tcW w:w="175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828" w:type="dxa"/>
            <w:textDirection w:val="lrTb"/>
            <w:noWrap w:val="false"/>
          </w:tcPr>
          <w:p>
            <w:pPr>
              <w:spacing w:before="240" w:after="24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8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4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99"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5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注：1、响应人应对照采购文件服务要求等要求，所投标的物与采购文件的规定有偏离的，应在此表中申明与设计要求条文的偏差和例外。</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ind w:firstLine="48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686"/>
        <w:ind w:firstLine="480"/>
        <w:spacing w:line="360" w:lineRule="auto"/>
        <w:rPr>
          <w:rFonts w:ascii="宋体" w:hAnsi="宋体" w:cs="宋体"/>
          <w:b/>
          <w:color w:val="000000" w:themeColor="text1"/>
          <w:sz w:val="24"/>
          <w:szCs w:val="24"/>
          <w:highlight w:val="none"/>
          <w14:textFill>
            <w14:solidFill>
              <w14:schemeClr w14:val="tx1"/>
            </w14:solidFill>
          </w14:textFill>
        </w:rPr>
        <w:outlineLvl w:val="1"/>
      </w:pPr>
      <w:r>
        <w:rPr>
          <w:rFonts w:ascii="宋体" w:hAnsi="宋体" w:cs="宋体"/>
          <w:bCs/>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7</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服务方案</w:t>
      </w:r>
      <w:r/>
    </w:p>
    <w:p>
      <w:pPr>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服务方案</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620"/>
        </w:trPr>
        <w:tc>
          <w:tcPr>
            <w:tcW w:w="9726" w:type="dxa"/>
            <w:textDirection w:val="lrTb"/>
            <w:noWrap w:val="false"/>
          </w:tcPr>
          <w:p>
            <w:pP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提示：</w:t>
            </w:r>
            <w:r/>
          </w:p>
          <w:p>
            <w:pPr>
              <w:ind w:firstLine="48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1、磋商响应单位应根据本次采购项目要求，对</w:t>
            </w:r>
            <w:r>
              <w:rPr>
                <w:rFonts w:hint="eastAsia" w:ascii="宋体" w:hAnsi="宋体" w:eastAsia="宋体" w:cs="宋体"/>
                <w:color w:val="000000" w:themeColor="text1"/>
                <w:sz w:val="21"/>
                <w:szCs w:val="21"/>
                <w:highlight w:val="none"/>
                <w14:textFill>
                  <w14:solidFill>
                    <w14:schemeClr w14:val="tx1"/>
                  </w14:solidFill>
                </w14:textFill>
              </w:rPr>
              <w:t xml:space="preserve">服务</w:t>
            </w:r>
            <w:r>
              <w:rPr>
                <w:rFonts w:hint="eastAsia" w:ascii="宋体" w:hAnsi="宋体" w:eastAsia="宋体" w:cs="宋体"/>
                <w:bCs/>
                <w:color w:val="000000" w:themeColor="text1"/>
                <w:sz w:val="21"/>
                <w:szCs w:val="21"/>
                <w:highlight w:val="none"/>
                <w14:textFill>
                  <w14:solidFill>
                    <w14:schemeClr w14:val="tx1"/>
                  </w14:solidFill>
                </w14:textFill>
              </w:rPr>
              <w:t xml:space="preserve">的方案进行说明与描述。</w:t>
            </w:r>
            <w:r/>
          </w:p>
        </w:tc>
      </w:tr>
      <w:tr>
        <w:trPr>
          <w:jc w:val="center"/>
          <w:trHeight w:val="7709"/>
        </w:trPr>
        <w:tc>
          <w:tcPr>
            <w:tcW w:w="9726" w:type="dxa"/>
            <w:textDirection w:val="lrTb"/>
            <w:noWrap w:val="false"/>
          </w:tcPr>
          <w:p>
            <w:pPr>
              <w:ind w:right="240"/>
              <w:spacing w:line="52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8</w:t>
      </w:r>
      <w:r>
        <w:rPr>
          <w:rFonts w:hint="eastAsia" w:ascii="宋体" w:hAnsi="宋体" w:eastAsia="宋体" w:cs="宋体"/>
          <w:b/>
          <w:color w:val="000000" w:themeColor="text1"/>
          <w:sz w:val="24"/>
          <w:highlight w:val="none"/>
          <w14:textFill>
            <w14:solidFill>
              <w14:schemeClr w14:val="tx1"/>
            </w14:solidFill>
          </w14:textFill>
        </w:rPr>
        <w:t xml:space="preserve">、配备人员一览表</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配备人员一览表</w:t>
      </w:r>
      <w:r/>
    </w:p>
    <w:p>
      <w:pPr>
        <w:ind w:left="84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683"/>
        <w:tblW w:w="97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643"/>
        <w:gridCol w:w="1274"/>
        <w:gridCol w:w="707"/>
        <w:gridCol w:w="708"/>
        <w:gridCol w:w="1274"/>
        <w:gridCol w:w="1415"/>
        <w:gridCol w:w="851"/>
        <w:gridCol w:w="1270"/>
        <w:gridCol w:w="900"/>
      </w:tblGrid>
      <w:tr>
        <w:trPr>
          <w:cantSplit/>
          <w:jc w:val="center"/>
          <w:trHeight w:val="337"/>
        </w:trPr>
        <w:tc>
          <w:tcPr>
            <w:tcW w:w="672"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643"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w:t>
            </w:r>
            <w:r/>
          </w:p>
        </w:tc>
        <w:tc>
          <w:tcPr>
            <w:tcW w:w="1274"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707"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W w:w="708"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W w:w="1274"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w:t>
            </w:r>
            <w:r/>
          </w:p>
        </w:tc>
        <w:tc>
          <w:tcPr>
            <w:tcW w:w="1415" w:type="dxa"/>
            <w:vAlign w:val="center"/>
            <w:vMerge w:val="restart"/>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职称</w:t>
            </w:r>
            <w:r/>
          </w:p>
        </w:tc>
        <w:tc>
          <w:tcPr>
            <w:gridSpan w:val="2"/>
            <w:tcW w:w="212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从事工作</w:t>
            </w:r>
            <w:r/>
          </w:p>
        </w:tc>
        <w:tc>
          <w:tcPr>
            <w:tcW w:w="900" w:type="dxa"/>
            <w:vMerge w:val="restart"/>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cantSplit/>
          <w:jc w:val="center"/>
          <w:trHeight w:val="130"/>
        </w:trPr>
        <w:tc>
          <w:tcPr>
            <w:tcW w:w="672"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643"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4"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7"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8"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4"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15" w:type="dxa"/>
            <w:vAlign w:val="center"/>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年限</w:t>
            </w:r>
            <w:r/>
          </w:p>
        </w:tc>
        <w:tc>
          <w:tcPr>
            <w:tcW w:w="127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工作领域</w:t>
            </w:r>
            <w:r/>
          </w:p>
        </w:tc>
        <w:tc>
          <w:tcPr>
            <w:tcW w:w="900" w:type="dxa"/>
            <w:vMerge w:val="continue"/>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495"/>
        </w:trPr>
        <w:tc>
          <w:tcPr>
            <w:tcW w:w="672"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643"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7"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70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415"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851"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7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900"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注：1.附各专业人员简历及相关证明材料复印件；2.表格不够填写可添加。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20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szCs w:val="20"/>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9</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szCs w:val="20"/>
          <w:highlight w:val="none"/>
          <w14:textFill>
            <w14:solidFill>
              <w14:schemeClr w14:val="tx1"/>
            </w14:solidFill>
          </w14:textFill>
        </w:rPr>
        <w:t xml:space="preserve">类似业绩一览表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类似业绩一览表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bl>
      <w:tblPr>
        <w:tblStyle w:val="683"/>
        <w:tblW w:w="89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50"/>
        <w:gridCol w:w="2205"/>
        <w:gridCol w:w="2014"/>
        <w:gridCol w:w="2014"/>
        <w:gridCol w:w="1606"/>
      </w:tblGrid>
      <w:tr>
        <w:trPr>
          <w:jc w:val="center"/>
          <w:trHeight w:val="1235"/>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合同名称</w:t>
            </w:r>
            <w:r/>
          </w:p>
        </w:tc>
        <w:tc>
          <w:tcPr>
            <w:tcW w:w="2014"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业主单位</w:t>
            </w:r>
            <w:r/>
          </w:p>
        </w:tc>
        <w:tc>
          <w:tcPr>
            <w:tcW w:w="2014"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项目时间</w:t>
            </w:r>
            <w:r/>
          </w:p>
        </w:tc>
        <w:tc>
          <w:tcPr>
            <w:tcW w:w="1606" w:type="dxa"/>
            <w:vAlign w:val="center"/>
            <w:textDirection w:val="lrTb"/>
            <w:noWrap w:val="false"/>
          </w:tcPr>
          <w:p>
            <w:pPr>
              <w:jc w:val="center"/>
              <w:spacing w:line="360" w:lineRule="auto"/>
              <w:tabs>
                <w:tab w:val="left" w:pos="6252"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58" w:hRule="exact"/>
        </w:trPr>
        <w:tc>
          <w:tcPr>
            <w:tcW w:w="1150"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220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014" w:type="dxa"/>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10</w:t>
      </w:r>
      <w:r>
        <w:rPr>
          <w:rFonts w:hint="eastAsia" w:ascii="宋体" w:hAnsi="宋体" w:eastAsia="宋体" w:cs="宋体"/>
          <w:b/>
          <w:color w:val="000000" w:themeColor="text1"/>
          <w:sz w:val="24"/>
          <w:highlight w:val="none"/>
          <w14:textFill>
            <w14:solidFill>
              <w14:schemeClr w14:val="tx1"/>
            </w14:solidFill>
          </w14:textFill>
        </w:rPr>
        <w:t xml:space="preserve">、资格证明文件</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(1)、关于资格文件的声明函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关于资格文件的声明函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u w:val="singl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JSZC-320506-CLGL-C2026-0002</w:t>
      </w:r>
      <w:r>
        <w:rPr>
          <w:rFonts w:hint="eastAsia" w:ascii="宋体" w:hAnsi="宋体" w:eastAsia="宋体" w:cs="宋体"/>
          <w:color w:val="000000" w:themeColor="text1"/>
          <w:sz w:val="21"/>
          <w:szCs w:val="21"/>
          <w:highlight w:val="none"/>
          <w14:textFill>
            <w14:solidFill>
              <w14:schemeClr w14:val="tx1"/>
            </w14:solidFill>
          </w14:textFill>
        </w:rPr>
        <w:t xml:space="preserve">号的磋商采购活动进行响应。本公司所提交的响应文件中所有关于磋商资格的文件、证明和陈述均是真实的、准确的。若与真实情况不符，本公司愿意承担由此而产生的一切后果。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20"/>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供应商：（单位盖章）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年   月    日</w:t>
      </w:r>
      <w:r/>
    </w:p>
    <w:p>
      <w:pPr>
        <w:ind w:left="3507" w:firstLine="1145"/>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outlineLvl w:val="2"/>
      </w:pPr>
      <w:r>
        <w:rPr>
          <w:rFonts w:ascii="宋体" w:hAnsi="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(2)、磋商响应单位情况表</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磋商响应单位情况表</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p>
    <w:tbl>
      <w:tblPr>
        <w:tblStyle w:val="68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Height w:val="33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成立日期</w:t>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7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企业地址</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注册资本</w:t>
            </w:r>
            <w:r/>
          </w:p>
        </w:tc>
        <w:tc>
          <w:tcPr>
            <w:gridSpan w:val="2"/>
            <w:tcW w:w="3292" w:type="dxa"/>
            <w:vAlign w:val="center"/>
            <w:textDirection w:val="lrTb"/>
            <w:noWrap w:val="false"/>
          </w:tcPr>
          <w:p>
            <w:pPr>
              <w:ind w:firstLine="216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37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经营范围</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6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职工人数</w:t>
            </w:r>
            <w:r/>
          </w:p>
        </w:tc>
        <w:tc>
          <w:tcPr>
            <w:tcW w:w="2005"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gridSpan w:val="2"/>
            <w:tcW w:w="3517"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其中：有中高级以上职称的人数</w:t>
            </w:r>
            <w:r/>
          </w:p>
        </w:tc>
        <w:tc>
          <w:tcPr>
            <w:tcW w:w="1236"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377"/>
        </w:trPr>
        <w:tc>
          <w:tcPr>
            <w:tcW w:w="2510"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资产总计</w:t>
            </w:r>
            <w:r/>
          </w:p>
        </w:tc>
        <w:tc>
          <w:tcPr>
            <w:tcW w:w="2005"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1"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净资产</w:t>
            </w:r>
            <w:r/>
          </w:p>
        </w:tc>
        <w:tc>
          <w:tcPr>
            <w:gridSpan w:val="2"/>
            <w:tcW w:w="3292"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r>
      <w:tr>
        <w:trPr>
          <w:cantSplit/>
          <w:jc w:val="center"/>
          <w:trHeight w:val="317"/>
        </w:trPr>
        <w:tc>
          <w:tcPr>
            <w:tcW w:w="2510"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股东权益</w:t>
            </w:r>
            <w:r/>
          </w:p>
        </w:tc>
        <w:tc>
          <w:tcPr>
            <w:tcW w:w="2005"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万元</w:t>
            </w:r>
            <w:r/>
          </w:p>
        </w:tc>
        <w:tc>
          <w:tcPr>
            <w:tcW w:w="1461"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销售收入</w:t>
            </w:r>
            <w:r/>
          </w:p>
        </w:tc>
        <w:tc>
          <w:tcPr>
            <w:gridSpan w:val="2"/>
            <w:tcW w:w="3292" w:type="dxa"/>
            <w:vAlign w:val="center"/>
            <w:textDirection w:val="lrTb"/>
            <w:noWrap w:val="false"/>
          </w:tcPr>
          <w:p>
            <w:pPr>
              <w:jc w:val="cente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p>
        </w:tc>
      </w:tr>
      <w:tr>
        <w:trPr>
          <w:cantSplit/>
          <w:jc w:val="center"/>
          <w:trHeight w:val="36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实现利润</w:t>
            </w:r>
            <w:r/>
          </w:p>
        </w:tc>
        <w:tc>
          <w:tcPr>
            <w:tcW w:w="2005" w:type="dxa"/>
            <w:vAlign w:val="center"/>
            <w:textDirection w:val="lrTb"/>
            <w:noWrap w:val="false"/>
          </w:tcPr>
          <w:p>
            <w:pPr>
              <w:ind w:firstLine="63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万元</w:t>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0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营业面积（含厂房面积）</w:t>
            </w:r>
            <w:r/>
          </w:p>
        </w:tc>
        <w:tc>
          <w:tcPr>
            <w:tcW w:w="2005" w:type="dxa"/>
            <w:vAlign w:val="center"/>
            <w:textDirection w:val="lrTb"/>
            <w:noWrap w:val="false"/>
          </w:tcPr>
          <w:p>
            <w:pPr>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平方米</w:t>
            </w:r>
            <w:r/>
          </w:p>
        </w:tc>
        <w:tc>
          <w:tcPr>
            <w:tcW w:w="1461"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w:t>
            </w:r>
            <w:r/>
          </w:p>
        </w:tc>
        <w:tc>
          <w:tcPr>
            <w:gridSpan w:val="2"/>
            <w:tcW w:w="3292"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自有面积平方米</w:t>
            </w:r>
            <w:r/>
          </w:p>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承租面积平方米</w:t>
            </w:r>
            <w:r/>
          </w:p>
        </w:tc>
      </w:tr>
      <w:tr>
        <w:trPr>
          <w:cantSplit/>
          <w:jc w:val="center"/>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单位简历及内设机构情况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9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单位优势及特长</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0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近三年来完成或正在履行的重大合同情况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937"/>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年内在经营过程中受到何种奖励或处分（包括情况和结果）</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1481"/>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1012"/>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最近</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年内主要负责人有无因经济犯罪被司法机关追究的情况及说明</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664"/>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获得技术认证的工程师及简介</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560"/>
        </w:trPr>
        <w:tc>
          <w:tcPr>
            <w:tcW w:w="2510"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c>
          <w:tcPr>
            <w:gridSpan w:val="4"/>
            <w:tcW w:w="6758" w:type="dxa"/>
            <w:vAlign w:val="center"/>
            <w:textDirection w:val="lrTb"/>
            <w:noWrap w:val="false"/>
          </w:tcPr>
          <w:p>
            <w:pPr>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jc w:val="left"/>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keepLines/>
        <w:keepNext/>
        <w:rPr>
          <w:rFonts w:ascii="宋体" w:hAnsi="宋体" w:cs="宋体"/>
          <w:b/>
          <w:color w:val="000000" w:themeColor="text1"/>
          <w:sz w:val="24"/>
          <w:highlight w:val="none"/>
          <w14:textFill>
            <w14:solidFill>
              <w14:schemeClr w14:val="tx1"/>
            </w14:solidFill>
          </w14:textFill>
        </w:rPr>
        <w:outlineLvl w:val="2"/>
      </w:pPr>
      <w:r>
        <w:rPr>
          <w:rFonts w:ascii="宋体" w:hAnsi="宋体" w:cs="宋体"/>
          <w:b/>
          <w:color w:val="000000" w:themeColor="text1"/>
          <w:sz w:val="26"/>
          <w:highlight w:val="none"/>
          <w14:textFill>
            <w14:solidFill>
              <w14:schemeClr w14:val="tx1"/>
            </w14:solidFill>
          </w14:textFill>
        </w:rPr>
        <w:br w:type="page" w:clear="all"/>
      </w:r>
      <w:r>
        <w:rPr>
          <w:rFonts w:ascii="宋体" w:hAnsi="宋体" w:eastAsia="宋体" w:cs="宋体"/>
          <w:b/>
          <w:color w:val="000000" w:themeColor="text1"/>
          <w:sz w:val="24"/>
          <w:highlight w:val="none"/>
          <w14:textFill>
            <w14:solidFill>
              <w14:schemeClr w14:val="tx1"/>
            </w14:solidFill>
          </w14:textFill>
        </w:rPr>
        <w:t xml:space="preserve">(3)、中小企业声明函</w:t>
      </w:r>
      <w:r/>
    </w:p>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中小企业声明函</w:t>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lang w:val="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ascii="宋体" w:hAnsi="宋体" w:eastAsia="宋体" w:cs="宋体"/>
          <w:color w:val="000000" w:themeColor="text1"/>
          <w:sz w:val="21"/>
          <w:szCs w:val="21"/>
          <w:highlight w:val="none"/>
          <w:lang w:val="zh-CN"/>
          <w14:textFill>
            <w14:solidFill>
              <w14:schemeClr w14:val="tx1"/>
            </w14:solidFill>
          </w14:textFill>
        </w:rPr>
        <w:t xml:space="preserve">：</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（单位名称）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，属于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，从业人员</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 ，属于（中型企业、小型企业、微型企业）；</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，属于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其他未列明</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，从业人员</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人，营业收入为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万元，资产总额为</w:t>
      </w:r>
      <w:r>
        <w:rPr>
          <w:rFonts w:hint="eastAsia" w:ascii="宋体" w:hAnsi="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万元，属于（中型企业、小型企业、微型企业）；</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本企业对上述声明内容的真实性负责。如有虚假，将依法承担相应责任。</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ascii="宋体" w:hAnsi="宋体" w:eastAsia="宋体" w:cs="宋体"/>
          <w:color w:val="000000" w:themeColor="text1"/>
          <w:sz w:val="21"/>
          <w:szCs w:val="21"/>
          <w:highlight w:val="none"/>
          <w14:textFill>
            <w14:solidFill>
              <w14:schemeClr w14:val="tx1"/>
            </w14:solidFill>
          </w14:textFill>
        </w:rPr>
        <w:t xml:space="preserve">：（盖章）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      年    月    日</w:t>
      </w:r>
      <w:r/>
    </w:p>
    <w:p>
      <w:pPr>
        <w:jc w:val="left"/>
        <w:keepLines/>
        <w:keepNext/>
        <w:rPr>
          <w:rFonts w:ascii="宋体" w:hAnsi="宋体" w:cs="宋体"/>
          <w:b/>
          <w:color w:val="000000" w:themeColor="text1"/>
          <w:sz w:val="24"/>
          <w:highlight w:val="none"/>
          <w14:textFill>
            <w14:solidFill>
              <w14:schemeClr w14:val="tx1"/>
            </w14:solidFill>
          </w14:textFill>
        </w:rPr>
        <w:outlineLvl w:val="2"/>
      </w:pPr>
      <w:r>
        <w:rPr>
          <w:rFonts w:ascii="宋体" w:hAnsi="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(4)、残疾人福利性单位声明函</w:t>
      </w:r>
      <w:r/>
    </w:p>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残疾人福利性单位声明函</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单位名称（盖章）：</w:t>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  期</w:t>
      </w:r>
      <w:r/>
    </w:p>
    <w:p>
      <w:pPr>
        <w:ind w:right="-4"/>
        <w:pageBreakBefore/>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w:t>
      </w:r>
      <w:r>
        <w:rPr>
          <w:rFonts w:ascii="宋体" w:hAnsi="宋体" w:eastAsia="宋体" w:cs="宋体"/>
          <w:b/>
          <w:bCs/>
          <w:color w:val="000000" w:themeColor="text1"/>
          <w:sz w:val="24"/>
          <w:szCs w:val="24"/>
          <w:highlight w:val="none"/>
          <w14:textFill>
            <w14:solidFill>
              <w14:schemeClr w14:val="tx1"/>
            </w14:solidFill>
          </w14:textFill>
        </w:rPr>
        <w:t xml:space="preserve">监狱企业声明函</w:t>
      </w:r>
      <w:r/>
    </w:p>
    <w:p>
      <w:pPr>
        <w:jc w:val="center"/>
        <w:rPr>
          <w:rFonts w:ascii="宋体" w:hAnsi="宋体" w:cs="宋体"/>
          <w:b/>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监狱企业声明函</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本企业（单位）郑重声明下列事项（按照实际情况勾选或填空）：</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本企业（单位）为直接投标人提供本企业（单位）的服务。</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（1）本企业（单位）（请填写：是、不是）监狱企业。后附省级以上监狱管理局、戒毒管理局（含新疆生产建设兵团）出具的属于监狱企业的证明文件。</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ind w:firstLine="480"/>
        <w:jc w:val="lef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ind w:firstLine="4800"/>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投标人签章：</w:t>
      </w:r>
      <w:r>
        <w:rPr>
          <w:rFonts w:ascii="宋体" w:hAnsi="宋体" w:cs="宋体"/>
          <w:color w:val="000000" w:themeColor="text1"/>
          <w:sz w:val="21"/>
          <w:szCs w:val="21"/>
          <w:highlight w:val="none"/>
          <w:u w:val="single"/>
          <w14:textFill>
            <w14:solidFill>
              <w14:schemeClr w14:val="tx1"/>
            </w14:solidFill>
          </w14:textFill>
        </w:rPr>
        <w:t xml:space="preserve">         </w:t>
      </w:r>
      <w:r/>
    </w:p>
    <w:p>
      <w:pPr>
        <w:jc w:val="right"/>
        <w:spacing w:before="75" w:after="75" w:line="435" w:lineRule="atLeast"/>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jc w:val="left"/>
        <w:spacing w:before="36" w:after="36"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ascii="宋体" w:hAnsi="宋体" w:cs="宋体"/>
          <w:b/>
          <w:bCs/>
          <w:color w:val="000000" w:themeColor="text1"/>
          <w:sz w:val="24"/>
          <w:szCs w:val="24"/>
          <w:highlight w:val="none"/>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供应商与其他单位存在控股、管理关系情况表</w:t>
      </w:r>
      <w:r/>
    </w:p>
    <w:p>
      <w:pPr>
        <w:ind w:firstLine="480"/>
        <w:jc w:val="center"/>
        <w:spacing w:before="36" w:after="36"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36" w:after="36" w:line="360" w:lineRule="auto"/>
        <w:tabs>
          <w:tab w:val="left" w:pos="1674" w:leader="none"/>
          <w:tab w:val="center" w:pos="4757"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供应商与其他单位存在控股、管理关系情况表</w:t>
      </w:r>
      <w:r/>
    </w:p>
    <w:p>
      <w:pPr>
        <w:spacing w:line="40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与供应商存在控股、管理关系的单位名称</w:t>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jc w:val="center"/>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tc>
      </w:tr>
    </w:tbl>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注：供应商应当按实填写所有与之有控股、管理关系的情况</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w:t>
      </w:r>
      <w:r>
        <w:rPr>
          <w:rFonts w:ascii="宋体" w:hAnsi="宋体" w:eastAsia="宋体" w:cs="宋体"/>
          <w:color w:val="000000" w:themeColor="text1"/>
          <w:sz w:val="21"/>
          <w:szCs w:val="21"/>
          <w:highlight w:val="none"/>
          <w14:textFill>
            <w14:solidFill>
              <w14:schemeClr w14:val="tx1"/>
            </w14:solidFill>
          </w14:textFill>
        </w:rPr>
        <w:t xml:space="preserve">：（盖章）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日期：      年    月    日</w:t>
      </w:r>
      <w:r/>
    </w:p>
    <w:p>
      <w:pPr>
        <w:spacing w:line="360" w:lineRule="auto"/>
        <w:rPr>
          <w:rFonts w:ascii="宋体" w:hAnsi="宋体" w:cs="宋体"/>
          <w:b/>
          <w:bCs/>
          <w:color w:val="000000" w:themeColor="text1"/>
          <w:sz w:val="28"/>
          <w:szCs w:val="28"/>
          <w:highlight w:val="none"/>
          <w14:textFill>
            <w14:solidFill>
              <w14:schemeClr w14:val="tx1"/>
            </w14:solidFill>
          </w14:textFill>
        </w:rPr>
        <w:outlineLvl w:val="1"/>
      </w:pPr>
      <w:r>
        <w:rPr>
          <w:rFonts w:ascii="宋体" w:hAnsi="宋体" w:cs="宋体"/>
          <w:b/>
          <w:color w:val="000000" w:themeColor="text1"/>
          <w:sz w:val="24"/>
          <w:highlight w:val="none"/>
          <w14:textFill>
            <w14:solidFill>
              <w14:schemeClr w14:val="tx1"/>
            </w14:solidFill>
          </w14:textFill>
        </w:rPr>
        <w:br w:type="page" w:clear="all"/>
      </w:r>
      <w:r>
        <w:rPr>
          <w:rFonts w:ascii="宋体" w:hAnsi="宋体" w:cs="宋体"/>
          <w:b/>
          <w:color w:val="000000" w:themeColor="text1"/>
          <w:sz w:val="24"/>
          <w:highlight w:val="none"/>
          <w14:textFill>
            <w14:solidFill>
              <w14:schemeClr w14:val="tx1"/>
            </w14:solidFill>
          </w14:textFill>
        </w:rPr>
        <w:t xml:space="preserve">11</w:t>
      </w:r>
      <w:r>
        <w:rPr>
          <w:rFonts w:hint="eastAsia" w:ascii="宋体" w:hAnsi="宋体" w:eastAsia="宋体" w:cs="宋体"/>
          <w:b/>
          <w:color w:val="000000" w:themeColor="text1"/>
          <w:sz w:val="24"/>
          <w:highlight w:val="none"/>
          <w14:textFill>
            <w14:solidFill>
              <w14:schemeClr w14:val="tx1"/>
            </w14:solidFill>
          </w14:textFill>
        </w:rPr>
        <w:t xml:space="preserve">、投标（响应）保证承诺书</w:t>
      </w:r>
      <w:r/>
    </w:p>
    <w:p>
      <w:pPr>
        <w:spacing w:line="400" w:lineRule="exac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投标（响应）保证承诺书</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（采购代理机构名称）</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1"/>
          <w:szCs w:val="21"/>
          <w:highlight w:val="none"/>
          <w14:textFill>
            <w14:solidFill>
              <w14:schemeClr w14:val="tx1"/>
            </w14:solidFill>
          </w14:textFill>
        </w:rPr>
        <w:t xml:space="preserve">的投标（响应）,并做出如下承诺：</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eastAsia="宋体" w:cs="宋体"/>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1.自投标（响应）截止时间至本项目发布中标（成交）公告为止，撤销投标（响应）；</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2.中标（成交）后不依法与采购人签订合同；</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3.中标（成交）后不按本采购文件规定向采购人提交履约保证金（若有）；</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4.中标（成交）后不按本采购文件规定向贵方缴纳采购代理费。</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二、我单位知晓上述行为的法律后果，承认本承诺书作为贵方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（或采购人）</w:t>
      </w:r>
      <w:r>
        <w:rPr>
          <w:rFonts w:hint="eastAsia" w:ascii="宋体" w:hAnsi="宋体" w:eastAsia="宋体" w:cs="宋体"/>
          <w:color w:val="000000" w:themeColor="text1"/>
          <w:sz w:val="21"/>
          <w:szCs w:val="21"/>
          <w:highlight w:val="none"/>
          <w14:textFill>
            <w14:solidFill>
              <w14:schemeClr w14:val="tx1"/>
            </w14:solidFill>
          </w14:textFill>
        </w:rPr>
        <w:t xml:space="preserve">要求我单位履行违约赔偿义务的依据作用。</w:t>
      </w:r>
      <w:r/>
    </w:p>
    <w:p>
      <w:pPr>
        <w:ind w:left="1560"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投标（响应）人：</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（盖公章）</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法定代表人或委托代理人（签字或签章）：</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电话：</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                                         电子邮件：</w:t>
      </w:r>
      <w:r/>
    </w:p>
    <w:p>
      <w:pPr>
        <w:ind w:firstLine="420"/>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   </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jc w:val="left"/>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p>
      <w:pP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28"/>
          <w:szCs w:val="28"/>
          <w:highlight w:val="none"/>
          <w14:textFill>
            <w14:solidFill>
              <w14:schemeClr w14:val="tx1"/>
            </w14:solidFill>
          </w14:textFill>
        </w:rPr>
        <w:t xml:space="preserve">第三章 </w:t>
      </w:r>
      <w:bookmarkEnd w:id="0"/>
      <w:r>
        <w:rPr>
          <w:rFonts w:hint="eastAsia" w:ascii="宋体" w:hAnsi="宋体" w:eastAsia="宋体" w:cs="宋体"/>
          <w:b/>
          <w:color w:val="000000" w:themeColor="text1"/>
          <w:sz w:val="28"/>
          <w:szCs w:val="28"/>
          <w:highlight w:val="none"/>
          <w14:textFill>
            <w14:solidFill>
              <w14:schemeClr w14:val="tx1"/>
            </w14:solidFill>
          </w14:textFill>
        </w:rPr>
        <w:t xml:space="preserve">采购内容</w:t>
      </w:r>
      <w:bookmarkEnd w:id="1"/>
      <w:r/>
      <w:r/>
    </w:p>
    <w:p>
      <w:pPr>
        <w:ind w:firstLine="48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苏州诚来项目管理有限公司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受中国共产党苏州市吴中区委员会宣传部的委托，就其单位所需的</w:t>
      </w:r>
      <w:r>
        <w:rPr>
          <w:rFonts w:hint="eastAsia" w:ascii="宋体" w:hAnsi="宋体" w:cs="宋体"/>
          <w:color w:val="000000" w:themeColor="text1"/>
          <w:sz w:val="21"/>
          <w:szCs w:val="21"/>
          <w:highlight w:val="none"/>
          <w:lang w:eastAsia="zh-CN"/>
          <w14:textFill>
            <w14:solidFill>
              <w14:schemeClr w14:val="tx1"/>
            </w14:solidFill>
          </w14:textFill>
        </w:rPr>
        <w:t xml:space="preserve"> 2026年“吴中百匠”项目</w:t>
      </w:r>
      <w:r>
        <w:rPr>
          <w:rFonts w:hint="eastAsia" w:ascii="宋体" w:hAnsi="宋体" w:eastAsia="宋体" w:cs="宋体"/>
          <w:color w:val="000000" w:themeColor="text1"/>
          <w:sz w:val="21"/>
          <w:szCs w:val="21"/>
          <w:highlight w:val="none"/>
          <w14:textFill>
            <w14:solidFill>
              <w14:schemeClr w14:val="tx1"/>
            </w14:solidFill>
          </w14:textFill>
        </w:rPr>
        <w:t xml:space="preserve">以竞争性磋商方式进行采购，欢迎有资格的供应商前来参加本次磋商采购。</w:t>
      </w:r>
      <w:r/>
    </w:p>
    <w:p>
      <w:pPr>
        <w:keepLines w:val="0"/>
        <w:keepNext w:val="0"/>
        <w:pageBreakBefore w:val="0"/>
        <w:spacing w:line="360" w:lineRule="auto"/>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一、采购编号：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JSZC-320506-CLGL-C2026-0002</w:t>
      </w:r>
      <w:r/>
    </w:p>
    <w:p>
      <w:pPr>
        <w:keepLines w:val="0"/>
        <w:keepNext w:val="0"/>
        <w:pageBreakBefore w:val="0"/>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二、项目名称：</w:t>
      </w:r>
      <w:r>
        <w:rPr>
          <w:rFonts w:hint="eastAsia" w:ascii="宋体" w:hAnsi="宋体" w:cs="宋体"/>
          <w:b w:val="0"/>
          <w:bCs/>
          <w:color w:val="000000" w:themeColor="text1"/>
          <w:sz w:val="21"/>
          <w:szCs w:val="21"/>
          <w:highlight w:val="none"/>
          <w:lang w:eastAsia="zh-CN"/>
          <w14:textFill>
            <w14:solidFill>
              <w14:schemeClr w14:val="tx1"/>
            </w14:solidFill>
          </w14:textFill>
        </w:rPr>
        <w:t xml:space="preserve">2026年“吴中百匠”项目</w:t>
      </w:r>
      <w:r/>
    </w:p>
    <w:p>
      <w:pP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三、采购需求：</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3" w:name="_Hlk105587020"/>
      <w:r>
        <w:rPr>
          <w:rFonts w:hint="eastAsia" w:ascii="宋体" w:hAnsi="宋体" w:eastAsia="宋体" w:cs="宋体"/>
          <w:color w:val="000000" w:themeColor="text1"/>
          <w:sz w:val="21"/>
          <w:szCs w:val="21"/>
          <w:highlight w:val="none"/>
          <w14:textFill>
            <w14:solidFill>
              <w14:schemeClr w14:val="tx1"/>
            </w14:solidFill>
          </w14:textFill>
        </w:rPr>
        <w:t xml:space="preserve">（一）项目目标</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为持续深化“吴中百匠”品牌内涵，进一步提升创新力、传播力与影响力，202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年以“吴中百匠”为 核心，从传承、创新、传播等多个维度出发，以系列活动为契机，搭建展示平台，激发新质生产力，让“吴中百匠”品牌在新时代焕发出更加耀眼的光芒，为吴中文化产业发展注入力量。</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（二）采购服务内容包括：</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1、活动策划</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（1）对</w:t>
      </w:r>
      <w:r>
        <w:rPr>
          <w:rFonts w:hint="eastAsia" w:ascii="宋体" w:hAnsi="宋体" w:cs="宋体"/>
          <w:color w:val="000000" w:themeColor="text1"/>
          <w:sz w:val="21"/>
          <w:szCs w:val="21"/>
          <w:highlight w:val="none"/>
          <w:lang w:eastAsia="zh-CN"/>
          <w14:textFill>
            <w14:solidFill>
              <w14:schemeClr w14:val="tx1"/>
            </w14:solidFill>
          </w14:textFill>
        </w:rPr>
        <w:t xml:space="preserve">2026年“吴中百匠”项目</w:t>
      </w:r>
      <w:r>
        <w:rPr>
          <w:rFonts w:hint="eastAsia" w:ascii="宋体" w:hAnsi="宋体" w:eastAsia="宋体" w:cs="宋体"/>
          <w:color w:val="000000" w:themeColor="text1"/>
          <w:sz w:val="21"/>
          <w:szCs w:val="21"/>
          <w:highlight w:val="none"/>
          <w14:textFill>
            <w14:solidFill>
              <w14:schemeClr w14:val="tx1"/>
            </w14:solidFill>
          </w14:textFill>
        </w:rPr>
        <w:t xml:space="preserve">进行全案策划。</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（2）方案既能体现站位高度，又有创意亮点，进一步彰显“吴中百匠”系列活动基础上的创新实践与发展成果。</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（3）方案能够体现对于江南文化传播、</w:t>
      </w:r>
      <w:r>
        <w:rPr>
          <w:rFonts w:hint="eastAsia" w:ascii="宋体" w:hAnsi="宋体" w:cs="宋体"/>
          <w:color w:val="000000" w:themeColor="text1"/>
          <w:sz w:val="21"/>
          <w:szCs w:val="21"/>
          <w:highlight w:val="white"/>
          <w:lang w:val="en-US" w:eastAsia="zh-CN"/>
          <w14:textFill>
            <w14:solidFill>
              <w14:schemeClr w14:val="tx1"/>
            </w14:solidFill>
          </w14:textFill>
        </w:rPr>
        <w:t xml:space="preserve">百匠品牌建设、</w:t>
      </w:r>
      <w:r>
        <w:rPr>
          <w:rFonts w:hint="eastAsia" w:ascii="宋体" w:hAnsi="宋体" w:eastAsia="宋体" w:cs="宋体"/>
          <w:color w:val="000000" w:themeColor="text1"/>
          <w:sz w:val="21"/>
          <w:szCs w:val="21"/>
          <w:highlight w:val="white"/>
          <w14:textFill>
            <w14:solidFill>
              <w14:schemeClr w14:val="tx1"/>
            </w14:solidFill>
          </w14:textFill>
        </w:rPr>
        <w:t xml:space="preserve">百匠人才成长的推动举措，以及系列活动的影响力和辐射度。</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2、内容构成</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（1）系列活动之间要有内在关联度，形成内容和逻辑体系，为扎实打造推进“吴中百匠”IP进行全面赋能，要注重方案的落地性和实效力。</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（2）要全面推广“吴中百匠”IP，拓宽</w:t>
      </w:r>
      <w:r>
        <w:rPr>
          <w:rFonts w:hint="eastAsia" w:ascii="宋体" w:hAnsi="宋体" w:cs="宋体"/>
          <w:color w:val="000000" w:themeColor="text1"/>
          <w:sz w:val="21"/>
          <w:szCs w:val="21"/>
          <w:highlight w:val="white"/>
          <w:lang w:val="en-US" w:eastAsia="zh-CN"/>
          <w14:textFill>
            <w14:solidFill>
              <w14:schemeClr w14:val="tx1"/>
            </w14:solidFill>
          </w14:textFill>
        </w:rPr>
        <w:t xml:space="preserve">传播</w:t>
      </w:r>
      <w:r>
        <w:rPr>
          <w:rFonts w:hint="eastAsia" w:ascii="宋体" w:hAnsi="宋体" w:eastAsia="宋体" w:cs="宋体"/>
          <w:color w:val="000000" w:themeColor="text1"/>
          <w:sz w:val="21"/>
          <w:szCs w:val="21"/>
          <w:highlight w:val="white"/>
          <w14:textFill>
            <w14:solidFill>
              <w14:schemeClr w14:val="tx1"/>
            </w14:solidFill>
          </w14:textFill>
        </w:rPr>
        <w:t xml:space="preserve">渠道和</w:t>
      </w:r>
      <w:r>
        <w:rPr>
          <w:rFonts w:hint="eastAsia" w:ascii="宋体" w:hAnsi="宋体" w:cs="宋体"/>
          <w:color w:val="000000" w:themeColor="text1"/>
          <w:sz w:val="21"/>
          <w:szCs w:val="21"/>
          <w:highlight w:val="white"/>
          <w:lang w:val="en-US" w:eastAsia="zh-CN"/>
          <w14:textFill>
            <w14:solidFill>
              <w14:schemeClr w14:val="tx1"/>
            </w14:solidFill>
          </w14:textFill>
        </w:rPr>
        <w:t xml:space="preserve">市场化对接的</w:t>
      </w:r>
      <w:r>
        <w:rPr>
          <w:rFonts w:hint="eastAsia" w:ascii="宋体" w:hAnsi="宋体" w:eastAsia="宋体" w:cs="宋体"/>
          <w:color w:val="000000" w:themeColor="text1"/>
          <w:sz w:val="21"/>
          <w:szCs w:val="21"/>
          <w:highlight w:val="white"/>
          <w14:textFill>
            <w14:solidFill>
              <w14:schemeClr w14:val="tx1"/>
            </w14:solidFill>
          </w14:textFill>
        </w:rPr>
        <w:t xml:space="preserve">范围，挖掘</w:t>
      </w:r>
      <w:r>
        <w:rPr>
          <w:rFonts w:hint="eastAsia" w:ascii="宋体" w:hAnsi="宋体" w:cs="宋体"/>
          <w:color w:val="000000" w:themeColor="text1"/>
          <w:sz w:val="21"/>
          <w:szCs w:val="21"/>
          <w:highlight w:val="white"/>
          <w:lang w:eastAsia="zh-CN"/>
          <w14:textFill>
            <w14:solidFill>
              <w14:schemeClr w14:val="tx1"/>
            </w14:solidFill>
          </w14:textFill>
        </w:rPr>
        <w:t xml:space="preserve">“</w:t>
      </w:r>
      <w:r>
        <w:rPr>
          <w:rFonts w:hint="eastAsia" w:ascii="宋体" w:hAnsi="宋体" w:cs="宋体"/>
          <w:color w:val="000000" w:themeColor="text1"/>
          <w:sz w:val="21"/>
          <w:szCs w:val="21"/>
          <w:highlight w:val="white"/>
          <w:lang w:val="en-US" w:eastAsia="zh-CN"/>
          <w14:textFill>
            <w14:solidFill>
              <w14:schemeClr w14:val="tx1"/>
            </w14:solidFill>
          </w14:textFill>
        </w:rPr>
        <w:t xml:space="preserve">吴中百匠”的品牌化和市场化价值</w:t>
      </w:r>
      <w:r>
        <w:rPr>
          <w:rFonts w:hint="eastAsia" w:ascii="宋体" w:hAnsi="宋体" w:eastAsia="宋体" w:cs="宋体"/>
          <w:color w:val="000000" w:themeColor="text1"/>
          <w:sz w:val="21"/>
          <w:szCs w:val="21"/>
          <w:highlight w:val="white"/>
          <w14:textFill>
            <w14:solidFill>
              <w14:schemeClr w14:val="tx1"/>
            </w14:solidFill>
          </w14:textFill>
        </w:rPr>
        <w:t xml:space="preserve">，促进</w:t>
      </w:r>
      <w:r>
        <w:rPr>
          <w:rFonts w:hint="eastAsia" w:ascii="宋体" w:hAnsi="宋体" w:cs="宋体"/>
          <w:color w:val="000000" w:themeColor="text1"/>
          <w:sz w:val="21"/>
          <w:szCs w:val="21"/>
          <w:highlight w:val="white"/>
          <w:lang w:eastAsia="zh-CN"/>
          <w14:textFill>
            <w14:solidFill>
              <w14:schemeClr w14:val="tx1"/>
            </w14:solidFill>
          </w14:textFill>
        </w:rPr>
        <w:t xml:space="preserve">“</w:t>
      </w:r>
      <w:r>
        <w:rPr>
          <w:rFonts w:hint="eastAsia" w:ascii="宋体" w:hAnsi="宋体" w:cs="宋体"/>
          <w:color w:val="000000" w:themeColor="text1"/>
          <w:sz w:val="21"/>
          <w:szCs w:val="21"/>
          <w:highlight w:val="white"/>
          <w:lang w:val="en-US" w:eastAsia="zh-CN"/>
          <w14:textFill>
            <w14:solidFill>
              <w14:schemeClr w14:val="tx1"/>
            </w14:solidFill>
          </w14:textFill>
        </w:rPr>
        <w:t xml:space="preserve">吴中百匠”有效持续发展</w:t>
      </w:r>
      <w:r>
        <w:rPr>
          <w:rFonts w:hint="eastAsia" w:ascii="宋体" w:hAnsi="宋体" w:eastAsia="宋体" w:cs="宋体"/>
          <w:color w:val="000000" w:themeColor="text1"/>
          <w:sz w:val="21"/>
          <w:szCs w:val="21"/>
          <w:highlight w:val="white"/>
          <w14:textFill>
            <w14:solidFill>
              <w14:schemeClr w14:val="tx1"/>
            </w14:solidFill>
          </w14:textFill>
        </w:rPr>
        <w:t xml:space="preserve">。</w:t>
      </w:r>
      <w:r>
        <w:rPr>
          <w:highlight w:val="white"/>
        </w:rP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（3）要着力构建文化产业发展的生态圈，推动产业链上下游的协同发展，打造可持续发展的产业模式。</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（4）要推动资源对接，促成百匠项目和相关合作计划落地实施，加强百匠项目的成长性挖掘和孵化推动。</w:t>
      </w:r>
      <w:bookmarkEnd w:id="13"/>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（三）服务期限：合同签订后一年（按实际活动启动之日起算，如出现不可抗力因素，可与甲方商讨，进行顺延)。</w:t>
      </w:r>
      <w:r/>
    </w:p>
    <w:p>
      <w:pPr>
        <w:ind w:firstLine="283"/>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（四）验收标准：按甲方要求及最新行业或国家标准验收。</w:t>
      </w:r>
      <w:r/>
    </w:p>
    <w:p>
      <w:pPr>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color w:val="000000" w:themeColor="text1"/>
          <w:sz w:val="21"/>
          <w:szCs w:val="21"/>
          <w:highlight w:val="none"/>
          <w14:textFill>
            <w14:solidFill>
              <w14:schemeClr w14:val="tx1"/>
            </w14:solidFill>
          </w14:textFill>
        </w:rPr>
        <w:t xml:space="preserve">四、</w:t>
      </w:r>
      <w:r>
        <w:rPr>
          <w:rFonts w:hint="eastAsia" w:ascii="宋体" w:hAnsi="宋体" w:eastAsia="宋体" w:cs="宋体"/>
          <w:b/>
          <w:bCs/>
          <w:color w:val="000000"/>
          <w:sz w:val="21"/>
          <w:szCs w:val="21"/>
          <w:lang w:bidi="ar"/>
        </w:rPr>
        <w:t xml:space="preserve">磋商响应文件的组成：【所提交资料包含但不限于下列内容；排序按照苏釆云系统顺序】</w:t>
      </w:r>
      <w:r/>
    </w:p>
    <w:p>
      <w:pPr>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1</w:t>
      </w:r>
      <w:r>
        <w:rPr>
          <w:rFonts w:hint="eastAsia" w:ascii="宋体" w:hAnsi="宋体" w:eastAsia="宋体" w:cs="宋体"/>
          <w:b/>
          <w:color w:val="000000"/>
          <w:sz w:val="21"/>
          <w:szCs w:val="21"/>
        </w:rPr>
        <w:t xml:space="preserve">响应文件（符合性审查材料</w:t>
      </w:r>
      <w:r>
        <w:rPr>
          <w:rFonts w:hint="eastAsia" w:ascii="宋体" w:hAnsi="宋体" w:eastAsia="宋体" w:cs="宋体"/>
          <w:b/>
          <w:bCs/>
          <w:sz w:val="21"/>
          <w:szCs w:val="21"/>
        </w:rPr>
        <w:t xml:space="preserve">）</w:t>
      </w:r>
      <w:r>
        <w:rPr>
          <w:rFonts w:hint="eastAsia" w:ascii="宋体" w:hAnsi="宋体" w:eastAsia="宋体" w:cs="宋体"/>
          <w:b w:val="0"/>
          <w:bCs/>
          <w:color w:val="000000"/>
          <w:sz w:val="21"/>
          <w:szCs w:val="21"/>
          <w:lang w:bidi="ar"/>
        </w:rPr>
        <w:t xml:space="preserve">；</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1.1磋商响应函；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1.2投标单位法定代表人身份证复印件；</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1.3授权委托书（如有授权）；</w:t>
      </w:r>
      <w:r/>
    </w:p>
    <w:p>
      <w:pPr>
        <w:ind w:firstLine="42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1.4响应单位委托代理人身份证复印件（如有授权）；</w:t>
      </w:r>
      <w:r/>
    </w:p>
    <w:p>
      <w:pPr>
        <w:ind w:firstLine="420"/>
        <w:keepLines w:val="0"/>
        <w:keepNext w:val="0"/>
        <w:pageBreakBefore w:val="0"/>
        <w:spacing w:line="36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1.5磋商响应报价表；</w:t>
      </w:r>
      <w:r/>
    </w:p>
    <w:p>
      <w:pPr>
        <w:pStyle w:val="684"/>
        <w:keepLines w:val="0"/>
        <w:keepNext w:val="0"/>
        <w:pageBreakBefore w:val="0"/>
        <w:spacing w:line="360" w:lineRule="auto"/>
        <w:rPr>
          <w:rFonts w:hint="eastAsia"/>
        </w:rPr>
      </w:pPr>
      <w:r>
        <w:rPr>
          <w:rFonts w:hint="eastAsia" w:ascii="宋体" w:hAnsi="宋体" w:cs="宋体"/>
          <w:color w:val="000000"/>
          <w:sz w:val="21"/>
          <w:szCs w:val="21"/>
          <w:lang w:val="en-US" w:eastAsia="zh-CN" w:bidi="ar"/>
        </w:rPr>
        <w:t xml:space="preserve">1.6</w:t>
      </w:r>
      <w:r>
        <w:rPr>
          <w:rFonts w:hint="eastAsia" w:ascii="宋体" w:hAnsi="宋体" w:eastAsia="宋体" w:cs="宋体"/>
          <w:color w:val="000000"/>
          <w:sz w:val="21"/>
          <w:szCs w:val="21"/>
          <w:lang w:bidi="ar"/>
        </w:rPr>
        <w:t xml:space="preserve">偏离表（商务条款偏离表、服务条款偏离表）</w:t>
      </w:r>
      <w:r/>
    </w:p>
    <w:p>
      <w:pPr>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2</w:t>
      </w:r>
      <w:r>
        <w:rPr>
          <w:rFonts w:hint="eastAsia" w:ascii="宋体" w:hAnsi="宋体" w:eastAsia="宋体" w:cs="宋体"/>
          <w:b/>
          <w:bCs/>
          <w:lang w:val="zh-CN"/>
        </w:rPr>
        <w:t xml:space="preserve">响应文件</w:t>
      </w:r>
      <w:r>
        <w:rPr>
          <w:rFonts w:hint="eastAsia" w:ascii="宋体" w:hAnsi="宋体" w:eastAsia="宋体" w:cs="宋体"/>
          <w:b/>
          <w:color w:val="000000"/>
          <w:sz w:val="21"/>
          <w:szCs w:val="21"/>
          <w:lang w:bidi="ar"/>
        </w:rPr>
        <w:t xml:space="preserve">（</w:t>
      </w:r>
      <w:r>
        <w:rPr>
          <w:rFonts w:ascii="宋体" w:hAnsi="宋体" w:eastAsia="宋体" w:cs="宋体"/>
          <w:b/>
          <w:bCs/>
          <w:lang w:val="zh-CN"/>
        </w:rPr>
        <w:t xml:space="preserve">资格审查材料</w:t>
      </w:r>
      <w:r>
        <w:rPr>
          <w:rFonts w:hint="eastAsia" w:ascii="宋体" w:hAnsi="宋体" w:eastAsia="宋体" w:cs="宋体"/>
          <w:b/>
          <w:color w:val="000000"/>
          <w:sz w:val="21"/>
          <w:szCs w:val="21"/>
          <w:lang w:bidi="ar"/>
        </w:rPr>
        <w:t xml:space="preserve">）：</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w:t>
      </w:r>
      <w:r>
        <w:rPr>
          <w:rFonts w:hint="eastAsia" w:ascii="宋体" w:hAnsi="宋体" w:eastAsia="宋体" w:cs="宋体"/>
          <w:b w:val="0"/>
          <w:bCs w:val="0"/>
          <w:color w:val="000000"/>
          <w:sz w:val="21"/>
          <w:szCs w:val="21"/>
          <w:lang w:val="zh-CN" w:bidi="ar"/>
        </w:rPr>
        <w:t xml:space="preserve">.1具有独立承担民事责任的能力证明。包括法人或者其他组织的营业执照等证明文件，自然人的身份证明。</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2.2</w:t>
      </w:r>
      <w:r>
        <w:rPr>
          <w:rFonts w:hint="eastAsia" w:ascii="宋体" w:hAnsi="宋体" w:eastAsia="宋体" w:cs="宋体"/>
          <w:b w:val="0"/>
          <w:bCs w:val="0"/>
          <w:color w:val="000000"/>
          <w:sz w:val="21"/>
          <w:szCs w:val="21"/>
          <w:lang w:val="zh-CN" w:bidi="ar"/>
        </w:rPr>
        <w:t xml:space="preserve">具有良好的商业信誉和健全的财务会计制度证明。</w:t>
      </w:r>
      <w:r>
        <w:rPr>
          <w:rFonts w:hint="eastAsia" w:ascii="宋体" w:hAnsi="宋体" w:eastAsia="宋体" w:cs="宋体"/>
          <w:b w:val="0"/>
          <w:bCs w:val="0"/>
          <w:color w:val="000000"/>
          <w:sz w:val="21"/>
          <w:szCs w:val="21"/>
          <w:highlight w:val="none"/>
          <w:lang w:val="zh-CN" w:bidi="ar"/>
        </w:rPr>
        <w:t xml:space="preserve">包括最近一期经审计的财务报告</w:t>
      </w:r>
      <w:r>
        <w:rPr>
          <w:rFonts w:hint="eastAsia" w:ascii="宋体" w:hAnsi="宋体" w:eastAsia="宋体" w:cs="宋体"/>
          <w:b w:val="0"/>
          <w:bCs w:val="0"/>
          <w:color w:val="000000"/>
          <w:sz w:val="21"/>
          <w:szCs w:val="21"/>
          <w:highlight w:val="none"/>
          <w:lang w:bidi="ar"/>
        </w:rPr>
        <w:t xml:space="preserve">或</w:t>
      </w:r>
      <w:r>
        <w:rPr>
          <w:rFonts w:hint="eastAsia" w:ascii="宋体" w:hAnsi="宋体" w:cs="宋体"/>
          <w:b w:val="0"/>
          <w:bCs w:val="0"/>
          <w:color w:val="000000"/>
          <w:sz w:val="21"/>
          <w:szCs w:val="21"/>
          <w:highlight w:val="none"/>
          <w:lang w:eastAsia="zh-CN" w:bidi="ar"/>
        </w:rPr>
        <w:t xml:space="preserve">财务报表或</w:t>
      </w:r>
      <w:r>
        <w:rPr>
          <w:rFonts w:hint="eastAsia" w:ascii="宋体" w:hAnsi="宋体" w:eastAsia="宋体" w:cs="宋体"/>
          <w:b w:val="0"/>
          <w:bCs w:val="0"/>
          <w:color w:val="000000"/>
          <w:sz w:val="21"/>
          <w:szCs w:val="21"/>
          <w:highlight w:val="none"/>
          <w:lang w:val="zh-CN" w:bidi="ar"/>
        </w:rPr>
        <w:t xml:space="preserve">提供银行出具的资信证明。</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2.3具有</w:t>
      </w:r>
      <w:r>
        <w:rPr>
          <w:rFonts w:hint="eastAsia" w:ascii="宋体" w:hAnsi="宋体" w:eastAsia="宋体" w:cs="宋体"/>
          <w:b w:val="0"/>
          <w:bCs w:val="0"/>
          <w:color w:val="000000"/>
          <w:sz w:val="21"/>
          <w:szCs w:val="21"/>
          <w:lang w:val="zh-CN" w:bidi="ar"/>
        </w:rPr>
        <w:t xml:space="preserve">履行合同所必备的设备和专业技术能力的证明材料。</w:t>
      </w:r>
      <w:r/>
    </w:p>
    <w:p>
      <w:pPr>
        <w:ind w:firstLine="439"/>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bidi="ar"/>
        </w:rPr>
        <w:t xml:space="preserve">2.4</w:t>
      </w:r>
      <w:r>
        <w:rPr>
          <w:rFonts w:hint="eastAsia" w:ascii="宋体" w:hAnsi="宋体" w:eastAsia="宋体" w:cs="宋体"/>
          <w:b w:val="0"/>
          <w:bCs w:val="0"/>
          <w:color w:val="000000"/>
          <w:sz w:val="21"/>
          <w:szCs w:val="21"/>
          <w:lang w:val="zh-CN" w:bidi="ar"/>
        </w:rPr>
        <w:t xml:space="preserve">有依法缴纳税收和社会保障资金的良好记录。如合理期限内依法缴纳税收的凭据，合理期限内依法缴纳社会保险的凭据。</w:t>
      </w:r>
      <w:r/>
    </w:p>
    <w:p>
      <w:pPr>
        <w:ind w:firstLine="439"/>
        <w:keepLines w:val="0"/>
        <w:keepNext w:val="0"/>
        <w:pageBreakBefore w:val="0"/>
        <w:spacing w:line="360" w:lineRule="auto"/>
        <w:rPr>
          <w:rFonts w:hint="eastAsia" w:ascii="宋体" w:hAnsi="宋体" w:eastAsia="宋体" w:cs="宋体"/>
          <w:b w:val="0"/>
          <w:bCs w:val="0"/>
          <w:color w:val="000000"/>
          <w:sz w:val="21"/>
          <w:szCs w:val="21"/>
          <w:lang w:val="zh-CN" w:bidi="ar"/>
        </w:rPr>
      </w:pPr>
      <w:r>
        <w:rPr>
          <w:rFonts w:hint="eastAsia" w:ascii="宋体" w:hAnsi="宋体" w:eastAsia="宋体" w:cs="宋体"/>
          <w:b w:val="0"/>
          <w:bCs w:val="0"/>
          <w:color w:val="000000"/>
          <w:sz w:val="21"/>
          <w:szCs w:val="21"/>
          <w:lang w:val="zh-CN" w:bidi="ar"/>
        </w:rPr>
        <w:t xml:space="preserve">2.5参加政府采购活动前三年内在经营活动中没有重大违法记录的书面声明函。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lang w:bidi="ar"/>
        </w:rPr>
        <w:t xml:space="preserve">《中小微企业声明函》</w:t>
      </w:r>
      <w:r>
        <w:rPr>
          <w:rFonts w:hint="eastAsia" w:ascii="宋体" w:hAnsi="宋体" w:cs="宋体"/>
          <w:color w:val="000000"/>
          <w:sz w:val="21"/>
          <w:szCs w:val="21"/>
          <w:lang w:eastAsia="zh-CN" w:bidi="ar"/>
        </w:rPr>
        <w:t xml:space="preserve">或</w:t>
      </w:r>
      <w:r>
        <w:rPr>
          <w:rFonts w:hint="eastAsia" w:ascii="宋体" w:hAnsi="宋体" w:eastAsia="宋体" w:cs="宋体"/>
          <w:color w:val="000000"/>
          <w:sz w:val="21"/>
          <w:szCs w:val="21"/>
          <w:lang w:bidi="ar"/>
        </w:rPr>
        <w:t xml:space="preserve">《残疾人福利性单位声明函》</w:t>
      </w:r>
      <w:r>
        <w:rPr>
          <w:rFonts w:hint="eastAsia" w:ascii="宋体" w:hAnsi="宋体" w:cs="宋体"/>
          <w:color w:val="000000"/>
          <w:sz w:val="21"/>
          <w:szCs w:val="21"/>
          <w:lang w:eastAsia="zh-CN" w:bidi="ar"/>
        </w:rPr>
        <w:t xml:space="preserve">或</w:t>
      </w:r>
      <w:r>
        <w:rPr>
          <w:rFonts w:hint="eastAsia" w:ascii="宋体" w:hAnsi="宋体" w:eastAsia="宋体" w:cs="宋体"/>
          <w:color w:val="000000"/>
          <w:sz w:val="21"/>
          <w:szCs w:val="21"/>
          <w:lang w:bidi="ar"/>
        </w:rPr>
        <w:t xml:space="preserve">《监狱企业证明文件》。</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7</w:t>
      </w:r>
      <w:r>
        <w:rPr>
          <w:rFonts w:hint="eastAsia" w:ascii="宋体" w:hAnsi="宋体" w:eastAsia="宋体" w:cs="宋体"/>
          <w:color w:val="000000"/>
          <w:sz w:val="21"/>
          <w:szCs w:val="21"/>
          <w:lang w:bidi="ar"/>
        </w:rPr>
        <w:t xml:space="preserve">其他需投标人对本次投标的详细说明；</w:t>
      </w:r>
      <w:r/>
    </w:p>
    <w:p>
      <w:pPr>
        <w:ind w:firstLine="420"/>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lang w:bidi="ar"/>
        </w:rPr>
        <w:t xml:space="preserve">关于资格文件的声明函。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9</w:t>
      </w:r>
      <w:r>
        <w:rPr>
          <w:rFonts w:hint="eastAsia" w:ascii="宋体" w:hAnsi="宋体" w:eastAsia="宋体" w:cs="宋体"/>
          <w:color w:val="000000"/>
          <w:sz w:val="21"/>
          <w:szCs w:val="21"/>
          <w:lang w:bidi="ar"/>
        </w:rPr>
        <w:t xml:space="preserve">其他可以证明投标人资信、资质和货物、服务质量的证书、文件等补充资料。</w:t>
      </w:r>
      <w:r/>
    </w:p>
    <w:p>
      <w:pPr>
        <w:ind w:firstLine="422"/>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bidi="ar"/>
        </w:rPr>
        <w:t xml:space="preserve">3</w:t>
      </w:r>
      <w:r>
        <w:rPr>
          <w:rFonts w:hint="eastAsia" w:ascii="宋体" w:hAnsi="宋体" w:eastAsia="宋体" w:cs="宋体"/>
          <w:b/>
          <w:bCs/>
          <w:lang w:val="zh-CN"/>
        </w:rPr>
        <w:t xml:space="preserve">响应文件</w:t>
      </w:r>
      <w:r>
        <w:rPr>
          <w:rFonts w:hint="eastAsia" w:ascii="宋体" w:hAnsi="宋体" w:eastAsia="宋体" w:cs="宋体"/>
          <w:b/>
          <w:color w:val="000000"/>
          <w:sz w:val="21"/>
          <w:szCs w:val="21"/>
          <w:lang w:bidi="ar"/>
        </w:rPr>
        <w:t xml:space="preserve">（评分要点及技术要求）</w:t>
      </w:r>
      <w:r/>
    </w:p>
    <w:p>
      <w:pPr>
        <w:ind w:firstLine="420"/>
        <w:keepLines w:val="0"/>
        <w:keepNext w:val="0"/>
        <w:pageBreakBefore w:val="0"/>
        <w:spacing w:line="360" w:lineRule="auto"/>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1</w:t>
      </w:r>
      <w:r>
        <w:rPr>
          <w:rFonts w:hint="eastAsia" w:ascii="宋体" w:hAnsi="宋体" w:eastAsia="宋体" w:cs="宋体"/>
          <w:bCs/>
          <w:color w:val="000000"/>
          <w:sz w:val="21"/>
          <w:szCs w:val="21"/>
          <w:lang w:bidi="ar"/>
        </w:rPr>
        <w:t xml:space="preserve">实质性条款（如有）</w:t>
      </w:r>
      <w:r/>
    </w:p>
    <w:p>
      <w:pPr>
        <w:ind w:firstLine="420"/>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bidi="ar"/>
        </w:rPr>
        <w:t xml:space="preserve">3</w:t>
      </w:r>
      <w:r>
        <w:rPr>
          <w:rFonts w:hint="eastAsia" w:ascii="宋体" w:hAnsi="宋体" w:eastAsia="宋体" w:cs="宋体"/>
          <w:bCs/>
          <w:color w:val="000000"/>
          <w:sz w:val="21"/>
          <w:szCs w:val="21"/>
          <w:lang w:bidi="ar"/>
        </w:rPr>
        <w:t xml:space="preserve">.</w:t>
      </w:r>
      <w:r>
        <w:rPr>
          <w:rFonts w:hint="eastAsia" w:ascii="宋体" w:hAnsi="宋体" w:eastAsia="宋体" w:cs="宋体"/>
          <w:bCs/>
          <w:color w:val="000000"/>
          <w:sz w:val="21"/>
          <w:szCs w:val="21"/>
          <w:lang w:val="en-US" w:eastAsia="zh-CN" w:bidi="ar"/>
        </w:rPr>
        <w:t xml:space="preserve">2</w:t>
      </w:r>
      <w:r>
        <w:rPr>
          <w:rFonts w:hint="eastAsia" w:ascii="宋体" w:hAnsi="宋体" w:eastAsia="宋体" w:cs="宋体"/>
          <w:bCs/>
          <w:color w:val="000000"/>
          <w:sz w:val="21"/>
          <w:szCs w:val="21"/>
          <w:lang w:bidi="ar"/>
        </w:rPr>
        <w:t xml:space="preserve">技术部分（技术标）。（详见第</w:t>
      </w:r>
      <w:r>
        <w:rPr>
          <w:rFonts w:hint="eastAsia" w:ascii="宋体" w:hAnsi="宋体" w:cs="宋体"/>
          <w:bCs/>
          <w:color w:val="000000"/>
          <w:sz w:val="21"/>
          <w:szCs w:val="21"/>
          <w:lang w:eastAsia="zh-CN" w:bidi="ar"/>
        </w:rPr>
        <w:t xml:space="preserve">五</w:t>
      </w:r>
      <w:r>
        <w:rPr>
          <w:rFonts w:hint="eastAsia" w:ascii="宋体" w:hAnsi="宋体" w:eastAsia="宋体" w:cs="宋体"/>
          <w:bCs/>
          <w:color w:val="000000"/>
          <w:sz w:val="21"/>
          <w:szCs w:val="21"/>
          <w:lang w:bidi="ar"/>
        </w:rPr>
        <w:t xml:space="preserve">章评分标准）</w:t>
      </w:r>
      <w:r/>
    </w:p>
    <w:p>
      <w:pPr>
        <w:ind w:firstLine="502"/>
        <w:keepLines w:val="0"/>
        <w:keepNext w:val="0"/>
        <w:pageBreakBefore w:val="0"/>
        <w:spacing w:line="360" w:lineRule="auto"/>
        <w:tabs>
          <w:tab w:val="left" w:pos="0" w:leader="none"/>
        </w:tabs>
        <w:rPr>
          <w:rFonts w:hint="eastAsia"/>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w:t>
      </w:r>
      <w:r>
        <w:rPr>
          <w:rFonts w:hint="eastAsia" w:ascii="宋体" w:hAnsi="宋体" w:eastAsia="宋体" w:cs="宋体"/>
          <w:b/>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sz w:val="21"/>
          <w:szCs w:val="21"/>
          <w:lang w:bidi="ar"/>
        </w:rPr>
        <w:t xml:space="preserve">投标文件由</w:t>
      </w:r>
      <w:r>
        <w:rPr>
          <w:rFonts w:hint="eastAsia" w:ascii="宋体" w:hAnsi="宋体" w:cs="宋体"/>
          <w:b/>
          <w:color w:val="000000"/>
          <w:sz w:val="21"/>
          <w:szCs w:val="21"/>
          <w:lang w:eastAsia="zh-CN" w:bidi="ar"/>
        </w:rPr>
        <w:t xml:space="preserve">上述</w:t>
      </w:r>
      <w:r>
        <w:rPr>
          <w:rFonts w:hint="eastAsia" w:ascii="宋体" w:hAnsi="宋体" w:eastAsia="宋体" w:cs="宋体"/>
          <w:b/>
          <w:color w:val="000000"/>
          <w:sz w:val="21"/>
          <w:szCs w:val="21"/>
          <w:lang w:bidi="ar"/>
        </w:rPr>
        <w:t xml:space="preserve">规定的内容共同组成。投标人必须提交上述规定的资料，并须按照“响应文件组成”将相关材料上传至相应模块。否则，投标文件将可能因资格性条件不符或未实质性响应招标文件而被拒绝。</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（2）制作电子响应文件时必须与投标文件制作软件目录一一对应，将相关资料上传至相应模块。注意不要漏项。如有不确定上传的位置的，可以上传至其他资料或上传至符合性审查资料。</w:t>
      </w:r>
      <w:r/>
    </w:p>
    <w:p>
      <w:pPr>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五、网上响应文件的制作</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1.系统中下载招标文件后，点击“客户端下载地址”，下载投标文件客户端，查看客户端使用说明。</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2.将下载的采购文件导入投标文件客户端，按照使用说明完成投标文件的编制和加盖电子签章。</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3.导出制作完成的投标文件，上传至苏采云系统。</w:t>
      </w:r>
      <w:r/>
    </w:p>
    <w:p>
      <w:pPr>
        <w:ind w:firstLine="502"/>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注：具体投标文件编制教程查看苏采云系统中的客户端使用说明和供应商《操作手册》。</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六、报价（编制）要求的说明</w:t>
      </w:r>
      <w:bookmarkStart w:id="17" w:name="_GoBack"/>
      <w:r/>
      <w:bookmarkEnd w:id="17"/>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1.磋商报价应包括完成该标的物全部内容的一切费用。</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3.响应人应对磋商文件内所要采购的全部内容进行报价，只投其中部分内容者，其响应文件将被拒绝。</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4.一项响应内容只允许一个报价，采购代理机构不接受任何有选择性的响应报价。</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5.响应文件报价中的单价和总价全部采用人民币表示，除非合同的特殊条款另有规定。</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七、磋商有效期</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1.磋商响应文件的有效期为90日历天，在此期间内，响应文件应保持有效。有效期短于这个规定期限的，将被拒绝。</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2.特殊情况下，磋商采购单位可与磋商供应商协商延缓磋商响应磋商文件的有效期，这种要求和答复均以书面形式进行。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3.磋商响应方可拒绝接受延期要求而放弃磋商，同意延长有效期的磋商响应方不能修改磋商响应文件。</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八、磋商响应截止时间</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1.响应文件必须在磋商截止时间前提交。</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2.采购人或者采购代理机构推迟磋商截止时间时，应以更正公告的形式，通知所有响应人。</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九、磋商响应文件修改和撤回</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1.投标文件的修改应在投标截止时间前进行。</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2.投标开始时间后至投标截止时间前，供应商可以撤回投标。</w:t>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十、递交磋商响应文件相关事项：</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十一、磋商评审程序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1.磋商仪式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1.1.采购代理机构将在竞争性磋商公告中规定的时间和地点组织磋商。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1.2.磋商仪式由采购代理机构主持，采购人代表、供应商代表以及有关工作人员参加。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1.3.采购人依法对供应商的资格进行审查。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1.4.磋商代理人对供应商进行信用查询。</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2.磋商小组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2.1.磋商仪式结束后，采购代理机构将立即组织磋商小组（以下简称评委会）进行磋商。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2.3.磋商小组负责具体的磋商事务，并独立履行以下职责：</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（1）确认或者制定磋商文件； </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（2）从符合相应资格条件的供应商名单中确定供应商参加磋商；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（3）审查供应商的响应文件并做出评价；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（4）要求供应商解释或者澄清其响应文件；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（5）编写评审报告；</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（6）告知采购人、采购代理机构在评审过程中发现的供应商的违法违规行为。</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2.4.磋商小组成员应当履行下列义务：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（1）遵纪守法，客观、公正、廉洁地履行职责；</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（2）按照磋商文件规定的评审办法独立进行评审，对个人的评审意见承担法律责任；</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（3）参与评审报告的起草；</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（4）配合采购人、采购代理机构答复供应商提出的质疑；</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（5）配合财政部门的投诉处理和监督检查工作。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3.磋商工作纪律及保密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3.1磋商开始后，直到宣布授予成交供应商合同为止，凡属于审查、澄清、评价和比较响应文件的所有资料，有关授予合同的信息都不应向供应商或与评审无关的其他人泄露。</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3.2评审专家应当遵守评审工作纪律，不得泄露评审情况和评审中获悉的商业秘密。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3.3在评审期间，磋商采购单位将通过指定联络人与供应商进行联系。</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4.响应文件审查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4.1磋商小组应当对符合资格的响应人的响应文件进行符合性审查，以确定其是否满足磋商文件的实质性要求。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5.供应商澄清</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磋商小组要求供应商澄清、说明或者更正响应文件将以书面形式作出。供应商的澄清、说明或者更正应当由法定代表人或授权委托人签字或者加盖公章。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6.磋商程序、最后报价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磋商小组所有成员应当集中与单一供应商分别进行磋商，并给予所有参加磋商的供应商平等的磋商机会。</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6.1磋商程序</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 磋商顺序的确定：按磋商签到时间先后确定磋商顺序。如</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10分钟</w:t>
      </w:r>
      <w:r>
        <w:rPr>
          <w:rFonts w:hint="eastAsia" w:ascii="宋体" w:hAnsi="宋体" w:eastAsia="宋体" w:cs="宋体"/>
          <w:color w:val="000000" w:themeColor="text1"/>
          <w:sz w:val="21"/>
          <w:szCs w:val="21"/>
          <w:highlight w:val="none"/>
          <w:lang w:bidi="ar"/>
          <w14:textFill>
            <w14:solidFill>
              <w14:schemeClr w14:val="tx1"/>
            </w14:solidFill>
          </w14:textFill>
        </w:rPr>
        <w:t xml:space="preserve">之内代理机构无法与供应商取得联系，磋商顺序顺延。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6.2 磋商内容</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6.3最后报价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（1）磋商文件能够详细列明采购标的的技术、服务要求的，磋商结束后，磋商小组将要求所有实质性响应的供应商在规定时间内提交最后报价。最后报价是供应商响应文件的有效组成部分。</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（2）最后报价截止时间之前，各供应商的最后报价将被隐藏无法显示，在到达最后报价截止时间后，代理机构工作人员可以查看各供应商最后报价。</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（3）最后报价截止时间前，供应商可以修改报价，截止时间后以最新的报价为准；如超过截止时间未提交或报价超过预算，</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均作无效投标处理</w:t>
      </w:r>
      <w:r>
        <w:rPr>
          <w:rFonts w:hint="eastAsia" w:ascii="宋体" w:hAnsi="宋体" w:eastAsia="宋体" w:cs="宋体"/>
          <w:color w:val="000000" w:themeColor="text1"/>
          <w:sz w:val="21"/>
          <w:szCs w:val="21"/>
          <w:highlight w:val="none"/>
          <w:lang w:bidi="ar"/>
          <w14:textFill>
            <w14:solidFill>
              <w14:schemeClr w14:val="tx1"/>
            </w14:solidFill>
          </w14:textFill>
        </w:rPr>
        <w:t xml:space="preserve">。如提交二次报价的供应商不满三家，则本次竞争性磋商失败。</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（4）已提交响应文件的供应商，在提交最后报价之前，可以根据磋商情况退出磋商。</w:t>
      </w:r>
      <w:r/>
    </w:p>
    <w:p>
      <w:pPr>
        <w:ind w:firstLine="422"/>
        <w:jc w:val="left"/>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（5）关于二次报价的具体操作流程，各供应商请详细阅读《操作手册》。</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7.响应无效和终止磋商活动条款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7.1.响应人存在下列情况之一的，响应无效:</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（1）未按照竞争性磋商文件规定要求签署、盖章的；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（2）供应商不具备竞争性磋商文件中规定资格条件的；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（3）报价超过磋商文件中规定的预算金额或者最高限价的；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（4）响应文件含有采购人不能接受的附加条件；</w:t>
      </w:r>
      <w:r/>
    </w:p>
    <w:p>
      <w:pPr>
        <w:ind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（5）因磋商响应单位自身原因导致网上磋商响应文件无法递交的其他情况；</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（6）不符合法律、法规和竞争性磋商文件中规定的其他实质性要求的；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（7）法律、法规及本竞争性磋商文件规定的其他无效的情形。</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磋商在过程中发现响应人有上述情形的，磋商小组应当认定其响应无效，并书面报告本级财政部门。</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7.3.有下列情形之一的，视为响应人恶意串通，其响应无效：</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（1）不同响应人的响应文件由同一单位或者个人编制；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（2）不同响应人委托同一单位或者个人办理磋商事宜；</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（3）不同响应人的响应文件载明的项目管理成员或者联系人员为同一人；</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（4）不同响应人的响应文件异常一致或者报价呈规律性差异；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（5）不同响应人的响应文件相互混装；</w:t>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（6）</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不同投标（响应）文件制作机器码一致。</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7.4.终止竞争性磋商采购活动的条款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出现下列情形之一的，采购代理机构将终止竞争性磋商采购活动，发布项目终止公告并说明原因，重新开展采购活动：</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（1）因情况变化，不再符合规定的竞争性磋商采购方式适用情形的；</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（2）出现影响采购公正的违法、违规行为的；</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（3）在采购过程中符合要求的供应商或者报价未超过采购预算的供应商不足3家的。</w:t>
      </w:r>
      <w:r/>
    </w:p>
    <w:p>
      <w:pPr>
        <w:pStyle w:val="704"/>
        <w:ind w:right="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spacing w:val="8"/>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spacing w:val="8"/>
          <w:sz w:val="21"/>
          <w:szCs w:val="21"/>
          <w:shd w:val="clear" w:color="auto" w:fill="ffffff"/>
          <w:lang w:eastAsia="zh-CN"/>
        </w:rPr>
        <w:t xml:space="preserve">十二、</w:t>
      </w:r>
      <w:r>
        <w:rPr>
          <w:rFonts w:hint="eastAsia" w:ascii="宋体" w:hAnsi="宋体"/>
          <w:b/>
          <w:bCs/>
          <w:sz w:val="21"/>
          <w:szCs w:val="21"/>
        </w:rPr>
        <w:t xml:space="preserve">异常低价投标审查</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关于财政部发布《关于推动解决政府采购异常低价问题的通知》（财库〔2026〕2号），</w:t>
      </w:r>
      <w:r>
        <w:rPr>
          <w:rFonts w:hint="eastAsia" w:ascii="宋体" w:hAnsi="宋体"/>
          <w:sz w:val="21"/>
          <w:szCs w:val="21"/>
        </w:rPr>
        <w:t xml:space="preserve">评标过程中出现下列情形之一的，评标委员会应当启动异常低价投标审查程序：</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投标（响应）报价低于采购项目最高限价45%的，即投标（响应）报价&lt;采购项目最高限价×45%；</w:t>
      </w:r>
      <w:r/>
    </w:p>
    <w:p>
      <w:pPr>
        <w:ind w:firstLine="21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评审委员会基于专业判断，认为供应商报价过低，有可能影响产品质量或者不能诚信履约的其他情形。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p>
    <w:p>
      <w:pPr>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十</w:t>
      </w:r>
      <w:r>
        <w:rPr>
          <w:rFonts w:hint="eastAsia" w:ascii="宋体" w:hAnsi="宋体" w:cs="宋体"/>
          <w:b/>
          <w:color w:val="000000" w:themeColor="text1"/>
          <w:sz w:val="21"/>
          <w:szCs w:val="21"/>
          <w:highlight w:val="none"/>
          <w:lang w:eastAsia="zh-CN" w:bidi="ar"/>
          <w14:textFill>
            <w14:solidFill>
              <w14:schemeClr w14:val="tx1"/>
            </w14:solidFill>
          </w14:textFill>
        </w:rPr>
        <w:t xml:space="preserve">三</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、确定成交、询问及质疑</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1.确定成交供应商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1.1采购人授权磋商小组直接确定成交供应商。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1.2采购代理机构在成交供应商确定后2个工作日内在“苏州市政府采购网”公告成交结果，</w:t>
      </w:r>
      <w:r>
        <w:rPr>
          <w:rFonts w:hint="eastAsia" w:ascii="宋体" w:hAnsi="宋体" w:eastAsia="宋体" w:cs="宋体"/>
          <w:color w:val="000000" w:themeColor="text1"/>
          <w:sz w:val="21"/>
          <w:szCs w:val="21"/>
          <w:highlight w:val="none"/>
          <w14:textFill>
            <w14:solidFill>
              <w14:schemeClr w14:val="tx1"/>
            </w14:solidFill>
          </w14:textFill>
        </w:rPr>
        <w:t xml:space="preserve">并在法定时间内向成交人发出成交通知书</w:t>
      </w:r>
      <w:r>
        <w:rPr>
          <w:rFonts w:hint="eastAsia" w:ascii="宋体" w:hAnsi="宋体" w:eastAsia="宋体" w:cs="宋体"/>
          <w:bCs/>
          <w:color w:val="000000" w:themeColor="text1"/>
          <w:sz w:val="21"/>
          <w:szCs w:val="21"/>
          <w:highlight w:val="none"/>
          <w:lang w:bidi="ar"/>
          <w14:textFill>
            <w14:solidFill>
              <w14:schemeClr w14:val="tx1"/>
            </w14:solidFill>
          </w14:textFill>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1.3成交通知书将是合同的一个组成部分。对采购人和成交供应商均具有法律效力。成交通知书发出后，采购人改变成交结果的，或者成交供应商放弃成交项目的，应当依法承担法律责任。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2.询问及质疑</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2.1询问及质疑依据《中华人民共和国政府采购法》、《中华人民共和国政府采购法实施条例》、《政府采购质疑和投诉办法》及相关法律法规处理。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2.2质疑联系方式</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名称：</w:t>
      </w:r>
      <w:r>
        <w:rPr>
          <w:rFonts w:hint="eastAsia" w:ascii="宋体" w:hAnsi="宋体" w:eastAsia="宋体" w:cs="宋体"/>
          <w:color w:val="000000" w:themeColor="text1"/>
          <w:sz w:val="21"/>
          <w:szCs w:val="21"/>
          <w:highlight w:val="none"/>
          <w:shd w:val="clear" w:color="auto" w:fill="ffffff"/>
          <w:lang w:eastAsia="zh-CN" w:bidi="ar"/>
          <w14:textFill>
            <w14:solidFill>
              <w14:schemeClr w14:val="tx1"/>
            </w14:solidFill>
          </w14:textFill>
        </w:rPr>
        <w:t xml:space="preserve">苏州诚来项目管理有限公司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地址：苏州市人民路4555号繁花中心A楼西座1618室</w:t>
      </w:r>
      <w:r/>
    </w:p>
    <w:p>
      <w:pPr>
        <w:ind w:firstLine="420"/>
        <w:jc w:val="left"/>
        <w:keepLines w:val="0"/>
        <w:keepNext w:val="0"/>
        <w:pageBreakBefore w:val="0"/>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联系人：</w:t>
      </w:r>
      <w:r>
        <w:rPr>
          <w:rFonts w:hint="eastAsia" w:ascii="宋体" w:hAnsi="宋体" w:cs="宋体"/>
          <w:bCs/>
          <w:color w:val="000000" w:themeColor="text1"/>
          <w:sz w:val="21"/>
          <w:szCs w:val="21"/>
          <w:highlight w:val="none"/>
          <w:lang w:eastAsia="zh-CN" w:bidi="ar"/>
          <w14:textFill>
            <w14:solidFill>
              <w14:schemeClr w14:val="tx1"/>
            </w14:solidFill>
          </w14:textFill>
        </w:rPr>
        <w:t xml:space="preserve">许霞萍</w:t>
      </w:r>
      <w:r/>
    </w:p>
    <w:p>
      <w:pPr>
        <w:ind w:firstLine="420"/>
        <w:jc w:val="left"/>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联系方式：</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0512-65208215</w:t>
      </w:r>
      <w:r/>
    </w:p>
    <w:p>
      <w:pPr>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十</w:t>
      </w:r>
      <w:r>
        <w:rPr>
          <w:rFonts w:hint="eastAsia" w:ascii="宋体" w:hAnsi="宋体" w:cs="宋体"/>
          <w:b/>
          <w:color w:val="000000" w:themeColor="text1"/>
          <w:sz w:val="21"/>
          <w:szCs w:val="21"/>
          <w:highlight w:val="none"/>
          <w:lang w:eastAsia="zh-CN" w:bidi="ar"/>
          <w14:textFill>
            <w14:solidFill>
              <w14:schemeClr w14:val="tx1"/>
            </w14:solidFill>
          </w14:textFill>
        </w:rPr>
        <w:t xml:space="preserve">四</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、合同的签订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1.成交供应商应按成交通知书中规定的时间和地点，与采购人签订合同。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2.签订合同及合同条款应以磋商文件和成交供应商的磋商响应文件及其澄清承诺文件为依据。</w:t>
      </w:r>
      <w:r/>
    </w:p>
    <w:p>
      <w:pPr>
        <w:ind w:firstLine="422"/>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3.</w:t>
      </w:r>
      <w:r>
        <w:rPr>
          <w:rFonts w:hint="eastAsia" w:ascii="宋体" w:hAnsi="宋体" w:eastAsia="宋体" w:cs="宋体"/>
          <w:color w:val="000000"/>
          <w:sz w:val="21"/>
          <w:szCs w:val="21"/>
          <w:lang w:bidi="ar"/>
        </w:rPr>
        <w:t xml:space="preserve">本项目不允许转包或分包。</w:t>
      </w:r>
      <w:r/>
    </w:p>
    <w:p>
      <w:pPr>
        <w:jc w:val="left"/>
        <w:keepLines w:val="0"/>
        <w:keepNext w:val="0"/>
        <w:pageBreakBefore w:val="0"/>
        <w:spacing w:line="360" w:lineRule="auto"/>
        <w:shd w:val="clear" w:color="auto" w:fill="ffffff"/>
        <w:widowControl/>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lang w:bidi="ar"/>
          <w14:textFill>
            <w14:solidFill>
              <w14:schemeClr w14:val="tx1"/>
            </w14:solidFill>
          </w14:textFill>
        </w:rPr>
        <w:t xml:space="preserve">十</w:t>
      </w:r>
      <w:r>
        <w:rPr>
          <w:rFonts w:hint="eastAsia" w:ascii="宋体" w:hAnsi="宋体" w:cs="宋体"/>
          <w:b/>
          <w:bCs/>
          <w:color w:val="000000" w:themeColor="text1"/>
          <w:sz w:val="21"/>
          <w:szCs w:val="21"/>
          <w:highlight w:val="none"/>
          <w:shd w:val="clear" w:color="auto" w:fill="ffffff"/>
          <w:lang w:eastAsia="zh-CN" w:bidi="ar"/>
          <w14:textFill>
            <w14:solidFill>
              <w14:schemeClr w14:val="tx1"/>
            </w14:solidFill>
          </w14:textFill>
        </w:rPr>
        <w:t xml:space="preserve">五</w:t>
      </w:r>
      <w:r>
        <w:rPr>
          <w:rFonts w:hint="eastAsia" w:ascii="宋体" w:hAnsi="宋体" w:eastAsia="宋体" w:cs="宋体"/>
          <w:b/>
          <w:bCs/>
          <w:color w:val="000000" w:themeColor="text1"/>
          <w:sz w:val="21"/>
          <w:szCs w:val="21"/>
          <w:highlight w:val="none"/>
          <w:shd w:val="clear" w:color="auto" w:fill="ffffff"/>
          <w:lang w:bidi="ar"/>
          <w14:textFill>
            <w14:solidFill>
              <w14:schemeClr w14:val="tx1"/>
            </w14:solidFill>
          </w14:textFill>
        </w:rPr>
        <w:t xml:space="preserve">、其他</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1.磋商保证金：本项目不收取保证金。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2.代理服务费：成交单位在领取成交通知书时向招标代理机构缴纳成交服务费，其收取标准为：以预算金额为基准，100万元以内1.5%、100～500万元以1.1%、500万-1000万以0.8%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服务费交纳账户：</w:t>
      </w:r>
      <w:r>
        <w:rPr>
          <w:rFonts w:hint="eastAsia" w:ascii="宋体" w:hAnsi="宋体" w:eastAsia="宋体" w:cs="宋体"/>
          <w:color w:val="000000" w:themeColor="text1"/>
          <w:sz w:val="21"/>
          <w:szCs w:val="21"/>
          <w:highlight w:val="none"/>
          <w:shd w:val="clear" w:color="auto" w:fill="ffffff"/>
          <w:lang w:eastAsia="zh-CN" w:bidi="ar"/>
          <w14:textFill>
            <w14:solidFill>
              <w14:schemeClr w14:val="tx1"/>
            </w14:solidFill>
          </w14:textFill>
        </w:rPr>
        <w:t xml:space="preserve">苏州诚来项目管理有限公司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开户行：</w:t>
      </w:r>
      <w:r>
        <w:rPr>
          <w:rFonts w:hint="eastAsia" w:ascii="宋体" w:hAnsi="宋体" w:eastAsia="宋体" w:cs="Times New Roman"/>
          <w:sz w:val="21"/>
          <w:szCs w:val="21"/>
          <w:highlight w:val="none"/>
        </w:rPr>
        <w:t xml:space="preserve">中国银行苏州名城支行</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Times New Roman"/>
          <w:sz w:val="21"/>
          <w:szCs w:val="21"/>
          <w:highlight w:val="none"/>
        </w:rPr>
        <w:t xml:space="preserve">账</w:t>
      </w:r>
      <w:r>
        <w:rPr>
          <w:rFonts w:hint="eastAsia" w:ascii="宋体" w:hAnsi="宋体" w:eastAsia="宋体" w:cs="Times New Roman"/>
          <w:sz w:val="21"/>
          <w:szCs w:val="21"/>
          <w:highlight w:val="none"/>
          <w:lang w:val="en-US" w:eastAsia="zh-CN"/>
        </w:rPr>
        <w:t xml:space="preserve">  </w:t>
      </w:r>
      <w:r>
        <w:rPr>
          <w:rFonts w:hint="eastAsia" w:ascii="宋体" w:hAnsi="宋体" w:eastAsia="宋体" w:cs="Times New Roman"/>
          <w:sz w:val="21"/>
          <w:szCs w:val="21"/>
          <w:highlight w:val="none"/>
        </w:rPr>
        <w:t xml:space="preserve">号</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w:t>
      </w:r>
      <w:r>
        <w:rPr>
          <w:rFonts w:hint="default" w:ascii="宋体" w:hAnsi="宋体" w:eastAsia="宋体" w:cs="Times New Roman"/>
          <w:sz w:val="21"/>
          <w:szCs w:val="21"/>
          <w:highlight w:val="none"/>
        </w:rPr>
        <w:t xml:space="preserve">527480627143</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注：本项目代理费(人民币)：</w:t>
      </w:r>
      <w:r>
        <w:rPr>
          <w:rFonts w:hint="eastAsia" w:ascii="宋体" w:hAnsi="宋体" w:cs="宋体"/>
          <w:color w:val="000000" w:themeColor="text1"/>
          <w:sz w:val="21"/>
          <w:szCs w:val="21"/>
          <w:highlight w:val="none"/>
          <w:shd w:val="clear" w:color="auto" w:fill="ffffff"/>
          <w:lang w:val="en-US" w:eastAsia="zh-CN" w:bidi="ar"/>
          <w14:textFill>
            <w14:solidFill>
              <w14:schemeClr w14:val="tx1"/>
            </w14:solidFill>
          </w14:textFill>
        </w:rPr>
        <w:t xml:space="preserve">15550</w:t>
      </w: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.00元，请各供应商在投标报价时综合考虑。</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3.磋商说明：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（1）不符合供应商资格要求的响应文件将被拒绝；</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（2）参加磋商的供应商必须法定代表人或授权委托人；</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（3）响应文件签署不符合要求的，响应文件将被拒绝；</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（4）最终报价超过采购预算的，不能成交；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（5）不实质性响应磋商文件的不能成交；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（6）每标段实质性响应磋商文件不满三家或进入二次报价的不满三家或二次报价在采购预算内不满三家的，磋商采购失败。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bidi="ar"/>
          <w14:textFill>
            <w14:solidFill>
              <w14:schemeClr w14:val="tx1"/>
            </w14:solidFill>
          </w14:textFill>
        </w:rPr>
        <w:t xml:space="preserve">4.未尽事宜：按《中华人民共和国政府采购法》及其他有关的法律法规的规定执行。</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clear="all"/>
      </w:r>
      <w:r/>
    </w:p>
    <w:p>
      <w:pPr>
        <w:numPr>
          <w:ilvl w:val="0"/>
          <w:numId w:val="0"/>
        </w:numPr>
        <w:jc w:val="center"/>
        <w:keepLines/>
        <w:keepNext/>
        <w:spacing w:before="340" w:after="330" w:line="360" w:lineRule="auto"/>
        <w:rPr>
          <w:rFonts w:hint="eastAsia" w:ascii="宋体" w:hAnsi="宋体" w:eastAsia="宋体" w:cs="宋体"/>
          <w:b/>
          <w:color w:val="000000" w:themeColor="text1"/>
          <w:sz w:val="28"/>
          <w:szCs w:val="28"/>
          <w:highlight w:val="none"/>
          <w14:textFill>
            <w14:solidFill>
              <w14:schemeClr w14:val="tx1"/>
            </w14:solidFill>
          </w14:textFill>
        </w:rPr>
        <w:outlineLvl w:val="0"/>
      </w:pPr>
      <w:r/>
      <w:bookmarkStart w:id="14" w:name="_Toc484614640"/>
      <w:r>
        <w:rPr>
          <w:rFonts w:hint="eastAsia" w:ascii="宋体" w:hAnsi="宋体" w:cs="宋体"/>
          <w:b/>
          <w:color w:val="000000" w:themeColor="text1"/>
          <w:sz w:val="28"/>
          <w:szCs w:val="28"/>
          <w:highlight w:val="none"/>
          <w:lang w:eastAsia="zh-CN"/>
          <w14:textFill>
            <w14:solidFill>
              <w14:schemeClr w14:val="tx1"/>
            </w14:solidFill>
          </w14:textFill>
        </w:rPr>
        <w:t xml:space="preserve">第四章</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合同主要条款</w:t>
      </w:r>
      <w:bookmarkEnd w:id="14"/>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甲方：中国共产党苏州市吴中区委员会宣传部</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keepLines w:val="0"/>
        <w:keepNext w:val="0"/>
        <w:pageBreakBefore w:val="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left"/>
        <w:keepLines w:val="0"/>
        <w:keepNext w:val="0"/>
        <w:pageBreakBefore w:val="0"/>
        <w:spacing w:line="360" w:lineRule="auto"/>
        <w:widowControl w:val="off"/>
        <w:rPr>
          <w:rFonts w:ascii="宋体" w:hAnsi="宋体" w:cs="宋体"/>
          <w:bCs/>
          <w:color w:val="000000"/>
          <w:sz w:val="21"/>
          <w:szCs w:val="21"/>
          <w:highlight w:val="none"/>
        </w:rPr>
      </w:pPr>
      <w:r/>
      <w:bookmarkStart w:id="15" w:name="_Toc434662334"/>
      <w:r>
        <w:rPr>
          <w:rFonts w:hint="eastAsia" w:ascii="宋体" w:hAnsi="宋体" w:eastAsia="宋体" w:cs="宋体"/>
          <w:bCs/>
          <w:color w:val="000000"/>
          <w:sz w:val="21"/>
          <w:szCs w:val="21"/>
          <w:highlight w:val="none"/>
        </w:rPr>
        <w:t xml:space="preserve">一、合同内容：</w:t>
      </w:r>
      <w:bookmarkEnd w:id="15"/>
      <w:r/>
      <w:r/>
    </w:p>
    <w:p>
      <w:pPr>
        <w:ind w:firstLine="420"/>
        <w:keepLines w:val="0"/>
        <w:keepNext w:val="0"/>
        <w:pageBreakBefore w:val="0"/>
        <w:spacing w:line="360" w:lineRule="auto"/>
        <w:widowControl w:val="off"/>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t xml:space="preserve">1、乙方负责</w:t>
      </w:r>
      <w:r>
        <w:rPr>
          <w:rFonts w:hint="eastAsia" w:ascii="宋体" w:hAnsi="宋体" w:cs="宋体"/>
          <w:bCs/>
          <w:color w:val="000000"/>
          <w:sz w:val="21"/>
          <w:szCs w:val="21"/>
          <w:highlight w:val="none"/>
          <w:lang w:eastAsia="zh-CN"/>
        </w:rPr>
        <w:t xml:space="preserve"> 202</w:t>
      </w: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eastAsia="zh-CN"/>
        </w:rPr>
        <w:t xml:space="preserve">年“吴中百匠”项目</w:t>
      </w:r>
      <w:r>
        <w:rPr>
          <w:rFonts w:hint="eastAsia" w:ascii="宋体" w:hAnsi="宋体" w:eastAsia="宋体" w:cs="宋体"/>
          <w:bCs/>
          <w:color w:val="000000"/>
          <w:sz w:val="21"/>
          <w:szCs w:val="21"/>
          <w:highlight w:val="none"/>
        </w:rPr>
        <w:t xml:space="preserve">的策划和执行</w:t>
      </w:r>
      <w:r>
        <w:rPr>
          <w:rFonts w:ascii="宋体" w:hAnsi="宋体" w:eastAsia="宋体" w:cs="宋体"/>
          <w:bCs/>
          <w:color w:val="000000"/>
          <w:sz w:val="21"/>
          <w:szCs w:val="21"/>
          <w:highlight w:val="none"/>
        </w:rPr>
        <w:t xml:space="preserve">。</w:t>
      </w:r>
      <w:r/>
    </w:p>
    <w:p>
      <w:pPr>
        <w:ind w:firstLine="42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服务时间：</w:t>
      </w:r>
      <w:r>
        <w:rPr>
          <w:rFonts w:hint="eastAsia" w:ascii="宋体" w:hAnsi="宋体" w:eastAsia="宋体" w:cs="宋体"/>
          <w:color w:val="000000"/>
          <w:sz w:val="21"/>
          <w:szCs w:val="21"/>
          <w:highlight w:val="none"/>
        </w:rPr>
        <w:t xml:space="preserve">合同签订后一年（按实际活动启动之日起算，如出现不可抗力因素，可与甲方商讨，进行顺延)。</w:t>
      </w:r>
      <w:r>
        <w:rPr>
          <w:rFonts w:ascii="宋体" w:hAnsi="宋体" w:eastAsia="宋体" w:cs="宋体"/>
          <w:bCs/>
          <w:color w:val="000000"/>
          <w:sz w:val="21"/>
          <w:szCs w:val="21"/>
          <w:highlight w:val="none"/>
        </w:rPr>
        <w:t xml:space="preserve">在协议有效期内一方不得擅自变更或中止此项协议，如未经双方同意，擅自变更或中止此项的一方要负违约责任。此项协议需终止或续签，应在协议期内提前半个月通知对方。</w:t>
      </w:r>
      <w:r/>
    </w:p>
    <w:p>
      <w:pPr>
        <w:ind w:firstLine="42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rPr>
        <w:t xml:space="preserve">、下列文件为本合同不可分割部分：</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cs="宋体"/>
          <w:bCs/>
          <w:color w:val="000000"/>
          <w:sz w:val="21"/>
          <w:szCs w:val="21"/>
          <w:highlight w:val="none"/>
        </w:rPr>
        <w:t xml:space="preserve">① </w:t>
      </w:r>
      <w:r>
        <w:rPr>
          <w:rFonts w:hint="eastAsia" w:ascii="宋体" w:hAnsi="宋体" w:eastAsia="宋体" w:cs="宋体"/>
          <w:bCs/>
          <w:color w:val="000000"/>
          <w:sz w:val="21"/>
          <w:szCs w:val="21"/>
          <w:highlight w:val="none"/>
        </w:rPr>
        <w:t xml:space="preserve">成交</w:t>
      </w:r>
      <w:r>
        <w:rPr>
          <w:rFonts w:ascii="宋体" w:hAnsi="宋体" w:eastAsia="宋体" w:cs="宋体"/>
          <w:bCs/>
          <w:color w:val="000000"/>
          <w:sz w:val="21"/>
          <w:szCs w:val="21"/>
          <w:highlight w:val="none"/>
        </w:rPr>
        <w:t xml:space="preserve">通知书；</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② 乙方的</w:t>
      </w:r>
      <w:r>
        <w:rPr>
          <w:rFonts w:hint="eastAsia" w:ascii="宋体" w:hAnsi="宋体" w:eastAsia="宋体" w:cs="宋体"/>
          <w:bCs/>
          <w:color w:val="000000"/>
          <w:sz w:val="21"/>
          <w:szCs w:val="21"/>
          <w:highlight w:val="none"/>
        </w:rPr>
        <w:t xml:space="preserve">响应</w:t>
      </w:r>
      <w:r>
        <w:rPr>
          <w:rFonts w:ascii="宋体" w:hAnsi="宋体" w:eastAsia="宋体" w:cs="宋体"/>
          <w:bCs/>
          <w:color w:val="000000"/>
          <w:sz w:val="21"/>
          <w:szCs w:val="21"/>
          <w:highlight w:val="none"/>
        </w:rPr>
        <w:t xml:space="preserve">文件；</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③ 乙方在招投标过程中所作的其它承诺、声明、书面澄清等；</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④ 招标文件及其附件；</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⑤ 合同附件。</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ascii="宋体" w:hAnsi="宋体" w:eastAsia="宋体" w:cs="宋体"/>
          <w:bCs/>
          <w:color w:val="000000"/>
          <w:sz w:val="21"/>
          <w:szCs w:val="21"/>
          <w:highlight w:val="none"/>
        </w:rPr>
        <w:t xml:space="preserve">以上与本合同具有同等法律效力</w:t>
      </w:r>
      <w:r/>
    </w:p>
    <w:p>
      <w:pPr>
        <w:numPr>
          <w:ilvl w:val="0"/>
          <w:numId w:val="1"/>
        </w:numPr>
        <w:ind w:firstLine="283"/>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服务内容包括：</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4.1活动策划</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（1）对2026年“吴中百匠”项目进行全案策划。</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（2）方案既能体现站位高度，又有创意亮点，进一步彰显“吴中百匠”系列活动基础上的创新实践与发展成果。</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（3）方案能够体现对于江南文化传播、百匠品牌建设、百匠人才成长的推动举措，以及系列活动的影响力和辐射度。</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4.2、内容构成</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（1）系列活动之间要有内在关联度，形成内容和逻辑体系，为扎实打造推进“吴中百匠”IP进行全面赋能，要注重方案的落地性和实效力。</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（2）要全面推广“吴中百匠”IP，拓宽传播渠道和市场化对接的范围，挖掘“吴中百匠”的品牌化和市场化价值，促进“吴中百匠”有效持续发展。</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（3）要着力构建文化产业发展的生态圈，推动产业链上下游的协同发展，打造可持续发展的产业模式。</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（4）要推动资源对接，促成百匠项目和相关合作计划落地实施，加强百匠项目的成长性挖掘和孵化推动。</w:t>
      </w:r>
      <w:r/>
      <w:r>
        <w:rPr>
          <w:highlight w:val="none"/>
        </w:rPr>
      </w:r>
      <w:r/>
      <w:r>
        <w:rPr>
          <w:sz w:val="22"/>
        </w:rP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二、甲乙双方权利和责任</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1、甲方的权利和责任：</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①拥有对项目方案及执行的决策权。</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②有权监督及检查乙方的执行工作，并对相关方面给到指导意见。</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③本协议内采购的项目获得的上级财政补助资金，由甲方享有。</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④在本协议采购项目之外的政府临时增加活动项目所产生的额外费用，需由甲乙双方另行签署协议后由甲方支付相应费用。</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2、乙方的权利和责任：</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①乙方需遵照本协议的宗旨及目标，保质保量完成采购服务内容。</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②乙方应配备专门的专业团队推进该项目，直至顺利完成。</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③在乙方管理运营项目期间，不得损害项目权益。</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④乙方服务期内，未经甲方书面同意，乙方不得转由他人负责项目总执行。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⑥乙方应严格全面、完整履行协议义务。乙方定期向甲方作出工作汇报，听从甲方的意见及合理化建议。</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三、</w:t>
      </w:r>
      <w:r>
        <w:rPr>
          <w:rFonts w:hint="eastAsia" w:ascii="宋体" w:hAnsi="宋体" w:eastAsia="宋体" w:cs="宋体"/>
          <w:bCs/>
          <w:sz w:val="21"/>
          <w:szCs w:val="21"/>
          <w:lang w:val="zh-CN"/>
        </w:rPr>
        <w:t xml:space="preserve">合同价款支付：</w:t>
      </w:r>
      <w:r/>
    </w:p>
    <w:p>
      <w:pPr>
        <w:pStyle w:val="885"/>
        <w:ind w:firstLine="420"/>
        <w:keepLines w:val="0"/>
        <w:keepNext w:val="0"/>
        <w:pageBreakBefore w:val="0"/>
        <w:spacing w:line="360" w:lineRule="auto"/>
        <w:widowControl w:val="off"/>
        <w:rPr>
          <w:rFonts w:hint="eastAsia" w:ascii="宋体" w:hAnsi="宋体" w:eastAsia="宋体" w:cs="宋体"/>
          <w:sz w:val="21"/>
          <w:szCs w:val="21"/>
        </w:rPr>
      </w:pPr>
      <w:r>
        <w:rPr>
          <w:rFonts w:hint="eastAsia" w:hAnsi="宋体" w:cs="宋体"/>
          <w:sz w:val="21"/>
          <w:szCs w:val="21"/>
          <w:lang w:val="en-US" w:eastAsia="zh-CN"/>
        </w:rPr>
        <w:t xml:space="preserve">1、</w:t>
      </w:r>
      <w:r>
        <w:rPr>
          <w:rFonts w:hint="eastAsia" w:ascii="宋体" w:hAnsi="宋体" w:eastAsia="宋体" w:cs="宋体"/>
          <w:sz w:val="21"/>
          <w:szCs w:val="21"/>
        </w:rPr>
        <w:t xml:space="preserve">合同价格按此次中标（成交）价格执行，合同金额为人民币（大写）</w:t>
      </w:r>
      <w:r>
        <w:rPr>
          <w:rFonts w:hint="eastAsia" w:hAnsi="宋体" w:cs="宋体"/>
          <w:b/>
          <w:bCs/>
          <w:sz w:val="21"/>
          <w:szCs w:val="21"/>
          <w:u w:val="single"/>
          <w:lang w:eastAsia="zh-CN"/>
        </w:rPr>
        <w:t xml:space="preserve">元整</w:t>
      </w:r>
      <w:r>
        <w:rPr>
          <w:rFonts w:hint="eastAsia" w:ascii="宋体" w:hAnsi="宋体" w:eastAsia="宋体" w:cs="宋体"/>
          <w:b/>
          <w:bCs/>
          <w:sz w:val="21"/>
          <w:szCs w:val="21"/>
          <w:u w:val="single"/>
        </w:rPr>
        <w:t xml:space="preserve">（¥：</w:t>
      </w:r>
      <w:r>
        <w:rPr>
          <w:rFonts w:hint="eastAsia" w:hAnsi="宋体" w:cs="宋体"/>
          <w:b/>
          <w:bCs/>
          <w:sz w:val="21"/>
          <w:szCs w:val="21"/>
          <w:u w:val="single"/>
          <w:lang w:val="en-US" w:eastAsia="zh-CN"/>
        </w:rPr>
        <w:t xml:space="preserve">.00</w:t>
      </w:r>
      <w:r>
        <w:rPr>
          <w:rFonts w:hint="eastAsia" w:ascii="宋体" w:hAnsi="宋体" w:eastAsia="宋体" w:cs="宋体"/>
          <w:b/>
          <w:bCs/>
          <w:sz w:val="21"/>
          <w:szCs w:val="21"/>
          <w:u w:val="single"/>
        </w:rPr>
        <w:t xml:space="preserve">）</w:t>
      </w:r>
      <w:r>
        <w:rPr>
          <w:rFonts w:hint="eastAsia" w:ascii="宋体" w:hAnsi="宋体" w:eastAsia="宋体" w:cs="宋体"/>
          <w:sz w:val="21"/>
          <w:szCs w:val="21"/>
        </w:rPr>
        <w:t xml:space="preserve">。合同金额</w:t>
      </w:r>
      <w:r>
        <w:rPr>
          <w:rFonts w:hint="eastAsia" w:ascii="宋体" w:hAnsi="宋体" w:eastAsia="宋体" w:cs="宋体"/>
          <w:sz w:val="21"/>
          <w:szCs w:val="21"/>
          <w:lang w:val="zh-TW"/>
        </w:rPr>
        <w:t xml:space="preserve">所有服务内容、耗材、通讯、办公设备、各种税费、人工、节假日加班工资、劳保、技术支持及相关劳务支出等工作所发生的全部费用以及响应单位企业利润、税金、代理服务费、政策性文件规定及合同包含的所有风险、责任等各项应有费用</w:t>
      </w:r>
      <w:r>
        <w:rPr>
          <w:rFonts w:hint="eastAsia" w:ascii="宋体" w:hAnsi="宋体" w:eastAsia="宋体" w:cs="宋体"/>
          <w:sz w:val="21"/>
          <w:szCs w:val="21"/>
        </w:rPr>
        <w:t xml:space="preserve">。同时，除非合同条款中另有规定，否则，价格在合同实施期间不因市场变化因素而变动。</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lang w:eastAsia="zh-CN"/>
        </w:rPr>
        <w:t xml:space="preserve">合同签订生效后</w:t>
      </w:r>
      <w:r>
        <w:rPr>
          <w:rFonts w:hint="eastAsia" w:ascii="宋体" w:hAnsi="宋体" w:eastAsia="宋体" w:cs="宋体"/>
          <w:bCs/>
          <w:color w:val="000000"/>
          <w:sz w:val="21"/>
          <w:szCs w:val="21"/>
          <w:highlight w:val="none"/>
        </w:rPr>
        <w:t xml:space="preserve">，支付合同金额</w:t>
      </w:r>
      <w:r>
        <w:rPr>
          <w:rFonts w:ascii="宋体" w:hAnsi="宋体" w:cs="宋体"/>
          <w:bCs/>
          <w:color w:val="000000"/>
          <w:sz w:val="21"/>
          <w:szCs w:val="21"/>
          <w:highlight w:val="none"/>
        </w:rPr>
        <w:t xml:space="preserve">50</w:t>
      </w:r>
      <w:r>
        <w:rPr>
          <w:rFonts w:hint="eastAsia" w:ascii="宋体" w:hAnsi="宋体" w:eastAsia="宋体" w:cs="宋体"/>
          <w:bCs/>
          <w:color w:val="000000"/>
          <w:sz w:val="21"/>
          <w:szCs w:val="21"/>
          <w:highlight w:val="none"/>
        </w:rPr>
        <w:t xml:space="preserve">%作为首付款，项目结束经由采购单位评估活动完成情况后一个月，支付剩下的</w:t>
      </w:r>
      <w:r>
        <w:rPr>
          <w:rFonts w:ascii="宋体" w:hAnsi="宋体" w:cs="宋体"/>
          <w:bCs/>
          <w:color w:val="000000"/>
          <w:sz w:val="21"/>
          <w:szCs w:val="21"/>
          <w:highlight w:val="none"/>
        </w:rPr>
        <w:t xml:space="preserve">50</w:t>
      </w:r>
      <w:r>
        <w:rPr>
          <w:rFonts w:hint="eastAsia" w:ascii="宋体" w:hAnsi="宋体" w:eastAsia="宋体" w:cs="宋体"/>
          <w:bCs/>
          <w:color w:val="000000"/>
          <w:sz w:val="21"/>
          <w:szCs w:val="21"/>
          <w:highlight w:val="none"/>
        </w:rPr>
        <w:t xml:space="preserve">%的费用。</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rPr>
        <w:t xml:space="preserve">、甲方支付此项费用外不再承担其它任何费用（包括个人），</w:t>
      </w:r>
      <w:r>
        <w:rPr>
          <w:rFonts w:hint="eastAsia" w:ascii="宋体" w:hAnsi="宋体" w:eastAsia="宋体" w:cs="宋体"/>
          <w:bCs/>
          <w:color w:val="000000"/>
          <w:sz w:val="21"/>
          <w:szCs w:val="21"/>
          <w:highlight w:val="none"/>
        </w:rPr>
        <w:t xml:space="preserve">服务</w:t>
      </w:r>
      <w:r>
        <w:rPr>
          <w:rFonts w:ascii="宋体" w:hAnsi="宋体" w:eastAsia="宋体" w:cs="宋体"/>
          <w:bCs/>
          <w:color w:val="000000"/>
          <w:sz w:val="21"/>
          <w:szCs w:val="21"/>
          <w:highlight w:val="none"/>
        </w:rPr>
        <w:t xml:space="preserve">人员的薪金、福利、休假日补贴等由乙方付给，与甲方无关。</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四</w:t>
      </w:r>
      <w:r>
        <w:rPr>
          <w:rFonts w:hint="eastAsia" w:ascii="宋体" w:hAnsi="宋体" w:eastAsia="宋体" w:cs="宋体"/>
          <w:bCs/>
          <w:color w:val="000000"/>
          <w:sz w:val="21"/>
          <w:szCs w:val="21"/>
          <w:highlight w:val="none"/>
          <w:lang w:val="zh-CN"/>
        </w:rPr>
        <w:t xml:space="preserve">、其它</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乙方在合同期限内发生的一切安全责任事故均由乙方自行负责。</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本合同之附件均为合同有效组成部分，与本合同具有同等法律效力。</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五</w:t>
      </w:r>
      <w:r>
        <w:rPr>
          <w:rFonts w:hint="eastAsia" w:ascii="宋体" w:hAnsi="宋体" w:eastAsia="宋体" w:cs="宋体"/>
          <w:bCs/>
          <w:color w:val="000000"/>
          <w:sz w:val="21"/>
          <w:szCs w:val="21"/>
          <w:highlight w:val="none"/>
          <w:lang w:val="zh-CN"/>
        </w:rPr>
        <w:t xml:space="preserve">、合同的解除</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1、甲方和乙方协商一致，可以解除合同；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2、有下列情形之一，合同一方可以解除合同：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2.1 因不可抗力致使不能实现合同目的，未受不可抗力影响的一方有权解除合同；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2.2 因合同一方违约导致合同不能履行，另一方有权解除合同；</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3、有权解除合同的一方，应当在违约事实或不可抗力发生之后三十天内书面通知对方以主张解除合同，合同在书面通知到达对方时解除。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4、</w:t>
      </w:r>
      <w:r>
        <w:rPr>
          <w:rFonts w:hint="eastAsia" w:ascii="宋体" w:hAnsi="宋体" w:eastAsia="宋体" w:cs="宋体"/>
          <w:bCs/>
          <w:color w:val="000000"/>
          <w:sz w:val="21"/>
          <w:szCs w:val="21"/>
          <w:highlight w:val="none"/>
        </w:rPr>
        <w:t xml:space="preserve">由于乙方未能在规定时间内按照要求完成并保障项目活动的顺利召开的，发生一次甲方即有权立即终止项目合同。</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六</w:t>
      </w:r>
      <w:r>
        <w:rPr>
          <w:rFonts w:hint="eastAsia" w:ascii="宋体" w:hAnsi="宋体" w:eastAsia="宋体" w:cs="宋体"/>
          <w:bCs/>
          <w:color w:val="000000"/>
          <w:sz w:val="21"/>
          <w:szCs w:val="21"/>
          <w:highlight w:val="none"/>
          <w:lang w:val="zh-CN"/>
        </w:rPr>
        <w:t xml:space="preserve">、争议解决</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甲乙双方因合同发生争议，应在招标方的主持下进行调解，协商不成，任何一方可以向甲方所在地人民法院起诉。</w:t>
      </w:r>
      <w:r/>
    </w:p>
    <w:p>
      <w:pPr>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七</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合同生效及其它：</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一</w:t>
      </w:r>
      <w:r>
        <w:rPr>
          <w:rFonts w:hint="eastAsia" w:ascii="宋体" w:hAnsi="宋体" w:eastAsia="宋体" w:cs="宋体"/>
          <w:bCs/>
          <w:color w:val="000000"/>
          <w:sz w:val="21"/>
          <w:szCs w:val="21"/>
          <w:highlight w:val="none"/>
        </w:rPr>
        <w:t xml:space="preserve">）合同签订后甲乙双方即直接产生权利与义务的关系，合同执行过程中出现的问题应按照《中华人民共和国民法典》等法律法规的规定办理。</w:t>
      </w:r>
      <w:r/>
    </w:p>
    <w:p>
      <w:pPr>
        <w:ind w:firstLine="480"/>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二</w:t>
      </w:r>
      <w:r>
        <w:rPr>
          <w:rFonts w:hint="eastAsia" w:ascii="宋体" w:hAnsi="宋体" w:eastAsia="宋体" w:cs="宋体"/>
          <w:bCs/>
          <w:color w:val="00000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80"/>
        <w:jc w:val="left"/>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eastAsia="zh-CN"/>
        </w:rPr>
        <w:t xml:space="preserve">三</w:t>
      </w:r>
      <w:r>
        <w:rPr>
          <w:rFonts w:hint="eastAsia" w:ascii="宋体" w:hAnsi="宋体" w:eastAsia="宋体" w:cs="宋体"/>
          <w:bCs/>
          <w:color w:val="000000"/>
          <w:sz w:val="21"/>
          <w:szCs w:val="21"/>
          <w:highlight w:val="none"/>
        </w:rPr>
        <w:t xml:space="preserve">）合同的份数：本合同一式</w:t>
      </w:r>
      <w:r>
        <w:rPr>
          <w:rFonts w:hint="eastAsia" w:ascii="宋体" w:hAnsi="宋体" w:cs="宋体"/>
          <w:bCs/>
          <w:color w:val="000000"/>
          <w:sz w:val="21"/>
          <w:szCs w:val="21"/>
          <w:highlight w:val="none"/>
          <w:lang w:eastAsia="zh-CN"/>
        </w:rPr>
        <w:t xml:space="preserve">伍</w:t>
      </w:r>
      <w:r>
        <w:rPr>
          <w:rFonts w:hint="eastAsia" w:ascii="宋体" w:hAnsi="宋体" w:eastAsia="宋体" w:cs="宋体"/>
          <w:bCs/>
          <w:color w:val="000000"/>
          <w:sz w:val="21"/>
          <w:szCs w:val="21"/>
          <w:highlight w:val="none"/>
        </w:rPr>
        <w:t xml:space="preserve">份，甲方贰份、乙方贰份，采购代理机构壹份。</w:t>
      </w:r>
      <w:r/>
    </w:p>
    <w:p>
      <w:pPr>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ind w:firstLine="2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甲方（签章）：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乙方（签章）：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sz w:val="21"/>
          <w:szCs w:val="21"/>
          <w:highlight w:val="none"/>
        </w:rPr>
      </w:pPr>
      <w:r>
        <w:rPr>
          <w:rFonts w:hint="eastAsia" w:ascii="宋体" w:hAnsi="宋体" w:cs="宋体"/>
          <w:szCs w:val="21"/>
        </w:rPr>
        <w:t xml:space="preserve">经办人</w:t>
      </w:r>
      <w:r>
        <w:rPr>
          <w:rFonts w:hint="eastAsia" w:ascii="宋体" w:hAnsi="宋体" w:eastAsia="宋体" w:cs="宋体"/>
          <w:color w:val="000000"/>
          <w:sz w:val="21"/>
          <w:szCs w:val="21"/>
          <w:highlight w:val="none"/>
        </w:rPr>
        <w:t xml:space="preserve">（签字或签章）：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代表</w:t>
      </w:r>
      <w:r>
        <w:rPr>
          <w:rFonts w:hint="eastAsia" w:ascii="宋体" w:hAnsi="宋体" w:cs="宋体"/>
          <w:szCs w:val="21"/>
        </w:rPr>
        <w:t xml:space="preserve">或其授权代理人</w:t>
      </w:r>
      <w:r>
        <w:rPr>
          <w:rFonts w:hint="eastAsia" w:ascii="宋体" w:hAnsi="宋体" w:eastAsia="宋体" w:cs="宋体"/>
          <w:color w:val="000000"/>
          <w:sz w:val="21"/>
          <w:szCs w:val="21"/>
          <w:highlight w:val="none"/>
        </w:rPr>
        <w:t xml:space="preserve">（签字或签章）：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szCs w:val="21"/>
        </w:rPr>
        <w:t xml:space="preserve">日期： </w:t>
      </w:r>
      <w:r>
        <w:rPr>
          <w:rFonts w:hint="eastAsia" w:ascii="宋体" w:hAnsi="宋体" w:cs="宋体"/>
          <w:szCs w:val="21"/>
          <w:lang w:val="en-US" w:eastAsia="zh-CN"/>
        </w:rPr>
        <w:t xml:space="preserve">  </w:t>
      </w:r>
      <w:r>
        <w:rPr>
          <w:rFonts w:hint="eastAsia" w:ascii="宋体" w:hAnsi="宋体" w:cs="宋体"/>
          <w:szCs w:val="21"/>
        </w:rPr>
        <w:t xml:space="preserve"> 年   月   日                  </w:t>
      </w:r>
      <w:r>
        <w:rPr>
          <w:rFonts w:hint="eastAsia" w:ascii="宋体" w:hAnsi="宋体" w:cs="宋体"/>
          <w:szCs w:val="21"/>
          <w:lang w:val="en-US" w:eastAsia="zh-CN"/>
        </w:rPr>
        <w:t xml:space="preserve"> </w:t>
      </w:r>
      <w:r>
        <w:rPr>
          <w:rFonts w:hint="eastAsia" w:ascii="宋体" w:hAnsi="宋体" w:cs="宋体"/>
          <w:szCs w:val="21"/>
        </w:rPr>
        <w:t xml:space="preserve">日期：  </w:t>
      </w:r>
      <w:r>
        <w:rPr>
          <w:rFonts w:hint="eastAsia" w:ascii="宋体" w:hAnsi="宋体" w:cs="宋体"/>
          <w:szCs w:val="21"/>
          <w:lang w:val="en-US" w:eastAsia="zh-CN"/>
        </w:rPr>
        <w:t xml:space="preserve">  </w:t>
      </w:r>
      <w:r>
        <w:rPr>
          <w:rFonts w:hint="eastAsia" w:ascii="宋体" w:hAnsi="宋体" w:cs="宋体"/>
          <w:szCs w:val="21"/>
        </w:rPr>
        <w:t xml:space="preserve">年   月   日</w:t>
      </w:r>
      <w:r>
        <w:rPr>
          <w:rFonts w:ascii="宋体" w:hAnsi="宋体" w:cs="宋体"/>
          <w:color w:val="000000" w:themeColor="text1"/>
          <w:sz w:val="21"/>
          <w:szCs w:val="21"/>
          <w:highlight w:val="none"/>
          <w14:textFill>
            <w14:solidFill>
              <w14:schemeClr w14:val="tx1"/>
            </w14:solidFill>
          </w14:textFill>
        </w:rPr>
        <w:t xml:space="preserve"> </w:t>
      </w:r>
      <w:r/>
    </w:p>
    <w:p>
      <w:pPr>
        <w:jc w:val="left"/>
        <w:tabs>
          <w:tab w:val="left" w:pos="1509" w:leader="none"/>
        </w:tabs>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br w:type="page" w:clear="all"/>
      </w:r>
      <w:r/>
    </w:p>
    <w:p>
      <w:pPr>
        <w:jc w:val="center"/>
        <w:keepLines/>
        <w:keepNext/>
        <w:spacing w:before="340" w:after="330" w:line="360" w:lineRule="auto"/>
        <w:rPr>
          <w:rFonts w:ascii="宋体" w:hAnsi="宋体" w:cs="宋体"/>
          <w:color w:val="000000" w:themeColor="text1"/>
          <w:sz w:val="28"/>
          <w:szCs w:val="28"/>
          <w:highlight w:val="none"/>
          <w14:textFill>
            <w14:solidFill>
              <w14:schemeClr w14:val="tx1"/>
            </w14:solidFill>
          </w14:textFill>
        </w:rPr>
        <w:outlineLvl w:val="0"/>
      </w:pPr>
      <w:r/>
      <w:bookmarkStart w:id="16" w:name="_Toc484614641"/>
      <w:r>
        <w:rPr>
          <w:rFonts w:hint="eastAsia" w:ascii="宋体" w:hAnsi="宋体" w:eastAsia="宋体" w:cs="宋体"/>
          <w:b/>
          <w:color w:val="000000" w:themeColor="text1"/>
          <w:sz w:val="28"/>
          <w:szCs w:val="28"/>
          <w:highlight w:val="none"/>
          <w14:textFill>
            <w14:solidFill>
              <w14:schemeClr w14:val="tx1"/>
            </w14:solidFill>
          </w14:textFill>
        </w:rPr>
        <w:t xml:space="preserve">第五章 评审办法</w:t>
      </w:r>
      <w:bookmarkEnd w:id="16"/>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一、评审方法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1、本次磋商采用综合评分法，即指响应文件满足招标文件全部实质性要求，且按照评审因素的量化指标评审得分最高的磋商供应商</w:t>
      </w:r>
      <w:r>
        <w:rPr>
          <w:rFonts w:hint="eastAsia" w:ascii="宋体" w:hAnsi="宋体" w:eastAsia="宋体" w:cs="宋体"/>
          <w:sz w:val="21"/>
          <w:szCs w:val="21"/>
        </w:rPr>
        <w:t xml:space="preserve">为排名第一的</w:t>
      </w:r>
      <w:r>
        <w:rPr>
          <w:rFonts w:hint="eastAsia" w:ascii="宋体" w:hAnsi="宋体" w:eastAsia="宋体" w:cs="宋体"/>
          <w:sz w:val="21"/>
          <w:szCs w:val="21"/>
        </w:rPr>
        <w:t xml:space="preserve">成交候选人的评审方法。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2、评标委员会各成员独立对每个进入打分程序的有效磋商供应商的标书技术和资质部分以打分的形式进行评审和评价。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磋商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4、评审委员会根据采购人的授权，按照成交候选人的顺序在成交候选人中直接确定成交供应商。</w:t>
      </w:r>
      <w:r/>
    </w:p>
    <w:p>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二</w:t>
      </w:r>
      <w:r>
        <w:rPr>
          <w:rFonts w:ascii="宋体" w:hAnsi="宋体" w:eastAsia="宋体" w:cs="宋体"/>
          <w:b/>
          <w:color w:val="000000" w:themeColor="text1"/>
          <w:sz w:val="21"/>
          <w:szCs w:val="21"/>
          <w:highlight w:val="none"/>
          <w14:textFill>
            <w14:solidFill>
              <w14:schemeClr w14:val="tx1"/>
            </w14:solidFill>
          </w14:textFill>
        </w:rPr>
        <w:t xml:space="preserve">、评分标准</w:t>
      </w:r>
      <w:r/>
    </w:p>
    <w:p>
      <w:pPr>
        <w:ind w:firstLine="48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（一）价格分（10分）</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第一步：磋商报价低于或等于财政预算价格的，为有效磋商报价。超财政预算的磋商报价为无效磋商报价。无效投标报价的投标文件不进行评审，也不得标。</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第二步：在所有有效投标报价中满足招标文件要求，且投标价格最低的投标报价为评标基准价，其价格分为满分10分，其他供应商的价格分按照下列公式计算（计算结果四舍五入保留两位小数）</w:t>
      </w:r>
      <w:r/>
    </w:p>
    <w:p>
      <w:pPr>
        <w:ind w:firstLine="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磋商报价得分＝（磋商基准价/磋商报价）×10％×100。</w:t>
      </w:r>
      <w:r/>
    </w:p>
    <w:p>
      <w:pPr>
        <w:ind w:firstLine="426"/>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（二）方案比较</w:t>
      </w:r>
      <w:r>
        <w:rPr>
          <w:rFonts w:ascii="宋体" w:hAnsi="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58</w:t>
      </w:r>
      <w:r>
        <w:rPr>
          <w:rFonts w:ascii="宋体" w:hAnsi="宋体" w:eastAsia="宋体" w:cs="宋体"/>
          <w:b/>
          <w:bCs/>
          <w:color w:val="000000" w:themeColor="text1"/>
          <w:sz w:val="21"/>
          <w:szCs w:val="21"/>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1、供应商与采购单位的定位契合度比较（</w:t>
      </w: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80"/>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活动目标定位的精确、合理，与采购单位的定位契合度高的，得</w:t>
      </w:r>
      <w:r>
        <w:rPr>
          <w:rFonts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分；对目标定位的较为合理，与采购单位的定位契合度一般的，得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分；对目标定位的不尽合理，与采购单位的定位契合度低的，得</w:t>
      </w:r>
      <w:r>
        <w:rPr>
          <w:rFonts w:ascii="宋体" w:hAnsi="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spacing w:line="360" w:lineRule="auto"/>
        <w:widowControl/>
        <w:tabs>
          <w:tab w:val="left" w:pos="567" w:leader="none"/>
        </w:tabs>
        <w:rPr>
          <w:rFonts w:hint="default" w:ascii="宋体" w:hAnsi="宋体" w:eastAsia="宋体" w:cs="宋体"/>
          <w:color w:val="000000" w:themeColor="text1"/>
          <w:sz w:val="21"/>
          <w:szCs w:val="21"/>
          <w:highlight w:val="yellow"/>
          <w:lang w:val="en-US" w:eastAsia="zh-CN"/>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、供应商针对本项目整体活动具体设计方案比较（</w:t>
      </w:r>
      <w:r>
        <w:rPr>
          <w:rFonts w:hint="eastAsia" w:ascii="宋体" w:hAnsi="宋体" w:cs="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80"/>
        <w:spacing w:line="360" w:lineRule="auto"/>
        <w:widowControl/>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整体活动具体设计方案。主题明确、形式多样、创意新颖、内容丰富的，得1</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分；主题较明确、形式较多样、创意较新颖、内容较丰富的，得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分；主题明确性一般、形式多样性一般、创意新颖度一般、内容丰富度一般的，得6分；</w:t>
      </w:r>
      <w:r>
        <w:rPr>
          <w:rFonts w:ascii="宋体" w:hAnsi="宋体" w:eastAsia="宋体" w:cs="宋体"/>
          <w:color w:val="000000" w:themeColor="text1"/>
          <w:sz w:val="21"/>
          <w:szCs w:val="21"/>
          <w:highlight w:val="none"/>
          <w14:textFill>
            <w14:solidFill>
              <w14:schemeClr w14:val="tx1"/>
            </w14:solidFill>
          </w14:textFill>
        </w:rPr>
        <w:t xml:space="preserve">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80"/>
        <w:spacing w:line="360" w:lineRule="auto"/>
        <w:widowControl/>
        <w:tabs>
          <w:tab w:val="left" w:pos="567"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3、供应商针对本项目单个活动进度把控、管理制度方案比较（</w:t>
      </w:r>
      <w:r>
        <w:rPr>
          <w:rFonts w:ascii="宋体" w:hAnsi="宋体" w:cs="宋体"/>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80"/>
        <w:spacing w:line="360" w:lineRule="auto"/>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单个活动时间进度安排科学合理、项目管理制度完备的，得</w:t>
      </w:r>
      <w:r>
        <w:rPr>
          <w:rFonts w:ascii="宋体" w:hAnsi="宋体" w:cs="宋体"/>
          <w:color w:val="000000" w:themeColor="text1"/>
          <w:sz w:val="21"/>
          <w:szCs w:val="21"/>
          <w:highlight w:val="none"/>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分；单个活动时间进度安排一般、项目管理制度一般的，得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分；单个活动时间进度含糊，项目管理制度不全的，得</w:t>
      </w:r>
      <w:r>
        <w:rPr>
          <w:rFonts w:ascii="宋体" w:hAnsi="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5"/>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4、供应商针对本项目</w:t>
      </w:r>
      <w:r>
        <w:rPr>
          <w:rFonts w:ascii="宋体" w:hAnsi="宋体" w:eastAsia="宋体" w:cs="宋体"/>
          <w:color w:val="000000" w:themeColor="text1"/>
          <w:sz w:val="21"/>
          <w:szCs w:val="21"/>
          <w:highlight w:val="none"/>
          <w14:textFill>
            <w14:solidFill>
              <w14:schemeClr w14:val="tx1"/>
            </w14:solidFill>
          </w14:textFill>
        </w:rPr>
        <w:t xml:space="preserve">活动宣传方案</w:t>
      </w:r>
      <w:r>
        <w:rPr>
          <w:rFonts w:hint="eastAsia" w:ascii="宋体" w:hAnsi="宋体" w:eastAsia="宋体" w:cs="宋体"/>
          <w:color w:val="000000" w:themeColor="text1"/>
          <w:sz w:val="21"/>
          <w:szCs w:val="21"/>
          <w:highlight w:val="none"/>
          <w14:textFill>
            <w14:solidFill>
              <w14:schemeClr w14:val="tx1"/>
            </w14:solidFill>
          </w14:textFill>
        </w:rPr>
        <w:t xml:space="preserve">比较（1</w:t>
      </w:r>
      <w:r>
        <w:rPr>
          <w:rFonts w:ascii="宋体" w:hAnsi="宋体" w:cs="宋体"/>
          <w:color w:val="000000" w:themeColor="text1"/>
          <w:sz w:val="21"/>
          <w:szCs w:val="21"/>
          <w:highlight w:val="none"/>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活动宣传方案全面，可实施性强，宣传渠道多样、线上线下有效结合的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得10分</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方案较为全面完善、可实施性较强，宣传渠道较为多样、线上线下结合的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得7分，方案</w:t>
      </w:r>
      <w:r>
        <w:rPr>
          <w:rFonts w:hint="eastAsia" w:ascii="宋体" w:hAnsi="宋体" w:eastAsia="宋体" w:cs="宋体"/>
          <w:color w:val="000000" w:themeColor="text1"/>
          <w:sz w:val="21"/>
          <w:szCs w:val="21"/>
          <w:highlight w:val="none"/>
          <w14:textFill>
            <w14:solidFill>
              <w14:schemeClr w14:val="tx1"/>
            </w14:solidFill>
          </w14:textFill>
        </w:rPr>
        <w:t xml:space="preserve">一般</w:t>
      </w:r>
      <w:r>
        <w:rPr>
          <w:rFonts w:ascii="宋体" w:hAnsi="宋体" w:eastAsia="宋体" w:cs="宋体"/>
          <w:color w:val="000000" w:themeColor="text1"/>
          <w:sz w:val="21"/>
          <w:szCs w:val="21"/>
          <w:highlight w:val="none"/>
          <w14:textFill>
            <w14:solidFill>
              <w14:schemeClr w14:val="tx1"/>
            </w14:solidFill>
          </w14:textFill>
        </w:rPr>
        <w:t xml:space="preserve">，宣传渠道</w:t>
      </w:r>
      <w:r>
        <w:rPr>
          <w:rFonts w:hint="eastAsia" w:ascii="宋体" w:hAnsi="宋体" w:eastAsia="宋体" w:cs="宋体"/>
          <w:color w:val="000000" w:themeColor="text1"/>
          <w:sz w:val="21"/>
          <w:szCs w:val="21"/>
          <w:highlight w:val="none"/>
          <w14:textFill>
            <w14:solidFill>
              <w14:schemeClr w14:val="tx1"/>
            </w14:solidFill>
          </w14:textFill>
        </w:rPr>
        <w:t xml:space="preserve">一般</w:t>
      </w:r>
      <w:r>
        <w:rPr>
          <w:rFonts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得4分。有体现但不全面的</w:t>
      </w:r>
      <w:r>
        <w:rPr>
          <w:rFonts w:hint="eastAsia" w:ascii="宋体" w:hAnsi="宋体" w:eastAsia="宋体" w:cs="宋体"/>
          <w:color w:val="000000" w:themeColor="text1"/>
          <w:sz w:val="21"/>
          <w:szCs w:val="21"/>
          <w:highlight w:val="none"/>
          <w14:textFill>
            <w14:solidFill>
              <w14:schemeClr w14:val="tx1"/>
            </w14:solidFill>
          </w14:textFill>
        </w:rPr>
        <w:t xml:space="preserve">，得1分</w:t>
      </w:r>
      <w:r>
        <w:rPr>
          <w:rFonts w:ascii="宋体" w:hAnsi="宋体" w:eastAsia="宋体" w:cs="宋体"/>
          <w:color w:val="000000" w:themeColor="text1"/>
          <w:sz w:val="21"/>
          <w:szCs w:val="21"/>
          <w:highlight w:val="none"/>
          <w14:textFill>
            <w14:solidFill>
              <w14:schemeClr w14:val="tx1"/>
            </w14:solidFill>
          </w14:textFill>
        </w:rPr>
        <w:t xml:space="preserve">，未提供不得分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5、应急响应能力比较</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应急预案科学合理、全面完善、可实施性强、实施过程便捷高效、针对性强的，得</w:t>
      </w:r>
      <w:r>
        <w:rPr>
          <w:rFonts w:ascii="宋体" w:hAnsi="宋体" w:cs="宋体"/>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分；应急预案科学合理、全面完善、可实施性强的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分；有涉及但不全面的</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得1分，未提供不得分</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6"/>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（三）响应单位针对本项目配置的专项服务人员配备及组织管理情况（</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12</w:t>
      </w:r>
      <w:r>
        <w:rPr>
          <w:rFonts w:ascii="宋体" w:hAnsi="宋体" w:eastAsia="宋体" w:cs="宋体"/>
          <w:b/>
          <w:bCs/>
          <w:color w:val="000000" w:themeColor="text1"/>
          <w:sz w:val="21"/>
          <w:szCs w:val="21"/>
          <w:highlight w:val="none"/>
          <w14:textFill>
            <w14:solidFill>
              <w14:schemeClr w14:val="tx1"/>
            </w14:solidFill>
          </w14:textFill>
        </w:rPr>
        <w:t xml:space="preserve">分）</w:t>
      </w:r>
      <w:r/>
    </w:p>
    <w:p>
      <w:pPr>
        <w:ind w:firstLine="425"/>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针对本项目配置的项目组成员</w:t>
      </w:r>
      <w:r>
        <w:rPr>
          <w:rFonts w:hint="eastAsia" w:ascii="宋体" w:hAnsi="宋体" w:cs="宋体"/>
          <w:color w:val="000000" w:themeColor="text1"/>
          <w:sz w:val="21"/>
          <w:szCs w:val="21"/>
          <w:highlight w:val="none"/>
          <w:lang w:eastAsia="zh-CN"/>
          <w14:textFill>
            <w14:solidFill>
              <w14:schemeClr w14:val="tx1"/>
            </w14:solidFill>
          </w14:textFill>
        </w:rPr>
        <w:t xml:space="preserve">拥有专</w:t>
      </w:r>
      <w:r>
        <w:rPr>
          <w:rFonts w:ascii="宋体" w:hAnsi="宋体" w:eastAsia="宋体" w:cs="宋体"/>
          <w:color w:val="000000" w:themeColor="text1"/>
          <w:sz w:val="21"/>
          <w:szCs w:val="21"/>
          <w:highlight w:val="none"/>
          <w14:textFill>
            <w14:solidFill>
              <w14:schemeClr w14:val="tx1"/>
            </w14:solidFill>
          </w14:textFill>
        </w:rPr>
        <w:t xml:space="preserve">科或以上学历的，每</w:t>
      </w:r>
      <w:r>
        <w:rPr>
          <w:rFonts w:hint="eastAsia" w:ascii="宋体" w:hAnsi="宋体" w:eastAsia="宋体" w:cs="宋体"/>
          <w:color w:val="000000" w:themeColor="text1"/>
          <w:sz w:val="21"/>
          <w:szCs w:val="21"/>
          <w:highlight w:val="none"/>
          <w14:textFill>
            <w14:solidFill>
              <w14:schemeClr w14:val="tx1"/>
            </w14:solidFill>
          </w14:textFill>
        </w:rPr>
        <w:t xml:space="preserve">提供</w:t>
      </w:r>
      <w:r>
        <w:rPr>
          <w:rFonts w:ascii="宋体" w:hAnsi="宋体" w:eastAsia="宋体" w:cs="宋体"/>
          <w:color w:val="000000" w:themeColor="text1"/>
          <w:sz w:val="21"/>
          <w:szCs w:val="21"/>
          <w:highlight w:val="none"/>
          <w14:textFill>
            <w14:solidFill>
              <w14:schemeClr w14:val="tx1"/>
            </w14:solidFill>
          </w14:textFill>
        </w:rPr>
        <w:t xml:space="preserve">一位得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ascii="宋体" w:hAnsi="宋体" w:eastAsia="宋体" w:cs="宋体"/>
          <w:color w:val="000000" w:themeColor="text1"/>
          <w:sz w:val="21"/>
          <w:szCs w:val="21"/>
          <w:highlight w:val="none"/>
          <w14:textFill>
            <w14:solidFill>
              <w14:schemeClr w14:val="tx1"/>
            </w14:solidFill>
          </w14:textFill>
        </w:rPr>
        <w:t xml:space="preserve">分，最高为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提供项目组成员学历证明未提供的不得分。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针对本项目服务人员组织管理方案：人员分工合理，岗位能涵盖每个活动的各个环节，岗位职责清晰的得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分；人员分工较为合理，岗位安排能够较好的适应每个活动的需求，分工较为清晰的为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分；人员分工合理性、清晰度一般，对活动各个环节的涵盖性一般为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分；人员分工不合理，岗位未能涵盖每个活动的各个环节的得1分；未提供相关说明的不得分；最高为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                                                                                       </w:t>
      </w:r>
      <w:r/>
    </w:p>
    <w:p>
      <w:pPr>
        <w:ind w:firstLine="426"/>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（四）投标人综合实力</w:t>
      </w:r>
      <w:r>
        <w:rPr>
          <w:rFonts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20</w:t>
      </w:r>
      <w:r>
        <w:rPr>
          <w:rFonts w:ascii="宋体" w:hAnsi="宋体" w:eastAsia="宋体" w:cs="宋体"/>
          <w:b/>
          <w:bCs/>
          <w:color w:val="000000" w:themeColor="text1"/>
          <w:sz w:val="21"/>
          <w:szCs w:val="21"/>
          <w:highlight w:val="none"/>
          <w14:textFill>
            <w14:solidFill>
              <w14:schemeClr w14:val="tx1"/>
            </w14:solidFill>
          </w14:textFill>
        </w:rPr>
        <w:t xml:space="preserve">分)  </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1、响应单位</w:t>
      </w:r>
      <w:r>
        <w:rPr>
          <w:rFonts w:ascii="宋体" w:hAnsi="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年1月1日至今具有类似策划活动业绩情况，每具备一项得</w:t>
      </w:r>
      <w:r>
        <w:rPr>
          <w:rFonts w:ascii="宋体" w:hAnsi="宋体" w:cs="宋体"/>
          <w:color w:val="000000" w:themeColor="text1"/>
          <w:sz w:val="21"/>
          <w:szCs w:val="21"/>
          <w:highlight w:val="none"/>
          <w14:textFill>
            <w14:solidFill>
              <w14:schemeClr w14:val="tx1"/>
            </w14:solidFill>
          </w14:textFill>
        </w:rPr>
        <w:t xml:space="preserve">4</w:t>
      </w:r>
      <w:r>
        <w:rPr>
          <w:rFonts w:ascii="宋体" w:hAnsi="宋体" w:eastAsia="宋体" w:cs="宋体"/>
          <w:color w:val="000000" w:themeColor="text1"/>
          <w:sz w:val="21"/>
          <w:szCs w:val="21"/>
          <w:highlight w:val="none"/>
          <w14:textFill>
            <w14:solidFill>
              <w14:schemeClr w14:val="tx1"/>
            </w14:solidFill>
          </w14:textFill>
        </w:rPr>
        <w:t xml:space="preserve">分，最高为12分；需提供签订的合同复印件加盖响应单位公章，否则不得分，单个合同不重复累计计算得分。</w:t>
      </w:r>
      <w:r/>
    </w:p>
    <w:p>
      <w:pPr>
        <w:ind w:firstLine="425"/>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2、响应单位类似成功案例的分析展示：最高为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w:t>
      </w:r>
      <w:r/>
    </w:p>
    <w:p>
      <w:pPr>
        <w:ind w:firstLine="425"/>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响应单位提供</w:t>
      </w:r>
      <w:r>
        <w:rPr>
          <w:rFonts w:ascii="宋体" w:hAnsi="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年1月</w:t>
      </w:r>
      <w:r>
        <w:rPr>
          <w:rFonts w:hint="eastAsia" w:ascii="宋体" w:hAnsi="宋体" w:eastAsia="宋体" w:cs="宋体"/>
          <w:color w:val="000000" w:themeColor="text1"/>
          <w:sz w:val="21"/>
          <w:szCs w:val="21"/>
          <w:highlight w:val="none"/>
          <w14:textFill>
            <w14:solidFill>
              <w14:schemeClr w14:val="tx1"/>
            </w14:solidFill>
          </w14:textFill>
        </w:rPr>
        <w:t xml:space="preserve">1日</w:t>
      </w:r>
      <w:r>
        <w:rPr>
          <w:rFonts w:ascii="宋体" w:hAnsi="宋体" w:eastAsia="宋体" w:cs="宋体"/>
          <w:color w:val="000000" w:themeColor="text1"/>
          <w:sz w:val="21"/>
          <w:szCs w:val="21"/>
          <w:highlight w:val="none"/>
          <w14:textFill>
            <w14:solidFill>
              <w14:schemeClr w14:val="tx1"/>
            </w14:solidFill>
          </w14:textFill>
        </w:rPr>
        <w:t xml:space="preserve">以来1-2个类似的活动案例展示，需包含策划方案、效果图、现场照片等，通过过往类似成功案例展现响应单位的活动组织、策划能力以及活动案例实际呈现效果：通过类似成功案例展示的实际效果好的得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ascii="宋体" w:hAnsi="宋体" w:eastAsia="宋体" w:cs="宋体"/>
          <w:color w:val="000000" w:themeColor="text1"/>
          <w:sz w:val="21"/>
          <w:szCs w:val="21"/>
          <w:highlight w:val="none"/>
          <w14:textFill>
            <w14:solidFill>
              <w14:schemeClr w14:val="tx1"/>
            </w14:solidFill>
          </w14:textFill>
        </w:rPr>
        <w:t xml:space="preserve">分，通过类似成功案例展示的实际效果较好的得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ascii="宋体" w:hAnsi="宋体" w:eastAsia="宋体" w:cs="宋体"/>
          <w:color w:val="000000" w:themeColor="text1"/>
          <w:sz w:val="21"/>
          <w:szCs w:val="21"/>
          <w:highlight w:val="none"/>
          <w14:textFill>
            <w14:solidFill>
              <w14:schemeClr w14:val="tx1"/>
            </w14:solidFill>
          </w14:textFill>
        </w:rPr>
        <w:t xml:space="preserve">分，通过类似成功案例展示的实际效果一般的得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分；通过类似成功案例展示的实际效果较差的得1分，未提供相关展示说明的不得分。</w:t>
      </w:r>
      <w:r/>
    </w:p>
    <w:p>
      <w:pPr>
        <w:ind w:firstLine="48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（全文完）</w:t>
      </w:r>
      <w:r/>
    </w:p>
    <w:sectPr>
      <w:footerReference w:type="default" r:id="rId9"/>
      <w:footerReference w:type="even" r:id="rId10"/>
      <w:footnotePr/>
      <w:endnotePr/>
      <w:type w:val="nextPage"/>
      <w:pgSz w:w="11906" w:h="16838" w:orient="portrait"/>
      <w:pgMar w:top="1440" w:right="1800" w:bottom="1738"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mbria">
    <w:panose1 w:val="0204050305040603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0"/>
      </w:rPr>
      <w:framePr w:wrap="around" w:vAnchor="text" w:hAnchor="margin" w:xAlign="center" w:y="1"/>
    </w:pPr>
    <w:r>
      <w:rPr>
        <w:rStyle w:val="710"/>
      </w:rPr>
      <w:fldChar w:fldCharType="begin"/>
    </w:r>
    <w:r>
      <w:rPr>
        <w:rStyle w:val="710"/>
      </w:rPr>
      <w:instrText xml:space="preserve">PAGE  </w:instrText>
    </w:r>
    <w:r>
      <w:rPr>
        <w:rStyle w:val="710"/>
      </w:rPr>
      <w:fldChar w:fldCharType="separate"/>
    </w:r>
    <w:r>
      <w:rPr>
        <w:rStyle w:val="710"/>
      </w:rPr>
      <w:t xml:space="preserve">- 2 -</w:t>
    </w:r>
    <w:r>
      <w:rPr>
        <w:rStyle w:val="710"/>
      </w:rPr>
      <w:fldChar w:fldCharType="end"/>
    </w:r>
    <w:r/>
  </w:p>
  <w:p>
    <w:pPr>
      <w:pStyle w:val="6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0"/>
      </w:rPr>
      <w:framePr w:wrap="around" w:vAnchor="text" w:hAnchor="margin" w:xAlign="center" w:y="1"/>
    </w:pPr>
    <w:r>
      <w:rPr>
        <w:rStyle w:val="710"/>
      </w:rPr>
      <w:fldChar w:fldCharType="begin"/>
    </w:r>
    <w:r>
      <w:rPr>
        <w:rStyle w:val="710"/>
      </w:rPr>
      <w:instrText xml:space="preserve">PAGE  </w:instrText>
    </w:r>
    <w:r>
      <w:rPr>
        <w:rStyle w:val="710"/>
      </w:rPr>
      <w:fldChar w:fldCharType="separate"/>
    </w:r>
    <w:r>
      <w:rPr>
        <w:rStyle w:val="710"/>
      </w:rPr>
      <w:t xml:space="preserve">36</w:t>
    </w:r>
    <w:r>
      <w:rPr>
        <w:rStyle w:val="710"/>
      </w:rP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jc w:val="both"/>
      <w:widowControl w:val="off"/>
    </w:pPr>
    <w:rPr>
      <w:rFonts w:hint="default" w:ascii="Calibri" w:hAnsi="Calibri" w:eastAsia="宋体" w:cs="Times New Roman"/>
      <w:sz w:val="21"/>
      <w:szCs w:val="22"/>
    </w:rPr>
  </w:style>
  <w:style w:type="paragraph" w:styleId="673">
    <w:name w:val="Heading 1"/>
    <w:basedOn w:val="672"/>
    <w:next w:val="672"/>
    <w:link w:val="879"/>
    <w:uiPriority w:val="1"/>
    <w:qFormat/>
    <w:pPr>
      <w:keepLines/>
      <w:keepNext/>
      <w:spacing w:before="340" w:after="330" w:line="578" w:lineRule="auto"/>
      <w:outlineLvl w:val="0"/>
    </w:pPr>
    <w:rPr>
      <w:b/>
      <w:bCs/>
      <w:sz w:val="44"/>
      <w:szCs w:val="44"/>
    </w:rPr>
  </w:style>
  <w:style w:type="paragraph" w:styleId="674">
    <w:name w:val="Heading 2"/>
    <w:basedOn w:val="672"/>
    <w:next w:val="672"/>
    <w:link w:val="728"/>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29"/>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880"/>
    <w:uiPriority w:val="1"/>
    <w:qFormat/>
    <w:pPr>
      <w:keepLines/>
      <w:keepNext/>
      <w:spacing w:before="280" w:after="290" w:line="376" w:lineRule="auto"/>
      <w:outlineLvl w:val="3"/>
    </w:pPr>
    <w:rPr>
      <w:rFonts w:ascii="Cambria" w:hAnsi="Cambria"/>
      <w:b/>
      <w:bCs/>
      <w:sz w:val="28"/>
      <w:szCs w:val="28"/>
    </w:rPr>
  </w:style>
  <w:style w:type="paragraph" w:styleId="677">
    <w:name w:val="Heading 5"/>
    <w:basedOn w:val="672"/>
    <w:next w:val="672"/>
    <w:link w:val="731"/>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32"/>
    <w:uiPriority w:val="9"/>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733"/>
    <w:uiPriority w:val="9"/>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734"/>
    <w:uiPriority w:val="9"/>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735"/>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首行缩进"/>
    <w:basedOn w:val="672"/>
    <w:uiPriority w:val="0"/>
    <w:qFormat/>
    <w:pPr>
      <w:ind w:firstLine="480"/>
    </w:pPr>
    <w:rPr>
      <w:rFonts w:ascii="Times New Roman" w:hAnsi="Times New Roman" w:eastAsia="宋体" w:cs="Times New Roman"/>
      <w:lang w:val="zh-CN"/>
    </w:rPr>
  </w:style>
  <w:style w:type="paragraph" w:styleId="685">
    <w:name w:val="toc 7"/>
    <w:basedOn w:val="672"/>
    <w:next w:val="672"/>
    <w:uiPriority w:val="39"/>
    <w:unhideWhenUsed/>
    <w:qFormat/>
    <w:pPr>
      <w:ind w:left="1701"/>
      <w:spacing w:after="57"/>
    </w:pPr>
  </w:style>
  <w:style w:type="paragraph" w:styleId="686">
    <w:name w:val="Normal Indent"/>
    <w:basedOn w:val="672"/>
    <w:next w:val="672"/>
    <w:uiPriority w:val="99"/>
    <w:semiHidden/>
    <w:unhideWhenUsed/>
    <w:qFormat/>
    <w:pPr>
      <w:ind w:firstLine="420"/>
    </w:pPr>
  </w:style>
  <w:style w:type="paragraph" w:styleId="687">
    <w:name w:val="Caption"/>
    <w:basedOn w:val="672"/>
    <w:next w:val="672"/>
    <w:uiPriority w:val="35"/>
    <w:semiHidden/>
    <w:unhideWhenUsed/>
    <w:qFormat/>
    <w:pPr>
      <w:spacing w:line="276" w:lineRule="auto"/>
    </w:pPr>
    <w:rPr>
      <w:b/>
      <w:bCs/>
      <w:color w:val="4f81bd"/>
      <w:sz w:val="18"/>
      <w:szCs w:val="18"/>
    </w:rPr>
  </w:style>
  <w:style w:type="paragraph" w:styleId="688">
    <w:name w:val="Body Text"/>
    <w:basedOn w:val="672"/>
    <w:link w:val="881"/>
    <w:uiPriority w:val="0"/>
    <w:qFormat/>
    <w:pPr>
      <w:spacing w:line="400" w:lineRule="exact"/>
    </w:pPr>
    <w:rPr>
      <w:rFonts w:ascii="楷体_GB2312"/>
      <w:sz w:val="28"/>
    </w:rPr>
  </w:style>
  <w:style w:type="paragraph" w:styleId="689">
    <w:name w:val="toc 5"/>
    <w:basedOn w:val="672"/>
    <w:next w:val="672"/>
    <w:uiPriority w:val="39"/>
    <w:unhideWhenUsed/>
    <w:qFormat/>
    <w:pPr>
      <w:ind w:left="1134"/>
      <w:spacing w:after="57"/>
    </w:pPr>
  </w:style>
  <w:style w:type="paragraph" w:styleId="690">
    <w:name w:val="toc 3"/>
    <w:basedOn w:val="672"/>
    <w:next w:val="672"/>
    <w:uiPriority w:val="39"/>
    <w:unhideWhenUsed/>
    <w:qFormat/>
    <w:pPr>
      <w:ind w:left="567"/>
      <w:spacing w:after="57"/>
    </w:pPr>
  </w:style>
  <w:style w:type="paragraph" w:styleId="691">
    <w:name w:val="toc 8"/>
    <w:basedOn w:val="672"/>
    <w:next w:val="672"/>
    <w:uiPriority w:val="39"/>
    <w:unhideWhenUsed/>
    <w:qFormat/>
    <w:pPr>
      <w:ind w:left="1984"/>
      <w:spacing w:after="57"/>
    </w:pPr>
  </w:style>
  <w:style w:type="paragraph" w:styleId="692">
    <w:name w:val="endnote text"/>
    <w:basedOn w:val="672"/>
    <w:link w:val="873"/>
    <w:uiPriority w:val="99"/>
    <w:semiHidden/>
    <w:unhideWhenUsed/>
    <w:qFormat/>
    <w:rPr>
      <w:sz w:val="20"/>
    </w:rPr>
  </w:style>
  <w:style w:type="paragraph" w:styleId="693">
    <w:name w:val="Balloon Text"/>
    <w:basedOn w:val="672"/>
    <w:link w:val="877"/>
    <w:uiPriority w:val="99"/>
    <w:semiHidden/>
    <w:unhideWhenUsed/>
    <w:qFormat/>
    <w:rPr>
      <w:sz w:val="18"/>
      <w:szCs w:val="18"/>
    </w:rPr>
  </w:style>
  <w:style w:type="paragraph" w:styleId="694">
    <w:name w:val="Footer"/>
    <w:basedOn w:val="672"/>
    <w:link w:val="875"/>
    <w:uiPriority w:val="0"/>
    <w:qFormat/>
    <w:pPr>
      <w:jc w:val="left"/>
      <w:tabs>
        <w:tab w:val="center" w:pos="4153" w:leader="none"/>
        <w:tab w:val="right" w:pos="8306" w:leader="none"/>
      </w:tabs>
    </w:pPr>
    <w:rPr>
      <w:sz w:val="18"/>
      <w:szCs w:val="18"/>
    </w:rPr>
  </w:style>
  <w:style w:type="paragraph" w:styleId="695">
    <w:name w:val="Header"/>
    <w:basedOn w:val="672"/>
    <w:link w:val="876"/>
    <w:uiPriority w:val="99"/>
    <w:unhideWhenUsed/>
    <w:qFormat/>
    <w:pPr>
      <w:jc w:val="center"/>
      <w:tabs>
        <w:tab w:val="center" w:pos="4153" w:leader="none"/>
        <w:tab w:val="right" w:pos="8306" w:leader="none"/>
      </w:tabs>
    </w:pPr>
    <w:rPr>
      <w:sz w:val="18"/>
      <w:szCs w:val="18"/>
    </w:rPr>
  </w:style>
  <w:style w:type="paragraph" w:styleId="696">
    <w:name w:val="toc 1"/>
    <w:basedOn w:val="672"/>
    <w:next w:val="672"/>
    <w:uiPriority w:val="39"/>
    <w:unhideWhenUsed/>
    <w:qFormat/>
    <w:pPr>
      <w:spacing w:after="57"/>
    </w:pPr>
  </w:style>
  <w:style w:type="paragraph" w:styleId="697">
    <w:name w:val="toc 4"/>
    <w:basedOn w:val="672"/>
    <w:next w:val="672"/>
    <w:uiPriority w:val="39"/>
    <w:unhideWhenUsed/>
    <w:qFormat/>
    <w:pPr>
      <w:ind w:left="850"/>
      <w:spacing w:after="57"/>
    </w:pPr>
  </w:style>
  <w:style w:type="paragraph" w:styleId="698">
    <w:name w:val="Subtitle"/>
    <w:basedOn w:val="672"/>
    <w:next w:val="672"/>
    <w:link w:val="739"/>
    <w:uiPriority w:val="11"/>
    <w:qFormat/>
    <w:pPr>
      <w:spacing w:before="200" w:after="200"/>
    </w:pPr>
    <w:rPr>
      <w:sz w:val="24"/>
      <w:szCs w:val="24"/>
    </w:rPr>
  </w:style>
  <w:style w:type="paragraph" w:styleId="699">
    <w:name w:val="footnote text"/>
    <w:basedOn w:val="672"/>
    <w:link w:val="872"/>
    <w:uiPriority w:val="99"/>
    <w:semiHidden/>
    <w:unhideWhenUsed/>
    <w:qFormat/>
    <w:pPr>
      <w:spacing w:after="40"/>
    </w:pPr>
    <w:rPr>
      <w:sz w:val="18"/>
    </w:rPr>
  </w:style>
  <w:style w:type="paragraph" w:styleId="700">
    <w:name w:val="toc 6"/>
    <w:basedOn w:val="672"/>
    <w:next w:val="672"/>
    <w:uiPriority w:val="39"/>
    <w:unhideWhenUsed/>
    <w:qFormat/>
    <w:pPr>
      <w:ind w:left="1417"/>
      <w:spacing w:after="57"/>
    </w:pPr>
  </w:style>
  <w:style w:type="paragraph" w:styleId="701">
    <w:name w:val="table of figures"/>
    <w:basedOn w:val="672"/>
    <w:next w:val="672"/>
    <w:uiPriority w:val="99"/>
    <w:unhideWhenUsed/>
    <w:qFormat/>
  </w:style>
  <w:style w:type="paragraph" w:styleId="702">
    <w:name w:val="toc 2"/>
    <w:basedOn w:val="672"/>
    <w:next w:val="672"/>
    <w:uiPriority w:val="39"/>
    <w:unhideWhenUsed/>
    <w:qFormat/>
    <w:pPr>
      <w:ind w:left="283"/>
      <w:spacing w:after="57"/>
    </w:pPr>
  </w:style>
  <w:style w:type="paragraph" w:styleId="703">
    <w:name w:val="toc 9"/>
    <w:basedOn w:val="672"/>
    <w:next w:val="672"/>
    <w:uiPriority w:val="39"/>
    <w:unhideWhenUsed/>
    <w:qFormat/>
    <w:pPr>
      <w:ind w:left="2268"/>
      <w:spacing w:after="57"/>
    </w:pPr>
  </w:style>
  <w:style w:type="paragraph" w:styleId="704">
    <w:name w:val="Normal (Web)"/>
    <w:basedOn w:val="672"/>
    <w:uiPriority w:val="99"/>
    <w:semiHidden/>
    <w:unhideWhenUsed/>
    <w:qFormat/>
    <w:pPr>
      <w:ind w:left="0" w:right="0"/>
      <w:jc w:val="left"/>
      <w:spacing w:before="0" w:beforeAutospacing="1" w:after="0" w:afterAutospacing="1"/>
    </w:pPr>
    <w:rPr>
      <w:sz w:val="24"/>
      <w:lang w:val="en-US" w:eastAsia="zh-CN" w:bidi="ar"/>
    </w:rPr>
  </w:style>
  <w:style w:type="paragraph" w:styleId="705">
    <w:name w:val="index 1"/>
    <w:basedOn w:val="672"/>
    <w:next w:val="672"/>
    <w:uiPriority w:val="99"/>
    <w:semiHidden/>
    <w:unhideWhenUsed/>
    <w:qFormat/>
  </w:style>
  <w:style w:type="paragraph" w:styleId="706">
    <w:name w:val="Title"/>
    <w:basedOn w:val="672"/>
    <w:next w:val="672"/>
    <w:link w:val="738"/>
    <w:uiPriority w:val="10"/>
    <w:qFormat/>
    <w:pPr>
      <w:contextualSpacing/>
      <w:spacing w:before="300" w:after="200"/>
    </w:pPr>
    <w:rPr>
      <w:sz w:val="48"/>
      <w:szCs w:val="48"/>
    </w:rPr>
  </w:style>
  <w:style w:type="table" w:styleId="7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82"/>
    <w:uiPriority w:val="22"/>
    <w:qFormat/>
    <w:rPr>
      <w:b/>
    </w:rPr>
  </w:style>
  <w:style w:type="character" w:styleId="709">
    <w:name w:val="endnote reference"/>
    <w:uiPriority w:val="99"/>
    <w:semiHidden/>
    <w:unhideWhenUsed/>
    <w:qFormat/>
    <w:rPr>
      <w:vertAlign w:val="superscript"/>
    </w:rPr>
  </w:style>
  <w:style w:type="character" w:styleId="710">
    <w:name w:val="page number"/>
    <w:uiPriority w:val="99"/>
    <w:unhideWhenUsed/>
    <w:qFormat/>
  </w:style>
  <w:style w:type="character" w:styleId="711">
    <w:name w:val="Emphasis"/>
    <w:basedOn w:val="682"/>
    <w:uiPriority w:val="0"/>
    <w:qFormat/>
    <w:rPr>
      <w:i/>
    </w:rPr>
  </w:style>
  <w:style w:type="character" w:styleId="712">
    <w:name w:val="Hyperlink"/>
    <w:uiPriority w:val="99"/>
    <w:unhideWhenUsed/>
    <w:qFormat/>
    <w:rPr>
      <w:color w:val="0000ff"/>
      <w:u w:val="single"/>
    </w:rPr>
  </w:style>
  <w:style w:type="character" w:styleId="713">
    <w:name w:val="footnote reference"/>
    <w:uiPriority w:val="99"/>
    <w:unhideWhenUsed/>
    <w:qFormat/>
    <w:rPr>
      <w:vertAlign w:val="superscript"/>
    </w:rPr>
  </w:style>
  <w:style w:type="character" w:styleId="714" w:customStyle="1">
    <w:name w:val="Heading 2 Char"/>
    <w:basedOn w:val="682"/>
    <w:uiPriority w:val="9"/>
    <w:qFormat/>
    <w:rPr>
      <w:rFonts w:ascii="Arial" w:hAnsi="Arial" w:eastAsia="Arial" w:cs="Arial"/>
      <w:sz w:val="34"/>
    </w:rPr>
  </w:style>
  <w:style w:type="character" w:styleId="715" w:customStyle="1">
    <w:name w:val="Heading 3 Char"/>
    <w:basedOn w:val="682"/>
    <w:uiPriority w:val="9"/>
    <w:qFormat/>
    <w:rPr>
      <w:rFonts w:ascii="Arial" w:hAnsi="Arial" w:eastAsia="Arial" w:cs="Arial"/>
      <w:sz w:val="30"/>
      <w:szCs w:val="30"/>
    </w:rPr>
  </w:style>
  <w:style w:type="character" w:styleId="716" w:customStyle="1">
    <w:name w:val="Heading 5 Char"/>
    <w:basedOn w:val="682"/>
    <w:uiPriority w:val="9"/>
    <w:qFormat/>
    <w:rPr>
      <w:rFonts w:ascii="Arial" w:hAnsi="Arial" w:eastAsia="Arial" w:cs="Arial"/>
      <w:b/>
      <w:bCs/>
      <w:sz w:val="24"/>
      <w:szCs w:val="24"/>
    </w:rPr>
  </w:style>
  <w:style w:type="character" w:styleId="717" w:customStyle="1">
    <w:name w:val="Heading 6 Char"/>
    <w:basedOn w:val="682"/>
    <w:uiPriority w:val="9"/>
    <w:qFormat/>
    <w:rPr>
      <w:rFonts w:ascii="Arial" w:hAnsi="Arial" w:eastAsia="Arial" w:cs="Arial"/>
      <w:b/>
      <w:bCs/>
      <w:sz w:val="22"/>
      <w:szCs w:val="22"/>
    </w:rPr>
  </w:style>
  <w:style w:type="character" w:styleId="718" w:customStyle="1">
    <w:name w:val="Heading 7 Char"/>
    <w:basedOn w:val="682"/>
    <w:uiPriority w:val="9"/>
    <w:qFormat/>
    <w:rPr>
      <w:rFonts w:ascii="Arial" w:hAnsi="Arial" w:eastAsia="Arial" w:cs="Arial"/>
      <w:b/>
      <w:bCs/>
      <w:i/>
      <w:iCs/>
      <w:sz w:val="22"/>
      <w:szCs w:val="22"/>
    </w:rPr>
  </w:style>
  <w:style w:type="character" w:styleId="719" w:customStyle="1">
    <w:name w:val="Heading 8 Char"/>
    <w:basedOn w:val="682"/>
    <w:uiPriority w:val="9"/>
    <w:qFormat/>
    <w:rPr>
      <w:rFonts w:ascii="Arial" w:hAnsi="Arial" w:eastAsia="Arial" w:cs="Arial"/>
      <w:i/>
      <w:iCs/>
      <w:sz w:val="22"/>
      <w:szCs w:val="22"/>
    </w:rPr>
  </w:style>
  <w:style w:type="character" w:styleId="720" w:customStyle="1">
    <w:name w:val="Heading 9 Char"/>
    <w:basedOn w:val="682"/>
    <w:uiPriority w:val="9"/>
    <w:qFormat/>
    <w:rPr>
      <w:rFonts w:ascii="Arial" w:hAnsi="Arial" w:eastAsia="Arial" w:cs="Arial"/>
      <w:i/>
      <w:iCs/>
      <w:sz w:val="21"/>
      <w:szCs w:val="21"/>
    </w:rPr>
  </w:style>
  <w:style w:type="character" w:styleId="721" w:customStyle="1">
    <w:name w:val="Title Char"/>
    <w:basedOn w:val="682"/>
    <w:uiPriority w:val="10"/>
    <w:qFormat/>
    <w:rPr>
      <w:sz w:val="48"/>
      <w:szCs w:val="48"/>
    </w:rPr>
  </w:style>
  <w:style w:type="character" w:styleId="722" w:customStyle="1">
    <w:name w:val="Subtitle Char"/>
    <w:basedOn w:val="682"/>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Footnote Text Char"/>
    <w:uiPriority w:val="99"/>
    <w:qFormat/>
    <w:rPr>
      <w:sz w:val="18"/>
    </w:rPr>
  </w:style>
  <w:style w:type="character" w:styleId="726" w:customStyle="1">
    <w:name w:val="Endnote Text Char"/>
    <w:uiPriority w:val="99"/>
    <w:qFormat/>
    <w:rPr>
      <w:sz w:val="20"/>
    </w:rPr>
  </w:style>
  <w:style w:type="character" w:styleId="727" w:customStyle="1">
    <w:name w:val="Heading 1 Char"/>
    <w:uiPriority w:val="9"/>
    <w:qFormat/>
    <w:rPr>
      <w:rFonts w:ascii="Arial" w:hAnsi="Arial" w:eastAsia="Arial" w:cs="Arial"/>
      <w:sz w:val="40"/>
      <w:szCs w:val="40"/>
    </w:rPr>
  </w:style>
  <w:style w:type="character" w:styleId="728" w:customStyle="1">
    <w:name w:val="标题 2 字符"/>
    <w:link w:val="674"/>
    <w:uiPriority w:val="9"/>
    <w:qFormat/>
    <w:rPr>
      <w:rFonts w:ascii="Arial" w:hAnsi="Arial" w:eastAsia="Arial" w:cs="Arial"/>
      <w:sz w:val="34"/>
    </w:rPr>
  </w:style>
  <w:style w:type="character" w:styleId="729" w:customStyle="1">
    <w:name w:val="标题 3 字符"/>
    <w:link w:val="675"/>
    <w:uiPriority w:val="9"/>
    <w:qFormat/>
    <w:rPr>
      <w:rFonts w:ascii="Arial" w:hAnsi="Arial" w:eastAsia="Arial" w:cs="Arial"/>
      <w:sz w:val="30"/>
      <w:szCs w:val="30"/>
    </w:rPr>
  </w:style>
  <w:style w:type="character" w:styleId="730" w:customStyle="1">
    <w:name w:val="Heading 4 Char"/>
    <w:uiPriority w:val="9"/>
    <w:qFormat/>
    <w:rPr>
      <w:rFonts w:ascii="Arial" w:hAnsi="Arial" w:eastAsia="Arial" w:cs="Arial"/>
      <w:b/>
      <w:bCs/>
      <w:sz w:val="26"/>
      <w:szCs w:val="26"/>
    </w:rPr>
  </w:style>
  <w:style w:type="character" w:styleId="731" w:customStyle="1">
    <w:name w:val="标题 5 字符"/>
    <w:link w:val="677"/>
    <w:uiPriority w:val="9"/>
    <w:qFormat/>
    <w:rPr>
      <w:rFonts w:ascii="Arial" w:hAnsi="Arial" w:eastAsia="Arial" w:cs="Arial"/>
      <w:b/>
      <w:bCs/>
      <w:sz w:val="24"/>
      <w:szCs w:val="24"/>
    </w:rPr>
  </w:style>
  <w:style w:type="character" w:styleId="732" w:customStyle="1">
    <w:name w:val="标题 6 字符"/>
    <w:link w:val="678"/>
    <w:uiPriority w:val="9"/>
    <w:qFormat/>
    <w:rPr>
      <w:rFonts w:ascii="Arial" w:hAnsi="Arial" w:eastAsia="Arial" w:cs="Arial"/>
      <w:b/>
      <w:bCs/>
      <w:sz w:val="22"/>
      <w:szCs w:val="22"/>
    </w:rPr>
  </w:style>
  <w:style w:type="character" w:styleId="733" w:customStyle="1">
    <w:name w:val="标题 7 字符"/>
    <w:link w:val="679"/>
    <w:uiPriority w:val="9"/>
    <w:qFormat/>
    <w:rPr>
      <w:rFonts w:ascii="Arial" w:hAnsi="Arial" w:eastAsia="Arial" w:cs="Arial"/>
      <w:b/>
      <w:bCs/>
      <w:i/>
      <w:iCs/>
      <w:sz w:val="22"/>
      <w:szCs w:val="22"/>
    </w:rPr>
  </w:style>
  <w:style w:type="character" w:styleId="734" w:customStyle="1">
    <w:name w:val="标题 8 字符"/>
    <w:link w:val="680"/>
    <w:uiPriority w:val="9"/>
    <w:qFormat/>
    <w:rPr>
      <w:rFonts w:ascii="Arial" w:hAnsi="Arial" w:eastAsia="Arial" w:cs="Arial"/>
      <w:i/>
      <w:iCs/>
      <w:sz w:val="22"/>
      <w:szCs w:val="22"/>
    </w:rPr>
  </w:style>
  <w:style w:type="character" w:styleId="735" w:customStyle="1">
    <w:name w:val="标题 9 字符"/>
    <w:link w:val="681"/>
    <w:uiPriority w:val="9"/>
    <w:qFormat/>
    <w:rPr>
      <w:rFonts w:ascii="Arial" w:hAnsi="Arial" w:eastAsia="Arial" w:cs="Arial"/>
      <w:i/>
      <w:iCs/>
      <w:sz w:val="21"/>
      <w:szCs w:val="21"/>
    </w:rPr>
  </w:style>
  <w:style w:type="paragraph" w:styleId="736">
    <w:name w:val="List Paragraph"/>
    <w:basedOn w:val="672"/>
    <w:next w:val="705"/>
    <w:uiPriority w:val="1"/>
    <w:qFormat/>
    <w:pPr>
      <w:ind w:firstLine="420"/>
      <w:spacing w:line="360" w:lineRule="auto"/>
    </w:pPr>
    <w:rPr>
      <w:rFonts w:ascii="Times New Roman"/>
      <w:szCs w:val="24"/>
    </w:rPr>
  </w:style>
  <w:style w:type="paragraph" w:styleId="737">
    <w:name w:val="No Spacing"/>
    <w:uiPriority w:val="1"/>
    <w:qFormat/>
    <w:rPr>
      <w:rFonts w:hint="default" w:ascii="Calibri" w:hAnsi="Calibri" w:eastAsia="宋体" w:cs="Times New Roman"/>
    </w:rPr>
  </w:style>
  <w:style w:type="character" w:styleId="738" w:customStyle="1">
    <w:name w:val="标题 字符"/>
    <w:link w:val="706"/>
    <w:uiPriority w:val="10"/>
    <w:qFormat/>
    <w:rPr>
      <w:sz w:val="48"/>
      <w:szCs w:val="48"/>
    </w:rPr>
  </w:style>
  <w:style w:type="character" w:styleId="739" w:customStyle="1">
    <w:name w:val="副标题 字符"/>
    <w:link w:val="698"/>
    <w:uiPriority w:val="11"/>
    <w:qFormat/>
    <w:rPr>
      <w:sz w:val="24"/>
      <w:szCs w:val="24"/>
    </w:rPr>
  </w:style>
  <w:style w:type="paragraph" w:styleId="740">
    <w:name w:val="Quote"/>
    <w:basedOn w:val="672"/>
    <w:next w:val="672"/>
    <w:link w:val="741"/>
    <w:uiPriority w:val="29"/>
    <w:qFormat/>
    <w:pPr>
      <w:ind w:left="720" w:right="720"/>
    </w:pPr>
    <w:rPr>
      <w:i/>
    </w:rPr>
  </w:style>
  <w:style w:type="character" w:styleId="741" w:customStyle="1">
    <w:name w:val="引用 字符"/>
    <w:link w:val="740"/>
    <w:uiPriority w:val="29"/>
    <w:qFormat/>
    <w:rPr>
      <w:i/>
    </w:rPr>
  </w:style>
  <w:style w:type="paragraph" w:styleId="742">
    <w:name w:val="Intense Quote"/>
    <w:basedOn w:val="672"/>
    <w:next w:val="672"/>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字符"/>
    <w:link w:val="742"/>
    <w:uiPriority w:val="30"/>
    <w:qFormat/>
    <w:rPr>
      <w:i/>
    </w:rPr>
  </w:style>
  <w:style w:type="character" w:styleId="744" w:customStyle="1">
    <w:name w:val="Header Char"/>
    <w:uiPriority w:val="99"/>
    <w:qFormat/>
  </w:style>
  <w:style w:type="character" w:styleId="745" w:customStyle="1">
    <w:name w:val="Footer Char"/>
    <w:uiPriority w:val="99"/>
    <w:qFormat/>
  </w:style>
  <w:style w:type="character" w:styleId="746" w:customStyle="1">
    <w:name w:val="Caption Char"/>
    <w:uiPriority w:val="99"/>
    <w:qFormat/>
  </w:style>
  <w:style w:type="table" w:styleId="7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8"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0" w:customStyle="1">
    <w:name w:val="Plain Table 3"/>
    <w:uiPriority w:val="99"/>
    <w:qFormat/>
    <w:tblPr>
      <w:tblCellMar>
        <w:left w:w="0" w:type="dxa"/>
        <w:top w:w="0" w:type="dxa"/>
        <w:right w:w="0" w:type="dxa"/>
        <w:bottom w:w="0" w:type="dxa"/>
      </w:tblCellMar>
    </w:tblPr>
  </w:style>
  <w:style w:type="table" w:styleId="751" w:customStyle="1">
    <w:name w:val="Plain Table 4"/>
    <w:uiPriority w:val="99"/>
    <w:qFormat/>
    <w:tblPr>
      <w:tblCellMar>
        <w:left w:w="0" w:type="dxa"/>
        <w:top w:w="0" w:type="dxa"/>
        <w:right w:w="0" w:type="dxa"/>
        <w:bottom w:w="0" w:type="dxa"/>
      </w:tblCellMar>
    </w:tblPr>
  </w:style>
  <w:style w:type="table" w:styleId="752" w:customStyle="1">
    <w:name w:val="Plain Table 5"/>
    <w:uiPriority w:val="99"/>
    <w:qFormat/>
    <w:tblPr>
      <w:tblCellMar>
        <w:left w:w="0" w:type="dxa"/>
        <w:top w:w="0" w:type="dxa"/>
        <w:right w:w="0" w:type="dxa"/>
        <w:bottom w:w="0" w:type="dxa"/>
      </w:tblCellMar>
    </w:tblPr>
  </w:style>
  <w:style w:type="table" w:styleId="753"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0"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7"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4"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1"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2" w:customStyle="1">
    <w:name w:val="List Table 1 Light"/>
    <w:uiPriority w:val="99"/>
    <w:qFormat/>
    <w:tblPr>
      <w:tblCellMar>
        <w:left w:w="0" w:type="dxa"/>
        <w:top w:w="0" w:type="dxa"/>
        <w:right w:w="0" w:type="dxa"/>
        <w:bottom w:w="0" w:type="dxa"/>
      </w:tblCellMar>
    </w:tblPr>
  </w:style>
  <w:style w:type="table" w:styleId="803" w:customStyle="1">
    <w:name w:val="List Table 1 Light - Accent 1"/>
    <w:uiPriority w:val="99"/>
    <w:qFormat/>
    <w:tblPr>
      <w:tblCellMar>
        <w:left w:w="0" w:type="dxa"/>
        <w:top w:w="0" w:type="dxa"/>
        <w:right w:w="0" w:type="dxa"/>
        <w:bottom w:w="0" w:type="dxa"/>
      </w:tblCellMar>
    </w:tblPr>
  </w:style>
  <w:style w:type="table" w:styleId="804" w:customStyle="1">
    <w:name w:val="List Table 1 Light - Accent 2"/>
    <w:uiPriority w:val="99"/>
    <w:qFormat/>
    <w:tblPr>
      <w:tblCellMar>
        <w:left w:w="0" w:type="dxa"/>
        <w:top w:w="0" w:type="dxa"/>
        <w:right w:w="0" w:type="dxa"/>
        <w:bottom w:w="0" w:type="dxa"/>
      </w:tblCellMar>
    </w:tblPr>
  </w:style>
  <w:style w:type="table" w:styleId="805" w:customStyle="1">
    <w:name w:val="List Table 1 Light - Accent 3"/>
    <w:uiPriority w:val="99"/>
    <w:qFormat/>
    <w:tblPr>
      <w:tblCellMar>
        <w:left w:w="0" w:type="dxa"/>
        <w:top w:w="0" w:type="dxa"/>
        <w:right w:w="0" w:type="dxa"/>
        <w:bottom w:w="0" w:type="dxa"/>
      </w:tblCellMar>
    </w:tblPr>
  </w:style>
  <w:style w:type="table" w:styleId="806" w:customStyle="1">
    <w:name w:val="List Table 1 Light - Accent 4"/>
    <w:uiPriority w:val="99"/>
    <w:qFormat/>
    <w:tblPr>
      <w:tblCellMar>
        <w:left w:w="0" w:type="dxa"/>
        <w:top w:w="0" w:type="dxa"/>
        <w:right w:w="0" w:type="dxa"/>
        <w:bottom w:w="0" w:type="dxa"/>
      </w:tblCellMar>
    </w:tblPr>
  </w:style>
  <w:style w:type="table" w:styleId="807" w:customStyle="1">
    <w:name w:val="List Table 1 Light - Accent 5"/>
    <w:uiPriority w:val="99"/>
    <w:qFormat/>
    <w:tblPr>
      <w:tblCellMar>
        <w:left w:w="0" w:type="dxa"/>
        <w:top w:w="0" w:type="dxa"/>
        <w:right w:w="0" w:type="dxa"/>
        <w:bottom w:w="0" w:type="dxa"/>
      </w:tblCellMar>
    </w:tblPr>
  </w:style>
  <w:style w:type="table" w:styleId="808" w:customStyle="1">
    <w:name w:val="List Table 1 Light - Accent 6"/>
    <w:uiPriority w:val="99"/>
    <w:qFormat/>
    <w:tblPr>
      <w:tblCellMar>
        <w:left w:w="0" w:type="dxa"/>
        <w:top w:w="0" w:type="dxa"/>
        <w:right w:w="0" w:type="dxa"/>
        <w:bottom w:w="0" w:type="dxa"/>
      </w:tblCellMar>
    </w:tblPr>
  </w:style>
  <w:style w:type="table" w:styleId="809"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6"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3"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0"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7"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4"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4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1" w:customStyle="1">
    <w:name w:val="Lined - Accent"/>
    <w:uiPriority w:val="99"/>
    <w:qFormat/>
    <w:rPr>
      <w:color w:val="404040"/>
    </w:rPr>
    <w:tblPr>
      <w:tblCellMar>
        <w:left w:w="0" w:type="dxa"/>
        <w:top w:w="0" w:type="dxa"/>
        <w:right w:w="0" w:type="dxa"/>
        <w:bottom w:w="0" w:type="dxa"/>
      </w:tblCellMar>
    </w:tblPr>
  </w:style>
  <w:style w:type="table" w:styleId="852" w:customStyle="1">
    <w:name w:val="Lined - Accent 1"/>
    <w:uiPriority w:val="99"/>
    <w:qFormat/>
    <w:rPr>
      <w:color w:val="404040"/>
    </w:rPr>
    <w:tblPr>
      <w:tblCellMar>
        <w:left w:w="0" w:type="dxa"/>
        <w:top w:w="0" w:type="dxa"/>
        <w:right w:w="0" w:type="dxa"/>
        <w:bottom w:w="0" w:type="dxa"/>
      </w:tblCellMar>
    </w:tblPr>
  </w:style>
  <w:style w:type="table" w:styleId="853" w:customStyle="1">
    <w:name w:val="Lined - Accent 2"/>
    <w:uiPriority w:val="99"/>
    <w:qFormat/>
    <w:rPr>
      <w:color w:val="404040"/>
    </w:rPr>
    <w:tblPr>
      <w:tblCellMar>
        <w:left w:w="0" w:type="dxa"/>
        <w:top w:w="0" w:type="dxa"/>
        <w:right w:w="0" w:type="dxa"/>
        <w:bottom w:w="0" w:type="dxa"/>
      </w:tblCellMar>
    </w:tblPr>
  </w:style>
  <w:style w:type="table" w:styleId="854" w:customStyle="1">
    <w:name w:val="Lined - Accent 3"/>
    <w:uiPriority w:val="99"/>
    <w:qFormat/>
    <w:rPr>
      <w:color w:val="404040"/>
    </w:rPr>
    <w:tblPr>
      <w:tblCellMar>
        <w:left w:w="0" w:type="dxa"/>
        <w:top w:w="0" w:type="dxa"/>
        <w:right w:w="0" w:type="dxa"/>
        <w:bottom w:w="0" w:type="dxa"/>
      </w:tblCellMar>
    </w:tblPr>
  </w:style>
  <w:style w:type="table" w:styleId="855" w:customStyle="1">
    <w:name w:val="Lined - Accent 4"/>
    <w:uiPriority w:val="99"/>
    <w:qFormat/>
    <w:rPr>
      <w:color w:val="404040"/>
    </w:rPr>
    <w:tblPr>
      <w:tblCellMar>
        <w:left w:w="0" w:type="dxa"/>
        <w:top w:w="0" w:type="dxa"/>
        <w:right w:w="0" w:type="dxa"/>
        <w:bottom w:w="0" w:type="dxa"/>
      </w:tblCellMar>
    </w:tblPr>
  </w:style>
  <w:style w:type="table" w:styleId="856" w:customStyle="1">
    <w:name w:val="Lined - Accent 5"/>
    <w:uiPriority w:val="99"/>
    <w:qFormat/>
    <w:rPr>
      <w:color w:val="404040"/>
    </w:rPr>
    <w:tblPr>
      <w:tblCellMar>
        <w:left w:w="0" w:type="dxa"/>
        <w:top w:w="0" w:type="dxa"/>
        <w:right w:w="0" w:type="dxa"/>
        <w:bottom w:w="0" w:type="dxa"/>
      </w:tblCellMar>
    </w:tblPr>
  </w:style>
  <w:style w:type="table" w:styleId="857" w:customStyle="1">
    <w:name w:val="Lined - Accent 6"/>
    <w:uiPriority w:val="99"/>
    <w:qFormat/>
    <w:rPr>
      <w:color w:val="404040"/>
    </w:rPr>
    <w:tblPr>
      <w:tblCellMar>
        <w:left w:w="0" w:type="dxa"/>
        <w:top w:w="0" w:type="dxa"/>
        <w:right w:w="0" w:type="dxa"/>
        <w:bottom w:w="0" w:type="dxa"/>
      </w:tblCellMar>
    </w:tblPr>
  </w:style>
  <w:style w:type="table" w:styleId="8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2" w:customStyle="1">
    <w:name w:val="脚注文本 字符"/>
    <w:link w:val="699"/>
    <w:uiPriority w:val="99"/>
    <w:qFormat/>
    <w:rPr>
      <w:sz w:val="18"/>
    </w:rPr>
  </w:style>
  <w:style w:type="character" w:styleId="873" w:customStyle="1">
    <w:name w:val="尾注文本 字符"/>
    <w:link w:val="692"/>
    <w:uiPriority w:val="99"/>
    <w:qFormat/>
    <w:rPr>
      <w:sz w:val="20"/>
    </w:rPr>
  </w:style>
  <w:style w:type="paragraph" w:styleId="874" w:customStyle="1">
    <w:name w:val="TOC Heading"/>
    <w:uiPriority w:val="39"/>
    <w:unhideWhenUsed/>
    <w:qFormat/>
    <w:rPr>
      <w:rFonts w:hint="default" w:ascii="Calibri" w:hAnsi="Calibri" w:eastAsia="宋体" w:cs="Times New Roman"/>
    </w:rPr>
  </w:style>
  <w:style w:type="character" w:styleId="875" w:customStyle="1">
    <w:name w:val="页脚 字符"/>
    <w:link w:val="694"/>
    <w:uiPriority w:val="0"/>
    <w:qFormat/>
    <w:rPr>
      <w:rFonts w:ascii="Calibri" w:hAnsi="Calibri" w:eastAsia="宋体" w:cs="Times New Roman"/>
      <w:sz w:val="18"/>
      <w:szCs w:val="18"/>
    </w:rPr>
  </w:style>
  <w:style w:type="character" w:styleId="876" w:customStyle="1">
    <w:name w:val="页眉 字符"/>
    <w:link w:val="695"/>
    <w:uiPriority w:val="99"/>
    <w:qFormat/>
    <w:rPr>
      <w:sz w:val="18"/>
      <w:szCs w:val="18"/>
    </w:rPr>
  </w:style>
  <w:style w:type="character" w:styleId="877" w:customStyle="1">
    <w:name w:val="批注框文本 字符"/>
    <w:link w:val="693"/>
    <w:uiPriority w:val="99"/>
    <w:semiHidden/>
    <w:qFormat/>
    <w:rPr>
      <w:sz w:val="18"/>
      <w:szCs w:val="18"/>
    </w:rPr>
  </w:style>
  <w:style w:type="paragraph" w:styleId="878" w:customStyle="1">
    <w:name w:val="Revision"/>
    <w:hidden/>
    <w:uiPriority w:val="99"/>
    <w:semiHidden/>
    <w:qFormat/>
    <w:rPr>
      <w:rFonts w:hint="default" w:ascii="Calibri" w:hAnsi="Calibri" w:eastAsia="宋体" w:cs="Times New Roman"/>
      <w:sz w:val="21"/>
      <w:szCs w:val="22"/>
    </w:rPr>
  </w:style>
  <w:style w:type="character" w:styleId="879" w:customStyle="1">
    <w:name w:val="标题 1 字符"/>
    <w:link w:val="673"/>
    <w:uiPriority w:val="1"/>
    <w:qFormat/>
    <w:rPr>
      <w:b/>
      <w:bCs/>
      <w:sz w:val="44"/>
      <w:szCs w:val="44"/>
    </w:rPr>
  </w:style>
  <w:style w:type="character" w:styleId="880" w:customStyle="1">
    <w:name w:val="标题 4 字符"/>
    <w:link w:val="676"/>
    <w:uiPriority w:val="1"/>
    <w:qFormat/>
    <w:rPr>
      <w:rFonts w:ascii="Cambria" w:hAnsi="Cambria"/>
      <w:b/>
      <w:bCs/>
      <w:sz w:val="28"/>
      <w:szCs w:val="28"/>
    </w:rPr>
  </w:style>
  <w:style w:type="character" w:styleId="881" w:customStyle="1">
    <w:name w:val="正文文本 字符"/>
    <w:link w:val="688"/>
    <w:uiPriority w:val="0"/>
    <w:qFormat/>
    <w:rPr>
      <w:rFonts w:ascii="楷体_GB2312"/>
      <w:sz w:val="28"/>
      <w:szCs w:val="22"/>
    </w:rPr>
  </w:style>
  <w:style w:type="paragraph" w:styleId="882" w:customStyle="1">
    <w:name w:val="一级条标题"/>
    <w:basedOn w:val="672"/>
    <w:next w:val="883"/>
    <w:uiPriority w:val="0"/>
    <w:qFormat/>
    <w:pPr>
      <w:ind w:left="420"/>
      <w:widowControl/>
      <w:outlineLvl w:val="2"/>
    </w:pPr>
    <w:rPr>
      <w:rFonts w:ascii="黑体" w:eastAsia="黑体" w:cs="黑体"/>
      <w:szCs w:val="21"/>
    </w:rPr>
  </w:style>
  <w:style w:type="paragraph" w:styleId="883" w:customStyle="1">
    <w:name w:val="段"/>
    <w:next w:val="672"/>
    <w:uiPriority w:val="0"/>
    <w:qFormat/>
    <w:pPr>
      <w:ind w:firstLine="200"/>
      <w:jc w:val="both"/>
    </w:pPr>
    <w:rPr>
      <w:rFonts w:hint="default" w:ascii="宋体" w:hAnsi="Times New Roman" w:eastAsia="宋体" w:cs="Times New Roman"/>
      <w:sz w:val="21"/>
      <w:szCs w:val="22"/>
    </w:rPr>
  </w:style>
  <w:style w:type="paragraph" w:styleId="884" w:customStyle="1">
    <w:name w:val="Table Paragraph"/>
    <w:basedOn w:val="672"/>
    <w:uiPriority w:val="1"/>
    <w:qFormat/>
    <w:pPr>
      <w:jc w:val="left"/>
    </w:pPr>
    <w:rPr>
      <w:rFonts w:ascii="宋体" w:hAnsi="宋体" w:cs="宋体"/>
      <w:sz w:val="22"/>
      <w:lang w:val="zh-CN" w:bidi="zh-CN"/>
    </w:rPr>
  </w:style>
  <w:style w:type="paragraph" w:styleId="885" w:customStyle="1">
    <w:name w:val="纯文本1"/>
    <w:basedOn w:val="672"/>
    <w:uiPriority w:val="0"/>
    <w:qFormat/>
    <w:rPr>
      <w:rFonts w:ascii="宋体" w:hAnsi="Courier New" w:eastAsia="宋体" w:cs="Times New Roman"/>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苏州鸿鑫工程咨询有限公司</dc:creator>
  <cp:lastModifiedBy>许霞萍</cp:lastModifiedBy>
  <cp:revision>167</cp:revision>
  <dcterms:created xsi:type="dcterms:W3CDTF">2023-12-07T10:16:00Z</dcterms:created>
  <dcterms:modified xsi:type="dcterms:W3CDTF">2026-04-10T07:40:27Z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EB68624C6B2C4AF4A98BF5E495DD6845_13</vt:lpwstr>
  </property>
  <property fmtid="{D5CDD505-2E9C-101B-9397-08002B2CF9AE}" pid="4" name="KSOTemplateDocerSaveRecord">
    <vt:lpwstr>eyJoZGlkIjoiYjc0Njk0M2Q0YzBkMzA5NzFkY2E2MDk5ZjZmNWZkMzIiLCJ1c2VySWQiOiIyNjIwNTM0NTYifQ==</vt:lpwstr>
  </property>
</Properties>
</file>