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6"/>
        <w:jc w:val="center"/>
        <w:spacing w:line="360" w:lineRule="auto"/>
        <w:rPr>
          <w:rFonts w:ascii="宋体" w:hAnsi="宋体" w:eastAsia="宋体"/>
          <w:bCs/>
          <w:sz w:val="24"/>
          <w:szCs w:val="24"/>
          <w:highlight w:val="none"/>
        </w:rPr>
      </w:pPr>
      <w:r>
        <w:rPr>
          <w:rFonts w:ascii="宋体" w:hAnsi="宋体" w:eastAsia="宋体"/>
          <w:bCs/>
          <w:sz w:val="24"/>
          <w:szCs w:val="24"/>
          <w:highlight w:val="none"/>
        </w:rPr>
      </w:r>
      <w:r/>
    </w:p>
    <w:p>
      <w:pPr>
        <w:pStyle w:val="706"/>
        <w:jc w:val="center"/>
        <w:spacing w:line="360" w:lineRule="auto"/>
        <w:rPr>
          <w:rFonts w:ascii="黑体" w:hAnsi="黑体" w:eastAsia="黑体"/>
          <w:sz w:val="74"/>
          <w:szCs w:val="74"/>
          <w:highlight w:val="none"/>
        </w:rPr>
        <w:outlineLvl w:val="0"/>
      </w:pPr>
      <w:r/>
      <w:bookmarkStart w:id="0" w:name="_Toc3115"/>
      <w:r/>
      <w:bookmarkStart w:id="1" w:name="_Toc18279"/>
      <w:r>
        <w:rPr>
          <w:rFonts w:hint="eastAsia" w:ascii="黑体" w:hAnsi="黑体" w:eastAsia="黑体"/>
          <w:sz w:val="74"/>
          <w:szCs w:val="74"/>
          <w:highlight w:val="none"/>
        </w:rPr>
        <w:t xml:space="preserve">苏州市相城区政府采购</w:t>
      </w:r>
      <w:bookmarkEnd w:id="0"/>
      <w:r/>
      <w:bookmarkEnd w:id="1"/>
      <w:r>
        <w:rPr>
          <w:rFonts w:ascii="黑体" w:hAnsi="黑体" w:eastAsia="黑体"/>
          <w:sz w:val="74"/>
          <w:szCs w:val="74"/>
          <w:highlight w:val="none"/>
        </w:rPr>
      </w:r>
      <w:r/>
    </w:p>
    <w:p>
      <w:pPr>
        <w:pStyle w:val="706"/>
        <w:jc w:val="center"/>
        <w:spacing w:line="360" w:lineRule="auto"/>
        <w:rPr>
          <w:rFonts w:ascii="宋体" w:hAnsi="宋体" w:eastAsia="宋体"/>
          <w:bCs/>
          <w:sz w:val="32"/>
          <w:szCs w:val="32"/>
          <w:highlight w:val="none"/>
        </w:rPr>
      </w:pPr>
      <w:r>
        <w:rPr>
          <w:rFonts w:hint="eastAsia" w:ascii="黑体" w:hAnsi="黑体" w:eastAsia="黑体"/>
          <w:sz w:val="74"/>
          <w:szCs w:val="74"/>
          <w:highlight w:val="none"/>
        </w:rPr>
        <w:t xml:space="preserve">竞争性磋商采购文件</w:t>
      </w:r>
      <w:r>
        <w:rPr>
          <w:rFonts w:ascii="宋体" w:hAnsi="宋体" w:eastAsia="宋体"/>
          <w:bCs/>
          <w:sz w:val="32"/>
          <w:szCs w:val="32"/>
          <w:highlight w:val="none"/>
        </w:rPr>
      </w:r>
      <w:r/>
    </w:p>
    <w:p>
      <w:pPr>
        <w:pStyle w:val="706"/>
        <w:jc w:val="center"/>
        <w:spacing w:line="360" w:lineRule="auto"/>
        <w:rPr>
          <w:rFonts w:ascii="宋体" w:hAnsi="宋体" w:eastAsia="宋体"/>
          <w:highlight w:val="none"/>
        </w:rPr>
      </w:pPr>
      <w:r>
        <w:rPr>
          <w:rFonts w:ascii="宋体" w:hAnsi="宋体" w:eastAsia="宋体"/>
          <w:highlight w:val="none"/>
        </w:rPr>
      </w:r>
      <w:r/>
    </w:p>
    <w:p>
      <w:pPr>
        <w:pStyle w:val="706"/>
        <w:jc w:val="center"/>
        <w:spacing w:line="360" w:lineRule="auto"/>
        <w:rPr>
          <w:rFonts w:ascii="宋体" w:hAnsi="宋体" w:eastAsia="宋体"/>
          <w:highlight w:val="none"/>
        </w:rPr>
      </w:pPr>
      <w:r>
        <w:rPr>
          <w:rFonts w:ascii="宋体" w:hAnsi="宋体" w:eastAsia="宋体"/>
          <w:highlight w:val="none"/>
        </w:rPr>
      </w:r>
      <w:r/>
    </w:p>
    <w:p>
      <w:pPr>
        <w:pStyle w:val="706"/>
        <w:ind w:firstLine="900"/>
        <w:jc w:val="left"/>
        <w:spacing w:line="360" w:lineRule="auto"/>
        <w:rPr>
          <w:rFonts w:hint="eastAsia" w:eastAsia="宋体"/>
          <w:sz w:val="30"/>
          <w:szCs w:val="30"/>
          <w:highlight w:val="none"/>
          <w:lang w:eastAsia="zh-CN"/>
        </w:rPr>
      </w:pPr>
      <w:r>
        <w:rPr>
          <w:rFonts w:hint="eastAsia" w:eastAsia="宋体"/>
          <w:sz w:val="30"/>
          <w:szCs w:val="30"/>
          <w:highlight w:val="none"/>
        </w:rPr>
        <w:t xml:space="preserve">采购编号：</w:t>
      </w:r>
      <w:r>
        <w:rPr>
          <w:rFonts w:hint="eastAsia" w:eastAsia="宋体"/>
          <w:sz w:val="30"/>
          <w:szCs w:val="30"/>
          <w:highlight w:val="none"/>
          <w:lang w:eastAsia="zh-CN"/>
        </w:rPr>
        <w:t xml:space="preserve">JSZC-320507-PMJS-C2026-0011</w:t>
      </w:r>
      <w:r>
        <w:rPr>
          <w:rFonts w:hint="eastAsia" w:eastAsia="宋体"/>
          <w:sz w:val="30"/>
          <w:szCs w:val="30"/>
          <w:highlight w:val="none"/>
          <w:lang w:eastAsia="zh-CN"/>
        </w:rPr>
      </w:r>
      <w:r/>
    </w:p>
    <w:p>
      <w:pPr>
        <w:pStyle w:val="706"/>
        <w:ind w:firstLine="900"/>
        <w:jc w:val="left"/>
        <w:spacing w:line="360" w:lineRule="auto"/>
        <w:rPr>
          <w:rFonts w:hint="eastAsia" w:eastAsia="宋体"/>
          <w:sz w:val="30"/>
          <w:szCs w:val="30"/>
          <w:highlight w:val="none"/>
          <w:lang w:eastAsia="zh-CN"/>
        </w:rPr>
      </w:pPr>
      <w:r>
        <w:rPr>
          <w:rFonts w:hint="eastAsia" w:eastAsia="宋体"/>
          <w:sz w:val="30"/>
          <w:szCs w:val="30"/>
          <w:highlight w:val="none"/>
        </w:rPr>
        <w:t xml:space="preserve">采购单位：</w:t>
      </w:r>
      <w:r>
        <w:rPr>
          <w:rFonts w:hint="eastAsia" w:eastAsia="宋体"/>
          <w:sz w:val="30"/>
          <w:szCs w:val="30"/>
          <w:highlight w:val="none"/>
          <w:lang w:eastAsia="zh-CN"/>
        </w:rPr>
        <w:t xml:space="preserve">苏州相城经济技术开发区管理委员会</w:t>
      </w:r>
      <w:r>
        <w:rPr>
          <w:rFonts w:hint="eastAsia" w:eastAsia="宋体"/>
          <w:sz w:val="30"/>
          <w:szCs w:val="30"/>
          <w:highlight w:val="none"/>
          <w:lang w:eastAsia="zh-CN"/>
        </w:rPr>
      </w:r>
      <w:r/>
    </w:p>
    <w:p>
      <w:pPr>
        <w:pStyle w:val="706"/>
        <w:ind w:left="2397" w:hanging="1500"/>
        <w:jc w:val="left"/>
        <w:spacing w:line="360" w:lineRule="auto"/>
        <w:rPr>
          <w:rFonts w:eastAsia="宋体"/>
          <w:sz w:val="30"/>
          <w:szCs w:val="30"/>
          <w:highlight w:val="none"/>
        </w:rPr>
      </w:pPr>
      <w:r>
        <w:rPr>
          <w:rFonts w:hint="eastAsia" w:eastAsia="宋体"/>
          <w:sz w:val="30"/>
          <w:szCs w:val="30"/>
          <w:highlight w:val="none"/>
        </w:rPr>
        <w:t xml:space="preserve">采购项目：</w:t>
      </w:r>
      <w:r>
        <w:rPr>
          <w:rFonts w:hint="eastAsia" w:eastAsia="宋体"/>
          <w:sz w:val="30"/>
          <w:szCs w:val="30"/>
          <w:highlight w:val="none"/>
          <w:lang w:eastAsia="zh-CN"/>
        </w:rPr>
        <w:t xml:space="preserve">2026年市政养护及零星工程（北桥）</w:t>
      </w:r>
      <w:r>
        <w:rPr>
          <w:rFonts w:eastAsia="宋体"/>
          <w:sz w:val="30"/>
          <w:szCs w:val="30"/>
          <w:highlight w:val="none"/>
        </w:rPr>
      </w:r>
      <w:r/>
    </w:p>
    <w:p>
      <w:pPr>
        <w:pStyle w:val="706"/>
        <w:ind w:firstLine="900"/>
        <w:jc w:val="left"/>
        <w:spacing w:line="360" w:lineRule="auto"/>
        <w:rPr>
          <w:rFonts w:eastAsia="宋体"/>
          <w:sz w:val="30"/>
          <w:szCs w:val="30"/>
          <w:highlight w:val="none"/>
        </w:rPr>
      </w:pPr>
      <w:r>
        <w:rPr>
          <w:rFonts w:hint="eastAsia" w:eastAsia="宋体"/>
          <w:sz w:val="30"/>
          <w:szCs w:val="30"/>
          <w:highlight w:val="none"/>
        </w:rPr>
        <w:t xml:space="preserve">类别：工程类</w:t>
      </w:r>
      <w:r>
        <w:rPr>
          <w:rFonts w:eastAsia="宋体"/>
          <w:sz w:val="30"/>
          <w:szCs w:val="30"/>
          <w:highlight w:val="none"/>
        </w:rPr>
      </w:r>
      <w:r/>
    </w:p>
    <w:p>
      <w:pPr>
        <w:pStyle w:val="768"/>
        <w:jc w:val="center"/>
        <w:spacing w:line="360" w:lineRule="auto"/>
        <w:rPr>
          <w:rFonts w:ascii="宋体" w:hAnsi="宋体" w:eastAsia="宋体"/>
          <w:highlight w:val="none"/>
        </w:rPr>
      </w:pPr>
      <w:r>
        <w:rPr>
          <w:rFonts w:ascii="宋体" w:hAnsi="宋体" w:eastAsia="宋体"/>
          <w:highlight w:val="none"/>
        </w:rPr>
      </w:r>
      <w:r/>
    </w:p>
    <w:p>
      <w:pPr>
        <w:pStyle w:val="706"/>
        <w:spacing w:line="360" w:lineRule="auto"/>
        <w:rPr>
          <w:highlight w:val="none"/>
        </w:rPr>
      </w:pPr>
      <w:r>
        <w:rPr>
          <w:highlight w:val="none"/>
        </w:rPr>
      </w:r>
      <w:r/>
    </w:p>
    <w:p>
      <w:pPr>
        <w:pStyle w:val="706"/>
        <w:spacing w:line="360" w:lineRule="auto"/>
        <w:rPr>
          <w:highlight w:val="none"/>
        </w:rPr>
      </w:pPr>
      <w:r>
        <w:rPr>
          <w:highlight w:val="none"/>
        </w:rPr>
      </w:r>
      <w:r/>
    </w:p>
    <w:p>
      <w:pPr>
        <w:pStyle w:val="706"/>
        <w:jc w:val="center"/>
        <w:spacing w:line="360" w:lineRule="auto"/>
        <w:rPr>
          <w:rFonts w:ascii="宋体" w:hAnsi="宋体" w:eastAsia="宋体"/>
          <w:b/>
          <w:highlight w:val="none"/>
        </w:rPr>
      </w:pPr>
      <w:r>
        <w:rPr>
          <w:sz w:val="4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1747520</wp:posOffset>
                </wp:positionH>
                <wp:positionV relativeFrom="paragraph">
                  <wp:posOffset>167640</wp:posOffset>
                </wp:positionV>
                <wp:extent cx="1560830" cy="1195070"/>
                <wp:effectExtent l="0" t="0" r="0" b="0"/>
                <wp:wrapSquare wrapText="bothSides"/>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rcRect l="22034" t="16948" r="20337" b="38983"/>
                        <a:stretch/>
                      </pic:blipFill>
                      <pic:spPr bwMode="auto">
                        <a:xfrm>
                          <a:off x="0" y="0"/>
                          <a:ext cx="1560830" cy="1195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137.6pt;mso-position-horizontal:absolute;mso-position-vertical-relative:text;margin-top:13.2pt;mso-position-vertical:absolute;width:122.9pt;height:94.1pt;mso-wrap-distance-left:9.0pt;mso-wrap-distance-top:0.0pt;mso-wrap-distance-right:9.0pt;mso-wrap-distance-bottom:0.0pt;" stroked="f">
                <v:path textboxrect="0,0,0,0"/>
                <w10:wrap type="square"/>
                <v:imagedata r:id="rId12" o:title=""/>
              </v:shape>
            </w:pict>
          </mc:Fallback>
        </mc:AlternateContent>
      </w:r>
      <w:r>
        <w:rPr>
          <w:rFonts w:ascii="宋体" w:hAnsi="宋体" w:eastAsia="宋体"/>
          <w:b/>
          <w:highlight w:val="none"/>
        </w:rPr>
      </w:r>
      <w:r/>
    </w:p>
    <w:p>
      <w:pPr>
        <w:pStyle w:val="706"/>
        <w:jc w:val="center"/>
        <w:spacing w:line="360" w:lineRule="auto"/>
        <w:rPr>
          <w:rFonts w:ascii="宋体" w:hAnsi="宋体" w:eastAsia="宋体"/>
          <w:b/>
          <w:highlight w:val="none"/>
        </w:rPr>
      </w:pPr>
      <w:r>
        <w:rPr>
          <w:rFonts w:ascii="宋体" w:hAnsi="宋体" w:eastAsia="宋体"/>
          <w:b/>
          <w:highlight w:val="none"/>
        </w:rPr>
      </w:r>
      <w:r/>
    </w:p>
    <w:p>
      <w:pPr>
        <w:pStyle w:val="706"/>
        <w:jc w:val="center"/>
        <w:spacing w:line="360" w:lineRule="auto"/>
        <w:rPr>
          <w:rFonts w:ascii="宋体" w:hAnsi="宋体" w:eastAsia="宋体"/>
          <w:b/>
          <w:highlight w:val="none"/>
        </w:rPr>
      </w:pPr>
      <w:r>
        <w:rPr>
          <w:rFonts w:ascii="宋体" w:hAnsi="宋体" w:eastAsia="宋体"/>
          <w:b/>
          <w:highlight w:val="none"/>
        </w:rPr>
      </w:r>
      <w:r/>
    </w:p>
    <w:p>
      <w:pPr>
        <w:pStyle w:val="706"/>
        <w:jc w:val="center"/>
        <w:spacing w:line="360" w:lineRule="auto"/>
        <w:rPr>
          <w:rFonts w:ascii="宋体" w:hAnsi="宋体" w:eastAsia="宋体"/>
          <w:b/>
          <w:spacing w:val="-6"/>
          <w:sz w:val="32"/>
          <w:highlight w:val="none"/>
        </w:rPr>
      </w:pPr>
      <w:r>
        <w:rPr>
          <w:rFonts w:ascii="宋体" w:hAnsi="宋体" w:eastAsia="宋体"/>
          <w:b/>
          <w:spacing w:val="-6"/>
          <w:sz w:val="32"/>
          <w:highlight w:val="none"/>
        </w:rPr>
      </w:r>
      <w:r/>
    </w:p>
    <w:p>
      <w:pPr>
        <w:pStyle w:val="706"/>
        <w:spacing w:line="360" w:lineRule="auto"/>
        <w:rPr>
          <w:rFonts w:ascii="宋体" w:hAnsi="宋体" w:eastAsia="宋体"/>
          <w:sz w:val="30"/>
          <w:szCs w:val="30"/>
          <w:highlight w:val="none"/>
        </w:rPr>
      </w:pPr>
      <w:r>
        <w:rPr>
          <w:rFonts w:ascii="宋体" w:hAnsi="宋体" w:eastAsia="宋体"/>
          <w:sz w:val="30"/>
          <w:szCs w:val="30"/>
          <w:highlight w:val="none"/>
        </w:rPr>
      </w:r>
      <w:r/>
    </w:p>
    <w:p>
      <w:pPr>
        <w:pStyle w:val="706"/>
        <w:jc w:val="center"/>
        <w:spacing w:line="360" w:lineRule="auto"/>
        <w:rPr>
          <w:rFonts w:ascii="宋体" w:hAnsi="宋体" w:eastAsia="宋体"/>
          <w:sz w:val="30"/>
          <w:szCs w:val="30"/>
          <w:highlight w:val="none"/>
        </w:rPr>
      </w:pPr>
      <w:r>
        <w:rPr>
          <w:rFonts w:hint="eastAsia" w:ascii="宋体" w:hAnsi="宋体" w:eastAsia="宋体"/>
          <w:sz w:val="30"/>
          <w:szCs w:val="30"/>
          <w:highlight w:val="none"/>
        </w:rPr>
        <w:t xml:space="preserve">江苏京苏项目管理咨询有限公司</w:t>
      </w:r>
      <w:r>
        <w:rPr>
          <w:rFonts w:ascii="宋体" w:hAnsi="宋体" w:eastAsia="宋体"/>
          <w:sz w:val="30"/>
          <w:szCs w:val="30"/>
          <w:highlight w:val="none"/>
        </w:rPr>
      </w:r>
      <w:r/>
    </w:p>
    <w:p>
      <w:pPr>
        <w:pStyle w:val="706"/>
        <w:jc w:val="center"/>
        <w:spacing w:line="360" w:lineRule="auto"/>
        <w:rPr>
          <w:rFonts w:ascii="宋体" w:hAnsi="宋体" w:eastAsia="宋体"/>
          <w:sz w:val="30"/>
          <w:szCs w:val="30"/>
          <w:highlight w:val="none"/>
        </w:rPr>
      </w:pPr>
      <w:r>
        <w:rPr>
          <w:rFonts w:hint="eastAsia" w:ascii="宋体" w:hAnsi="宋体" w:eastAsia="宋体"/>
          <w:sz w:val="30"/>
          <w:szCs w:val="30"/>
          <w:highlight w:val="none"/>
          <w:lang w:val="en-US" w:eastAsia="zh-CN"/>
        </w:rPr>
        <w:t xml:space="preserve">2026</w:t>
      </w:r>
      <w:r>
        <w:rPr>
          <w:rFonts w:hint="eastAsia" w:ascii="宋体" w:hAnsi="宋体" w:eastAsia="宋体"/>
          <w:sz w:val="30"/>
          <w:szCs w:val="30"/>
          <w:highlight w:val="none"/>
        </w:rPr>
        <w:t xml:space="preserve">年</w:t>
      </w:r>
      <w:r>
        <w:rPr>
          <w:rFonts w:hint="eastAsia" w:ascii="宋体" w:hAnsi="宋体" w:eastAsia="宋体"/>
          <w:sz w:val="30"/>
          <w:szCs w:val="30"/>
          <w:highlight w:val="none"/>
          <w:lang w:val="en-US" w:eastAsia="zh-CN"/>
        </w:rPr>
        <w:t xml:space="preserve">04</w:t>
      </w:r>
      <w:r>
        <w:rPr>
          <w:rFonts w:hint="eastAsia" w:ascii="宋体" w:hAnsi="宋体" w:eastAsia="宋体"/>
          <w:sz w:val="30"/>
          <w:szCs w:val="30"/>
          <w:highlight w:val="none"/>
        </w:rPr>
        <w:t xml:space="preserve">月</w:t>
      </w:r>
      <w:r>
        <w:rPr>
          <w:rFonts w:ascii="宋体" w:hAnsi="宋体" w:eastAsia="宋体"/>
          <w:sz w:val="30"/>
          <w:szCs w:val="30"/>
          <w:highlight w:val="none"/>
        </w:rPr>
      </w:r>
      <w:r/>
    </w:p>
    <w:p>
      <w:pPr>
        <w:pStyle w:val="706"/>
        <w:jc w:val="center"/>
        <w:spacing w:line="360" w:lineRule="auto"/>
        <w:rPr>
          <w:rFonts w:ascii="宋体" w:hAnsi="宋体" w:eastAsia="宋体"/>
          <w:b/>
          <w:sz w:val="44"/>
          <w:szCs w:val="44"/>
          <w:highlight w:val="none"/>
        </w:rPr>
      </w:pPr>
      <w:r>
        <w:rPr>
          <w:rFonts w:ascii="宋体" w:hAnsi="宋体" w:eastAsia="宋体"/>
          <w:b/>
          <w:sz w:val="36"/>
          <w:highlight w:val="none"/>
        </w:rPr>
        <w:br w:type="page" w:clear="all"/>
      </w:r>
      <w:r>
        <w:rPr>
          <w:rFonts w:hint="eastAsia" w:ascii="宋体" w:hAnsi="宋体" w:eastAsia="宋体"/>
          <w:b/>
          <w:sz w:val="44"/>
          <w:szCs w:val="44"/>
          <w:highlight w:val="none"/>
        </w:rPr>
        <w:t xml:space="preserve">目  录</w:t>
      </w:r>
      <w:r>
        <w:rPr>
          <w:rFonts w:ascii="宋体" w:hAnsi="宋体" w:eastAsia="宋体"/>
          <w:b/>
          <w:sz w:val="44"/>
          <w:szCs w:val="44"/>
          <w:highlight w:val="none"/>
        </w:rPr>
      </w:r>
      <w:r/>
    </w:p>
    <w:p>
      <w:pPr>
        <w:pStyle w:val="768"/>
        <w:spacing w:line="360" w:lineRule="auto"/>
        <w:tabs>
          <w:tab w:val="right" w:pos="8302" w:leader="dot"/>
        </w:tabs>
        <w:rPr>
          <w:rFonts w:eastAsia="宋体"/>
          <w:szCs w:val="24"/>
          <w:highlight w:val="none"/>
        </w:rPr>
      </w:pPr>
      <w:r>
        <w:rPr>
          <w:rFonts w:eastAsia="宋体"/>
          <w:szCs w:val="24"/>
          <w:highlight w:val="none"/>
        </w:rPr>
      </w:r>
      <w:r/>
    </w:p>
    <w:p>
      <w:pPr>
        <w:pStyle w:val="706"/>
        <w:rPr>
          <w:highlight w:val="none"/>
        </w:rPr>
      </w:pPr>
      <w:r>
        <w:rPr>
          <w:highlight w:val="none"/>
        </w:rPr>
      </w:r>
      <w:r/>
    </w:p>
    <w:p>
      <w:pPr>
        <w:pStyle w:val="768"/>
        <w:spacing w:line="480" w:lineRule="auto"/>
        <w:tabs>
          <w:tab w:val="right" w:pos="9072" w:leader="dot"/>
        </w:tabs>
        <w:rPr>
          <w:rFonts w:hint="eastAsia" w:ascii="宋体" w:hAnsi="宋体" w:eastAsia="宋体" w:cs="宋体"/>
          <w:sz w:val="32"/>
          <w:szCs w:val="3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TOC \o "1-3" \h \z \u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HYPERLINK \l _Toc826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前附表</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_Toc826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3</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r>
      <w:r/>
    </w:p>
    <w:p>
      <w:pPr>
        <w:pStyle w:val="768"/>
        <w:spacing w:line="480" w:lineRule="auto"/>
        <w:tabs>
          <w:tab w:val="right" w:pos="9072" w:leader="dot"/>
        </w:tabs>
        <w:rPr>
          <w:rFonts w:hint="eastAsia" w:ascii="宋体" w:hAnsi="宋体" w:eastAsia="宋体" w:cs="宋体"/>
          <w:sz w:val="32"/>
          <w:szCs w:val="3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HYPERLINK \l _Toc14214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第一章 磋商邀请函</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_Toc14214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7</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r>
      <w:r/>
    </w:p>
    <w:p>
      <w:pPr>
        <w:pStyle w:val="768"/>
        <w:spacing w:line="480" w:lineRule="auto"/>
        <w:tabs>
          <w:tab w:val="right" w:pos="9072" w:leader="dot"/>
        </w:tabs>
        <w:rPr>
          <w:rFonts w:hint="eastAsia" w:ascii="宋体" w:hAnsi="宋体" w:eastAsia="宋体" w:cs="宋体"/>
          <w:sz w:val="32"/>
          <w:szCs w:val="3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HYPERLINK \l _Toc21223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第二章  磋商响应文件格式</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_Toc21223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13</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r>
      <w:r/>
    </w:p>
    <w:p>
      <w:pPr>
        <w:pStyle w:val="783"/>
        <w:ind w:left="0"/>
        <w:spacing w:line="480" w:lineRule="auto"/>
        <w:tabs>
          <w:tab w:val="right" w:pos="9072" w:leader="dot"/>
        </w:tabs>
        <w:rPr>
          <w:rFonts w:hint="eastAsia" w:ascii="宋体" w:hAnsi="宋体" w:eastAsia="宋体" w:cs="宋体"/>
          <w:sz w:val="32"/>
          <w:szCs w:val="3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HYPERLINK \l _Toc2427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第三章 采购内容</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_Toc2427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28</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r>
      <w:r/>
    </w:p>
    <w:p>
      <w:pPr>
        <w:pStyle w:val="768"/>
        <w:spacing w:line="480" w:lineRule="auto"/>
        <w:tabs>
          <w:tab w:val="right" w:pos="9072" w:leader="dot"/>
        </w:tabs>
        <w:rPr>
          <w:rFonts w:hint="eastAsia" w:ascii="宋体" w:hAnsi="宋体" w:eastAsia="宋体" w:cs="宋体"/>
          <w:sz w:val="32"/>
          <w:szCs w:val="3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HYPERLINK \l _Toc7013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第四章 技术管理要求</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_Toc7013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41</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r>
      <w:r/>
    </w:p>
    <w:p>
      <w:pPr>
        <w:pStyle w:val="768"/>
        <w:spacing w:line="480" w:lineRule="auto"/>
        <w:tabs>
          <w:tab w:val="right" w:pos="9072" w:leader="dot"/>
        </w:tabs>
        <w:rPr>
          <w:rFonts w:hint="eastAsia" w:ascii="宋体" w:hAnsi="宋体" w:eastAsia="宋体" w:cs="宋体"/>
          <w:sz w:val="32"/>
          <w:szCs w:val="3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HYPERLINK \l _Toc15956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第五章 合同主要条款</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_Toc15956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42</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r>
      <w:r/>
    </w:p>
    <w:p>
      <w:pPr>
        <w:pStyle w:val="768"/>
        <w:spacing w:line="480" w:lineRule="auto"/>
        <w:tabs>
          <w:tab w:val="right" w:pos="9072" w:leader="dot"/>
        </w:tabs>
        <w:rPr>
          <w:rFonts w:hint="eastAsia" w:ascii="宋体" w:hAnsi="宋体" w:eastAsia="宋体" w:cs="宋体"/>
          <w:sz w:val="32"/>
          <w:szCs w:val="3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HYPERLINK \l _Toc29740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第六章 评审办法</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_Toc29740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56</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r>
      <w:r/>
    </w:p>
    <w:p>
      <w:pPr>
        <w:pStyle w:val="730"/>
        <w:ind w:firstLine="0"/>
        <w:spacing w:line="480" w:lineRule="auto"/>
        <w:rPr>
          <w:rFonts w:ascii="宋体" w:hAnsi="宋体" w:eastAsia="宋体"/>
          <w:sz w:val="44"/>
          <w:szCs w:val="44"/>
          <w:highlight w:val="none"/>
        </w:rPr>
      </w:pPr>
      <w:r>
        <w:rPr>
          <w:rFonts w:hint="eastAsia" w:ascii="宋体" w:hAnsi="宋体" w:eastAsia="宋体" w:cs="宋体"/>
          <w:sz w:val="32"/>
          <w:szCs w:val="32"/>
          <w:highlight w:val="none"/>
        </w:rPr>
        <w:fldChar w:fldCharType="end"/>
      </w:r>
      <w:r>
        <w:rPr>
          <w:rFonts w:ascii="宋体" w:hAnsi="宋体" w:eastAsia="宋体"/>
          <w:sz w:val="44"/>
          <w:szCs w:val="44"/>
          <w:highlight w:val="none"/>
        </w:rPr>
      </w:r>
      <w:r/>
    </w:p>
    <w:p>
      <w:pPr>
        <w:pStyle w:val="706"/>
        <w:rPr>
          <w:highlight w:val="none"/>
        </w:rPr>
      </w:pPr>
      <w:r>
        <w:rPr>
          <w:highlight w:val="none"/>
        </w:rPr>
      </w:r>
      <w:r/>
    </w:p>
    <w:p>
      <w:pPr>
        <w:pStyle w:val="707"/>
        <w:jc w:val="center"/>
        <w:spacing w:before="0" w:after="0" w:line="360" w:lineRule="auto"/>
        <w:rPr>
          <w:rFonts w:ascii="黑体" w:hAnsi="黑体" w:eastAsia="黑体"/>
          <w:b w:val="0"/>
          <w:szCs w:val="44"/>
          <w:highlight w:val="none"/>
        </w:rPr>
      </w:pPr>
      <w:r>
        <w:rPr>
          <w:rFonts w:ascii="宋体" w:hAnsi="宋体" w:eastAsia="宋体"/>
          <w:b w:val="0"/>
          <w:sz w:val="32"/>
          <w:szCs w:val="32"/>
          <w:highlight w:val="none"/>
        </w:rPr>
        <w:br w:type="page" w:clear="all"/>
      </w:r>
      <w:bookmarkStart w:id="2" w:name="_Toc22222"/>
      <w:r/>
      <w:bookmarkStart w:id="3" w:name="_Toc826"/>
      <w:r>
        <w:rPr>
          <w:rFonts w:hint="eastAsia" w:ascii="黑体" w:hAnsi="黑体" w:eastAsia="黑体"/>
          <w:b w:val="0"/>
          <w:szCs w:val="44"/>
          <w:highlight w:val="none"/>
        </w:rPr>
        <w:t xml:space="preserve">前附表</w:t>
      </w:r>
      <w:bookmarkEnd w:id="2"/>
      <w:r/>
      <w:bookmarkEnd w:id="3"/>
      <w:r>
        <w:rPr>
          <w:rFonts w:ascii="黑体" w:hAnsi="黑体" w:eastAsia="黑体"/>
          <w:b w:val="0"/>
          <w:szCs w:val="44"/>
          <w:highlight w:val="none"/>
        </w:rPr>
      </w:r>
      <w:r/>
    </w:p>
    <w:tbl>
      <w:tblPr>
        <w:tblW w:w="8155"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7"/>
        <w:gridCol w:w="1305"/>
        <w:gridCol w:w="6083"/>
      </w:tblGrid>
      <w:tr>
        <w:trPr>
          <w:trHeight w:val="479"/>
        </w:trPr>
        <w:tc>
          <w:tcPr>
            <w:tcW w:w="767" w:type="dxa"/>
            <w:vAlign w:val="center"/>
            <w:textDirection w:val="lrTb"/>
            <w:noWrap w:val="false"/>
          </w:tcPr>
          <w:p>
            <w:pPr>
              <w:pStyle w:val="706"/>
              <w:jc w:val="cente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项号</w:t>
            </w:r>
            <w:r>
              <w:rPr>
                <w:rFonts w:ascii="宋体" w:hAnsi="宋体" w:eastAsia="宋体"/>
                <w:sz w:val="24"/>
                <w:szCs w:val="24"/>
                <w:highlight w:val="none"/>
              </w:rPr>
            </w:r>
            <w:r/>
          </w:p>
        </w:tc>
        <w:tc>
          <w:tcPr>
            <w:tcW w:w="1305" w:type="dxa"/>
            <w:vAlign w:val="center"/>
            <w:textDirection w:val="lrTb"/>
            <w:noWrap w:val="false"/>
          </w:tcPr>
          <w:p>
            <w:pPr>
              <w:pStyle w:val="706"/>
              <w:jc w:val="cente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内</w:t>
            </w:r>
            <w:r>
              <w:rPr>
                <w:rFonts w:ascii="宋体" w:hAnsi="宋体" w:eastAsia="宋体"/>
                <w:sz w:val="24"/>
                <w:szCs w:val="24"/>
                <w:highlight w:val="none"/>
              </w:rPr>
              <w:t xml:space="preserve"> 容</w:t>
            </w:r>
            <w:r>
              <w:rPr>
                <w:rFonts w:ascii="宋体" w:hAnsi="宋体" w:eastAsia="宋体"/>
                <w:sz w:val="24"/>
                <w:szCs w:val="24"/>
                <w:highlight w:val="none"/>
              </w:rPr>
            </w:r>
            <w:r/>
          </w:p>
        </w:tc>
        <w:tc>
          <w:tcPr>
            <w:tcW w:w="6083" w:type="dxa"/>
            <w:vAlign w:val="center"/>
            <w:textDirection w:val="lrTb"/>
            <w:noWrap w:val="false"/>
          </w:tcPr>
          <w:p>
            <w:pPr>
              <w:pStyle w:val="706"/>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说明与要求</w:t>
            </w:r>
            <w:r>
              <w:rPr>
                <w:rFonts w:ascii="宋体" w:hAnsi="宋体" w:eastAsia="宋体"/>
                <w:sz w:val="24"/>
                <w:szCs w:val="24"/>
                <w:highlight w:val="none"/>
              </w:rPr>
            </w:r>
            <w:r/>
          </w:p>
        </w:tc>
      </w:tr>
      <w:tr>
        <w:trPr>
          <w:trHeight w:val="464"/>
        </w:trPr>
        <w:tc>
          <w:tcPr>
            <w:tcW w:w="767" w:type="dxa"/>
            <w:vAlign w:val="center"/>
            <w:textDirection w:val="lrTb"/>
            <w:noWrap w:val="false"/>
          </w:tcPr>
          <w:p>
            <w:pPr>
              <w:pStyle w:val="706"/>
              <w:jc w:val="center"/>
              <w:spacing w:line="360" w:lineRule="auto"/>
              <w:rPr>
                <w:rFonts w:ascii="宋体" w:hAnsi="宋体" w:eastAsia="宋体"/>
                <w:sz w:val="24"/>
                <w:szCs w:val="24"/>
                <w:highlight w:val="none"/>
              </w:rPr>
            </w:pPr>
            <w:r>
              <w:rPr>
                <w:rFonts w:ascii="宋体" w:hAnsi="宋体" w:eastAsia="宋体"/>
                <w:sz w:val="24"/>
                <w:szCs w:val="24"/>
                <w:highlight w:val="none"/>
              </w:rPr>
              <w:t xml:space="preserve">1</w:t>
            </w:r>
            <w:r>
              <w:rPr>
                <w:rFonts w:ascii="宋体" w:hAnsi="宋体" w:eastAsia="宋体"/>
                <w:sz w:val="24"/>
                <w:szCs w:val="24"/>
                <w:highlight w:val="none"/>
              </w:rPr>
            </w:r>
            <w:r/>
          </w:p>
        </w:tc>
        <w:tc>
          <w:tcPr>
            <w:tcW w:w="1305" w:type="dxa"/>
            <w:vAlign w:val="center"/>
            <w:textDirection w:val="lrTb"/>
            <w:noWrap w:val="false"/>
          </w:tcPr>
          <w:p>
            <w:pPr>
              <w:pStyle w:val="706"/>
              <w:jc w:val="cente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工程名称</w:t>
            </w:r>
            <w:r>
              <w:rPr>
                <w:rFonts w:ascii="宋体" w:hAnsi="宋体" w:eastAsia="宋体"/>
                <w:sz w:val="24"/>
                <w:szCs w:val="24"/>
                <w:highlight w:val="none"/>
              </w:rPr>
            </w:r>
            <w:r/>
          </w:p>
        </w:tc>
        <w:tc>
          <w:tcPr>
            <w:tcW w:w="6083" w:type="dxa"/>
            <w:vAlign w:val="center"/>
            <w:textDirection w:val="lrTb"/>
            <w:noWrap w:val="false"/>
          </w:tcPr>
          <w:p>
            <w:pPr>
              <w:pStyle w:val="706"/>
              <w:spacing w:line="360" w:lineRule="auto"/>
              <w:rPr>
                <w:rFonts w:ascii="宋体" w:hAnsi="宋体" w:eastAsia="宋体"/>
                <w:sz w:val="24"/>
                <w:szCs w:val="24"/>
                <w:highlight w:val="none"/>
              </w:rPr>
            </w:pPr>
            <w:r>
              <w:rPr>
                <w:rFonts w:hint="eastAsia" w:ascii="宋体" w:hAnsi="宋体" w:eastAsia="宋体"/>
                <w:sz w:val="24"/>
                <w:szCs w:val="24"/>
                <w:highlight w:val="none"/>
                <w:lang w:eastAsia="zh-CN"/>
              </w:rPr>
              <w:t xml:space="preserve">2026年市政养护及零星工程（北桥）</w:t>
            </w:r>
            <w:r>
              <w:rPr>
                <w:rFonts w:ascii="宋体" w:hAnsi="宋体" w:eastAsia="宋体"/>
                <w:sz w:val="24"/>
                <w:szCs w:val="24"/>
                <w:highlight w:val="none"/>
              </w:rPr>
            </w:r>
            <w:r/>
          </w:p>
        </w:tc>
      </w:tr>
      <w:tr>
        <w:trPr>
          <w:trHeight w:val="464"/>
        </w:trPr>
        <w:tc>
          <w:tcPr>
            <w:tcW w:w="767" w:type="dxa"/>
            <w:vAlign w:val="center"/>
            <w:textDirection w:val="lrTb"/>
            <w:noWrap w:val="false"/>
          </w:tcPr>
          <w:p>
            <w:pPr>
              <w:pStyle w:val="706"/>
              <w:jc w:val="center"/>
              <w:spacing w:line="360" w:lineRule="auto"/>
              <w:rPr>
                <w:rFonts w:ascii="宋体" w:hAnsi="宋体" w:eastAsia="宋体"/>
                <w:sz w:val="24"/>
                <w:szCs w:val="24"/>
                <w:highlight w:val="none"/>
              </w:rPr>
            </w:pPr>
            <w:r>
              <w:rPr>
                <w:rFonts w:ascii="宋体" w:hAnsi="宋体" w:eastAsia="宋体"/>
                <w:sz w:val="24"/>
                <w:szCs w:val="24"/>
                <w:highlight w:val="none"/>
              </w:rPr>
              <w:t xml:space="preserve">2</w:t>
            </w:r>
            <w:r>
              <w:rPr>
                <w:rFonts w:ascii="宋体" w:hAnsi="宋体" w:eastAsia="宋体"/>
                <w:sz w:val="24"/>
                <w:szCs w:val="24"/>
                <w:highlight w:val="none"/>
              </w:rPr>
            </w:r>
            <w:r/>
          </w:p>
        </w:tc>
        <w:tc>
          <w:tcPr>
            <w:tcW w:w="1305" w:type="dxa"/>
            <w:vAlign w:val="center"/>
            <w:textDirection w:val="lrTb"/>
            <w:noWrap w:val="false"/>
          </w:tcPr>
          <w:p>
            <w:pPr>
              <w:pStyle w:val="706"/>
              <w:jc w:val="cente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建设地点</w:t>
            </w:r>
            <w:r>
              <w:rPr>
                <w:rFonts w:ascii="宋体" w:hAnsi="宋体" w:eastAsia="宋体"/>
                <w:sz w:val="24"/>
                <w:szCs w:val="24"/>
                <w:highlight w:val="none"/>
              </w:rPr>
            </w:r>
            <w:r/>
          </w:p>
        </w:tc>
        <w:tc>
          <w:tcPr>
            <w:tcW w:w="6083" w:type="dxa"/>
            <w:vAlign w:val="center"/>
            <w:textDirection w:val="lrTb"/>
            <w:noWrap w:val="false"/>
          </w:tcPr>
          <w:p>
            <w:pPr>
              <w:pStyle w:val="706"/>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苏州相城区北桥</w:t>
            </w:r>
            <w:r>
              <w:rPr>
                <w:rFonts w:hint="eastAsia" w:ascii="宋体" w:hAnsi="宋体" w:eastAsia="宋体"/>
                <w:sz w:val="24"/>
                <w:szCs w:val="24"/>
                <w:highlight w:val="none"/>
              </w:rPr>
            </w:r>
            <w:r/>
          </w:p>
        </w:tc>
      </w:tr>
      <w:tr>
        <w:trPr>
          <w:trHeight w:val="479"/>
        </w:trPr>
        <w:tc>
          <w:tcPr>
            <w:tcW w:w="767" w:type="dxa"/>
            <w:vAlign w:val="center"/>
            <w:textDirection w:val="lrTb"/>
            <w:noWrap w:val="false"/>
          </w:tcPr>
          <w:p>
            <w:pPr>
              <w:pStyle w:val="706"/>
              <w:jc w:val="cente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3</w:t>
            </w:r>
            <w:r>
              <w:rPr>
                <w:rFonts w:ascii="宋体" w:hAnsi="宋体" w:eastAsia="宋体"/>
                <w:sz w:val="24"/>
                <w:szCs w:val="24"/>
                <w:highlight w:val="none"/>
              </w:rPr>
            </w:r>
            <w:r/>
          </w:p>
        </w:tc>
        <w:tc>
          <w:tcPr>
            <w:tcW w:w="1305" w:type="dxa"/>
            <w:vAlign w:val="center"/>
            <w:textDirection w:val="lrTb"/>
            <w:noWrap w:val="false"/>
          </w:tcPr>
          <w:p>
            <w:pPr>
              <w:pStyle w:val="706"/>
              <w:jc w:val="cente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承包方式</w:t>
            </w:r>
            <w:r>
              <w:rPr>
                <w:rFonts w:ascii="宋体" w:hAnsi="宋体" w:eastAsia="宋体"/>
                <w:sz w:val="24"/>
                <w:szCs w:val="24"/>
                <w:highlight w:val="none"/>
              </w:rPr>
            </w:r>
            <w:r/>
          </w:p>
        </w:tc>
        <w:tc>
          <w:tcPr>
            <w:tcW w:w="6083" w:type="dxa"/>
            <w:vAlign w:val="center"/>
            <w:textDirection w:val="lrTb"/>
            <w:noWrap w:val="false"/>
          </w:tcPr>
          <w:p>
            <w:pPr>
              <w:pStyle w:val="706"/>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包工包料</w:t>
            </w:r>
            <w:r>
              <w:rPr>
                <w:rFonts w:ascii="宋体" w:hAnsi="宋体" w:eastAsia="宋体"/>
                <w:sz w:val="24"/>
                <w:szCs w:val="24"/>
                <w:highlight w:val="none"/>
              </w:rPr>
            </w:r>
            <w:r/>
          </w:p>
        </w:tc>
      </w:tr>
      <w:tr>
        <w:trPr>
          <w:trHeight w:val="464"/>
        </w:trPr>
        <w:tc>
          <w:tcPr>
            <w:tcW w:w="767" w:type="dxa"/>
            <w:vAlign w:val="center"/>
            <w:textDirection w:val="lrTb"/>
            <w:noWrap w:val="false"/>
          </w:tcPr>
          <w:p>
            <w:pPr>
              <w:pStyle w:val="706"/>
              <w:jc w:val="cente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4</w:t>
            </w:r>
            <w:r>
              <w:rPr>
                <w:rFonts w:ascii="宋体" w:hAnsi="宋体" w:eastAsia="宋体"/>
                <w:sz w:val="24"/>
                <w:szCs w:val="24"/>
                <w:highlight w:val="none"/>
              </w:rPr>
            </w:r>
            <w:r/>
          </w:p>
        </w:tc>
        <w:tc>
          <w:tcPr>
            <w:tcW w:w="1305" w:type="dxa"/>
            <w:vAlign w:val="center"/>
            <w:textDirection w:val="lrTb"/>
            <w:noWrap w:val="false"/>
          </w:tcPr>
          <w:p>
            <w:pPr>
              <w:pStyle w:val="706"/>
              <w:jc w:val="cente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质量标准</w:t>
            </w:r>
            <w:r>
              <w:rPr>
                <w:rFonts w:ascii="宋体" w:hAnsi="宋体" w:eastAsia="宋体"/>
                <w:sz w:val="24"/>
                <w:szCs w:val="24"/>
                <w:highlight w:val="none"/>
              </w:rPr>
            </w:r>
            <w:r/>
          </w:p>
        </w:tc>
        <w:tc>
          <w:tcPr>
            <w:tcW w:w="6083" w:type="dxa"/>
            <w:vAlign w:val="center"/>
            <w:textDirection w:val="lrTb"/>
            <w:noWrap w:val="false"/>
          </w:tcPr>
          <w:p>
            <w:pPr>
              <w:pStyle w:val="706"/>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合格</w:t>
            </w:r>
            <w:r>
              <w:rPr>
                <w:rFonts w:ascii="宋体" w:hAnsi="宋体" w:eastAsia="宋体"/>
                <w:sz w:val="24"/>
                <w:szCs w:val="24"/>
                <w:highlight w:val="none"/>
              </w:rPr>
            </w:r>
            <w:r/>
          </w:p>
        </w:tc>
      </w:tr>
      <w:tr>
        <w:trPr>
          <w:trHeight w:val="557"/>
        </w:trPr>
        <w:tc>
          <w:tcPr>
            <w:tcW w:w="767" w:type="dxa"/>
            <w:vAlign w:val="center"/>
            <w:textDirection w:val="lrTb"/>
            <w:noWrap w:val="false"/>
          </w:tcPr>
          <w:p>
            <w:pPr>
              <w:pStyle w:val="706"/>
              <w:jc w:val="cente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5</w:t>
            </w:r>
            <w:r>
              <w:rPr>
                <w:rFonts w:ascii="宋体" w:hAnsi="宋体" w:eastAsia="宋体"/>
                <w:sz w:val="24"/>
                <w:szCs w:val="24"/>
                <w:highlight w:val="none"/>
              </w:rPr>
            </w:r>
            <w:r/>
          </w:p>
        </w:tc>
        <w:tc>
          <w:tcPr>
            <w:tcW w:w="1305" w:type="dxa"/>
            <w:vAlign w:val="center"/>
            <w:textDirection w:val="lrTb"/>
            <w:noWrap w:val="false"/>
          </w:tcPr>
          <w:p>
            <w:pPr>
              <w:pStyle w:val="706"/>
              <w:jc w:val="cente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发包范围</w:t>
            </w:r>
            <w:r>
              <w:rPr>
                <w:rFonts w:ascii="宋体" w:hAnsi="宋体" w:eastAsia="宋体"/>
                <w:sz w:val="24"/>
                <w:szCs w:val="24"/>
                <w:highlight w:val="none"/>
              </w:rPr>
            </w:r>
            <w:r/>
          </w:p>
        </w:tc>
        <w:tc>
          <w:tcPr>
            <w:tcW w:w="6083" w:type="dxa"/>
            <w:vAlign w:val="center"/>
            <w:textDirection w:val="lrTb"/>
            <w:noWrap w:val="false"/>
          </w:tcPr>
          <w:p>
            <w:pPr>
              <w:pStyle w:val="706"/>
              <w:spacing w:line="360" w:lineRule="auto"/>
              <w:rPr>
                <w:rFonts w:hint="eastAsia" w:ascii="宋体" w:hAnsi="宋体" w:eastAsia="宋体" w:cs="Arial"/>
                <w:sz w:val="24"/>
                <w:szCs w:val="24"/>
                <w:highlight w:val="none"/>
              </w:rPr>
            </w:pPr>
            <w:r>
              <w:rPr>
                <w:rFonts w:hint="eastAsia" w:ascii="宋体" w:hAnsi="宋体" w:eastAsia="宋体" w:cs="Arial"/>
                <w:sz w:val="24"/>
                <w:szCs w:val="24"/>
                <w:highlight w:val="none"/>
              </w:rPr>
              <w:t xml:space="preserve">施工范围为</w:t>
            </w:r>
            <w:r>
              <w:rPr>
                <w:rFonts w:hint="eastAsia" w:ascii="宋体" w:hAnsi="宋体" w:eastAsia="宋体" w:cs="Arial"/>
                <w:sz w:val="24"/>
                <w:szCs w:val="24"/>
                <w:highlight w:val="none"/>
                <w:lang w:eastAsia="zh-CN"/>
              </w:rPr>
              <w:t xml:space="preserve">街道范围</w:t>
            </w:r>
            <w:r>
              <w:rPr>
                <w:rFonts w:hint="eastAsia" w:ascii="宋体" w:hAnsi="宋体" w:eastAsia="宋体" w:cs="Arial"/>
                <w:sz w:val="24"/>
                <w:szCs w:val="24"/>
                <w:highlight w:val="none"/>
              </w:rPr>
              <w:t xml:space="preserve">，主要工作内容包括</w:t>
            </w:r>
            <w:r>
              <w:rPr>
                <w:rFonts w:hint="eastAsia" w:ascii="宋体" w:hAnsi="宋体" w:eastAsia="宋体" w:cs="Arial"/>
                <w:sz w:val="24"/>
                <w:szCs w:val="24"/>
                <w:highlight w:val="none"/>
                <w:lang w:eastAsia="zh-CN"/>
              </w:rPr>
              <w:t xml:space="preserve">道路维修</w:t>
            </w:r>
            <w:r>
              <w:rPr>
                <w:rFonts w:hint="eastAsia" w:ascii="宋体" w:hAnsi="宋体" w:eastAsia="宋体" w:cs="Arial"/>
                <w:sz w:val="24"/>
                <w:szCs w:val="24"/>
                <w:highlight w:val="none"/>
              </w:rPr>
              <w:t xml:space="preserve">、人行道板维修、桥栏杆更换、窨井盖更换、停车场改造、雨污水管网设施改建、停车位划线等内容，工程内容详见工程量清单、工程量编制说明。</w:t>
            </w:r>
            <w:r>
              <w:rPr>
                <w:rFonts w:hint="eastAsia" w:ascii="宋体" w:hAnsi="宋体" w:eastAsia="宋体" w:cs="Arial"/>
                <w:sz w:val="24"/>
                <w:szCs w:val="24"/>
                <w:highlight w:val="none"/>
              </w:rPr>
            </w:r>
            <w:r/>
          </w:p>
        </w:tc>
      </w:tr>
      <w:tr>
        <w:trPr>
          <w:trHeight w:val="451"/>
        </w:trPr>
        <w:tc>
          <w:tcPr>
            <w:tcW w:w="767" w:type="dxa"/>
            <w:vAlign w:val="center"/>
            <w:textDirection w:val="lrTb"/>
            <w:noWrap w:val="false"/>
          </w:tcPr>
          <w:p>
            <w:pPr>
              <w:pStyle w:val="706"/>
              <w:jc w:val="cente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6</w:t>
            </w:r>
            <w:r>
              <w:rPr>
                <w:rFonts w:ascii="宋体" w:hAnsi="宋体" w:eastAsia="宋体"/>
                <w:sz w:val="24"/>
                <w:szCs w:val="24"/>
                <w:highlight w:val="none"/>
              </w:rPr>
            </w:r>
            <w:r/>
          </w:p>
        </w:tc>
        <w:tc>
          <w:tcPr>
            <w:tcW w:w="1305" w:type="dxa"/>
            <w:vAlign w:val="center"/>
            <w:textDirection w:val="lrTb"/>
            <w:noWrap w:val="false"/>
          </w:tcPr>
          <w:p>
            <w:pPr>
              <w:pStyle w:val="706"/>
              <w:jc w:val="center"/>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服务期限</w:t>
            </w:r>
            <w:r>
              <w:rPr>
                <w:rFonts w:hint="eastAsia" w:ascii="宋体" w:hAnsi="宋体" w:eastAsia="宋体"/>
                <w:sz w:val="24"/>
                <w:szCs w:val="24"/>
                <w:highlight w:val="none"/>
              </w:rPr>
            </w:r>
            <w:r/>
          </w:p>
        </w:tc>
        <w:tc>
          <w:tcPr>
            <w:tcW w:w="6083" w:type="dxa"/>
            <w:vAlign w:val="center"/>
            <w:textDirection w:val="lrTb"/>
            <w:noWrap w:val="false"/>
          </w:tcPr>
          <w:p>
            <w:pPr>
              <w:pStyle w:val="706"/>
              <w:jc w:val="left"/>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12个月（具体开工日期以采购人通知为准）</w:t>
            </w:r>
            <w:r>
              <w:rPr>
                <w:rFonts w:hint="eastAsia" w:ascii="宋体" w:hAnsi="宋体" w:eastAsia="宋体"/>
                <w:sz w:val="24"/>
                <w:szCs w:val="24"/>
                <w:highlight w:val="none"/>
              </w:rPr>
            </w:r>
            <w:r/>
          </w:p>
          <w:p>
            <w:pPr>
              <w:pStyle w:val="706"/>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如在服务过程中，乙方服务费用达到预算金额时，合同自动终止；如在服务周期结束后，乙方服务费用未达到预算金额时，合同也自动终止。</w:t>
            </w:r>
            <w:r>
              <w:rPr>
                <w:rFonts w:ascii="宋体" w:hAnsi="宋体" w:eastAsia="宋体"/>
                <w:sz w:val="24"/>
                <w:szCs w:val="24"/>
                <w:highlight w:val="none"/>
              </w:rPr>
            </w:r>
            <w:r/>
          </w:p>
        </w:tc>
      </w:tr>
      <w:tr>
        <w:trPr>
          <w:trHeight w:val="234"/>
        </w:trPr>
        <w:tc>
          <w:tcPr>
            <w:tcW w:w="767" w:type="dxa"/>
            <w:vAlign w:val="center"/>
            <w:textDirection w:val="lrTb"/>
            <w:noWrap w:val="false"/>
          </w:tcPr>
          <w:p>
            <w:pPr>
              <w:pStyle w:val="706"/>
              <w:jc w:val="cente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7</w:t>
            </w:r>
            <w:r>
              <w:rPr>
                <w:rFonts w:ascii="宋体" w:hAnsi="宋体" w:eastAsia="宋体"/>
                <w:sz w:val="24"/>
                <w:szCs w:val="24"/>
                <w:highlight w:val="none"/>
              </w:rPr>
            </w:r>
            <w:r/>
          </w:p>
        </w:tc>
        <w:tc>
          <w:tcPr>
            <w:tcW w:w="1305" w:type="dxa"/>
            <w:vAlign w:val="center"/>
            <w:textDirection w:val="lrTb"/>
            <w:noWrap w:val="false"/>
          </w:tcPr>
          <w:p>
            <w:pPr>
              <w:pStyle w:val="706"/>
              <w:jc w:val="cente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资金来源</w:t>
            </w:r>
            <w:r>
              <w:rPr>
                <w:rFonts w:ascii="宋体" w:hAnsi="宋体" w:eastAsia="宋体"/>
                <w:sz w:val="24"/>
                <w:szCs w:val="24"/>
                <w:highlight w:val="none"/>
              </w:rPr>
            </w:r>
            <w:r/>
          </w:p>
        </w:tc>
        <w:tc>
          <w:tcPr>
            <w:tcW w:w="6083" w:type="dxa"/>
            <w:vAlign w:val="center"/>
            <w:textDirection w:val="lrTb"/>
            <w:noWrap w:val="false"/>
          </w:tcPr>
          <w:p>
            <w:pPr>
              <w:pStyle w:val="706"/>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财政资金</w:t>
            </w:r>
            <w:r>
              <w:rPr>
                <w:rFonts w:ascii="宋体" w:hAnsi="宋体" w:eastAsia="宋体"/>
                <w:sz w:val="24"/>
                <w:szCs w:val="24"/>
                <w:highlight w:val="none"/>
              </w:rPr>
            </w:r>
            <w:r/>
          </w:p>
        </w:tc>
      </w:tr>
      <w:tr>
        <w:trPr>
          <w:trHeight w:val="655"/>
        </w:trPr>
        <w:tc>
          <w:tcPr>
            <w:tcW w:w="767" w:type="dxa"/>
            <w:vAlign w:val="center"/>
            <w:textDirection w:val="lrTb"/>
            <w:noWrap w:val="false"/>
          </w:tcPr>
          <w:p>
            <w:pPr>
              <w:pStyle w:val="706"/>
              <w:jc w:val="cente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8</w:t>
            </w:r>
            <w:r>
              <w:rPr>
                <w:rFonts w:ascii="宋体" w:hAnsi="宋体" w:eastAsia="宋体"/>
                <w:sz w:val="24"/>
                <w:szCs w:val="24"/>
                <w:highlight w:val="none"/>
              </w:rPr>
            </w:r>
            <w:r/>
          </w:p>
        </w:tc>
        <w:tc>
          <w:tcPr>
            <w:tcW w:w="1305" w:type="dxa"/>
            <w:vAlign w:val="center"/>
            <w:textDirection w:val="lrTb"/>
            <w:noWrap w:val="false"/>
          </w:tcPr>
          <w:p>
            <w:pPr>
              <w:pStyle w:val="706"/>
              <w:jc w:val="cente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现场踏勘</w:t>
            </w:r>
            <w:r>
              <w:rPr>
                <w:rFonts w:ascii="宋体" w:hAnsi="宋体" w:eastAsia="宋体"/>
                <w:sz w:val="24"/>
                <w:szCs w:val="24"/>
                <w:highlight w:val="none"/>
              </w:rPr>
            </w:r>
            <w:r/>
          </w:p>
        </w:tc>
        <w:tc>
          <w:tcPr>
            <w:tcW w:w="6083" w:type="dxa"/>
            <w:vAlign w:val="center"/>
            <w:textDirection w:val="lrTb"/>
            <w:noWrap w:val="false"/>
          </w:tcPr>
          <w:p>
            <w:pPr>
              <w:pStyle w:val="706"/>
              <w:spacing w:line="360" w:lineRule="auto"/>
              <w:rPr>
                <w:rFonts w:ascii="宋体" w:hAnsi="宋体" w:eastAsia="宋体" w:cs="宋体"/>
                <w:sz w:val="24"/>
                <w:szCs w:val="24"/>
                <w:highlight w:val="none"/>
              </w:rPr>
            </w:pPr>
            <w:r>
              <w:rPr>
                <w:rFonts w:hint="eastAsia" w:ascii="宋体" w:hAnsi="宋体" w:eastAsia="宋体" w:cs="Arial"/>
                <w:sz w:val="24"/>
                <w:szCs w:val="24"/>
                <w:highlight w:val="none"/>
              </w:rPr>
              <w:t xml:space="preserve">由响应单位自行踏勘</w:t>
            </w:r>
            <w:r>
              <w:rPr>
                <w:rFonts w:hint="eastAsia" w:ascii="宋体" w:hAnsi="宋体" w:eastAsia="宋体" w:cs="宋体"/>
                <w:sz w:val="24"/>
                <w:szCs w:val="24"/>
                <w:highlight w:val="none"/>
              </w:rPr>
              <w:t xml:space="preserve">（供应商由于未踏勘现场导致的报价失误或对工程量清单理解产生的歧义，其后果自行承担）。</w:t>
            </w:r>
            <w:r>
              <w:rPr>
                <w:rFonts w:ascii="宋体" w:hAnsi="宋体" w:eastAsia="宋体" w:cs="宋体"/>
                <w:sz w:val="24"/>
                <w:szCs w:val="24"/>
                <w:highlight w:val="none"/>
              </w:rPr>
            </w:r>
            <w:r/>
          </w:p>
        </w:tc>
      </w:tr>
      <w:tr>
        <w:trPr>
          <w:trHeight w:val="1240"/>
        </w:trPr>
        <w:tc>
          <w:tcPr>
            <w:tcW w:w="767" w:type="dxa"/>
            <w:vAlign w:val="center"/>
            <w:textDirection w:val="lrTb"/>
            <w:noWrap w:val="false"/>
          </w:tcPr>
          <w:p>
            <w:pPr>
              <w:pStyle w:val="706"/>
              <w:jc w:val="cente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9</w:t>
            </w:r>
            <w:r>
              <w:rPr>
                <w:rFonts w:ascii="宋体" w:hAnsi="宋体" w:eastAsia="宋体"/>
                <w:sz w:val="24"/>
                <w:szCs w:val="24"/>
                <w:highlight w:val="none"/>
              </w:rPr>
            </w:r>
            <w:r/>
          </w:p>
        </w:tc>
        <w:tc>
          <w:tcPr>
            <w:tcW w:w="1305" w:type="dxa"/>
            <w:vAlign w:val="center"/>
            <w:textDirection w:val="lrTb"/>
            <w:noWrap w:val="false"/>
          </w:tcPr>
          <w:p>
            <w:pPr>
              <w:pStyle w:val="706"/>
              <w:jc w:val="cente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供应商的资质等级要求</w:t>
            </w:r>
            <w:r>
              <w:rPr>
                <w:rFonts w:ascii="宋体" w:hAnsi="宋体" w:eastAsia="宋体"/>
                <w:sz w:val="24"/>
                <w:szCs w:val="24"/>
                <w:highlight w:val="none"/>
              </w:rPr>
            </w:r>
            <w:r/>
          </w:p>
        </w:tc>
        <w:tc>
          <w:tcPr>
            <w:tcW w:w="6083" w:type="dxa"/>
            <w:vAlign w:val="center"/>
            <w:textDirection w:val="lrTb"/>
            <w:noWrap w:val="false"/>
          </w:tcPr>
          <w:p>
            <w:pPr>
              <w:pStyle w:val="706"/>
              <w:spacing w:line="360" w:lineRule="auto"/>
              <w:widowControl/>
              <w:tabs>
                <w:tab w:val="left" w:pos="1200" w:leader="none"/>
              </w:tabs>
              <w:rPr>
                <w:rFonts w:ascii="宋体" w:hAnsi="宋体" w:eastAsia="宋体"/>
                <w:sz w:val="24"/>
                <w:szCs w:val="24"/>
                <w:highlight w:val="none"/>
              </w:rPr>
            </w:pPr>
            <w:r>
              <w:rPr>
                <w:rFonts w:hint="eastAsia" w:ascii="宋体" w:hAnsi="宋体" w:eastAsia="宋体"/>
                <w:sz w:val="24"/>
                <w:szCs w:val="24"/>
                <w:highlight w:val="none"/>
              </w:rPr>
              <w:t xml:space="preserve">1、满足中华人民共和国政府采购法第二十二条所规定的条件；</w:t>
            </w:r>
            <w:r>
              <w:rPr>
                <w:rFonts w:ascii="宋体" w:hAnsi="宋体" w:eastAsia="宋体"/>
                <w:sz w:val="24"/>
                <w:szCs w:val="24"/>
                <w:highlight w:val="none"/>
              </w:rPr>
            </w:r>
            <w:r/>
          </w:p>
          <w:p>
            <w:pPr>
              <w:pStyle w:val="706"/>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2、申请人资质类别和等级：具有市政公用工程施工总承包三级(含)以上资质；</w:t>
            </w:r>
            <w:r>
              <w:rPr>
                <w:rFonts w:hint="eastAsia" w:ascii="宋体" w:hAnsi="宋体" w:eastAsia="宋体"/>
                <w:sz w:val="24"/>
                <w:szCs w:val="24"/>
                <w:highlight w:val="none"/>
              </w:rPr>
            </w:r>
            <w:r/>
          </w:p>
          <w:p>
            <w:pPr>
              <w:pStyle w:val="706"/>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3、具备安全生产条件，并取得安全生产许可证；</w:t>
            </w:r>
            <w:r>
              <w:rPr>
                <w:rFonts w:hint="eastAsia" w:ascii="宋体" w:hAnsi="宋体" w:eastAsia="宋体"/>
                <w:sz w:val="24"/>
                <w:szCs w:val="24"/>
                <w:highlight w:val="none"/>
              </w:rPr>
            </w:r>
            <w:r/>
          </w:p>
          <w:p>
            <w:pPr>
              <w:pStyle w:val="906"/>
              <w:ind w:firstLine="0"/>
              <w:spacing w:line="360" w:lineRule="auto"/>
              <w:tabs>
                <w:tab w:val="left" w:pos="808" w:leader="none"/>
              </w:tabs>
              <w:rPr>
                <w:rFonts w:hint="eastAsia" w:ascii="宋体" w:hAnsi="宋体" w:eastAsia="宋体"/>
                <w:sz w:val="24"/>
                <w:szCs w:val="24"/>
                <w:highlight w:val="none"/>
              </w:rPr>
            </w:pPr>
            <w:r>
              <w:rPr>
                <w:rFonts w:hint="eastAsia" w:ascii="宋体" w:hAnsi="宋体" w:eastAsia="宋体" w:cs="宋体"/>
                <w:sz w:val="24"/>
                <w:szCs w:val="24"/>
                <w:highlight w:val="none"/>
              </w:rPr>
              <w:t xml:space="preserve">4、拟选派项目经理资质等级：具有市政公用工程二级注册建造师及以上资质并具有</w:t>
            </w:r>
            <w:r>
              <w:rPr>
                <w:rFonts w:hint="eastAsia" w:ascii="宋体" w:hAnsi="宋体" w:eastAsia="宋体"/>
                <w:sz w:val="24"/>
                <w:szCs w:val="24"/>
                <w:highlight w:val="none"/>
              </w:rPr>
              <w:t xml:space="preserve">《建筑施工企业项目负责人安全生产考核合格证书》（B类）及响应单位为其缴纳社保。项目经理必须满足： </w:t>
            </w:r>
            <w:r>
              <w:rPr>
                <w:rFonts w:hint="eastAsia" w:ascii="宋体" w:hAnsi="宋体" w:eastAsia="宋体" w:cs="宋体"/>
                <w:sz w:val="24"/>
                <w:szCs w:val="24"/>
                <w:highlight w:val="none"/>
                <w:shd w:val="clear" w:color="auto" w:fill="ffffff"/>
              </w:rPr>
              <w:t xml:space="preserve">①项目经理不得同时在两个或者两个以上单位受聘或者执业。②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招标的程属于同一工程项目、同一项目批文、同一施工地点分段发包或分期施工的情况且总的工程规模在项目经理执业范围之内。</w:t>
            </w:r>
            <w:r>
              <w:rPr>
                <w:rFonts w:hint="eastAsia" w:ascii="宋体" w:hAnsi="宋体" w:eastAsia="宋体"/>
                <w:sz w:val="24"/>
                <w:szCs w:val="24"/>
                <w:highlight w:val="none"/>
              </w:rPr>
            </w:r>
            <w:r/>
          </w:p>
          <w:p>
            <w:pPr>
              <w:pStyle w:val="706"/>
              <w:spacing w:line="360" w:lineRule="auto"/>
              <w:widowControl/>
              <w:tabs>
                <w:tab w:val="left" w:pos="1200" w:leader="none"/>
              </w:tabs>
              <w:rPr>
                <w:rFonts w:ascii="宋体" w:hAnsi="宋体" w:eastAsia="宋体"/>
                <w:sz w:val="24"/>
                <w:szCs w:val="24"/>
                <w:highlight w:val="none"/>
              </w:rPr>
            </w:pPr>
            <w:r>
              <w:rPr>
                <w:rFonts w:hint="eastAsia" w:ascii="宋体" w:hAnsi="宋体" w:eastAsia="宋体"/>
                <w:sz w:val="24"/>
                <w:szCs w:val="24"/>
                <w:highlight w:val="none"/>
              </w:rPr>
              <w:t xml:space="preserve">注：本项目不接受联合体投标。</w:t>
            </w:r>
            <w:r>
              <w:rPr>
                <w:rFonts w:ascii="宋体" w:hAnsi="宋体" w:eastAsia="宋体"/>
                <w:sz w:val="24"/>
                <w:szCs w:val="24"/>
                <w:highlight w:val="none"/>
              </w:rPr>
            </w:r>
            <w:r/>
          </w:p>
        </w:tc>
      </w:tr>
      <w:tr>
        <w:trPr>
          <w:trHeight w:val="699"/>
        </w:trPr>
        <w:tc>
          <w:tcPr>
            <w:tcW w:w="767" w:type="dxa"/>
            <w:vAlign w:val="center"/>
            <w:textDirection w:val="lrTb"/>
            <w:noWrap w:val="false"/>
          </w:tcPr>
          <w:p>
            <w:pPr>
              <w:pStyle w:val="706"/>
              <w:jc w:val="cente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10</w:t>
            </w:r>
            <w:r>
              <w:rPr>
                <w:rFonts w:ascii="宋体" w:hAnsi="宋体" w:eastAsia="宋体"/>
                <w:sz w:val="24"/>
                <w:szCs w:val="24"/>
                <w:highlight w:val="none"/>
              </w:rPr>
            </w:r>
            <w:r/>
          </w:p>
        </w:tc>
        <w:tc>
          <w:tcPr>
            <w:tcW w:w="1305" w:type="dxa"/>
            <w:vAlign w:val="center"/>
            <w:textDirection w:val="lrTb"/>
            <w:noWrap w:val="false"/>
          </w:tcPr>
          <w:p>
            <w:pPr>
              <w:pStyle w:val="706"/>
              <w:jc w:val="cente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工程报价方式</w:t>
            </w:r>
            <w:r>
              <w:rPr>
                <w:rFonts w:ascii="宋体" w:hAnsi="宋体" w:eastAsia="宋体"/>
                <w:sz w:val="24"/>
                <w:szCs w:val="24"/>
                <w:highlight w:val="none"/>
              </w:rPr>
            </w:r>
            <w:r/>
          </w:p>
        </w:tc>
        <w:tc>
          <w:tcPr>
            <w:tcW w:w="6083" w:type="dxa"/>
            <w:vAlign w:val="center"/>
            <w:textDirection w:val="lrTb"/>
            <w:noWrap w:val="false"/>
          </w:tcPr>
          <w:p>
            <w:pPr>
              <w:pStyle w:val="706"/>
              <w:spacing w:line="360" w:lineRule="auto"/>
              <w:widowControl/>
              <w:tabs>
                <w:tab w:val="left" w:pos="1200" w:leader="none"/>
              </w:tabs>
              <w:rPr>
                <w:rFonts w:ascii="宋体" w:hAnsi="宋体" w:eastAsia="宋体"/>
                <w:sz w:val="24"/>
                <w:szCs w:val="24"/>
                <w:highlight w:val="none"/>
              </w:rPr>
            </w:pPr>
            <w:r>
              <w:rPr>
                <w:rFonts w:hint="eastAsia" w:ascii="宋体" w:hAnsi="宋体" w:eastAsia="宋体"/>
                <w:sz w:val="24"/>
                <w:szCs w:val="24"/>
                <w:highlight w:val="none"/>
              </w:rPr>
              <w:t xml:space="preserve">固定综合单价</w:t>
            </w:r>
            <w:r>
              <w:rPr>
                <w:rFonts w:ascii="宋体" w:hAnsi="宋体" w:eastAsia="宋体"/>
                <w:sz w:val="24"/>
                <w:szCs w:val="24"/>
                <w:highlight w:val="none"/>
              </w:rPr>
            </w:r>
            <w:r/>
          </w:p>
        </w:tc>
      </w:tr>
      <w:tr>
        <w:trPr>
          <w:trHeight w:val="664"/>
        </w:trPr>
        <w:tc>
          <w:tcPr>
            <w:tcW w:w="767" w:type="dxa"/>
            <w:vAlign w:val="center"/>
            <w:textDirection w:val="lrTb"/>
            <w:noWrap w:val="false"/>
          </w:tcPr>
          <w:p>
            <w:pPr>
              <w:pStyle w:val="706"/>
              <w:jc w:val="cente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11</w:t>
            </w:r>
            <w:r>
              <w:rPr>
                <w:rFonts w:ascii="宋体" w:hAnsi="宋体" w:eastAsia="宋体"/>
                <w:sz w:val="24"/>
                <w:szCs w:val="24"/>
                <w:highlight w:val="none"/>
              </w:rPr>
            </w:r>
            <w:r/>
          </w:p>
        </w:tc>
        <w:tc>
          <w:tcPr>
            <w:tcW w:w="1305" w:type="dxa"/>
            <w:vAlign w:val="center"/>
            <w:textDirection w:val="lrTb"/>
            <w:noWrap w:val="false"/>
          </w:tcPr>
          <w:p>
            <w:pPr>
              <w:pStyle w:val="706"/>
              <w:jc w:val="center"/>
              <w:spacing w:line="360" w:lineRule="auto"/>
              <w:rPr>
                <w:rFonts w:eastAsia="宋体"/>
                <w:sz w:val="24"/>
                <w:szCs w:val="24"/>
                <w:highlight w:val="none"/>
              </w:rPr>
            </w:pPr>
            <w:r>
              <w:rPr>
                <w:rFonts w:hint="eastAsia" w:eastAsia="宋体"/>
                <w:sz w:val="24"/>
                <w:szCs w:val="24"/>
                <w:highlight w:val="none"/>
              </w:rPr>
              <w:t xml:space="preserve">磋商保证金</w:t>
            </w:r>
            <w:r>
              <w:rPr>
                <w:rFonts w:eastAsia="宋体"/>
                <w:sz w:val="24"/>
                <w:szCs w:val="24"/>
                <w:highlight w:val="none"/>
              </w:rPr>
            </w:r>
            <w:r/>
          </w:p>
        </w:tc>
        <w:tc>
          <w:tcPr>
            <w:tcW w:w="6083" w:type="dxa"/>
            <w:vAlign w:val="center"/>
            <w:textDirection w:val="lrTb"/>
            <w:noWrap w:val="false"/>
          </w:tcPr>
          <w:p>
            <w:pPr>
              <w:pStyle w:val="706"/>
              <w:spacing w:line="360" w:lineRule="auto"/>
              <w:rPr>
                <w:rFonts w:ascii="宋体" w:hAnsi="宋体" w:eastAsia="宋体"/>
                <w:sz w:val="24"/>
                <w:szCs w:val="24"/>
                <w:highlight w:val="none"/>
              </w:rPr>
            </w:pPr>
            <w:r>
              <w:rPr>
                <w:rFonts w:hint="eastAsia" w:eastAsia="宋体"/>
                <w:sz w:val="24"/>
                <w:szCs w:val="24"/>
                <w:highlight w:val="none"/>
              </w:rPr>
              <w:t xml:space="preserve">本项目不收取磋商保证金，采购文件中有关磋商保证金的条款不适用。</w:t>
            </w:r>
            <w:r>
              <w:rPr>
                <w:rFonts w:ascii="宋体" w:hAnsi="宋体" w:eastAsia="宋体"/>
                <w:sz w:val="24"/>
                <w:szCs w:val="24"/>
                <w:highlight w:val="none"/>
              </w:rPr>
            </w:r>
            <w:r/>
          </w:p>
        </w:tc>
      </w:tr>
      <w:tr>
        <w:trPr>
          <w:trHeight w:val="983"/>
        </w:trPr>
        <w:tc>
          <w:tcPr>
            <w:tcW w:w="767" w:type="dxa"/>
            <w:vAlign w:val="center"/>
            <w:textDirection w:val="lrTb"/>
            <w:noWrap w:val="false"/>
          </w:tcPr>
          <w:p>
            <w:pPr>
              <w:pStyle w:val="706"/>
              <w:jc w:val="cente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12</w:t>
            </w:r>
            <w:r>
              <w:rPr>
                <w:rFonts w:ascii="宋体" w:hAnsi="宋体" w:eastAsia="宋体"/>
                <w:sz w:val="24"/>
                <w:szCs w:val="24"/>
                <w:highlight w:val="none"/>
              </w:rPr>
            </w:r>
            <w:r/>
          </w:p>
        </w:tc>
        <w:tc>
          <w:tcPr>
            <w:tcW w:w="1305" w:type="dxa"/>
            <w:vAlign w:val="center"/>
            <w:textDirection w:val="lrTb"/>
            <w:noWrap w:val="false"/>
          </w:tcPr>
          <w:p>
            <w:pPr>
              <w:pStyle w:val="706"/>
              <w:jc w:val="cente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预算价</w:t>
            </w:r>
            <w:r>
              <w:rPr>
                <w:rFonts w:ascii="宋体" w:hAnsi="宋体" w:eastAsia="宋体"/>
                <w:sz w:val="24"/>
                <w:szCs w:val="24"/>
                <w:highlight w:val="none"/>
              </w:rPr>
            </w:r>
            <w:r/>
          </w:p>
        </w:tc>
        <w:tc>
          <w:tcPr>
            <w:tcW w:w="6083" w:type="dxa"/>
            <w:vAlign w:val="center"/>
            <w:textDirection w:val="lrTb"/>
            <w:noWrap w:val="false"/>
          </w:tcPr>
          <w:p>
            <w:pPr>
              <w:pStyle w:val="706"/>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预算价：</w:t>
            </w:r>
            <w:r>
              <w:rPr>
                <w:rFonts w:hint="eastAsia" w:ascii="宋体" w:hAnsi="宋体" w:eastAsia="宋体"/>
                <w:sz w:val="24"/>
                <w:szCs w:val="24"/>
                <w:highlight w:val="none"/>
                <w:lang w:eastAsia="zh-CN"/>
              </w:rPr>
              <w:t xml:space="preserve">3772436</w:t>
            </w:r>
            <w:r>
              <w:rPr>
                <w:rFonts w:hint="eastAsia" w:ascii="宋体" w:hAnsi="宋体" w:eastAsia="宋体"/>
                <w:sz w:val="24"/>
                <w:szCs w:val="24"/>
                <w:highlight w:val="none"/>
                <w:lang w:val="en-US" w:eastAsia="zh-CN"/>
              </w:rPr>
              <w:t xml:space="preserve">.</w:t>
            </w:r>
            <w:r>
              <w:rPr>
                <w:rFonts w:hint="eastAsia" w:ascii="宋体" w:hAnsi="宋体" w:eastAsia="宋体"/>
                <w:sz w:val="24"/>
                <w:szCs w:val="24"/>
                <w:highlight w:val="none"/>
                <w:lang w:eastAsia="zh-CN"/>
              </w:rPr>
              <w:t xml:space="preserve">95</w:t>
            </w:r>
            <w:r>
              <w:rPr>
                <w:rFonts w:hint="eastAsia" w:ascii="宋体" w:hAnsi="宋体" w:eastAsia="宋体"/>
                <w:sz w:val="24"/>
                <w:szCs w:val="24"/>
                <w:highlight w:val="none"/>
              </w:rPr>
              <w:t xml:space="preserve">元</w:t>
            </w:r>
            <w:r>
              <w:rPr>
                <w:rFonts w:hint="eastAsia" w:ascii="宋体" w:hAnsi="宋体" w:eastAsia="宋体"/>
                <w:sz w:val="24"/>
                <w:szCs w:val="24"/>
                <w:highlight w:val="none"/>
              </w:rPr>
            </w:r>
            <w:r/>
          </w:p>
          <w:p>
            <w:pPr>
              <w:pStyle w:val="706"/>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注：报价超过预算价或最高限价的按无效报价处理。</w:t>
            </w:r>
            <w:r>
              <w:rPr>
                <w:rFonts w:ascii="宋体" w:hAnsi="宋体" w:eastAsia="宋体"/>
                <w:sz w:val="24"/>
                <w:szCs w:val="24"/>
                <w:highlight w:val="none"/>
              </w:rPr>
            </w:r>
            <w:r/>
          </w:p>
        </w:tc>
      </w:tr>
      <w:tr>
        <w:trPr>
          <w:trHeight w:val="850"/>
        </w:trPr>
        <w:tc>
          <w:tcPr>
            <w:tcW w:w="767" w:type="dxa"/>
            <w:vAlign w:val="center"/>
            <w:textDirection w:val="lrTb"/>
            <w:noWrap w:val="false"/>
          </w:tcPr>
          <w:p>
            <w:pPr>
              <w:pStyle w:val="706"/>
              <w:jc w:val="cente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13</w:t>
            </w:r>
            <w:r>
              <w:rPr>
                <w:rFonts w:ascii="宋体" w:hAnsi="宋体" w:eastAsia="宋体"/>
                <w:sz w:val="24"/>
                <w:szCs w:val="24"/>
                <w:highlight w:val="none"/>
              </w:rPr>
            </w:r>
            <w:r/>
          </w:p>
        </w:tc>
        <w:tc>
          <w:tcPr>
            <w:tcW w:w="1305" w:type="dxa"/>
            <w:vAlign w:val="center"/>
            <w:textDirection w:val="lrTb"/>
            <w:noWrap w:val="false"/>
          </w:tcPr>
          <w:p>
            <w:pPr>
              <w:pStyle w:val="706"/>
              <w:jc w:val="cente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响应文件份数</w:t>
            </w:r>
            <w:r>
              <w:rPr>
                <w:rFonts w:ascii="宋体" w:hAnsi="宋体" w:eastAsia="宋体"/>
                <w:sz w:val="24"/>
                <w:szCs w:val="24"/>
                <w:highlight w:val="none"/>
              </w:rPr>
            </w:r>
            <w:r/>
          </w:p>
        </w:tc>
        <w:tc>
          <w:tcPr>
            <w:tcW w:w="6083" w:type="dxa"/>
            <w:vAlign w:val="center"/>
            <w:textDirection w:val="lrTb"/>
            <w:noWrap w:val="false"/>
          </w:tcPr>
          <w:p>
            <w:pPr>
              <w:pStyle w:val="706"/>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成交后，成交供应商提供四份纸质响应文件至代理机构，响应文件中须包含综合分析表。</w:t>
            </w:r>
            <w:r>
              <w:rPr>
                <w:rFonts w:ascii="宋体" w:hAnsi="宋体" w:eastAsia="宋体"/>
                <w:sz w:val="24"/>
                <w:szCs w:val="24"/>
                <w:highlight w:val="none"/>
              </w:rPr>
            </w:r>
            <w:r/>
          </w:p>
        </w:tc>
      </w:tr>
      <w:tr>
        <w:trPr>
          <w:trHeight w:val="90"/>
        </w:trPr>
        <w:tc>
          <w:tcPr>
            <w:tcW w:w="767" w:type="dxa"/>
            <w:vAlign w:val="center"/>
            <w:textDirection w:val="lrTb"/>
            <w:noWrap w:val="false"/>
          </w:tcPr>
          <w:p>
            <w:pPr>
              <w:pStyle w:val="706"/>
              <w:jc w:val="cente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14</w:t>
            </w:r>
            <w:r>
              <w:rPr>
                <w:rFonts w:ascii="宋体" w:hAnsi="宋体" w:eastAsia="宋体"/>
                <w:sz w:val="24"/>
                <w:szCs w:val="24"/>
                <w:highlight w:val="none"/>
              </w:rPr>
            </w:r>
            <w:r/>
          </w:p>
        </w:tc>
        <w:tc>
          <w:tcPr>
            <w:tcW w:w="1305" w:type="dxa"/>
            <w:vAlign w:val="center"/>
            <w:textDirection w:val="lrTb"/>
            <w:noWrap w:val="false"/>
          </w:tcPr>
          <w:p>
            <w:pPr>
              <w:pStyle w:val="706"/>
              <w:jc w:val="cente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响应文件有效期</w:t>
            </w:r>
            <w:r>
              <w:rPr>
                <w:rFonts w:ascii="宋体" w:hAnsi="宋体" w:eastAsia="宋体"/>
                <w:sz w:val="24"/>
                <w:szCs w:val="24"/>
                <w:highlight w:val="none"/>
              </w:rPr>
            </w:r>
            <w:r/>
          </w:p>
        </w:tc>
        <w:tc>
          <w:tcPr>
            <w:tcW w:w="6083" w:type="dxa"/>
            <w:vAlign w:val="center"/>
            <w:textDirection w:val="lrTb"/>
            <w:noWrap w:val="false"/>
          </w:tcPr>
          <w:p>
            <w:pPr>
              <w:pStyle w:val="706"/>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90天（从提交响应文件截止时间当日起算）</w:t>
            </w:r>
            <w:r>
              <w:rPr>
                <w:rFonts w:ascii="宋体" w:hAnsi="宋体" w:eastAsia="宋体"/>
                <w:sz w:val="24"/>
                <w:szCs w:val="24"/>
                <w:highlight w:val="none"/>
              </w:rPr>
            </w:r>
            <w:r/>
          </w:p>
        </w:tc>
      </w:tr>
      <w:tr>
        <w:trPr>
          <w:trHeight w:val="956"/>
        </w:trPr>
        <w:tc>
          <w:tcPr>
            <w:tcW w:w="767" w:type="dxa"/>
            <w:vAlign w:val="center"/>
            <w:textDirection w:val="lrTb"/>
            <w:noWrap w:val="false"/>
          </w:tcPr>
          <w:p>
            <w:pPr>
              <w:pStyle w:val="706"/>
              <w:jc w:val="cente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15</w:t>
            </w:r>
            <w:r>
              <w:rPr>
                <w:rFonts w:ascii="宋体" w:hAnsi="宋体" w:eastAsia="宋体"/>
                <w:sz w:val="24"/>
                <w:szCs w:val="24"/>
                <w:highlight w:val="none"/>
              </w:rPr>
            </w:r>
            <w:r/>
          </w:p>
        </w:tc>
        <w:tc>
          <w:tcPr>
            <w:tcW w:w="1305" w:type="dxa"/>
            <w:vAlign w:val="center"/>
            <w:textDirection w:val="lrTb"/>
            <w:noWrap w:val="false"/>
          </w:tcPr>
          <w:p>
            <w:pPr>
              <w:pStyle w:val="706"/>
              <w:jc w:val="cente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磋商响应文件提交</w:t>
            </w:r>
            <w:r>
              <w:rPr>
                <w:rFonts w:ascii="宋体" w:hAnsi="宋体" w:eastAsia="宋体"/>
                <w:sz w:val="24"/>
                <w:szCs w:val="24"/>
                <w:highlight w:val="none"/>
              </w:rPr>
            </w:r>
            <w:r/>
          </w:p>
        </w:tc>
        <w:tc>
          <w:tcPr>
            <w:tcW w:w="6083" w:type="dxa"/>
            <w:vAlign w:val="center"/>
            <w:textDirection w:val="lrTb"/>
            <w:noWrap w:val="false"/>
          </w:tcPr>
          <w:p>
            <w:pPr>
              <w:pStyle w:val="706"/>
              <w:spacing w:line="276" w:lineRule="auto"/>
              <w:widowControl/>
              <w:rPr>
                <w:rFonts w:hint="eastAsia" w:ascii="宋体" w:hAnsi="宋体" w:eastAsia="宋体"/>
                <w:sz w:val="24"/>
                <w:szCs w:val="24"/>
                <w:highlight w:val="none"/>
              </w:rPr>
            </w:pPr>
            <w:r>
              <w:rPr>
                <w:rFonts w:hint="eastAsia" w:ascii="宋体" w:hAnsi="宋体" w:eastAsia="宋体"/>
                <w:sz w:val="24"/>
                <w:szCs w:val="24"/>
                <w:highlight w:val="none"/>
              </w:rPr>
              <w:t xml:space="preserve">上传截止时间：</w:t>
            </w:r>
            <w:r>
              <w:rPr>
                <w:rFonts w:hint="eastAsia" w:ascii="宋体" w:hAnsi="宋体" w:eastAsia="宋体"/>
                <w:sz w:val="24"/>
                <w:szCs w:val="24"/>
                <w:highlight w:val="none"/>
                <w:lang w:eastAsia="zh-CN"/>
              </w:rPr>
              <w:t xml:space="preserve">2026年04月21日</w:t>
            </w:r>
            <w:r>
              <w:rPr>
                <w:rFonts w:hint="eastAsia" w:ascii="宋体" w:hAnsi="宋体" w:eastAsia="宋体"/>
                <w:sz w:val="24"/>
                <w:szCs w:val="24"/>
                <w:highlight w:val="none"/>
                <w:lang w:val="en-US" w:eastAsia="zh-CN"/>
              </w:rPr>
              <w:t xml:space="preserve">09</w:t>
            </w:r>
            <w:r>
              <w:rPr>
                <w:rFonts w:hint="eastAsia" w:ascii="宋体" w:hAnsi="宋体" w:eastAsia="宋体"/>
                <w:sz w:val="24"/>
                <w:szCs w:val="24"/>
                <w:highlight w:val="none"/>
              </w:rPr>
              <w:t xml:space="preserve">:</w:t>
            </w:r>
            <w:r>
              <w:rPr>
                <w:rFonts w:hint="eastAsia" w:ascii="宋体" w:hAnsi="宋体" w:eastAsia="宋体"/>
                <w:sz w:val="24"/>
                <w:szCs w:val="24"/>
                <w:highlight w:val="none"/>
                <w:lang w:val="en-US" w:eastAsia="zh-CN"/>
              </w:rPr>
              <w:t xml:space="preserve">3</w:t>
            </w:r>
            <w:r>
              <w:rPr>
                <w:rFonts w:hint="eastAsia" w:ascii="宋体" w:hAnsi="宋体" w:eastAsia="宋体"/>
                <w:sz w:val="24"/>
                <w:szCs w:val="24"/>
                <w:highlight w:val="none"/>
              </w:rPr>
              <w:t xml:space="preserve">0（北京时间）</w:t>
            </w:r>
            <w:r>
              <w:rPr>
                <w:rFonts w:hint="eastAsia" w:ascii="宋体" w:hAnsi="宋体" w:eastAsia="宋体"/>
                <w:sz w:val="24"/>
                <w:szCs w:val="24"/>
                <w:highlight w:val="none"/>
              </w:rPr>
            </w:r>
            <w:r/>
          </w:p>
          <w:p>
            <w:pPr>
              <w:pStyle w:val="706"/>
              <w:spacing w:line="276" w:lineRule="auto"/>
              <w:widowControl/>
              <w:rPr>
                <w:rFonts w:hint="eastAsia" w:ascii="宋体" w:hAnsi="宋体" w:eastAsia="宋体"/>
                <w:sz w:val="24"/>
                <w:szCs w:val="24"/>
                <w:highlight w:val="none"/>
              </w:rPr>
            </w:pPr>
            <w:r>
              <w:rPr>
                <w:rFonts w:hint="eastAsia" w:ascii="宋体" w:hAnsi="宋体" w:eastAsia="宋体"/>
                <w:sz w:val="24"/>
                <w:szCs w:val="24"/>
                <w:highlight w:val="none"/>
              </w:rPr>
              <w:t xml:space="preserve">地点：</w:t>
            </w:r>
            <w:r>
              <w:rPr>
                <w:rFonts w:hint="eastAsia" w:ascii="宋体" w:hAnsi="宋体" w:eastAsia="宋体"/>
                <w:bCs/>
                <w:sz w:val="24"/>
                <w:szCs w:val="24"/>
                <w:highlight w:val="none"/>
              </w:rPr>
              <w:t xml:space="preserve">苏采云政府采购一体化平台</w:t>
            </w:r>
            <w:r>
              <w:rPr>
                <w:rFonts w:hint="eastAsia" w:ascii="宋体" w:hAnsi="宋体" w:eastAsia="宋体"/>
                <w:sz w:val="24"/>
                <w:szCs w:val="24"/>
                <w:highlight w:val="none"/>
              </w:rPr>
            </w:r>
            <w:r/>
          </w:p>
          <w:p>
            <w:pPr>
              <w:pStyle w:val="706"/>
              <w:spacing w:line="276" w:lineRule="auto"/>
              <w:widowControl/>
              <w:rPr>
                <w:rFonts w:hint="eastAsia" w:ascii="宋体" w:hAnsi="宋体" w:eastAsia="宋体"/>
                <w:sz w:val="24"/>
                <w:szCs w:val="24"/>
                <w:highlight w:val="none"/>
              </w:rPr>
            </w:pPr>
            <w:r>
              <w:rPr>
                <w:rFonts w:hint="eastAsia" w:ascii="宋体" w:hAnsi="宋体" w:eastAsia="宋体"/>
                <w:sz w:val="24"/>
                <w:szCs w:val="24"/>
                <w:highlight w:val="none"/>
                <w:lang w:val="zh-CN"/>
              </w:rPr>
              <w:t xml:space="preserve">本项目为不见面开标项目，开标阶段供应商在【供应商解密】环节必须使用 CA证书解密电子投标文件，如在系统规定的解密时间内未能完成解密的视为放弃投标（响应）。</w:t>
            </w:r>
            <w:r>
              <w:rPr>
                <w:rFonts w:hint="eastAsia" w:ascii="宋体" w:hAnsi="宋体" w:eastAsia="宋体"/>
                <w:sz w:val="24"/>
                <w:szCs w:val="24"/>
                <w:highlight w:val="none"/>
              </w:rPr>
            </w:r>
            <w:r/>
          </w:p>
        </w:tc>
      </w:tr>
      <w:tr>
        <w:trPr>
          <w:trHeight w:val="956"/>
        </w:trPr>
        <w:tc>
          <w:tcPr>
            <w:tcW w:w="767" w:type="dxa"/>
            <w:vAlign w:val="center"/>
            <w:textDirection w:val="lrTb"/>
            <w:noWrap w:val="false"/>
          </w:tcPr>
          <w:p>
            <w:pPr>
              <w:pStyle w:val="706"/>
              <w:jc w:val="cente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16</w:t>
            </w:r>
            <w:r>
              <w:rPr>
                <w:rFonts w:ascii="宋体" w:hAnsi="宋体" w:eastAsia="宋体"/>
                <w:sz w:val="24"/>
                <w:szCs w:val="24"/>
                <w:highlight w:val="none"/>
              </w:rPr>
            </w:r>
            <w:r/>
          </w:p>
        </w:tc>
        <w:tc>
          <w:tcPr>
            <w:tcW w:w="1305" w:type="dxa"/>
            <w:vAlign w:val="center"/>
            <w:textDirection w:val="lrTb"/>
            <w:noWrap w:val="false"/>
          </w:tcPr>
          <w:p>
            <w:pPr>
              <w:pStyle w:val="706"/>
              <w:jc w:val="cente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磋商时间</w:t>
            </w:r>
            <w:r>
              <w:rPr>
                <w:rFonts w:ascii="宋体" w:hAnsi="宋体" w:eastAsia="宋体"/>
                <w:sz w:val="24"/>
                <w:szCs w:val="24"/>
                <w:highlight w:val="none"/>
              </w:rPr>
            </w:r>
            <w:r/>
          </w:p>
        </w:tc>
        <w:tc>
          <w:tcPr>
            <w:tcW w:w="6083" w:type="dxa"/>
            <w:vAlign w:val="center"/>
            <w:textDirection w:val="lrTb"/>
            <w:noWrap w:val="false"/>
          </w:tcPr>
          <w:p>
            <w:pPr>
              <w:pStyle w:val="706"/>
              <w:spacing w:line="276" w:lineRule="auto"/>
              <w:widowControl/>
              <w:rPr>
                <w:rFonts w:ascii="宋体" w:hAnsi="宋体" w:eastAsia="宋体" w:cs="宋体"/>
                <w:sz w:val="18"/>
                <w:szCs w:val="18"/>
                <w:highlight w:val="none"/>
              </w:rPr>
            </w:pPr>
            <w:r>
              <w:rPr>
                <w:rFonts w:hint="eastAsia" w:ascii="宋体" w:hAnsi="宋体" w:eastAsia="宋体"/>
                <w:sz w:val="24"/>
                <w:szCs w:val="24"/>
                <w:highlight w:val="none"/>
              </w:rPr>
              <w:t xml:space="preserve">响应文件开启时间</w:t>
            </w:r>
            <w:r>
              <w:rPr>
                <w:rFonts w:hint="eastAsia" w:ascii="宋体" w:hAnsi="宋体" w:eastAsia="宋体" w:cs="宋体"/>
                <w:sz w:val="24"/>
                <w:szCs w:val="24"/>
                <w:highlight w:val="none"/>
              </w:rPr>
              <w:t xml:space="preserve">：</w:t>
            </w:r>
            <w:r>
              <w:rPr>
                <w:rFonts w:hint="eastAsia" w:ascii="宋体" w:hAnsi="宋体" w:eastAsia="宋体"/>
                <w:sz w:val="24"/>
                <w:szCs w:val="24"/>
                <w:highlight w:val="none"/>
                <w:lang w:eastAsia="zh-CN"/>
              </w:rPr>
              <w:t xml:space="preserve">2026年04月21日</w:t>
            </w:r>
            <w:r>
              <w:rPr>
                <w:rFonts w:hint="eastAsia" w:ascii="宋体" w:hAnsi="宋体" w:eastAsia="宋体"/>
                <w:sz w:val="24"/>
                <w:szCs w:val="24"/>
                <w:highlight w:val="none"/>
                <w:lang w:val="en-US" w:eastAsia="zh-CN"/>
              </w:rPr>
              <w:t xml:space="preserve">09</w:t>
            </w:r>
            <w:r>
              <w:rPr>
                <w:rFonts w:hint="eastAsia" w:ascii="宋体" w:hAnsi="宋体" w:eastAsia="宋体"/>
                <w:sz w:val="24"/>
                <w:szCs w:val="24"/>
                <w:highlight w:val="none"/>
              </w:rPr>
              <w:t xml:space="preserve">:</w:t>
            </w:r>
            <w:r>
              <w:rPr>
                <w:rFonts w:hint="eastAsia" w:ascii="宋体" w:hAnsi="宋体" w:eastAsia="宋体"/>
                <w:sz w:val="24"/>
                <w:szCs w:val="24"/>
                <w:highlight w:val="none"/>
                <w:lang w:val="en-US" w:eastAsia="zh-CN"/>
              </w:rPr>
              <w:t xml:space="preserve">3</w:t>
            </w:r>
            <w:r>
              <w:rPr>
                <w:rFonts w:hint="eastAsia" w:ascii="宋体" w:hAnsi="宋体" w:eastAsia="宋体"/>
                <w:sz w:val="24"/>
                <w:szCs w:val="24"/>
                <w:highlight w:val="none"/>
              </w:rPr>
              <w:t xml:space="preserve">0</w:t>
            </w:r>
            <w:r>
              <w:rPr>
                <w:rFonts w:hint="eastAsia" w:ascii="宋体" w:hAnsi="宋体" w:eastAsia="宋体" w:cs="宋体"/>
                <w:sz w:val="24"/>
                <w:szCs w:val="24"/>
                <w:highlight w:val="none"/>
              </w:rPr>
              <w:t xml:space="preserve">（北京时间）</w:t>
            </w:r>
            <w:r>
              <w:rPr>
                <w:rFonts w:ascii="宋体" w:hAnsi="宋体" w:eastAsia="宋体" w:cs="宋体"/>
                <w:sz w:val="18"/>
                <w:szCs w:val="18"/>
                <w:highlight w:val="none"/>
              </w:rPr>
            </w:r>
            <w:r/>
          </w:p>
          <w:p>
            <w:pPr>
              <w:pStyle w:val="706"/>
              <w:ind w:left="1"/>
              <w:spacing w:line="360" w:lineRule="auto"/>
              <w:rPr>
                <w:rFonts w:ascii="宋体" w:hAnsi="宋体" w:eastAsia="宋体" w:cs="宋体"/>
                <w:sz w:val="24"/>
                <w:szCs w:val="24"/>
                <w:highlight w:val="none"/>
              </w:rPr>
            </w:pPr>
            <w:r>
              <w:rPr>
                <w:rFonts w:hint="eastAsia" w:ascii="宋体" w:hAnsi="宋体" w:eastAsia="宋体"/>
                <w:sz w:val="24"/>
                <w:szCs w:val="24"/>
                <w:highlight w:val="none"/>
              </w:rPr>
              <w:t xml:space="preserve">磋商地点：苏采云政府采购一体化平台</w:t>
            </w:r>
            <w:r>
              <w:rPr>
                <w:rFonts w:ascii="宋体" w:hAnsi="宋体" w:eastAsia="宋体" w:cs="宋体"/>
                <w:sz w:val="24"/>
                <w:szCs w:val="24"/>
                <w:highlight w:val="none"/>
              </w:rPr>
            </w:r>
            <w:r/>
          </w:p>
        </w:tc>
      </w:tr>
      <w:tr>
        <w:trPr>
          <w:trHeight w:val="1401"/>
        </w:trPr>
        <w:tc>
          <w:tcPr>
            <w:tcW w:w="767" w:type="dxa"/>
            <w:vAlign w:val="center"/>
            <w:textDirection w:val="lrTb"/>
            <w:noWrap w:val="false"/>
          </w:tcPr>
          <w:p>
            <w:pPr>
              <w:pStyle w:val="706"/>
              <w:jc w:val="cente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17</w:t>
            </w:r>
            <w:r>
              <w:rPr>
                <w:rFonts w:ascii="宋体" w:hAnsi="宋体" w:eastAsia="宋体"/>
                <w:sz w:val="24"/>
                <w:szCs w:val="24"/>
                <w:highlight w:val="none"/>
              </w:rPr>
            </w:r>
            <w:r/>
          </w:p>
        </w:tc>
        <w:tc>
          <w:tcPr>
            <w:tcW w:w="1305" w:type="dxa"/>
            <w:vAlign w:val="center"/>
            <w:textDirection w:val="lrTb"/>
            <w:noWrap w:val="false"/>
          </w:tcPr>
          <w:p>
            <w:pPr>
              <w:pStyle w:val="706"/>
              <w:jc w:val="cente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询问和质疑</w:t>
            </w:r>
            <w:r>
              <w:rPr>
                <w:rFonts w:ascii="宋体" w:hAnsi="宋体" w:eastAsia="宋体"/>
                <w:sz w:val="24"/>
                <w:szCs w:val="24"/>
                <w:highlight w:val="none"/>
              </w:rPr>
            </w:r>
            <w:r/>
          </w:p>
        </w:tc>
        <w:tc>
          <w:tcPr>
            <w:tcW w:w="6083" w:type="dxa"/>
            <w:vAlign w:val="center"/>
            <w:textDirection w:val="lrTb"/>
            <w:noWrap w:val="false"/>
          </w:tcPr>
          <w:p>
            <w:pPr>
              <w:pStyle w:val="706"/>
              <w:spacing w:line="360" w:lineRule="auto"/>
              <w:widowControl/>
              <w:tabs>
                <w:tab w:val="left" w:pos="1200" w:leader="none"/>
              </w:tabs>
              <w:rPr>
                <w:rFonts w:hint="eastAsia" w:ascii="宋体" w:hAnsi="宋体" w:eastAsia="宋体"/>
                <w:sz w:val="24"/>
                <w:szCs w:val="24"/>
                <w:highlight w:val="none"/>
              </w:rPr>
            </w:pPr>
            <w:r>
              <w:rPr>
                <w:rFonts w:hint="eastAsia" w:ascii="宋体" w:hAnsi="宋体" w:eastAsia="宋体"/>
                <w:sz w:val="24"/>
                <w:szCs w:val="24"/>
                <w:highlight w:val="none"/>
              </w:rPr>
              <w:t xml:space="preserve">（1）获取磋商文件成功的磋商供应商在下载磋商文件后，对磋商文件有疑问的，可通过邮件（1214506206@qq.com）进行询问。采购代理机构通过邮件予以解答，询问人自行在邮件中查看解答信息。</w:t>
            </w:r>
            <w:r>
              <w:rPr>
                <w:rFonts w:hint="eastAsia" w:ascii="宋体" w:hAnsi="宋体" w:eastAsia="宋体"/>
                <w:sz w:val="24"/>
                <w:szCs w:val="24"/>
                <w:highlight w:val="none"/>
              </w:rPr>
            </w:r>
            <w:r/>
          </w:p>
          <w:p>
            <w:pPr>
              <w:pStyle w:val="706"/>
              <w:spacing w:line="360" w:lineRule="auto"/>
              <w:widowControl/>
              <w:tabs>
                <w:tab w:val="left" w:pos="1200" w:leader="none"/>
              </w:tabs>
              <w:rPr>
                <w:rFonts w:ascii="宋体" w:hAnsi="宋体" w:eastAsia="宋体" w:cs="宋体"/>
                <w:sz w:val="24"/>
                <w:szCs w:val="24"/>
                <w:highlight w:val="none"/>
              </w:rPr>
            </w:pPr>
            <w:r>
              <w:rPr>
                <w:rFonts w:hint="eastAsia" w:ascii="宋体" w:hAnsi="宋体" w:eastAsia="宋体"/>
                <w:sz w:val="24"/>
                <w:szCs w:val="24"/>
                <w:highlight w:val="none"/>
              </w:rPr>
              <w:t xml:space="preserve">（2）</w:t>
            </w:r>
            <w:r>
              <w:rPr>
                <w:rFonts w:hint="eastAsia" w:ascii="宋体" w:hAnsi="宋体" w:eastAsia="宋体"/>
                <w:color w:val="000000"/>
                <w:sz w:val="24"/>
                <w:szCs w:val="24"/>
                <w:highlight w:val="none"/>
                <w:lang w:val="zh-CN"/>
              </w:rPr>
              <w:t xml:space="preserve">供应商认为采购文件、采购过程、成交结果使自己的权益受到损害的，可以在知道或者应知其权益受到损害之日起7个工作日内，以书面形式向采购人提出质疑。供应商须在法定质疑期内一次性提出针对同一采购程序环节的质疑。质疑函须以当面递交等法定途径送达。供应商质疑应符合政府采购质疑和投诉办法(中华人民共和国财政部令第94号)</w:t>
            </w:r>
            <w:r>
              <w:rPr>
                <w:rFonts w:hint="eastAsia" w:ascii="宋体" w:hAnsi="宋体" w:eastAsia="宋体"/>
                <w:sz w:val="24"/>
                <w:szCs w:val="24"/>
                <w:highlight w:val="none"/>
                <w:lang w:val="zh-CN"/>
              </w:rPr>
              <w:t xml:space="preserve">。</w:t>
            </w:r>
            <w:r>
              <w:rPr>
                <w:rFonts w:ascii="宋体" w:hAnsi="宋体" w:eastAsia="宋体" w:cs="宋体"/>
                <w:sz w:val="24"/>
                <w:szCs w:val="24"/>
                <w:highlight w:val="none"/>
              </w:rPr>
            </w:r>
            <w:r/>
          </w:p>
        </w:tc>
      </w:tr>
      <w:tr>
        <w:trPr>
          <w:trHeight w:val="1265"/>
        </w:trPr>
        <w:tc>
          <w:tcPr>
            <w:tcW w:w="767" w:type="dxa"/>
            <w:vAlign w:val="center"/>
            <w:textDirection w:val="lrTb"/>
            <w:noWrap w:val="false"/>
          </w:tcPr>
          <w:p>
            <w:pPr>
              <w:pStyle w:val="706"/>
              <w:jc w:val="cente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18</w:t>
            </w:r>
            <w:r>
              <w:rPr>
                <w:rFonts w:ascii="宋体" w:hAnsi="宋体" w:eastAsia="宋体"/>
                <w:sz w:val="24"/>
                <w:szCs w:val="24"/>
                <w:highlight w:val="none"/>
              </w:rPr>
            </w:r>
            <w:r/>
          </w:p>
        </w:tc>
        <w:tc>
          <w:tcPr>
            <w:tcW w:w="1305" w:type="dxa"/>
            <w:vAlign w:val="center"/>
            <w:textDirection w:val="lrTb"/>
            <w:noWrap w:val="false"/>
          </w:tcPr>
          <w:p>
            <w:pPr>
              <w:pStyle w:val="706"/>
              <w:jc w:val="cente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成交原则</w:t>
            </w:r>
            <w:r>
              <w:rPr>
                <w:rFonts w:ascii="宋体" w:hAnsi="宋体" w:eastAsia="宋体"/>
                <w:sz w:val="24"/>
                <w:szCs w:val="24"/>
                <w:highlight w:val="none"/>
              </w:rPr>
            </w:r>
            <w:r/>
          </w:p>
        </w:tc>
        <w:tc>
          <w:tcPr>
            <w:tcW w:w="6083" w:type="dxa"/>
            <w:vAlign w:val="center"/>
            <w:textDirection w:val="lrTb"/>
            <w:noWrap w:val="false"/>
          </w:tcPr>
          <w:p>
            <w:pPr>
              <w:pStyle w:val="706"/>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经磋商确定最终采购需求和提交最后报价的供应商后，由磋商小组采用综合评分法对提交最后报价的供应商的响应文件和最后报价进行综合评分。</w:t>
            </w:r>
            <w:r>
              <w:rPr>
                <w:rFonts w:ascii="宋体" w:hAnsi="宋体" w:eastAsia="宋体"/>
                <w:sz w:val="24"/>
                <w:szCs w:val="24"/>
                <w:highlight w:val="none"/>
              </w:rPr>
            </w:r>
            <w:r/>
          </w:p>
        </w:tc>
      </w:tr>
      <w:tr>
        <w:trPr>
          <w:trHeight w:val="805"/>
        </w:trPr>
        <w:tc>
          <w:tcPr>
            <w:tcW w:w="767" w:type="dxa"/>
            <w:vAlign w:val="center"/>
            <w:textDirection w:val="lrTb"/>
            <w:noWrap w:val="false"/>
          </w:tcPr>
          <w:p>
            <w:pPr>
              <w:pStyle w:val="706"/>
              <w:jc w:val="cente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19</w:t>
            </w:r>
            <w:r>
              <w:rPr>
                <w:rFonts w:ascii="宋体" w:hAnsi="宋体" w:eastAsia="宋体"/>
                <w:sz w:val="24"/>
                <w:szCs w:val="24"/>
                <w:highlight w:val="none"/>
              </w:rPr>
            </w:r>
            <w:r/>
          </w:p>
        </w:tc>
        <w:tc>
          <w:tcPr>
            <w:tcW w:w="1305" w:type="dxa"/>
            <w:vAlign w:val="center"/>
            <w:textDirection w:val="lrTb"/>
            <w:noWrap w:val="false"/>
          </w:tcPr>
          <w:p>
            <w:pPr>
              <w:pStyle w:val="706"/>
              <w:jc w:val="cente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代理服务费</w:t>
            </w:r>
            <w:r>
              <w:rPr>
                <w:rFonts w:ascii="宋体" w:hAnsi="宋体" w:eastAsia="宋体"/>
                <w:sz w:val="24"/>
                <w:szCs w:val="24"/>
                <w:highlight w:val="none"/>
              </w:rPr>
            </w:r>
            <w:r/>
          </w:p>
        </w:tc>
        <w:tc>
          <w:tcPr>
            <w:tcW w:w="6083" w:type="dxa"/>
            <w:vAlign w:val="center"/>
            <w:textDirection w:val="lrTb"/>
            <w:noWrap w:val="false"/>
          </w:tcPr>
          <w:p>
            <w:pPr>
              <w:pStyle w:val="706"/>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由成交供应商在领取成交通知书时向采购代理机构一次性付清。</w:t>
            </w:r>
            <w:r>
              <w:rPr>
                <w:rFonts w:ascii="宋体" w:hAnsi="宋体" w:eastAsia="宋体"/>
                <w:sz w:val="24"/>
                <w:szCs w:val="24"/>
                <w:highlight w:val="none"/>
              </w:rPr>
            </w:r>
            <w:r/>
          </w:p>
          <w:p>
            <w:pPr>
              <w:pStyle w:val="706"/>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收费标准：预算金额100万以下费率为预算金额的1.5%；预算金额100万元（含）－500万元部分，费率为该部分预算金额的1.1%；</w:t>
            </w:r>
            <w:r>
              <w:rPr>
                <w:rFonts w:ascii="宋体" w:hAnsi="宋体" w:eastAsia="宋体"/>
                <w:sz w:val="24"/>
                <w:szCs w:val="24"/>
                <w:highlight w:val="none"/>
              </w:rPr>
            </w:r>
            <w:r/>
          </w:p>
          <w:p>
            <w:pPr>
              <w:pStyle w:val="706"/>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说明：代理服务费以采购预算金额为基数依据，按以上规定的标准和差额定率累进法进行计算收取。例：如预算金额为150万元，则代理服务费＝100万元以下部分×1.5%＋（150万元－100万元以下部分）×1.1%。</w:t>
            </w:r>
            <w:r>
              <w:rPr>
                <w:rFonts w:ascii="宋体" w:hAnsi="宋体" w:eastAsia="宋体"/>
                <w:sz w:val="24"/>
                <w:szCs w:val="24"/>
                <w:highlight w:val="none"/>
              </w:rPr>
            </w:r>
            <w:r/>
          </w:p>
          <w:p>
            <w:pPr>
              <w:pStyle w:val="706"/>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服务费账号：</w:t>
            </w:r>
            <w:r>
              <w:rPr>
                <w:rFonts w:ascii="宋体" w:hAnsi="宋体" w:eastAsia="宋体"/>
                <w:sz w:val="24"/>
                <w:szCs w:val="24"/>
                <w:highlight w:val="none"/>
              </w:rPr>
            </w:r>
            <w:r/>
          </w:p>
          <w:p>
            <w:pPr>
              <w:pStyle w:val="706"/>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账户名：江苏京苏项目管理咨询有限公司</w:t>
            </w:r>
            <w:r>
              <w:rPr>
                <w:rFonts w:ascii="宋体" w:hAnsi="宋体" w:eastAsia="宋体"/>
                <w:sz w:val="24"/>
                <w:szCs w:val="24"/>
                <w:highlight w:val="none"/>
              </w:rPr>
            </w:r>
            <w:r/>
          </w:p>
          <w:p>
            <w:pPr>
              <w:pStyle w:val="706"/>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账号：512903731610602</w:t>
            </w:r>
            <w:r>
              <w:rPr>
                <w:rFonts w:ascii="宋体" w:hAnsi="宋体" w:eastAsia="宋体"/>
                <w:sz w:val="24"/>
                <w:szCs w:val="24"/>
                <w:highlight w:val="none"/>
              </w:rPr>
            </w:r>
            <w:r/>
          </w:p>
          <w:p>
            <w:pPr>
              <w:pStyle w:val="706"/>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开户银行：招商银行苏州分行中新支行</w:t>
            </w:r>
            <w:r>
              <w:rPr>
                <w:rFonts w:ascii="宋体" w:hAnsi="宋体" w:eastAsia="宋体"/>
                <w:sz w:val="24"/>
                <w:szCs w:val="24"/>
                <w:highlight w:val="none"/>
              </w:rPr>
            </w:r>
            <w:r/>
          </w:p>
          <w:p>
            <w:pPr>
              <w:pStyle w:val="706"/>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代理费金额：</w:t>
            </w:r>
            <w:r>
              <w:rPr>
                <w:rFonts w:hint="eastAsia" w:ascii="宋体" w:hAnsi="宋体" w:eastAsia="宋体"/>
                <w:sz w:val="24"/>
                <w:szCs w:val="24"/>
                <w:highlight w:val="none"/>
                <w:lang w:val="en-US" w:eastAsia="zh-CN"/>
              </w:rPr>
              <w:t xml:space="preserve">45497</w:t>
            </w:r>
            <w:r>
              <w:rPr>
                <w:rFonts w:hint="eastAsia" w:ascii="宋体" w:hAnsi="宋体" w:eastAsia="宋体"/>
                <w:sz w:val="24"/>
                <w:szCs w:val="24"/>
                <w:highlight w:val="none"/>
              </w:rPr>
              <w:t xml:space="preserve">元</w:t>
            </w:r>
            <w:r>
              <w:rPr>
                <w:rFonts w:ascii="宋体" w:hAnsi="宋体" w:eastAsia="宋体"/>
                <w:sz w:val="24"/>
                <w:szCs w:val="24"/>
                <w:highlight w:val="none"/>
              </w:rPr>
            </w:r>
            <w:r/>
          </w:p>
        </w:tc>
      </w:tr>
      <w:tr>
        <w:trPr>
          <w:trHeight w:val="580"/>
        </w:trPr>
        <w:tc>
          <w:tcPr>
            <w:tcW w:w="767" w:type="dxa"/>
            <w:vAlign w:val="center"/>
            <w:textDirection w:val="lrTb"/>
            <w:noWrap w:val="false"/>
          </w:tcPr>
          <w:p>
            <w:pPr>
              <w:pStyle w:val="706"/>
              <w:jc w:val="center"/>
              <w:spacing w:line="360" w:lineRule="auto"/>
              <w:rPr>
                <w:rFonts w:ascii="宋体" w:hAnsi="宋体" w:eastAsia="宋体"/>
                <w:sz w:val="24"/>
                <w:szCs w:val="24"/>
                <w:highlight w:val="none"/>
              </w:rPr>
            </w:pPr>
            <w:r/>
            <w:bookmarkStart w:id="4" w:name="_Toc473017219"/>
            <w:r>
              <w:rPr>
                <w:rFonts w:hint="eastAsia" w:ascii="宋体" w:hAnsi="宋体" w:eastAsia="宋体"/>
                <w:sz w:val="24"/>
                <w:szCs w:val="24"/>
                <w:highlight w:val="none"/>
              </w:rPr>
              <w:t xml:space="preserve">20</w:t>
            </w:r>
            <w:r>
              <w:rPr>
                <w:rFonts w:ascii="宋体" w:hAnsi="宋体" w:eastAsia="宋体"/>
                <w:sz w:val="24"/>
                <w:szCs w:val="24"/>
                <w:highlight w:val="none"/>
              </w:rPr>
            </w:r>
            <w:r/>
          </w:p>
        </w:tc>
        <w:tc>
          <w:tcPr>
            <w:tcW w:w="1305" w:type="dxa"/>
            <w:vAlign w:val="center"/>
            <w:textDirection w:val="lrTb"/>
            <w:noWrap w:val="false"/>
          </w:tcPr>
          <w:p>
            <w:pPr>
              <w:pStyle w:val="706"/>
              <w:jc w:val="cente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签订合同</w:t>
            </w:r>
            <w:r>
              <w:rPr>
                <w:rFonts w:ascii="宋体" w:hAnsi="宋体" w:eastAsia="宋体"/>
                <w:sz w:val="24"/>
                <w:szCs w:val="24"/>
                <w:highlight w:val="none"/>
              </w:rPr>
            </w:r>
            <w:r/>
          </w:p>
        </w:tc>
        <w:tc>
          <w:tcPr>
            <w:tcW w:w="6083" w:type="dxa"/>
            <w:vAlign w:val="center"/>
            <w:textDirection w:val="lrTb"/>
            <w:noWrap w:val="false"/>
          </w:tcPr>
          <w:p>
            <w:pPr>
              <w:pStyle w:val="706"/>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成交通知书发出之日起15日内</w:t>
            </w:r>
            <w:r>
              <w:rPr>
                <w:rFonts w:ascii="宋体" w:hAnsi="宋体" w:eastAsia="宋体"/>
                <w:sz w:val="24"/>
                <w:szCs w:val="24"/>
                <w:highlight w:val="none"/>
              </w:rPr>
            </w:r>
            <w:r/>
          </w:p>
        </w:tc>
      </w:tr>
      <w:tr>
        <w:trPr>
          <w:trHeight w:val="773"/>
        </w:trPr>
        <w:tc>
          <w:tcPr>
            <w:tcW w:w="767" w:type="dxa"/>
            <w:vAlign w:val="center"/>
            <w:textDirection w:val="lrTb"/>
            <w:noWrap w:val="false"/>
          </w:tcPr>
          <w:p>
            <w:pPr>
              <w:pStyle w:val="706"/>
              <w:jc w:val="cente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21</w:t>
            </w:r>
            <w:r>
              <w:rPr>
                <w:rFonts w:ascii="宋体" w:hAnsi="宋体" w:eastAsia="宋体"/>
                <w:sz w:val="24"/>
                <w:szCs w:val="24"/>
                <w:highlight w:val="none"/>
              </w:rPr>
            </w:r>
            <w:r/>
          </w:p>
        </w:tc>
        <w:tc>
          <w:tcPr>
            <w:tcW w:w="1305" w:type="dxa"/>
            <w:vAlign w:val="center"/>
            <w:textDirection w:val="lrTb"/>
            <w:noWrap w:val="false"/>
          </w:tcPr>
          <w:p>
            <w:pPr>
              <w:pStyle w:val="706"/>
              <w:jc w:val="cente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履约保证金</w:t>
            </w:r>
            <w:r>
              <w:rPr>
                <w:rFonts w:ascii="宋体" w:hAnsi="宋体" w:eastAsia="宋体"/>
                <w:sz w:val="24"/>
                <w:szCs w:val="24"/>
                <w:highlight w:val="none"/>
              </w:rPr>
            </w:r>
            <w:r/>
          </w:p>
        </w:tc>
        <w:tc>
          <w:tcPr>
            <w:tcW w:w="6083" w:type="dxa"/>
            <w:vAlign w:val="center"/>
            <w:textDirection w:val="lrTb"/>
            <w:noWrap w:val="false"/>
          </w:tcPr>
          <w:p>
            <w:pPr>
              <w:pStyle w:val="706"/>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不提交，采购文件中有关履约保证金的规定均不适用。</w:t>
            </w:r>
            <w:r>
              <w:rPr>
                <w:rFonts w:ascii="宋体" w:hAnsi="宋体" w:eastAsia="宋体"/>
                <w:sz w:val="24"/>
                <w:szCs w:val="24"/>
                <w:highlight w:val="none"/>
              </w:rPr>
            </w:r>
            <w:r/>
          </w:p>
        </w:tc>
      </w:tr>
      <w:tr>
        <w:trPr>
          <w:trHeight w:val="975"/>
        </w:trPr>
        <w:tc>
          <w:tcPr>
            <w:tcW w:w="767" w:type="dxa"/>
            <w:vAlign w:val="center"/>
            <w:textDirection w:val="lrTb"/>
            <w:noWrap w:val="false"/>
          </w:tcPr>
          <w:p>
            <w:pPr>
              <w:pStyle w:val="706"/>
              <w:jc w:val="cente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22</w:t>
            </w:r>
            <w:r>
              <w:rPr>
                <w:rFonts w:ascii="宋体" w:hAnsi="宋体" w:eastAsia="宋体"/>
                <w:sz w:val="24"/>
                <w:szCs w:val="24"/>
                <w:highlight w:val="none"/>
              </w:rPr>
            </w:r>
            <w:r/>
          </w:p>
        </w:tc>
        <w:tc>
          <w:tcPr>
            <w:tcW w:w="1305" w:type="dxa"/>
            <w:vAlign w:val="center"/>
            <w:textDirection w:val="lrTb"/>
            <w:noWrap w:val="false"/>
          </w:tcPr>
          <w:p>
            <w:pPr>
              <w:pStyle w:val="706"/>
              <w:jc w:val="center"/>
              <w:spacing w:line="360" w:lineRule="auto"/>
              <w:rPr>
                <w:rFonts w:ascii="宋体" w:hAnsi="宋体" w:eastAsia="宋体"/>
                <w:b/>
                <w:bCs/>
                <w:sz w:val="24"/>
                <w:szCs w:val="24"/>
                <w:highlight w:val="none"/>
              </w:rPr>
            </w:pPr>
            <w:r>
              <w:rPr>
                <w:rFonts w:hint="eastAsia" w:ascii="宋体" w:hAnsi="宋体" w:eastAsia="宋体"/>
                <w:b/>
                <w:bCs/>
                <w:sz w:val="24"/>
                <w:szCs w:val="24"/>
                <w:highlight w:val="none"/>
              </w:rPr>
              <w:t xml:space="preserve">特别提醒</w:t>
            </w:r>
            <w:r>
              <w:rPr>
                <w:rFonts w:ascii="宋体" w:hAnsi="宋体" w:eastAsia="宋体"/>
                <w:b/>
                <w:bCs/>
                <w:sz w:val="24"/>
                <w:szCs w:val="24"/>
                <w:highlight w:val="none"/>
              </w:rPr>
            </w:r>
            <w:r/>
          </w:p>
        </w:tc>
        <w:tc>
          <w:tcPr>
            <w:tcW w:w="6083" w:type="dxa"/>
            <w:vAlign w:val="center"/>
            <w:textDirection w:val="lrTb"/>
            <w:noWrap w:val="false"/>
          </w:tcPr>
          <w:p>
            <w:pPr>
              <w:pStyle w:val="706"/>
              <w:jc w:val="left"/>
              <w:spacing w:line="360" w:lineRule="auto"/>
              <w:rPr>
                <w:rFonts w:ascii="宋体" w:hAnsi="宋体" w:eastAsia="宋体"/>
                <w:b/>
                <w:bCs/>
                <w:sz w:val="24"/>
                <w:szCs w:val="24"/>
                <w:highlight w:val="none"/>
              </w:rPr>
            </w:pPr>
            <w:r>
              <w:rPr>
                <w:rFonts w:hint="eastAsia" w:ascii="宋体" w:hAnsi="宋体" w:eastAsia="宋体"/>
                <w:b/>
                <w:bCs/>
                <w:sz w:val="24"/>
                <w:szCs w:val="24"/>
                <w:highlight w:val="none"/>
              </w:rPr>
              <w:t xml:space="preserve">1、本项目支持网上不见面开标，供应商不需到现场参加磋商会。</w:t>
            </w:r>
            <w:r>
              <w:rPr>
                <w:rFonts w:ascii="宋体" w:hAnsi="宋体" w:eastAsia="宋体"/>
                <w:b/>
                <w:bCs/>
                <w:sz w:val="24"/>
                <w:szCs w:val="24"/>
                <w:highlight w:val="none"/>
              </w:rPr>
            </w:r>
            <w:r/>
          </w:p>
          <w:p>
            <w:pPr>
              <w:pStyle w:val="706"/>
              <w:jc w:val="left"/>
              <w:spacing w:line="360" w:lineRule="auto"/>
              <w:rPr>
                <w:rFonts w:hint="eastAsia" w:ascii="宋体" w:hAnsi="宋体" w:eastAsia="宋体"/>
                <w:b/>
                <w:bCs/>
                <w:sz w:val="24"/>
                <w:szCs w:val="24"/>
                <w:highlight w:val="none"/>
              </w:rPr>
            </w:pPr>
            <w:r>
              <w:rPr>
                <w:rFonts w:hint="eastAsia" w:ascii="宋体" w:hAnsi="宋体" w:eastAsia="宋体"/>
                <w:b/>
                <w:bCs/>
                <w:sz w:val="24"/>
                <w:szCs w:val="24"/>
                <w:highlight w:val="none"/>
              </w:rPr>
              <w:t xml:space="preserve">2、本项目采用线上二次报价(及时关注系统，以防错过二次报价)，供应商应登录采购系统并在规定时间内进行线上二次报价。此处规定时间的计算以采购系统中的倒计时间为准。因供应商自身原因导致线上二次报价失败的后果由供应商自行承担。</w:t>
            </w:r>
            <w:r>
              <w:rPr>
                <w:rFonts w:hint="eastAsia" w:ascii="宋体" w:hAnsi="宋体" w:eastAsia="宋体"/>
                <w:b/>
                <w:bCs/>
                <w:sz w:val="24"/>
                <w:szCs w:val="24"/>
                <w:highlight w:val="none"/>
              </w:rPr>
            </w:r>
            <w:r/>
          </w:p>
          <w:p>
            <w:pPr>
              <w:pStyle w:val="706"/>
              <w:jc w:val="left"/>
              <w:spacing w:line="360" w:lineRule="auto"/>
              <w:rPr>
                <w:rFonts w:hint="eastAsia" w:ascii="宋体" w:hAnsi="宋体" w:eastAsia="宋体"/>
                <w:b/>
                <w:bCs/>
                <w:color w:val="000000"/>
                <w:sz w:val="24"/>
                <w:szCs w:val="24"/>
                <w:highlight w:val="none"/>
              </w:rPr>
            </w:pPr>
            <w:r>
              <w:rPr>
                <w:rFonts w:hint="eastAsia" w:ascii="宋体" w:hAnsi="宋体" w:eastAsia="宋体"/>
                <w:b/>
                <w:bCs/>
                <w:sz w:val="24"/>
                <w:szCs w:val="24"/>
                <w:highlight w:val="none"/>
              </w:rPr>
              <w:t xml:space="preserve">3、</w:t>
            </w:r>
            <w:r>
              <w:rPr>
                <w:rFonts w:hint="eastAsia" w:ascii="宋体" w:hAnsi="宋体" w:eastAsia="宋体"/>
                <w:b/>
                <w:bCs/>
                <w:color w:val="000000"/>
                <w:sz w:val="24"/>
                <w:szCs w:val="24"/>
                <w:highlight w:val="none"/>
              </w:rPr>
              <w:t xml:space="preserve">请供应商确保电脑、系统及其他设备（视频输入输出设备等）无误，且开标直至项目结束始终保持系统在线状态。</w:t>
            </w:r>
            <w:r>
              <w:rPr>
                <w:rFonts w:hint="eastAsia" w:ascii="宋体" w:hAnsi="宋体" w:eastAsia="宋体"/>
                <w:b/>
                <w:bCs/>
                <w:color w:val="000000"/>
                <w:sz w:val="24"/>
                <w:szCs w:val="24"/>
                <w:highlight w:val="none"/>
              </w:rPr>
            </w:r>
            <w:r/>
          </w:p>
          <w:p>
            <w:pPr>
              <w:pStyle w:val="807"/>
              <w:ind w:left="0" w:firstLine="0"/>
              <w:rPr>
                <w:rFonts w:hint="eastAsia"/>
                <w:highlight w:val="none"/>
              </w:rPr>
            </w:pPr>
            <w:r>
              <w:rPr>
                <w:rFonts w:hint="eastAsia" w:hAnsi="宋体"/>
                <w:b/>
                <w:bCs/>
                <w:color w:val="000000"/>
                <w:sz w:val="24"/>
                <w:szCs w:val="24"/>
                <w:highlight w:val="none"/>
              </w:rPr>
              <w:t xml:space="preserve">4、供应商如需图纸，请联系采购代理机构(如有）。</w:t>
            </w:r>
            <w:r>
              <w:rPr>
                <w:rFonts w:hint="eastAsia"/>
                <w:highlight w:val="none"/>
              </w:rPr>
            </w:r>
            <w:r/>
          </w:p>
        </w:tc>
      </w:tr>
    </w:tbl>
    <w:p>
      <w:pPr>
        <w:pStyle w:val="706"/>
        <w:spacing w:line="360" w:lineRule="auto"/>
        <w:rPr>
          <w:rFonts w:ascii="黑体" w:hAnsi="黑体" w:eastAsia="黑体"/>
          <w:b/>
          <w:szCs w:val="44"/>
          <w:highlight w:val="none"/>
        </w:rPr>
      </w:pPr>
      <w:r>
        <w:rPr>
          <w:rFonts w:ascii="黑体" w:hAnsi="黑体" w:eastAsia="黑体"/>
          <w:b/>
          <w:szCs w:val="44"/>
          <w:highlight w:val="none"/>
        </w:rPr>
      </w:r>
      <w:r/>
    </w:p>
    <w:p>
      <w:pPr>
        <w:pStyle w:val="706"/>
        <w:spacing w:line="360" w:lineRule="auto"/>
        <w:rPr>
          <w:rFonts w:ascii="黑体" w:hAnsi="黑体" w:eastAsia="黑体"/>
          <w:b/>
          <w:szCs w:val="44"/>
          <w:highlight w:val="none"/>
        </w:rPr>
      </w:pPr>
      <w:r>
        <w:rPr>
          <w:rFonts w:ascii="黑体" w:hAnsi="黑体" w:eastAsia="黑体"/>
          <w:b/>
          <w:szCs w:val="44"/>
          <w:highlight w:val="none"/>
        </w:rPr>
      </w:r>
      <w:r/>
    </w:p>
    <w:p>
      <w:pPr>
        <w:pStyle w:val="706"/>
        <w:spacing w:line="360" w:lineRule="auto"/>
        <w:rPr>
          <w:rFonts w:ascii="黑体" w:hAnsi="黑体" w:eastAsia="黑体"/>
          <w:b/>
          <w:szCs w:val="44"/>
          <w:highlight w:val="none"/>
        </w:rPr>
      </w:pPr>
      <w:r>
        <w:rPr>
          <w:rFonts w:ascii="黑体" w:hAnsi="黑体" w:eastAsia="黑体"/>
          <w:b/>
          <w:szCs w:val="44"/>
          <w:highlight w:val="none"/>
        </w:rPr>
      </w:r>
      <w:r/>
    </w:p>
    <w:p>
      <w:pPr>
        <w:pStyle w:val="706"/>
        <w:spacing w:line="360" w:lineRule="auto"/>
        <w:rPr>
          <w:rFonts w:ascii="黑体" w:hAnsi="黑体" w:eastAsia="黑体"/>
          <w:b/>
          <w:szCs w:val="44"/>
          <w:highlight w:val="none"/>
        </w:rPr>
      </w:pPr>
      <w:r>
        <w:rPr>
          <w:rFonts w:ascii="黑体" w:hAnsi="黑体" w:eastAsia="黑体"/>
          <w:b/>
          <w:szCs w:val="44"/>
          <w:highlight w:val="none"/>
        </w:rPr>
      </w:r>
      <w:r/>
    </w:p>
    <w:p>
      <w:pPr>
        <w:pStyle w:val="706"/>
        <w:spacing w:line="360" w:lineRule="auto"/>
        <w:rPr>
          <w:rFonts w:ascii="黑体" w:hAnsi="黑体" w:eastAsia="黑体"/>
          <w:b/>
          <w:szCs w:val="44"/>
          <w:highlight w:val="none"/>
        </w:rPr>
      </w:pPr>
      <w:r>
        <w:rPr>
          <w:rFonts w:ascii="黑体" w:hAnsi="黑体" w:eastAsia="黑体"/>
          <w:b/>
          <w:szCs w:val="44"/>
          <w:highlight w:val="none"/>
        </w:rPr>
      </w:r>
      <w:r/>
    </w:p>
    <w:p>
      <w:pPr>
        <w:pStyle w:val="706"/>
        <w:spacing w:line="360" w:lineRule="auto"/>
        <w:rPr>
          <w:rFonts w:ascii="黑体" w:hAnsi="黑体" w:eastAsia="黑体"/>
          <w:b/>
          <w:szCs w:val="44"/>
          <w:highlight w:val="none"/>
        </w:rPr>
      </w:pPr>
      <w:r>
        <w:rPr>
          <w:rFonts w:ascii="黑体" w:hAnsi="黑体" w:eastAsia="黑体"/>
          <w:b/>
          <w:szCs w:val="44"/>
          <w:highlight w:val="none"/>
        </w:rPr>
      </w:r>
      <w:r/>
    </w:p>
    <w:p>
      <w:pPr>
        <w:pStyle w:val="706"/>
        <w:spacing w:line="360" w:lineRule="auto"/>
        <w:rPr>
          <w:rFonts w:ascii="黑体" w:hAnsi="黑体" w:eastAsia="黑体"/>
          <w:b/>
          <w:szCs w:val="44"/>
          <w:highlight w:val="none"/>
        </w:rPr>
      </w:pPr>
      <w:r>
        <w:rPr>
          <w:rFonts w:ascii="黑体" w:hAnsi="黑体" w:eastAsia="黑体"/>
          <w:b/>
          <w:szCs w:val="44"/>
          <w:highlight w:val="none"/>
        </w:rPr>
      </w:r>
      <w:r/>
    </w:p>
    <w:p>
      <w:pPr>
        <w:pStyle w:val="706"/>
        <w:spacing w:line="360" w:lineRule="auto"/>
        <w:rPr>
          <w:rFonts w:ascii="黑体" w:hAnsi="黑体" w:eastAsia="黑体"/>
          <w:b/>
          <w:szCs w:val="44"/>
          <w:highlight w:val="none"/>
        </w:rPr>
      </w:pPr>
      <w:r>
        <w:rPr>
          <w:rFonts w:ascii="黑体" w:hAnsi="黑体" w:eastAsia="黑体"/>
          <w:b/>
          <w:szCs w:val="44"/>
          <w:highlight w:val="none"/>
        </w:rPr>
      </w:r>
      <w:r/>
    </w:p>
    <w:p>
      <w:pPr>
        <w:pStyle w:val="706"/>
        <w:spacing w:line="360" w:lineRule="auto"/>
        <w:rPr>
          <w:rFonts w:ascii="黑体" w:hAnsi="黑体" w:eastAsia="黑体"/>
          <w:b/>
          <w:szCs w:val="44"/>
          <w:highlight w:val="none"/>
        </w:rPr>
      </w:pPr>
      <w:r>
        <w:rPr>
          <w:rFonts w:ascii="黑体" w:hAnsi="黑体" w:eastAsia="黑体"/>
          <w:b/>
          <w:szCs w:val="44"/>
          <w:highlight w:val="none"/>
        </w:rPr>
      </w:r>
      <w:r/>
    </w:p>
    <w:p>
      <w:pPr>
        <w:pStyle w:val="706"/>
        <w:spacing w:line="360" w:lineRule="auto"/>
        <w:rPr>
          <w:rFonts w:ascii="黑体" w:hAnsi="黑体" w:eastAsia="黑体"/>
          <w:b/>
          <w:szCs w:val="44"/>
          <w:highlight w:val="none"/>
        </w:rPr>
      </w:pPr>
      <w:r>
        <w:rPr>
          <w:rFonts w:ascii="黑体" w:hAnsi="黑体" w:eastAsia="黑体"/>
          <w:b/>
          <w:szCs w:val="44"/>
          <w:highlight w:val="none"/>
        </w:rPr>
      </w:r>
      <w:r/>
    </w:p>
    <w:p>
      <w:pPr>
        <w:pStyle w:val="706"/>
        <w:spacing w:line="360" w:lineRule="auto"/>
        <w:rPr>
          <w:rFonts w:ascii="黑体" w:hAnsi="黑体" w:eastAsia="黑体"/>
          <w:b/>
          <w:szCs w:val="44"/>
          <w:highlight w:val="none"/>
        </w:rPr>
      </w:pPr>
      <w:r>
        <w:rPr>
          <w:rFonts w:ascii="黑体" w:hAnsi="黑体" w:eastAsia="黑体"/>
          <w:b/>
          <w:szCs w:val="44"/>
          <w:highlight w:val="none"/>
        </w:rPr>
      </w:r>
      <w:r/>
    </w:p>
    <w:p>
      <w:pPr>
        <w:pStyle w:val="706"/>
        <w:spacing w:line="360" w:lineRule="auto"/>
        <w:rPr>
          <w:rFonts w:ascii="黑体" w:hAnsi="黑体" w:eastAsia="黑体"/>
          <w:b/>
          <w:szCs w:val="44"/>
          <w:highlight w:val="none"/>
        </w:rPr>
      </w:pPr>
      <w:r>
        <w:rPr>
          <w:rFonts w:ascii="黑体" w:hAnsi="黑体" w:eastAsia="黑体"/>
          <w:b/>
          <w:szCs w:val="44"/>
          <w:highlight w:val="none"/>
        </w:rPr>
      </w:r>
      <w:r/>
    </w:p>
    <w:p>
      <w:pPr>
        <w:pStyle w:val="706"/>
        <w:spacing w:line="360" w:lineRule="auto"/>
        <w:rPr>
          <w:rFonts w:ascii="黑体" w:hAnsi="黑体" w:eastAsia="黑体"/>
          <w:b/>
          <w:szCs w:val="44"/>
          <w:highlight w:val="none"/>
        </w:rPr>
      </w:pPr>
      <w:r>
        <w:rPr>
          <w:rFonts w:ascii="黑体" w:hAnsi="黑体" w:eastAsia="黑体"/>
          <w:b/>
          <w:szCs w:val="44"/>
          <w:highlight w:val="none"/>
        </w:rPr>
      </w:r>
      <w:r/>
    </w:p>
    <w:p>
      <w:pPr>
        <w:pStyle w:val="706"/>
        <w:spacing w:line="360" w:lineRule="auto"/>
        <w:rPr>
          <w:rFonts w:ascii="黑体" w:hAnsi="黑体" w:eastAsia="黑体"/>
          <w:b/>
          <w:szCs w:val="44"/>
          <w:highlight w:val="none"/>
        </w:rPr>
      </w:pPr>
      <w:r>
        <w:rPr>
          <w:rFonts w:ascii="黑体" w:hAnsi="黑体" w:eastAsia="黑体"/>
          <w:b/>
          <w:szCs w:val="44"/>
          <w:highlight w:val="none"/>
        </w:rPr>
      </w:r>
      <w:r/>
    </w:p>
    <w:p>
      <w:pPr>
        <w:pStyle w:val="744"/>
        <w:rPr>
          <w:rFonts w:ascii="黑体" w:hAnsi="黑体" w:eastAsia="黑体"/>
          <w:b/>
          <w:szCs w:val="44"/>
          <w:highlight w:val="none"/>
        </w:rPr>
      </w:pPr>
      <w:r>
        <w:rPr>
          <w:rFonts w:ascii="黑体" w:hAnsi="黑体" w:eastAsia="黑体"/>
          <w:b/>
          <w:szCs w:val="44"/>
          <w:highlight w:val="none"/>
        </w:rPr>
      </w:r>
      <w:r/>
    </w:p>
    <w:p>
      <w:pPr>
        <w:pStyle w:val="746"/>
        <w:rPr>
          <w:highlight w:val="none"/>
        </w:rPr>
      </w:pPr>
      <w:r>
        <w:rPr>
          <w:highlight w:val="none"/>
        </w:rPr>
      </w:r>
      <w:r/>
    </w:p>
    <w:p>
      <w:pPr>
        <w:pStyle w:val="746"/>
        <w:rPr>
          <w:rFonts w:ascii="黑体" w:hAnsi="黑体" w:eastAsia="黑体"/>
          <w:b/>
          <w:szCs w:val="44"/>
          <w:highlight w:val="none"/>
        </w:rPr>
      </w:pPr>
      <w:r>
        <w:rPr>
          <w:rFonts w:ascii="黑体" w:hAnsi="黑体" w:eastAsia="黑体"/>
          <w:b/>
          <w:szCs w:val="44"/>
          <w:highlight w:val="none"/>
        </w:rPr>
      </w:r>
      <w:r/>
    </w:p>
    <w:p>
      <w:pPr>
        <w:pStyle w:val="706"/>
        <w:rPr>
          <w:rFonts w:ascii="黑体" w:hAnsi="黑体" w:eastAsia="黑体"/>
          <w:b/>
          <w:szCs w:val="44"/>
          <w:highlight w:val="none"/>
        </w:rPr>
      </w:pPr>
      <w:r>
        <w:rPr>
          <w:rFonts w:ascii="黑体" w:hAnsi="黑体" w:eastAsia="黑体"/>
          <w:b/>
          <w:szCs w:val="44"/>
          <w:highlight w:val="none"/>
        </w:rPr>
      </w:r>
      <w:r/>
    </w:p>
    <w:p>
      <w:pPr>
        <w:pStyle w:val="744"/>
        <w:rPr>
          <w:rFonts w:ascii="黑体" w:hAnsi="黑体" w:eastAsia="黑体"/>
          <w:b/>
          <w:szCs w:val="44"/>
          <w:highlight w:val="none"/>
        </w:rPr>
      </w:pPr>
      <w:r>
        <w:rPr>
          <w:rFonts w:ascii="黑体" w:hAnsi="黑体" w:eastAsia="黑体"/>
          <w:b/>
          <w:szCs w:val="44"/>
          <w:highlight w:val="none"/>
        </w:rPr>
      </w:r>
      <w:r/>
    </w:p>
    <w:p>
      <w:pPr>
        <w:pStyle w:val="746"/>
        <w:rPr>
          <w:rFonts w:ascii="黑体" w:hAnsi="黑体" w:eastAsia="黑体"/>
          <w:b/>
          <w:szCs w:val="44"/>
          <w:highlight w:val="none"/>
        </w:rPr>
      </w:pPr>
      <w:r>
        <w:rPr>
          <w:rFonts w:ascii="黑体" w:hAnsi="黑体" w:eastAsia="黑体"/>
          <w:b/>
          <w:szCs w:val="44"/>
          <w:highlight w:val="none"/>
        </w:rPr>
      </w:r>
      <w:r/>
    </w:p>
    <w:p>
      <w:pPr>
        <w:pStyle w:val="707"/>
        <w:jc w:val="center"/>
        <w:spacing w:before="120" w:after="0" w:line="360" w:lineRule="auto"/>
        <w:rPr>
          <w:rFonts w:ascii="黑体" w:hAnsi="黑体" w:eastAsia="黑体"/>
          <w:b w:val="0"/>
          <w:szCs w:val="44"/>
          <w:highlight w:val="none"/>
        </w:rPr>
      </w:pPr>
      <w:r/>
      <w:bookmarkStart w:id="5" w:name="_Toc13695"/>
      <w:r/>
      <w:bookmarkStart w:id="6" w:name="_Toc14214"/>
      <w:r>
        <w:rPr>
          <w:rFonts w:hint="eastAsia" w:ascii="黑体" w:hAnsi="黑体" w:eastAsia="黑体"/>
          <w:b w:val="0"/>
          <w:szCs w:val="44"/>
          <w:highlight w:val="none"/>
        </w:rPr>
        <w:t xml:space="preserve">第一章 磋商邀请函</w:t>
      </w:r>
      <w:bookmarkEnd w:id="4"/>
      <w:r/>
      <w:bookmarkEnd w:id="5"/>
      <w:r/>
      <w:bookmarkEnd w:id="6"/>
      <w:r>
        <w:rPr>
          <w:rFonts w:ascii="黑体" w:hAnsi="黑体" w:eastAsia="黑体"/>
          <w:b w:val="0"/>
          <w:szCs w:val="44"/>
          <w:highlight w:val="none"/>
        </w:rPr>
      </w:r>
      <w:r/>
    </w:p>
    <w:p>
      <w:pPr>
        <w:pStyle w:val="706"/>
        <w:ind w:firstLine="480"/>
        <w:spacing w:line="360" w:lineRule="auto"/>
        <w:rPr>
          <w:rFonts w:ascii="宋体" w:hAnsi="宋体" w:eastAsia="宋体"/>
          <w:bCs/>
          <w:sz w:val="24"/>
          <w:szCs w:val="24"/>
          <w:highlight w:val="none"/>
        </w:rPr>
      </w:pPr>
      <w:r/>
      <w:bookmarkStart w:id="7" w:name="_Toc28359089"/>
      <w:r/>
      <w:bookmarkStart w:id="8" w:name="_Toc28359012"/>
      <w:r/>
      <w:bookmarkStart w:id="9" w:name="_Toc35393629"/>
      <w:r/>
      <w:bookmarkStart w:id="10" w:name="_Toc35393798"/>
      <w:r>
        <w:rPr>
          <w:rFonts w:hint="eastAsia" w:ascii="宋体" w:hAnsi="宋体" w:eastAsia="宋体"/>
          <w:bCs/>
          <w:sz w:val="24"/>
          <w:szCs w:val="24"/>
          <w:highlight w:val="none"/>
        </w:rPr>
        <w:t xml:space="preserve">项目概况</w:t>
      </w:r>
      <w:r>
        <w:rPr>
          <w:rFonts w:ascii="宋体" w:hAnsi="宋体" w:eastAsia="宋体"/>
          <w:bCs/>
          <w:sz w:val="24"/>
          <w:szCs w:val="24"/>
          <w:highlight w:val="none"/>
        </w:rPr>
      </w:r>
      <w:r/>
    </w:p>
    <w:p>
      <w:pPr>
        <w:pStyle w:val="706"/>
        <w:ind w:firstLine="480"/>
        <w:spacing w:line="360" w:lineRule="auto"/>
        <w:rPr>
          <w:rFonts w:ascii="宋体" w:hAnsi="宋体" w:eastAsia="宋体"/>
          <w:bCs/>
          <w:sz w:val="24"/>
          <w:szCs w:val="24"/>
          <w:highlight w:val="none"/>
        </w:rPr>
      </w:pPr>
      <w:r>
        <w:rPr>
          <w:rFonts w:hint="eastAsia" w:ascii="宋体" w:hAnsi="宋体" w:eastAsia="宋体"/>
          <w:bCs/>
          <w:sz w:val="24"/>
          <w:szCs w:val="24"/>
          <w:highlight w:val="none"/>
          <w:lang w:eastAsia="zh-CN"/>
        </w:rPr>
        <w:t xml:space="preserve">2026年市政养护及零星工程（北桥）</w:t>
      </w:r>
      <w:r>
        <w:rPr>
          <w:rFonts w:hint="eastAsia" w:ascii="宋体" w:hAnsi="宋体" w:eastAsia="宋体"/>
          <w:bCs/>
          <w:sz w:val="24"/>
          <w:szCs w:val="24"/>
          <w:highlight w:val="none"/>
        </w:rPr>
        <w:t xml:space="preserve">采购项目的潜在供应商应在“苏采云政府采购一体化平台”自行免费下载磋</w:t>
      </w:r>
      <w:r>
        <w:rPr>
          <w:rFonts w:hint="eastAsia" w:ascii="宋体" w:hAnsi="宋体" w:eastAsia="宋体" w:cs="宋体"/>
          <w:sz w:val="24"/>
          <w:szCs w:val="24"/>
          <w:highlight w:val="none"/>
        </w:rPr>
        <w:t xml:space="preserve">商文件</w:t>
      </w:r>
      <w:r>
        <w:rPr>
          <w:rFonts w:hint="eastAsia" w:ascii="宋体" w:hAnsi="宋体" w:eastAsia="宋体"/>
          <w:bCs/>
          <w:sz w:val="24"/>
          <w:szCs w:val="24"/>
          <w:highlight w:val="none"/>
        </w:rPr>
        <w:t xml:space="preserve">，并于</w:t>
      </w:r>
      <w:r>
        <w:rPr>
          <w:rFonts w:hint="eastAsia" w:ascii="宋体" w:hAnsi="宋体" w:eastAsia="宋体"/>
          <w:sz w:val="24"/>
          <w:szCs w:val="24"/>
          <w:highlight w:val="none"/>
          <w:lang w:eastAsia="zh-CN"/>
        </w:rPr>
        <w:t xml:space="preserve">2026年04月21日</w:t>
      </w:r>
      <w:r>
        <w:rPr>
          <w:rFonts w:hint="eastAsia" w:ascii="宋体" w:hAnsi="宋体" w:eastAsia="宋体"/>
          <w:sz w:val="24"/>
          <w:szCs w:val="24"/>
          <w:highlight w:val="none"/>
          <w:lang w:val="en-US" w:eastAsia="zh-CN"/>
        </w:rPr>
        <w:t xml:space="preserve">09</w:t>
      </w:r>
      <w:r>
        <w:rPr>
          <w:rFonts w:hint="eastAsia" w:ascii="宋体" w:hAnsi="宋体" w:eastAsia="宋体"/>
          <w:sz w:val="24"/>
          <w:szCs w:val="24"/>
          <w:highlight w:val="none"/>
        </w:rPr>
        <w:t xml:space="preserve">:</w:t>
      </w:r>
      <w:r>
        <w:rPr>
          <w:rFonts w:hint="eastAsia" w:ascii="宋体" w:hAnsi="宋体" w:eastAsia="宋体"/>
          <w:sz w:val="24"/>
          <w:szCs w:val="24"/>
          <w:highlight w:val="none"/>
          <w:lang w:val="en-US" w:eastAsia="zh-CN"/>
        </w:rPr>
        <w:t xml:space="preserve">3</w:t>
      </w:r>
      <w:r>
        <w:rPr>
          <w:rFonts w:hint="eastAsia" w:ascii="宋体" w:hAnsi="宋体" w:eastAsia="宋体"/>
          <w:sz w:val="24"/>
          <w:szCs w:val="24"/>
          <w:highlight w:val="none"/>
        </w:rPr>
        <w:t xml:space="preserve">0</w:t>
      </w:r>
      <w:r>
        <w:rPr>
          <w:rFonts w:hint="eastAsia" w:ascii="宋体" w:hAnsi="宋体" w:eastAsia="宋体"/>
          <w:bCs/>
          <w:sz w:val="24"/>
          <w:szCs w:val="24"/>
          <w:highlight w:val="none"/>
        </w:rPr>
        <w:t xml:space="preserve">（北京时间）前提交响应文件。</w:t>
      </w:r>
      <w:r>
        <w:rPr>
          <w:rFonts w:ascii="宋体" w:hAnsi="宋体" w:eastAsia="宋体"/>
          <w:bCs/>
          <w:sz w:val="24"/>
          <w:szCs w:val="24"/>
          <w:highlight w:val="none"/>
        </w:rPr>
      </w:r>
      <w:r/>
    </w:p>
    <w:p>
      <w:pPr>
        <w:pStyle w:val="706"/>
        <w:ind w:firstLine="482"/>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一、项目基本情况</w:t>
      </w:r>
      <w:bookmarkEnd w:id="7"/>
      <w:r/>
      <w:bookmarkEnd w:id="8"/>
      <w:r/>
      <w:bookmarkEnd w:id="9"/>
      <w:r/>
      <w:bookmarkEnd w:id="10"/>
      <w:r>
        <w:rPr>
          <w:rFonts w:hint="eastAsia" w:ascii="宋体" w:hAnsi="宋体" w:eastAsia="宋体"/>
          <w:b/>
          <w:sz w:val="24"/>
          <w:szCs w:val="24"/>
          <w:highlight w:val="none"/>
        </w:rPr>
        <w:t xml:space="preserve">：</w:t>
      </w:r>
      <w:r>
        <w:rPr>
          <w:rFonts w:ascii="宋体" w:hAnsi="宋体" w:eastAsia="宋体"/>
          <w:b/>
          <w:sz w:val="24"/>
          <w:szCs w:val="24"/>
          <w:highlight w:val="none"/>
        </w:rPr>
      </w:r>
      <w:r/>
    </w:p>
    <w:p>
      <w:pPr>
        <w:pStyle w:val="706"/>
        <w:ind w:firstLine="480"/>
        <w:spacing w:line="360" w:lineRule="auto"/>
        <w:rPr>
          <w:rFonts w:ascii="宋体" w:hAnsi="宋体" w:eastAsia="宋体"/>
          <w:sz w:val="24"/>
          <w:szCs w:val="24"/>
          <w:highlight w:val="none"/>
        </w:rPr>
      </w:pPr>
      <w:r>
        <w:rPr>
          <w:rFonts w:hint="eastAsia" w:ascii="宋体" w:hAnsi="宋体" w:eastAsia="宋体"/>
          <w:sz w:val="24"/>
          <w:szCs w:val="24"/>
          <w:highlight w:val="none"/>
          <w:lang w:val="en-US" w:eastAsia="zh-CN"/>
        </w:rPr>
        <w:t xml:space="preserve"> </w:t>
      </w:r>
      <w:r>
        <w:rPr>
          <w:rFonts w:hint="eastAsia" w:ascii="宋体" w:hAnsi="宋体" w:eastAsia="宋体"/>
          <w:sz w:val="24"/>
          <w:szCs w:val="24"/>
          <w:highlight w:val="none"/>
        </w:rPr>
        <w:t xml:space="preserve">项目编号：</w:t>
      </w:r>
      <w:r>
        <w:rPr>
          <w:rFonts w:hint="eastAsia" w:ascii="宋体" w:hAnsi="宋体" w:eastAsia="宋体"/>
          <w:sz w:val="24"/>
          <w:szCs w:val="24"/>
          <w:highlight w:val="none"/>
          <w:lang w:eastAsia="zh-CN"/>
        </w:rPr>
        <w:t xml:space="preserve">JSZC-320507-PMJS-C2026-0011</w:t>
      </w:r>
      <w:r>
        <w:rPr>
          <w:rFonts w:hint="eastAsia" w:ascii="宋体" w:hAnsi="宋体" w:eastAsia="宋体"/>
          <w:sz w:val="24"/>
          <w:szCs w:val="24"/>
          <w:highlight w:val="none"/>
        </w:rPr>
        <w:t xml:space="preserve">号</w:t>
      </w:r>
      <w:r>
        <w:rPr>
          <w:rFonts w:ascii="宋体" w:hAnsi="宋体" w:eastAsia="宋体"/>
          <w:sz w:val="24"/>
          <w:szCs w:val="24"/>
          <w:highlight w:val="none"/>
        </w:rPr>
      </w:r>
      <w:r/>
    </w:p>
    <w:p>
      <w:pPr>
        <w:pStyle w:val="706"/>
        <w:ind w:firstLine="480"/>
        <w:spacing w:line="360" w:lineRule="auto"/>
        <w:rPr>
          <w:rFonts w:ascii="宋体" w:hAnsi="宋体" w:eastAsia="宋体"/>
          <w:sz w:val="24"/>
          <w:szCs w:val="24"/>
          <w:highlight w:val="none"/>
          <w:u w:val="single"/>
        </w:rPr>
      </w:pPr>
      <w:r>
        <w:rPr>
          <w:rFonts w:hint="eastAsia" w:ascii="宋体" w:hAnsi="宋体" w:eastAsia="宋体"/>
          <w:sz w:val="24"/>
          <w:szCs w:val="24"/>
          <w:highlight w:val="none"/>
          <w:lang w:val="en-US" w:eastAsia="zh-CN"/>
        </w:rPr>
        <w:t xml:space="preserve"> </w:t>
      </w:r>
      <w:r>
        <w:rPr>
          <w:rFonts w:hint="eastAsia" w:ascii="宋体" w:hAnsi="宋体" w:eastAsia="宋体"/>
          <w:sz w:val="24"/>
          <w:szCs w:val="24"/>
          <w:highlight w:val="none"/>
        </w:rPr>
        <w:t xml:space="preserve">项目名称：</w:t>
      </w:r>
      <w:r>
        <w:rPr>
          <w:rFonts w:hint="eastAsia" w:ascii="宋体" w:hAnsi="宋体" w:eastAsia="宋体"/>
          <w:sz w:val="24"/>
          <w:szCs w:val="24"/>
          <w:highlight w:val="none"/>
          <w:lang w:eastAsia="zh-CN"/>
        </w:rPr>
        <w:t xml:space="preserve">2026年市政养护及零星工程（北桥）</w:t>
      </w:r>
      <w:r>
        <w:rPr>
          <w:rFonts w:ascii="宋体" w:hAnsi="宋体" w:eastAsia="宋体"/>
          <w:sz w:val="24"/>
          <w:szCs w:val="24"/>
          <w:highlight w:val="none"/>
          <w:u w:val="single"/>
        </w:rPr>
      </w:r>
      <w:r/>
    </w:p>
    <w:p>
      <w:pPr>
        <w:pStyle w:val="706"/>
        <w:ind w:firstLine="480"/>
        <w:spacing w:line="360" w:lineRule="auto"/>
        <w:rPr>
          <w:rFonts w:ascii="宋体" w:hAnsi="宋体" w:eastAsia="宋体"/>
          <w:sz w:val="24"/>
          <w:szCs w:val="24"/>
          <w:highlight w:val="none"/>
        </w:rPr>
      </w:pPr>
      <w:r>
        <w:rPr>
          <w:rFonts w:hint="eastAsia" w:ascii="宋体" w:hAnsi="宋体" w:eastAsia="宋体"/>
          <w:sz w:val="24"/>
          <w:szCs w:val="24"/>
          <w:highlight w:val="none"/>
          <w:lang w:val="en-US" w:eastAsia="zh-CN"/>
        </w:rPr>
        <w:t xml:space="preserve"> </w:t>
      </w:r>
      <w:r>
        <w:rPr>
          <w:rFonts w:hint="eastAsia" w:ascii="宋体" w:hAnsi="宋体" w:eastAsia="宋体"/>
          <w:sz w:val="24"/>
          <w:szCs w:val="24"/>
          <w:highlight w:val="none"/>
        </w:rPr>
        <w:t xml:space="preserve">采购方式：竞争性磋商</w:t>
      </w:r>
      <w:r>
        <w:rPr>
          <w:rFonts w:ascii="宋体" w:hAnsi="宋体" w:eastAsia="宋体"/>
          <w:sz w:val="24"/>
          <w:szCs w:val="24"/>
          <w:highlight w:val="none"/>
        </w:rPr>
      </w:r>
      <w:r/>
    </w:p>
    <w:p>
      <w:pPr>
        <w:pStyle w:val="706"/>
        <w:ind w:firstLine="480"/>
        <w:spacing w:line="360" w:lineRule="auto"/>
        <w:rPr>
          <w:rFonts w:hint="eastAsia" w:ascii="宋体" w:hAnsi="宋体" w:eastAsia="宋体" w:cs="Times New Roman"/>
          <w:sz w:val="24"/>
          <w:szCs w:val="24"/>
          <w:highlight w:val="none"/>
        </w:rPr>
      </w:pPr>
      <w:r>
        <w:rPr>
          <w:rFonts w:hint="eastAsia" w:ascii="宋体" w:hAnsi="宋体" w:eastAsia="宋体"/>
          <w:sz w:val="24"/>
          <w:szCs w:val="24"/>
          <w:highlight w:val="none"/>
          <w:lang w:val="en-US" w:eastAsia="zh-CN"/>
        </w:rPr>
        <w:t xml:space="preserve"> </w:t>
      </w:r>
      <w:r>
        <w:rPr>
          <w:rFonts w:hint="eastAsia" w:ascii="宋体" w:hAnsi="宋体" w:eastAsia="宋体"/>
          <w:sz w:val="24"/>
          <w:szCs w:val="24"/>
          <w:highlight w:val="none"/>
        </w:rPr>
        <w:t xml:space="preserve">预算金额：</w:t>
      </w:r>
      <w:r>
        <w:rPr>
          <w:rFonts w:hint="eastAsia" w:ascii="宋体" w:hAnsi="宋体" w:eastAsia="宋体" w:cs="Times New Roman"/>
          <w:sz w:val="24"/>
          <w:szCs w:val="24"/>
          <w:highlight w:val="none"/>
          <w:lang w:eastAsia="zh-CN"/>
        </w:rPr>
        <w:t xml:space="preserve">377.243695万</w:t>
      </w:r>
      <w:r>
        <w:rPr>
          <w:rFonts w:hint="eastAsia" w:ascii="宋体" w:hAnsi="宋体" w:eastAsia="宋体" w:cs="Times New Roman"/>
          <w:sz w:val="24"/>
          <w:szCs w:val="24"/>
          <w:highlight w:val="none"/>
        </w:rPr>
        <w:t xml:space="preserve">元</w:t>
      </w:r>
      <w:r>
        <w:rPr>
          <w:rFonts w:hint="eastAsia" w:ascii="宋体" w:hAnsi="宋体" w:eastAsia="宋体" w:cs="Times New Roman"/>
          <w:sz w:val="24"/>
          <w:szCs w:val="24"/>
          <w:highlight w:val="none"/>
        </w:rPr>
      </w:r>
      <w:r/>
    </w:p>
    <w:p>
      <w:pPr>
        <w:pStyle w:val="706"/>
        <w:ind w:firstLine="480"/>
        <w:spacing w:line="360" w:lineRule="auto"/>
        <w:rPr>
          <w:rFonts w:hint="eastAsia" w:ascii="宋体" w:hAnsi="宋体" w:eastAsia="宋体"/>
          <w:sz w:val="24"/>
          <w:szCs w:val="24"/>
          <w:highlight w:val="none"/>
        </w:rPr>
      </w:pPr>
      <w:r>
        <w:rPr>
          <w:rFonts w:hint="eastAsia" w:ascii="宋体" w:hAnsi="宋体" w:eastAsia="宋体"/>
          <w:sz w:val="24"/>
          <w:szCs w:val="24"/>
          <w:highlight w:val="none"/>
          <w:lang w:val="en-US" w:eastAsia="zh-CN"/>
        </w:rPr>
        <w:t xml:space="preserve"> </w:t>
      </w:r>
      <w:r>
        <w:rPr>
          <w:rFonts w:hint="eastAsia" w:ascii="宋体" w:hAnsi="宋体" w:eastAsia="宋体"/>
          <w:sz w:val="24"/>
          <w:szCs w:val="24"/>
          <w:highlight w:val="none"/>
        </w:rPr>
        <w:t xml:space="preserve">采购需求：</w:t>
      </w:r>
      <w:r>
        <w:rPr>
          <w:rFonts w:hint="eastAsia" w:ascii="宋体" w:hAnsi="宋体" w:eastAsia="宋体"/>
          <w:sz w:val="24"/>
          <w:szCs w:val="24"/>
          <w:highlight w:val="none"/>
        </w:rPr>
      </w:r>
      <w:r/>
    </w:p>
    <w:p>
      <w:pPr>
        <w:pStyle w:val="706"/>
        <w:ind w:firstLine="480"/>
        <w:spacing w:line="360" w:lineRule="auto"/>
        <w:rPr>
          <w:rFonts w:hint="eastAsia" w:ascii="宋体" w:hAnsi="宋体" w:eastAsia="宋体"/>
          <w:sz w:val="24"/>
          <w:szCs w:val="24"/>
          <w:highlight w:val="none"/>
        </w:rPr>
      </w:pPr>
      <w:r>
        <w:rPr>
          <w:rFonts w:hint="eastAsia" w:ascii="宋体" w:hAnsi="宋体" w:eastAsia="宋体"/>
          <w:sz w:val="24"/>
          <w:szCs w:val="24"/>
          <w:highlight w:val="none"/>
          <w:lang w:val="en-US" w:eastAsia="zh-CN"/>
        </w:rPr>
        <w:t xml:space="preserve">1.</w:t>
      </w:r>
      <w:r>
        <w:rPr>
          <w:rFonts w:hint="eastAsia" w:ascii="宋体" w:hAnsi="宋体" w:eastAsia="宋体"/>
          <w:sz w:val="24"/>
          <w:szCs w:val="24"/>
          <w:highlight w:val="none"/>
        </w:rPr>
        <w:t xml:space="preserve">工程概况：</w:t>
      </w:r>
      <w:r>
        <w:rPr>
          <w:rFonts w:hint="eastAsia" w:ascii="宋体" w:hAnsi="宋体" w:eastAsia="宋体"/>
          <w:sz w:val="24"/>
          <w:szCs w:val="24"/>
          <w:highlight w:val="none"/>
        </w:rPr>
      </w:r>
      <w:r/>
    </w:p>
    <w:p>
      <w:pPr>
        <w:pStyle w:val="706"/>
        <w:ind w:firstLine="480"/>
        <w:spacing w:line="360" w:lineRule="auto"/>
        <w:rPr>
          <w:rFonts w:ascii="宋体" w:hAnsi="宋体" w:eastAsia="宋体"/>
          <w:sz w:val="24"/>
          <w:szCs w:val="24"/>
          <w:highlight w:val="none"/>
        </w:rPr>
      </w:pPr>
      <w:r>
        <w:rPr>
          <w:rFonts w:hint="eastAsia" w:ascii="宋体" w:hAnsi="宋体" w:eastAsia="宋体" w:cs="Arial"/>
          <w:sz w:val="24"/>
          <w:szCs w:val="24"/>
          <w:highlight w:val="none"/>
        </w:rPr>
        <w:t xml:space="preserve">施工范围为</w:t>
      </w:r>
      <w:r>
        <w:rPr>
          <w:rFonts w:hint="eastAsia" w:ascii="宋体" w:hAnsi="宋体" w:eastAsia="宋体" w:cs="Arial"/>
          <w:sz w:val="24"/>
          <w:szCs w:val="24"/>
          <w:highlight w:val="none"/>
          <w:lang w:eastAsia="zh-CN"/>
        </w:rPr>
        <w:t xml:space="preserve">街道范围</w:t>
      </w:r>
      <w:r>
        <w:rPr>
          <w:rFonts w:hint="eastAsia" w:ascii="宋体" w:hAnsi="宋体" w:eastAsia="宋体" w:cs="Arial"/>
          <w:sz w:val="24"/>
          <w:szCs w:val="24"/>
          <w:highlight w:val="none"/>
        </w:rPr>
        <w:t xml:space="preserve">，主要工作内容包括</w:t>
      </w:r>
      <w:r>
        <w:rPr>
          <w:rFonts w:hint="eastAsia" w:ascii="宋体" w:hAnsi="宋体" w:eastAsia="宋体" w:cs="Arial"/>
          <w:sz w:val="24"/>
          <w:szCs w:val="24"/>
          <w:highlight w:val="none"/>
          <w:lang w:eastAsia="zh-CN"/>
        </w:rPr>
        <w:t xml:space="preserve">道路维修</w:t>
      </w:r>
      <w:r>
        <w:rPr>
          <w:rFonts w:hint="eastAsia" w:ascii="宋体" w:hAnsi="宋体" w:eastAsia="宋体" w:cs="Arial"/>
          <w:sz w:val="24"/>
          <w:szCs w:val="24"/>
          <w:highlight w:val="none"/>
        </w:rPr>
        <w:t xml:space="preserve">、人行道板维修、桥栏杆更换、窨井盖更换、停车场改造、雨污水管网设施改建、停车位划线等</w:t>
      </w:r>
      <w:r>
        <w:rPr>
          <w:rFonts w:hint="eastAsia" w:ascii="宋体" w:hAnsi="宋体" w:eastAsia="宋体"/>
          <w:sz w:val="24"/>
          <w:szCs w:val="24"/>
          <w:highlight w:val="none"/>
        </w:rPr>
        <w:t xml:space="preserve">。</w:t>
      </w:r>
      <w:r>
        <w:rPr>
          <w:rFonts w:ascii="宋体" w:hAnsi="宋体" w:eastAsia="宋体"/>
          <w:sz w:val="24"/>
          <w:szCs w:val="24"/>
          <w:highlight w:val="none"/>
        </w:rPr>
      </w:r>
      <w:r/>
    </w:p>
    <w:p>
      <w:pPr>
        <w:pStyle w:val="789"/>
        <w:ind w:firstLine="480"/>
        <w:spacing w:before="0" w:beforeAutospacing="0" w:after="0" w:afterAutospacing="0" w:line="360" w:lineRule="auto"/>
        <w:rPr>
          <w:rFonts w:hint="eastAsia" w:cs="Times New Roman"/>
          <w:highlight w:val="none"/>
        </w:rPr>
      </w:pPr>
      <w:r>
        <w:rPr>
          <w:rFonts w:hint="eastAsia"/>
          <w:szCs w:val="20"/>
          <w:highlight w:val="none"/>
        </w:rPr>
        <w:t xml:space="preserve">2</w:t>
      </w:r>
      <w:r>
        <w:rPr>
          <w:rFonts w:hint="eastAsia"/>
          <w:szCs w:val="20"/>
          <w:highlight w:val="none"/>
          <w:lang w:val="en-US" w:eastAsia="zh-CN"/>
        </w:rPr>
        <w:t xml:space="preserve">.</w:t>
      </w:r>
      <w:r>
        <w:rPr>
          <w:rFonts w:hint="eastAsia"/>
          <w:szCs w:val="20"/>
          <w:highlight w:val="none"/>
        </w:rPr>
        <w:t xml:space="preserve">施工范围及内容：</w:t>
      </w:r>
      <w:bookmarkStart w:id="11" w:name="_Hlk119590629"/>
      <w:r>
        <w:rPr>
          <w:rFonts w:hint="eastAsia" w:cs="Arial"/>
          <w:highlight w:val="none"/>
        </w:rPr>
        <w:t xml:space="preserve">施工范围为</w:t>
      </w:r>
      <w:r>
        <w:rPr>
          <w:rFonts w:hint="eastAsia" w:cs="Arial"/>
          <w:highlight w:val="none"/>
          <w:lang w:eastAsia="zh-CN"/>
        </w:rPr>
        <w:t xml:space="preserve">街道范围</w:t>
      </w:r>
      <w:r>
        <w:rPr>
          <w:rFonts w:hint="eastAsia" w:cs="Arial"/>
          <w:highlight w:val="none"/>
        </w:rPr>
        <w:t xml:space="preserve">，主要工作内容包括</w:t>
      </w:r>
      <w:r>
        <w:rPr>
          <w:rFonts w:hint="eastAsia" w:cs="Arial"/>
          <w:highlight w:val="none"/>
          <w:lang w:eastAsia="zh-CN"/>
        </w:rPr>
        <w:t xml:space="preserve">道路维修</w:t>
      </w:r>
      <w:r>
        <w:rPr>
          <w:rFonts w:hint="eastAsia" w:cs="Arial"/>
          <w:highlight w:val="none"/>
        </w:rPr>
        <w:t xml:space="preserve">、人行道板维修、桥栏杆更换、窨井盖更换、停车场改造、雨污水管网设施改建、停车位划线等</w:t>
      </w:r>
      <w:r>
        <w:rPr>
          <w:rFonts w:hint="eastAsia" w:cs="Times New Roman"/>
          <w:highlight w:val="none"/>
        </w:rPr>
        <w:t xml:space="preserve">，详见工程量清单。</w:t>
      </w:r>
      <w:r>
        <w:rPr>
          <w:rFonts w:hint="eastAsia" w:cs="Times New Roman"/>
          <w:highlight w:val="none"/>
        </w:rPr>
      </w:r>
      <w:r/>
    </w:p>
    <w:p>
      <w:pPr>
        <w:pStyle w:val="789"/>
        <w:ind w:firstLine="480"/>
        <w:spacing w:before="0" w:beforeAutospacing="0" w:after="0" w:afterAutospacing="0" w:line="360" w:lineRule="auto"/>
        <w:rPr>
          <w:rFonts w:hint="eastAsia"/>
          <w:szCs w:val="20"/>
          <w:highlight w:val="none"/>
        </w:rPr>
      </w:pPr>
      <w:r>
        <w:rPr>
          <w:rFonts w:hint="eastAsia"/>
          <w:szCs w:val="20"/>
          <w:highlight w:val="none"/>
        </w:rPr>
        <w:t xml:space="preserve">3</w:t>
      </w:r>
      <w:r>
        <w:rPr>
          <w:rFonts w:hint="eastAsia"/>
          <w:szCs w:val="20"/>
          <w:highlight w:val="none"/>
          <w:lang w:val="en-US" w:eastAsia="zh-CN"/>
        </w:rPr>
        <w:t xml:space="preserve">.</w:t>
      </w:r>
      <w:r>
        <w:rPr>
          <w:rFonts w:hint="eastAsia"/>
          <w:szCs w:val="20"/>
          <w:highlight w:val="none"/>
        </w:rPr>
        <w:t xml:space="preserve">工程地点：</w:t>
      </w:r>
      <w:r>
        <w:rPr>
          <w:rFonts w:hint="eastAsia"/>
          <w:highlight w:val="none"/>
        </w:rPr>
        <w:t xml:space="preserve">苏州相城区北桥</w:t>
      </w:r>
      <w:r>
        <w:rPr>
          <w:rFonts w:hint="eastAsia"/>
          <w:szCs w:val="20"/>
          <w:highlight w:val="none"/>
        </w:rPr>
      </w:r>
      <w:r/>
    </w:p>
    <w:p>
      <w:pPr>
        <w:pStyle w:val="789"/>
        <w:ind w:firstLine="480"/>
        <w:spacing w:before="0" w:beforeAutospacing="0" w:after="0" w:afterAutospacing="0" w:line="360" w:lineRule="auto"/>
        <w:rPr>
          <w:szCs w:val="20"/>
          <w:highlight w:val="none"/>
        </w:rPr>
      </w:pPr>
      <w:r/>
      <w:bookmarkEnd w:id="11"/>
      <w:r>
        <w:rPr>
          <w:rFonts w:hint="eastAsia"/>
          <w:szCs w:val="20"/>
          <w:highlight w:val="none"/>
        </w:rPr>
        <w:t xml:space="preserve">4</w:t>
      </w:r>
      <w:r>
        <w:rPr>
          <w:rFonts w:hint="eastAsia"/>
          <w:szCs w:val="20"/>
          <w:highlight w:val="none"/>
          <w:lang w:val="en-US" w:eastAsia="zh-CN"/>
        </w:rPr>
        <w:t xml:space="preserve">.</w:t>
      </w:r>
      <w:r>
        <w:rPr>
          <w:rFonts w:hint="eastAsia"/>
          <w:szCs w:val="20"/>
          <w:highlight w:val="none"/>
        </w:rPr>
        <w:t xml:space="preserve">资金来源：财政资金</w:t>
      </w:r>
      <w:r>
        <w:rPr>
          <w:szCs w:val="20"/>
          <w:highlight w:val="none"/>
        </w:rPr>
      </w:r>
      <w:r/>
    </w:p>
    <w:p>
      <w:pPr>
        <w:pStyle w:val="789"/>
        <w:ind w:firstLine="480"/>
        <w:spacing w:before="0" w:beforeAutospacing="0" w:after="0" w:afterAutospacing="0" w:line="360" w:lineRule="auto"/>
        <w:rPr>
          <w:szCs w:val="20"/>
          <w:highlight w:val="none"/>
        </w:rPr>
      </w:pPr>
      <w:r>
        <w:rPr>
          <w:rFonts w:hint="eastAsia"/>
          <w:szCs w:val="20"/>
          <w:highlight w:val="none"/>
        </w:rPr>
        <w:t xml:space="preserve">5</w:t>
      </w:r>
      <w:r>
        <w:rPr>
          <w:rFonts w:hint="eastAsia"/>
          <w:szCs w:val="20"/>
          <w:highlight w:val="none"/>
          <w:lang w:val="en-US" w:eastAsia="zh-CN"/>
        </w:rPr>
        <w:t xml:space="preserve">.</w:t>
      </w:r>
      <w:r>
        <w:rPr>
          <w:rFonts w:hint="eastAsia"/>
          <w:szCs w:val="20"/>
          <w:highlight w:val="none"/>
        </w:rPr>
        <w:t xml:space="preserve">承包方式：包工包料</w:t>
      </w:r>
      <w:r>
        <w:rPr>
          <w:szCs w:val="20"/>
          <w:highlight w:val="none"/>
        </w:rPr>
      </w:r>
      <w:r/>
    </w:p>
    <w:p>
      <w:pPr>
        <w:pStyle w:val="789"/>
        <w:ind w:firstLine="480"/>
        <w:spacing w:before="0" w:beforeAutospacing="0" w:after="0" w:afterAutospacing="0" w:line="360" w:lineRule="auto"/>
        <w:rPr>
          <w:szCs w:val="20"/>
          <w:highlight w:val="none"/>
        </w:rPr>
      </w:pPr>
      <w:r>
        <w:rPr>
          <w:rFonts w:hint="eastAsia"/>
          <w:szCs w:val="20"/>
          <w:highlight w:val="none"/>
        </w:rPr>
        <w:t xml:space="preserve">6</w:t>
      </w:r>
      <w:r>
        <w:rPr>
          <w:rFonts w:hint="eastAsia"/>
          <w:szCs w:val="20"/>
          <w:highlight w:val="none"/>
          <w:lang w:val="en-US" w:eastAsia="zh-CN"/>
        </w:rPr>
        <w:t xml:space="preserve">.</w:t>
      </w:r>
      <w:r>
        <w:rPr>
          <w:rFonts w:hint="eastAsia"/>
          <w:szCs w:val="20"/>
          <w:highlight w:val="none"/>
        </w:rPr>
        <w:t xml:space="preserve">服务期限：12个月（具体开工日期以采购人通知为准）；</w:t>
      </w:r>
      <w:r>
        <w:rPr>
          <w:rFonts w:hint="eastAsia"/>
          <w:highlight w:val="none"/>
          <w:u w:val="single"/>
        </w:rPr>
        <w:t xml:space="preserve">如在服务过程中，乙方服务费用达到预算金额时，合同自动终止；如在服务周期结束后，乙方服务费用未达到预算金额时，合同也自动终止。</w:t>
      </w:r>
      <w:r>
        <w:rPr>
          <w:szCs w:val="20"/>
          <w:highlight w:val="none"/>
        </w:rPr>
      </w:r>
      <w:r/>
    </w:p>
    <w:p>
      <w:pPr>
        <w:pStyle w:val="789"/>
        <w:ind w:firstLine="480"/>
        <w:spacing w:before="0" w:beforeAutospacing="0" w:after="0" w:afterAutospacing="0" w:line="360" w:lineRule="auto"/>
        <w:rPr>
          <w:szCs w:val="20"/>
          <w:highlight w:val="none"/>
        </w:rPr>
      </w:pPr>
      <w:r>
        <w:rPr>
          <w:rFonts w:hint="eastAsia"/>
          <w:szCs w:val="20"/>
          <w:highlight w:val="none"/>
        </w:rPr>
        <w:t xml:space="preserve">7</w:t>
      </w:r>
      <w:r>
        <w:rPr>
          <w:rFonts w:hint="eastAsia"/>
          <w:szCs w:val="20"/>
          <w:highlight w:val="none"/>
          <w:lang w:val="en-US" w:eastAsia="zh-CN"/>
        </w:rPr>
        <w:t xml:space="preserve">.</w:t>
      </w:r>
      <w:r>
        <w:rPr>
          <w:rFonts w:hint="eastAsia"/>
          <w:szCs w:val="20"/>
          <w:highlight w:val="none"/>
        </w:rPr>
        <w:t xml:space="preserve">质量要求：合格</w:t>
      </w:r>
      <w:r>
        <w:rPr>
          <w:szCs w:val="20"/>
          <w:highlight w:val="none"/>
        </w:rPr>
      </w:r>
      <w:r/>
    </w:p>
    <w:p>
      <w:pPr>
        <w:pStyle w:val="789"/>
        <w:ind w:firstLine="480"/>
        <w:spacing w:before="0" w:beforeAutospacing="0" w:after="0" w:afterAutospacing="0" w:line="360" w:lineRule="auto"/>
        <w:rPr>
          <w:szCs w:val="20"/>
          <w:highlight w:val="none"/>
        </w:rPr>
      </w:pPr>
      <w:r>
        <w:rPr>
          <w:rFonts w:hint="eastAsia"/>
          <w:szCs w:val="20"/>
          <w:highlight w:val="none"/>
          <w:lang w:val="en-US" w:eastAsia="zh-CN"/>
        </w:rPr>
        <w:t xml:space="preserve">8.</w:t>
      </w:r>
      <w:r>
        <w:rPr>
          <w:rFonts w:hint="eastAsia"/>
          <w:szCs w:val="20"/>
          <w:highlight w:val="none"/>
        </w:rPr>
        <w:t xml:space="preserve">项目工程量：详见工程量清单（本项目工程量清单、</w:t>
      </w:r>
      <w:r>
        <w:rPr>
          <w:rFonts w:hint="eastAsia"/>
          <w:highlight w:val="none"/>
        </w:rPr>
        <w:t xml:space="preserve">工程量编制说明</w:t>
      </w:r>
      <w:r>
        <w:rPr>
          <w:rFonts w:hint="eastAsia"/>
          <w:szCs w:val="20"/>
          <w:highlight w:val="none"/>
        </w:rPr>
        <w:t xml:space="preserve">，请投标人自行下载）；</w:t>
      </w:r>
      <w:r>
        <w:rPr>
          <w:szCs w:val="20"/>
          <w:highlight w:val="none"/>
        </w:rPr>
      </w:r>
      <w:r/>
    </w:p>
    <w:p>
      <w:pPr>
        <w:pStyle w:val="789"/>
        <w:ind w:firstLine="480"/>
        <w:spacing w:before="0" w:beforeAutospacing="0" w:after="0" w:afterAutospacing="0" w:line="360" w:lineRule="auto"/>
        <w:rPr>
          <w:szCs w:val="20"/>
          <w:highlight w:val="none"/>
        </w:rPr>
      </w:pPr>
      <w:r>
        <w:rPr>
          <w:rFonts w:hint="eastAsia"/>
          <w:szCs w:val="20"/>
          <w:highlight w:val="none"/>
          <w:lang w:val="en-US" w:eastAsia="zh-CN"/>
        </w:rPr>
        <w:t xml:space="preserve">9.</w:t>
      </w:r>
      <w:r>
        <w:rPr>
          <w:rFonts w:hint="eastAsia"/>
          <w:szCs w:val="20"/>
          <w:highlight w:val="none"/>
        </w:rPr>
        <w:t xml:space="preserve">施工要求：按现行国家施工技术及验收规范规程执行，满足采购需求要求；</w:t>
      </w:r>
      <w:r>
        <w:rPr>
          <w:szCs w:val="20"/>
          <w:highlight w:val="none"/>
        </w:rPr>
      </w:r>
      <w:r/>
    </w:p>
    <w:p>
      <w:pPr>
        <w:pStyle w:val="789"/>
        <w:ind w:firstLine="480"/>
        <w:spacing w:before="0" w:beforeAutospacing="0" w:after="0" w:afterAutospacing="0" w:line="360" w:lineRule="auto"/>
        <w:rPr>
          <w:szCs w:val="20"/>
          <w:highlight w:val="none"/>
        </w:rPr>
      </w:pPr>
      <w:r>
        <w:rPr>
          <w:rFonts w:hint="eastAsia"/>
          <w:szCs w:val="20"/>
          <w:highlight w:val="none"/>
        </w:rPr>
        <w:t xml:space="preserve">1</w:t>
      </w:r>
      <w:r>
        <w:rPr>
          <w:rFonts w:hint="eastAsia"/>
          <w:szCs w:val="20"/>
          <w:highlight w:val="none"/>
          <w:lang w:val="en-US" w:eastAsia="zh-CN"/>
        </w:rPr>
        <w:t xml:space="preserve">0.</w:t>
      </w:r>
      <w:r>
        <w:rPr>
          <w:rFonts w:hint="eastAsia"/>
          <w:szCs w:val="20"/>
          <w:highlight w:val="none"/>
        </w:rPr>
        <w:t xml:space="preserve">验收标准：满足采购需求要求；</w:t>
      </w:r>
      <w:r>
        <w:rPr>
          <w:szCs w:val="20"/>
          <w:highlight w:val="none"/>
        </w:rPr>
      </w:r>
      <w:r/>
    </w:p>
    <w:p>
      <w:pPr>
        <w:pStyle w:val="70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本项目（是/否）接受联合体投标：否</w:t>
      </w:r>
      <w:r>
        <w:rPr>
          <w:rFonts w:hint="eastAsia" w:ascii="宋体" w:hAnsi="宋体" w:eastAsia="宋体" w:cs="宋体"/>
          <w:color w:val="000000"/>
          <w:sz w:val="24"/>
          <w:szCs w:val="24"/>
          <w:highlight w:val="none"/>
        </w:rPr>
      </w:r>
      <w:r/>
    </w:p>
    <w:p>
      <w:pPr>
        <w:pStyle w:val="706"/>
        <w:ind w:firstLine="482"/>
        <w:spacing w:line="360" w:lineRule="auto"/>
        <w:rPr>
          <w:rFonts w:ascii="宋体" w:hAnsi="宋体" w:eastAsia="宋体"/>
          <w:b/>
          <w:sz w:val="24"/>
          <w:szCs w:val="24"/>
          <w:highlight w:val="none"/>
        </w:rPr>
      </w:pPr>
      <w:r/>
      <w:bookmarkStart w:id="12" w:name="_Toc35393630"/>
      <w:r/>
      <w:bookmarkStart w:id="13" w:name="_Toc28359090"/>
      <w:r/>
      <w:bookmarkStart w:id="14" w:name="_Toc35393799"/>
      <w:r/>
      <w:bookmarkStart w:id="15" w:name="_Toc28359013"/>
      <w:r>
        <w:rPr>
          <w:rFonts w:hint="eastAsia" w:ascii="宋体" w:hAnsi="宋体" w:eastAsia="宋体"/>
          <w:b/>
          <w:sz w:val="24"/>
          <w:szCs w:val="24"/>
          <w:highlight w:val="none"/>
        </w:rPr>
        <w:t xml:space="preserve">二、申请人的资格要求：</w:t>
      </w:r>
      <w:bookmarkEnd w:id="12"/>
      <w:r/>
      <w:bookmarkEnd w:id="13"/>
      <w:r/>
      <w:bookmarkEnd w:id="14"/>
      <w:r/>
      <w:bookmarkEnd w:id="15"/>
      <w:r>
        <w:rPr>
          <w:rFonts w:ascii="宋体" w:hAnsi="宋体" w:eastAsia="宋体"/>
          <w:b/>
          <w:sz w:val="24"/>
          <w:szCs w:val="24"/>
          <w:highlight w:val="none"/>
        </w:rPr>
      </w:r>
      <w:r/>
    </w:p>
    <w:p>
      <w:pPr>
        <w:pStyle w:val="706"/>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1</w:t>
      </w:r>
      <w:r>
        <w:rPr>
          <w:rFonts w:hint="eastAsia" w:ascii="宋体" w:hAnsi="宋体" w:eastAsia="宋体"/>
          <w:sz w:val="24"/>
          <w:szCs w:val="24"/>
          <w:highlight w:val="none"/>
          <w:lang w:val="en-US" w:eastAsia="zh-CN"/>
        </w:rPr>
        <w:t xml:space="preserve">.</w:t>
      </w:r>
      <w:r>
        <w:rPr>
          <w:rFonts w:hint="eastAsia" w:ascii="宋体" w:hAnsi="宋体" w:eastAsia="宋体"/>
          <w:sz w:val="24"/>
          <w:szCs w:val="24"/>
          <w:highlight w:val="none"/>
        </w:rPr>
        <w:t xml:space="preserve">满足《中华人民共和国政府采购法》第二十二条规定；</w:t>
      </w:r>
      <w:r>
        <w:rPr>
          <w:rFonts w:ascii="宋体" w:hAnsi="宋体" w:eastAsia="宋体"/>
          <w:sz w:val="24"/>
          <w:szCs w:val="24"/>
          <w:highlight w:val="none"/>
        </w:rPr>
      </w:r>
      <w:r/>
    </w:p>
    <w:p>
      <w:pPr>
        <w:pStyle w:val="706"/>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（1）具有独立承担民事责任的能力；</w:t>
      </w:r>
      <w:r>
        <w:rPr>
          <w:rFonts w:ascii="宋体" w:hAnsi="宋体" w:eastAsia="宋体"/>
          <w:sz w:val="24"/>
          <w:szCs w:val="24"/>
          <w:highlight w:val="none"/>
        </w:rPr>
      </w:r>
      <w:r/>
    </w:p>
    <w:p>
      <w:pPr>
        <w:pStyle w:val="706"/>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（2）具有良好的商业信誉和健全的财务会计制度；</w:t>
      </w:r>
      <w:r>
        <w:rPr>
          <w:rFonts w:ascii="宋体" w:hAnsi="宋体" w:eastAsia="宋体"/>
          <w:sz w:val="24"/>
          <w:szCs w:val="24"/>
          <w:highlight w:val="none"/>
        </w:rPr>
      </w:r>
      <w:r/>
    </w:p>
    <w:p>
      <w:pPr>
        <w:pStyle w:val="706"/>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（3）具有履行合同所必须的设备和专业技术能力；</w:t>
      </w:r>
      <w:r>
        <w:rPr>
          <w:rFonts w:ascii="宋体" w:hAnsi="宋体" w:eastAsia="宋体"/>
          <w:sz w:val="24"/>
          <w:szCs w:val="24"/>
          <w:highlight w:val="none"/>
        </w:rPr>
      </w:r>
      <w:r/>
    </w:p>
    <w:p>
      <w:pPr>
        <w:pStyle w:val="706"/>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（4）有依法缴纳税收和社会保障资金的良好记录；</w:t>
      </w:r>
      <w:r>
        <w:rPr>
          <w:rFonts w:ascii="宋体" w:hAnsi="宋体" w:eastAsia="宋体"/>
          <w:sz w:val="24"/>
          <w:szCs w:val="24"/>
          <w:highlight w:val="none"/>
        </w:rPr>
      </w:r>
      <w:r/>
    </w:p>
    <w:p>
      <w:pPr>
        <w:pStyle w:val="706"/>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（5）参加政府采购活动前三年内,在经营活动中没有重大违法记录；</w:t>
      </w:r>
      <w:r>
        <w:rPr>
          <w:rFonts w:ascii="宋体" w:hAnsi="宋体" w:eastAsia="宋体"/>
          <w:sz w:val="24"/>
          <w:szCs w:val="24"/>
          <w:highlight w:val="none"/>
        </w:rPr>
      </w:r>
      <w:r/>
    </w:p>
    <w:p>
      <w:pPr>
        <w:pStyle w:val="706"/>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（6）符合法律、行政法规规定的其他条件；</w:t>
      </w:r>
      <w:r>
        <w:rPr>
          <w:rFonts w:ascii="宋体" w:hAnsi="宋体" w:eastAsia="宋体"/>
          <w:sz w:val="24"/>
          <w:szCs w:val="24"/>
          <w:highlight w:val="none"/>
        </w:rPr>
      </w:r>
      <w:r/>
    </w:p>
    <w:p>
      <w:pPr>
        <w:pStyle w:val="706"/>
        <w:ind w:firstLine="480"/>
        <w:spacing w:line="360" w:lineRule="auto"/>
        <w:rPr>
          <w:rFonts w:hint="eastAsia" w:ascii="宋体" w:hAnsi="宋体" w:eastAsia="宋体"/>
          <w:sz w:val="24"/>
          <w:szCs w:val="24"/>
          <w:highlight w:val="none"/>
        </w:rPr>
      </w:pPr>
      <w:r/>
      <w:bookmarkStart w:id="16" w:name="_Toc28359091"/>
      <w:r/>
      <w:bookmarkStart w:id="17" w:name="_Toc28359014"/>
      <w:r>
        <w:rPr>
          <w:rFonts w:hint="eastAsia" w:ascii="宋体" w:hAnsi="宋体" w:eastAsia="宋体"/>
          <w:sz w:val="24"/>
          <w:szCs w:val="24"/>
          <w:highlight w:val="none"/>
        </w:rPr>
        <w:t xml:space="preserve">2</w:t>
      </w:r>
      <w:r>
        <w:rPr>
          <w:rFonts w:hint="eastAsia" w:ascii="宋体" w:hAnsi="宋体" w:eastAsia="宋体"/>
          <w:sz w:val="24"/>
          <w:szCs w:val="24"/>
          <w:highlight w:val="none"/>
          <w:lang w:val="en-US" w:eastAsia="zh-CN"/>
        </w:rPr>
        <w:t xml:space="preserve">.</w:t>
      </w:r>
      <w:r>
        <w:rPr>
          <w:rFonts w:hint="eastAsia" w:ascii="宋体" w:hAnsi="宋体" w:eastAsia="宋体"/>
          <w:sz w:val="24"/>
          <w:szCs w:val="24"/>
          <w:highlight w:val="none"/>
        </w:rPr>
        <w:t xml:space="preserve">落实政府采购政策需满足的资格要求：本项目专门面向中小企业采购，所属行业为建筑业，供应商应为中小微企业或监狱企业或残疾人福利性单位。</w:t>
      </w:r>
      <w:r>
        <w:rPr>
          <w:rFonts w:hint="eastAsia" w:ascii="宋体" w:hAnsi="宋体" w:eastAsia="宋体"/>
          <w:sz w:val="24"/>
          <w:szCs w:val="24"/>
          <w:highlight w:val="none"/>
        </w:rPr>
      </w:r>
      <w:r/>
    </w:p>
    <w:p>
      <w:pPr>
        <w:pStyle w:val="706"/>
        <w:ind w:firstLine="48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3</w:t>
      </w:r>
      <w:r>
        <w:rPr>
          <w:rFonts w:hint="eastAsia" w:ascii="宋体" w:hAnsi="宋体" w:eastAsia="宋体"/>
          <w:sz w:val="24"/>
          <w:szCs w:val="24"/>
          <w:highlight w:val="none"/>
          <w:lang w:val="en-US" w:eastAsia="zh-CN"/>
        </w:rPr>
        <w:t xml:space="preserve">.</w:t>
      </w:r>
      <w:r>
        <w:rPr>
          <w:rFonts w:hint="eastAsia" w:ascii="宋体" w:hAnsi="宋体" w:eastAsia="宋体"/>
          <w:sz w:val="24"/>
          <w:szCs w:val="24"/>
          <w:highlight w:val="none"/>
        </w:rPr>
        <w:t xml:space="preserve">本项目的特定资格要求：</w:t>
      </w:r>
      <w:r>
        <w:rPr>
          <w:rFonts w:hint="eastAsia" w:ascii="宋体" w:hAnsi="宋体" w:eastAsia="宋体"/>
          <w:sz w:val="24"/>
          <w:szCs w:val="24"/>
          <w:highlight w:val="none"/>
        </w:rPr>
      </w:r>
      <w:r/>
    </w:p>
    <w:p>
      <w:pPr>
        <w:pStyle w:val="706"/>
        <w:ind w:firstLine="480"/>
        <w:spacing w:line="360" w:lineRule="auto"/>
        <w:rPr>
          <w:rFonts w:hint="eastAsia" w:ascii="宋体" w:hAnsi="宋体" w:eastAsia="宋体"/>
          <w:sz w:val="24"/>
          <w:szCs w:val="24"/>
          <w:highlight w:val="none"/>
        </w:rPr>
      </w:pPr>
      <w:r/>
      <w:bookmarkStart w:id="18" w:name="_Toc35393800"/>
      <w:r/>
      <w:bookmarkStart w:id="19" w:name="_Toc35393631"/>
      <w:r>
        <w:rPr>
          <w:rFonts w:hint="eastAsia" w:ascii="宋体" w:hAnsi="宋体" w:eastAsia="宋体"/>
          <w:sz w:val="24"/>
          <w:szCs w:val="24"/>
          <w:highlight w:val="none"/>
        </w:rPr>
        <w:t xml:space="preserve">3.1申请人资质类别和等级：具有市政公用工程施工总承包三级(含)以上资质；</w:t>
      </w:r>
      <w:r>
        <w:rPr>
          <w:rFonts w:hint="eastAsia" w:ascii="宋体" w:hAnsi="宋体" w:eastAsia="宋体"/>
          <w:sz w:val="24"/>
          <w:szCs w:val="24"/>
          <w:highlight w:val="none"/>
        </w:rPr>
      </w:r>
      <w:r/>
    </w:p>
    <w:p>
      <w:pPr>
        <w:pStyle w:val="706"/>
        <w:ind w:firstLine="48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3.2具备安全生产条件，并取得安全生产许可证；</w:t>
      </w:r>
      <w:r>
        <w:rPr>
          <w:rFonts w:hint="eastAsia" w:ascii="宋体" w:hAnsi="宋体" w:eastAsia="宋体"/>
          <w:sz w:val="24"/>
          <w:szCs w:val="24"/>
          <w:highlight w:val="none"/>
        </w:rPr>
      </w:r>
      <w:r/>
    </w:p>
    <w:p>
      <w:pPr>
        <w:pStyle w:val="906"/>
        <w:ind w:firstLine="480"/>
        <w:spacing w:line="360" w:lineRule="auto"/>
        <w:tabs>
          <w:tab w:val="left" w:pos="808" w:leader="none"/>
        </w:tabs>
        <w:rPr>
          <w:rFonts w:hint="eastAsia" w:ascii="宋体" w:hAnsi="宋体" w:eastAsia="宋体"/>
          <w:sz w:val="24"/>
          <w:szCs w:val="24"/>
          <w:highlight w:val="none"/>
        </w:rPr>
      </w:pPr>
      <w:r>
        <w:rPr>
          <w:rFonts w:hint="eastAsia" w:ascii="宋体" w:hAnsi="宋体" w:eastAsia="宋体" w:cs="宋体"/>
          <w:sz w:val="24"/>
          <w:szCs w:val="24"/>
          <w:highlight w:val="none"/>
        </w:rPr>
        <w:t xml:space="preserve">3.3拟选派项目经理资质等级：具有市政公用工程二级注册建造师及以上资质并具有</w:t>
      </w:r>
      <w:r>
        <w:rPr>
          <w:rFonts w:hint="eastAsia" w:ascii="宋体" w:hAnsi="宋体" w:eastAsia="宋体"/>
          <w:sz w:val="24"/>
          <w:szCs w:val="24"/>
          <w:highlight w:val="none"/>
        </w:rPr>
        <w:t xml:space="preserve">《建筑施工企业项目负责人安全生产考核合格证书》（B类）及响应单位为其缴纳社保。项目经理必须满足： </w:t>
      </w:r>
      <w:r>
        <w:rPr>
          <w:rFonts w:hint="eastAsia" w:ascii="宋体" w:hAnsi="宋体" w:eastAsia="宋体" w:cs="宋体"/>
          <w:sz w:val="24"/>
          <w:szCs w:val="24"/>
          <w:highlight w:val="none"/>
          <w:shd w:val="clear" w:color="auto" w:fill="ffffff"/>
        </w:rPr>
        <w:t xml:space="preserve">①项目经理不得同时在两个或者两个以上单位受聘或者执业。②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招标的程属于同一工程项目、同一项目批文、同一施工地点分段发包或分期施工的情况且总的工程规模在项目经理执业范围之内。</w:t>
      </w:r>
      <w:r>
        <w:rPr>
          <w:rFonts w:hint="eastAsia" w:ascii="宋体" w:hAnsi="宋体" w:eastAsia="宋体"/>
          <w:sz w:val="24"/>
          <w:szCs w:val="24"/>
          <w:highlight w:val="none"/>
        </w:rPr>
      </w:r>
      <w:r/>
    </w:p>
    <w:p>
      <w:pPr>
        <w:pStyle w:val="789"/>
        <w:ind w:firstLine="420"/>
        <w:spacing w:before="0" w:beforeAutospacing="0" w:after="0" w:afterAutospacing="0" w:line="360" w:lineRule="auto"/>
        <w:shd w:val="clear" w:color="ffffff" w:fill="auto"/>
        <w:rPr>
          <w:highlight w:val="none"/>
        </w:rPr>
      </w:pPr>
      <w:r>
        <w:rPr>
          <w:rFonts w:hint="eastAsia"/>
          <w:highlight w:val="none"/>
        </w:rPr>
        <w:t xml:space="preserve">注：</w:t>
      </w:r>
      <w:r>
        <w:rPr>
          <w:highlight w:val="none"/>
        </w:rPr>
      </w:r>
      <w:r/>
    </w:p>
    <w:p>
      <w:pPr>
        <w:pStyle w:val="789"/>
        <w:ind w:firstLine="420"/>
        <w:spacing w:before="0" w:beforeAutospacing="0" w:after="0" w:afterAutospacing="0" w:line="360" w:lineRule="auto"/>
        <w:shd w:val="clear" w:color="ffffff" w:fill="auto"/>
        <w:rPr>
          <w:highlight w:val="none"/>
        </w:rPr>
      </w:pPr>
      <w:r>
        <w:rPr>
          <w:highlight w:val="none"/>
        </w:rPr>
        <w:t xml:space="preserve">（</w:t>
      </w:r>
      <w:r>
        <w:rPr>
          <w:rFonts w:hint="eastAsia"/>
          <w:highlight w:val="none"/>
        </w:rPr>
        <w:t xml:space="preserve">1</w:t>
      </w:r>
      <w:r>
        <w:rPr>
          <w:highlight w:val="none"/>
        </w:rPr>
        <w:t xml:space="preserve">）</w:t>
      </w:r>
      <w:r>
        <w:rPr>
          <w:rFonts w:hint="eastAsia"/>
          <w:highlight w:val="none"/>
        </w:rPr>
        <w:t xml:space="preserve">根据政府采购法及相关法规，招标代理人将对供应商进行信用查询。对列入失信被执行人、重大税收违法案件当事人名单、政府采购严重违法失信行为记录名单的供应商，拒绝其参与政府采购活动。</w:t>
      </w:r>
      <w:r>
        <w:rPr>
          <w:highlight w:val="none"/>
        </w:rPr>
      </w:r>
      <w:r/>
    </w:p>
    <w:p>
      <w:pPr>
        <w:pStyle w:val="789"/>
        <w:ind w:firstLine="420"/>
        <w:spacing w:before="0" w:beforeAutospacing="0" w:after="0" w:afterAutospacing="0" w:line="360" w:lineRule="auto"/>
        <w:shd w:val="clear" w:color="ffffff" w:fill="auto"/>
        <w:rPr>
          <w:highlight w:val="none"/>
        </w:rPr>
      </w:pPr>
      <w:r>
        <w:rPr>
          <w:highlight w:val="none"/>
        </w:rPr>
        <w:t xml:space="preserve">（</w:t>
      </w:r>
      <w:r>
        <w:rPr>
          <w:rFonts w:hint="eastAsia"/>
          <w:highlight w:val="none"/>
        </w:rPr>
        <w:t xml:space="preserve">2</w:t>
      </w:r>
      <w:r>
        <w:rPr>
          <w:highlight w:val="none"/>
        </w:rPr>
        <w:t xml:space="preserve">）单位负责人为同一人或者存在直接控股、管理关系的不同供应商，不得参加同一合同项下的政府采购活动。</w:t>
      </w:r>
      <w:r>
        <w:rPr>
          <w:highlight w:val="none"/>
        </w:rPr>
      </w:r>
      <w:r/>
    </w:p>
    <w:p>
      <w:pPr>
        <w:pStyle w:val="789"/>
        <w:ind w:firstLine="420"/>
        <w:spacing w:before="0" w:beforeAutospacing="0" w:after="0" w:afterAutospacing="0" w:line="360" w:lineRule="auto"/>
        <w:shd w:val="clear" w:color="ffffff" w:fill="auto"/>
        <w:rPr>
          <w:highlight w:val="none"/>
        </w:rPr>
      </w:pPr>
      <w:r>
        <w:rPr>
          <w:highlight w:val="none"/>
        </w:rPr>
        <w:t xml:space="preserve">（</w:t>
      </w:r>
      <w:r>
        <w:rPr>
          <w:rFonts w:hint="eastAsia"/>
          <w:highlight w:val="none"/>
        </w:rPr>
        <w:t xml:space="preserve">3</w:t>
      </w:r>
      <w:r>
        <w:rPr>
          <w:highlight w:val="none"/>
        </w:rPr>
        <w:t xml:space="preserve">）为本采购项目提供整体设计、规范编制或者项目管理、监理、检测等服务的供应商，不得再参加本采购项目的其他采购活动。</w:t>
      </w:r>
      <w:r>
        <w:rPr>
          <w:highlight w:val="none"/>
        </w:rPr>
      </w:r>
      <w:r/>
    </w:p>
    <w:p>
      <w:pPr>
        <w:pStyle w:val="706"/>
        <w:ind w:firstLine="482"/>
        <w:spacing w:line="360" w:lineRule="auto"/>
        <w:rPr>
          <w:rFonts w:hint="eastAsia" w:ascii="宋体" w:hAnsi="宋体" w:eastAsia="宋体"/>
          <w:b/>
          <w:sz w:val="24"/>
          <w:szCs w:val="24"/>
          <w:highlight w:val="none"/>
        </w:rPr>
      </w:pPr>
      <w:r>
        <w:rPr>
          <w:rFonts w:hint="eastAsia" w:ascii="宋体" w:hAnsi="宋体" w:eastAsia="宋体"/>
          <w:b/>
          <w:sz w:val="24"/>
          <w:szCs w:val="24"/>
          <w:highlight w:val="none"/>
        </w:rPr>
        <w:t xml:space="preserve">三、获取采购文件</w:t>
      </w:r>
      <w:bookmarkEnd w:id="16"/>
      <w:r/>
      <w:bookmarkEnd w:id="17"/>
      <w:r/>
      <w:bookmarkEnd w:id="18"/>
      <w:r/>
      <w:bookmarkEnd w:id="19"/>
      <w:r>
        <w:rPr>
          <w:rFonts w:hint="eastAsia" w:ascii="宋体" w:hAnsi="宋体" w:eastAsia="宋体"/>
          <w:b/>
          <w:sz w:val="24"/>
          <w:szCs w:val="24"/>
          <w:highlight w:val="none"/>
        </w:rPr>
        <w:t xml:space="preserve">：</w:t>
      </w:r>
      <w:r>
        <w:rPr>
          <w:rFonts w:hint="eastAsia" w:ascii="宋体" w:hAnsi="宋体" w:eastAsia="宋体"/>
          <w:b/>
          <w:sz w:val="24"/>
          <w:szCs w:val="24"/>
          <w:highlight w:val="none"/>
        </w:rPr>
      </w:r>
      <w:r/>
    </w:p>
    <w:p>
      <w:pPr>
        <w:pStyle w:val="789"/>
        <w:ind w:firstLine="480"/>
        <w:spacing w:before="0" w:beforeAutospacing="0" w:after="0" w:afterAutospacing="0" w:line="360" w:lineRule="auto"/>
        <w:shd w:val="clear" w:color="ffffff" w:fill="auto"/>
        <w:rPr>
          <w:rFonts w:hint="eastAsia"/>
          <w:color w:val="000000"/>
          <w:highlight w:val="none"/>
        </w:rPr>
      </w:pPr>
      <w:r/>
      <w:bookmarkStart w:id="20" w:name="_Toc35393805"/>
      <w:r/>
      <w:bookmarkStart w:id="21" w:name="_Toc35393636"/>
      <w:r/>
      <w:bookmarkStart w:id="22" w:name="_Toc28359095"/>
      <w:r/>
      <w:bookmarkStart w:id="23" w:name="_Toc28359018"/>
      <w:r>
        <w:rPr>
          <w:rFonts w:hint="eastAsia"/>
          <w:color w:val="000000"/>
          <w:highlight w:val="none"/>
        </w:rPr>
        <w:t xml:space="preserve">时间：磋商公告之日起5个工作日。</w:t>
      </w:r>
      <w:r>
        <w:rPr>
          <w:rFonts w:hint="eastAsia"/>
          <w:color w:val="000000"/>
          <w:highlight w:val="none"/>
        </w:rPr>
      </w:r>
      <w:r/>
    </w:p>
    <w:p>
      <w:pPr>
        <w:pStyle w:val="789"/>
        <w:ind w:firstLine="480"/>
        <w:spacing w:before="0" w:beforeAutospacing="0" w:after="0" w:afterAutospacing="0" w:line="360" w:lineRule="auto"/>
        <w:shd w:val="clear" w:color="ffffff" w:fill="auto"/>
        <w:rPr>
          <w:rFonts w:hint="eastAsia"/>
          <w:color w:val="000000"/>
          <w:highlight w:val="none"/>
        </w:rPr>
      </w:pPr>
      <w:r>
        <w:rPr>
          <w:rFonts w:hint="eastAsia"/>
          <w:color w:val="000000"/>
          <w:highlight w:val="none"/>
        </w:rPr>
        <w:t xml:space="preserve">地点：供应商登录苏州市政府采购网站首页下侧 “苏采云-已参与项目”中，根据提示，下载招标（采购）文件。 </w:t>
      </w:r>
      <w:r>
        <w:rPr>
          <w:rFonts w:hint="eastAsia"/>
          <w:color w:val="000000"/>
          <w:highlight w:val="none"/>
        </w:rPr>
      </w:r>
      <w:r/>
    </w:p>
    <w:p>
      <w:pPr>
        <w:pStyle w:val="789"/>
        <w:ind w:firstLine="480"/>
        <w:spacing w:before="0" w:beforeAutospacing="0" w:after="0" w:afterAutospacing="0" w:line="360" w:lineRule="auto"/>
        <w:shd w:val="clear" w:color="ffffff" w:fill="auto"/>
        <w:rPr>
          <w:rFonts w:hint="eastAsia"/>
          <w:color w:val="000000"/>
          <w:highlight w:val="none"/>
        </w:rPr>
      </w:pPr>
      <w:r>
        <w:rPr>
          <w:rFonts w:hint="eastAsia"/>
          <w:color w:val="000000"/>
          <w:highlight w:val="none"/>
        </w:rPr>
        <w:t xml:space="preserve">方式：网上报名 </w:t>
      </w:r>
      <w:r>
        <w:rPr>
          <w:rFonts w:hint="eastAsia"/>
          <w:color w:val="000000"/>
          <w:highlight w:val="none"/>
        </w:rPr>
      </w:r>
      <w:r/>
    </w:p>
    <w:p>
      <w:pPr>
        <w:pStyle w:val="789"/>
        <w:ind w:firstLine="480"/>
        <w:spacing w:before="0" w:beforeAutospacing="0" w:after="0" w:afterAutospacing="0" w:line="360" w:lineRule="auto"/>
        <w:shd w:val="clear" w:color="ffffff" w:fill="auto"/>
        <w:rPr>
          <w:rFonts w:hint="eastAsia"/>
          <w:color w:val="000000"/>
          <w:highlight w:val="none"/>
        </w:rPr>
      </w:pPr>
      <w:r>
        <w:rPr>
          <w:rFonts w:hint="eastAsia"/>
          <w:color w:val="000000"/>
          <w:highlight w:val="none"/>
        </w:rPr>
        <w:t xml:space="preserve">售价：0.00元 </w:t>
      </w:r>
      <w:r>
        <w:rPr>
          <w:rFonts w:hint="eastAsia"/>
          <w:color w:val="000000"/>
          <w:highlight w:val="none"/>
        </w:rPr>
      </w:r>
      <w:r/>
    </w:p>
    <w:p>
      <w:pPr>
        <w:pStyle w:val="706"/>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四、响应文件递交</w:t>
      </w:r>
      <w:r>
        <w:rPr>
          <w:rFonts w:hint="eastAsia" w:ascii="宋体" w:hAnsi="宋体" w:eastAsia="宋体" w:cs="宋体"/>
          <w:b/>
          <w:bCs/>
          <w:color w:val="000000"/>
          <w:sz w:val="24"/>
          <w:szCs w:val="24"/>
          <w:highlight w:val="none"/>
        </w:rPr>
      </w:r>
      <w:r/>
    </w:p>
    <w:p>
      <w:pPr>
        <w:pStyle w:val="70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截止时间：</w:t>
      </w:r>
      <w:r>
        <w:rPr>
          <w:rFonts w:hint="eastAsia" w:ascii="宋体" w:hAnsi="宋体" w:eastAsia="宋体" w:cs="宋体"/>
          <w:color w:val="000000"/>
          <w:sz w:val="24"/>
          <w:szCs w:val="24"/>
          <w:highlight w:val="none"/>
          <w:lang w:eastAsia="zh-CN"/>
        </w:rPr>
        <w:t xml:space="preserve">2026年04月21日</w:t>
      </w:r>
      <w:r>
        <w:rPr>
          <w:rFonts w:hint="eastAsia" w:ascii="宋体" w:hAnsi="宋体" w:eastAsia="宋体" w:cs="宋体"/>
          <w:color w:val="000000"/>
          <w:sz w:val="24"/>
          <w:szCs w:val="24"/>
          <w:highlight w:val="none"/>
        </w:rPr>
        <w:t xml:space="preserve">09：30（北京时间）</w:t>
      </w:r>
      <w:r>
        <w:rPr>
          <w:rFonts w:hint="eastAsia" w:ascii="宋体" w:hAnsi="宋体" w:eastAsia="宋体" w:cs="宋体"/>
          <w:color w:val="000000"/>
          <w:sz w:val="24"/>
          <w:szCs w:val="24"/>
          <w:highlight w:val="none"/>
        </w:rPr>
      </w:r>
      <w:r/>
    </w:p>
    <w:p>
      <w:pPr>
        <w:pStyle w:val="70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地点：苏州市政府采购网站-苏采云系统</w:t>
      </w:r>
      <w:r>
        <w:rPr>
          <w:rFonts w:hint="eastAsia" w:ascii="宋体" w:hAnsi="宋体" w:eastAsia="宋体" w:cs="宋体"/>
          <w:color w:val="000000"/>
          <w:sz w:val="24"/>
          <w:szCs w:val="24"/>
          <w:highlight w:val="none"/>
        </w:rPr>
      </w:r>
      <w:r/>
    </w:p>
    <w:p>
      <w:pPr>
        <w:pStyle w:val="706"/>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五、开启</w:t>
      </w:r>
      <w:r>
        <w:rPr>
          <w:rFonts w:hint="eastAsia" w:ascii="宋体" w:hAnsi="宋体" w:eastAsia="宋体" w:cs="宋体"/>
          <w:b/>
          <w:bCs/>
          <w:color w:val="000000"/>
          <w:sz w:val="24"/>
          <w:szCs w:val="24"/>
          <w:highlight w:val="none"/>
        </w:rPr>
      </w:r>
      <w:r/>
    </w:p>
    <w:p>
      <w:pPr>
        <w:pStyle w:val="70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w:t>
      </w:r>
      <w:r>
        <w:rPr>
          <w:rFonts w:hint="eastAsia" w:ascii="宋体" w:hAnsi="宋体" w:eastAsia="宋体" w:cs="宋体"/>
          <w:color w:val="000000"/>
          <w:sz w:val="24"/>
          <w:szCs w:val="24"/>
          <w:highlight w:val="none"/>
          <w:lang w:eastAsia="zh-CN"/>
        </w:rPr>
        <w:t xml:space="preserve">2026年04月21日</w:t>
      </w:r>
      <w:r>
        <w:rPr>
          <w:rFonts w:hint="eastAsia" w:ascii="宋体" w:hAnsi="宋体" w:eastAsia="宋体" w:cs="宋体"/>
          <w:color w:val="000000"/>
          <w:sz w:val="24"/>
          <w:szCs w:val="24"/>
          <w:highlight w:val="none"/>
        </w:rPr>
        <w:t xml:space="preserve">09：30（北京时间）</w:t>
      </w:r>
      <w:r>
        <w:rPr>
          <w:rFonts w:hint="eastAsia" w:ascii="宋体" w:hAnsi="宋体" w:eastAsia="宋体" w:cs="宋体"/>
          <w:color w:val="000000"/>
          <w:sz w:val="24"/>
          <w:szCs w:val="24"/>
          <w:highlight w:val="none"/>
        </w:rPr>
      </w:r>
      <w:r/>
    </w:p>
    <w:p>
      <w:pPr>
        <w:pStyle w:val="70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地点：</w:t>
      </w:r>
      <w:r>
        <w:rPr>
          <w:rFonts w:hint="eastAsia" w:ascii="宋体" w:hAnsi="宋体" w:eastAsia="宋体" w:cs="宋体"/>
          <w:color w:val="000000"/>
          <w:sz w:val="24"/>
          <w:szCs w:val="24"/>
          <w:highlight w:val="none"/>
        </w:rPr>
      </w:r>
      <w:r/>
    </w:p>
    <w:p>
      <w:pPr>
        <w:pStyle w:val="706"/>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六、公告期限</w:t>
      </w:r>
      <w:r>
        <w:rPr>
          <w:rFonts w:hint="eastAsia" w:ascii="宋体" w:hAnsi="宋体" w:eastAsia="宋体" w:cs="宋体"/>
          <w:b/>
          <w:bCs/>
          <w:color w:val="000000"/>
          <w:sz w:val="24"/>
          <w:szCs w:val="24"/>
          <w:highlight w:val="none"/>
        </w:rPr>
      </w:r>
      <w:r/>
    </w:p>
    <w:p>
      <w:pPr>
        <w:pStyle w:val="70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自本公告发布之日起3个工作日。</w:t>
      </w:r>
      <w:r>
        <w:rPr>
          <w:rFonts w:hint="eastAsia" w:ascii="宋体" w:hAnsi="宋体" w:eastAsia="宋体" w:cs="宋体"/>
          <w:color w:val="000000"/>
          <w:sz w:val="24"/>
          <w:szCs w:val="24"/>
          <w:highlight w:val="none"/>
        </w:rPr>
      </w:r>
      <w:r/>
    </w:p>
    <w:p>
      <w:pPr>
        <w:pStyle w:val="706"/>
        <w:ind w:firstLine="482"/>
        <w:spacing w:line="360" w:lineRule="auto"/>
        <w:rPr>
          <w:rFonts w:hint="eastAsia" w:ascii="宋体" w:hAnsi="宋体" w:eastAsia="宋体" w:cs="宋体"/>
          <w:b/>
          <w:bCs/>
          <w:color w:val="000000"/>
          <w:sz w:val="24"/>
          <w:szCs w:val="24"/>
          <w:highlight w:val="none"/>
        </w:rPr>
      </w:pPr>
      <w:r/>
      <w:bookmarkStart w:id="24" w:name="_Toc28359017"/>
      <w:r/>
      <w:bookmarkStart w:id="25" w:name="_Toc28359094"/>
      <w:r/>
      <w:bookmarkStart w:id="26" w:name="_Toc35393803"/>
      <w:r/>
      <w:bookmarkStart w:id="27" w:name="_Toc35393634"/>
      <w:r>
        <w:rPr>
          <w:rFonts w:hint="eastAsia" w:ascii="宋体" w:hAnsi="宋体" w:eastAsia="宋体" w:cs="宋体"/>
          <w:b/>
          <w:bCs/>
          <w:color w:val="000000"/>
          <w:sz w:val="24"/>
          <w:szCs w:val="24"/>
          <w:highlight w:val="none"/>
        </w:rPr>
        <w:t xml:space="preserve">七、</w:t>
      </w:r>
      <w:bookmarkEnd w:id="24"/>
      <w:r/>
      <w:bookmarkEnd w:id="25"/>
      <w:r/>
      <w:bookmarkEnd w:id="26"/>
      <w:r/>
      <w:bookmarkEnd w:id="27"/>
      <w:r/>
      <w:bookmarkStart w:id="28" w:name="_Toc35393635"/>
      <w:r/>
      <w:bookmarkStart w:id="29" w:name="_Toc35393804"/>
      <w:r>
        <w:rPr>
          <w:rFonts w:hint="eastAsia" w:ascii="宋体" w:hAnsi="宋体" w:eastAsia="宋体" w:cs="宋体"/>
          <w:b/>
          <w:bCs/>
          <w:color w:val="000000"/>
          <w:sz w:val="24"/>
          <w:szCs w:val="24"/>
          <w:highlight w:val="none"/>
        </w:rPr>
        <w:t xml:space="preserve">其他补充事宜</w:t>
      </w:r>
      <w:bookmarkEnd w:id="28"/>
      <w:r/>
      <w:bookmarkEnd w:id="29"/>
      <w:r>
        <w:rPr>
          <w:rFonts w:hint="eastAsia" w:ascii="宋体" w:hAnsi="宋体" w:eastAsia="宋体" w:cs="宋体"/>
          <w:b/>
          <w:bCs/>
          <w:color w:val="000000"/>
          <w:sz w:val="24"/>
          <w:szCs w:val="24"/>
          <w:highlight w:val="none"/>
        </w:rPr>
      </w:r>
      <w:r/>
    </w:p>
    <w:p>
      <w:pPr>
        <w:pStyle w:val="70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本项目为网上招投标项目，供应商应在“苏州市政府采购网-苏采云-项目参与-采购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eastAsia="宋体" w:cs="宋体"/>
          <w:color w:val="000000"/>
          <w:sz w:val="24"/>
          <w:szCs w:val="24"/>
          <w:highlight w:val="none"/>
        </w:rPr>
      </w:r>
      <w:r/>
    </w:p>
    <w:p>
      <w:pPr>
        <w:pStyle w:val="706"/>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本项目支持网上不见面开标，</w:t>
      </w:r>
      <w:r>
        <w:rPr>
          <w:rFonts w:hint="eastAsia" w:ascii="宋体" w:hAnsi="宋体" w:eastAsia="宋体" w:cs="宋体"/>
          <w:b/>
          <w:bCs/>
          <w:color w:val="000000"/>
          <w:sz w:val="24"/>
          <w:szCs w:val="24"/>
          <w:highlight w:val="none"/>
        </w:rPr>
        <w:t xml:space="preserve">供应商不需到现场参加磋商会</w:t>
      </w:r>
      <w:r>
        <w:rPr>
          <w:rFonts w:hint="eastAsia" w:ascii="宋体" w:hAnsi="宋体" w:eastAsia="宋体" w:cs="宋体"/>
          <w:b/>
          <w:bCs/>
          <w:color w:val="000000"/>
          <w:sz w:val="24"/>
          <w:szCs w:val="24"/>
          <w:highlight w:val="none"/>
          <w:lang w:val="zh-CN"/>
        </w:rPr>
        <w:t xml:space="preserve">，开标阶段供应商在【供应商解密】环节必须使用 CA证书解密电子投标（响应）文件，如在系统规定的解密时间内未能完成解密的视为放弃投标（响应）</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70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rPr>
          <w:rFonts w:hint="eastAsia" w:ascii="宋体" w:hAnsi="宋体" w:eastAsia="宋体" w:cs="宋体"/>
          <w:color w:val="000000"/>
          <w:sz w:val="24"/>
          <w:szCs w:val="24"/>
          <w:highlight w:val="none"/>
        </w:rPr>
      </w:r>
      <w:r/>
    </w:p>
    <w:p>
      <w:pPr>
        <w:pStyle w:val="70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线上参加（观看）开标会方式：苏州市政府采购网点击“</w:t>
      </w:r>
      <w:r>
        <w:rPr>
          <w:rFonts w:hint="eastAsia" w:ascii="宋体" w:hAnsi="宋体" w:eastAsia="宋体" w:cs="宋体"/>
          <w:bCs/>
          <w:color w:val="000000"/>
          <w:sz w:val="24"/>
          <w:szCs w:val="24"/>
          <w:highlight w:val="none"/>
        </w:rPr>
        <w:t xml:space="preserve">苏采云</w:t>
      </w:r>
      <w:r>
        <w:rPr>
          <w:rFonts w:hint="eastAsia" w:ascii="宋体" w:hAnsi="宋体" w:eastAsia="宋体" w:cs="宋体"/>
          <w:color w:val="000000"/>
          <w:sz w:val="24"/>
          <w:szCs w:val="24"/>
          <w:highlight w:val="none"/>
        </w:rPr>
        <w:t xml:space="preserve">”进入交易系统，点击“开标大厅-我的项目”，找到对应项目</w:t>
      </w:r>
      <w:r>
        <w:rPr>
          <w:rFonts w:hint="eastAsia" w:ascii="宋体" w:hAnsi="宋体" w:eastAsia="宋体" w:cs="宋体"/>
          <w:color w:val="000000"/>
          <w:sz w:val="24"/>
          <w:szCs w:val="24"/>
          <w:highlight w:val="none"/>
          <w:shd w:val="clear" w:color="auto" w:fill="ffffff"/>
        </w:rPr>
        <w:t xml:space="preserve">进入不见面开标系统</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06"/>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请供应商确保电脑、系统及其他设备（视频输入输出设备等）无误，且开标直至项目结束始终保持系统在线状态。</w:t>
      </w:r>
      <w:r>
        <w:rPr>
          <w:rFonts w:hint="eastAsia" w:ascii="宋体" w:hAnsi="宋体" w:eastAsia="宋体" w:cs="宋体"/>
          <w:b/>
          <w:bCs/>
          <w:color w:val="000000"/>
          <w:sz w:val="24"/>
          <w:szCs w:val="24"/>
          <w:highlight w:val="none"/>
        </w:rPr>
      </w:r>
      <w:r/>
    </w:p>
    <w:p>
      <w:pPr>
        <w:pStyle w:val="789"/>
        <w:ind w:firstLine="420"/>
        <w:spacing w:before="0" w:beforeAutospacing="0" w:after="0" w:afterAutospacing="0" w:line="360" w:lineRule="auto"/>
        <w:shd w:val="clear" w:color="ffffff"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CA办理及使用指南： 根据省财政厅《关于更换全省政府采购交易系统C A数字证书和电子签章的通知》（苏财购〔2023〕101号），“苏采云”政府采购交易系统（以下简称苏采云系统）的CA数字证书、电子签章为江苏省电子政务证书认证中心CA和方正国际软件（北京）有限公司电子签章。具体办理指南和操作手册见苏州市政府采购网苏采云登陆页面右下角点击【新CA办理指南】--江苏省政府采购数字证书（供应商)数字证书CA及电子签章办理指南。苏州现场办理地址：</w:t>
      </w:r>
      <w:r>
        <w:rPr>
          <w:rFonts w:hint="eastAsia" w:cs="宋体"/>
          <w:color w:val="000000"/>
          <w:sz w:val="24"/>
          <w:szCs w:val="24"/>
          <w:highlight w:val="none"/>
          <w:lang w:eastAsia="zh-CN"/>
        </w:rPr>
        <w:t xml:space="preserve">苏州高新区邓尉路105号狮山科技馆1楼服务大厅，咨询电话：0512-65737699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0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进入“苏采云”政府采购交易系统后按照《苏采云系统供应商操作手册》（以下简称《操作手册》）、进行注册并按《操作手册》要求制作、上传电子响应文件。供应商可在采购系统中下载《苏采云系统供应商操作手册》。</w:t>
      </w:r>
      <w:r>
        <w:rPr>
          <w:rFonts w:hint="eastAsia" w:ascii="宋体" w:hAnsi="宋体" w:eastAsia="宋体" w:cs="宋体"/>
          <w:color w:val="000000"/>
          <w:sz w:val="24"/>
          <w:szCs w:val="24"/>
          <w:highlight w:val="none"/>
        </w:rPr>
      </w:r>
      <w:r/>
    </w:p>
    <w:p>
      <w:pPr>
        <w:pStyle w:val="70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考虑到熟悉苏采云系统操作需要一定的时间，请提早准备以免耽误采购活动。</w:t>
      </w:r>
      <w:r>
        <w:rPr>
          <w:rFonts w:hint="eastAsia" w:ascii="宋体" w:hAnsi="宋体" w:eastAsia="宋体" w:cs="宋体"/>
          <w:color w:val="000000"/>
          <w:sz w:val="24"/>
          <w:szCs w:val="24"/>
          <w:highlight w:val="none"/>
        </w:rPr>
      </w:r>
      <w:r/>
    </w:p>
    <w:p>
      <w:pPr>
        <w:pStyle w:val="70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供应商应及时关注政府采购信息发布媒体上发布的更正（补充）公告，同时在苏采云系统中下载更正（补充）资料，如有遗漏（包括但不限于文件未下载或下载不完整），所造成的投标失败或损失由供应商自行负责。</w:t>
      </w:r>
      <w:r>
        <w:rPr>
          <w:rFonts w:hint="eastAsia" w:ascii="宋体" w:hAnsi="宋体" w:eastAsia="宋体" w:cs="宋体"/>
          <w:color w:val="000000"/>
          <w:sz w:val="24"/>
          <w:szCs w:val="24"/>
          <w:highlight w:val="none"/>
        </w:rPr>
      </w:r>
      <w:r/>
    </w:p>
    <w:p>
      <w:pPr>
        <w:pStyle w:val="70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投标人（供应商）应自行在苏采云政府采购一体化平台上下载/获取招标（采购）文件及其澄清（答疑）、工程量清单、图纸等相关招标（采购）资料，恕不另行通知。</w:t>
      </w:r>
      <w:r>
        <w:rPr>
          <w:rFonts w:hint="eastAsia" w:ascii="宋体" w:hAnsi="宋体" w:eastAsia="宋体" w:cs="宋体"/>
          <w:color w:val="000000"/>
          <w:sz w:val="24"/>
          <w:szCs w:val="24"/>
          <w:highlight w:val="none"/>
        </w:rPr>
      </w:r>
      <w:r/>
    </w:p>
    <w:p>
      <w:pPr>
        <w:pStyle w:val="70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采购项目需要落实的政府采购政策：</w:t>
      </w:r>
      <w:r>
        <w:rPr>
          <w:rFonts w:hint="eastAsia" w:ascii="宋体" w:hAnsi="宋体" w:eastAsia="宋体" w:cs="宋体"/>
          <w:color w:val="000000"/>
          <w:sz w:val="24"/>
          <w:szCs w:val="24"/>
          <w:highlight w:val="none"/>
        </w:rPr>
      </w:r>
      <w:r/>
    </w:p>
    <w:p>
      <w:pPr>
        <w:pStyle w:val="70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（1）财政部、工业和信息化部《政府采购促进中小企业发展管理办法》。</w:t>
      </w:r>
      <w:r>
        <w:rPr>
          <w:rFonts w:hint="eastAsia" w:ascii="宋体" w:hAnsi="宋体" w:eastAsia="宋体" w:cs="宋体"/>
          <w:color w:val="000000"/>
          <w:sz w:val="24"/>
          <w:szCs w:val="24"/>
          <w:highlight w:val="none"/>
        </w:rPr>
      </w:r>
      <w:r/>
    </w:p>
    <w:p>
      <w:pPr>
        <w:pStyle w:val="789"/>
        <w:ind w:firstLine="420"/>
        <w:spacing w:before="0" w:beforeAutospacing="0" w:after="0" w:afterAutospacing="0" w:line="360" w:lineRule="auto"/>
        <w:shd w:val="clear" w:color="ffffff" w:fill="auto"/>
        <w:rPr>
          <w:rFonts w:hint="eastAsia"/>
          <w:color w:val="000000"/>
          <w:highlight w:val="none"/>
        </w:rPr>
      </w:pPr>
      <w:r>
        <w:rPr>
          <w:rFonts w:hint="eastAsia"/>
          <w:color w:val="000000"/>
          <w:highlight w:val="none"/>
        </w:rPr>
        <w:t xml:space="preserve">（2）苏州市财政局《关于贯彻执行绿色采购、促进残疾人就业和支持监狱企业发展有关政策的通知（苏财购〔2020〕10号）》。</w:t>
      </w:r>
      <w:r>
        <w:rPr>
          <w:rFonts w:hint="eastAsia"/>
          <w:color w:val="000000"/>
          <w:highlight w:val="none"/>
        </w:rPr>
      </w:r>
      <w:r/>
    </w:p>
    <w:p>
      <w:pPr>
        <w:pStyle w:val="789"/>
        <w:ind w:firstLine="420"/>
        <w:spacing w:before="0" w:beforeAutospacing="0" w:after="0" w:afterAutospacing="0" w:line="360" w:lineRule="auto"/>
        <w:shd w:val="clear" w:color="ffffff" w:fill="auto"/>
        <w:rPr>
          <w:rFonts w:hint="eastAsia"/>
          <w:color w:val="000000"/>
          <w:highlight w:val="none"/>
        </w:rPr>
      </w:pPr>
      <w:r>
        <w:rPr>
          <w:rFonts w:hint="eastAsia"/>
          <w:color w:val="000000"/>
          <w:highlight w:val="none"/>
        </w:rPr>
        <w:t xml:space="preserve">（3）财库〔2022〕19号关于进一步加大政府采购支持中小企业力度的通知。</w:t>
      </w:r>
      <w:r>
        <w:rPr>
          <w:rFonts w:hint="eastAsia"/>
          <w:color w:val="000000"/>
          <w:highlight w:val="none"/>
        </w:rPr>
      </w:r>
      <w:r/>
    </w:p>
    <w:p>
      <w:pPr>
        <w:pStyle w:val="789"/>
        <w:ind w:firstLine="420"/>
        <w:spacing w:before="0" w:beforeAutospacing="0" w:after="0" w:afterAutospacing="0" w:line="360" w:lineRule="auto"/>
        <w:shd w:val="clear" w:color="ffffff" w:fill="auto"/>
        <w:rPr>
          <w:rFonts w:hint="eastAsia"/>
          <w:color w:val="000000"/>
          <w:highlight w:val="none"/>
        </w:rPr>
      </w:pPr>
      <w:r>
        <w:rPr>
          <w:rFonts w:hint="eastAsia"/>
          <w:color w:val="000000"/>
          <w:highlight w:val="none"/>
        </w:rPr>
        <w:t xml:space="preserve">（4）苏财购〔2022〕16号关于印发《苏州市政府采购促进中小企业发展实施意见》的通知。</w:t>
      </w:r>
      <w:r>
        <w:rPr>
          <w:rFonts w:hint="eastAsia"/>
          <w:color w:val="000000"/>
          <w:highlight w:val="none"/>
        </w:rPr>
      </w:r>
      <w:r/>
    </w:p>
    <w:p>
      <w:pPr>
        <w:pStyle w:val="789"/>
        <w:ind w:firstLine="460"/>
        <w:spacing w:before="0" w:beforeAutospacing="0" w:after="0" w:afterAutospacing="0" w:line="360" w:lineRule="auto"/>
        <w:shd w:val="clear" w:color="ffffff" w:fill="auto"/>
        <w:rPr>
          <w:highlight w:val="none"/>
        </w:rPr>
      </w:pPr>
      <w:r>
        <w:rPr>
          <w:rFonts w:hint="eastAsia" w:ascii="宋体" w:hAnsi="宋体" w:eastAsia="宋体" w:cs="宋体"/>
          <w:color w:val="000000"/>
          <w:sz w:val="24"/>
          <w:szCs w:val="24"/>
          <w:highlight w:val="none"/>
        </w:rPr>
        <w:t xml:space="preserve">11</w:t>
      </w:r>
      <w:r>
        <w:rPr>
          <w:rFonts w:hint="eastAsia" w:cs="宋体"/>
          <w:color w:val="000000"/>
          <w:sz w:val="24"/>
          <w:szCs w:val="24"/>
          <w:highlight w:val="none"/>
          <w:lang w:val="en-US" w:eastAsia="zh-CN"/>
        </w:rPr>
        <w:t xml:space="preserve">.</w:t>
      </w:r>
      <w:r>
        <w:rPr>
          <w:rFonts w:hint="eastAsia"/>
          <w:highlight w:val="none"/>
          <w:lang w:eastAsia="zh-CN"/>
        </w:rPr>
        <w:t xml:space="preserve">成交</w:t>
      </w:r>
      <w:r>
        <w:rPr>
          <w:rFonts w:hint="eastAsia"/>
          <w:highlight w:val="none"/>
        </w:rPr>
        <w:t xml:space="preserve">供应商可凭政府采购合同办理融资贷款，详情请见江苏政府采购网“政采贷”专栏。</w:t>
      </w:r>
      <w:r>
        <w:rPr>
          <w:highlight w:val="none"/>
        </w:rPr>
      </w:r>
      <w:r/>
    </w:p>
    <w:p>
      <w:pPr>
        <w:pStyle w:val="70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请贵单位领取本次采购文件后，认真阅读各项内容，进行必要的磋商准备，按文件的要求详细填写和编制响应文件。</w:t>
      </w:r>
      <w:r>
        <w:rPr>
          <w:rFonts w:hint="eastAsia" w:ascii="宋体" w:hAnsi="宋体" w:eastAsia="宋体" w:cs="宋体"/>
          <w:color w:val="000000"/>
          <w:sz w:val="24"/>
          <w:szCs w:val="24"/>
          <w:highlight w:val="none"/>
        </w:rPr>
      </w:r>
      <w:r/>
    </w:p>
    <w:p>
      <w:pPr>
        <w:pStyle w:val="70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sz w:val="24"/>
          <w:szCs w:val="24"/>
          <w:highlight w:val="none"/>
        </w:rPr>
        <w:t xml:space="preserve">苏州市相城区财政局政府采购监督电话：0512-67591005、0512-67591006</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0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本次采购的有关信息将在苏州市政府采购网、江苏政府采购网、中国政府采购网</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"Http://www.szweikang.com、《中国财经报》、《城市商报》上发布" </w:instrText>
      </w:r>
      <w:r>
        <w:rPr>
          <w:rFonts w:hint="eastAsia" w:ascii="宋体" w:hAnsi="宋体" w:eastAsia="宋体" w:cs="宋体"/>
          <w:color w:val="000000"/>
          <w:highlight w:val="none"/>
        </w:rPr>
        <w:fldChar w:fldCharType="separate"/>
      </w:r>
      <w:r>
        <w:rPr>
          <w:rFonts w:hint="eastAsia" w:ascii="宋体" w:hAnsi="宋体" w:eastAsia="宋体" w:cs="宋体"/>
          <w:color w:val="000000"/>
          <w:sz w:val="24"/>
          <w:szCs w:val="24"/>
          <w:highlight w:val="none"/>
        </w:rPr>
        <w:t xml:space="preserve">上发布</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，敬请留意。</w:t>
      </w:r>
      <w:r>
        <w:rPr>
          <w:rFonts w:hint="eastAsia" w:ascii="宋体" w:hAnsi="宋体" w:eastAsia="宋体" w:cs="宋体"/>
          <w:color w:val="000000"/>
          <w:sz w:val="24"/>
          <w:szCs w:val="24"/>
          <w:highlight w:val="none"/>
        </w:rPr>
      </w:r>
      <w:r/>
    </w:p>
    <w:p>
      <w:pPr>
        <w:pStyle w:val="789"/>
        <w:ind w:firstLine="420"/>
        <w:spacing w:before="0" w:beforeAutospacing="0" w:after="0" w:afterAutospacing="0" w:line="360" w:lineRule="auto"/>
        <w:shd w:val="clear" w:color="ffffff" w:fill="auto"/>
        <w:rPr>
          <w:rFonts w:hint="eastAsia"/>
          <w:color w:val="000000"/>
          <w:highlight w:val="none"/>
        </w:rPr>
      </w:pPr>
      <w:r>
        <w:rPr>
          <w:rFonts w:hint="eastAsia"/>
          <w:color w:val="000000"/>
          <w:highlight w:val="none"/>
        </w:rPr>
        <w:t xml:space="preserve">1</w:t>
      </w:r>
      <w:r>
        <w:rPr>
          <w:rFonts w:hint="eastAsia"/>
          <w:color w:val="000000"/>
          <w:highlight w:val="none"/>
          <w:lang w:val="en-US" w:eastAsia="zh-CN"/>
        </w:rPr>
        <w:t xml:space="preserve">5.</w:t>
      </w:r>
      <w:r>
        <w:rPr>
          <w:rFonts w:hint="eastAsia"/>
          <w:color w:val="000000"/>
          <w:highlight w:val="none"/>
        </w:rPr>
        <w:t xml:space="preserve">技术支持</w:t>
      </w:r>
      <w:r>
        <w:rPr>
          <w:rFonts w:hint="eastAsia"/>
          <w:color w:val="000000"/>
          <w:highlight w:val="none"/>
        </w:rPr>
      </w:r>
      <w:r/>
    </w:p>
    <w:p>
      <w:pPr>
        <w:pStyle w:val="789"/>
        <w:ind w:firstLine="420"/>
        <w:spacing w:before="0" w:beforeAutospacing="0" w:after="0" w:afterAutospacing="0" w:line="360" w:lineRule="auto"/>
        <w:shd w:val="clear" w:color="ffffff" w:fill="auto"/>
        <w:rPr>
          <w:rFonts w:hint="eastAsia"/>
          <w:color w:val="000000"/>
          <w:highlight w:val="none"/>
        </w:rPr>
      </w:pPr>
      <w:r>
        <w:rPr>
          <w:rFonts w:hint="eastAsia"/>
          <w:color w:val="000000"/>
          <w:highlight w:val="none"/>
        </w:rPr>
        <w:t xml:space="preserve">注册咨询：</w:t>
      </w:r>
      <w:r>
        <w:rPr>
          <w:rFonts w:hint="eastAsia"/>
          <w:color w:val="000000"/>
          <w:highlight w:val="none"/>
          <w:lang w:eastAsia="zh-CN"/>
        </w:rPr>
        <w:t xml:space="preserve">13914088964、18261002950</w:t>
      </w:r>
      <w:r>
        <w:rPr>
          <w:rFonts w:hint="eastAsia"/>
          <w:color w:val="000000"/>
          <w:highlight w:val="none"/>
        </w:rPr>
        <w:t xml:space="preserve">；</w:t>
      </w:r>
      <w:r>
        <w:rPr>
          <w:rFonts w:hint="eastAsia"/>
          <w:color w:val="000000"/>
          <w:highlight w:val="none"/>
        </w:rPr>
      </w:r>
      <w:r/>
    </w:p>
    <w:p>
      <w:pPr>
        <w:pStyle w:val="789"/>
        <w:ind w:firstLine="420"/>
        <w:spacing w:before="0" w:beforeAutospacing="0" w:after="0" w:afterAutospacing="0" w:line="360" w:lineRule="auto"/>
        <w:shd w:val="clear" w:color="ffffff" w:fill="auto"/>
        <w:rPr>
          <w:rFonts w:hint="eastAsia"/>
          <w:color w:val="000000"/>
          <w:highlight w:val="none"/>
        </w:rPr>
      </w:pPr>
      <w:r>
        <w:rPr>
          <w:rFonts w:hint="eastAsia"/>
          <w:color w:val="000000"/>
          <w:highlight w:val="none"/>
        </w:rPr>
        <w:t xml:space="preserve">CA技术咨询电话：400-608-6099；</w:t>
      </w:r>
      <w:r>
        <w:rPr>
          <w:rFonts w:hint="eastAsia"/>
          <w:color w:val="000000"/>
          <w:highlight w:val="none"/>
        </w:rPr>
      </w:r>
      <w:r/>
    </w:p>
    <w:p>
      <w:pPr>
        <w:pStyle w:val="789"/>
        <w:ind w:firstLine="420"/>
        <w:spacing w:before="0" w:beforeAutospacing="0" w:after="0" w:afterAutospacing="0" w:line="360" w:lineRule="auto"/>
        <w:shd w:val="clear" w:color="ffffff" w:fill="auto"/>
        <w:rPr>
          <w:rFonts w:hint="eastAsia"/>
          <w:color w:val="000000"/>
          <w:highlight w:val="none"/>
        </w:rPr>
      </w:pPr>
      <w:r>
        <w:rPr>
          <w:rFonts w:hint="eastAsia"/>
          <w:color w:val="000000"/>
          <w:highlight w:val="none"/>
        </w:rPr>
        <w:t xml:space="preserve">签章使用问题：025-83633811、025-83633812、15380932027、15371015030；</w:t>
      </w:r>
      <w:r>
        <w:rPr>
          <w:rFonts w:hint="eastAsia"/>
          <w:color w:val="000000"/>
          <w:highlight w:val="none"/>
        </w:rPr>
      </w:r>
      <w:r/>
    </w:p>
    <w:p>
      <w:pPr>
        <w:pStyle w:val="789"/>
        <w:ind w:firstLine="420"/>
        <w:spacing w:before="0" w:beforeAutospacing="0" w:after="0" w:afterAutospacing="0" w:line="360" w:lineRule="auto"/>
        <w:shd w:val="clear" w:color="ffffff" w:fill="auto"/>
        <w:rPr>
          <w:rFonts w:hint="eastAsia"/>
          <w:color w:val="000000"/>
          <w:highlight w:val="none"/>
        </w:rPr>
      </w:pPr>
      <w:r>
        <w:rPr>
          <w:rFonts w:hint="eastAsia"/>
          <w:color w:val="000000"/>
          <w:highlight w:val="none"/>
        </w:rPr>
        <w:t xml:space="preserve">系统使用指导与咨询：联系电话：</w:t>
      </w:r>
      <w:r>
        <w:rPr>
          <w:rFonts w:hint="eastAsia"/>
          <w:color w:val="000000"/>
          <w:highlight w:val="none"/>
          <w:lang w:eastAsia="zh-CN"/>
        </w:rPr>
        <w:t xml:space="preserve">13914088964、18261002950</w:t>
      </w:r>
      <w:r>
        <w:rPr>
          <w:rFonts w:hint="eastAsia"/>
          <w:color w:val="000000"/>
          <w:highlight w:val="none"/>
        </w:rPr>
        <w:t xml:space="preserve">；QQ：3048755361、1315179389、895706745。</w:t>
      </w:r>
      <w:r>
        <w:rPr>
          <w:rFonts w:hint="eastAsia"/>
          <w:color w:val="000000"/>
          <w:highlight w:val="none"/>
        </w:rPr>
      </w:r>
      <w:r/>
    </w:p>
    <w:p>
      <w:pPr>
        <w:pStyle w:val="706"/>
        <w:ind w:firstLine="482"/>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八、凡对本次采购提出询问，请按</w:t>
      </w:r>
      <w:r>
        <w:rPr>
          <w:rFonts w:ascii="宋体" w:hAnsi="宋体" w:eastAsia="宋体"/>
          <w:b/>
          <w:sz w:val="24"/>
          <w:szCs w:val="24"/>
          <w:highlight w:val="none"/>
        </w:rPr>
        <w:t xml:space="preserve">以下方式</w:t>
      </w:r>
      <w:r>
        <w:rPr>
          <w:rFonts w:hint="eastAsia" w:ascii="宋体" w:hAnsi="宋体" w:eastAsia="宋体"/>
          <w:b/>
          <w:sz w:val="24"/>
          <w:szCs w:val="24"/>
          <w:highlight w:val="none"/>
        </w:rPr>
        <w:t xml:space="preserve">联系。</w:t>
      </w:r>
      <w:bookmarkEnd w:id="20"/>
      <w:r/>
      <w:bookmarkEnd w:id="21"/>
      <w:r/>
      <w:bookmarkEnd w:id="22"/>
      <w:r/>
      <w:bookmarkEnd w:id="23"/>
      <w:r>
        <w:rPr>
          <w:rFonts w:ascii="宋体" w:hAnsi="宋体" w:eastAsia="宋体"/>
          <w:b/>
          <w:sz w:val="24"/>
          <w:szCs w:val="24"/>
          <w:highlight w:val="none"/>
        </w:rPr>
      </w:r>
      <w:r/>
    </w:p>
    <w:p>
      <w:pPr>
        <w:pStyle w:val="706"/>
        <w:ind w:firstLine="480"/>
        <w:spacing w:line="360" w:lineRule="auto"/>
        <w:rPr>
          <w:rFonts w:ascii="宋体" w:hAnsi="宋体" w:eastAsia="宋体"/>
          <w:sz w:val="24"/>
          <w:szCs w:val="24"/>
          <w:highlight w:val="none"/>
        </w:rPr>
      </w:pPr>
      <w:r/>
      <w:bookmarkStart w:id="30" w:name="_Toc35393806"/>
      <w:r/>
      <w:bookmarkStart w:id="31" w:name="_Toc28359096"/>
      <w:r/>
      <w:bookmarkStart w:id="32" w:name="_Toc35393637"/>
      <w:r/>
      <w:bookmarkStart w:id="33" w:name="_Toc28359019"/>
      <w:r>
        <w:rPr>
          <w:rFonts w:hint="eastAsia" w:ascii="宋体" w:hAnsi="宋体" w:eastAsia="宋体"/>
          <w:sz w:val="24"/>
          <w:szCs w:val="24"/>
          <w:highlight w:val="none"/>
        </w:rPr>
        <w:t xml:space="preserve">1.采购人信息</w:t>
      </w:r>
      <w:bookmarkEnd w:id="30"/>
      <w:r/>
      <w:bookmarkEnd w:id="31"/>
      <w:r/>
      <w:bookmarkEnd w:id="32"/>
      <w:r/>
      <w:bookmarkEnd w:id="33"/>
      <w:r>
        <w:rPr>
          <w:rFonts w:ascii="宋体" w:hAnsi="宋体" w:eastAsia="宋体"/>
          <w:sz w:val="24"/>
          <w:szCs w:val="24"/>
          <w:highlight w:val="none"/>
        </w:rPr>
      </w:r>
      <w:r/>
    </w:p>
    <w:p>
      <w:pPr>
        <w:pStyle w:val="706"/>
        <w:ind w:firstLine="480"/>
        <w:spacing w:line="360" w:lineRule="auto"/>
        <w:rPr>
          <w:rFonts w:hint="eastAsia" w:ascii="宋体" w:hAnsi="宋体" w:eastAsia="宋体"/>
          <w:sz w:val="24"/>
          <w:szCs w:val="24"/>
          <w:highlight w:val="none"/>
          <w:lang w:eastAsia="zh-CN"/>
        </w:rPr>
      </w:pPr>
      <w:r>
        <w:rPr>
          <w:rFonts w:hint="eastAsia" w:ascii="宋体" w:hAnsi="宋体" w:eastAsia="宋体"/>
          <w:sz w:val="24"/>
          <w:szCs w:val="24"/>
          <w:highlight w:val="none"/>
        </w:rPr>
        <w:t xml:space="preserve">名    称：</w:t>
      </w:r>
      <w:r>
        <w:rPr>
          <w:rFonts w:hint="eastAsia" w:ascii="宋体" w:hAnsi="宋体" w:eastAsia="宋体"/>
          <w:sz w:val="24"/>
          <w:szCs w:val="24"/>
          <w:highlight w:val="none"/>
          <w:lang w:eastAsia="zh-CN"/>
        </w:rPr>
        <w:t xml:space="preserve">苏州相城经济技术开发区管理委员会</w:t>
      </w:r>
      <w:r>
        <w:rPr>
          <w:rFonts w:hint="eastAsia" w:ascii="宋体" w:hAnsi="宋体" w:eastAsia="宋体"/>
          <w:sz w:val="24"/>
          <w:szCs w:val="24"/>
          <w:highlight w:val="none"/>
          <w:lang w:eastAsia="zh-CN"/>
        </w:rPr>
      </w:r>
      <w:r/>
    </w:p>
    <w:p>
      <w:pPr>
        <w:pStyle w:val="706"/>
        <w:ind w:firstLine="48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地    址：苏州</w:t>
      </w:r>
      <w:r>
        <w:rPr>
          <w:rFonts w:ascii="宋体" w:hAnsi="宋体" w:eastAsia="宋体"/>
          <w:sz w:val="24"/>
          <w:szCs w:val="24"/>
          <w:highlight w:val="none"/>
        </w:rPr>
        <w:t xml:space="preserve">相城经济技术开发区蠡塘河路900号</w:t>
      </w:r>
      <w:r>
        <w:rPr>
          <w:rFonts w:hint="eastAsia" w:ascii="宋体" w:hAnsi="宋体" w:eastAsia="宋体"/>
          <w:sz w:val="24"/>
          <w:szCs w:val="24"/>
          <w:highlight w:val="none"/>
        </w:rPr>
      </w:r>
      <w:r/>
    </w:p>
    <w:p>
      <w:pPr>
        <w:pStyle w:val="706"/>
        <w:ind w:firstLine="48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联系方式：0512-65413508</w:t>
      </w:r>
      <w:r>
        <w:rPr>
          <w:rFonts w:hint="eastAsia" w:ascii="宋体" w:hAnsi="宋体" w:eastAsia="宋体"/>
          <w:sz w:val="24"/>
          <w:szCs w:val="24"/>
          <w:highlight w:val="none"/>
        </w:rPr>
      </w:r>
      <w:r/>
    </w:p>
    <w:p>
      <w:pPr>
        <w:pStyle w:val="706"/>
        <w:ind w:firstLine="48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联系人：蒋平</w:t>
      </w:r>
      <w:r>
        <w:rPr>
          <w:rFonts w:hint="eastAsia" w:ascii="宋体" w:hAnsi="宋体" w:eastAsia="宋体"/>
          <w:sz w:val="24"/>
          <w:szCs w:val="24"/>
          <w:highlight w:val="none"/>
        </w:rPr>
      </w:r>
      <w:r/>
    </w:p>
    <w:p>
      <w:pPr>
        <w:pStyle w:val="706"/>
        <w:ind w:firstLine="480"/>
        <w:spacing w:line="360" w:lineRule="auto"/>
        <w:rPr>
          <w:rFonts w:ascii="宋体" w:hAnsi="宋体" w:eastAsia="宋体"/>
          <w:sz w:val="24"/>
          <w:szCs w:val="24"/>
          <w:highlight w:val="none"/>
        </w:rPr>
      </w:pPr>
      <w:r/>
      <w:bookmarkStart w:id="34" w:name="_Toc35393638"/>
      <w:r/>
      <w:bookmarkStart w:id="35" w:name="_Toc28359097"/>
      <w:r/>
      <w:bookmarkStart w:id="36" w:name="_Toc28359020"/>
      <w:r/>
      <w:bookmarkStart w:id="37" w:name="_Toc35393807"/>
      <w:r>
        <w:rPr>
          <w:rFonts w:hint="eastAsia" w:ascii="宋体" w:hAnsi="宋体" w:eastAsia="宋体"/>
          <w:sz w:val="24"/>
          <w:szCs w:val="24"/>
          <w:highlight w:val="none"/>
        </w:rPr>
        <w:t xml:space="preserve">2.采购代理机构信息</w:t>
      </w:r>
      <w:bookmarkEnd w:id="34"/>
      <w:r/>
      <w:bookmarkEnd w:id="35"/>
      <w:r/>
      <w:bookmarkEnd w:id="36"/>
      <w:r/>
      <w:bookmarkEnd w:id="37"/>
      <w:r>
        <w:rPr>
          <w:rFonts w:ascii="宋体" w:hAnsi="宋体" w:eastAsia="宋体"/>
          <w:sz w:val="24"/>
          <w:szCs w:val="24"/>
          <w:highlight w:val="none"/>
        </w:rPr>
      </w:r>
      <w:r/>
    </w:p>
    <w:p>
      <w:pPr>
        <w:pStyle w:val="706"/>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名    称：江苏京苏项目管理咨询有限公司</w:t>
      </w:r>
      <w:r>
        <w:rPr>
          <w:rFonts w:ascii="宋体" w:hAnsi="宋体" w:eastAsia="宋体"/>
          <w:sz w:val="24"/>
          <w:szCs w:val="24"/>
          <w:highlight w:val="none"/>
        </w:rPr>
      </w:r>
      <w:r/>
    </w:p>
    <w:p>
      <w:pPr>
        <w:pStyle w:val="706"/>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地　　址：苏州工业园区东环路1400号综艺开元大厦15楼会议室1502</w:t>
      </w:r>
      <w:r>
        <w:rPr>
          <w:rFonts w:ascii="宋体" w:hAnsi="宋体" w:eastAsia="宋体"/>
          <w:sz w:val="24"/>
          <w:szCs w:val="24"/>
          <w:highlight w:val="none"/>
        </w:rPr>
      </w:r>
      <w:r/>
    </w:p>
    <w:p>
      <w:pPr>
        <w:pStyle w:val="706"/>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联系方式：0512-</w:t>
      </w:r>
      <w:r>
        <w:rPr>
          <w:rFonts w:hint="eastAsia" w:ascii="宋体" w:hAnsi="宋体" w:eastAsia="宋体"/>
          <w:sz w:val="24"/>
          <w:szCs w:val="24"/>
          <w:highlight w:val="none"/>
          <w:lang w:eastAsia="zh-CN"/>
        </w:rPr>
        <w:t xml:space="preserve">67256848</w:t>
      </w:r>
      <w:r>
        <w:rPr>
          <w:rFonts w:hint="eastAsia" w:ascii="宋体" w:hAnsi="宋体" w:eastAsia="宋体"/>
          <w:sz w:val="24"/>
          <w:szCs w:val="24"/>
          <w:highlight w:val="none"/>
        </w:rPr>
        <w:t xml:space="preserve">-1647</w:t>
      </w:r>
      <w:r>
        <w:rPr>
          <w:rFonts w:ascii="宋体" w:hAnsi="宋体" w:eastAsia="宋体"/>
          <w:sz w:val="24"/>
          <w:szCs w:val="24"/>
          <w:highlight w:val="none"/>
        </w:rPr>
      </w:r>
      <w:r/>
    </w:p>
    <w:p>
      <w:pPr>
        <w:pStyle w:val="706"/>
        <w:ind w:firstLine="480"/>
        <w:spacing w:line="360" w:lineRule="auto"/>
        <w:rPr>
          <w:rFonts w:ascii="宋体" w:hAnsi="宋体" w:eastAsia="宋体"/>
          <w:sz w:val="24"/>
          <w:szCs w:val="24"/>
          <w:highlight w:val="none"/>
        </w:rPr>
      </w:pPr>
      <w:r/>
      <w:bookmarkStart w:id="38" w:name="_Toc35393639"/>
      <w:r/>
      <w:bookmarkStart w:id="39" w:name="_Toc35393808"/>
      <w:r/>
      <w:bookmarkStart w:id="40" w:name="_Toc28359021"/>
      <w:r/>
      <w:bookmarkStart w:id="41" w:name="_Toc28359098"/>
      <w:r>
        <w:rPr>
          <w:rFonts w:hint="eastAsia" w:ascii="宋体" w:hAnsi="宋体" w:eastAsia="宋体"/>
          <w:sz w:val="24"/>
          <w:szCs w:val="24"/>
          <w:highlight w:val="none"/>
        </w:rPr>
        <w:t xml:space="preserve">3.项目联系</w:t>
      </w:r>
      <w:r>
        <w:rPr>
          <w:rFonts w:ascii="宋体" w:hAnsi="宋体" w:eastAsia="宋体"/>
          <w:sz w:val="24"/>
          <w:szCs w:val="24"/>
          <w:highlight w:val="none"/>
        </w:rPr>
        <w:t xml:space="preserve">方式</w:t>
      </w:r>
      <w:bookmarkEnd w:id="38"/>
      <w:r/>
      <w:bookmarkEnd w:id="39"/>
      <w:r/>
      <w:bookmarkEnd w:id="40"/>
      <w:r/>
      <w:bookmarkEnd w:id="41"/>
      <w:r>
        <w:rPr>
          <w:rFonts w:ascii="宋体" w:hAnsi="宋体" w:eastAsia="宋体"/>
          <w:sz w:val="24"/>
          <w:szCs w:val="24"/>
          <w:highlight w:val="none"/>
        </w:rPr>
      </w:r>
      <w:r/>
    </w:p>
    <w:p>
      <w:pPr>
        <w:pStyle w:val="753"/>
        <w:ind w:firstLine="480"/>
        <w:spacing w:line="360" w:lineRule="auto"/>
        <w:rPr>
          <w:rFonts w:hAnsi="宋体" w:eastAsia="宋体"/>
          <w:sz w:val="24"/>
          <w:szCs w:val="24"/>
          <w:highlight w:val="none"/>
        </w:rPr>
      </w:pPr>
      <w:r>
        <w:rPr>
          <w:rFonts w:hint="eastAsia" w:hAnsi="宋体" w:eastAsia="宋体"/>
          <w:sz w:val="24"/>
          <w:szCs w:val="24"/>
          <w:highlight w:val="none"/>
        </w:rPr>
        <w:t xml:space="preserve">项目联系人：顾</w:t>
      </w:r>
      <w:r>
        <w:rPr>
          <w:rFonts w:hint="eastAsia" w:hAnsi="宋体" w:eastAsia="宋体"/>
          <w:sz w:val="24"/>
          <w:szCs w:val="24"/>
          <w:highlight w:val="none"/>
          <w:lang w:eastAsia="zh-CN"/>
        </w:rPr>
        <w:t xml:space="preserve">苏芯</w:t>
      </w:r>
      <w:r>
        <w:rPr>
          <w:rFonts w:hint="eastAsia" w:hAnsi="宋体" w:eastAsia="宋体"/>
          <w:sz w:val="24"/>
          <w:szCs w:val="24"/>
          <w:highlight w:val="none"/>
        </w:rPr>
        <w:t xml:space="preserve">、俞莉</w:t>
      </w:r>
      <w:r>
        <w:rPr>
          <w:rFonts w:hAnsi="宋体" w:eastAsia="宋体"/>
          <w:sz w:val="24"/>
          <w:szCs w:val="24"/>
          <w:highlight w:val="none"/>
        </w:rPr>
      </w:r>
      <w:r/>
    </w:p>
    <w:p>
      <w:pPr>
        <w:pStyle w:val="706"/>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电　　 话：0512-</w:t>
      </w:r>
      <w:r>
        <w:rPr>
          <w:rFonts w:hint="eastAsia" w:ascii="宋体" w:hAnsi="宋体" w:eastAsia="宋体"/>
          <w:sz w:val="24"/>
          <w:szCs w:val="24"/>
          <w:highlight w:val="none"/>
          <w:lang w:eastAsia="zh-CN"/>
        </w:rPr>
        <w:t xml:space="preserve">67256848</w:t>
      </w:r>
      <w:r>
        <w:rPr>
          <w:rFonts w:hint="eastAsia" w:ascii="宋体" w:hAnsi="宋体" w:eastAsia="宋体"/>
          <w:sz w:val="24"/>
          <w:szCs w:val="24"/>
          <w:highlight w:val="none"/>
        </w:rPr>
        <w:t xml:space="preserve">-1647</w:t>
      </w:r>
      <w:r>
        <w:rPr>
          <w:rFonts w:ascii="宋体" w:hAnsi="宋体" w:eastAsia="宋体"/>
          <w:sz w:val="24"/>
          <w:szCs w:val="24"/>
          <w:highlight w:val="none"/>
        </w:rPr>
      </w:r>
      <w:r/>
    </w:p>
    <w:p>
      <w:pPr>
        <w:pStyle w:val="706"/>
        <w:ind w:firstLine="480"/>
        <w:spacing w:line="360" w:lineRule="auto"/>
        <w:rPr>
          <w:rFonts w:ascii="宋体" w:hAnsi="宋体" w:eastAsia="宋体"/>
          <w:sz w:val="24"/>
          <w:szCs w:val="24"/>
          <w:highlight w:val="none"/>
          <w:u w:val="single"/>
        </w:rPr>
      </w:pPr>
      <w:r>
        <w:rPr>
          <w:rFonts w:ascii="宋体" w:hAnsi="宋体" w:eastAsia="宋体"/>
          <w:sz w:val="24"/>
          <w:szCs w:val="24"/>
          <w:highlight w:val="none"/>
          <w:u w:val="single"/>
        </w:rPr>
      </w:r>
      <w:r/>
    </w:p>
    <w:p>
      <w:pPr>
        <w:pStyle w:val="744"/>
        <w:rPr>
          <w:rFonts w:ascii="宋体" w:hAnsi="宋体" w:eastAsia="宋体"/>
          <w:szCs w:val="24"/>
          <w:highlight w:val="none"/>
          <w:u w:val="single"/>
        </w:rPr>
      </w:pPr>
      <w:r>
        <w:rPr>
          <w:rFonts w:ascii="宋体" w:hAnsi="宋体" w:eastAsia="宋体"/>
          <w:szCs w:val="24"/>
          <w:highlight w:val="none"/>
          <w:u w:val="single"/>
        </w:rPr>
      </w:r>
      <w:r/>
    </w:p>
    <w:p>
      <w:pPr>
        <w:pStyle w:val="707"/>
        <w:jc w:val="center"/>
        <w:spacing w:before="120" w:after="0" w:line="360" w:lineRule="auto"/>
        <w:rPr>
          <w:rFonts w:hint="eastAsia" w:ascii="黑体" w:hAnsi="黑体" w:eastAsia="黑体"/>
          <w:b w:val="0"/>
          <w:szCs w:val="44"/>
          <w:highlight w:val="none"/>
        </w:rPr>
      </w:pPr>
      <w:r/>
      <w:bookmarkStart w:id="42" w:name="_Toc473017220"/>
      <w:r/>
      <w:bookmarkStart w:id="43" w:name="_Toc5418"/>
      <w:r>
        <w:rPr>
          <w:rFonts w:hint="eastAsia" w:ascii="黑体" w:hAnsi="黑体" w:eastAsia="黑体"/>
          <w:b w:val="0"/>
          <w:szCs w:val="44"/>
          <w:highlight w:val="none"/>
        </w:rPr>
      </w:r>
      <w:r/>
    </w:p>
    <w:p>
      <w:pPr>
        <w:pStyle w:val="707"/>
        <w:jc w:val="center"/>
        <w:spacing w:before="120" w:after="0" w:line="360" w:lineRule="auto"/>
        <w:rPr>
          <w:rFonts w:hint="eastAsia" w:ascii="黑体" w:hAnsi="黑体" w:eastAsia="黑体"/>
          <w:b w:val="0"/>
          <w:szCs w:val="44"/>
          <w:highlight w:val="none"/>
        </w:rPr>
      </w:pPr>
      <w:r>
        <w:rPr>
          <w:rFonts w:hint="eastAsia" w:ascii="黑体" w:hAnsi="黑体" w:eastAsia="黑体"/>
          <w:b w:val="0"/>
          <w:szCs w:val="44"/>
          <w:highlight w:val="none"/>
        </w:rPr>
      </w:r>
      <w:r/>
    </w:p>
    <w:p>
      <w:pPr>
        <w:pStyle w:val="707"/>
        <w:jc w:val="center"/>
        <w:spacing w:before="120" w:after="0" w:line="360" w:lineRule="auto"/>
        <w:rPr>
          <w:rFonts w:hint="eastAsia" w:ascii="黑体" w:hAnsi="黑体" w:eastAsia="黑体"/>
          <w:b w:val="0"/>
          <w:szCs w:val="44"/>
          <w:highlight w:val="none"/>
        </w:rPr>
      </w:pPr>
      <w:r>
        <w:rPr>
          <w:rFonts w:hint="eastAsia" w:ascii="黑体" w:hAnsi="黑体" w:eastAsia="黑体"/>
          <w:b w:val="0"/>
          <w:szCs w:val="44"/>
          <w:highlight w:val="none"/>
        </w:rPr>
      </w:r>
      <w:r/>
    </w:p>
    <w:p>
      <w:pPr>
        <w:pStyle w:val="707"/>
        <w:jc w:val="center"/>
        <w:spacing w:before="120" w:after="0" w:line="360" w:lineRule="auto"/>
        <w:rPr>
          <w:rFonts w:ascii="黑体" w:hAnsi="黑体" w:eastAsia="黑体"/>
          <w:b w:val="0"/>
          <w:szCs w:val="44"/>
          <w:highlight w:val="none"/>
        </w:rPr>
      </w:pPr>
      <w:r/>
      <w:bookmarkStart w:id="44" w:name="_Toc21223"/>
      <w:r>
        <w:rPr>
          <w:rFonts w:hint="eastAsia" w:ascii="黑体" w:hAnsi="黑体" w:eastAsia="黑体"/>
          <w:b w:val="0"/>
          <w:szCs w:val="44"/>
          <w:highlight w:val="none"/>
        </w:rPr>
        <w:t xml:space="preserve">第二章  磋商响应文件格式</w:t>
      </w:r>
      <w:bookmarkEnd w:id="42"/>
      <w:r/>
      <w:bookmarkEnd w:id="43"/>
      <w:r/>
      <w:bookmarkEnd w:id="44"/>
      <w:r>
        <w:rPr>
          <w:rFonts w:ascii="黑体" w:hAnsi="黑体" w:eastAsia="黑体"/>
          <w:b w:val="0"/>
          <w:szCs w:val="44"/>
          <w:highlight w:val="none"/>
        </w:rPr>
      </w:r>
      <w:r/>
    </w:p>
    <w:p>
      <w:pPr>
        <w:pStyle w:val="730"/>
        <w:ind w:firstLine="0"/>
        <w:spacing w:line="360" w:lineRule="auto"/>
        <w:rPr>
          <w:rFonts w:ascii="宋体" w:hAnsi="宋体" w:eastAsia="宋体"/>
          <w:b/>
          <w:szCs w:val="24"/>
          <w:highlight w:val="none"/>
        </w:rPr>
      </w:pPr>
      <w:r>
        <w:rPr>
          <w:rFonts w:ascii="宋体" w:hAnsi="宋体" w:eastAsia="宋体"/>
          <w:b/>
          <w:szCs w:val="24"/>
          <w:highlight w:val="none"/>
        </w:rPr>
      </w:r>
      <w:r/>
    </w:p>
    <w:p>
      <w:pPr>
        <w:pStyle w:val="730"/>
        <w:ind w:firstLine="0"/>
        <w:spacing w:line="360" w:lineRule="auto"/>
        <w:rPr>
          <w:rFonts w:ascii="宋体" w:hAnsi="宋体" w:eastAsia="宋体"/>
          <w:b/>
          <w:szCs w:val="24"/>
          <w:highlight w:val="none"/>
        </w:rPr>
      </w:pPr>
      <w:r>
        <w:rPr>
          <w:rFonts w:hint="eastAsia" w:ascii="宋体" w:hAnsi="宋体" w:eastAsia="宋体"/>
          <w:b/>
          <w:szCs w:val="24"/>
          <w:highlight w:val="none"/>
        </w:rPr>
        <w:t xml:space="preserve">说明：</w:t>
      </w:r>
      <w:r>
        <w:rPr>
          <w:rFonts w:ascii="宋体" w:hAnsi="宋体" w:eastAsia="宋体"/>
          <w:b/>
          <w:szCs w:val="24"/>
          <w:highlight w:val="none"/>
        </w:rPr>
      </w:r>
      <w:r/>
    </w:p>
    <w:p>
      <w:pPr>
        <w:pStyle w:val="730"/>
        <w:ind w:firstLine="482"/>
        <w:spacing w:line="360" w:lineRule="auto"/>
        <w:rPr>
          <w:rFonts w:ascii="宋体" w:hAnsi="宋体" w:eastAsia="宋体"/>
          <w:b/>
          <w:szCs w:val="24"/>
          <w:highlight w:val="none"/>
        </w:rPr>
      </w:pPr>
      <w:r>
        <w:rPr>
          <w:rFonts w:hint="eastAsia" w:ascii="宋体" w:hAnsi="宋体" w:eastAsia="宋体"/>
          <w:b/>
          <w:szCs w:val="24"/>
          <w:highlight w:val="none"/>
        </w:rPr>
        <w:t xml:space="preserve">对本章所有的格式，磋商供应商可根据自身情况进行补充和修改，但补充和修改不得造成与本格式内容有实质性的违背。</w:t>
      </w:r>
      <w:r>
        <w:rPr>
          <w:rFonts w:ascii="宋体" w:hAnsi="宋体" w:eastAsia="宋体"/>
          <w:b/>
          <w:szCs w:val="24"/>
          <w:highlight w:val="none"/>
        </w:rPr>
      </w:r>
      <w:r/>
    </w:p>
    <w:p>
      <w:pPr>
        <w:pStyle w:val="708"/>
        <w:spacing w:after="120" w:line="360" w:lineRule="auto"/>
        <w:rPr>
          <w:rFonts w:eastAsia="宋体"/>
          <w:b w:val="0"/>
          <w:color w:val="000000"/>
          <w:sz w:val="24"/>
          <w:szCs w:val="24"/>
          <w:highlight w:val="none"/>
        </w:rPr>
      </w:pPr>
      <w:r>
        <w:rPr>
          <w:sz w:val="21"/>
          <w:szCs w:val="21"/>
          <w:highlight w:val="none"/>
        </w:rPr>
        <w:br w:type="page" w:clear="all"/>
      </w:r>
      <w:bookmarkStart w:id="45" w:name="_Toc2535"/>
      <w:r/>
      <w:bookmarkStart w:id="46" w:name="_Toc10467986"/>
      <w:r/>
      <w:bookmarkStart w:id="47" w:name="_Toc13642115"/>
      <w:r/>
      <w:bookmarkStart w:id="48" w:name="_Toc473017221"/>
      <w:r/>
      <w:bookmarkStart w:id="49" w:name="_Toc3541"/>
      <w:r>
        <w:rPr>
          <w:rFonts w:hint="eastAsia" w:eastAsia="宋体"/>
          <w:b w:val="0"/>
          <w:color w:val="000000"/>
          <w:sz w:val="24"/>
          <w:szCs w:val="24"/>
          <w:highlight w:val="none"/>
        </w:rPr>
        <w:t xml:space="preserve">1、授权委托书</w:t>
      </w:r>
      <w:bookmarkEnd w:id="45"/>
      <w:r/>
      <w:bookmarkEnd w:id="46"/>
      <w:r>
        <w:rPr>
          <w:rFonts w:eastAsia="宋体"/>
          <w:b w:val="0"/>
          <w:color w:val="000000"/>
          <w:sz w:val="24"/>
          <w:szCs w:val="24"/>
          <w:highlight w:val="none"/>
        </w:rPr>
      </w:r>
      <w:r/>
    </w:p>
    <w:p>
      <w:pPr>
        <w:pStyle w:val="706"/>
        <w:jc w:val="center"/>
        <w:spacing w:before="100" w:beforeAutospacing="1" w:after="100" w:afterAutospacing="1"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30"/>
          <w:szCs w:val="30"/>
          <w:highlight w:val="none"/>
        </w:rPr>
        <w:t xml:space="preserve">法定代表人授权委托书</w:t>
      </w:r>
      <w:r>
        <w:rPr>
          <w:rFonts w:hint="eastAsia" w:ascii="宋体" w:hAnsi="宋体" w:eastAsia="宋体" w:cs="宋体"/>
          <w:color w:val="000000"/>
          <w:sz w:val="24"/>
          <w:szCs w:val="24"/>
          <w:highlight w:val="none"/>
        </w:rPr>
      </w:r>
      <w:r/>
    </w:p>
    <w:p>
      <w:pPr>
        <w:pStyle w:val="706"/>
        <w:ind w:firstLine="480"/>
        <w:jc w:val="left"/>
        <w:spacing w:before="100" w:beforeAutospacing="1" w:after="100" w:afterAutospacing="1"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本授权委托书声明：我</w:t>
      </w:r>
      <w:r>
        <w:rPr>
          <w:rFonts w:hint="eastAsia" w:ascii="宋体" w:hAnsi="宋体" w:eastAsia="宋体" w:cs="宋体"/>
          <w:color w:val="000000"/>
          <w:sz w:val="24"/>
          <w:szCs w:val="24"/>
          <w:highlight w:val="none"/>
          <w:u w:val="single"/>
        </w:rPr>
        <w:t xml:space="preserve">（姓名）</w:t>
      </w:r>
      <w:r>
        <w:rPr>
          <w:rFonts w:hint="eastAsia" w:ascii="宋体" w:hAnsi="宋体" w:eastAsia="宋体" w:cs="宋体"/>
          <w:color w:val="000000"/>
          <w:sz w:val="24"/>
          <w:szCs w:val="24"/>
          <w:highlight w:val="none"/>
        </w:rPr>
        <w:t xml:space="preserve">系</w:t>
      </w:r>
      <w:r>
        <w:rPr>
          <w:rFonts w:hint="eastAsia" w:ascii="宋体" w:hAnsi="宋体" w:eastAsia="宋体" w:cs="宋体"/>
          <w:color w:val="000000"/>
          <w:sz w:val="24"/>
          <w:szCs w:val="24"/>
          <w:highlight w:val="none"/>
          <w:u w:val="single"/>
        </w:rPr>
        <w:t xml:space="preserve">（投标人名称）</w:t>
      </w:r>
      <w:r>
        <w:rPr>
          <w:rFonts w:hint="eastAsia" w:ascii="宋体" w:hAnsi="宋体" w:eastAsia="宋体" w:cs="宋体"/>
          <w:color w:val="000000"/>
          <w:sz w:val="24"/>
          <w:szCs w:val="24"/>
          <w:highlight w:val="none"/>
        </w:rPr>
        <w:t xml:space="preserve">的法定代表人，现授权委托</w:t>
      </w:r>
      <w:r>
        <w:rPr>
          <w:rFonts w:hint="eastAsia" w:ascii="宋体" w:hAnsi="宋体" w:eastAsia="宋体" w:cs="宋体"/>
          <w:color w:val="000000"/>
          <w:sz w:val="24"/>
          <w:szCs w:val="24"/>
          <w:highlight w:val="none"/>
          <w:u w:val="single"/>
        </w:rPr>
        <w:t xml:space="preserve">（姓名+手机号码）</w:t>
      </w:r>
      <w:r>
        <w:rPr>
          <w:rFonts w:hint="eastAsia" w:ascii="宋体" w:hAnsi="宋体" w:eastAsia="宋体" w:cs="宋体"/>
          <w:color w:val="000000"/>
          <w:sz w:val="24"/>
          <w:szCs w:val="24"/>
          <w:highlight w:val="none"/>
        </w:rPr>
        <w:t xml:space="preserve">为我公司代理人，以本公司的名义参加</w:t>
      </w:r>
      <w:r>
        <w:rPr>
          <w:rFonts w:hint="eastAsia" w:ascii="宋体" w:hAnsi="宋体" w:eastAsia="宋体" w:cs="宋体"/>
          <w:color w:val="000000"/>
          <w:sz w:val="24"/>
          <w:szCs w:val="24"/>
          <w:highlight w:val="none"/>
          <w:u w:val="single"/>
        </w:rPr>
        <w:t xml:space="preserve">（采购人名称）</w:t>
      </w:r>
      <w:r>
        <w:rPr>
          <w:rFonts w:hint="eastAsia" w:ascii="宋体" w:hAnsi="宋体" w:eastAsia="宋体" w:cs="宋体"/>
          <w:color w:val="000000"/>
          <w:sz w:val="24"/>
          <w:szCs w:val="24"/>
          <w:highlight w:val="none"/>
        </w:rPr>
        <w:t xml:space="preserve">组织实施的编号为</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号的招标（采购）活动。代理人在投标、开标、评标、合同订立和履行过程中所签署的一切文件和处理与这有关的一切事务，我均予以承认。</w:t>
      </w:r>
      <w:r>
        <w:rPr>
          <w:rFonts w:hint="eastAsia" w:ascii="宋体" w:hAnsi="宋体" w:eastAsia="宋体" w:cs="宋体"/>
          <w:color w:val="000000"/>
          <w:sz w:val="24"/>
          <w:szCs w:val="24"/>
          <w:highlight w:val="none"/>
        </w:rPr>
      </w:r>
      <w:r/>
    </w:p>
    <w:p>
      <w:pPr>
        <w:pStyle w:val="706"/>
        <w:ind w:firstLine="480"/>
        <w:jc w:val="left"/>
        <w:spacing w:before="100" w:beforeAutospacing="1" w:after="100" w:afterAutospacing="1"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我司需撤销该代理人授权或更换代理人的，必须另行向贵方提交相应正式书面文件，并经贵方确认送达后方可实施。代理人在授权委托书有效期内签署的所有文件不因授权委托的撤销而失效，除非有撤销授权委托的书面通知，本授权委托书自投标开始至合同履行完毕止。</w:t>
      </w:r>
      <w:r>
        <w:rPr>
          <w:rFonts w:hint="eastAsia" w:ascii="宋体" w:hAnsi="宋体" w:eastAsia="宋体" w:cs="宋体"/>
          <w:color w:val="000000"/>
          <w:sz w:val="24"/>
          <w:szCs w:val="24"/>
          <w:highlight w:val="none"/>
        </w:rPr>
      </w:r>
      <w:r/>
    </w:p>
    <w:p>
      <w:pPr>
        <w:pStyle w:val="706"/>
        <w:ind w:firstLine="480"/>
        <w:jc w:val="left"/>
        <w:spacing w:before="100" w:beforeAutospacing="1" w:after="100" w:afterAutospacing="1"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代理人无转委托权。特此委托。  </w:t>
      </w:r>
      <w:r>
        <w:rPr>
          <w:rFonts w:hint="eastAsia" w:ascii="宋体" w:hAnsi="宋体" w:eastAsia="宋体" w:cs="宋体"/>
          <w:color w:val="000000"/>
          <w:sz w:val="24"/>
          <w:szCs w:val="24"/>
          <w:highlight w:val="none"/>
        </w:rPr>
      </w:r>
      <w:r/>
    </w:p>
    <w:p>
      <w:pPr>
        <w:pStyle w:val="706"/>
        <w:ind w:firstLine="480"/>
        <w:jc w:val="left"/>
        <w:spacing w:before="100" w:beforeAutospacing="1" w:after="100" w:afterAutospacing="1"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 标 人(盖章）：</w:t>
      </w:r>
      <w:r>
        <w:rPr>
          <w:rFonts w:hint="eastAsia" w:ascii="宋体" w:hAnsi="宋体" w:eastAsia="宋体" w:cs="宋体"/>
          <w:color w:val="000000"/>
          <w:sz w:val="24"/>
          <w:szCs w:val="24"/>
          <w:highlight w:val="none"/>
        </w:rPr>
      </w:r>
      <w:r/>
    </w:p>
    <w:p>
      <w:pPr>
        <w:pStyle w:val="706"/>
        <w:ind w:firstLine="480"/>
        <w:jc w:val="left"/>
        <w:spacing w:before="100" w:beforeAutospacing="1" w:after="100" w:afterAutospacing="1"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法定代表人（盖章或签字）：</w:t>
      </w:r>
      <w:r>
        <w:rPr>
          <w:rFonts w:hint="eastAsia" w:ascii="宋体" w:hAnsi="宋体" w:eastAsia="宋体" w:cs="宋体"/>
          <w:color w:val="000000"/>
          <w:sz w:val="24"/>
          <w:szCs w:val="24"/>
          <w:highlight w:val="none"/>
        </w:rPr>
      </w:r>
      <w:r/>
    </w:p>
    <w:p>
      <w:pPr>
        <w:pStyle w:val="706"/>
        <w:ind w:firstLine="480"/>
        <w:jc w:val="left"/>
        <w:spacing w:before="100" w:beforeAutospacing="1" w:after="100" w:afterAutospacing="1"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代理人（盖章或签字）：</w:t>
      </w:r>
      <w:r>
        <w:rPr>
          <w:rFonts w:hint="eastAsia" w:ascii="宋体" w:hAnsi="宋体" w:eastAsia="宋体" w:cs="宋体"/>
          <w:color w:val="000000"/>
          <w:sz w:val="24"/>
          <w:szCs w:val="24"/>
          <w:highlight w:val="none"/>
        </w:rPr>
      </w:r>
      <w:r/>
    </w:p>
    <w:p>
      <w:pPr>
        <w:pStyle w:val="706"/>
        <w:ind w:firstLine="480"/>
        <w:jc w:val="left"/>
        <w:spacing w:before="100" w:beforeAutospacing="1" w:after="100" w:afterAutospacing="1"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 </w:t>
      </w:r>
      <w:r>
        <w:rPr>
          <w:rFonts w:hint="eastAsia" w:ascii="宋体" w:hAnsi="宋体" w:eastAsia="宋体" w:cs="宋体"/>
          <w:color w:val="000000"/>
          <w:sz w:val="24"/>
          <w:szCs w:val="24"/>
          <w:highlight w:val="none"/>
        </w:rPr>
      </w:r>
      <w:r/>
    </w:p>
    <w:p>
      <w:pPr>
        <w:pStyle w:val="730"/>
        <w:ind w:firstLine="0"/>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r>
      <w:r/>
    </w:p>
    <w:p>
      <w:pPr>
        <w:pStyle w:val="708"/>
        <w:spacing w:after="120" w:line="360" w:lineRule="auto"/>
        <w:rPr>
          <w:rFonts w:hint="eastAsia" w:eastAsia="宋体"/>
          <w:b w:val="0"/>
          <w:color w:val="000000"/>
          <w:sz w:val="24"/>
          <w:szCs w:val="24"/>
          <w:highlight w:val="none"/>
        </w:rPr>
      </w:pPr>
      <w:r>
        <w:rPr>
          <w:rFonts w:hint="eastAsia" w:eastAsia="宋体"/>
          <w:b w:val="0"/>
          <w:color w:val="000000"/>
          <w:szCs w:val="24"/>
          <w:highlight w:val="none"/>
        </w:rPr>
        <w:br w:type="page" w:clear="all"/>
      </w:r>
      <w:bookmarkStart w:id="50" w:name="_Toc29609"/>
      <w:r/>
      <w:bookmarkStart w:id="51" w:name="_Toc10467987"/>
      <w:r>
        <w:rPr>
          <w:rFonts w:hint="eastAsia" w:eastAsia="宋体"/>
          <w:b w:val="0"/>
          <w:color w:val="000000"/>
          <w:sz w:val="24"/>
          <w:szCs w:val="24"/>
          <w:highlight w:val="none"/>
        </w:rPr>
        <w:t xml:space="preserve">2、磋商响应函</w:t>
      </w:r>
      <w:bookmarkEnd w:id="50"/>
      <w:r/>
      <w:bookmarkEnd w:id="51"/>
      <w:r>
        <w:rPr>
          <w:rFonts w:hint="eastAsia" w:eastAsia="宋体"/>
          <w:b w:val="0"/>
          <w:color w:val="000000"/>
          <w:sz w:val="24"/>
          <w:szCs w:val="24"/>
          <w:highlight w:val="none"/>
        </w:rPr>
      </w:r>
      <w:r/>
    </w:p>
    <w:p>
      <w:pPr>
        <w:pStyle w:val="730"/>
        <w:ind w:firstLine="0"/>
        <w:jc w:val="center"/>
        <w:spacing w:before="120" w:after="120" w:line="360" w:lineRule="auto"/>
        <w:rPr>
          <w:rFonts w:hint="eastAsia" w:ascii="宋体" w:hAnsi="宋体" w:eastAsia="宋体"/>
          <w:color w:val="000000"/>
          <w:sz w:val="30"/>
          <w:szCs w:val="30"/>
          <w:highlight w:val="none"/>
        </w:rPr>
      </w:pPr>
      <w:r>
        <w:rPr>
          <w:rFonts w:hint="eastAsia" w:ascii="宋体" w:hAnsi="宋体" w:eastAsia="宋体"/>
          <w:color w:val="000000"/>
          <w:sz w:val="30"/>
          <w:szCs w:val="30"/>
          <w:highlight w:val="none"/>
        </w:rPr>
        <w:t xml:space="preserve">磋商响应函</w:t>
      </w:r>
      <w:r>
        <w:rPr>
          <w:rFonts w:hint="eastAsia" w:ascii="宋体" w:hAnsi="宋体" w:eastAsia="宋体"/>
          <w:color w:val="000000"/>
          <w:sz w:val="30"/>
          <w:szCs w:val="30"/>
          <w:highlight w:val="none"/>
        </w:rPr>
      </w:r>
      <w:r/>
    </w:p>
    <w:p>
      <w:pPr>
        <w:pStyle w:val="840"/>
        <w:ind w:firstLine="48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江苏京苏项目管理咨询有限公司：</w:t>
      </w:r>
      <w:r>
        <w:rPr>
          <w:rFonts w:hint="eastAsia" w:hAnsi="宋体" w:eastAsia="宋体"/>
          <w:color w:val="000000"/>
          <w:sz w:val="24"/>
          <w:szCs w:val="24"/>
          <w:highlight w:val="none"/>
        </w:rPr>
      </w:r>
      <w:r/>
    </w:p>
    <w:p>
      <w:pPr>
        <w:pStyle w:val="840"/>
        <w:ind w:firstLine="48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我们收到贵公司</w:t>
      </w:r>
      <w:r>
        <w:rPr>
          <w:rFonts w:hint="eastAsia" w:hAnsi="宋体" w:eastAsia="宋体"/>
          <w:color w:val="000000"/>
          <w:sz w:val="24"/>
          <w:szCs w:val="24"/>
          <w:highlight w:val="none"/>
          <w:u w:val="single"/>
        </w:rPr>
        <w:t xml:space="preserve">        </w:t>
      </w:r>
      <w:r>
        <w:rPr>
          <w:rFonts w:hint="eastAsia" w:hAnsi="宋体" w:eastAsia="宋体"/>
          <w:color w:val="000000"/>
          <w:sz w:val="24"/>
          <w:szCs w:val="24"/>
          <w:highlight w:val="none"/>
        </w:rPr>
        <w:t xml:space="preserve">号采购文件，经仔细阅读和研究，我们决定参加磋商活动。</w:t>
      </w:r>
      <w:r>
        <w:rPr>
          <w:rFonts w:hint="eastAsia" w:hAnsi="宋体" w:eastAsia="宋体"/>
          <w:color w:val="000000"/>
          <w:sz w:val="24"/>
          <w:szCs w:val="24"/>
          <w:highlight w:val="none"/>
        </w:rPr>
      </w:r>
      <w:r/>
    </w:p>
    <w:p>
      <w:pPr>
        <w:pStyle w:val="840"/>
        <w:ind w:firstLine="48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1、我们愿意按照磋商采购文件的一切要求，提供本项目所有内容，我方的报价包含磋商文件要求的一切费用。</w:t>
      </w:r>
      <w:r>
        <w:rPr>
          <w:rFonts w:hint="eastAsia" w:hAnsi="宋体" w:eastAsia="宋体"/>
          <w:color w:val="000000"/>
          <w:sz w:val="24"/>
          <w:szCs w:val="24"/>
          <w:highlight w:val="none"/>
        </w:rPr>
      </w:r>
      <w:r/>
    </w:p>
    <w:p>
      <w:pPr>
        <w:pStyle w:val="840"/>
        <w:ind w:firstLine="48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2、如果我们的磋商响应文件被接受，我们将严格履行采购文件中规定的每一项要求，按期、按质、按量履行合同的义务。</w:t>
      </w:r>
      <w:r>
        <w:rPr>
          <w:rFonts w:hint="eastAsia" w:hAnsi="宋体" w:eastAsia="宋体"/>
          <w:color w:val="000000"/>
          <w:sz w:val="24"/>
          <w:szCs w:val="24"/>
          <w:highlight w:val="none"/>
        </w:rPr>
      </w:r>
      <w:r/>
    </w:p>
    <w:p>
      <w:pPr>
        <w:pStyle w:val="840"/>
        <w:ind w:firstLine="48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3、我们已详细审查全部采购文件，包括更正公告(如有)。</w:t>
      </w:r>
      <w:r>
        <w:rPr>
          <w:rFonts w:hint="eastAsia" w:hAnsi="宋体" w:eastAsia="宋体"/>
          <w:color w:val="000000"/>
          <w:sz w:val="24"/>
          <w:szCs w:val="24"/>
          <w:highlight w:val="none"/>
        </w:rPr>
      </w:r>
      <w:r/>
    </w:p>
    <w:p>
      <w:pPr>
        <w:pStyle w:val="840"/>
        <w:ind w:firstLine="48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4、我们同意按采购文件中的规定，本磋商响应文件的有效期限为响应文件提交截止之日起90天。如果我们在开标后规定的有效期内撤回，我们愿承担一切责任。</w:t>
      </w:r>
      <w:r>
        <w:rPr>
          <w:rFonts w:hint="eastAsia" w:hAnsi="宋体" w:eastAsia="宋体"/>
          <w:color w:val="000000"/>
          <w:sz w:val="24"/>
          <w:szCs w:val="24"/>
          <w:highlight w:val="none"/>
        </w:rPr>
      </w:r>
      <w:r/>
    </w:p>
    <w:p>
      <w:pPr>
        <w:pStyle w:val="840"/>
        <w:ind w:firstLine="48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5、我们愿意提供磋商采购单位在采购文件中要求的所有资料，也同意向贵方提供贵方可能另外要求的与其有关的任何证据或资料，并保证所提供的资料全部是真实的、合法的、有效的，若有虚假，我们愿承担一切责任。</w:t>
      </w:r>
      <w:r>
        <w:rPr>
          <w:rFonts w:hint="eastAsia" w:hAnsi="宋体" w:eastAsia="宋体"/>
          <w:color w:val="000000"/>
          <w:sz w:val="24"/>
          <w:szCs w:val="24"/>
          <w:highlight w:val="none"/>
        </w:rPr>
      </w:r>
      <w:r/>
    </w:p>
    <w:p>
      <w:pPr>
        <w:pStyle w:val="840"/>
        <w:ind w:firstLine="48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6、我们愿意遵守采购文件中所列的收费标准。</w:t>
      </w:r>
      <w:r>
        <w:rPr>
          <w:rFonts w:hint="eastAsia" w:hAnsi="宋体" w:eastAsia="宋体"/>
          <w:color w:val="000000"/>
          <w:sz w:val="24"/>
          <w:szCs w:val="24"/>
          <w:highlight w:val="none"/>
        </w:rPr>
      </w:r>
      <w:r/>
    </w:p>
    <w:p>
      <w:pPr>
        <w:pStyle w:val="840"/>
        <w:ind w:firstLine="48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7、我们承诺该磋商响应文件在磋商开始后的全过程中保持有效，不作任何更改和变动。我们同意成交后若不履行响应文件的内容要求和各项承诺及义务的即被视为违约，我们愿承担一切责任。</w:t>
      </w:r>
      <w:r>
        <w:rPr>
          <w:rFonts w:hint="eastAsia" w:hAnsi="宋体" w:eastAsia="宋体"/>
          <w:color w:val="000000"/>
          <w:sz w:val="24"/>
          <w:szCs w:val="24"/>
          <w:highlight w:val="none"/>
        </w:rPr>
      </w:r>
      <w:r/>
    </w:p>
    <w:p>
      <w:pPr>
        <w:pStyle w:val="840"/>
        <w:ind w:firstLine="48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8、我们承诺我公司符合采购文件中“合格磋商供应商的条件”的要求，若与真实情况不符，本公司愿意承担由此而产生的一切后果。</w:t>
      </w:r>
      <w:r>
        <w:rPr>
          <w:rFonts w:hint="eastAsia" w:hAnsi="宋体" w:eastAsia="宋体"/>
          <w:color w:val="000000"/>
          <w:sz w:val="24"/>
          <w:szCs w:val="24"/>
          <w:highlight w:val="none"/>
        </w:rPr>
      </w:r>
      <w:r/>
    </w:p>
    <w:p>
      <w:pPr>
        <w:pStyle w:val="840"/>
        <w:ind w:firstLine="48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9、我们声明：我们在参加本次政府采购活动前3年内在经营活动中没有重大违法记录。</w:t>
      </w:r>
      <w:r>
        <w:rPr>
          <w:rFonts w:hint="eastAsia" w:hAnsi="宋体" w:eastAsia="宋体"/>
          <w:color w:val="000000"/>
          <w:sz w:val="24"/>
          <w:szCs w:val="24"/>
          <w:highlight w:val="none"/>
        </w:rPr>
      </w:r>
      <w:r/>
    </w:p>
    <w:p>
      <w:pPr>
        <w:pStyle w:val="840"/>
        <w:ind w:firstLine="48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10、如果我们成交，我们愿意在签订合同时按采购文件的规定支付代理服务费；</w:t>
      </w:r>
      <w:r>
        <w:rPr>
          <w:rFonts w:hint="eastAsia" w:hAnsi="宋体" w:eastAsia="宋体"/>
          <w:color w:val="000000"/>
          <w:sz w:val="24"/>
          <w:szCs w:val="24"/>
          <w:highlight w:val="none"/>
        </w:rPr>
      </w:r>
      <w:r/>
    </w:p>
    <w:p>
      <w:pPr>
        <w:pStyle w:val="840"/>
        <w:ind w:firstLine="48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11、综合说明：</w:t>
      </w:r>
      <w:r>
        <w:rPr>
          <w:rFonts w:hint="eastAsia" w:hAnsi="宋体" w:eastAsia="宋体"/>
          <w:color w:val="000000"/>
          <w:sz w:val="24"/>
          <w:szCs w:val="24"/>
          <w:highlight w:val="none"/>
        </w:rPr>
      </w:r>
      <w:r/>
    </w:p>
    <w:p>
      <w:pPr>
        <w:pStyle w:val="840"/>
        <w:ind w:firstLine="48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（1）伴随服务及配合措施；</w:t>
      </w:r>
      <w:r>
        <w:rPr>
          <w:rFonts w:hint="eastAsia" w:hAnsi="宋体" w:eastAsia="宋体"/>
          <w:color w:val="000000"/>
          <w:sz w:val="24"/>
          <w:szCs w:val="24"/>
          <w:highlight w:val="none"/>
        </w:rPr>
      </w:r>
      <w:r/>
    </w:p>
    <w:p>
      <w:pPr>
        <w:pStyle w:val="840"/>
        <w:ind w:firstLine="48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（2）要求甲方提供的配合；</w:t>
      </w:r>
      <w:r>
        <w:rPr>
          <w:rFonts w:hint="eastAsia" w:hAnsi="宋体" w:eastAsia="宋体"/>
          <w:color w:val="000000"/>
          <w:sz w:val="24"/>
          <w:szCs w:val="24"/>
          <w:highlight w:val="none"/>
        </w:rPr>
      </w:r>
      <w:r/>
    </w:p>
    <w:p>
      <w:pPr>
        <w:pStyle w:val="840"/>
        <w:ind w:firstLine="48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（3）对采购文件有不同意见的偏离说明；</w:t>
      </w:r>
      <w:r>
        <w:rPr>
          <w:rFonts w:hint="eastAsia" w:hAnsi="宋体" w:eastAsia="宋体"/>
          <w:color w:val="000000"/>
          <w:sz w:val="24"/>
          <w:szCs w:val="24"/>
          <w:highlight w:val="none"/>
        </w:rPr>
      </w:r>
      <w:r/>
    </w:p>
    <w:p>
      <w:pPr>
        <w:pStyle w:val="840"/>
        <w:ind w:firstLine="48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（4）其它说明。</w:t>
      </w:r>
      <w:r>
        <w:rPr>
          <w:rFonts w:hint="eastAsia" w:hAnsi="宋体" w:eastAsia="宋体"/>
          <w:color w:val="000000"/>
          <w:sz w:val="24"/>
          <w:szCs w:val="24"/>
          <w:highlight w:val="none"/>
        </w:rPr>
      </w:r>
      <w:r/>
    </w:p>
    <w:p>
      <w:pPr>
        <w:pStyle w:val="840"/>
        <w:ind w:firstLine="48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12、本函填写的电子邮箱为我方在本次采购中的授权邮箱，该邮箱发至采购人或招标代理的函件无论是否签字或盖章，均视为我方的意思表示，我方均予以承认并承担相应后果。</w:t>
      </w:r>
      <w:r>
        <w:rPr>
          <w:rFonts w:hint="eastAsia" w:hAnsi="宋体" w:eastAsia="宋体"/>
          <w:color w:val="000000"/>
          <w:sz w:val="24"/>
          <w:szCs w:val="24"/>
          <w:highlight w:val="none"/>
        </w:rPr>
      </w:r>
      <w:r/>
    </w:p>
    <w:p>
      <w:pPr>
        <w:pStyle w:val="840"/>
        <w:ind w:firstLine="48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r>
      <w:r/>
    </w:p>
    <w:p>
      <w:pPr>
        <w:pStyle w:val="840"/>
        <w:ind w:firstLine="48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所有有关磋商响应文件的函电，请按下列地址联系：</w:t>
      </w:r>
      <w:r>
        <w:rPr>
          <w:rFonts w:hint="eastAsia" w:hAnsi="宋体" w:eastAsia="宋体"/>
          <w:color w:val="000000"/>
          <w:sz w:val="24"/>
          <w:szCs w:val="24"/>
          <w:highlight w:val="none"/>
        </w:rPr>
      </w:r>
      <w:r/>
    </w:p>
    <w:p>
      <w:pPr>
        <w:pStyle w:val="840"/>
        <w:ind w:firstLine="48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单位：                             联系人：</w:t>
      </w:r>
      <w:r>
        <w:rPr>
          <w:rFonts w:hint="eastAsia" w:hAnsi="宋体" w:eastAsia="宋体"/>
          <w:color w:val="000000"/>
          <w:sz w:val="24"/>
          <w:szCs w:val="24"/>
          <w:highlight w:val="none"/>
        </w:rPr>
      </w:r>
      <w:r/>
    </w:p>
    <w:p>
      <w:pPr>
        <w:pStyle w:val="840"/>
        <w:ind w:firstLine="48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地址：                             邮政编码：</w:t>
      </w:r>
      <w:r>
        <w:rPr>
          <w:rFonts w:hint="eastAsia" w:hAnsi="宋体" w:eastAsia="宋体"/>
          <w:color w:val="000000"/>
          <w:sz w:val="24"/>
          <w:szCs w:val="24"/>
          <w:highlight w:val="none"/>
        </w:rPr>
      </w:r>
      <w:r/>
    </w:p>
    <w:p>
      <w:pPr>
        <w:pStyle w:val="840"/>
        <w:ind w:firstLine="48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联系电话（手机号码）：                        </w:t>
      </w:r>
      <w:r>
        <w:rPr>
          <w:rFonts w:hint="eastAsia" w:eastAsia="宋体"/>
          <w:color w:val="000000"/>
          <w:sz w:val="24"/>
          <w:szCs w:val="24"/>
          <w:highlight w:val="none"/>
        </w:rPr>
        <w:t xml:space="preserve">电子邮箱：</w:t>
      </w:r>
      <w:r>
        <w:rPr>
          <w:rFonts w:hint="eastAsia" w:hAnsi="宋体" w:eastAsia="宋体"/>
          <w:color w:val="000000"/>
          <w:sz w:val="24"/>
          <w:szCs w:val="24"/>
          <w:highlight w:val="none"/>
        </w:rPr>
      </w:r>
      <w:r/>
    </w:p>
    <w:p>
      <w:pPr>
        <w:pStyle w:val="706"/>
        <w:ind w:right="1560" w:firstLine="480"/>
        <w:jc w:val="right"/>
        <w:spacing w:line="360" w:lineRule="auto"/>
        <w:tabs>
          <w:tab w:val="left" w:pos="4860" w:leader="none"/>
        </w:tabs>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06"/>
        <w:ind w:right="1560" w:firstLine="480"/>
        <w:jc w:val="right"/>
        <w:spacing w:line="360" w:lineRule="auto"/>
        <w:tabs>
          <w:tab w:val="left" w:pos="4860" w:leader="none"/>
        </w:tabs>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供应商（单位盖章）：</w:t>
      </w:r>
      <w:r>
        <w:rPr>
          <w:rFonts w:hint="eastAsia" w:ascii="宋体" w:hAnsi="宋体" w:eastAsia="宋体"/>
          <w:color w:val="000000"/>
          <w:sz w:val="24"/>
          <w:szCs w:val="24"/>
          <w:highlight w:val="none"/>
        </w:rPr>
      </w:r>
      <w:r/>
    </w:p>
    <w:p>
      <w:pPr>
        <w:pStyle w:val="706"/>
        <w:ind w:right="1560" w:firstLine="480"/>
        <w:jc w:val="right"/>
        <w:spacing w:line="360" w:lineRule="auto"/>
        <w:tabs>
          <w:tab w:val="left" w:pos="4860" w:leader="none"/>
        </w:tabs>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日期：   年   月   日</w:t>
      </w:r>
      <w:r>
        <w:rPr>
          <w:rFonts w:hint="eastAsia" w:ascii="宋体" w:hAnsi="宋体" w:eastAsia="宋体"/>
          <w:color w:val="000000"/>
          <w:sz w:val="24"/>
          <w:szCs w:val="24"/>
          <w:highlight w:val="none"/>
        </w:rPr>
      </w:r>
      <w:r/>
    </w:p>
    <w:p>
      <w:pPr>
        <w:pStyle w:val="708"/>
        <w:spacing w:after="120" w:line="360" w:lineRule="auto"/>
        <w:rPr>
          <w:rFonts w:eastAsia="宋体"/>
          <w:b w:val="0"/>
          <w:color w:val="000000"/>
          <w:sz w:val="24"/>
          <w:szCs w:val="24"/>
          <w:highlight w:val="none"/>
        </w:rPr>
      </w:pPr>
      <w:r>
        <w:rPr>
          <w:rFonts w:hint="eastAsia" w:eastAsia="宋体"/>
          <w:color w:val="000000"/>
          <w:szCs w:val="24"/>
          <w:highlight w:val="none"/>
        </w:rPr>
        <w:br w:type="page" w:clear="all"/>
      </w:r>
      <w:bookmarkStart w:id="52" w:name="_Toc10467988"/>
      <w:r/>
      <w:bookmarkStart w:id="53" w:name="_Toc19344"/>
      <w:r>
        <w:rPr>
          <w:rFonts w:hint="eastAsia" w:eastAsia="宋体"/>
          <w:b w:val="0"/>
          <w:color w:val="000000"/>
          <w:sz w:val="24"/>
          <w:szCs w:val="24"/>
          <w:highlight w:val="none"/>
        </w:rPr>
        <w:t xml:space="preserve">3、磋商报价表</w:t>
      </w:r>
      <w:bookmarkEnd w:id="52"/>
      <w:r/>
      <w:bookmarkEnd w:id="53"/>
      <w:r>
        <w:rPr>
          <w:rFonts w:eastAsia="宋体"/>
          <w:b w:val="0"/>
          <w:color w:val="000000"/>
          <w:sz w:val="24"/>
          <w:szCs w:val="24"/>
          <w:highlight w:val="none"/>
        </w:rPr>
      </w:r>
      <w:r/>
    </w:p>
    <w:p>
      <w:pPr>
        <w:pStyle w:val="730"/>
        <w:ind w:firstLine="0"/>
        <w:jc w:val="center"/>
        <w:spacing w:before="120" w:after="120" w:line="360" w:lineRule="auto"/>
        <w:rPr>
          <w:rFonts w:hint="eastAsia" w:ascii="宋体" w:hAnsi="宋体" w:eastAsia="宋体"/>
          <w:color w:val="000000"/>
          <w:sz w:val="30"/>
          <w:szCs w:val="30"/>
          <w:highlight w:val="none"/>
        </w:rPr>
      </w:pPr>
      <w:r>
        <w:rPr>
          <w:rFonts w:hint="eastAsia" w:ascii="宋体" w:hAnsi="宋体" w:eastAsia="宋体"/>
          <w:color w:val="000000"/>
          <w:sz w:val="30"/>
          <w:szCs w:val="30"/>
          <w:highlight w:val="none"/>
        </w:rPr>
        <w:t xml:space="preserve">磋商报价表</w:t>
      </w:r>
      <w:r>
        <w:rPr>
          <w:rFonts w:hint="eastAsia" w:ascii="宋体" w:hAnsi="宋体" w:eastAsia="宋体"/>
          <w:color w:val="000000"/>
          <w:sz w:val="30"/>
          <w:szCs w:val="30"/>
          <w:highlight w:val="none"/>
        </w:rPr>
      </w:r>
      <w:r/>
    </w:p>
    <w:p>
      <w:pPr>
        <w:pStyle w:val="70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江苏京苏项目管理咨询有限公司：</w:t>
      </w:r>
      <w:r>
        <w:rPr>
          <w:rFonts w:hint="eastAsia" w:ascii="宋体" w:hAnsi="宋体" w:eastAsia="宋体" w:cs="宋体"/>
          <w:color w:val="000000"/>
          <w:sz w:val="24"/>
          <w:szCs w:val="24"/>
          <w:highlight w:val="none"/>
        </w:rPr>
      </w:r>
      <w:r/>
    </w:p>
    <w:p>
      <w:pPr>
        <w:pStyle w:val="706"/>
        <w:numPr>
          <w:ilvl w:val="0"/>
          <w:numId w:val="3"/>
        </w:num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根据已收到的工程的磋商文件，遵照现行法律法规的有关规定，我单位经考察现场和研究</w:t>
      </w:r>
      <w:r>
        <w:rPr>
          <w:rFonts w:hint="eastAsia" w:ascii="宋体" w:hAnsi="宋体" w:eastAsia="宋体" w:cs="宋体"/>
          <w:bCs/>
          <w:color w:val="000000"/>
          <w:sz w:val="24"/>
          <w:szCs w:val="24"/>
          <w:highlight w:val="none"/>
        </w:rPr>
        <w:t xml:space="preserve">磋商</w:t>
      </w:r>
      <w:r>
        <w:rPr>
          <w:rFonts w:hint="eastAsia" w:ascii="宋体" w:hAnsi="宋体" w:eastAsia="宋体" w:cs="宋体"/>
          <w:color w:val="000000"/>
          <w:sz w:val="24"/>
          <w:szCs w:val="24"/>
          <w:highlight w:val="none"/>
        </w:rPr>
        <w:t xml:space="preserve">文件后，愿以人民币元</w:t>
      </w:r>
      <w:r>
        <w:rPr>
          <w:rFonts w:hint="eastAsia" w:ascii="宋体" w:hAnsi="宋体" w:eastAsia="宋体" w:cs="宋体"/>
          <w:color w:val="000000"/>
          <w:sz w:val="24"/>
          <w:szCs w:val="24"/>
          <w:highlight w:val="none"/>
          <w:u w:val="single"/>
        </w:rPr>
        <w:t xml:space="preserve">（大写）  （¥   ）</w:t>
      </w:r>
      <w:r>
        <w:rPr>
          <w:rFonts w:hint="eastAsia" w:ascii="宋体" w:hAnsi="宋体" w:eastAsia="宋体" w:cs="宋体"/>
          <w:color w:val="000000"/>
          <w:sz w:val="24"/>
          <w:szCs w:val="24"/>
          <w:highlight w:val="none"/>
        </w:rPr>
        <w:t xml:space="preserve">的总价，</w:t>
      </w:r>
      <w:r>
        <w:rPr>
          <w:rFonts w:hint="eastAsia" w:ascii="宋体" w:hAnsi="宋体" w:eastAsia="宋体" w:cs="宋体"/>
          <w:color w:val="000000"/>
          <w:sz w:val="24"/>
          <w:szCs w:val="24"/>
          <w:highlight w:val="none"/>
          <w:u w:val="single"/>
        </w:rPr>
        <w:t xml:space="preserve">税率   %</w:t>
      </w:r>
      <w:r>
        <w:rPr>
          <w:rFonts w:hint="eastAsia" w:ascii="宋体" w:hAnsi="宋体" w:eastAsia="宋体" w:cs="宋体"/>
          <w:color w:val="000000"/>
          <w:sz w:val="24"/>
          <w:szCs w:val="24"/>
          <w:highlight w:val="none"/>
        </w:rPr>
        <w:t xml:space="preserve">，按</w:t>
      </w:r>
      <w:r>
        <w:rPr>
          <w:rFonts w:hint="eastAsia" w:ascii="宋体" w:hAnsi="宋体" w:eastAsia="宋体" w:cs="宋体"/>
          <w:bCs/>
          <w:color w:val="000000"/>
          <w:sz w:val="24"/>
          <w:szCs w:val="24"/>
          <w:highlight w:val="none"/>
        </w:rPr>
        <w:t xml:space="preserve">磋商</w:t>
      </w:r>
      <w:r>
        <w:rPr>
          <w:rFonts w:hint="eastAsia" w:ascii="宋体" w:hAnsi="宋体" w:eastAsia="宋体" w:cs="宋体"/>
          <w:color w:val="000000"/>
          <w:sz w:val="24"/>
          <w:szCs w:val="24"/>
          <w:highlight w:val="none"/>
        </w:rPr>
        <w:t xml:space="preserve">文件的要求承包本次发包范围内的全部工程。</w:t>
      </w:r>
      <w:r>
        <w:rPr>
          <w:rFonts w:hint="eastAsia" w:ascii="宋体" w:hAnsi="宋体" w:eastAsia="宋体" w:cs="Arial"/>
          <w:bCs/>
          <w:color w:val="000000"/>
          <w:sz w:val="24"/>
          <w:szCs w:val="24"/>
          <w:highlight w:val="none"/>
        </w:rPr>
        <w:t xml:space="preserve">我们承诺：我们的报价经过仔细测算，绝对不低于我们的成本价。在工程量不发生变更的情况下，在合同条款约定的范围内，不向发包人要求增加任何费用。</w:t>
      </w:r>
      <w:r>
        <w:rPr>
          <w:rFonts w:hint="eastAsia" w:ascii="宋体" w:hAnsi="宋体" w:eastAsia="宋体" w:cs="宋体"/>
          <w:color w:val="000000"/>
          <w:sz w:val="24"/>
          <w:szCs w:val="24"/>
          <w:highlight w:val="none"/>
        </w:rPr>
      </w:r>
      <w:r/>
    </w:p>
    <w:p>
      <w:pPr>
        <w:pStyle w:val="706"/>
        <w:ind w:firstLine="480"/>
        <w:spacing w:line="360" w:lineRule="auto"/>
        <w:rPr>
          <w:rFonts w:hint="eastAsia" w:ascii="宋体" w:hAnsi="宋体" w:eastAsia="宋体" w:cs="宋体"/>
          <w:color w:val="000000"/>
          <w:spacing w:val="16"/>
          <w:sz w:val="24"/>
          <w:szCs w:val="24"/>
          <w:highlight w:val="none"/>
        </w:rPr>
      </w:pPr>
      <w:r>
        <w:rPr>
          <w:rFonts w:hint="eastAsia" w:ascii="宋体" w:hAnsi="宋体" w:eastAsia="宋体" w:cs="宋体"/>
          <w:color w:val="000000"/>
          <w:sz w:val="24"/>
          <w:szCs w:val="24"/>
          <w:highlight w:val="none"/>
        </w:rPr>
        <w:t xml:space="preserve">（二）</w:t>
      </w:r>
      <w:r>
        <w:rPr>
          <w:rFonts w:hint="eastAsia" w:ascii="宋体" w:hAnsi="宋体" w:eastAsia="宋体" w:cs="宋体"/>
          <w:color w:val="000000"/>
          <w:spacing w:val="16"/>
          <w:sz w:val="24"/>
          <w:szCs w:val="24"/>
          <w:highlight w:val="none"/>
        </w:rPr>
        <w:t xml:space="preserve">我单位拟派项目经理：</w:t>
      </w:r>
      <w:r>
        <w:rPr>
          <w:rFonts w:hint="eastAsia" w:ascii="宋体" w:hAnsi="宋体" w:eastAsia="宋体" w:cs="宋体"/>
          <w:color w:val="000000"/>
          <w:spacing w:val="16"/>
          <w:sz w:val="24"/>
          <w:szCs w:val="24"/>
          <w:highlight w:val="none"/>
          <w:u w:val="single"/>
        </w:rPr>
        <w:t xml:space="preserve">（姓名）</w:t>
      </w:r>
      <w:r>
        <w:rPr>
          <w:rFonts w:hint="eastAsia" w:ascii="宋体" w:hAnsi="宋体" w:eastAsia="宋体" w:cs="宋体"/>
          <w:color w:val="000000"/>
          <w:spacing w:val="16"/>
          <w:sz w:val="24"/>
          <w:szCs w:val="24"/>
          <w:highlight w:val="none"/>
        </w:rPr>
        <w:t xml:space="preserve">，资质等级：</w:t>
      </w:r>
      <w:r>
        <w:rPr>
          <w:rFonts w:hint="eastAsia" w:ascii="宋体" w:hAnsi="宋体" w:eastAsia="宋体" w:cs="宋体"/>
          <w:color w:val="000000"/>
          <w:spacing w:val="16"/>
          <w:sz w:val="24"/>
          <w:szCs w:val="24"/>
          <w:highlight w:val="none"/>
          <w:u w:val="single"/>
        </w:rPr>
        <w:t xml:space="preserve">   </w:t>
      </w:r>
      <w:r>
        <w:rPr>
          <w:rFonts w:hint="eastAsia" w:ascii="宋体" w:hAnsi="宋体" w:eastAsia="宋体" w:cs="宋体"/>
          <w:color w:val="000000"/>
          <w:spacing w:val="16"/>
          <w:sz w:val="24"/>
          <w:szCs w:val="24"/>
          <w:highlight w:val="none"/>
        </w:rPr>
        <w:t xml:space="preserve">级，证号:</w:t>
      </w:r>
      <w:r>
        <w:rPr>
          <w:rFonts w:hint="eastAsia" w:ascii="宋体" w:hAnsi="宋体" w:eastAsia="宋体" w:cs="宋体"/>
          <w:color w:val="000000"/>
          <w:spacing w:val="16"/>
          <w:sz w:val="24"/>
          <w:szCs w:val="24"/>
          <w:highlight w:val="none"/>
          <w:u w:val="single"/>
        </w:rPr>
        <w:t xml:space="preserve">    </w:t>
      </w:r>
      <w:r>
        <w:rPr>
          <w:rFonts w:hint="eastAsia" w:ascii="宋体" w:hAnsi="宋体" w:eastAsia="宋体" w:cs="宋体"/>
          <w:color w:val="000000"/>
          <w:spacing w:val="16"/>
          <w:sz w:val="24"/>
          <w:szCs w:val="24"/>
          <w:highlight w:val="none"/>
        </w:rPr>
        <w:t xml:space="preserve">。</w:t>
      </w:r>
      <w:r>
        <w:rPr>
          <w:rFonts w:hint="eastAsia" w:ascii="宋体" w:hAnsi="宋体" w:eastAsia="宋体" w:cs="宋体"/>
          <w:color w:val="000000"/>
          <w:spacing w:val="16"/>
          <w:sz w:val="24"/>
          <w:szCs w:val="24"/>
          <w:highlight w:val="none"/>
        </w:rPr>
      </w:r>
      <w:r/>
    </w:p>
    <w:p>
      <w:pPr>
        <w:pStyle w:val="70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6"/>
          <w:sz w:val="24"/>
          <w:szCs w:val="24"/>
          <w:highlight w:val="none"/>
        </w:rPr>
        <w:t xml:space="preserve">（三）我单位保证在收到贵单位发出的书面开工令后立即开工，并在</w:t>
      </w:r>
      <w:r>
        <w:rPr>
          <w:rFonts w:hint="eastAsia" w:ascii="宋体" w:hAnsi="宋体" w:eastAsia="宋体" w:cs="宋体"/>
          <w:color w:val="000000"/>
          <w:spacing w:val="16"/>
          <w:sz w:val="24"/>
          <w:szCs w:val="24"/>
          <w:highlight w:val="none"/>
          <w:u w:val="single"/>
        </w:rPr>
        <w:t xml:space="preserve">  </w:t>
      </w:r>
      <w:r>
        <w:rPr>
          <w:rFonts w:hint="eastAsia" w:ascii="宋体" w:hAnsi="宋体" w:eastAsia="宋体" w:cs="宋体"/>
          <w:color w:val="000000"/>
          <w:spacing w:val="16"/>
          <w:sz w:val="24"/>
          <w:szCs w:val="24"/>
          <w:highlight w:val="none"/>
        </w:rPr>
        <w:t xml:space="preserve">天内竣工。</w:t>
      </w:r>
      <w:r>
        <w:rPr>
          <w:rFonts w:hint="eastAsia" w:ascii="宋体" w:hAnsi="宋体" w:eastAsia="宋体" w:cs="宋体"/>
          <w:color w:val="000000"/>
          <w:sz w:val="24"/>
          <w:szCs w:val="24"/>
          <w:highlight w:val="none"/>
        </w:rPr>
      </w:r>
      <w:r/>
    </w:p>
    <w:p>
      <w:pPr>
        <w:pStyle w:val="70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（四）我单位保证本工程质量达到。</w:t>
      </w:r>
      <w:r>
        <w:rPr>
          <w:rFonts w:hint="eastAsia" w:ascii="宋体" w:hAnsi="宋体" w:eastAsia="宋体" w:cs="宋体"/>
          <w:color w:val="000000"/>
          <w:sz w:val="24"/>
          <w:szCs w:val="24"/>
          <w:highlight w:val="none"/>
        </w:rPr>
      </w:r>
      <w:r/>
    </w:p>
    <w:p>
      <w:pPr>
        <w:pStyle w:val="840"/>
        <w:ind w:firstLine="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（五）贵单位的磋商文件、成交通知书和本报价文件将构成约束我们双方的合同。</w:t>
      </w:r>
      <w:r>
        <w:rPr>
          <w:rFonts w:hint="eastAsia" w:hAnsi="宋体" w:eastAsia="宋体" w:cs="宋体"/>
          <w:color w:val="000000"/>
          <w:sz w:val="24"/>
          <w:szCs w:val="24"/>
          <w:highlight w:val="none"/>
        </w:rPr>
      </w:r>
      <w:r/>
    </w:p>
    <w:p>
      <w:pPr>
        <w:pStyle w:val="840"/>
        <w:ind w:firstLine="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p>
      <w:pPr>
        <w:pStyle w:val="840"/>
        <w:ind w:firstLine="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p>
      <w:pPr>
        <w:pStyle w:val="840"/>
        <w:ind w:firstLine="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p>
      <w:pPr>
        <w:pStyle w:val="706"/>
        <w:ind w:right="1560" w:firstLine="480"/>
        <w:jc w:val="right"/>
        <w:spacing w:line="360" w:lineRule="auto"/>
        <w:tabs>
          <w:tab w:val="left" w:pos="4860" w:leader="none"/>
        </w:tabs>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供应商（单位盖章）：</w:t>
      </w:r>
      <w:r>
        <w:rPr>
          <w:rFonts w:hint="eastAsia" w:ascii="宋体" w:hAnsi="宋体" w:eastAsia="宋体"/>
          <w:color w:val="000000"/>
          <w:sz w:val="24"/>
          <w:szCs w:val="24"/>
          <w:highlight w:val="none"/>
        </w:rPr>
      </w:r>
      <w:r/>
    </w:p>
    <w:p>
      <w:pPr>
        <w:pStyle w:val="706"/>
        <w:ind w:right="1560" w:firstLine="480"/>
        <w:jc w:val="right"/>
        <w:spacing w:line="360" w:lineRule="auto"/>
        <w:tabs>
          <w:tab w:val="left" w:pos="4860" w:leader="none"/>
        </w:tabs>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法定代表人或代理人（签字或盖章）：</w:t>
      </w:r>
      <w:r>
        <w:rPr>
          <w:rFonts w:hint="eastAsia" w:ascii="宋体" w:hAnsi="宋体" w:eastAsia="宋体"/>
          <w:color w:val="000000"/>
          <w:sz w:val="24"/>
          <w:szCs w:val="24"/>
          <w:highlight w:val="none"/>
        </w:rPr>
      </w:r>
      <w:r/>
    </w:p>
    <w:p>
      <w:pPr>
        <w:pStyle w:val="706"/>
        <w:ind w:right="1560" w:firstLine="480"/>
        <w:jc w:val="right"/>
        <w:spacing w:line="360" w:lineRule="auto"/>
        <w:tabs>
          <w:tab w:val="left" w:pos="4860" w:leader="none"/>
        </w:tabs>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日期：   年   月   日</w:t>
      </w:r>
      <w:r>
        <w:rPr>
          <w:rFonts w:hint="eastAsia" w:ascii="宋体" w:hAnsi="宋体" w:eastAsia="宋体"/>
          <w:color w:val="000000"/>
          <w:sz w:val="24"/>
          <w:szCs w:val="24"/>
          <w:highlight w:val="none"/>
        </w:rPr>
      </w:r>
      <w:r/>
    </w:p>
    <w:p>
      <w:pPr>
        <w:pStyle w:val="765"/>
        <w:rPr>
          <w:rFonts w:hint="eastAsia"/>
          <w:highlight w:val="none"/>
        </w:rPr>
      </w:pPr>
      <w:r>
        <w:rPr>
          <w:rFonts w:hint="eastAsia"/>
          <w:highlight w:val="none"/>
        </w:rPr>
      </w:r>
      <w:r/>
    </w:p>
    <w:p>
      <w:pPr>
        <w:pStyle w:val="840"/>
        <w:ind w:firstLine="480"/>
        <w:spacing w:line="360" w:lineRule="auto"/>
        <w:rPr>
          <w:rFonts w:hAnsi="宋体" w:eastAsia="宋体"/>
          <w:color w:val="000000"/>
          <w:sz w:val="24"/>
          <w:szCs w:val="24"/>
          <w:highlight w:val="none"/>
        </w:rPr>
      </w:pPr>
      <w:r>
        <w:rPr>
          <w:rFonts w:hAnsi="宋体" w:eastAsia="宋体"/>
          <w:color w:val="000000"/>
          <w:sz w:val="24"/>
          <w:szCs w:val="24"/>
          <w:highlight w:val="none"/>
        </w:rPr>
      </w:r>
      <w:r/>
    </w:p>
    <w:p>
      <w:pPr>
        <w:pStyle w:val="708"/>
        <w:spacing w:after="120" w:line="360" w:lineRule="auto"/>
        <w:tabs>
          <w:tab w:val="left" w:pos="2532" w:leader="none"/>
        </w:tabs>
        <w:rPr>
          <w:rFonts w:hint="eastAsia" w:eastAsia="宋体"/>
          <w:color w:val="000000"/>
          <w:sz w:val="30"/>
          <w:szCs w:val="30"/>
          <w:highlight w:val="none"/>
        </w:rPr>
      </w:pPr>
      <w:r>
        <w:rPr>
          <w:rFonts w:hint="eastAsia" w:eastAsia="宋体"/>
          <w:b w:val="0"/>
          <w:color w:val="000000"/>
          <w:szCs w:val="24"/>
          <w:highlight w:val="none"/>
          <w:lang w:val="zh-CN"/>
        </w:rPr>
        <w:br w:type="page" w:clear="all"/>
      </w:r>
      <w:bookmarkStart w:id="54" w:name="_Toc7"/>
      <w:r/>
      <w:bookmarkStart w:id="55" w:name="_Toc10467989"/>
      <w:r>
        <w:rPr>
          <w:rFonts w:hint="eastAsia" w:eastAsia="宋体"/>
          <w:b w:val="0"/>
          <w:color w:val="000000"/>
          <w:sz w:val="24"/>
          <w:szCs w:val="24"/>
          <w:highlight w:val="none"/>
        </w:rPr>
        <w:t xml:space="preserve">4、偏离表</w:t>
      </w:r>
      <w:bookmarkEnd w:id="54"/>
      <w:r/>
      <w:bookmarkEnd w:id="55"/>
      <w:r>
        <w:rPr>
          <w:rFonts w:hint="eastAsia" w:eastAsia="宋体"/>
          <w:color w:val="000000"/>
          <w:sz w:val="30"/>
          <w:szCs w:val="30"/>
          <w:highlight w:val="none"/>
        </w:rPr>
      </w:r>
      <w:r/>
    </w:p>
    <w:p>
      <w:pPr>
        <w:pStyle w:val="730"/>
        <w:ind w:firstLine="0"/>
        <w:jc w:val="center"/>
        <w:spacing w:before="120" w:after="120" w:line="360" w:lineRule="auto"/>
        <w:rPr>
          <w:rFonts w:hint="eastAsia" w:ascii="宋体" w:hAnsi="宋体" w:eastAsia="宋体"/>
          <w:color w:val="000000"/>
          <w:sz w:val="30"/>
          <w:szCs w:val="30"/>
          <w:highlight w:val="none"/>
        </w:rPr>
      </w:pPr>
      <w:r>
        <w:rPr>
          <w:rFonts w:hint="eastAsia" w:ascii="宋体" w:hAnsi="宋体" w:eastAsia="宋体"/>
          <w:color w:val="000000"/>
          <w:sz w:val="30"/>
          <w:szCs w:val="30"/>
          <w:highlight w:val="none"/>
        </w:rPr>
        <w:t xml:space="preserve">商务技术条款偏离表</w:t>
      </w:r>
      <w:r>
        <w:rPr>
          <w:rFonts w:hint="eastAsia" w:ascii="宋体" w:hAnsi="宋体" w:eastAsia="宋体"/>
          <w:color w:val="000000"/>
          <w:sz w:val="30"/>
          <w:szCs w:val="30"/>
          <w:highlight w:val="none"/>
        </w:rPr>
      </w:r>
      <w:r/>
    </w:p>
    <w:tbl>
      <w:tblPr>
        <w:tblW w:w="8475" w:type="dxa"/>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921"/>
        <w:gridCol w:w="2401"/>
        <w:gridCol w:w="2401"/>
        <w:gridCol w:w="1043"/>
      </w:tblGrid>
      <w:tr>
        <w:trPr/>
        <w:tc>
          <w:tcPr>
            <w:tcW w:w="708" w:type="dxa"/>
            <w:vAlign w:val="top"/>
            <w:textDirection w:val="lrTb"/>
            <w:noWrap w:val="false"/>
          </w:tcPr>
          <w:p>
            <w:pPr>
              <w:pStyle w:val="706"/>
              <w:jc w:val="center"/>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序号</w:t>
            </w:r>
            <w:r>
              <w:rPr>
                <w:rFonts w:hint="eastAsia" w:ascii="宋体" w:hAnsi="宋体" w:eastAsia="宋体"/>
                <w:color w:val="000000"/>
                <w:sz w:val="24"/>
                <w:szCs w:val="24"/>
                <w:highlight w:val="none"/>
              </w:rPr>
            </w:r>
            <w:r/>
          </w:p>
        </w:tc>
        <w:tc>
          <w:tcPr>
            <w:tcW w:w="1920" w:type="dxa"/>
            <w:vAlign w:val="top"/>
            <w:textDirection w:val="lrTb"/>
            <w:noWrap w:val="false"/>
          </w:tcPr>
          <w:p>
            <w:pPr>
              <w:pStyle w:val="706"/>
              <w:jc w:val="center"/>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采购文件条目号</w:t>
            </w:r>
            <w:r>
              <w:rPr>
                <w:rFonts w:hint="eastAsia" w:ascii="宋体" w:hAnsi="宋体" w:eastAsia="宋体"/>
                <w:color w:val="000000"/>
                <w:sz w:val="24"/>
                <w:szCs w:val="24"/>
                <w:highlight w:val="none"/>
              </w:rPr>
            </w:r>
            <w:r/>
          </w:p>
        </w:tc>
        <w:tc>
          <w:tcPr>
            <w:tcW w:w="2400" w:type="dxa"/>
            <w:vAlign w:val="top"/>
            <w:textDirection w:val="lrTb"/>
            <w:noWrap w:val="false"/>
          </w:tcPr>
          <w:p>
            <w:pPr>
              <w:pStyle w:val="706"/>
              <w:jc w:val="center"/>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采购文件的商务条款</w:t>
            </w:r>
            <w:r>
              <w:rPr>
                <w:rFonts w:hint="eastAsia" w:ascii="宋体" w:hAnsi="宋体" w:eastAsia="宋体"/>
                <w:color w:val="000000"/>
                <w:sz w:val="24"/>
                <w:szCs w:val="24"/>
                <w:highlight w:val="none"/>
              </w:rPr>
            </w:r>
            <w:r/>
          </w:p>
        </w:tc>
        <w:tc>
          <w:tcPr>
            <w:tcW w:w="2400" w:type="dxa"/>
            <w:vAlign w:val="top"/>
            <w:textDirection w:val="lrTb"/>
            <w:noWrap w:val="false"/>
          </w:tcPr>
          <w:p>
            <w:pPr>
              <w:pStyle w:val="706"/>
              <w:jc w:val="center"/>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响应文件的商务条款</w:t>
            </w:r>
            <w:r>
              <w:rPr>
                <w:rFonts w:hint="eastAsia" w:ascii="宋体" w:hAnsi="宋体" w:eastAsia="宋体"/>
                <w:color w:val="000000"/>
                <w:sz w:val="24"/>
                <w:szCs w:val="24"/>
                <w:highlight w:val="none"/>
              </w:rPr>
            </w:r>
            <w:r/>
          </w:p>
        </w:tc>
        <w:tc>
          <w:tcPr>
            <w:tcW w:w="1043" w:type="dxa"/>
            <w:vAlign w:val="top"/>
            <w:textDirection w:val="lrTb"/>
            <w:noWrap w:val="false"/>
          </w:tcPr>
          <w:p>
            <w:pPr>
              <w:pStyle w:val="706"/>
              <w:jc w:val="center"/>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说明</w:t>
            </w:r>
            <w:r>
              <w:rPr>
                <w:rFonts w:hint="eastAsia" w:ascii="宋体" w:hAnsi="宋体" w:eastAsia="宋体"/>
                <w:color w:val="000000"/>
                <w:sz w:val="24"/>
                <w:szCs w:val="24"/>
                <w:highlight w:val="none"/>
              </w:rPr>
            </w:r>
            <w:r/>
          </w:p>
        </w:tc>
      </w:tr>
      <w:tr>
        <w:trPr/>
        <w:tc>
          <w:tcPr>
            <w:tcW w:w="708" w:type="dxa"/>
            <w:vAlign w:val="top"/>
            <w:textDirection w:val="lrTb"/>
            <w:noWrap w:val="false"/>
          </w:tcPr>
          <w:p>
            <w:pPr>
              <w:pStyle w:val="706"/>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920" w:type="dxa"/>
            <w:vAlign w:val="top"/>
            <w:textDirection w:val="lrTb"/>
            <w:noWrap w:val="false"/>
          </w:tcPr>
          <w:p>
            <w:pPr>
              <w:pStyle w:val="706"/>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400" w:type="dxa"/>
            <w:vAlign w:val="top"/>
            <w:textDirection w:val="lrTb"/>
            <w:noWrap w:val="false"/>
          </w:tcPr>
          <w:p>
            <w:pPr>
              <w:pStyle w:val="706"/>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400" w:type="dxa"/>
            <w:vAlign w:val="top"/>
            <w:textDirection w:val="lrTb"/>
            <w:noWrap w:val="false"/>
          </w:tcPr>
          <w:p>
            <w:pPr>
              <w:pStyle w:val="706"/>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043" w:type="dxa"/>
            <w:vAlign w:val="top"/>
            <w:textDirection w:val="lrTb"/>
            <w:noWrap w:val="false"/>
          </w:tcPr>
          <w:p>
            <w:pPr>
              <w:pStyle w:val="706"/>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c>
          <w:tcPr>
            <w:tcW w:w="708" w:type="dxa"/>
            <w:vAlign w:val="top"/>
            <w:textDirection w:val="lrTb"/>
            <w:noWrap w:val="false"/>
          </w:tcPr>
          <w:p>
            <w:pPr>
              <w:pStyle w:val="706"/>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920" w:type="dxa"/>
            <w:vAlign w:val="top"/>
            <w:textDirection w:val="lrTb"/>
            <w:noWrap w:val="false"/>
          </w:tcPr>
          <w:p>
            <w:pPr>
              <w:pStyle w:val="706"/>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400" w:type="dxa"/>
            <w:vAlign w:val="top"/>
            <w:textDirection w:val="lrTb"/>
            <w:noWrap w:val="false"/>
          </w:tcPr>
          <w:p>
            <w:pPr>
              <w:pStyle w:val="706"/>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400" w:type="dxa"/>
            <w:vAlign w:val="top"/>
            <w:textDirection w:val="lrTb"/>
            <w:noWrap w:val="false"/>
          </w:tcPr>
          <w:p>
            <w:pPr>
              <w:pStyle w:val="706"/>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043" w:type="dxa"/>
            <w:vAlign w:val="top"/>
            <w:textDirection w:val="lrTb"/>
            <w:noWrap w:val="false"/>
          </w:tcPr>
          <w:p>
            <w:pPr>
              <w:pStyle w:val="706"/>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c>
          <w:tcPr>
            <w:tcW w:w="708" w:type="dxa"/>
            <w:vAlign w:val="top"/>
            <w:textDirection w:val="lrTb"/>
            <w:noWrap w:val="false"/>
          </w:tcPr>
          <w:p>
            <w:pPr>
              <w:pStyle w:val="706"/>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920" w:type="dxa"/>
            <w:vAlign w:val="top"/>
            <w:textDirection w:val="lrTb"/>
            <w:noWrap w:val="false"/>
          </w:tcPr>
          <w:p>
            <w:pPr>
              <w:pStyle w:val="706"/>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400" w:type="dxa"/>
            <w:vAlign w:val="top"/>
            <w:textDirection w:val="lrTb"/>
            <w:noWrap w:val="false"/>
          </w:tcPr>
          <w:p>
            <w:pPr>
              <w:pStyle w:val="706"/>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400" w:type="dxa"/>
            <w:vAlign w:val="top"/>
            <w:textDirection w:val="lrTb"/>
            <w:noWrap w:val="false"/>
          </w:tcPr>
          <w:p>
            <w:pPr>
              <w:pStyle w:val="706"/>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043" w:type="dxa"/>
            <w:vAlign w:val="top"/>
            <w:textDirection w:val="lrTb"/>
            <w:noWrap w:val="false"/>
          </w:tcPr>
          <w:p>
            <w:pPr>
              <w:pStyle w:val="706"/>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c>
          <w:tcPr>
            <w:tcW w:w="708" w:type="dxa"/>
            <w:vAlign w:val="top"/>
            <w:textDirection w:val="lrTb"/>
            <w:noWrap w:val="false"/>
          </w:tcPr>
          <w:p>
            <w:pPr>
              <w:pStyle w:val="706"/>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920" w:type="dxa"/>
            <w:vAlign w:val="top"/>
            <w:textDirection w:val="lrTb"/>
            <w:noWrap w:val="false"/>
          </w:tcPr>
          <w:p>
            <w:pPr>
              <w:pStyle w:val="706"/>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400" w:type="dxa"/>
            <w:vAlign w:val="top"/>
            <w:textDirection w:val="lrTb"/>
            <w:noWrap w:val="false"/>
          </w:tcPr>
          <w:p>
            <w:pPr>
              <w:pStyle w:val="706"/>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400" w:type="dxa"/>
            <w:vAlign w:val="top"/>
            <w:textDirection w:val="lrTb"/>
            <w:noWrap w:val="false"/>
          </w:tcPr>
          <w:p>
            <w:pPr>
              <w:pStyle w:val="706"/>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043" w:type="dxa"/>
            <w:vAlign w:val="top"/>
            <w:textDirection w:val="lrTb"/>
            <w:noWrap w:val="false"/>
          </w:tcPr>
          <w:p>
            <w:pPr>
              <w:pStyle w:val="706"/>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c>
          <w:tcPr>
            <w:tcW w:w="708" w:type="dxa"/>
            <w:vAlign w:val="top"/>
            <w:textDirection w:val="lrTb"/>
            <w:noWrap w:val="false"/>
          </w:tcPr>
          <w:p>
            <w:pPr>
              <w:pStyle w:val="706"/>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920" w:type="dxa"/>
            <w:vAlign w:val="top"/>
            <w:textDirection w:val="lrTb"/>
            <w:noWrap w:val="false"/>
          </w:tcPr>
          <w:p>
            <w:pPr>
              <w:pStyle w:val="706"/>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400" w:type="dxa"/>
            <w:vAlign w:val="top"/>
            <w:textDirection w:val="lrTb"/>
            <w:noWrap w:val="false"/>
          </w:tcPr>
          <w:p>
            <w:pPr>
              <w:pStyle w:val="706"/>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400" w:type="dxa"/>
            <w:vAlign w:val="top"/>
            <w:textDirection w:val="lrTb"/>
            <w:noWrap w:val="false"/>
          </w:tcPr>
          <w:p>
            <w:pPr>
              <w:pStyle w:val="706"/>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043" w:type="dxa"/>
            <w:vAlign w:val="top"/>
            <w:textDirection w:val="lrTb"/>
            <w:noWrap w:val="false"/>
          </w:tcPr>
          <w:p>
            <w:pPr>
              <w:pStyle w:val="706"/>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c>
          <w:tcPr>
            <w:tcW w:w="708" w:type="dxa"/>
            <w:vAlign w:val="top"/>
            <w:textDirection w:val="lrTb"/>
            <w:noWrap w:val="false"/>
          </w:tcPr>
          <w:p>
            <w:pPr>
              <w:pStyle w:val="706"/>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920" w:type="dxa"/>
            <w:vAlign w:val="top"/>
            <w:textDirection w:val="lrTb"/>
            <w:noWrap w:val="false"/>
          </w:tcPr>
          <w:p>
            <w:pPr>
              <w:pStyle w:val="706"/>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400" w:type="dxa"/>
            <w:vAlign w:val="top"/>
            <w:textDirection w:val="lrTb"/>
            <w:noWrap w:val="false"/>
          </w:tcPr>
          <w:p>
            <w:pPr>
              <w:pStyle w:val="706"/>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400" w:type="dxa"/>
            <w:vAlign w:val="top"/>
            <w:textDirection w:val="lrTb"/>
            <w:noWrap w:val="false"/>
          </w:tcPr>
          <w:p>
            <w:pPr>
              <w:pStyle w:val="706"/>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043" w:type="dxa"/>
            <w:vAlign w:val="top"/>
            <w:textDirection w:val="lrTb"/>
            <w:noWrap w:val="false"/>
          </w:tcPr>
          <w:p>
            <w:pPr>
              <w:pStyle w:val="706"/>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c>
          <w:tcPr>
            <w:tcW w:w="708" w:type="dxa"/>
            <w:vAlign w:val="top"/>
            <w:textDirection w:val="lrTb"/>
            <w:noWrap w:val="false"/>
          </w:tcPr>
          <w:p>
            <w:pPr>
              <w:pStyle w:val="706"/>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920" w:type="dxa"/>
            <w:vAlign w:val="top"/>
            <w:textDirection w:val="lrTb"/>
            <w:noWrap w:val="false"/>
          </w:tcPr>
          <w:p>
            <w:pPr>
              <w:pStyle w:val="706"/>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400" w:type="dxa"/>
            <w:vAlign w:val="top"/>
            <w:textDirection w:val="lrTb"/>
            <w:noWrap w:val="false"/>
          </w:tcPr>
          <w:p>
            <w:pPr>
              <w:pStyle w:val="706"/>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400" w:type="dxa"/>
            <w:vAlign w:val="top"/>
            <w:textDirection w:val="lrTb"/>
            <w:noWrap w:val="false"/>
          </w:tcPr>
          <w:p>
            <w:pPr>
              <w:pStyle w:val="706"/>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043" w:type="dxa"/>
            <w:vAlign w:val="top"/>
            <w:textDirection w:val="lrTb"/>
            <w:noWrap w:val="false"/>
          </w:tcPr>
          <w:p>
            <w:pPr>
              <w:pStyle w:val="706"/>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c>
          <w:tcPr>
            <w:tcW w:w="708" w:type="dxa"/>
            <w:vAlign w:val="top"/>
            <w:textDirection w:val="lrTb"/>
            <w:noWrap w:val="false"/>
          </w:tcPr>
          <w:p>
            <w:pPr>
              <w:pStyle w:val="706"/>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920" w:type="dxa"/>
            <w:vAlign w:val="top"/>
            <w:textDirection w:val="lrTb"/>
            <w:noWrap w:val="false"/>
          </w:tcPr>
          <w:p>
            <w:pPr>
              <w:pStyle w:val="706"/>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400" w:type="dxa"/>
            <w:vAlign w:val="top"/>
            <w:textDirection w:val="lrTb"/>
            <w:noWrap w:val="false"/>
          </w:tcPr>
          <w:p>
            <w:pPr>
              <w:pStyle w:val="706"/>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400" w:type="dxa"/>
            <w:vAlign w:val="top"/>
            <w:textDirection w:val="lrTb"/>
            <w:noWrap w:val="false"/>
          </w:tcPr>
          <w:p>
            <w:pPr>
              <w:pStyle w:val="706"/>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043" w:type="dxa"/>
            <w:vAlign w:val="top"/>
            <w:textDirection w:val="lrTb"/>
            <w:noWrap w:val="false"/>
          </w:tcPr>
          <w:p>
            <w:pPr>
              <w:pStyle w:val="706"/>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bl>
    <w:p>
      <w:pPr>
        <w:pStyle w:val="706"/>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注：供应商的磋商响应文件（除技术要求部分）与磋商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rPr>
          <w:rFonts w:hint="eastAsia" w:ascii="宋体" w:hAnsi="宋体" w:eastAsia="宋体"/>
          <w:color w:val="000000"/>
          <w:sz w:val="24"/>
          <w:szCs w:val="24"/>
          <w:highlight w:val="none"/>
        </w:rPr>
      </w:r>
      <w:r/>
    </w:p>
    <w:p>
      <w:pPr>
        <w:pStyle w:val="744"/>
        <w:rPr>
          <w:rFonts w:hint="eastAsia"/>
          <w:highlight w:val="none"/>
        </w:rPr>
      </w:pPr>
      <w:r>
        <w:rPr>
          <w:rFonts w:hint="eastAsia"/>
          <w:highlight w:val="none"/>
        </w:rPr>
      </w:r>
      <w:r/>
    </w:p>
    <w:p>
      <w:pPr>
        <w:pStyle w:val="706"/>
        <w:ind w:right="1560" w:firstLine="480"/>
        <w:jc w:val="right"/>
        <w:spacing w:line="360" w:lineRule="auto"/>
        <w:tabs>
          <w:tab w:val="left" w:pos="4860" w:leader="none"/>
        </w:tabs>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供应商（单位盖章）：</w:t>
      </w:r>
      <w:r>
        <w:rPr>
          <w:rFonts w:hint="eastAsia" w:ascii="宋体" w:hAnsi="宋体" w:eastAsia="宋体"/>
          <w:color w:val="000000"/>
          <w:sz w:val="24"/>
          <w:szCs w:val="24"/>
          <w:highlight w:val="none"/>
        </w:rPr>
      </w:r>
      <w:r/>
    </w:p>
    <w:p>
      <w:pPr>
        <w:pStyle w:val="706"/>
        <w:ind w:right="1560" w:firstLine="480"/>
        <w:jc w:val="right"/>
        <w:spacing w:line="360" w:lineRule="auto"/>
        <w:tabs>
          <w:tab w:val="left" w:pos="4860" w:leader="none"/>
        </w:tabs>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日期：   年   月   日</w:t>
      </w:r>
      <w:r>
        <w:rPr>
          <w:rFonts w:hint="eastAsia" w:ascii="宋体" w:hAnsi="宋体" w:eastAsia="宋体"/>
          <w:color w:val="000000"/>
          <w:sz w:val="24"/>
          <w:szCs w:val="24"/>
          <w:highlight w:val="none"/>
        </w:rPr>
      </w:r>
      <w:r/>
    </w:p>
    <w:p>
      <w:pPr>
        <w:pStyle w:val="708"/>
        <w:spacing w:after="120" w:line="360" w:lineRule="auto"/>
        <w:rPr>
          <w:rFonts w:hint="eastAsia" w:eastAsia="宋体"/>
          <w:b w:val="0"/>
          <w:color w:val="000000"/>
          <w:sz w:val="24"/>
          <w:szCs w:val="24"/>
          <w:highlight w:val="none"/>
        </w:rPr>
      </w:pPr>
      <w:r>
        <w:rPr>
          <w:rFonts w:hint="eastAsia" w:eastAsia="宋体"/>
          <w:b w:val="0"/>
          <w:color w:val="000000"/>
          <w:szCs w:val="24"/>
          <w:highlight w:val="none"/>
        </w:rPr>
        <w:br w:type="page" w:clear="all"/>
      </w:r>
      <w:bookmarkStart w:id="56" w:name="_Toc31495"/>
      <w:r/>
      <w:bookmarkStart w:id="57" w:name="_Toc10467990"/>
      <w:r>
        <w:rPr>
          <w:rFonts w:hint="eastAsia" w:eastAsia="宋体"/>
          <w:b w:val="0"/>
          <w:color w:val="000000"/>
          <w:sz w:val="24"/>
          <w:szCs w:val="24"/>
          <w:highlight w:val="none"/>
        </w:rPr>
        <w:t xml:space="preserve">5、施工组织机构及现场施工人员名单</w:t>
      </w:r>
      <w:bookmarkEnd w:id="56"/>
      <w:r/>
      <w:bookmarkEnd w:id="57"/>
      <w:r>
        <w:rPr>
          <w:rFonts w:hint="eastAsia" w:eastAsia="宋体"/>
          <w:b w:val="0"/>
          <w:color w:val="000000"/>
          <w:sz w:val="24"/>
          <w:szCs w:val="24"/>
          <w:highlight w:val="none"/>
        </w:rPr>
      </w:r>
      <w:r/>
    </w:p>
    <w:p>
      <w:pPr>
        <w:pStyle w:val="730"/>
        <w:ind w:firstLine="0"/>
        <w:jc w:val="center"/>
        <w:spacing w:before="120" w:after="120" w:line="360" w:lineRule="auto"/>
        <w:rPr>
          <w:rFonts w:hint="eastAsia" w:ascii="宋体" w:hAnsi="宋体" w:eastAsia="宋体"/>
          <w:color w:val="000000"/>
          <w:sz w:val="30"/>
          <w:szCs w:val="30"/>
          <w:highlight w:val="none"/>
        </w:rPr>
      </w:pPr>
      <w:r>
        <w:rPr>
          <w:rFonts w:hint="eastAsia" w:ascii="宋体" w:hAnsi="宋体" w:eastAsia="宋体"/>
          <w:color w:val="000000"/>
          <w:sz w:val="30"/>
          <w:szCs w:val="30"/>
          <w:highlight w:val="none"/>
        </w:rPr>
        <w:t xml:space="preserve">施工组织机构人员名单</w:t>
      </w:r>
      <w:r>
        <w:rPr>
          <w:rFonts w:hint="eastAsia" w:ascii="宋体" w:hAnsi="宋体" w:eastAsia="宋体"/>
          <w:color w:val="000000"/>
          <w:sz w:val="30"/>
          <w:szCs w:val="30"/>
          <w:highlight w:val="none"/>
        </w:rPr>
      </w:r>
      <w:r/>
    </w:p>
    <w:tbl>
      <w:tblPr>
        <w:tblW w:w="9750" w:type="dxa"/>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66"/>
        <w:gridCol w:w="1754"/>
        <w:gridCol w:w="915"/>
        <w:gridCol w:w="1755"/>
        <w:gridCol w:w="1590"/>
        <w:gridCol w:w="1755"/>
        <w:gridCol w:w="1215"/>
      </w:tblGrid>
      <w:tr>
        <w:trPr/>
        <w:tc>
          <w:tcPr>
            <w:tcW w:w="767" w:type="dxa"/>
            <w:vAlign w:val="center"/>
            <w:textDirection w:val="lrTb"/>
            <w:noWrap w:val="false"/>
          </w:tcPr>
          <w:p>
            <w:pPr>
              <w:pStyle w:val="706"/>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t xml:space="preserve">姓名</w:t>
            </w:r>
            <w:r>
              <w:rPr>
                <w:rFonts w:hint="eastAsia" w:ascii="宋体" w:hAnsi="宋体" w:eastAsia="宋体" w:cs="Arial"/>
                <w:color w:val="000000"/>
                <w:sz w:val="24"/>
                <w:highlight w:val="none"/>
              </w:rPr>
            </w:r>
            <w:r/>
          </w:p>
        </w:tc>
        <w:tc>
          <w:tcPr>
            <w:tcW w:w="1755" w:type="dxa"/>
            <w:vAlign w:val="center"/>
            <w:textDirection w:val="lrTb"/>
            <w:noWrap w:val="false"/>
          </w:tcPr>
          <w:p>
            <w:pPr>
              <w:pStyle w:val="706"/>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t xml:space="preserve">拟在本项目中</w:t>
            </w:r>
            <w:r>
              <w:rPr>
                <w:rFonts w:hint="eastAsia" w:ascii="宋体" w:hAnsi="宋体" w:eastAsia="宋体" w:cs="Arial"/>
                <w:color w:val="000000"/>
                <w:sz w:val="24"/>
                <w:highlight w:val="none"/>
              </w:rPr>
            </w:r>
            <w:r/>
          </w:p>
          <w:p>
            <w:pPr>
              <w:pStyle w:val="706"/>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t xml:space="preserve">担任的职务</w:t>
            </w:r>
            <w:r>
              <w:rPr>
                <w:rFonts w:hint="eastAsia" w:ascii="宋体" w:hAnsi="宋体" w:eastAsia="宋体" w:cs="Arial"/>
                <w:color w:val="000000"/>
                <w:sz w:val="24"/>
                <w:highlight w:val="none"/>
              </w:rPr>
            </w:r>
            <w:r/>
          </w:p>
        </w:tc>
        <w:tc>
          <w:tcPr>
            <w:tcW w:w="915" w:type="dxa"/>
            <w:vAlign w:val="center"/>
            <w:textDirection w:val="lrTb"/>
            <w:noWrap w:val="false"/>
          </w:tcPr>
          <w:p>
            <w:pPr>
              <w:pStyle w:val="706"/>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t xml:space="preserve">职称</w:t>
            </w:r>
            <w:r>
              <w:rPr>
                <w:rFonts w:hint="eastAsia" w:ascii="宋体" w:hAnsi="宋体" w:eastAsia="宋体" w:cs="Arial"/>
                <w:color w:val="000000"/>
                <w:sz w:val="24"/>
                <w:highlight w:val="none"/>
              </w:rPr>
            </w:r>
            <w:r/>
          </w:p>
        </w:tc>
        <w:tc>
          <w:tcPr>
            <w:tcW w:w="1755" w:type="dxa"/>
            <w:vAlign w:val="center"/>
            <w:textDirection w:val="lrTb"/>
            <w:noWrap w:val="false"/>
          </w:tcPr>
          <w:p>
            <w:pPr>
              <w:pStyle w:val="706"/>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t xml:space="preserve">执业资格证或上岗证书等</w:t>
            </w:r>
            <w:r>
              <w:rPr>
                <w:rFonts w:hint="eastAsia" w:ascii="宋体" w:hAnsi="宋体" w:eastAsia="宋体" w:cs="Arial"/>
                <w:color w:val="000000"/>
                <w:sz w:val="24"/>
                <w:highlight w:val="none"/>
              </w:rPr>
            </w:r>
            <w:r/>
          </w:p>
        </w:tc>
        <w:tc>
          <w:tcPr>
            <w:tcW w:w="1590" w:type="dxa"/>
            <w:vAlign w:val="center"/>
            <w:textDirection w:val="lrTb"/>
            <w:noWrap w:val="false"/>
          </w:tcPr>
          <w:p>
            <w:pPr>
              <w:pStyle w:val="706"/>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t xml:space="preserve">身份证号码</w:t>
            </w:r>
            <w:r>
              <w:rPr>
                <w:rFonts w:hint="eastAsia" w:ascii="宋体" w:hAnsi="宋体" w:eastAsia="宋体" w:cs="Arial"/>
                <w:color w:val="000000"/>
                <w:sz w:val="24"/>
                <w:highlight w:val="none"/>
              </w:rPr>
            </w:r>
            <w:r/>
          </w:p>
        </w:tc>
        <w:tc>
          <w:tcPr>
            <w:tcW w:w="1755" w:type="dxa"/>
            <w:vAlign w:val="center"/>
            <w:textDirection w:val="lrTb"/>
            <w:noWrap w:val="false"/>
          </w:tcPr>
          <w:p>
            <w:pPr>
              <w:pStyle w:val="706"/>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t xml:space="preserve">主要资历和项目施工经历</w:t>
            </w:r>
            <w:r>
              <w:rPr>
                <w:rFonts w:hint="eastAsia" w:ascii="宋体" w:hAnsi="宋体" w:eastAsia="宋体" w:cs="Arial"/>
                <w:color w:val="000000"/>
                <w:sz w:val="24"/>
                <w:highlight w:val="none"/>
              </w:rPr>
            </w:r>
            <w:r/>
          </w:p>
        </w:tc>
        <w:tc>
          <w:tcPr>
            <w:tcW w:w="1215" w:type="dxa"/>
            <w:vAlign w:val="center"/>
            <w:textDirection w:val="lrTb"/>
            <w:noWrap w:val="false"/>
          </w:tcPr>
          <w:p>
            <w:pPr>
              <w:pStyle w:val="706"/>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t xml:space="preserve">联系方式</w:t>
            </w:r>
            <w:r>
              <w:rPr>
                <w:rFonts w:hint="eastAsia" w:ascii="宋体" w:hAnsi="宋体" w:eastAsia="宋体" w:cs="Arial"/>
                <w:color w:val="000000"/>
                <w:sz w:val="24"/>
                <w:highlight w:val="none"/>
              </w:rPr>
            </w:r>
            <w:r/>
          </w:p>
        </w:tc>
      </w:tr>
      <w:tr>
        <w:trPr>
          <w:trHeight w:val="619"/>
        </w:trPr>
        <w:tc>
          <w:tcPr>
            <w:tcW w:w="767" w:type="dxa"/>
            <w:vAlign w:val="center"/>
            <w:textDirection w:val="lrTb"/>
            <w:noWrap w:val="false"/>
          </w:tcPr>
          <w:p>
            <w:pPr>
              <w:pStyle w:val="706"/>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755" w:type="dxa"/>
            <w:vAlign w:val="center"/>
            <w:textDirection w:val="lrTb"/>
            <w:noWrap w:val="false"/>
          </w:tcPr>
          <w:p>
            <w:pPr>
              <w:pStyle w:val="706"/>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915" w:type="dxa"/>
            <w:vAlign w:val="center"/>
            <w:textDirection w:val="lrTb"/>
            <w:noWrap w:val="false"/>
          </w:tcPr>
          <w:p>
            <w:pPr>
              <w:pStyle w:val="706"/>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755" w:type="dxa"/>
            <w:vAlign w:val="center"/>
            <w:textDirection w:val="lrTb"/>
            <w:noWrap w:val="false"/>
          </w:tcPr>
          <w:p>
            <w:pPr>
              <w:pStyle w:val="706"/>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590" w:type="dxa"/>
            <w:vAlign w:val="center"/>
            <w:textDirection w:val="lrTb"/>
            <w:noWrap w:val="false"/>
          </w:tcPr>
          <w:p>
            <w:pPr>
              <w:pStyle w:val="706"/>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755" w:type="dxa"/>
            <w:vAlign w:val="center"/>
            <w:textDirection w:val="lrTb"/>
            <w:noWrap w:val="false"/>
          </w:tcPr>
          <w:p>
            <w:pPr>
              <w:pStyle w:val="706"/>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215" w:type="dxa"/>
            <w:vAlign w:val="center"/>
            <w:textDirection w:val="lrTb"/>
            <w:noWrap w:val="false"/>
          </w:tcPr>
          <w:p>
            <w:pPr>
              <w:pStyle w:val="706"/>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r>
      <w:tr>
        <w:trPr>
          <w:trHeight w:val="620"/>
        </w:trPr>
        <w:tc>
          <w:tcPr>
            <w:tcW w:w="767" w:type="dxa"/>
            <w:vAlign w:val="center"/>
            <w:textDirection w:val="lrTb"/>
            <w:noWrap w:val="false"/>
          </w:tcPr>
          <w:p>
            <w:pPr>
              <w:pStyle w:val="706"/>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755" w:type="dxa"/>
            <w:vAlign w:val="center"/>
            <w:textDirection w:val="lrTb"/>
            <w:noWrap w:val="false"/>
          </w:tcPr>
          <w:p>
            <w:pPr>
              <w:pStyle w:val="706"/>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915" w:type="dxa"/>
            <w:vAlign w:val="center"/>
            <w:textDirection w:val="lrTb"/>
            <w:noWrap w:val="false"/>
          </w:tcPr>
          <w:p>
            <w:pPr>
              <w:pStyle w:val="706"/>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755" w:type="dxa"/>
            <w:vAlign w:val="center"/>
            <w:textDirection w:val="lrTb"/>
            <w:noWrap w:val="false"/>
          </w:tcPr>
          <w:p>
            <w:pPr>
              <w:pStyle w:val="706"/>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590" w:type="dxa"/>
            <w:vAlign w:val="center"/>
            <w:textDirection w:val="lrTb"/>
            <w:noWrap w:val="false"/>
          </w:tcPr>
          <w:p>
            <w:pPr>
              <w:pStyle w:val="706"/>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755" w:type="dxa"/>
            <w:vAlign w:val="center"/>
            <w:textDirection w:val="lrTb"/>
            <w:noWrap w:val="false"/>
          </w:tcPr>
          <w:p>
            <w:pPr>
              <w:pStyle w:val="706"/>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215" w:type="dxa"/>
            <w:vAlign w:val="center"/>
            <w:textDirection w:val="lrTb"/>
            <w:noWrap w:val="false"/>
          </w:tcPr>
          <w:p>
            <w:pPr>
              <w:pStyle w:val="706"/>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r>
      <w:tr>
        <w:trPr>
          <w:trHeight w:val="619"/>
        </w:trPr>
        <w:tc>
          <w:tcPr>
            <w:tcW w:w="767" w:type="dxa"/>
            <w:vAlign w:val="center"/>
            <w:textDirection w:val="lrTb"/>
            <w:noWrap w:val="false"/>
          </w:tcPr>
          <w:p>
            <w:pPr>
              <w:pStyle w:val="706"/>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755" w:type="dxa"/>
            <w:vAlign w:val="center"/>
            <w:textDirection w:val="lrTb"/>
            <w:noWrap w:val="false"/>
          </w:tcPr>
          <w:p>
            <w:pPr>
              <w:pStyle w:val="706"/>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915" w:type="dxa"/>
            <w:vAlign w:val="center"/>
            <w:textDirection w:val="lrTb"/>
            <w:noWrap w:val="false"/>
          </w:tcPr>
          <w:p>
            <w:pPr>
              <w:pStyle w:val="706"/>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755" w:type="dxa"/>
            <w:vAlign w:val="center"/>
            <w:textDirection w:val="lrTb"/>
            <w:noWrap w:val="false"/>
          </w:tcPr>
          <w:p>
            <w:pPr>
              <w:pStyle w:val="706"/>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590" w:type="dxa"/>
            <w:vAlign w:val="center"/>
            <w:textDirection w:val="lrTb"/>
            <w:noWrap w:val="false"/>
          </w:tcPr>
          <w:p>
            <w:pPr>
              <w:pStyle w:val="706"/>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755" w:type="dxa"/>
            <w:vAlign w:val="center"/>
            <w:textDirection w:val="lrTb"/>
            <w:noWrap w:val="false"/>
          </w:tcPr>
          <w:p>
            <w:pPr>
              <w:pStyle w:val="706"/>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215" w:type="dxa"/>
            <w:vAlign w:val="center"/>
            <w:textDirection w:val="lrTb"/>
            <w:noWrap w:val="false"/>
          </w:tcPr>
          <w:p>
            <w:pPr>
              <w:pStyle w:val="706"/>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r>
      <w:tr>
        <w:trPr>
          <w:trHeight w:val="620"/>
        </w:trPr>
        <w:tc>
          <w:tcPr>
            <w:tcW w:w="767" w:type="dxa"/>
            <w:vAlign w:val="center"/>
            <w:textDirection w:val="lrTb"/>
            <w:noWrap w:val="false"/>
          </w:tcPr>
          <w:p>
            <w:pPr>
              <w:pStyle w:val="706"/>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755" w:type="dxa"/>
            <w:vAlign w:val="center"/>
            <w:textDirection w:val="lrTb"/>
            <w:noWrap w:val="false"/>
          </w:tcPr>
          <w:p>
            <w:pPr>
              <w:pStyle w:val="706"/>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915" w:type="dxa"/>
            <w:vAlign w:val="center"/>
            <w:textDirection w:val="lrTb"/>
            <w:noWrap w:val="false"/>
          </w:tcPr>
          <w:p>
            <w:pPr>
              <w:pStyle w:val="706"/>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755" w:type="dxa"/>
            <w:vAlign w:val="center"/>
            <w:textDirection w:val="lrTb"/>
            <w:noWrap w:val="false"/>
          </w:tcPr>
          <w:p>
            <w:pPr>
              <w:pStyle w:val="706"/>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590" w:type="dxa"/>
            <w:vAlign w:val="center"/>
            <w:textDirection w:val="lrTb"/>
            <w:noWrap w:val="false"/>
          </w:tcPr>
          <w:p>
            <w:pPr>
              <w:pStyle w:val="706"/>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755" w:type="dxa"/>
            <w:vAlign w:val="center"/>
            <w:textDirection w:val="lrTb"/>
            <w:noWrap w:val="false"/>
          </w:tcPr>
          <w:p>
            <w:pPr>
              <w:pStyle w:val="706"/>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215" w:type="dxa"/>
            <w:vAlign w:val="center"/>
            <w:textDirection w:val="lrTb"/>
            <w:noWrap w:val="false"/>
          </w:tcPr>
          <w:p>
            <w:pPr>
              <w:pStyle w:val="706"/>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r>
      <w:tr>
        <w:trPr>
          <w:trHeight w:val="619"/>
        </w:trPr>
        <w:tc>
          <w:tcPr>
            <w:tcW w:w="767" w:type="dxa"/>
            <w:vAlign w:val="center"/>
            <w:textDirection w:val="lrTb"/>
            <w:noWrap w:val="false"/>
          </w:tcPr>
          <w:p>
            <w:pPr>
              <w:pStyle w:val="706"/>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755" w:type="dxa"/>
            <w:vAlign w:val="center"/>
            <w:textDirection w:val="lrTb"/>
            <w:noWrap w:val="false"/>
          </w:tcPr>
          <w:p>
            <w:pPr>
              <w:pStyle w:val="706"/>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915" w:type="dxa"/>
            <w:vAlign w:val="center"/>
            <w:textDirection w:val="lrTb"/>
            <w:noWrap w:val="false"/>
          </w:tcPr>
          <w:p>
            <w:pPr>
              <w:pStyle w:val="706"/>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755" w:type="dxa"/>
            <w:vAlign w:val="center"/>
            <w:textDirection w:val="lrTb"/>
            <w:noWrap w:val="false"/>
          </w:tcPr>
          <w:p>
            <w:pPr>
              <w:pStyle w:val="706"/>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590" w:type="dxa"/>
            <w:vAlign w:val="center"/>
            <w:textDirection w:val="lrTb"/>
            <w:noWrap w:val="false"/>
          </w:tcPr>
          <w:p>
            <w:pPr>
              <w:pStyle w:val="706"/>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755" w:type="dxa"/>
            <w:vAlign w:val="center"/>
            <w:textDirection w:val="lrTb"/>
            <w:noWrap w:val="false"/>
          </w:tcPr>
          <w:p>
            <w:pPr>
              <w:pStyle w:val="706"/>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215" w:type="dxa"/>
            <w:vAlign w:val="center"/>
            <w:textDirection w:val="lrTb"/>
            <w:noWrap w:val="false"/>
          </w:tcPr>
          <w:p>
            <w:pPr>
              <w:pStyle w:val="706"/>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r>
      <w:tr>
        <w:trPr>
          <w:trHeight w:val="591"/>
        </w:trPr>
        <w:tc>
          <w:tcPr>
            <w:tcW w:w="767" w:type="dxa"/>
            <w:vAlign w:val="center"/>
            <w:textDirection w:val="lrTb"/>
            <w:noWrap w:val="false"/>
          </w:tcPr>
          <w:p>
            <w:pPr>
              <w:pStyle w:val="706"/>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755" w:type="dxa"/>
            <w:vAlign w:val="center"/>
            <w:textDirection w:val="lrTb"/>
            <w:noWrap w:val="false"/>
          </w:tcPr>
          <w:p>
            <w:pPr>
              <w:pStyle w:val="706"/>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915" w:type="dxa"/>
            <w:vAlign w:val="center"/>
            <w:textDirection w:val="lrTb"/>
            <w:noWrap w:val="false"/>
          </w:tcPr>
          <w:p>
            <w:pPr>
              <w:pStyle w:val="706"/>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755" w:type="dxa"/>
            <w:vAlign w:val="center"/>
            <w:textDirection w:val="lrTb"/>
            <w:noWrap w:val="false"/>
          </w:tcPr>
          <w:p>
            <w:pPr>
              <w:pStyle w:val="706"/>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590" w:type="dxa"/>
            <w:vAlign w:val="center"/>
            <w:textDirection w:val="lrTb"/>
            <w:noWrap w:val="false"/>
          </w:tcPr>
          <w:p>
            <w:pPr>
              <w:pStyle w:val="706"/>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755" w:type="dxa"/>
            <w:vAlign w:val="center"/>
            <w:textDirection w:val="lrTb"/>
            <w:noWrap w:val="false"/>
          </w:tcPr>
          <w:p>
            <w:pPr>
              <w:pStyle w:val="706"/>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215" w:type="dxa"/>
            <w:vAlign w:val="center"/>
            <w:textDirection w:val="lrTb"/>
            <w:noWrap w:val="false"/>
          </w:tcPr>
          <w:p>
            <w:pPr>
              <w:pStyle w:val="706"/>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r>
      <w:tr>
        <w:trPr>
          <w:trHeight w:val="619"/>
        </w:trPr>
        <w:tc>
          <w:tcPr>
            <w:tcW w:w="767" w:type="dxa"/>
            <w:vAlign w:val="center"/>
            <w:textDirection w:val="lrTb"/>
            <w:noWrap w:val="false"/>
          </w:tcPr>
          <w:p>
            <w:pPr>
              <w:pStyle w:val="706"/>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755" w:type="dxa"/>
            <w:vAlign w:val="center"/>
            <w:textDirection w:val="lrTb"/>
            <w:noWrap w:val="false"/>
          </w:tcPr>
          <w:p>
            <w:pPr>
              <w:pStyle w:val="706"/>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915" w:type="dxa"/>
            <w:vAlign w:val="center"/>
            <w:textDirection w:val="lrTb"/>
            <w:noWrap w:val="false"/>
          </w:tcPr>
          <w:p>
            <w:pPr>
              <w:pStyle w:val="706"/>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755" w:type="dxa"/>
            <w:vAlign w:val="center"/>
            <w:textDirection w:val="lrTb"/>
            <w:noWrap w:val="false"/>
          </w:tcPr>
          <w:p>
            <w:pPr>
              <w:pStyle w:val="706"/>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590" w:type="dxa"/>
            <w:vAlign w:val="center"/>
            <w:textDirection w:val="lrTb"/>
            <w:noWrap w:val="false"/>
          </w:tcPr>
          <w:p>
            <w:pPr>
              <w:pStyle w:val="706"/>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755" w:type="dxa"/>
            <w:vAlign w:val="center"/>
            <w:textDirection w:val="lrTb"/>
            <w:noWrap w:val="false"/>
          </w:tcPr>
          <w:p>
            <w:pPr>
              <w:pStyle w:val="706"/>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215" w:type="dxa"/>
            <w:vAlign w:val="center"/>
            <w:textDirection w:val="lrTb"/>
            <w:noWrap w:val="false"/>
          </w:tcPr>
          <w:p>
            <w:pPr>
              <w:pStyle w:val="706"/>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r>
      <w:tr>
        <w:trPr>
          <w:trHeight w:val="620"/>
        </w:trPr>
        <w:tc>
          <w:tcPr>
            <w:tcW w:w="767" w:type="dxa"/>
            <w:vAlign w:val="center"/>
            <w:textDirection w:val="lrTb"/>
            <w:noWrap w:val="false"/>
          </w:tcPr>
          <w:p>
            <w:pPr>
              <w:pStyle w:val="706"/>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755" w:type="dxa"/>
            <w:vAlign w:val="center"/>
            <w:textDirection w:val="lrTb"/>
            <w:noWrap w:val="false"/>
          </w:tcPr>
          <w:p>
            <w:pPr>
              <w:pStyle w:val="706"/>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915" w:type="dxa"/>
            <w:vAlign w:val="center"/>
            <w:textDirection w:val="lrTb"/>
            <w:noWrap w:val="false"/>
          </w:tcPr>
          <w:p>
            <w:pPr>
              <w:pStyle w:val="706"/>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755" w:type="dxa"/>
            <w:vAlign w:val="center"/>
            <w:textDirection w:val="lrTb"/>
            <w:noWrap w:val="false"/>
          </w:tcPr>
          <w:p>
            <w:pPr>
              <w:pStyle w:val="706"/>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590" w:type="dxa"/>
            <w:vAlign w:val="center"/>
            <w:textDirection w:val="lrTb"/>
            <w:noWrap w:val="false"/>
          </w:tcPr>
          <w:p>
            <w:pPr>
              <w:pStyle w:val="706"/>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755" w:type="dxa"/>
            <w:vAlign w:val="center"/>
            <w:textDirection w:val="lrTb"/>
            <w:noWrap w:val="false"/>
          </w:tcPr>
          <w:p>
            <w:pPr>
              <w:pStyle w:val="706"/>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215" w:type="dxa"/>
            <w:vAlign w:val="center"/>
            <w:textDirection w:val="lrTb"/>
            <w:noWrap w:val="false"/>
          </w:tcPr>
          <w:p>
            <w:pPr>
              <w:pStyle w:val="706"/>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r>
      <w:tr>
        <w:trPr>
          <w:trHeight w:val="620"/>
        </w:trPr>
        <w:tc>
          <w:tcPr>
            <w:tcW w:w="767" w:type="dxa"/>
            <w:vAlign w:val="center"/>
            <w:textDirection w:val="lrTb"/>
            <w:noWrap w:val="false"/>
          </w:tcPr>
          <w:p>
            <w:pPr>
              <w:pStyle w:val="706"/>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755" w:type="dxa"/>
            <w:vAlign w:val="center"/>
            <w:textDirection w:val="lrTb"/>
            <w:noWrap w:val="false"/>
          </w:tcPr>
          <w:p>
            <w:pPr>
              <w:pStyle w:val="706"/>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915" w:type="dxa"/>
            <w:vAlign w:val="center"/>
            <w:textDirection w:val="lrTb"/>
            <w:noWrap w:val="false"/>
          </w:tcPr>
          <w:p>
            <w:pPr>
              <w:pStyle w:val="706"/>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755" w:type="dxa"/>
            <w:vAlign w:val="center"/>
            <w:textDirection w:val="lrTb"/>
            <w:noWrap w:val="false"/>
          </w:tcPr>
          <w:p>
            <w:pPr>
              <w:pStyle w:val="706"/>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590" w:type="dxa"/>
            <w:vAlign w:val="center"/>
            <w:textDirection w:val="lrTb"/>
            <w:noWrap w:val="false"/>
          </w:tcPr>
          <w:p>
            <w:pPr>
              <w:pStyle w:val="706"/>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755" w:type="dxa"/>
            <w:vAlign w:val="center"/>
            <w:textDirection w:val="lrTb"/>
            <w:noWrap w:val="false"/>
          </w:tcPr>
          <w:p>
            <w:pPr>
              <w:pStyle w:val="706"/>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215" w:type="dxa"/>
            <w:vAlign w:val="center"/>
            <w:textDirection w:val="lrTb"/>
            <w:noWrap w:val="false"/>
          </w:tcPr>
          <w:p>
            <w:pPr>
              <w:pStyle w:val="706"/>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r>
    </w:tbl>
    <w:p>
      <w:pPr>
        <w:pStyle w:val="706"/>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06"/>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注：1、成交后，项目组人员配备应按本表承诺实施，不经采购单位事先书面同意，不得擅自更换。</w:t>
      </w:r>
      <w:r>
        <w:rPr>
          <w:rFonts w:hint="eastAsia" w:ascii="宋体" w:hAnsi="宋体" w:eastAsia="宋体"/>
          <w:color w:val="000000"/>
          <w:sz w:val="24"/>
          <w:szCs w:val="24"/>
          <w:highlight w:val="none"/>
        </w:rPr>
      </w:r>
      <w:r/>
    </w:p>
    <w:p>
      <w:pPr>
        <w:pStyle w:val="706"/>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06"/>
        <w:ind w:right="1560" w:firstLine="480"/>
        <w:jc w:val="right"/>
        <w:spacing w:line="360" w:lineRule="auto"/>
        <w:tabs>
          <w:tab w:val="left" w:pos="4860" w:leader="none"/>
        </w:tabs>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供应商（单位盖章）：</w:t>
      </w:r>
      <w:r>
        <w:rPr>
          <w:rFonts w:hint="eastAsia" w:ascii="宋体" w:hAnsi="宋体" w:eastAsia="宋体"/>
          <w:color w:val="000000"/>
          <w:sz w:val="24"/>
          <w:szCs w:val="24"/>
          <w:highlight w:val="none"/>
        </w:rPr>
      </w:r>
      <w:r/>
    </w:p>
    <w:p>
      <w:pPr>
        <w:pStyle w:val="706"/>
        <w:ind w:right="1560" w:firstLine="480"/>
        <w:jc w:val="right"/>
        <w:spacing w:line="360" w:lineRule="auto"/>
        <w:tabs>
          <w:tab w:val="left" w:pos="4860" w:leader="none"/>
        </w:tabs>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日期：   年   月   日</w:t>
      </w:r>
      <w:r>
        <w:rPr>
          <w:rFonts w:hint="eastAsia" w:ascii="宋体" w:hAnsi="宋体" w:eastAsia="宋体"/>
          <w:color w:val="000000"/>
          <w:sz w:val="24"/>
          <w:szCs w:val="24"/>
          <w:highlight w:val="none"/>
        </w:rPr>
      </w:r>
      <w:r/>
    </w:p>
    <w:p>
      <w:pPr>
        <w:pStyle w:val="708"/>
        <w:spacing w:after="120" w:line="360" w:lineRule="auto"/>
        <w:rPr>
          <w:rFonts w:hint="eastAsia" w:eastAsia="宋体"/>
          <w:color w:val="000000"/>
          <w:sz w:val="24"/>
          <w:szCs w:val="24"/>
          <w:highlight w:val="none"/>
        </w:rPr>
      </w:pPr>
      <w:r>
        <w:rPr>
          <w:rFonts w:hint="eastAsia" w:eastAsia="宋体"/>
          <w:color w:val="000000"/>
          <w:sz w:val="24"/>
          <w:szCs w:val="24"/>
          <w:highlight w:val="none"/>
        </w:rPr>
      </w:r>
      <w:r/>
    </w:p>
    <w:p>
      <w:pPr>
        <w:pStyle w:val="706"/>
        <w:spacing w:line="360" w:lineRule="auto"/>
        <w:rPr>
          <w:rFonts w:hint="eastAsia"/>
          <w:color w:val="000000"/>
          <w:highlight w:val="none"/>
        </w:rPr>
      </w:pPr>
      <w:r>
        <w:rPr>
          <w:rFonts w:hint="eastAsia"/>
          <w:color w:val="000000"/>
          <w:highlight w:val="none"/>
        </w:rPr>
      </w:r>
      <w:r/>
    </w:p>
    <w:p>
      <w:pPr>
        <w:pStyle w:val="708"/>
        <w:spacing w:after="120" w:line="360" w:lineRule="auto"/>
        <w:rPr>
          <w:rFonts w:eastAsia="宋体"/>
          <w:b w:val="0"/>
          <w:color w:val="000000"/>
          <w:sz w:val="24"/>
          <w:szCs w:val="24"/>
          <w:highlight w:val="none"/>
        </w:rPr>
      </w:pPr>
      <w:r>
        <w:rPr>
          <w:rFonts w:hint="eastAsia" w:eastAsia="宋体"/>
          <w:color w:val="000000"/>
          <w:szCs w:val="24"/>
          <w:highlight w:val="none"/>
        </w:rPr>
        <w:br w:type="page" w:clear="all"/>
      </w:r>
      <w:bookmarkStart w:id="58" w:name="_Toc6666"/>
      <w:r/>
      <w:bookmarkStart w:id="59" w:name="_Toc10467991"/>
      <w:r>
        <w:rPr>
          <w:rFonts w:hint="eastAsia" w:eastAsia="宋体"/>
          <w:b w:val="0"/>
          <w:color w:val="000000"/>
          <w:sz w:val="24"/>
          <w:szCs w:val="24"/>
          <w:highlight w:val="none"/>
        </w:rPr>
        <w:t xml:space="preserve">6、类似业绩一览表</w:t>
      </w:r>
      <w:bookmarkEnd w:id="58"/>
      <w:r/>
      <w:bookmarkEnd w:id="59"/>
      <w:r>
        <w:rPr>
          <w:rFonts w:eastAsia="宋体"/>
          <w:b w:val="0"/>
          <w:color w:val="000000"/>
          <w:sz w:val="24"/>
          <w:szCs w:val="24"/>
          <w:highlight w:val="none"/>
        </w:rPr>
      </w:r>
      <w:r/>
    </w:p>
    <w:p>
      <w:pPr>
        <w:pStyle w:val="730"/>
        <w:ind w:firstLine="0"/>
        <w:jc w:val="center"/>
        <w:spacing w:before="120" w:after="120" w:line="360" w:lineRule="auto"/>
        <w:rPr>
          <w:rFonts w:hint="eastAsia" w:ascii="宋体" w:hAnsi="宋体" w:eastAsia="宋体"/>
          <w:color w:val="000000"/>
          <w:sz w:val="30"/>
          <w:szCs w:val="30"/>
          <w:highlight w:val="none"/>
        </w:rPr>
      </w:pPr>
      <w:r>
        <w:rPr>
          <w:rFonts w:hint="eastAsia" w:ascii="宋体" w:hAnsi="宋体" w:eastAsia="宋体"/>
          <w:color w:val="000000"/>
          <w:sz w:val="30"/>
          <w:szCs w:val="30"/>
          <w:highlight w:val="none"/>
        </w:rPr>
        <w:t xml:space="preserve">类似业绩一览表</w:t>
      </w:r>
      <w:r>
        <w:rPr>
          <w:rFonts w:hint="eastAsia" w:ascii="宋体" w:hAnsi="宋体" w:eastAsia="宋体"/>
          <w:color w:val="000000"/>
          <w:sz w:val="30"/>
          <w:szCs w:val="30"/>
          <w:highlight w:val="none"/>
        </w:rPr>
      </w:r>
      <w:r/>
    </w:p>
    <w:tbl>
      <w:tblPr>
        <w:tblW w:w="837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56"/>
        <w:gridCol w:w="2077"/>
        <w:gridCol w:w="1363"/>
        <w:gridCol w:w="1676"/>
        <w:gridCol w:w="1651"/>
        <w:gridCol w:w="847"/>
      </w:tblGrid>
      <w:tr>
        <w:trPr>
          <w:trHeight w:val="753"/>
        </w:trPr>
        <w:tc>
          <w:tcPr>
            <w:tcW w:w="755" w:type="dxa"/>
            <w:vAlign w:val="center"/>
            <w:textDirection w:val="lrTb"/>
            <w:noWrap w:val="false"/>
          </w:tcPr>
          <w:p>
            <w:pPr>
              <w:pStyle w:val="870"/>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序号</w:t>
            </w:r>
            <w:r>
              <w:rPr>
                <w:rFonts w:hint="eastAsia" w:ascii="宋体" w:hAnsi="宋体"/>
                <w:bCs/>
                <w:color w:val="000000"/>
                <w:sz w:val="24"/>
                <w:szCs w:val="24"/>
                <w:highlight w:val="none"/>
              </w:rPr>
            </w:r>
            <w:r/>
          </w:p>
        </w:tc>
        <w:tc>
          <w:tcPr>
            <w:tcW w:w="2075" w:type="dxa"/>
            <w:vAlign w:val="center"/>
            <w:textDirection w:val="lrTb"/>
            <w:noWrap w:val="false"/>
          </w:tcPr>
          <w:p>
            <w:pPr>
              <w:pStyle w:val="870"/>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项目名称及简介</w:t>
            </w:r>
            <w:r>
              <w:rPr>
                <w:rFonts w:hint="eastAsia" w:ascii="宋体" w:hAnsi="宋体"/>
                <w:bCs/>
                <w:color w:val="000000"/>
                <w:sz w:val="24"/>
                <w:szCs w:val="24"/>
                <w:highlight w:val="none"/>
              </w:rPr>
            </w:r>
            <w:r/>
          </w:p>
        </w:tc>
        <w:tc>
          <w:tcPr>
            <w:tcW w:w="1362" w:type="dxa"/>
            <w:vAlign w:val="center"/>
            <w:textDirection w:val="lrTb"/>
            <w:noWrap w:val="false"/>
          </w:tcPr>
          <w:p>
            <w:pPr>
              <w:pStyle w:val="706"/>
              <w:jc w:val="center"/>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采购单位</w:t>
            </w:r>
            <w:r>
              <w:rPr>
                <w:rFonts w:hint="eastAsia" w:ascii="宋体" w:hAnsi="宋体" w:eastAsia="宋体"/>
                <w:bCs/>
                <w:color w:val="000000"/>
                <w:sz w:val="24"/>
                <w:szCs w:val="24"/>
                <w:highlight w:val="none"/>
              </w:rPr>
            </w:r>
            <w:r/>
          </w:p>
        </w:tc>
        <w:tc>
          <w:tcPr>
            <w:tcW w:w="1675" w:type="dxa"/>
            <w:vAlign w:val="center"/>
            <w:textDirection w:val="lrTb"/>
            <w:noWrap w:val="false"/>
          </w:tcPr>
          <w:p>
            <w:pPr>
              <w:pStyle w:val="706"/>
              <w:jc w:val="center"/>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合同签订日期</w:t>
            </w:r>
            <w:r>
              <w:rPr>
                <w:rFonts w:hint="eastAsia" w:ascii="宋体" w:hAnsi="宋体" w:eastAsia="宋体"/>
                <w:bCs/>
                <w:color w:val="000000"/>
                <w:sz w:val="24"/>
                <w:szCs w:val="24"/>
                <w:highlight w:val="none"/>
              </w:rPr>
            </w:r>
            <w:r/>
          </w:p>
        </w:tc>
        <w:tc>
          <w:tcPr>
            <w:tcW w:w="1650" w:type="dxa"/>
            <w:vAlign w:val="center"/>
            <w:textDirection w:val="lrTb"/>
            <w:noWrap w:val="false"/>
          </w:tcPr>
          <w:p>
            <w:pPr>
              <w:pStyle w:val="706"/>
              <w:jc w:val="center"/>
              <w:spacing w:line="360" w:lineRule="auto"/>
              <w:rPr>
                <w:rFonts w:hint="eastAsia" w:ascii="宋体" w:hAnsi="宋体"/>
                <w:bCs/>
                <w:color w:val="000000"/>
                <w:sz w:val="24"/>
                <w:szCs w:val="24"/>
                <w:highlight w:val="none"/>
              </w:rPr>
            </w:pPr>
            <w:r>
              <w:rPr>
                <w:rFonts w:hint="eastAsia" w:ascii="宋体" w:hAnsi="宋体" w:eastAsia="宋体"/>
                <w:bCs/>
                <w:color w:val="000000"/>
                <w:sz w:val="24"/>
                <w:szCs w:val="24"/>
                <w:highlight w:val="none"/>
              </w:rPr>
              <w:t xml:space="preserve">合同金额（元）</w:t>
            </w:r>
            <w:r>
              <w:rPr>
                <w:rFonts w:hint="eastAsia" w:ascii="宋体" w:hAnsi="宋体"/>
                <w:bCs/>
                <w:color w:val="000000"/>
                <w:sz w:val="24"/>
                <w:szCs w:val="24"/>
                <w:highlight w:val="none"/>
              </w:rPr>
            </w:r>
            <w:r/>
          </w:p>
        </w:tc>
        <w:tc>
          <w:tcPr>
            <w:tcW w:w="846" w:type="dxa"/>
            <w:vAlign w:val="center"/>
            <w:textDirection w:val="lrTb"/>
            <w:noWrap w:val="false"/>
          </w:tcPr>
          <w:p>
            <w:pPr>
              <w:pStyle w:val="870"/>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备注</w:t>
            </w:r>
            <w:r>
              <w:rPr>
                <w:rFonts w:hint="eastAsia" w:ascii="宋体" w:hAnsi="宋体"/>
                <w:bCs/>
                <w:color w:val="000000"/>
                <w:sz w:val="24"/>
                <w:szCs w:val="24"/>
                <w:highlight w:val="none"/>
              </w:rPr>
            </w:r>
            <w:r/>
          </w:p>
        </w:tc>
      </w:tr>
      <w:tr>
        <w:trPr>
          <w:trHeight w:val="897"/>
        </w:trPr>
        <w:tc>
          <w:tcPr>
            <w:tcW w:w="755" w:type="dxa"/>
            <w:vAlign w:val="center"/>
            <w:textDirection w:val="lrTb"/>
            <w:noWrap w:val="false"/>
          </w:tcPr>
          <w:p>
            <w:pPr>
              <w:pStyle w:val="706"/>
              <w:jc w:val="center"/>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w:t>
            </w:r>
            <w:r>
              <w:rPr>
                <w:rFonts w:hint="eastAsia" w:ascii="宋体" w:hAnsi="宋体" w:eastAsia="宋体"/>
                <w:bCs/>
                <w:color w:val="000000"/>
                <w:sz w:val="24"/>
                <w:szCs w:val="24"/>
                <w:highlight w:val="none"/>
              </w:rPr>
            </w:r>
            <w:r/>
          </w:p>
        </w:tc>
        <w:tc>
          <w:tcPr>
            <w:tcW w:w="2075" w:type="dxa"/>
            <w:vAlign w:val="center"/>
            <w:textDirection w:val="lrTb"/>
            <w:noWrap w:val="false"/>
          </w:tcPr>
          <w:p>
            <w:pPr>
              <w:pStyle w:val="706"/>
              <w:jc w:val="center"/>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r>
            <w:r/>
          </w:p>
        </w:tc>
        <w:tc>
          <w:tcPr>
            <w:tcW w:w="1362" w:type="dxa"/>
            <w:vAlign w:val="center"/>
            <w:textDirection w:val="lrTb"/>
            <w:noWrap w:val="false"/>
          </w:tcPr>
          <w:p>
            <w:pPr>
              <w:pStyle w:val="706"/>
              <w:jc w:val="center"/>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r>
            <w:r/>
          </w:p>
        </w:tc>
        <w:tc>
          <w:tcPr>
            <w:tcW w:w="1675" w:type="dxa"/>
            <w:vAlign w:val="center"/>
            <w:textDirection w:val="lrTb"/>
            <w:noWrap w:val="false"/>
          </w:tcPr>
          <w:p>
            <w:pPr>
              <w:pStyle w:val="706"/>
              <w:jc w:val="center"/>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r>
            <w:r/>
          </w:p>
        </w:tc>
        <w:tc>
          <w:tcPr>
            <w:tcW w:w="1650" w:type="dxa"/>
            <w:vAlign w:val="center"/>
            <w:textDirection w:val="lrTb"/>
            <w:noWrap w:val="false"/>
          </w:tcPr>
          <w:p>
            <w:pPr>
              <w:pStyle w:val="706"/>
              <w:jc w:val="center"/>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r>
            <w:r/>
          </w:p>
        </w:tc>
        <w:tc>
          <w:tcPr>
            <w:tcW w:w="846" w:type="dxa"/>
            <w:vAlign w:val="center"/>
            <w:textDirection w:val="lrTb"/>
            <w:noWrap w:val="false"/>
          </w:tcPr>
          <w:p>
            <w:pPr>
              <w:pStyle w:val="706"/>
              <w:jc w:val="center"/>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r>
            <w:r/>
          </w:p>
        </w:tc>
      </w:tr>
      <w:tr>
        <w:trPr>
          <w:trHeight w:val="897"/>
        </w:trPr>
        <w:tc>
          <w:tcPr>
            <w:tcW w:w="755" w:type="dxa"/>
            <w:vAlign w:val="center"/>
            <w:textDirection w:val="lrTb"/>
            <w:noWrap w:val="false"/>
          </w:tcPr>
          <w:p>
            <w:pPr>
              <w:pStyle w:val="706"/>
              <w:jc w:val="center"/>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2</w:t>
            </w:r>
            <w:r>
              <w:rPr>
                <w:rFonts w:hint="eastAsia" w:ascii="宋体" w:hAnsi="宋体" w:eastAsia="宋体"/>
                <w:bCs/>
                <w:color w:val="000000"/>
                <w:sz w:val="24"/>
                <w:szCs w:val="24"/>
                <w:highlight w:val="none"/>
              </w:rPr>
            </w:r>
            <w:r/>
          </w:p>
        </w:tc>
        <w:tc>
          <w:tcPr>
            <w:tcW w:w="2075" w:type="dxa"/>
            <w:vAlign w:val="center"/>
            <w:textDirection w:val="lrTb"/>
            <w:noWrap w:val="false"/>
          </w:tcPr>
          <w:p>
            <w:pPr>
              <w:pStyle w:val="706"/>
              <w:jc w:val="center"/>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r>
            <w:r/>
          </w:p>
        </w:tc>
        <w:tc>
          <w:tcPr>
            <w:tcW w:w="1362" w:type="dxa"/>
            <w:vAlign w:val="center"/>
            <w:textDirection w:val="lrTb"/>
            <w:noWrap w:val="false"/>
          </w:tcPr>
          <w:p>
            <w:pPr>
              <w:pStyle w:val="706"/>
              <w:jc w:val="center"/>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r>
            <w:r/>
          </w:p>
        </w:tc>
        <w:tc>
          <w:tcPr>
            <w:tcW w:w="1675" w:type="dxa"/>
            <w:vAlign w:val="center"/>
            <w:textDirection w:val="lrTb"/>
            <w:noWrap w:val="false"/>
          </w:tcPr>
          <w:p>
            <w:pPr>
              <w:pStyle w:val="706"/>
              <w:jc w:val="center"/>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r>
            <w:r/>
          </w:p>
        </w:tc>
        <w:tc>
          <w:tcPr>
            <w:tcW w:w="1650" w:type="dxa"/>
            <w:vAlign w:val="center"/>
            <w:textDirection w:val="lrTb"/>
            <w:noWrap w:val="false"/>
          </w:tcPr>
          <w:p>
            <w:pPr>
              <w:pStyle w:val="706"/>
              <w:jc w:val="center"/>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r>
            <w:r/>
          </w:p>
        </w:tc>
        <w:tc>
          <w:tcPr>
            <w:tcW w:w="846" w:type="dxa"/>
            <w:vAlign w:val="center"/>
            <w:textDirection w:val="lrTb"/>
            <w:noWrap w:val="false"/>
          </w:tcPr>
          <w:p>
            <w:pPr>
              <w:pStyle w:val="706"/>
              <w:jc w:val="center"/>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r>
            <w:r/>
          </w:p>
        </w:tc>
      </w:tr>
      <w:tr>
        <w:trPr>
          <w:trHeight w:val="897"/>
        </w:trPr>
        <w:tc>
          <w:tcPr>
            <w:tcW w:w="755" w:type="dxa"/>
            <w:vAlign w:val="center"/>
            <w:textDirection w:val="lrTb"/>
            <w:noWrap w:val="false"/>
          </w:tcPr>
          <w:p>
            <w:pPr>
              <w:pStyle w:val="706"/>
              <w:jc w:val="center"/>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3</w:t>
            </w:r>
            <w:r>
              <w:rPr>
                <w:rFonts w:hint="eastAsia" w:ascii="宋体" w:hAnsi="宋体" w:eastAsia="宋体"/>
                <w:bCs/>
                <w:color w:val="000000"/>
                <w:sz w:val="24"/>
                <w:szCs w:val="24"/>
                <w:highlight w:val="none"/>
              </w:rPr>
            </w:r>
            <w:r/>
          </w:p>
        </w:tc>
        <w:tc>
          <w:tcPr>
            <w:tcW w:w="2075" w:type="dxa"/>
            <w:vAlign w:val="center"/>
            <w:textDirection w:val="lrTb"/>
            <w:noWrap w:val="false"/>
          </w:tcPr>
          <w:p>
            <w:pPr>
              <w:pStyle w:val="706"/>
              <w:jc w:val="center"/>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r>
            <w:r/>
          </w:p>
        </w:tc>
        <w:tc>
          <w:tcPr>
            <w:tcW w:w="1362" w:type="dxa"/>
            <w:vAlign w:val="center"/>
            <w:textDirection w:val="lrTb"/>
            <w:noWrap w:val="false"/>
          </w:tcPr>
          <w:p>
            <w:pPr>
              <w:pStyle w:val="706"/>
              <w:jc w:val="center"/>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r>
            <w:r/>
          </w:p>
        </w:tc>
        <w:tc>
          <w:tcPr>
            <w:tcW w:w="1675" w:type="dxa"/>
            <w:vAlign w:val="center"/>
            <w:textDirection w:val="lrTb"/>
            <w:noWrap w:val="false"/>
          </w:tcPr>
          <w:p>
            <w:pPr>
              <w:pStyle w:val="706"/>
              <w:jc w:val="center"/>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r>
            <w:r/>
          </w:p>
        </w:tc>
        <w:tc>
          <w:tcPr>
            <w:tcW w:w="1650" w:type="dxa"/>
            <w:vAlign w:val="center"/>
            <w:textDirection w:val="lrTb"/>
            <w:noWrap w:val="false"/>
          </w:tcPr>
          <w:p>
            <w:pPr>
              <w:pStyle w:val="706"/>
              <w:jc w:val="center"/>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r>
            <w:r/>
          </w:p>
        </w:tc>
        <w:tc>
          <w:tcPr>
            <w:tcW w:w="846" w:type="dxa"/>
            <w:vAlign w:val="center"/>
            <w:textDirection w:val="lrTb"/>
            <w:noWrap w:val="false"/>
          </w:tcPr>
          <w:p>
            <w:pPr>
              <w:pStyle w:val="706"/>
              <w:jc w:val="center"/>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r>
            <w:r/>
          </w:p>
        </w:tc>
      </w:tr>
      <w:tr>
        <w:trPr>
          <w:trHeight w:val="897"/>
        </w:trPr>
        <w:tc>
          <w:tcPr>
            <w:tcW w:w="755" w:type="dxa"/>
            <w:vAlign w:val="center"/>
            <w:textDirection w:val="lrTb"/>
            <w:noWrap w:val="false"/>
          </w:tcPr>
          <w:p>
            <w:pPr>
              <w:pStyle w:val="706"/>
              <w:jc w:val="center"/>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w:t>
            </w:r>
            <w:r>
              <w:rPr>
                <w:rFonts w:hint="eastAsia" w:ascii="宋体" w:hAnsi="宋体" w:eastAsia="宋体"/>
                <w:bCs/>
                <w:color w:val="000000"/>
                <w:sz w:val="24"/>
                <w:szCs w:val="24"/>
                <w:highlight w:val="none"/>
              </w:rPr>
            </w:r>
            <w:r/>
          </w:p>
        </w:tc>
        <w:tc>
          <w:tcPr>
            <w:tcW w:w="2075" w:type="dxa"/>
            <w:vAlign w:val="center"/>
            <w:textDirection w:val="lrTb"/>
            <w:noWrap w:val="false"/>
          </w:tcPr>
          <w:p>
            <w:pPr>
              <w:pStyle w:val="706"/>
              <w:jc w:val="center"/>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r>
            <w:r/>
          </w:p>
        </w:tc>
        <w:tc>
          <w:tcPr>
            <w:tcW w:w="1362" w:type="dxa"/>
            <w:vAlign w:val="center"/>
            <w:textDirection w:val="lrTb"/>
            <w:noWrap w:val="false"/>
          </w:tcPr>
          <w:p>
            <w:pPr>
              <w:pStyle w:val="706"/>
              <w:jc w:val="center"/>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r>
            <w:r/>
          </w:p>
        </w:tc>
        <w:tc>
          <w:tcPr>
            <w:tcW w:w="1675" w:type="dxa"/>
            <w:vAlign w:val="center"/>
            <w:textDirection w:val="lrTb"/>
            <w:noWrap w:val="false"/>
          </w:tcPr>
          <w:p>
            <w:pPr>
              <w:pStyle w:val="706"/>
              <w:jc w:val="center"/>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r>
            <w:r/>
          </w:p>
        </w:tc>
        <w:tc>
          <w:tcPr>
            <w:tcW w:w="1650" w:type="dxa"/>
            <w:vAlign w:val="center"/>
            <w:textDirection w:val="lrTb"/>
            <w:noWrap w:val="false"/>
          </w:tcPr>
          <w:p>
            <w:pPr>
              <w:pStyle w:val="706"/>
              <w:jc w:val="center"/>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r>
            <w:r/>
          </w:p>
        </w:tc>
        <w:tc>
          <w:tcPr>
            <w:tcW w:w="846" w:type="dxa"/>
            <w:vAlign w:val="center"/>
            <w:textDirection w:val="lrTb"/>
            <w:noWrap w:val="false"/>
          </w:tcPr>
          <w:p>
            <w:pPr>
              <w:pStyle w:val="706"/>
              <w:jc w:val="center"/>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r>
            <w:r/>
          </w:p>
        </w:tc>
      </w:tr>
    </w:tbl>
    <w:p>
      <w:pPr>
        <w:pStyle w:val="869"/>
        <w:ind w:firstLine="396"/>
        <w:spacing w:line="360" w:lineRule="auto"/>
        <w:rPr>
          <w:rFonts w:hint="eastAsia" w:ascii="宋体" w:hAnsi="宋体" w:eastAsia="宋体"/>
          <w:color w:val="000000"/>
          <w:sz w:val="24"/>
          <w:szCs w:val="22"/>
          <w:highlight w:val="none"/>
        </w:rPr>
      </w:pPr>
      <w:r>
        <w:rPr>
          <w:rFonts w:hint="eastAsia" w:ascii="宋体" w:hAnsi="宋体" w:eastAsia="宋体"/>
          <w:color w:val="000000"/>
          <w:sz w:val="24"/>
          <w:szCs w:val="22"/>
          <w:highlight w:val="none"/>
        </w:rPr>
      </w:r>
      <w:r/>
    </w:p>
    <w:p>
      <w:pPr>
        <w:pStyle w:val="730"/>
        <w:jc w:val="both"/>
        <w:spacing w:line="360" w:lineRule="auto"/>
        <w:rPr>
          <w:rFonts w:hint="eastAsia" w:ascii="宋体" w:hAnsi="宋体" w:eastAsia="宋体"/>
          <w:color w:val="000000"/>
          <w:highlight w:val="none"/>
        </w:rPr>
      </w:pPr>
      <w:r>
        <w:rPr>
          <w:rFonts w:hint="eastAsia" w:ascii="宋体" w:hAnsi="宋体" w:eastAsia="宋体"/>
          <w:color w:val="000000"/>
          <w:highlight w:val="none"/>
        </w:rPr>
      </w:r>
      <w:r/>
    </w:p>
    <w:p>
      <w:pPr>
        <w:pStyle w:val="706"/>
        <w:ind w:right="1560" w:firstLine="480"/>
        <w:jc w:val="right"/>
        <w:spacing w:line="360" w:lineRule="auto"/>
        <w:tabs>
          <w:tab w:val="left" w:pos="4860" w:leader="none"/>
        </w:tabs>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供应商（单位盖章）：</w:t>
      </w:r>
      <w:r>
        <w:rPr>
          <w:rFonts w:hint="eastAsia" w:ascii="宋体" w:hAnsi="宋体" w:eastAsia="宋体"/>
          <w:color w:val="000000"/>
          <w:sz w:val="24"/>
          <w:szCs w:val="24"/>
          <w:highlight w:val="none"/>
        </w:rPr>
      </w:r>
      <w:r/>
    </w:p>
    <w:p>
      <w:pPr>
        <w:pStyle w:val="706"/>
        <w:ind w:right="1560" w:firstLine="480"/>
        <w:jc w:val="right"/>
        <w:spacing w:line="360" w:lineRule="auto"/>
        <w:tabs>
          <w:tab w:val="left" w:pos="4860" w:leader="none"/>
        </w:tabs>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日期：   年   月   日</w:t>
      </w:r>
      <w:r>
        <w:rPr>
          <w:rFonts w:hint="eastAsia" w:ascii="宋体" w:hAnsi="宋体" w:eastAsia="宋体"/>
          <w:color w:val="000000"/>
          <w:sz w:val="24"/>
          <w:szCs w:val="24"/>
          <w:highlight w:val="none"/>
        </w:rPr>
      </w:r>
      <w:r/>
    </w:p>
    <w:p>
      <w:pPr>
        <w:pStyle w:val="730"/>
        <w:jc w:val="both"/>
        <w:spacing w:line="360" w:lineRule="auto"/>
        <w:rPr>
          <w:rFonts w:hint="eastAsia" w:hAnsi="宋体" w:eastAsia="宋体"/>
          <w:color w:val="000000"/>
          <w:szCs w:val="24"/>
          <w:highlight w:val="none"/>
        </w:rPr>
      </w:pPr>
      <w:r>
        <w:rPr>
          <w:rFonts w:hint="eastAsia" w:hAnsi="宋体" w:eastAsia="宋体"/>
          <w:color w:val="000000"/>
          <w:szCs w:val="24"/>
          <w:highlight w:val="none"/>
        </w:rPr>
      </w:r>
      <w:r/>
    </w:p>
    <w:p>
      <w:pPr>
        <w:pStyle w:val="706"/>
        <w:spacing w:line="360" w:lineRule="auto"/>
        <w:rPr>
          <w:rFonts w:eastAsia="宋体"/>
          <w:b/>
          <w:color w:val="000000"/>
          <w:sz w:val="24"/>
          <w:szCs w:val="24"/>
          <w:highlight w:val="none"/>
        </w:rPr>
      </w:pPr>
      <w:r>
        <w:rPr>
          <w:rFonts w:eastAsia="宋体"/>
          <w:b/>
          <w:color w:val="000000"/>
          <w:sz w:val="24"/>
          <w:szCs w:val="24"/>
          <w:highlight w:val="none"/>
        </w:rPr>
      </w:r>
      <w:r/>
    </w:p>
    <w:p>
      <w:pPr>
        <w:pStyle w:val="706"/>
        <w:spacing w:line="360" w:lineRule="auto"/>
        <w:rPr>
          <w:rFonts w:eastAsia="宋体"/>
          <w:b/>
          <w:color w:val="000000"/>
          <w:sz w:val="24"/>
          <w:szCs w:val="24"/>
          <w:highlight w:val="none"/>
        </w:rPr>
      </w:pPr>
      <w:r>
        <w:rPr>
          <w:rFonts w:eastAsia="宋体"/>
          <w:b/>
          <w:color w:val="000000"/>
          <w:sz w:val="24"/>
          <w:szCs w:val="24"/>
          <w:highlight w:val="none"/>
        </w:rPr>
      </w:r>
      <w:r/>
    </w:p>
    <w:p>
      <w:pPr>
        <w:pStyle w:val="706"/>
        <w:spacing w:line="360" w:lineRule="auto"/>
        <w:rPr>
          <w:rFonts w:eastAsia="宋体"/>
          <w:b/>
          <w:color w:val="000000"/>
          <w:sz w:val="24"/>
          <w:szCs w:val="24"/>
          <w:highlight w:val="none"/>
        </w:rPr>
      </w:pPr>
      <w:r>
        <w:rPr>
          <w:rFonts w:eastAsia="宋体"/>
          <w:b/>
          <w:color w:val="000000"/>
          <w:sz w:val="24"/>
          <w:szCs w:val="24"/>
          <w:highlight w:val="none"/>
        </w:rPr>
      </w:r>
      <w:r/>
    </w:p>
    <w:p>
      <w:pPr>
        <w:pStyle w:val="706"/>
        <w:spacing w:line="360" w:lineRule="auto"/>
        <w:rPr>
          <w:rFonts w:eastAsia="宋体"/>
          <w:b/>
          <w:color w:val="000000"/>
          <w:sz w:val="24"/>
          <w:szCs w:val="24"/>
          <w:highlight w:val="none"/>
        </w:rPr>
      </w:pPr>
      <w:r>
        <w:rPr>
          <w:rFonts w:eastAsia="宋体"/>
          <w:b/>
          <w:color w:val="000000"/>
          <w:sz w:val="24"/>
          <w:szCs w:val="24"/>
          <w:highlight w:val="none"/>
        </w:rPr>
      </w:r>
      <w:r/>
    </w:p>
    <w:p>
      <w:pPr>
        <w:pStyle w:val="706"/>
        <w:spacing w:line="360" w:lineRule="auto"/>
        <w:rPr>
          <w:rFonts w:eastAsia="宋体"/>
          <w:b/>
          <w:color w:val="000000"/>
          <w:sz w:val="24"/>
          <w:szCs w:val="24"/>
          <w:highlight w:val="none"/>
        </w:rPr>
      </w:pPr>
      <w:r>
        <w:rPr>
          <w:rFonts w:eastAsia="宋体"/>
          <w:b/>
          <w:color w:val="000000"/>
          <w:sz w:val="24"/>
          <w:szCs w:val="24"/>
          <w:highlight w:val="none"/>
        </w:rPr>
      </w:r>
      <w:r/>
    </w:p>
    <w:p>
      <w:pPr>
        <w:pStyle w:val="706"/>
        <w:spacing w:line="360" w:lineRule="auto"/>
        <w:rPr>
          <w:rFonts w:eastAsia="宋体"/>
          <w:b/>
          <w:color w:val="000000"/>
          <w:sz w:val="24"/>
          <w:szCs w:val="24"/>
          <w:highlight w:val="none"/>
        </w:rPr>
      </w:pPr>
      <w:r>
        <w:rPr>
          <w:rFonts w:eastAsia="宋体"/>
          <w:b/>
          <w:color w:val="000000"/>
          <w:sz w:val="24"/>
          <w:szCs w:val="24"/>
          <w:highlight w:val="none"/>
        </w:rPr>
      </w:r>
      <w:r/>
    </w:p>
    <w:p>
      <w:pPr>
        <w:pStyle w:val="706"/>
        <w:spacing w:line="360" w:lineRule="auto"/>
        <w:rPr>
          <w:rFonts w:eastAsia="宋体"/>
          <w:b/>
          <w:color w:val="000000"/>
          <w:sz w:val="24"/>
          <w:szCs w:val="24"/>
          <w:highlight w:val="none"/>
        </w:rPr>
      </w:pPr>
      <w:r>
        <w:rPr>
          <w:rFonts w:eastAsia="宋体"/>
          <w:b/>
          <w:color w:val="000000"/>
          <w:sz w:val="24"/>
          <w:szCs w:val="24"/>
          <w:highlight w:val="none"/>
        </w:rPr>
      </w:r>
      <w:r/>
    </w:p>
    <w:p>
      <w:pPr>
        <w:pStyle w:val="706"/>
        <w:spacing w:line="360" w:lineRule="auto"/>
        <w:rPr>
          <w:rFonts w:eastAsia="宋体"/>
          <w:b/>
          <w:color w:val="000000"/>
          <w:sz w:val="24"/>
          <w:szCs w:val="24"/>
          <w:highlight w:val="none"/>
        </w:rPr>
      </w:pPr>
      <w:r>
        <w:rPr>
          <w:rFonts w:eastAsia="宋体"/>
          <w:b/>
          <w:color w:val="000000"/>
          <w:sz w:val="24"/>
          <w:szCs w:val="24"/>
          <w:highlight w:val="none"/>
        </w:rPr>
      </w:r>
      <w:r/>
    </w:p>
    <w:p>
      <w:pPr>
        <w:pStyle w:val="706"/>
        <w:spacing w:line="360" w:lineRule="auto"/>
        <w:rPr>
          <w:rFonts w:eastAsia="宋体"/>
          <w:b/>
          <w:color w:val="000000"/>
          <w:sz w:val="24"/>
          <w:szCs w:val="24"/>
          <w:highlight w:val="none"/>
        </w:rPr>
      </w:pPr>
      <w:r>
        <w:rPr>
          <w:rFonts w:eastAsia="宋体"/>
          <w:b/>
          <w:color w:val="000000"/>
          <w:sz w:val="24"/>
          <w:szCs w:val="24"/>
          <w:highlight w:val="none"/>
        </w:rPr>
      </w:r>
      <w:r/>
    </w:p>
    <w:p>
      <w:pPr>
        <w:pStyle w:val="706"/>
        <w:spacing w:line="360" w:lineRule="auto"/>
        <w:rPr>
          <w:rFonts w:eastAsia="宋体"/>
          <w:b/>
          <w:color w:val="000000"/>
          <w:sz w:val="24"/>
          <w:szCs w:val="24"/>
          <w:highlight w:val="none"/>
        </w:rPr>
      </w:pPr>
      <w:r>
        <w:rPr>
          <w:rFonts w:eastAsia="宋体"/>
          <w:b/>
          <w:color w:val="000000"/>
          <w:sz w:val="24"/>
          <w:szCs w:val="24"/>
          <w:highlight w:val="none"/>
        </w:rPr>
      </w:r>
      <w:r/>
    </w:p>
    <w:p>
      <w:pPr>
        <w:pStyle w:val="706"/>
        <w:spacing w:line="360" w:lineRule="auto"/>
        <w:rPr>
          <w:rFonts w:eastAsia="宋体"/>
          <w:b/>
          <w:color w:val="000000"/>
          <w:sz w:val="24"/>
          <w:szCs w:val="24"/>
          <w:highlight w:val="none"/>
        </w:rPr>
      </w:pPr>
      <w:r>
        <w:rPr>
          <w:rFonts w:eastAsia="宋体"/>
          <w:b/>
          <w:color w:val="000000"/>
          <w:sz w:val="24"/>
          <w:szCs w:val="24"/>
          <w:highlight w:val="none"/>
        </w:rPr>
      </w:r>
      <w:r/>
    </w:p>
    <w:p>
      <w:pPr>
        <w:pStyle w:val="706"/>
        <w:spacing w:line="360" w:lineRule="auto"/>
        <w:rPr>
          <w:rFonts w:eastAsia="宋体"/>
          <w:b/>
          <w:color w:val="000000"/>
          <w:sz w:val="24"/>
          <w:szCs w:val="24"/>
          <w:highlight w:val="none"/>
        </w:rPr>
      </w:pPr>
      <w:r>
        <w:rPr>
          <w:rFonts w:eastAsia="宋体"/>
          <w:b/>
          <w:color w:val="000000"/>
          <w:sz w:val="24"/>
          <w:szCs w:val="24"/>
          <w:highlight w:val="none"/>
        </w:rPr>
      </w:r>
      <w:r/>
    </w:p>
    <w:p>
      <w:pPr>
        <w:pStyle w:val="708"/>
        <w:spacing w:after="120" w:line="360" w:lineRule="auto"/>
        <w:rPr>
          <w:rFonts w:eastAsia="宋体"/>
          <w:b w:val="0"/>
          <w:color w:val="000000"/>
          <w:sz w:val="24"/>
          <w:szCs w:val="24"/>
          <w:highlight w:val="none"/>
        </w:rPr>
      </w:pPr>
      <w:r>
        <w:rPr>
          <w:rFonts w:hint="eastAsia" w:eastAsia="宋体"/>
          <w:color w:val="000000"/>
          <w:sz w:val="24"/>
          <w:szCs w:val="24"/>
          <w:highlight w:val="none"/>
        </w:rPr>
        <w:br w:type="page" w:clear="all"/>
      </w:r>
      <w:bookmarkStart w:id="60" w:name="_Toc10467992"/>
      <w:r/>
      <w:bookmarkStart w:id="61" w:name="_Toc16748"/>
      <w:r>
        <w:rPr>
          <w:rFonts w:hint="eastAsia" w:eastAsia="宋体"/>
          <w:b w:val="0"/>
          <w:color w:val="000000"/>
          <w:sz w:val="24"/>
          <w:szCs w:val="24"/>
          <w:highlight w:val="none"/>
        </w:rPr>
        <w:t xml:space="preserve">7、中小企业声明函</w:t>
      </w:r>
      <w:bookmarkEnd w:id="60"/>
      <w:r/>
      <w:bookmarkEnd w:id="61"/>
      <w:r>
        <w:rPr>
          <w:rFonts w:eastAsia="宋体"/>
          <w:b w:val="0"/>
          <w:color w:val="000000"/>
          <w:sz w:val="24"/>
          <w:szCs w:val="24"/>
          <w:highlight w:val="none"/>
        </w:rPr>
      </w:r>
      <w:r/>
    </w:p>
    <w:p>
      <w:pPr>
        <w:pStyle w:val="730"/>
        <w:ind w:firstLine="0"/>
        <w:jc w:val="center"/>
        <w:spacing w:before="120" w:after="120" w:line="360" w:lineRule="auto"/>
        <w:rPr>
          <w:rFonts w:hint="eastAsia" w:ascii="宋体" w:hAnsi="宋体" w:eastAsia="宋体"/>
          <w:color w:val="000000"/>
          <w:sz w:val="30"/>
          <w:szCs w:val="30"/>
          <w:highlight w:val="none"/>
        </w:rPr>
      </w:pPr>
      <w:r>
        <w:rPr>
          <w:rFonts w:hint="eastAsia" w:ascii="宋体" w:hAnsi="宋体" w:eastAsia="宋体"/>
          <w:color w:val="000000"/>
          <w:sz w:val="30"/>
          <w:szCs w:val="30"/>
          <w:highlight w:val="none"/>
        </w:rPr>
        <w:t xml:space="preserve">中小企业声明函</w:t>
      </w:r>
      <w:r>
        <w:rPr>
          <w:rFonts w:hint="eastAsia" w:ascii="宋体" w:hAnsi="宋体" w:eastAsia="宋体"/>
          <w:color w:val="000000"/>
          <w:sz w:val="30"/>
          <w:szCs w:val="30"/>
          <w:highlight w:val="none"/>
        </w:rPr>
      </w:r>
      <w:r/>
    </w:p>
    <w:p>
      <w:pPr>
        <w:pStyle w:val="867"/>
        <w:spacing w:line="360" w:lineRule="auto"/>
        <w:rPr>
          <w:rFonts w:hint="eastAsia"/>
          <w:sz w:val="24"/>
          <w:szCs w:val="24"/>
          <w:highlight w:val="none"/>
          <w:lang w:val="zh-CN"/>
        </w:rPr>
      </w:pPr>
      <w:r>
        <w:rPr>
          <w:rFonts w:hint="eastAsia"/>
          <w:sz w:val="24"/>
          <w:szCs w:val="24"/>
          <w:highlight w:val="none"/>
          <w:lang w:val="zh-CN"/>
        </w:rPr>
        <w:t xml:space="preserve">______________________：</w:t>
      </w:r>
      <w:r>
        <w:rPr>
          <w:rFonts w:hint="eastAsia"/>
          <w:sz w:val="24"/>
          <w:szCs w:val="24"/>
          <w:highlight w:val="none"/>
          <w:lang w:val="zh-CN"/>
        </w:rPr>
      </w:r>
      <w:r/>
    </w:p>
    <w:p>
      <w:pPr>
        <w:pStyle w:val="706"/>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本公司（联合体）郑重声明，根据《政府采购促进中小企业发展管理办法》（财库﹝2020﹞46 号）的规定，本公司参加</w:t>
      </w:r>
      <w:r>
        <w:rPr>
          <w:rFonts w:hint="eastAsia" w:ascii="宋体" w:hAnsi="宋体" w:eastAsia="宋体"/>
          <w:color w:val="000000"/>
          <w:sz w:val="24"/>
          <w:szCs w:val="24"/>
          <w:highlight w:val="none"/>
          <w:u w:val="single"/>
        </w:rPr>
        <w:t xml:space="preserve">（单位名称）    </w:t>
      </w:r>
      <w:r>
        <w:rPr>
          <w:rFonts w:hint="eastAsia" w:ascii="宋体" w:hAnsi="宋体" w:eastAsia="宋体"/>
          <w:color w:val="000000"/>
          <w:sz w:val="24"/>
          <w:szCs w:val="24"/>
          <w:highlight w:val="none"/>
        </w:rPr>
        <w:t xml:space="preserve">的</w:t>
      </w:r>
      <w:r>
        <w:rPr>
          <w:rFonts w:hint="eastAsia" w:ascii="宋体" w:hAnsi="宋体" w:eastAsia="宋体"/>
          <w:color w:val="000000"/>
          <w:sz w:val="24"/>
          <w:szCs w:val="24"/>
          <w:highlight w:val="none"/>
          <w:u w:val="single"/>
        </w:rPr>
        <w:t xml:space="preserve">（项目名称）    </w:t>
      </w:r>
      <w:r>
        <w:rPr>
          <w:rFonts w:hint="eastAsia" w:ascii="宋体" w:hAnsi="宋体" w:eastAsia="宋体"/>
          <w:color w:val="000000"/>
          <w:sz w:val="24"/>
          <w:szCs w:val="24"/>
          <w:highlight w:val="none"/>
        </w:rPr>
        <w:t xml:space="preserve">采购活动，工程的施工单位全部为符合政策要求的中小企业。具体情况如下：</w:t>
      </w:r>
      <w:r>
        <w:rPr>
          <w:rFonts w:hint="eastAsia" w:ascii="宋体" w:hAnsi="宋体" w:eastAsia="宋体"/>
          <w:color w:val="000000"/>
          <w:sz w:val="24"/>
          <w:szCs w:val="24"/>
          <w:highlight w:val="none"/>
        </w:rPr>
      </w:r>
      <w:r/>
    </w:p>
    <w:p>
      <w:pPr>
        <w:pStyle w:val="706"/>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u w:val="single"/>
        </w:rPr>
        <w:t xml:space="preserve">（标的名称）                        </w:t>
      </w:r>
      <w:r>
        <w:rPr>
          <w:rFonts w:hint="eastAsia" w:ascii="宋体" w:hAnsi="宋体" w:eastAsia="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建筑业</w:t>
      </w:r>
      <w:r>
        <w:rPr>
          <w:rFonts w:hint="eastAsia" w:ascii="宋体" w:hAnsi="宋体" w:eastAsia="宋体"/>
          <w:color w:val="000000"/>
          <w:sz w:val="24"/>
          <w:szCs w:val="24"/>
          <w:highlight w:val="none"/>
        </w:rPr>
        <w:t xml:space="preserve">；承建（承接）企业为</w:t>
      </w:r>
      <w:r>
        <w:rPr>
          <w:rFonts w:hint="eastAsia" w:ascii="宋体" w:hAnsi="宋体" w:eastAsia="宋体"/>
          <w:color w:val="000000"/>
          <w:sz w:val="24"/>
          <w:szCs w:val="24"/>
          <w:highlight w:val="none"/>
          <w:u w:val="single"/>
        </w:rPr>
        <w:t xml:space="preserve">（企业名称）               </w:t>
      </w:r>
      <w:r>
        <w:rPr>
          <w:rFonts w:hint="eastAsia" w:ascii="宋体" w:hAnsi="宋体" w:eastAsia="宋体"/>
          <w:color w:val="000000"/>
          <w:sz w:val="24"/>
          <w:szCs w:val="24"/>
          <w:highlight w:val="none"/>
        </w:rPr>
        <w:t xml:space="preserve">，从业人员人，营业收入为万元，资产总额为万元 ，属于</w:t>
      </w:r>
      <w:r>
        <w:rPr>
          <w:rFonts w:hint="eastAsia" w:ascii="宋体" w:hAnsi="宋体" w:eastAsia="宋体"/>
          <w:color w:val="000000"/>
          <w:sz w:val="24"/>
          <w:szCs w:val="24"/>
          <w:highlight w:val="none"/>
          <w:u w:val="single"/>
        </w:rPr>
        <w:t xml:space="preserve">（中型企业、小型企业、微型企业,</w:t>
      </w:r>
      <w:r>
        <w:rPr>
          <w:rFonts w:eastAsia="宋体"/>
          <w:bCs/>
          <w:color w:val="000000"/>
          <w:sz w:val="24"/>
          <w:szCs w:val="24"/>
          <w:highlight w:val="none"/>
          <w:u w:val="single"/>
        </w:rPr>
        <w:t xml:space="preserve"> </w:t>
      </w:r>
      <w:r>
        <w:rPr>
          <w:rFonts w:hint="eastAsia" w:eastAsia="宋体"/>
          <w:bCs/>
          <w:color w:val="000000"/>
          <w:sz w:val="24"/>
          <w:szCs w:val="24"/>
          <w:highlight w:val="none"/>
          <w:u w:val="single"/>
        </w:rPr>
        <w:t xml:space="preserve">三者选一</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706"/>
        <w:ind w:firstLine="480"/>
        <w:spacing w:line="360" w:lineRule="auto"/>
        <w:rPr>
          <w:rFonts w:hint="eastAsia" w:ascii="宋体" w:hAnsi="宋体"/>
          <w:color w:val="000000"/>
          <w:sz w:val="24"/>
          <w:szCs w:val="24"/>
          <w:highlight w:val="none"/>
        </w:rPr>
      </w:pPr>
      <w:r>
        <w:rPr>
          <w:rFonts w:hint="eastAsia" w:ascii="宋体" w:hAnsi="宋体" w:eastAsia="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706"/>
        <w:ind w:firstLine="480"/>
        <w:spacing w:line="360" w:lineRule="auto"/>
        <w:rPr>
          <w:rFonts w:hint="eastAsia" w:ascii="宋体" w:hAnsi="宋体"/>
          <w:color w:val="000000"/>
          <w:sz w:val="24"/>
          <w:szCs w:val="24"/>
          <w:highlight w:val="none"/>
        </w:rPr>
      </w:pPr>
      <w:r>
        <w:rPr>
          <w:rFonts w:hint="eastAsia" w:ascii="宋体" w:hAnsi="宋体" w:eastAsia="宋体"/>
          <w:color w:val="000000"/>
          <w:sz w:val="24"/>
          <w:szCs w:val="24"/>
          <w:highlight w:val="none"/>
        </w:rPr>
        <w:t xml:space="preserve">本企业对上述声明内容的真实性负责。如有虚假，将依法承担相应责任。</w:t>
      </w:r>
      <w:r>
        <w:rPr>
          <w:rFonts w:hint="eastAsia" w:ascii="宋体" w:hAnsi="宋体"/>
          <w:color w:val="000000"/>
          <w:sz w:val="24"/>
          <w:szCs w:val="24"/>
          <w:highlight w:val="none"/>
        </w:rPr>
      </w:r>
      <w:r/>
    </w:p>
    <w:p>
      <w:pPr>
        <w:pStyle w:val="706"/>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06"/>
        <w:ind w:right="1560" w:firstLine="480"/>
        <w:jc w:val="right"/>
        <w:spacing w:line="360" w:lineRule="auto"/>
        <w:tabs>
          <w:tab w:val="left" w:pos="4860" w:leader="none"/>
        </w:tabs>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企业名称（盖章）： </w:t>
      </w:r>
      <w:r>
        <w:rPr>
          <w:rFonts w:hint="eastAsia" w:ascii="宋体" w:hAnsi="宋体" w:eastAsia="宋体"/>
          <w:color w:val="000000"/>
          <w:sz w:val="24"/>
          <w:szCs w:val="24"/>
          <w:highlight w:val="none"/>
        </w:rPr>
      </w:r>
      <w:r/>
    </w:p>
    <w:p>
      <w:pPr>
        <w:pStyle w:val="706"/>
        <w:ind w:right="492"/>
        <w:jc w:val="cente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日  期：</w:t>
      </w:r>
      <w:r>
        <w:rPr>
          <w:rFonts w:hint="eastAsia" w:ascii="宋体" w:hAnsi="宋体" w:eastAsia="宋体"/>
          <w:color w:val="000000"/>
          <w:sz w:val="24"/>
          <w:szCs w:val="24"/>
          <w:highlight w:val="none"/>
        </w:rPr>
      </w:r>
      <w:r/>
    </w:p>
    <w:p>
      <w:pPr>
        <w:pStyle w:val="706"/>
        <w:ind w:firstLine="482"/>
        <w:jc w:val="left"/>
        <w:spacing w:line="360" w:lineRule="auto"/>
        <w:widowControl/>
        <w:rPr>
          <w:rFonts w:hint="eastAsia" w:eastAsia="宋体"/>
          <w:b/>
          <w:bCs/>
          <w:color w:val="000000"/>
          <w:sz w:val="24"/>
          <w:szCs w:val="24"/>
          <w:highlight w:val="none"/>
        </w:rPr>
      </w:pPr>
      <w:r>
        <w:rPr>
          <w:rFonts w:hint="eastAsia" w:eastAsia="宋体"/>
          <w:b/>
          <w:bCs/>
          <w:color w:val="000000"/>
          <w:sz w:val="24"/>
          <w:szCs w:val="24"/>
          <w:highlight w:val="none"/>
        </w:rPr>
        <w:t xml:space="preserve">注：</w:t>
      </w:r>
      <w:r>
        <w:rPr>
          <w:rFonts w:hint="eastAsia" w:eastAsia="宋体"/>
          <w:b/>
          <w:bCs/>
          <w:color w:val="000000"/>
          <w:sz w:val="24"/>
          <w:szCs w:val="24"/>
          <w:highlight w:val="none"/>
        </w:rPr>
      </w:r>
      <w:r/>
    </w:p>
    <w:p>
      <w:pPr>
        <w:pStyle w:val="706"/>
        <w:numPr>
          <w:ilvl w:val="0"/>
          <w:numId w:val="4"/>
        </w:numPr>
        <w:ind w:firstLine="482"/>
        <w:rPr>
          <w:rFonts w:ascii="宋体" w:hAnsi="宋体" w:eastAsia="宋体" w:cs="宋体"/>
          <w:b/>
          <w:color w:val="000000"/>
          <w:sz w:val="24"/>
          <w:szCs w:val="24"/>
          <w:highlight w:val="none"/>
          <w:u w:val="single"/>
        </w:rPr>
      </w:pPr>
      <w:r>
        <w:rPr>
          <w:rFonts w:hint="eastAsia" w:ascii="宋体" w:hAnsi="宋体" w:eastAsia="宋体" w:cs="宋体"/>
          <w:b/>
          <w:color w:val="000000"/>
          <w:sz w:val="24"/>
          <w:szCs w:val="24"/>
          <w:highlight w:val="none"/>
          <w:u w:val="single"/>
        </w:rPr>
        <w:t xml:space="preserve">提供的中小企业声明函必须将盖有公章的彩色扫描件上传至电子投标文件中，</w:t>
      </w:r>
      <w:bookmarkStart w:id="62" w:name="_Hlk80362380"/>
      <w:r>
        <w:rPr>
          <w:rFonts w:hint="eastAsia" w:ascii="宋体" w:hAnsi="宋体" w:eastAsia="宋体" w:cs="宋体"/>
          <w:b/>
          <w:color w:val="000000"/>
          <w:sz w:val="24"/>
          <w:szCs w:val="24"/>
          <w:highlight w:val="none"/>
          <w:u w:val="single"/>
        </w:rPr>
        <w:t xml:space="preserve">否则不享受相应政府采购政策</w:t>
      </w:r>
      <w:bookmarkEnd w:id="62"/>
      <w:r>
        <w:rPr>
          <w:rFonts w:hint="eastAsia" w:ascii="宋体" w:hAnsi="宋体" w:eastAsia="宋体" w:cs="宋体"/>
          <w:b/>
          <w:color w:val="000000"/>
          <w:sz w:val="24"/>
          <w:szCs w:val="24"/>
          <w:highlight w:val="none"/>
          <w:u w:val="single"/>
        </w:rPr>
        <w:t xml:space="preserve">或视为不响应。</w:t>
      </w:r>
      <w:r>
        <w:rPr>
          <w:rFonts w:ascii="宋体" w:hAnsi="宋体" w:eastAsia="宋体" w:cs="宋体"/>
          <w:b/>
          <w:color w:val="000000"/>
          <w:sz w:val="24"/>
          <w:szCs w:val="24"/>
          <w:highlight w:val="none"/>
          <w:u w:val="single"/>
        </w:rPr>
      </w:r>
      <w:r/>
    </w:p>
    <w:p>
      <w:pPr>
        <w:pStyle w:val="706"/>
        <w:ind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2、如供应商认定本企业为小型或微型企业，则需根据“工信部联企业〔2011〕300号”通知中的《中小企业划型标准规定》填报“中小企业声明函”。</w:t>
      </w:r>
      <w:r>
        <w:rPr>
          <w:rFonts w:hint="eastAsia" w:ascii="宋体" w:hAnsi="宋体" w:eastAsia="宋体" w:cs="宋体"/>
          <w:b/>
          <w:color w:val="000000"/>
          <w:sz w:val="24"/>
          <w:szCs w:val="24"/>
          <w:highlight w:val="none"/>
        </w:rPr>
      </w:r>
      <w:r/>
    </w:p>
    <w:p>
      <w:pPr>
        <w:pStyle w:val="706"/>
        <w:ind w:firstLine="482"/>
        <w:jc w:val="lef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3、从业人员、营业收入、资产总额填报上一年度数据，无上一年度数据的新成立企业可不填报。</w:t>
      </w:r>
      <w:r>
        <w:rPr>
          <w:rFonts w:hint="eastAsia" w:ascii="宋体" w:hAnsi="宋体" w:eastAsia="宋体" w:cs="宋体"/>
          <w:b/>
          <w:bCs/>
          <w:color w:val="000000"/>
          <w:sz w:val="24"/>
          <w:szCs w:val="24"/>
          <w:highlight w:val="none"/>
        </w:rPr>
      </w:r>
      <w:r/>
    </w:p>
    <w:p>
      <w:pPr>
        <w:pStyle w:val="706"/>
        <w:ind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4、中小企业划分标准详见“工信部联企业〔2011〕300号通知中的《中小企业划型标准规定》”。</w:t>
      </w:r>
      <w:r>
        <w:rPr>
          <w:rFonts w:hint="eastAsia" w:ascii="宋体" w:hAnsi="宋体" w:eastAsia="宋体" w:cs="宋体"/>
          <w:b/>
          <w:color w:val="000000"/>
          <w:sz w:val="24"/>
          <w:szCs w:val="24"/>
          <w:highlight w:val="none"/>
        </w:rPr>
      </w:r>
      <w:r/>
    </w:p>
    <w:p>
      <w:pPr>
        <w:pStyle w:val="807"/>
        <w:ind w:firstLine="482"/>
        <w:rPr>
          <w:rFonts w:hint="eastAsia" w:hAnsi="宋体" w:cs="宋体"/>
          <w:b/>
          <w:sz w:val="24"/>
          <w:szCs w:val="24"/>
          <w:highlight w:val="none"/>
        </w:rPr>
      </w:pPr>
      <w:r>
        <w:rPr>
          <w:rFonts w:hint="eastAsia" w:hAnsi="宋体" w:cs="宋体"/>
          <w:b/>
          <w:sz w:val="24"/>
          <w:szCs w:val="24"/>
          <w:highlight w:val="none"/>
        </w:rPr>
        <w:t xml:space="preserve">5、《中小企业声明函》中所填的行业应与本采购标的对应的中小企业划分标准所属行业一致，不一致的不可享受相应政策优惠。</w:t>
      </w:r>
      <w:r>
        <w:rPr>
          <w:rFonts w:hint="eastAsia" w:hAnsi="宋体" w:cs="宋体"/>
          <w:b/>
          <w:sz w:val="24"/>
          <w:szCs w:val="24"/>
          <w:highlight w:val="none"/>
        </w:rPr>
      </w:r>
      <w:r/>
    </w:p>
    <w:p>
      <w:pPr>
        <w:pStyle w:val="706"/>
        <w:ind w:firstLine="482"/>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6、如未对（中型企业、小型企业、微型企业）进行勾选，视同非中小微企业，不可享受相应扶持政策。</w:t>
      </w:r>
      <w:r>
        <w:rPr>
          <w:rFonts w:hint="eastAsia" w:ascii="宋体" w:hAnsi="宋体" w:eastAsia="宋体" w:cs="宋体"/>
          <w:b/>
          <w:sz w:val="24"/>
          <w:szCs w:val="24"/>
          <w:highlight w:val="none"/>
        </w:rPr>
      </w:r>
      <w:r/>
    </w:p>
    <w:p>
      <w:pPr>
        <w:pStyle w:val="706"/>
        <w:ind w:firstLine="482"/>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7、成交单位为中小微企业的，《中小企业声明函》将随成交结果同时公告。</w:t>
      </w:r>
      <w:r>
        <w:rPr>
          <w:rFonts w:hint="eastAsia" w:ascii="宋体" w:hAnsi="宋体" w:eastAsia="宋体" w:cs="宋体"/>
          <w:b/>
          <w:sz w:val="24"/>
          <w:szCs w:val="24"/>
          <w:highlight w:val="none"/>
        </w:rPr>
      </w:r>
      <w:r/>
    </w:p>
    <w:p>
      <w:pPr>
        <w:pStyle w:val="807"/>
        <w:ind w:firstLine="482"/>
        <w:rPr>
          <w:rFonts w:hint="eastAsia" w:hAnsi="宋体" w:cs="宋体"/>
          <w:b/>
          <w:sz w:val="24"/>
          <w:szCs w:val="24"/>
          <w:highlight w:val="none"/>
        </w:rPr>
      </w:pPr>
      <w:r>
        <w:rPr>
          <w:rFonts w:hint="eastAsia" w:hAnsi="宋体" w:cs="宋体"/>
          <w:b/>
          <w:sz w:val="24"/>
          <w:szCs w:val="24"/>
          <w:highlight w:val="none"/>
        </w:rPr>
        <w:t xml:space="preserve">8、未尽事宜按照《苏州市政府采购促进中小企业发展实施意见》执行。</w:t>
      </w:r>
      <w:r>
        <w:rPr>
          <w:rFonts w:hint="eastAsia" w:hAnsi="宋体" w:cs="宋体"/>
          <w:b/>
          <w:sz w:val="24"/>
          <w:szCs w:val="24"/>
          <w:highlight w:val="none"/>
        </w:rPr>
      </w:r>
      <w:r/>
    </w:p>
    <w:p>
      <w:pPr>
        <w:pStyle w:val="706"/>
        <w:ind w:firstLine="482"/>
        <w:jc w:val="lef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9、若供应商提供的“中小企业声明函”内容不实的，属于提供虚假材料谋取中标、成交，依照《中华人民共和国政府采购法》等国家有关规定追究相应责任。</w:t>
      </w:r>
      <w:r>
        <w:rPr>
          <w:rFonts w:hint="eastAsia" w:ascii="宋体" w:hAnsi="宋体" w:eastAsia="宋体" w:cs="宋体"/>
          <w:b/>
          <w:bCs/>
          <w:color w:val="000000"/>
          <w:sz w:val="24"/>
          <w:szCs w:val="24"/>
          <w:highlight w:val="none"/>
        </w:rPr>
      </w:r>
      <w:r/>
    </w:p>
    <w:p>
      <w:pPr>
        <w:pStyle w:val="708"/>
        <w:spacing w:after="120" w:line="360" w:lineRule="auto"/>
        <w:rPr>
          <w:rFonts w:hint="eastAsia" w:eastAsia="宋体"/>
          <w:b w:val="0"/>
          <w:color w:val="000000"/>
          <w:sz w:val="24"/>
          <w:szCs w:val="24"/>
          <w:highlight w:val="none"/>
        </w:rPr>
      </w:pPr>
      <w:r>
        <w:rPr>
          <w:rFonts w:hint="eastAsia" w:eastAsia="宋体"/>
          <w:color w:val="000000"/>
          <w:sz w:val="24"/>
          <w:szCs w:val="24"/>
          <w:highlight w:val="none"/>
        </w:rPr>
        <w:br w:type="page" w:clear="all"/>
      </w:r>
      <w:bookmarkStart w:id="63" w:name="_Toc24763"/>
      <w:r/>
      <w:bookmarkStart w:id="64" w:name="_Toc10467993"/>
      <w:r>
        <w:rPr>
          <w:rFonts w:hint="eastAsia" w:eastAsia="宋体"/>
          <w:b w:val="0"/>
          <w:color w:val="000000"/>
          <w:sz w:val="24"/>
          <w:szCs w:val="24"/>
          <w:highlight w:val="none"/>
        </w:rPr>
        <w:t xml:space="preserve">8、残疾人福利性单位声明函</w:t>
      </w:r>
      <w:bookmarkEnd w:id="63"/>
      <w:r/>
      <w:bookmarkEnd w:id="64"/>
      <w:r>
        <w:rPr>
          <w:rFonts w:hint="eastAsia" w:eastAsia="宋体"/>
          <w:b w:val="0"/>
          <w:color w:val="000000"/>
          <w:sz w:val="24"/>
          <w:szCs w:val="24"/>
          <w:highlight w:val="none"/>
        </w:rPr>
      </w:r>
      <w:r/>
    </w:p>
    <w:p>
      <w:pPr>
        <w:pStyle w:val="730"/>
        <w:ind w:firstLine="0"/>
        <w:jc w:val="center"/>
        <w:spacing w:before="120" w:after="120" w:line="360" w:lineRule="auto"/>
        <w:rPr>
          <w:rFonts w:hint="eastAsia" w:ascii="宋体" w:hAnsi="宋体" w:eastAsia="宋体"/>
          <w:color w:val="000000"/>
          <w:sz w:val="30"/>
          <w:szCs w:val="30"/>
          <w:highlight w:val="none"/>
        </w:rPr>
      </w:pPr>
      <w:r>
        <w:rPr>
          <w:rFonts w:hint="eastAsia" w:ascii="宋体" w:hAnsi="宋体" w:eastAsia="宋体"/>
          <w:color w:val="000000"/>
          <w:sz w:val="30"/>
          <w:szCs w:val="30"/>
          <w:highlight w:val="none"/>
        </w:rPr>
        <w:t xml:space="preserve">残疾人福利性单位声明函</w:t>
      </w:r>
      <w:r>
        <w:rPr>
          <w:rFonts w:hint="eastAsia" w:ascii="宋体" w:hAnsi="宋体" w:eastAsia="宋体"/>
          <w:color w:val="000000"/>
          <w:sz w:val="30"/>
          <w:szCs w:val="30"/>
          <w:highlight w:val="none"/>
        </w:rPr>
      </w:r>
      <w:r/>
    </w:p>
    <w:p>
      <w:pPr>
        <w:pStyle w:val="706"/>
        <w:ind w:firstLine="480"/>
        <w:jc w:val="left"/>
        <w:spacing w:line="360" w:lineRule="auto"/>
        <w:widowControl/>
        <w:rPr>
          <w:rFonts w:hint="eastAsia" w:ascii="宋体" w:hAnsi="宋体" w:eastAsia="宋体"/>
          <w:color w:val="000000"/>
          <w:sz w:val="24"/>
          <w:highlight w:val="none"/>
        </w:rPr>
      </w:pPr>
      <w:r>
        <w:rPr>
          <w:rFonts w:hint="eastAsia" w:ascii="宋体" w:hAnsi="宋体" w:eastAsia="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olor w:val="000000"/>
          <w:sz w:val="24"/>
          <w:highlight w:val="none"/>
        </w:rPr>
      </w:r>
      <w:r/>
    </w:p>
    <w:p>
      <w:pPr>
        <w:pStyle w:val="706"/>
        <w:ind w:firstLine="480"/>
        <w:jc w:val="left"/>
        <w:spacing w:line="360" w:lineRule="auto"/>
        <w:widowControl/>
        <w:rPr>
          <w:rFonts w:hint="eastAsia" w:ascii="宋体" w:hAnsi="宋体" w:eastAsia="宋体"/>
          <w:color w:val="000000"/>
          <w:sz w:val="24"/>
          <w:highlight w:val="none"/>
        </w:rPr>
      </w:pPr>
      <w:r>
        <w:rPr>
          <w:rFonts w:hint="eastAsia" w:ascii="宋体" w:hAnsi="宋体" w:eastAsia="宋体"/>
          <w:color w:val="000000"/>
          <w:sz w:val="24"/>
          <w:highlight w:val="none"/>
        </w:rPr>
        <w:t xml:space="preserve">本单位对上述声明的真实性负责。如有虚假，将依法承担相应责任。</w:t>
      </w:r>
      <w:r>
        <w:rPr>
          <w:rFonts w:hint="eastAsia" w:ascii="宋体" w:hAnsi="宋体" w:eastAsia="宋体"/>
          <w:color w:val="000000"/>
          <w:sz w:val="24"/>
          <w:highlight w:val="none"/>
        </w:rPr>
      </w:r>
      <w:r/>
    </w:p>
    <w:p>
      <w:pPr>
        <w:pStyle w:val="706"/>
        <w:jc w:val="left"/>
        <w:spacing w:line="360" w:lineRule="auto"/>
        <w:widowControl/>
        <w:rPr>
          <w:rFonts w:hint="eastAsia" w:ascii="宋体" w:hAnsi="宋体" w:eastAsia="宋体"/>
          <w:color w:val="000000"/>
          <w:sz w:val="24"/>
          <w:highlight w:val="none"/>
        </w:rPr>
      </w:pPr>
      <w:r>
        <w:rPr>
          <w:rFonts w:hint="eastAsia" w:ascii="宋体" w:hAnsi="宋体" w:eastAsia="宋体"/>
          <w:color w:val="000000"/>
          <w:sz w:val="24"/>
          <w:highlight w:val="none"/>
        </w:rPr>
      </w:r>
      <w:r/>
    </w:p>
    <w:p>
      <w:pPr>
        <w:pStyle w:val="706"/>
        <w:jc w:val="left"/>
        <w:spacing w:line="360" w:lineRule="auto"/>
        <w:widowControl/>
        <w:rPr>
          <w:rFonts w:hint="eastAsia" w:ascii="宋体" w:hAnsi="宋体" w:eastAsia="宋体"/>
          <w:color w:val="000000"/>
          <w:sz w:val="24"/>
          <w:highlight w:val="none"/>
        </w:rPr>
      </w:pPr>
      <w:r>
        <w:rPr>
          <w:rFonts w:hint="eastAsia" w:ascii="宋体" w:hAnsi="宋体" w:eastAsia="宋体"/>
          <w:color w:val="000000"/>
          <w:sz w:val="24"/>
          <w:highlight w:val="none"/>
        </w:rPr>
      </w:r>
      <w:r/>
    </w:p>
    <w:p>
      <w:pPr>
        <w:pStyle w:val="706"/>
        <w:jc w:val="left"/>
        <w:spacing w:line="360" w:lineRule="auto"/>
        <w:widowControl/>
        <w:rPr>
          <w:rFonts w:hint="eastAsia" w:ascii="宋体" w:hAnsi="宋体" w:eastAsia="宋体"/>
          <w:color w:val="000000"/>
          <w:sz w:val="24"/>
          <w:highlight w:val="none"/>
        </w:rPr>
      </w:pPr>
      <w:r>
        <w:rPr>
          <w:rFonts w:hint="eastAsia" w:ascii="宋体" w:hAnsi="宋体" w:eastAsia="宋体"/>
          <w:color w:val="000000"/>
          <w:sz w:val="24"/>
          <w:highlight w:val="none"/>
        </w:rPr>
        <w:t xml:space="preserve">    单位名称（盖章）：</w:t>
      </w:r>
      <w:r>
        <w:rPr>
          <w:rFonts w:hint="eastAsia" w:ascii="宋体" w:hAnsi="宋体" w:eastAsia="宋体"/>
          <w:color w:val="000000"/>
          <w:sz w:val="24"/>
          <w:highlight w:val="none"/>
        </w:rPr>
      </w:r>
      <w:r/>
    </w:p>
    <w:p>
      <w:pPr>
        <w:pStyle w:val="706"/>
        <w:ind w:firstLine="720"/>
        <w:jc w:val="left"/>
        <w:spacing w:line="360" w:lineRule="auto"/>
        <w:widowControl/>
        <w:rPr>
          <w:rFonts w:hint="eastAsia" w:ascii="宋体" w:hAnsi="宋体" w:eastAsia="宋体"/>
          <w:color w:val="000000"/>
          <w:sz w:val="24"/>
          <w:highlight w:val="none"/>
        </w:rPr>
      </w:pPr>
      <w:r>
        <w:rPr>
          <w:rFonts w:hint="eastAsia" w:ascii="宋体" w:hAnsi="宋体" w:eastAsia="宋体"/>
          <w:color w:val="000000"/>
          <w:sz w:val="24"/>
          <w:highlight w:val="none"/>
        </w:rPr>
        <w:t xml:space="preserve">日  期：</w:t>
      </w:r>
      <w:r>
        <w:rPr>
          <w:rFonts w:hint="eastAsia" w:ascii="宋体" w:hAnsi="宋体" w:eastAsia="宋体"/>
          <w:color w:val="000000"/>
          <w:sz w:val="24"/>
          <w:highlight w:val="none"/>
        </w:rPr>
      </w:r>
      <w:r/>
    </w:p>
    <w:p>
      <w:pPr>
        <w:pStyle w:val="706"/>
        <w:ind w:firstLine="720"/>
        <w:jc w:val="left"/>
        <w:spacing w:line="360" w:lineRule="auto"/>
        <w:widowControl/>
        <w:rPr>
          <w:rFonts w:hint="eastAsia" w:ascii="宋体" w:hAnsi="宋体" w:eastAsia="宋体"/>
          <w:color w:val="000000"/>
          <w:sz w:val="24"/>
          <w:highlight w:val="none"/>
        </w:rPr>
      </w:pPr>
      <w:r>
        <w:rPr>
          <w:rFonts w:hint="eastAsia" w:ascii="宋体" w:hAnsi="宋体" w:eastAsia="宋体"/>
          <w:color w:val="000000"/>
          <w:sz w:val="24"/>
          <w:highlight w:val="none"/>
        </w:rPr>
      </w:r>
      <w:r/>
    </w:p>
    <w:p>
      <w:pPr>
        <w:pStyle w:val="706"/>
        <w:ind w:firstLine="720"/>
        <w:jc w:val="left"/>
        <w:spacing w:line="360" w:lineRule="auto"/>
        <w:widowControl/>
        <w:rPr>
          <w:rFonts w:hint="eastAsia" w:ascii="宋体" w:hAnsi="宋体" w:eastAsia="宋体"/>
          <w:color w:val="000000"/>
          <w:sz w:val="24"/>
          <w:highlight w:val="none"/>
        </w:rPr>
      </w:pPr>
      <w:r>
        <w:rPr>
          <w:rFonts w:hint="eastAsia" w:ascii="宋体" w:hAnsi="宋体" w:eastAsia="宋体"/>
          <w:color w:val="000000"/>
          <w:sz w:val="24"/>
          <w:highlight w:val="none"/>
        </w:rPr>
      </w:r>
      <w:r/>
    </w:p>
    <w:p>
      <w:pPr>
        <w:pStyle w:val="706"/>
        <w:ind w:firstLine="420"/>
        <w:spacing w:line="360" w:lineRule="auto"/>
        <w:rPr>
          <w:rFonts w:hint="eastAsia" w:ascii="宋体" w:hAnsi="宋体" w:eastAsia="宋体"/>
          <w:b/>
          <w:color w:val="000000"/>
          <w:sz w:val="24"/>
          <w:szCs w:val="24"/>
          <w:highlight w:val="none"/>
          <w:u w:val="single"/>
        </w:rPr>
      </w:pPr>
      <w:r>
        <w:rPr>
          <w:rFonts w:hint="eastAsia" w:ascii="宋体" w:hAnsi="宋体" w:eastAsia="宋体"/>
          <w:b/>
          <w:color w:val="000000"/>
          <w:sz w:val="24"/>
          <w:szCs w:val="24"/>
          <w:highlight w:val="none"/>
          <w:u w:val="single"/>
        </w:rPr>
        <w:t xml:space="preserve">注：未提供或者提供的残疾人福利性单位声明函未加盖有公章的彩色扫描件上传至电子投标文件中的不享受相应政策优惠。</w:t>
      </w:r>
      <w:r>
        <w:rPr>
          <w:rFonts w:hint="eastAsia" w:ascii="宋体" w:hAnsi="宋体" w:eastAsia="宋体"/>
          <w:b/>
          <w:color w:val="000000"/>
          <w:sz w:val="24"/>
          <w:szCs w:val="24"/>
          <w:highlight w:val="none"/>
          <w:u w:val="single"/>
        </w:rPr>
      </w:r>
      <w:r/>
    </w:p>
    <w:p>
      <w:pPr>
        <w:pStyle w:val="706"/>
        <w:ind w:firstLine="720"/>
        <w:jc w:val="left"/>
        <w:spacing w:line="360" w:lineRule="auto"/>
        <w:widowControl/>
        <w:rPr>
          <w:rFonts w:hint="eastAsia" w:ascii="宋体" w:hAnsi="宋体" w:eastAsia="宋体"/>
          <w:color w:val="000000"/>
          <w:sz w:val="24"/>
          <w:highlight w:val="none"/>
        </w:rPr>
      </w:pPr>
      <w:r>
        <w:rPr>
          <w:rFonts w:hint="eastAsia" w:ascii="宋体" w:hAnsi="宋体" w:eastAsia="宋体"/>
          <w:color w:val="000000"/>
          <w:sz w:val="24"/>
          <w:highlight w:val="none"/>
        </w:rPr>
      </w:r>
      <w:r/>
    </w:p>
    <w:p>
      <w:pPr>
        <w:pStyle w:val="706"/>
        <w:ind w:firstLine="720"/>
        <w:jc w:val="left"/>
        <w:spacing w:line="360" w:lineRule="auto"/>
        <w:widowControl/>
        <w:rPr>
          <w:rFonts w:hint="eastAsia" w:ascii="宋体" w:hAnsi="宋体" w:eastAsia="宋体"/>
          <w:color w:val="000000"/>
          <w:sz w:val="24"/>
          <w:highlight w:val="none"/>
        </w:rPr>
      </w:pPr>
      <w:r>
        <w:rPr>
          <w:rFonts w:hint="eastAsia" w:ascii="宋体" w:hAnsi="宋体" w:eastAsia="宋体"/>
          <w:color w:val="000000"/>
          <w:sz w:val="24"/>
          <w:highlight w:val="none"/>
        </w:rPr>
      </w:r>
      <w:r/>
    </w:p>
    <w:p>
      <w:pPr>
        <w:pStyle w:val="706"/>
        <w:ind w:firstLine="720"/>
        <w:jc w:val="left"/>
        <w:spacing w:line="360" w:lineRule="auto"/>
        <w:widowControl/>
        <w:rPr>
          <w:rFonts w:hint="eastAsia" w:ascii="宋体" w:hAnsi="宋体" w:eastAsia="宋体"/>
          <w:color w:val="000000"/>
          <w:sz w:val="24"/>
          <w:highlight w:val="none"/>
        </w:rPr>
      </w:pPr>
      <w:r>
        <w:rPr>
          <w:rFonts w:hint="eastAsia" w:ascii="宋体" w:hAnsi="宋体" w:eastAsia="宋体"/>
          <w:color w:val="000000"/>
          <w:sz w:val="24"/>
          <w:highlight w:val="none"/>
        </w:rPr>
      </w:r>
      <w:r/>
    </w:p>
    <w:p>
      <w:pPr>
        <w:pStyle w:val="706"/>
        <w:ind w:firstLine="720"/>
        <w:jc w:val="left"/>
        <w:spacing w:line="360" w:lineRule="auto"/>
        <w:widowControl/>
        <w:rPr>
          <w:rFonts w:hint="eastAsia" w:ascii="宋体" w:hAnsi="宋体" w:eastAsia="宋体"/>
          <w:color w:val="000000"/>
          <w:sz w:val="24"/>
          <w:highlight w:val="none"/>
        </w:rPr>
      </w:pPr>
      <w:r>
        <w:rPr>
          <w:rFonts w:hint="eastAsia" w:ascii="宋体" w:hAnsi="宋体" w:eastAsia="宋体"/>
          <w:color w:val="000000"/>
          <w:sz w:val="24"/>
          <w:highlight w:val="none"/>
        </w:rPr>
      </w:r>
      <w:r/>
    </w:p>
    <w:p>
      <w:pPr>
        <w:pStyle w:val="706"/>
        <w:ind w:firstLine="720"/>
        <w:jc w:val="left"/>
        <w:spacing w:line="360" w:lineRule="auto"/>
        <w:widowControl/>
        <w:rPr>
          <w:rFonts w:hint="eastAsia" w:ascii="宋体" w:hAnsi="宋体" w:eastAsia="宋体"/>
          <w:color w:val="000000"/>
          <w:sz w:val="24"/>
          <w:highlight w:val="none"/>
        </w:rPr>
      </w:pPr>
      <w:r>
        <w:rPr>
          <w:rFonts w:hint="eastAsia" w:ascii="宋体" w:hAnsi="宋体" w:eastAsia="宋体"/>
          <w:color w:val="000000"/>
          <w:sz w:val="24"/>
          <w:highlight w:val="none"/>
        </w:rPr>
      </w:r>
      <w:r/>
    </w:p>
    <w:p>
      <w:pPr>
        <w:pStyle w:val="706"/>
        <w:ind w:firstLine="720"/>
        <w:jc w:val="left"/>
        <w:spacing w:line="360" w:lineRule="auto"/>
        <w:widowControl/>
        <w:rPr>
          <w:rFonts w:hint="eastAsia" w:ascii="宋体" w:hAnsi="宋体" w:eastAsia="宋体"/>
          <w:color w:val="000000"/>
          <w:sz w:val="24"/>
          <w:highlight w:val="none"/>
        </w:rPr>
      </w:pPr>
      <w:r>
        <w:rPr>
          <w:rFonts w:hint="eastAsia" w:ascii="宋体" w:hAnsi="宋体" w:eastAsia="宋体"/>
          <w:color w:val="000000"/>
          <w:sz w:val="24"/>
          <w:highlight w:val="none"/>
        </w:rPr>
      </w:r>
      <w:r/>
    </w:p>
    <w:p>
      <w:pPr>
        <w:pStyle w:val="706"/>
        <w:ind w:firstLine="720"/>
        <w:jc w:val="left"/>
        <w:spacing w:line="360" w:lineRule="auto"/>
        <w:widowControl/>
        <w:rPr>
          <w:rFonts w:hint="eastAsia" w:ascii="宋体" w:hAnsi="宋体" w:eastAsia="宋体"/>
          <w:color w:val="000000"/>
          <w:sz w:val="24"/>
          <w:highlight w:val="none"/>
        </w:rPr>
      </w:pPr>
      <w:r>
        <w:rPr>
          <w:rFonts w:hint="eastAsia" w:ascii="宋体" w:hAnsi="宋体" w:eastAsia="宋体"/>
          <w:color w:val="000000"/>
          <w:sz w:val="24"/>
          <w:highlight w:val="none"/>
        </w:rPr>
      </w:r>
      <w:r/>
    </w:p>
    <w:p>
      <w:pPr>
        <w:pStyle w:val="706"/>
        <w:ind w:firstLine="720"/>
        <w:jc w:val="left"/>
        <w:spacing w:line="360" w:lineRule="auto"/>
        <w:widowControl/>
        <w:rPr>
          <w:rFonts w:hint="eastAsia" w:ascii="宋体" w:hAnsi="宋体" w:eastAsia="宋体"/>
          <w:color w:val="000000"/>
          <w:sz w:val="24"/>
          <w:highlight w:val="none"/>
        </w:rPr>
      </w:pPr>
      <w:r>
        <w:rPr>
          <w:rFonts w:hint="eastAsia" w:ascii="宋体" w:hAnsi="宋体" w:eastAsia="宋体"/>
          <w:color w:val="000000"/>
          <w:sz w:val="24"/>
          <w:highlight w:val="none"/>
        </w:rPr>
      </w:r>
      <w:r/>
    </w:p>
    <w:p>
      <w:pPr>
        <w:pStyle w:val="706"/>
        <w:ind w:firstLine="720"/>
        <w:jc w:val="left"/>
        <w:spacing w:line="360" w:lineRule="auto"/>
        <w:widowControl/>
        <w:rPr>
          <w:rFonts w:hint="eastAsia" w:ascii="宋体" w:hAnsi="宋体" w:eastAsia="宋体"/>
          <w:color w:val="000000"/>
          <w:sz w:val="24"/>
          <w:highlight w:val="none"/>
        </w:rPr>
      </w:pPr>
      <w:r>
        <w:rPr>
          <w:rFonts w:hint="eastAsia" w:ascii="宋体" w:hAnsi="宋体" w:eastAsia="宋体"/>
          <w:color w:val="000000"/>
          <w:sz w:val="24"/>
          <w:highlight w:val="none"/>
        </w:rPr>
      </w:r>
      <w:r/>
    </w:p>
    <w:p>
      <w:pPr>
        <w:pStyle w:val="706"/>
        <w:ind w:firstLine="720"/>
        <w:jc w:val="left"/>
        <w:spacing w:line="360" w:lineRule="auto"/>
        <w:widowControl/>
        <w:rPr>
          <w:rFonts w:hint="eastAsia" w:ascii="宋体" w:hAnsi="宋体" w:eastAsia="宋体"/>
          <w:color w:val="000000"/>
          <w:sz w:val="24"/>
          <w:highlight w:val="none"/>
        </w:rPr>
      </w:pPr>
      <w:r>
        <w:rPr>
          <w:rFonts w:hint="eastAsia" w:ascii="宋体" w:hAnsi="宋体" w:eastAsia="宋体"/>
          <w:color w:val="000000"/>
          <w:sz w:val="24"/>
          <w:highlight w:val="none"/>
        </w:rPr>
      </w:r>
      <w:r/>
    </w:p>
    <w:p>
      <w:pPr>
        <w:pStyle w:val="706"/>
        <w:ind w:firstLine="720"/>
        <w:jc w:val="left"/>
        <w:spacing w:line="360" w:lineRule="auto"/>
        <w:widowControl/>
        <w:rPr>
          <w:rFonts w:hint="eastAsia" w:ascii="宋体" w:hAnsi="宋体" w:eastAsia="宋体"/>
          <w:color w:val="000000"/>
          <w:sz w:val="24"/>
          <w:highlight w:val="none"/>
        </w:rPr>
      </w:pPr>
      <w:r>
        <w:rPr>
          <w:rFonts w:hint="eastAsia" w:ascii="宋体" w:hAnsi="宋体" w:eastAsia="宋体"/>
          <w:color w:val="000000"/>
          <w:sz w:val="24"/>
          <w:highlight w:val="none"/>
        </w:rPr>
      </w:r>
      <w:r/>
    </w:p>
    <w:p>
      <w:pPr>
        <w:pStyle w:val="706"/>
        <w:ind w:firstLine="720"/>
        <w:jc w:val="left"/>
        <w:spacing w:line="360" w:lineRule="auto"/>
        <w:widowControl/>
        <w:rPr>
          <w:rFonts w:hint="eastAsia" w:ascii="宋体" w:hAnsi="宋体" w:eastAsia="宋体"/>
          <w:color w:val="000000"/>
          <w:sz w:val="24"/>
          <w:highlight w:val="none"/>
        </w:rPr>
      </w:pPr>
      <w:r>
        <w:rPr>
          <w:rFonts w:hint="eastAsia" w:ascii="宋体" w:hAnsi="宋体" w:eastAsia="宋体"/>
          <w:color w:val="000000"/>
          <w:sz w:val="24"/>
          <w:highlight w:val="none"/>
        </w:rPr>
      </w:r>
      <w:r/>
    </w:p>
    <w:p>
      <w:pPr>
        <w:pStyle w:val="706"/>
        <w:ind w:firstLine="720"/>
        <w:jc w:val="left"/>
        <w:spacing w:line="360" w:lineRule="auto"/>
        <w:widowControl/>
        <w:rPr>
          <w:rFonts w:hint="eastAsia" w:ascii="宋体" w:hAnsi="宋体" w:eastAsia="宋体"/>
          <w:color w:val="000000"/>
          <w:sz w:val="24"/>
          <w:highlight w:val="none"/>
        </w:rPr>
      </w:pPr>
      <w:r>
        <w:rPr>
          <w:rFonts w:hint="eastAsia" w:ascii="宋体" w:hAnsi="宋体" w:eastAsia="宋体"/>
          <w:color w:val="000000"/>
          <w:sz w:val="24"/>
          <w:highlight w:val="none"/>
        </w:rPr>
      </w:r>
      <w:r/>
    </w:p>
    <w:p>
      <w:pPr>
        <w:pStyle w:val="708"/>
        <w:spacing w:after="120" w:line="360" w:lineRule="auto"/>
        <w:rPr>
          <w:rFonts w:hint="eastAsia" w:eastAsia="宋体"/>
          <w:b w:val="0"/>
          <w:color w:val="000000"/>
          <w:sz w:val="24"/>
          <w:szCs w:val="24"/>
          <w:highlight w:val="none"/>
        </w:rPr>
      </w:pPr>
      <w:r/>
      <w:bookmarkStart w:id="65" w:name="_Toc10467994"/>
      <w:r/>
      <w:bookmarkStart w:id="66" w:name="_Toc24308"/>
      <w:r>
        <w:rPr>
          <w:rFonts w:hint="eastAsia" w:eastAsia="宋体"/>
          <w:b w:val="0"/>
          <w:color w:val="000000"/>
          <w:sz w:val="24"/>
          <w:szCs w:val="24"/>
          <w:highlight w:val="none"/>
          <w:lang w:val="en-US" w:eastAsia="zh-CN"/>
        </w:rPr>
        <w:t xml:space="preserve">9</w:t>
      </w:r>
      <w:r>
        <w:rPr>
          <w:rFonts w:hint="eastAsia" w:eastAsia="宋体"/>
          <w:b w:val="0"/>
          <w:color w:val="000000"/>
          <w:sz w:val="24"/>
          <w:szCs w:val="24"/>
          <w:highlight w:val="none"/>
        </w:rPr>
        <w:t xml:space="preserve">、资格证明文件</w:t>
      </w:r>
      <w:bookmarkEnd w:id="65"/>
      <w:r/>
      <w:bookmarkEnd w:id="66"/>
      <w:r>
        <w:rPr>
          <w:rFonts w:hint="eastAsia" w:eastAsia="宋体"/>
          <w:b w:val="0"/>
          <w:color w:val="000000"/>
          <w:sz w:val="24"/>
          <w:szCs w:val="24"/>
          <w:highlight w:val="none"/>
        </w:rPr>
      </w:r>
      <w:r/>
    </w:p>
    <w:p>
      <w:pPr>
        <w:pStyle w:val="730"/>
        <w:ind w:firstLine="0"/>
        <w:jc w:val="both"/>
        <w:spacing w:line="360" w:lineRule="auto"/>
        <w:rPr>
          <w:rFonts w:hint="eastAsia" w:ascii="宋体" w:hAnsi="宋体" w:eastAsia="宋体"/>
          <w:bCs/>
          <w:color w:val="000000"/>
          <w:szCs w:val="24"/>
          <w:highlight w:val="none"/>
        </w:rPr>
        <w:outlineLvl w:val="2"/>
      </w:pPr>
      <w:r/>
      <w:bookmarkStart w:id="67" w:name="_Toc10467995"/>
      <w:r/>
      <w:bookmarkStart w:id="68" w:name="_Toc21538"/>
      <w:r>
        <w:rPr>
          <w:rFonts w:hint="eastAsia" w:ascii="宋体" w:hAnsi="宋体" w:eastAsia="宋体"/>
          <w:bCs/>
          <w:color w:val="000000"/>
          <w:szCs w:val="24"/>
          <w:highlight w:val="none"/>
        </w:rPr>
        <w:t xml:space="preserve">(1)关于资格文件的声明函</w:t>
      </w:r>
      <w:bookmarkEnd w:id="67"/>
      <w:r/>
      <w:bookmarkEnd w:id="68"/>
      <w:r>
        <w:rPr>
          <w:rFonts w:hint="eastAsia" w:ascii="宋体" w:hAnsi="宋体" w:eastAsia="宋体"/>
          <w:bCs/>
          <w:color w:val="000000"/>
          <w:szCs w:val="24"/>
          <w:highlight w:val="none"/>
        </w:rPr>
      </w:r>
      <w:r/>
    </w:p>
    <w:p>
      <w:pPr>
        <w:pStyle w:val="730"/>
        <w:ind w:firstLine="0"/>
        <w:jc w:val="center"/>
        <w:spacing w:before="120" w:after="120" w:line="360" w:lineRule="auto"/>
        <w:rPr>
          <w:rFonts w:hint="eastAsia" w:ascii="宋体" w:hAnsi="宋体" w:eastAsia="宋体"/>
          <w:color w:val="000000"/>
          <w:sz w:val="30"/>
          <w:szCs w:val="30"/>
          <w:highlight w:val="none"/>
        </w:rPr>
      </w:pPr>
      <w:r>
        <w:rPr>
          <w:rFonts w:hint="eastAsia" w:ascii="宋体" w:hAnsi="宋体" w:eastAsia="宋体"/>
          <w:color w:val="000000"/>
          <w:sz w:val="30"/>
          <w:szCs w:val="30"/>
          <w:highlight w:val="none"/>
        </w:rPr>
        <w:t xml:space="preserve">关于资格文件的声明函</w:t>
      </w:r>
      <w:r>
        <w:rPr>
          <w:rFonts w:hint="eastAsia" w:ascii="宋体" w:hAnsi="宋体" w:eastAsia="宋体"/>
          <w:color w:val="000000"/>
          <w:sz w:val="30"/>
          <w:szCs w:val="30"/>
          <w:highlight w:val="none"/>
        </w:rPr>
      </w:r>
      <w:r/>
    </w:p>
    <w:p>
      <w:pPr>
        <w:pStyle w:val="730"/>
        <w:ind w:firstLine="0"/>
        <w:jc w:val="both"/>
        <w:spacing w:line="360" w:lineRule="auto"/>
        <w:rPr>
          <w:rFonts w:hint="eastAsia" w:ascii="宋体" w:hAnsi="宋体" w:eastAsia="宋体"/>
          <w:color w:val="000000"/>
          <w:szCs w:val="24"/>
          <w:highlight w:val="none"/>
        </w:rPr>
      </w:pPr>
      <w:r>
        <w:rPr>
          <w:rFonts w:hint="eastAsia" w:ascii="宋体" w:hAnsi="宋体" w:eastAsia="宋体" w:cs="宋体"/>
          <w:color w:val="000000"/>
          <w:highlight w:val="none"/>
        </w:rPr>
        <w:t xml:space="preserve">江苏京苏项目管理咨询有限公司</w:t>
      </w:r>
      <w:r>
        <w:rPr>
          <w:rFonts w:hint="eastAsia" w:ascii="宋体" w:hAnsi="宋体" w:eastAsia="宋体"/>
          <w:color w:val="000000"/>
          <w:szCs w:val="24"/>
          <w:highlight w:val="none"/>
        </w:rPr>
        <w:t xml:space="preserve">：</w:t>
      </w:r>
      <w:r>
        <w:rPr>
          <w:rFonts w:hint="eastAsia" w:ascii="宋体" w:hAnsi="宋体" w:eastAsia="宋体"/>
          <w:color w:val="000000"/>
          <w:szCs w:val="24"/>
          <w:highlight w:val="none"/>
        </w:rPr>
      </w:r>
      <w:r/>
    </w:p>
    <w:p>
      <w:pPr>
        <w:pStyle w:val="730"/>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本公司愿就由贵公司组织实施的编号为______号的磋商采购活动进行响应。本公司所提交的响应文件中所有关于磋商资格的文件、证明和陈述均是真实的、准确的。若与真实情况不符，本公司愿意承担由此而产生的一切后果。</w:t>
      </w:r>
      <w:r>
        <w:rPr>
          <w:rFonts w:hint="eastAsia" w:ascii="宋体" w:hAnsi="宋体" w:eastAsia="宋体"/>
          <w:color w:val="000000"/>
          <w:szCs w:val="24"/>
          <w:highlight w:val="none"/>
        </w:rPr>
      </w:r>
      <w:r/>
    </w:p>
    <w:p>
      <w:pPr>
        <w:pStyle w:val="730"/>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r>
      <w:r/>
    </w:p>
    <w:p>
      <w:pPr>
        <w:pStyle w:val="730"/>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r>
      <w:r/>
    </w:p>
    <w:p>
      <w:pPr>
        <w:pStyle w:val="730"/>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r>
      <w:r/>
    </w:p>
    <w:p>
      <w:pPr>
        <w:pStyle w:val="730"/>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r>
      <w:r/>
    </w:p>
    <w:p>
      <w:pPr>
        <w:pStyle w:val="730"/>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r>
      <w:r/>
    </w:p>
    <w:p>
      <w:pPr>
        <w:pStyle w:val="706"/>
        <w:ind w:right="1560" w:firstLine="480"/>
        <w:jc w:val="right"/>
        <w:spacing w:line="360" w:lineRule="auto"/>
        <w:tabs>
          <w:tab w:val="left" w:pos="4860" w:leader="none"/>
        </w:tabs>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供应商（单位盖章）：</w:t>
      </w:r>
      <w:r>
        <w:rPr>
          <w:rFonts w:hint="eastAsia" w:ascii="宋体" w:hAnsi="宋体" w:eastAsia="宋体"/>
          <w:color w:val="000000"/>
          <w:sz w:val="24"/>
          <w:szCs w:val="24"/>
          <w:highlight w:val="none"/>
        </w:rPr>
      </w:r>
      <w:r/>
    </w:p>
    <w:p>
      <w:pPr>
        <w:pStyle w:val="706"/>
        <w:ind w:right="1560" w:firstLine="480"/>
        <w:jc w:val="right"/>
        <w:spacing w:line="360" w:lineRule="auto"/>
        <w:tabs>
          <w:tab w:val="left" w:pos="4860" w:leader="none"/>
        </w:tabs>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法定代表人或代理人（签字或盖章）：</w:t>
      </w:r>
      <w:r>
        <w:rPr>
          <w:rFonts w:hint="eastAsia" w:ascii="宋体" w:hAnsi="宋体" w:eastAsia="宋体"/>
          <w:color w:val="000000"/>
          <w:sz w:val="24"/>
          <w:szCs w:val="24"/>
          <w:highlight w:val="none"/>
        </w:rPr>
      </w:r>
      <w:r/>
    </w:p>
    <w:p>
      <w:pPr>
        <w:pStyle w:val="706"/>
        <w:ind w:right="1560" w:firstLine="480"/>
        <w:jc w:val="right"/>
        <w:spacing w:line="360" w:lineRule="auto"/>
        <w:tabs>
          <w:tab w:val="left" w:pos="4860" w:leader="none"/>
        </w:tabs>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日期：   年   月   日</w:t>
      </w:r>
      <w:r>
        <w:rPr>
          <w:rFonts w:hint="eastAsia" w:ascii="宋体" w:hAnsi="宋体" w:eastAsia="宋体"/>
          <w:color w:val="000000"/>
          <w:sz w:val="24"/>
          <w:szCs w:val="24"/>
          <w:highlight w:val="none"/>
        </w:rPr>
      </w:r>
      <w:r/>
    </w:p>
    <w:p>
      <w:pPr>
        <w:pStyle w:val="765"/>
        <w:rPr>
          <w:rFonts w:hint="eastAsia"/>
          <w:highlight w:val="none"/>
        </w:rPr>
      </w:pPr>
      <w:r>
        <w:rPr>
          <w:rFonts w:hint="eastAsia"/>
          <w:highlight w:val="none"/>
        </w:rPr>
      </w:r>
      <w:r/>
    </w:p>
    <w:p>
      <w:pPr>
        <w:pStyle w:val="730"/>
        <w:spacing w:line="360" w:lineRule="auto"/>
        <w:rPr>
          <w:rFonts w:ascii="宋体" w:hAnsi="宋体" w:eastAsia="宋体"/>
          <w:color w:val="000000"/>
          <w:szCs w:val="24"/>
          <w:highlight w:val="none"/>
        </w:rPr>
      </w:pPr>
      <w:r>
        <w:rPr>
          <w:rFonts w:ascii="宋体" w:hAnsi="宋体" w:eastAsia="宋体"/>
          <w:color w:val="000000"/>
          <w:szCs w:val="24"/>
          <w:highlight w:val="none"/>
        </w:rPr>
      </w:r>
      <w:r/>
    </w:p>
    <w:p>
      <w:pPr>
        <w:pStyle w:val="730"/>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ab/>
      </w:r>
      <w:r>
        <w:rPr>
          <w:rFonts w:hint="eastAsia" w:ascii="宋体" w:hAnsi="宋体" w:eastAsia="宋体"/>
          <w:color w:val="000000"/>
          <w:szCs w:val="24"/>
          <w:highlight w:val="none"/>
        </w:rPr>
      </w:r>
      <w:r/>
    </w:p>
    <w:p>
      <w:pPr>
        <w:pStyle w:val="730"/>
        <w:numPr>
          <w:ilvl w:val="0"/>
          <w:numId w:val="5"/>
        </w:numPr>
        <w:ind w:firstLine="0"/>
        <w:jc w:val="both"/>
        <w:spacing w:line="360" w:lineRule="auto"/>
        <w:tabs>
          <w:tab w:val="left" w:pos="312" w:leader="none"/>
        </w:tabs>
        <w:rPr>
          <w:rFonts w:hint="eastAsia" w:ascii="宋体" w:hAnsi="宋体" w:eastAsia="宋体"/>
          <w:bCs/>
          <w:color w:val="000000"/>
          <w:szCs w:val="24"/>
          <w:highlight w:val="none"/>
        </w:rPr>
        <w:outlineLvl w:val="2"/>
      </w:pPr>
      <w:r>
        <w:rPr>
          <w:rFonts w:hint="eastAsia" w:ascii="宋体" w:hAnsi="宋体" w:eastAsia="宋体"/>
          <w:color w:val="000000"/>
          <w:szCs w:val="24"/>
          <w:highlight w:val="none"/>
        </w:rPr>
        <w:br w:type="page" w:clear="all"/>
      </w:r>
      <w:bookmarkStart w:id="69" w:name="_Toc9584"/>
      <w:r/>
      <w:bookmarkStart w:id="70" w:name="_Toc10467996"/>
      <w:r>
        <w:rPr>
          <w:rFonts w:hint="eastAsia" w:ascii="宋体" w:hAnsi="宋体" w:eastAsia="宋体"/>
          <w:bCs/>
          <w:color w:val="000000"/>
          <w:szCs w:val="24"/>
          <w:highlight w:val="none"/>
        </w:rPr>
        <w:t xml:space="preserve">磋商响应单位情况表</w:t>
      </w:r>
      <w:bookmarkEnd w:id="69"/>
      <w:r/>
      <w:bookmarkEnd w:id="70"/>
      <w:r>
        <w:rPr>
          <w:rFonts w:hint="eastAsia" w:ascii="宋体" w:hAnsi="宋体" w:eastAsia="宋体"/>
          <w:bCs/>
          <w:color w:val="000000"/>
          <w:szCs w:val="24"/>
          <w:highlight w:val="none"/>
        </w:rPr>
      </w:r>
      <w:r/>
    </w:p>
    <w:p>
      <w:pPr>
        <w:pStyle w:val="730"/>
        <w:ind w:firstLine="0"/>
        <w:jc w:val="both"/>
        <w:spacing w:line="360" w:lineRule="auto"/>
        <w:rPr>
          <w:rFonts w:hint="eastAsia" w:ascii="宋体" w:hAnsi="宋体" w:eastAsia="宋体"/>
          <w:bCs/>
          <w:color w:val="000000"/>
          <w:szCs w:val="24"/>
          <w:highlight w:val="none"/>
        </w:rPr>
        <w:outlineLvl w:val="2"/>
      </w:pPr>
      <w:r/>
      <w:bookmarkStart w:id="71" w:name="_Toc29166"/>
      <w:r>
        <w:rPr>
          <w:rFonts w:hint="eastAsia" w:ascii="宋体" w:hAnsi="宋体" w:eastAsia="宋体"/>
          <w:bCs/>
          <w:color w:val="000000"/>
          <w:szCs w:val="24"/>
          <w:highlight w:val="none"/>
        </w:rPr>
        <w:t xml:space="preserve">响应单位（盖章）：</w:t>
      </w:r>
      <w:bookmarkEnd w:id="71"/>
      <w:r>
        <w:rPr>
          <w:rFonts w:hint="eastAsia" w:ascii="宋体" w:hAnsi="宋体" w:eastAsia="宋体"/>
          <w:bCs/>
          <w:color w:val="000000"/>
          <w:szCs w:val="24"/>
          <w:highlight w:val="none"/>
        </w:rPr>
      </w:r>
      <w:r/>
    </w:p>
    <w:tbl>
      <w:tblPr>
        <w:tblW w:w="8970"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287"/>
        <w:gridCol w:w="1973"/>
        <w:gridCol w:w="1524"/>
        <w:gridCol w:w="1991"/>
        <w:gridCol w:w="1195"/>
      </w:tblGrid>
      <w:tr>
        <w:trPr>
          <w:cantSplit/>
          <w:trHeight w:val="481"/>
        </w:trPr>
        <w:tc>
          <w:tcPr>
            <w:tcW w:w="2288" w:type="dxa"/>
            <w:vAlign w:val="top"/>
            <w:textDirection w:val="lrTb"/>
            <w:noWrap/>
          </w:tcPr>
          <w:p>
            <w:pPr>
              <w:pStyle w:val="706"/>
              <w:rPr>
                <w:rFonts w:hint="eastAsia" w:ascii="宋体" w:hAnsi="宋体" w:eastAsia="宋体" w:cs="宋体"/>
                <w:sz w:val="24"/>
                <w:highlight w:val="none"/>
              </w:rPr>
            </w:pPr>
            <w:r>
              <w:rPr>
                <w:rFonts w:hint="eastAsia" w:ascii="宋体" w:hAnsi="宋体" w:eastAsia="宋体" w:cs="宋体"/>
                <w:sz w:val="24"/>
                <w:highlight w:val="none"/>
              </w:rPr>
              <w:t xml:space="preserve">法定代表人</w:t>
            </w:r>
            <w:r>
              <w:rPr>
                <w:rFonts w:hint="eastAsia" w:ascii="宋体" w:hAnsi="宋体" w:eastAsia="宋体" w:cs="宋体"/>
                <w:sz w:val="24"/>
                <w:highlight w:val="none"/>
              </w:rPr>
            </w:r>
            <w:r/>
          </w:p>
        </w:tc>
        <w:tc>
          <w:tcPr>
            <w:tcW w:w="1975" w:type="dxa"/>
            <w:vAlign w:val="top"/>
            <w:textDirection w:val="lrTb"/>
            <w:noWrap/>
          </w:tcPr>
          <w:p>
            <w:pPr>
              <w:pStyle w:val="706"/>
              <w:rPr>
                <w:rFonts w:hint="eastAsia" w:ascii="宋体" w:hAnsi="宋体" w:eastAsia="宋体" w:cs="宋体"/>
                <w:sz w:val="24"/>
                <w:highlight w:val="none"/>
              </w:rPr>
            </w:pPr>
            <w:r>
              <w:rPr>
                <w:rFonts w:hint="eastAsia" w:ascii="宋体" w:hAnsi="宋体" w:eastAsia="宋体" w:cs="宋体"/>
                <w:sz w:val="24"/>
                <w:highlight w:val="none"/>
              </w:rPr>
            </w:r>
            <w:r/>
          </w:p>
        </w:tc>
        <w:tc>
          <w:tcPr>
            <w:tcW w:w="1525" w:type="dxa"/>
            <w:vAlign w:val="top"/>
            <w:textDirection w:val="lrTb"/>
            <w:noWrap/>
          </w:tcPr>
          <w:p>
            <w:pPr>
              <w:pStyle w:val="706"/>
              <w:rPr>
                <w:rFonts w:hint="eastAsia" w:ascii="宋体" w:hAnsi="宋体" w:eastAsia="宋体" w:cs="宋体"/>
                <w:sz w:val="24"/>
                <w:highlight w:val="none"/>
              </w:rPr>
            </w:pPr>
            <w:r>
              <w:rPr>
                <w:rFonts w:hint="eastAsia" w:ascii="宋体" w:hAnsi="宋体" w:eastAsia="宋体" w:cs="宋体"/>
                <w:sz w:val="24"/>
                <w:highlight w:val="none"/>
              </w:rPr>
              <w:t xml:space="preserve">成立日期</w:t>
            </w:r>
            <w:r>
              <w:rPr>
                <w:rFonts w:hint="eastAsia" w:ascii="宋体" w:hAnsi="宋体" w:eastAsia="宋体" w:cs="宋体"/>
                <w:sz w:val="24"/>
                <w:highlight w:val="none"/>
              </w:rPr>
            </w:r>
            <w:r/>
          </w:p>
        </w:tc>
        <w:tc>
          <w:tcPr>
            <w:gridSpan w:val="2"/>
            <w:tcW w:w="3189" w:type="dxa"/>
            <w:vAlign w:val="top"/>
            <w:textDirection w:val="lrTb"/>
            <w:noWrap/>
          </w:tcPr>
          <w:p>
            <w:pPr>
              <w:pStyle w:val="706"/>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495"/>
        </w:trPr>
        <w:tc>
          <w:tcPr>
            <w:tcW w:w="2288" w:type="dxa"/>
            <w:vAlign w:val="top"/>
            <w:textDirection w:val="lrTb"/>
            <w:noWrap/>
          </w:tcPr>
          <w:p>
            <w:pPr>
              <w:pStyle w:val="706"/>
              <w:rPr>
                <w:rFonts w:hint="eastAsia" w:ascii="宋体" w:hAnsi="宋体" w:eastAsia="宋体" w:cs="宋体"/>
                <w:sz w:val="24"/>
                <w:highlight w:val="none"/>
              </w:rPr>
            </w:pPr>
            <w:r>
              <w:rPr>
                <w:rFonts w:hint="eastAsia" w:ascii="宋体" w:hAnsi="宋体" w:eastAsia="宋体" w:cs="宋体"/>
                <w:sz w:val="24"/>
                <w:highlight w:val="none"/>
              </w:rPr>
              <w:t xml:space="preserve">企业地址</w:t>
            </w:r>
            <w:r>
              <w:rPr>
                <w:rFonts w:hint="eastAsia" w:ascii="宋体" w:hAnsi="宋体" w:eastAsia="宋体" w:cs="宋体"/>
                <w:sz w:val="24"/>
                <w:highlight w:val="none"/>
              </w:rPr>
            </w:r>
            <w:r/>
          </w:p>
        </w:tc>
        <w:tc>
          <w:tcPr>
            <w:tcW w:w="1975" w:type="dxa"/>
            <w:vAlign w:val="top"/>
            <w:textDirection w:val="lrTb"/>
            <w:noWrap/>
          </w:tcPr>
          <w:p>
            <w:pPr>
              <w:pStyle w:val="706"/>
              <w:rPr>
                <w:rFonts w:hint="eastAsia" w:ascii="宋体" w:hAnsi="宋体" w:eastAsia="宋体" w:cs="宋体"/>
                <w:sz w:val="24"/>
                <w:highlight w:val="none"/>
              </w:rPr>
            </w:pPr>
            <w:r>
              <w:rPr>
                <w:rFonts w:hint="eastAsia" w:ascii="宋体" w:hAnsi="宋体" w:eastAsia="宋体" w:cs="宋体"/>
                <w:sz w:val="24"/>
                <w:highlight w:val="none"/>
              </w:rPr>
            </w:r>
            <w:r/>
          </w:p>
        </w:tc>
        <w:tc>
          <w:tcPr>
            <w:tcW w:w="1525" w:type="dxa"/>
            <w:vAlign w:val="top"/>
            <w:textDirection w:val="lrTb"/>
            <w:noWrap/>
          </w:tcPr>
          <w:p>
            <w:pPr>
              <w:pStyle w:val="706"/>
              <w:rPr>
                <w:rFonts w:hint="eastAsia" w:ascii="宋体" w:hAnsi="宋体" w:eastAsia="宋体" w:cs="宋体"/>
                <w:sz w:val="24"/>
                <w:highlight w:val="none"/>
              </w:rPr>
            </w:pPr>
            <w:r>
              <w:rPr>
                <w:rFonts w:hint="eastAsia" w:ascii="宋体" w:hAnsi="宋体" w:eastAsia="宋体" w:cs="宋体"/>
                <w:sz w:val="24"/>
                <w:highlight w:val="none"/>
              </w:rPr>
              <w:t xml:space="preserve">注册资本</w:t>
            </w:r>
            <w:r>
              <w:rPr>
                <w:rFonts w:hint="eastAsia" w:ascii="宋体" w:hAnsi="宋体" w:eastAsia="宋体" w:cs="宋体"/>
                <w:sz w:val="24"/>
                <w:highlight w:val="none"/>
              </w:rPr>
            </w:r>
            <w:r/>
          </w:p>
        </w:tc>
        <w:tc>
          <w:tcPr>
            <w:gridSpan w:val="2"/>
            <w:tcW w:w="3189" w:type="dxa"/>
            <w:vAlign w:val="top"/>
            <w:textDirection w:val="lrTb"/>
            <w:noWrap/>
          </w:tcPr>
          <w:p>
            <w:pPr>
              <w:pStyle w:val="706"/>
              <w:jc w:val="right"/>
              <w:rPr>
                <w:rFonts w:hint="eastAsia" w:ascii="宋体" w:hAnsi="宋体" w:eastAsia="宋体" w:cs="宋体"/>
                <w:sz w:val="24"/>
                <w:highlight w:val="none"/>
              </w:rPr>
            </w:pPr>
            <w:r>
              <w:rPr>
                <w:rFonts w:hint="eastAsia" w:ascii="宋体" w:hAnsi="宋体" w:eastAsia="宋体" w:cs="宋体"/>
                <w:sz w:val="24"/>
                <w:highlight w:val="none"/>
              </w:rPr>
              <w:t xml:space="preserve">万元</w:t>
            </w:r>
            <w:r>
              <w:rPr>
                <w:rFonts w:hint="eastAsia" w:ascii="宋体" w:hAnsi="宋体" w:eastAsia="宋体" w:cs="宋体"/>
                <w:sz w:val="24"/>
                <w:highlight w:val="none"/>
              </w:rPr>
            </w:r>
            <w:r/>
          </w:p>
        </w:tc>
      </w:tr>
      <w:tr>
        <w:trPr>
          <w:cantSplit/>
          <w:trHeight w:val="459"/>
        </w:trPr>
        <w:tc>
          <w:tcPr>
            <w:tcW w:w="2288" w:type="dxa"/>
            <w:vAlign w:val="top"/>
            <w:textDirection w:val="lrTb"/>
            <w:noWrap/>
          </w:tcPr>
          <w:p>
            <w:pPr>
              <w:pStyle w:val="706"/>
              <w:rPr>
                <w:rFonts w:hint="eastAsia" w:ascii="宋体" w:hAnsi="宋体" w:eastAsia="宋体" w:cs="宋体"/>
                <w:sz w:val="24"/>
                <w:highlight w:val="none"/>
              </w:rPr>
            </w:pPr>
            <w:r>
              <w:rPr>
                <w:rFonts w:hint="eastAsia" w:ascii="宋体" w:hAnsi="宋体" w:eastAsia="宋体" w:cs="宋体"/>
                <w:sz w:val="24"/>
                <w:highlight w:val="none"/>
              </w:rPr>
              <w:t xml:space="preserve">经营范围</w:t>
            </w:r>
            <w:r>
              <w:rPr>
                <w:rFonts w:hint="eastAsia" w:ascii="宋体" w:hAnsi="宋体" w:eastAsia="宋体" w:cs="宋体"/>
                <w:sz w:val="24"/>
                <w:highlight w:val="none"/>
              </w:rPr>
            </w:r>
            <w:r/>
          </w:p>
        </w:tc>
        <w:tc>
          <w:tcPr>
            <w:gridSpan w:val="4"/>
            <w:tcW w:w="6689" w:type="dxa"/>
            <w:vAlign w:val="top"/>
            <w:textDirection w:val="lrTb"/>
            <w:noWrap/>
          </w:tcPr>
          <w:p>
            <w:pPr>
              <w:pStyle w:val="706"/>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649"/>
        </w:trPr>
        <w:tc>
          <w:tcPr>
            <w:tcW w:w="2288" w:type="dxa"/>
            <w:vAlign w:val="center"/>
            <w:textDirection w:val="lrTb"/>
            <w:noWrap/>
          </w:tcPr>
          <w:p>
            <w:pPr>
              <w:pStyle w:val="706"/>
              <w:rPr>
                <w:rFonts w:hint="eastAsia" w:ascii="宋体" w:hAnsi="宋体" w:eastAsia="宋体" w:cs="宋体"/>
                <w:sz w:val="24"/>
                <w:highlight w:val="none"/>
              </w:rPr>
            </w:pPr>
            <w:r>
              <w:rPr>
                <w:rFonts w:hint="eastAsia" w:ascii="宋体" w:hAnsi="宋体" w:eastAsia="宋体" w:cs="宋体"/>
                <w:sz w:val="24"/>
                <w:highlight w:val="none"/>
              </w:rPr>
              <w:t xml:space="preserve">职工人数</w:t>
            </w:r>
            <w:r>
              <w:rPr>
                <w:rFonts w:hint="eastAsia" w:ascii="宋体" w:hAnsi="宋体" w:eastAsia="宋体" w:cs="宋体"/>
                <w:sz w:val="24"/>
                <w:highlight w:val="none"/>
              </w:rPr>
            </w:r>
            <w:r/>
          </w:p>
        </w:tc>
        <w:tc>
          <w:tcPr>
            <w:tcW w:w="1975" w:type="dxa"/>
            <w:vAlign w:val="center"/>
            <w:textDirection w:val="lrTb"/>
            <w:noWrap/>
          </w:tcPr>
          <w:p>
            <w:pPr>
              <w:pStyle w:val="706"/>
              <w:jc w:val="center"/>
              <w:rPr>
                <w:rFonts w:hint="eastAsia" w:ascii="宋体" w:hAnsi="宋体" w:eastAsia="宋体" w:cs="宋体"/>
                <w:sz w:val="24"/>
                <w:highlight w:val="none"/>
              </w:rPr>
            </w:pPr>
            <w:r>
              <w:rPr>
                <w:rFonts w:hint="eastAsia" w:ascii="宋体" w:hAnsi="宋体" w:eastAsia="宋体" w:cs="宋体"/>
                <w:sz w:val="24"/>
                <w:highlight w:val="none"/>
              </w:rPr>
            </w:r>
            <w:r/>
          </w:p>
        </w:tc>
        <w:tc>
          <w:tcPr>
            <w:gridSpan w:val="2"/>
            <w:tcW w:w="3518" w:type="dxa"/>
            <w:vAlign w:val="center"/>
            <w:textDirection w:val="lrTb"/>
            <w:noWrap/>
          </w:tcPr>
          <w:p>
            <w:pPr>
              <w:pStyle w:val="706"/>
              <w:jc w:val="center"/>
              <w:rPr>
                <w:rFonts w:hint="eastAsia" w:ascii="宋体" w:hAnsi="宋体" w:eastAsia="宋体" w:cs="宋体"/>
                <w:sz w:val="24"/>
                <w:highlight w:val="none"/>
              </w:rPr>
            </w:pPr>
            <w:r>
              <w:rPr>
                <w:rFonts w:hint="eastAsia" w:ascii="宋体" w:hAnsi="宋体" w:eastAsia="宋体" w:cs="宋体"/>
                <w:sz w:val="24"/>
                <w:highlight w:val="none"/>
              </w:rPr>
              <w:t xml:space="preserve">其中：有中高级以上职称的人数</w:t>
            </w:r>
            <w:r>
              <w:rPr>
                <w:rFonts w:hint="eastAsia" w:ascii="宋体" w:hAnsi="宋体" w:eastAsia="宋体" w:cs="宋体"/>
                <w:sz w:val="24"/>
                <w:highlight w:val="none"/>
              </w:rPr>
            </w:r>
            <w:r/>
          </w:p>
        </w:tc>
        <w:tc>
          <w:tcPr>
            <w:tcW w:w="1196" w:type="dxa"/>
            <w:vAlign w:val="center"/>
            <w:textDirection w:val="lrTb"/>
            <w:noWrap/>
          </w:tcPr>
          <w:p>
            <w:pPr>
              <w:pStyle w:val="706"/>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612"/>
        </w:trPr>
        <w:tc>
          <w:tcPr>
            <w:tcW w:w="2288" w:type="dxa"/>
            <w:vAlign w:val="center"/>
            <w:textDirection w:val="lrTb"/>
            <w:noWrap/>
          </w:tcPr>
          <w:p>
            <w:pPr>
              <w:pStyle w:val="706"/>
              <w:rPr>
                <w:rFonts w:hint="eastAsia" w:ascii="宋体" w:hAnsi="宋体" w:eastAsia="宋体" w:cs="宋体"/>
                <w:sz w:val="24"/>
                <w:highlight w:val="none"/>
              </w:rPr>
            </w:pPr>
            <w:r>
              <w:rPr>
                <w:rFonts w:hint="eastAsia" w:ascii="宋体" w:hAnsi="宋体" w:eastAsia="宋体" w:cs="宋体"/>
                <w:sz w:val="24"/>
                <w:highlight w:val="none"/>
              </w:rPr>
              <w:t xml:space="preserve">资产总计</w:t>
            </w:r>
            <w:r>
              <w:rPr>
                <w:rFonts w:hint="eastAsia" w:ascii="宋体" w:hAnsi="宋体" w:eastAsia="宋体" w:cs="宋体"/>
                <w:sz w:val="24"/>
                <w:highlight w:val="none"/>
              </w:rPr>
            </w:r>
            <w:r/>
          </w:p>
        </w:tc>
        <w:tc>
          <w:tcPr>
            <w:tcW w:w="1975" w:type="dxa"/>
            <w:vAlign w:val="center"/>
            <w:textDirection w:val="lrTb"/>
            <w:noWrap/>
          </w:tcPr>
          <w:p>
            <w:pPr>
              <w:pStyle w:val="706"/>
              <w:jc w:val="left"/>
              <w:rPr>
                <w:rFonts w:hint="eastAsia" w:ascii="宋体" w:hAnsi="宋体" w:eastAsia="宋体" w:cs="宋体"/>
                <w:sz w:val="24"/>
                <w:highlight w:val="none"/>
              </w:rPr>
            </w:pPr>
            <w:r>
              <w:rPr>
                <w:rFonts w:hint="eastAsia" w:ascii="宋体" w:hAnsi="宋体" w:eastAsia="宋体" w:cs="宋体"/>
                <w:sz w:val="24"/>
                <w:highlight w:val="none"/>
              </w:rPr>
              <w:t xml:space="preserve">          万元</w:t>
            </w:r>
            <w:r>
              <w:rPr>
                <w:rFonts w:hint="eastAsia" w:ascii="宋体" w:hAnsi="宋体" w:eastAsia="宋体" w:cs="宋体"/>
                <w:sz w:val="24"/>
                <w:highlight w:val="none"/>
              </w:rPr>
            </w:r>
            <w:r/>
          </w:p>
        </w:tc>
        <w:tc>
          <w:tcPr>
            <w:tcW w:w="1525" w:type="dxa"/>
            <w:vAlign w:val="center"/>
            <w:textDirection w:val="lrTb"/>
            <w:noWrap/>
          </w:tcPr>
          <w:p>
            <w:pPr>
              <w:pStyle w:val="706"/>
              <w:rPr>
                <w:rFonts w:hint="eastAsia" w:ascii="宋体" w:hAnsi="宋体" w:eastAsia="宋体" w:cs="宋体"/>
                <w:sz w:val="24"/>
                <w:highlight w:val="none"/>
              </w:rPr>
            </w:pPr>
            <w:r>
              <w:rPr>
                <w:rFonts w:hint="eastAsia" w:ascii="宋体" w:hAnsi="宋体" w:eastAsia="宋体" w:cs="宋体"/>
                <w:sz w:val="24"/>
                <w:highlight w:val="none"/>
              </w:rPr>
              <w:t xml:space="preserve">净资产</w:t>
            </w:r>
            <w:r>
              <w:rPr>
                <w:rFonts w:hint="eastAsia" w:ascii="宋体" w:hAnsi="宋体" w:eastAsia="宋体" w:cs="宋体"/>
                <w:sz w:val="24"/>
                <w:highlight w:val="none"/>
              </w:rPr>
            </w:r>
            <w:r/>
          </w:p>
        </w:tc>
        <w:tc>
          <w:tcPr>
            <w:gridSpan w:val="2"/>
            <w:tcW w:w="3189" w:type="dxa"/>
            <w:vAlign w:val="center"/>
            <w:textDirection w:val="lrTb"/>
            <w:noWrap/>
          </w:tcPr>
          <w:p>
            <w:pPr>
              <w:pStyle w:val="706"/>
              <w:jc w:val="right"/>
              <w:rPr>
                <w:rFonts w:hint="eastAsia" w:ascii="宋体" w:hAnsi="宋体" w:eastAsia="宋体" w:cs="宋体"/>
                <w:sz w:val="24"/>
                <w:highlight w:val="none"/>
              </w:rPr>
            </w:pPr>
            <w:r>
              <w:rPr>
                <w:rFonts w:hint="eastAsia" w:ascii="宋体" w:hAnsi="宋体" w:eastAsia="宋体" w:cs="宋体"/>
                <w:sz w:val="24"/>
                <w:highlight w:val="none"/>
              </w:rPr>
              <w:t xml:space="preserve">                万元</w:t>
            </w:r>
            <w:r>
              <w:rPr>
                <w:rFonts w:hint="eastAsia" w:ascii="宋体" w:hAnsi="宋体" w:eastAsia="宋体" w:cs="宋体"/>
                <w:sz w:val="24"/>
                <w:highlight w:val="none"/>
              </w:rPr>
            </w:r>
            <w:r/>
          </w:p>
        </w:tc>
      </w:tr>
      <w:tr>
        <w:trPr>
          <w:cantSplit/>
          <w:trHeight w:val="642"/>
        </w:trPr>
        <w:tc>
          <w:tcPr>
            <w:tcW w:w="2288" w:type="dxa"/>
            <w:vAlign w:val="center"/>
            <w:textDirection w:val="lrTb"/>
            <w:noWrap/>
          </w:tcPr>
          <w:p>
            <w:pPr>
              <w:pStyle w:val="706"/>
              <w:rPr>
                <w:rFonts w:hint="eastAsia" w:ascii="宋体" w:hAnsi="宋体" w:eastAsia="宋体" w:cs="宋体"/>
                <w:sz w:val="24"/>
                <w:highlight w:val="none"/>
              </w:rPr>
            </w:pPr>
            <w:r>
              <w:rPr>
                <w:rFonts w:hint="eastAsia" w:ascii="宋体" w:hAnsi="宋体" w:eastAsia="宋体" w:cs="宋体"/>
                <w:sz w:val="24"/>
                <w:highlight w:val="none"/>
              </w:rPr>
              <w:t xml:space="preserve">股东权益</w:t>
            </w:r>
            <w:r>
              <w:rPr>
                <w:rFonts w:hint="eastAsia" w:ascii="宋体" w:hAnsi="宋体" w:eastAsia="宋体" w:cs="宋体"/>
                <w:sz w:val="24"/>
                <w:highlight w:val="none"/>
              </w:rPr>
            </w:r>
            <w:r/>
          </w:p>
        </w:tc>
        <w:tc>
          <w:tcPr>
            <w:tcW w:w="1975" w:type="dxa"/>
            <w:vAlign w:val="center"/>
            <w:textDirection w:val="lrTb"/>
            <w:noWrap/>
          </w:tcPr>
          <w:p>
            <w:pPr>
              <w:pStyle w:val="706"/>
              <w:jc w:val="left"/>
              <w:rPr>
                <w:rFonts w:hint="eastAsia" w:ascii="宋体" w:hAnsi="宋体" w:eastAsia="宋体" w:cs="宋体"/>
                <w:sz w:val="24"/>
                <w:highlight w:val="none"/>
              </w:rPr>
            </w:pPr>
            <w:r>
              <w:rPr>
                <w:rFonts w:hint="eastAsia" w:ascii="宋体" w:hAnsi="宋体" w:eastAsia="宋体" w:cs="宋体"/>
                <w:sz w:val="24"/>
                <w:highlight w:val="none"/>
              </w:rPr>
              <w:t xml:space="preserve">          万元</w:t>
            </w:r>
            <w:r>
              <w:rPr>
                <w:rFonts w:hint="eastAsia" w:ascii="宋体" w:hAnsi="宋体" w:eastAsia="宋体" w:cs="宋体"/>
                <w:sz w:val="24"/>
                <w:highlight w:val="none"/>
              </w:rPr>
            </w:r>
            <w:r/>
          </w:p>
        </w:tc>
        <w:tc>
          <w:tcPr>
            <w:tcW w:w="1525" w:type="dxa"/>
            <w:vAlign w:val="center"/>
            <w:textDirection w:val="lrTb"/>
            <w:noWrap/>
          </w:tcPr>
          <w:p>
            <w:pPr>
              <w:pStyle w:val="706"/>
              <w:rPr>
                <w:rFonts w:hint="eastAsia" w:ascii="宋体" w:hAnsi="宋体" w:eastAsia="宋体" w:cs="宋体"/>
                <w:sz w:val="24"/>
                <w:highlight w:val="none"/>
              </w:rPr>
            </w:pPr>
            <w:r>
              <w:rPr>
                <w:rFonts w:hint="eastAsia" w:ascii="宋体" w:hAnsi="宋体" w:eastAsia="宋体" w:cs="宋体"/>
                <w:sz w:val="24"/>
                <w:highlight w:val="none"/>
              </w:rPr>
              <w:t xml:space="preserve">销售收入</w:t>
            </w:r>
            <w:r>
              <w:rPr>
                <w:rFonts w:hint="eastAsia" w:ascii="宋体" w:hAnsi="宋体" w:eastAsia="宋体" w:cs="宋体"/>
                <w:sz w:val="24"/>
                <w:highlight w:val="none"/>
              </w:rPr>
            </w:r>
            <w:r/>
          </w:p>
        </w:tc>
        <w:tc>
          <w:tcPr>
            <w:gridSpan w:val="2"/>
            <w:tcW w:w="3189" w:type="dxa"/>
            <w:vAlign w:val="center"/>
            <w:textDirection w:val="lrTb"/>
            <w:noWrap/>
          </w:tcPr>
          <w:p>
            <w:pPr>
              <w:pStyle w:val="706"/>
              <w:jc w:val="right"/>
              <w:rPr>
                <w:rFonts w:hint="eastAsia" w:ascii="宋体" w:hAnsi="宋体" w:eastAsia="宋体" w:cs="宋体"/>
                <w:sz w:val="24"/>
                <w:highlight w:val="none"/>
              </w:rPr>
            </w:pPr>
            <w:r>
              <w:rPr>
                <w:rFonts w:hint="eastAsia" w:ascii="宋体" w:hAnsi="宋体" w:eastAsia="宋体" w:cs="宋体"/>
                <w:sz w:val="24"/>
                <w:highlight w:val="none"/>
              </w:rPr>
            </w:r>
            <w:r/>
          </w:p>
          <w:p>
            <w:pPr>
              <w:pStyle w:val="706"/>
              <w:jc w:val="right"/>
              <w:rPr>
                <w:rFonts w:hint="eastAsia" w:ascii="宋体" w:hAnsi="宋体" w:eastAsia="宋体" w:cs="宋体"/>
                <w:sz w:val="24"/>
                <w:highlight w:val="none"/>
              </w:rPr>
            </w:pPr>
            <w:r>
              <w:rPr>
                <w:rFonts w:hint="eastAsia" w:ascii="宋体" w:hAnsi="宋体" w:eastAsia="宋体" w:cs="宋体"/>
                <w:sz w:val="24"/>
                <w:highlight w:val="none"/>
              </w:rPr>
              <w:t xml:space="preserve">年          万元</w:t>
            </w:r>
            <w:r>
              <w:rPr>
                <w:rFonts w:hint="eastAsia" w:ascii="宋体" w:hAnsi="宋体" w:eastAsia="宋体" w:cs="宋体"/>
                <w:sz w:val="24"/>
                <w:highlight w:val="none"/>
              </w:rPr>
            </w:r>
            <w:r/>
          </w:p>
        </w:tc>
      </w:tr>
      <w:tr>
        <w:trPr>
          <w:cantSplit/>
          <w:trHeight w:val="536"/>
        </w:trPr>
        <w:tc>
          <w:tcPr>
            <w:tcW w:w="2288" w:type="dxa"/>
            <w:vAlign w:val="top"/>
            <w:textDirection w:val="lrTb"/>
            <w:noWrap/>
          </w:tcPr>
          <w:p>
            <w:pPr>
              <w:pStyle w:val="706"/>
              <w:rPr>
                <w:rFonts w:hint="eastAsia" w:ascii="宋体" w:hAnsi="宋体" w:eastAsia="宋体" w:cs="宋体"/>
                <w:sz w:val="24"/>
                <w:highlight w:val="none"/>
              </w:rPr>
            </w:pPr>
            <w:r>
              <w:rPr>
                <w:rFonts w:hint="eastAsia" w:ascii="宋体" w:hAnsi="宋体" w:eastAsia="宋体" w:cs="宋体"/>
                <w:sz w:val="24"/>
                <w:highlight w:val="none"/>
              </w:rPr>
              <w:t xml:space="preserve">实现利润</w:t>
            </w:r>
            <w:r>
              <w:rPr>
                <w:rFonts w:hint="eastAsia" w:ascii="宋体" w:hAnsi="宋体" w:eastAsia="宋体" w:cs="宋体"/>
                <w:sz w:val="24"/>
                <w:highlight w:val="none"/>
              </w:rPr>
            </w:r>
            <w:r/>
          </w:p>
        </w:tc>
        <w:tc>
          <w:tcPr>
            <w:tcW w:w="1975" w:type="dxa"/>
            <w:vAlign w:val="top"/>
            <w:textDirection w:val="lrTb"/>
            <w:noWrap/>
          </w:tcPr>
          <w:p>
            <w:pPr>
              <w:pStyle w:val="706"/>
              <w:jc w:val="right"/>
              <w:rPr>
                <w:rFonts w:hint="eastAsia" w:ascii="宋体" w:hAnsi="宋体" w:eastAsia="宋体" w:cs="宋体"/>
                <w:sz w:val="24"/>
                <w:highlight w:val="none"/>
              </w:rPr>
            </w:pPr>
            <w:r>
              <w:rPr>
                <w:rFonts w:hint="eastAsia" w:ascii="宋体" w:hAnsi="宋体" w:eastAsia="宋体" w:cs="宋体"/>
                <w:sz w:val="24"/>
                <w:highlight w:val="none"/>
              </w:rPr>
              <w:t xml:space="preserve">   年     万元</w:t>
            </w:r>
            <w:r>
              <w:rPr>
                <w:rFonts w:hint="eastAsia" w:ascii="宋体" w:hAnsi="宋体" w:eastAsia="宋体" w:cs="宋体"/>
                <w:sz w:val="24"/>
                <w:highlight w:val="none"/>
              </w:rPr>
            </w:r>
            <w:r/>
          </w:p>
        </w:tc>
        <w:tc>
          <w:tcPr>
            <w:tcW w:w="1525" w:type="dxa"/>
            <w:vAlign w:val="top"/>
            <w:textDirection w:val="lrTb"/>
            <w:noWrap/>
          </w:tcPr>
          <w:p>
            <w:pPr>
              <w:pStyle w:val="706"/>
              <w:rPr>
                <w:rFonts w:hint="eastAsia" w:ascii="宋体" w:hAnsi="宋体" w:eastAsia="宋体" w:cs="宋体"/>
                <w:sz w:val="24"/>
                <w:highlight w:val="none"/>
              </w:rPr>
            </w:pPr>
            <w:r>
              <w:rPr>
                <w:rFonts w:hint="eastAsia" w:ascii="宋体" w:hAnsi="宋体" w:eastAsia="宋体" w:cs="宋体"/>
                <w:sz w:val="24"/>
                <w:highlight w:val="none"/>
              </w:rPr>
            </w:r>
            <w:r/>
          </w:p>
        </w:tc>
        <w:tc>
          <w:tcPr>
            <w:gridSpan w:val="2"/>
            <w:tcW w:w="3189" w:type="dxa"/>
            <w:vAlign w:val="top"/>
            <w:textDirection w:val="lrTb"/>
            <w:noWrap/>
          </w:tcPr>
          <w:p>
            <w:pPr>
              <w:pStyle w:val="706"/>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649"/>
        </w:trPr>
        <w:tc>
          <w:tcPr>
            <w:tcW w:w="2288" w:type="dxa"/>
            <w:vAlign w:val="center"/>
            <w:textDirection w:val="lrTb"/>
            <w:noWrap/>
          </w:tcPr>
          <w:p>
            <w:pPr>
              <w:pStyle w:val="706"/>
              <w:rPr>
                <w:rFonts w:hint="eastAsia" w:ascii="宋体" w:hAnsi="宋体" w:eastAsia="宋体" w:cs="宋体"/>
                <w:sz w:val="24"/>
                <w:highlight w:val="none"/>
              </w:rPr>
            </w:pPr>
            <w:r>
              <w:rPr>
                <w:rFonts w:hint="eastAsia" w:ascii="宋体" w:hAnsi="宋体" w:eastAsia="宋体" w:cs="宋体"/>
                <w:sz w:val="24"/>
                <w:highlight w:val="none"/>
              </w:rPr>
              <w:t xml:space="preserve">营业面积（含厂房面积）</w:t>
            </w:r>
            <w:r>
              <w:rPr>
                <w:rFonts w:hint="eastAsia" w:ascii="宋体" w:hAnsi="宋体" w:eastAsia="宋体" w:cs="宋体"/>
                <w:sz w:val="24"/>
                <w:highlight w:val="none"/>
              </w:rPr>
            </w:r>
            <w:r/>
          </w:p>
        </w:tc>
        <w:tc>
          <w:tcPr>
            <w:tcW w:w="1975" w:type="dxa"/>
            <w:vAlign w:val="center"/>
            <w:textDirection w:val="lrTb"/>
            <w:noWrap/>
          </w:tcPr>
          <w:p>
            <w:pPr>
              <w:pStyle w:val="706"/>
              <w:rPr>
                <w:rFonts w:hint="eastAsia" w:ascii="宋体" w:hAnsi="宋体" w:eastAsia="宋体" w:cs="宋体"/>
                <w:sz w:val="24"/>
                <w:highlight w:val="none"/>
              </w:rPr>
            </w:pPr>
            <w:r>
              <w:rPr>
                <w:rFonts w:hint="eastAsia" w:ascii="宋体" w:hAnsi="宋体" w:eastAsia="宋体" w:cs="宋体"/>
                <w:sz w:val="24"/>
                <w:highlight w:val="none"/>
              </w:rPr>
              <w:t xml:space="preserve">      平方米</w:t>
            </w:r>
            <w:r>
              <w:rPr>
                <w:rFonts w:hint="eastAsia" w:ascii="宋体" w:hAnsi="宋体" w:eastAsia="宋体" w:cs="宋体"/>
                <w:sz w:val="24"/>
                <w:highlight w:val="none"/>
              </w:rPr>
            </w:r>
            <w:r/>
          </w:p>
        </w:tc>
        <w:tc>
          <w:tcPr>
            <w:tcW w:w="1525" w:type="dxa"/>
            <w:vAlign w:val="center"/>
            <w:textDirection w:val="lrTb"/>
            <w:noWrap/>
          </w:tcPr>
          <w:p>
            <w:pPr>
              <w:pStyle w:val="706"/>
              <w:rPr>
                <w:rFonts w:hint="eastAsia" w:ascii="宋体" w:hAnsi="宋体" w:eastAsia="宋体" w:cs="宋体"/>
                <w:sz w:val="24"/>
                <w:highlight w:val="none"/>
              </w:rPr>
            </w:pPr>
            <w:r>
              <w:rPr>
                <w:rFonts w:hint="eastAsia" w:ascii="宋体" w:hAnsi="宋体" w:eastAsia="宋体" w:cs="宋体"/>
                <w:sz w:val="24"/>
                <w:highlight w:val="none"/>
              </w:rPr>
              <w:t xml:space="preserve">其中：</w:t>
            </w:r>
            <w:r>
              <w:rPr>
                <w:rFonts w:hint="eastAsia" w:ascii="宋体" w:hAnsi="宋体" w:eastAsia="宋体" w:cs="宋体"/>
                <w:sz w:val="24"/>
                <w:highlight w:val="none"/>
              </w:rPr>
            </w:r>
            <w:r/>
          </w:p>
        </w:tc>
        <w:tc>
          <w:tcPr>
            <w:gridSpan w:val="2"/>
            <w:tcW w:w="3189" w:type="dxa"/>
            <w:vAlign w:val="top"/>
            <w:textDirection w:val="lrTb"/>
            <w:noWrap/>
          </w:tcPr>
          <w:p>
            <w:pPr>
              <w:pStyle w:val="706"/>
              <w:rPr>
                <w:rFonts w:hint="eastAsia" w:ascii="宋体" w:hAnsi="宋体" w:eastAsia="宋体" w:cs="宋体"/>
                <w:sz w:val="24"/>
                <w:highlight w:val="none"/>
              </w:rPr>
            </w:pPr>
            <w:r>
              <w:rPr>
                <w:rFonts w:hint="eastAsia" w:ascii="宋体" w:hAnsi="宋体" w:eastAsia="宋体" w:cs="宋体"/>
                <w:sz w:val="24"/>
                <w:highlight w:val="none"/>
              </w:rPr>
              <w:t xml:space="preserve">自有面积         平方米</w:t>
            </w:r>
            <w:r>
              <w:rPr>
                <w:rFonts w:hint="eastAsia" w:ascii="宋体" w:hAnsi="宋体" w:eastAsia="宋体" w:cs="宋体"/>
                <w:sz w:val="24"/>
                <w:highlight w:val="none"/>
              </w:rPr>
            </w:r>
            <w:r/>
          </w:p>
          <w:p>
            <w:pPr>
              <w:pStyle w:val="706"/>
              <w:rPr>
                <w:rFonts w:hint="eastAsia" w:ascii="宋体" w:hAnsi="宋体" w:eastAsia="宋体" w:cs="宋体"/>
                <w:sz w:val="24"/>
                <w:highlight w:val="none"/>
              </w:rPr>
            </w:pPr>
            <w:r>
              <w:rPr>
                <w:rFonts w:hint="eastAsia" w:ascii="宋体" w:hAnsi="宋体" w:eastAsia="宋体" w:cs="宋体"/>
                <w:sz w:val="24"/>
                <w:highlight w:val="none"/>
              </w:rPr>
              <w:t xml:space="preserve">承租面积         平方米</w:t>
            </w:r>
            <w:r>
              <w:rPr>
                <w:rFonts w:hint="eastAsia" w:ascii="宋体" w:hAnsi="宋体" w:eastAsia="宋体" w:cs="宋体"/>
                <w:sz w:val="24"/>
                <w:highlight w:val="none"/>
              </w:rPr>
            </w:r>
            <w:r/>
          </w:p>
        </w:tc>
      </w:tr>
      <w:tr>
        <w:trPr>
          <w:cantSplit/>
          <w:trHeight w:val="649"/>
        </w:trPr>
        <w:tc>
          <w:tcPr>
            <w:tcW w:w="2288" w:type="dxa"/>
            <w:vAlign w:val="top"/>
            <w:textDirection w:val="lrTb"/>
            <w:noWrap/>
          </w:tcPr>
          <w:p>
            <w:pPr>
              <w:pStyle w:val="706"/>
              <w:rPr>
                <w:rFonts w:hint="eastAsia" w:ascii="宋体" w:hAnsi="宋体" w:eastAsia="宋体" w:cs="宋体"/>
                <w:sz w:val="24"/>
                <w:highlight w:val="none"/>
              </w:rPr>
            </w:pPr>
            <w:r>
              <w:rPr>
                <w:rFonts w:hint="eastAsia" w:ascii="宋体" w:hAnsi="宋体" w:eastAsia="宋体" w:cs="宋体"/>
                <w:sz w:val="24"/>
                <w:highlight w:val="none"/>
              </w:rPr>
              <w:t xml:space="preserve">单位简历及内设机构情况</w:t>
            </w:r>
            <w:r>
              <w:rPr>
                <w:rFonts w:hint="eastAsia" w:ascii="宋体" w:hAnsi="宋体" w:eastAsia="宋体" w:cs="宋体"/>
                <w:sz w:val="24"/>
                <w:highlight w:val="none"/>
              </w:rPr>
            </w:r>
            <w:r/>
          </w:p>
        </w:tc>
        <w:tc>
          <w:tcPr>
            <w:gridSpan w:val="4"/>
            <w:tcW w:w="6689" w:type="dxa"/>
            <w:vAlign w:val="top"/>
            <w:textDirection w:val="lrTb"/>
            <w:noWrap/>
          </w:tcPr>
          <w:p>
            <w:pPr>
              <w:pStyle w:val="706"/>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637"/>
        </w:trPr>
        <w:tc>
          <w:tcPr>
            <w:tcW w:w="2288" w:type="dxa"/>
            <w:vAlign w:val="top"/>
            <w:textDirection w:val="lrTb"/>
            <w:noWrap/>
          </w:tcPr>
          <w:p>
            <w:pPr>
              <w:pStyle w:val="706"/>
              <w:rPr>
                <w:rFonts w:hint="eastAsia" w:ascii="宋体" w:hAnsi="宋体" w:eastAsia="宋体" w:cs="宋体"/>
                <w:sz w:val="24"/>
                <w:highlight w:val="none"/>
              </w:rPr>
            </w:pPr>
            <w:r>
              <w:rPr>
                <w:rFonts w:hint="eastAsia" w:ascii="宋体" w:hAnsi="宋体" w:eastAsia="宋体" w:cs="宋体"/>
                <w:sz w:val="24"/>
                <w:highlight w:val="none"/>
              </w:rPr>
              <w:t xml:space="preserve">单位优势及特长</w:t>
            </w:r>
            <w:r>
              <w:rPr>
                <w:rFonts w:hint="eastAsia" w:ascii="宋体" w:hAnsi="宋体" w:eastAsia="宋体" w:cs="宋体"/>
                <w:sz w:val="24"/>
                <w:highlight w:val="none"/>
              </w:rPr>
            </w:r>
            <w:r/>
          </w:p>
        </w:tc>
        <w:tc>
          <w:tcPr>
            <w:gridSpan w:val="4"/>
            <w:tcW w:w="6689" w:type="dxa"/>
            <w:vAlign w:val="top"/>
            <w:textDirection w:val="lrTb"/>
            <w:noWrap/>
          </w:tcPr>
          <w:p>
            <w:pPr>
              <w:pStyle w:val="706"/>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959"/>
        </w:trPr>
        <w:tc>
          <w:tcPr>
            <w:tcW w:w="2288" w:type="dxa"/>
            <w:vAlign w:val="top"/>
            <w:textDirection w:val="lrTb"/>
            <w:noWrap/>
          </w:tcPr>
          <w:p>
            <w:pPr>
              <w:pStyle w:val="706"/>
              <w:rPr>
                <w:rFonts w:hint="eastAsia" w:ascii="宋体" w:hAnsi="宋体" w:eastAsia="宋体" w:cs="宋体"/>
                <w:sz w:val="24"/>
                <w:highlight w:val="none"/>
              </w:rPr>
            </w:pPr>
            <w:r>
              <w:rPr>
                <w:rFonts w:hint="eastAsia" w:ascii="宋体" w:hAnsi="宋体" w:eastAsia="宋体" w:cs="宋体"/>
                <w:sz w:val="24"/>
                <w:highlight w:val="none"/>
              </w:rPr>
              <w:t xml:space="preserve">近三年来完成或正在履行的重大合同情况</w:t>
            </w:r>
            <w:r>
              <w:rPr>
                <w:rFonts w:hint="eastAsia" w:ascii="宋体" w:hAnsi="宋体" w:eastAsia="宋体" w:cs="宋体"/>
                <w:sz w:val="24"/>
                <w:highlight w:val="none"/>
              </w:rPr>
            </w:r>
            <w:r/>
          </w:p>
        </w:tc>
        <w:tc>
          <w:tcPr>
            <w:gridSpan w:val="4"/>
            <w:tcW w:w="6689" w:type="dxa"/>
            <w:vAlign w:val="top"/>
            <w:textDirection w:val="lrTb"/>
            <w:noWrap/>
          </w:tcPr>
          <w:p>
            <w:pPr>
              <w:pStyle w:val="706"/>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1270"/>
        </w:trPr>
        <w:tc>
          <w:tcPr>
            <w:tcW w:w="2288" w:type="dxa"/>
            <w:vAlign w:val="top"/>
            <w:textDirection w:val="lrTb"/>
            <w:noWrap/>
          </w:tcPr>
          <w:p>
            <w:pPr>
              <w:pStyle w:val="706"/>
              <w:rPr>
                <w:rFonts w:hint="eastAsia" w:ascii="宋体" w:hAnsi="宋体" w:eastAsia="宋体" w:cs="宋体"/>
                <w:sz w:val="24"/>
                <w:highlight w:val="none"/>
              </w:rPr>
            </w:pPr>
            <w:r>
              <w:rPr>
                <w:rFonts w:hint="eastAsia" w:ascii="宋体" w:hAnsi="宋体" w:eastAsia="宋体" w:cs="宋体"/>
                <w:sz w:val="24"/>
                <w:highlight w:val="none"/>
              </w:rPr>
              <w:t xml:space="preserve">最近2年内在经营过程中受到何种奖励或处分（包括稽查情况和结果）</w:t>
            </w:r>
            <w:r>
              <w:rPr>
                <w:rFonts w:hint="eastAsia" w:ascii="宋体" w:hAnsi="宋体" w:eastAsia="宋体" w:cs="宋体"/>
                <w:sz w:val="24"/>
                <w:highlight w:val="none"/>
              </w:rPr>
            </w:r>
            <w:r/>
          </w:p>
        </w:tc>
        <w:tc>
          <w:tcPr>
            <w:gridSpan w:val="4"/>
            <w:tcW w:w="6689" w:type="dxa"/>
            <w:vAlign w:val="top"/>
            <w:textDirection w:val="lrTb"/>
            <w:noWrap/>
          </w:tcPr>
          <w:p>
            <w:pPr>
              <w:pStyle w:val="706"/>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1897"/>
        </w:trPr>
        <w:tc>
          <w:tcPr>
            <w:tcW w:w="2288" w:type="dxa"/>
            <w:vAlign w:val="top"/>
            <w:textDirection w:val="lrTb"/>
            <w:noWrap/>
          </w:tcPr>
          <w:p>
            <w:pPr>
              <w:pStyle w:val="706"/>
              <w:rPr>
                <w:rFonts w:hint="eastAsia" w:ascii="宋体" w:hAnsi="宋体" w:eastAsia="宋体" w:cs="宋体"/>
                <w:sz w:val="24"/>
                <w:highlight w:val="none"/>
              </w:rPr>
            </w:pPr>
            <w:r>
              <w:rPr>
                <w:rFonts w:hint="eastAsia" w:ascii="宋体" w:hAnsi="宋体" w:eastAsia="宋体" w:cs="宋体"/>
                <w:sz w:val="24"/>
                <w:highlight w:val="none"/>
              </w:rPr>
              <w:t xml:space="preserve">最近3年内有无因售假、售劣或是其他原因被消费者投诉或起诉的情况及说明（包括解决方式和结果）</w:t>
            </w:r>
            <w:r>
              <w:rPr>
                <w:rFonts w:hint="eastAsia" w:ascii="宋体" w:hAnsi="宋体" w:eastAsia="宋体" w:cs="宋体"/>
                <w:sz w:val="24"/>
                <w:highlight w:val="none"/>
              </w:rPr>
            </w:r>
            <w:r/>
          </w:p>
        </w:tc>
        <w:tc>
          <w:tcPr>
            <w:gridSpan w:val="4"/>
            <w:tcW w:w="6689" w:type="dxa"/>
            <w:vAlign w:val="top"/>
            <w:textDirection w:val="lrTb"/>
            <w:noWrap/>
          </w:tcPr>
          <w:p>
            <w:pPr>
              <w:pStyle w:val="706"/>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1294"/>
        </w:trPr>
        <w:tc>
          <w:tcPr>
            <w:tcW w:w="2288" w:type="dxa"/>
            <w:vAlign w:val="top"/>
            <w:textDirection w:val="lrTb"/>
            <w:noWrap/>
          </w:tcPr>
          <w:p>
            <w:pPr>
              <w:pStyle w:val="706"/>
              <w:rPr>
                <w:rFonts w:hint="eastAsia" w:ascii="宋体" w:hAnsi="宋体" w:eastAsia="宋体" w:cs="宋体"/>
                <w:sz w:val="24"/>
                <w:highlight w:val="none"/>
              </w:rPr>
            </w:pPr>
            <w:r>
              <w:rPr>
                <w:rFonts w:hint="eastAsia" w:ascii="宋体" w:hAnsi="宋体" w:eastAsia="宋体" w:cs="宋体"/>
                <w:sz w:val="24"/>
                <w:highlight w:val="none"/>
              </w:rPr>
              <w:t xml:space="preserve">最近3年内主要负责人有无因经济犯罪被司法机关追究的情况及说明</w:t>
            </w:r>
            <w:r>
              <w:rPr>
                <w:rFonts w:hint="eastAsia" w:ascii="宋体" w:hAnsi="宋体" w:eastAsia="宋体" w:cs="宋体"/>
                <w:sz w:val="24"/>
                <w:highlight w:val="none"/>
              </w:rPr>
            </w:r>
            <w:r/>
          </w:p>
        </w:tc>
        <w:tc>
          <w:tcPr>
            <w:gridSpan w:val="4"/>
            <w:tcW w:w="6689" w:type="dxa"/>
            <w:vAlign w:val="top"/>
            <w:textDirection w:val="lrTb"/>
            <w:noWrap/>
          </w:tcPr>
          <w:p>
            <w:pPr>
              <w:pStyle w:val="706"/>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649"/>
        </w:trPr>
        <w:tc>
          <w:tcPr>
            <w:tcW w:w="2288" w:type="dxa"/>
            <w:vAlign w:val="top"/>
            <w:textDirection w:val="lrTb"/>
            <w:noWrap/>
          </w:tcPr>
          <w:p>
            <w:pPr>
              <w:pStyle w:val="706"/>
              <w:rPr>
                <w:rFonts w:hint="eastAsia" w:ascii="宋体" w:hAnsi="宋体" w:eastAsia="宋体" w:cs="宋体"/>
                <w:sz w:val="24"/>
                <w:highlight w:val="none"/>
              </w:rPr>
            </w:pPr>
            <w:r>
              <w:rPr>
                <w:rFonts w:hint="eastAsia" w:ascii="宋体" w:hAnsi="宋体" w:eastAsia="宋体" w:cs="宋体"/>
                <w:sz w:val="24"/>
                <w:highlight w:val="none"/>
              </w:rPr>
              <w:t xml:space="preserve">获得技术认证的工程师及简介</w:t>
            </w:r>
            <w:r>
              <w:rPr>
                <w:rFonts w:hint="eastAsia" w:ascii="宋体" w:hAnsi="宋体" w:eastAsia="宋体" w:cs="宋体"/>
                <w:sz w:val="24"/>
                <w:highlight w:val="none"/>
              </w:rPr>
            </w:r>
            <w:r/>
          </w:p>
        </w:tc>
        <w:tc>
          <w:tcPr>
            <w:gridSpan w:val="4"/>
            <w:tcW w:w="6689" w:type="dxa"/>
            <w:vAlign w:val="top"/>
            <w:textDirection w:val="lrTb"/>
            <w:noWrap/>
          </w:tcPr>
          <w:p>
            <w:pPr>
              <w:pStyle w:val="706"/>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679"/>
        </w:trPr>
        <w:tc>
          <w:tcPr>
            <w:tcW w:w="2288" w:type="dxa"/>
            <w:vAlign w:val="center"/>
            <w:textDirection w:val="lrTb"/>
            <w:noWrap/>
          </w:tcPr>
          <w:p>
            <w:pPr>
              <w:pStyle w:val="706"/>
              <w:jc w:val="left"/>
              <w:rPr>
                <w:rFonts w:hint="eastAsia" w:ascii="宋体" w:hAnsi="宋体" w:eastAsia="宋体" w:cs="宋体"/>
                <w:sz w:val="24"/>
                <w:highlight w:val="none"/>
              </w:rPr>
            </w:pPr>
            <w:r>
              <w:rPr>
                <w:rFonts w:hint="eastAsia" w:ascii="宋体" w:hAnsi="宋体" w:eastAsia="宋体" w:cs="宋体"/>
                <w:sz w:val="24"/>
                <w:highlight w:val="none"/>
              </w:rPr>
              <w:t xml:space="preserve">其他需要说明的情况</w:t>
            </w:r>
            <w:r>
              <w:rPr>
                <w:rFonts w:hint="eastAsia" w:ascii="宋体" w:hAnsi="宋体" w:eastAsia="宋体" w:cs="宋体"/>
                <w:sz w:val="24"/>
                <w:highlight w:val="none"/>
              </w:rPr>
            </w:r>
            <w:r/>
          </w:p>
        </w:tc>
        <w:tc>
          <w:tcPr>
            <w:gridSpan w:val="4"/>
            <w:tcW w:w="6689" w:type="dxa"/>
            <w:vAlign w:val="top"/>
            <w:textDirection w:val="lrTb"/>
            <w:noWrap/>
          </w:tcPr>
          <w:p>
            <w:pPr>
              <w:pStyle w:val="706"/>
              <w:rPr>
                <w:rFonts w:hint="eastAsia" w:ascii="宋体" w:hAnsi="宋体" w:eastAsia="宋体" w:cs="宋体"/>
                <w:sz w:val="24"/>
                <w:highlight w:val="none"/>
              </w:rPr>
            </w:pPr>
            <w:r>
              <w:rPr>
                <w:rFonts w:hint="eastAsia" w:ascii="宋体" w:hAnsi="宋体" w:eastAsia="宋体" w:cs="宋体"/>
                <w:sz w:val="24"/>
                <w:highlight w:val="none"/>
              </w:rPr>
            </w:r>
            <w:r/>
          </w:p>
        </w:tc>
      </w:tr>
    </w:tbl>
    <w:p>
      <w:pPr>
        <w:pStyle w:val="789"/>
        <w:spacing w:line="400" w:lineRule="exact"/>
        <w:rPr>
          <w:rFonts w:hint="eastAsia" w:cs="Times New Roman"/>
          <w:bCs/>
          <w:color w:val="000000"/>
          <w:highlight w:val="none"/>
        </w:rPr>
      </w:pPr>
      <w:r>
        <w:rPr>
          <w:rFonts w:hint="eastAsia" w:cs="Times New Roman"/>
          <w:bCs/>
          <w:color w:val="000000"/>
          <w:highlight w:val="none"/>
        </w:rPr>
        <w:t xml:space="preserve">（3）</w:t>
      </w:r>
      <w:r>
        <w:rPr>
          <w:rFonts w:hint="eastAsia" w:cs="Times New Roman"/>
          <w:bCs/>
          <w:color w:val="000000"/>
          <w:highlight w:val="none"/>
          <w:lang w:val="zh-CN"/>
        </w:rPr>
        <w:t xml:space="preserve">供应商与其他单位存在控股、管理关系情况表</w:t>
      </w:r>
      <w:r>
        <w:rPr>
          <w:rFonts w:hint="eastAsia" w:cs="Times New Roman"/>
          <w:bCs/>
          <w:color w:val="000000"/>
          <w:highlight w:val="none"/>
        </w:rPr>
      </w:r>
      <w:r/>
    </w:p>
    <w:tbl>
      <w:tblPr>
        <w:tblW w:w="0" w:type="auto"/>
        <w:tblInd w:w="5" w:type="dxa"/>
        <w:tblLayout w:type="fixed"/>
        <w:tblCellMar>
          <w:left w:w="108" w:type="dxa"/>
          <w:top w:w="0" w:type="dxa"/>
          <w:right w:w="108" w:type="dxa"/>
          <w:bottom w:w="0" w:type="dxa"/>
        </w:tblCellMar>
        <w:tblLook w:val="04A0" w:firstRow="1" w:lastRow="0" w:firstColumn="1" w:lastColumn="0" w:noHBand="0" w:noVBand="1"/>
      </w:tblPr>
      <w:tblGrid>
        <w:gridCol w:w="4038"/>
        <w:gridCol w:w="4481"/>
      </w:tblGrid>
      <w:tr>
        <w:trPr>
          <w:trHeight w:val="786"/>
        </w:trPr>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706"/>
              <w:jc w:val="center"/>
              <w:spacing w:line="30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供应商与其他单位存在控股、管理关系的单位名称</w:t>
            </w:r>
            <w:r>
              <w:rPr>
                <w:rFonts w:hint="eastAsia" w:ascii="宋体" w:hAnsi="宋体" w:eastAsia="宋体" w:cs="宋体"/>
                <w:bCs/>
                <w:sz w:val="24"/>
                <w:szCs w:val="24"/>
                <w:highlight w:val="none"/>
              </w:rPr>
            </w:r>
            <w:r/>
          </w:p>
        </w:tc>
        <w:tc>
          <w:tcPr>
            <w:tcBorders>
              <w:top w:val="single" w:color="000000" w:sz="4" w:space="0"/>
              <w:left w:val="none" w:color="000000" w:sz="4" w:space="0"/>
              <w:bottom w:val="single" w:color="000000" w:sz="4" w:space="0"/>
              <w:right w:val="single" w:color="000000" w:sz="4" w:space="0"/>
            </w:tcBorders>
            <w:tcW w:w="4481" w:type="dxa"/>
            <w:vAlign w:val="center"/>
            <w:textDirection w:val="lrTb"/>
            <w:noWrap/>
          </w:tcPr>
          <w:p>
            <w:pPr>
              <w:pStyle w:val="706"/>
              <w:jc w:val="center"/>
              <w:spacing w:line="30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控股、管理关系情况说明</w:t>
            </w:r>
            <w:r>
              <w:rPr>
                <w:rFonts w:hint="eastAsia" w:ascii="宋体" w:hAnsi="宋体" w:eastAsia="宋体" w:cs="宋体"/>
                <w:bCs/>
                <w:sz w:val="24"/>
                <w:szCs w:val="24"/>
                <w:highlight w:val="none"/>
              </w:rPr>
            </w:r>
            <w:r/>
          </w:p>
        </w:tc>
      </w:tr>
      <w:tr>
        <w:trPr>
          <w:trHeight w:val="871"/>
        </w:trPr>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706"/>
              <w:jc w:val="center"/>
              <w:spacing w:line="30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000000" w:sz="4" w:space="0"/>
              <w:left w:val="none" w:color="000000" w:sz="4" w:space="0"/>
              <w:bottom w:val="single" w:color="000000" w:sz="4" w:space="0"/>
              <w:right w:val="single" w:color="000000" w:sz="4" w:space="0"/>
            </w:tcBorders>
            <w:tcW w:w="4481" w:type="dxa"/>
            <w:vAlign w:val="center"/>
            <w:textDirection w:val="lrTb"/>
            <w:noWrap/>
          </w:tcPr>
          <w:p>
            <w:pPr>
              <w:pStyle w:val="706"/>
              <w:jc w:val="center"/>
              <w:spacing w:line="30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trHeight w:val="871"/>
        </w:trPr>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706"/>
              <w:jc w:val="center"/>
              <w:spacing w:line="30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000000" w:sz="4" w:space="0"/>
              <w:left w:val="none" w:color="000000" w:sz="4" w:space="0"/>
              <w:bottom w:val="single" w:color="000000" w:sz="4" w:space="0"/>
              <w:right w:val="single" w:color="000000" w:sz="4" w:space="0"/>
            </w:tcBorders>
            <w:tcW w:w="4481" w:type="dxa"/>
            <w:vAlign w:val="center"/>
            <w:textDirection w:val="lrTb"/>
            <w:noWrap/>
          </w:tcPr>
          <w:p>
            <w:pPr>
              <w:pStyle w:val="706"/>
              <w:jc w:val="center"/>
              <w:spacing w:line="30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trHeight w:val="871"/>
        </w:trPr>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706"/>
              <w:jc w:val="center"/>
              <w:spacing w:line="30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000000" w:sz="4" w:space="0"/>
              <w:left w:val="none" w:color="000000" w:sz="4" w:space="0"/>
              <w:bottom w:val="single" w:color="000000" w:sz="4" w:space="0"/>
              <w:right w:val="single" w:color="000000" w:sz="4" w:space="0"/>
            </w:tcBorders>
            <w:tcW w:w="4481" w:type="dxa"/>
            <w:vAlign w:val="center"/>
            <w:textDirection w:val="lrTb"/>
            <w:noWrap/>
          </w:tcPr>
          <w:p>
            <w:pPr>
              <w:pStyle w:val="706"/>
              <w:jc w:val="center"/>
              <w:spacing w:line="30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trHeight w:val="891"/>
        </w:trPr>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706"/>
              <w:jc w:val="center"/>
              <w:spacing w:line="30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000000" w:sz="4" w:space="0"/>
              <w:left w:val="none" w:color="000000" w:sz="4" w:space="0"/>
              <w:bottom w:val="single" w:color="000000" w:sz="4" w:space="0"/>
              <w:right w:val="single" w:color="000000" w:sz="4" w:space="0"/>
            </w:tcBorders>
            <w:tcW w:w="4481" w:type="dxa"/>
            <w:vAlign w:val="center"/>
            <w:textDirection w:val="lrTb"/>
            <w:noWrap/>
          </w:tcPr>
          <w:p>
            <w:pPr>
              <w:pStyle w:val="706"/>
              <w:jc w:val="center"/>
              <w:spacing w:line="30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bl>
    <w:p>
      <w:pPr>
        <w:pStyle w:val="789"/>
        <w:spacing w:line="435" w:lineRule="atLeast"/>
        <w:rPr>
          <w:rFonts w:hint="eastAsia"/>
          <w:b/>
          <w:bCs/>
          <w:highlight w:val="none"/>
        </w:rPr>
      </w:pPr>
      <w:r>
        <w:rPr>
          <w:rFonts w:hint="eastAsia"/>
          <w:b/>
          <w:bCs/>
          <w:highlight w:val="none"/>
        </w:rPr>
        <w:t xml:space="preserve">注：响应单位应当按实填写所有与之有控股、管理关系的情况。</w:t>
      </w:r>
      <w:r>
        <w:rPr>
          <w:rFonts w:hint="eastAsia"/>
          <w:b/>
          <w:bCs/>
          <w:highlight w:val="none"/>
        </w:rPr>
      </w:r>
      <w:r/>
    </w:p>
    <w:p>
      <w:pPr>
        <w:pStyle w:val="706"/>
        <w:rPr>
          <w:rFonts w:hint="eastAsia"/>
          <w:b/>
          <w:bCs/>
          <w:highlight w:val="none"/>
        </w:rPr>
      </w:pPr>
      <w:r>
        <w:rPr>
          <w:rFonts w:hint="eastAsia"/>
          <w:b/>
          <w:bCs/>
          <w:highlight w:val="none"/>
        </w:rPr>
      </w:r>
      <w:r/>
    </w:p>
    <w:p>
      <w:pPr>
        <w:pStyle w:val="744"/>
        <w:ind w:left="520"/>
        <w:rPr>
          <w:b/>
          <w:bCs/>
          <w:highlight w:val="none"/>
        </w:rPr>
      </w:pPr>
      <w:r>
        <w:rPr>
          <w:b/>
          <w:bCs/>
          <w:highlight w:val="none"/>
        </w:rPr>
      </w:r>
      <w:r/>
    </w:p>
    <w:p>
      <w:pPr>
        <w:pStyle w:val="746"/>
        <w:rPr>
          <w:b/>
          <w:bCs/>
          <w:highlight w:val="none"/>
        </w:rPr>
      </w:pPr>
      <w:r>
        <w:rPr>
          <w:b/>
          <w:bCs/>
          <w:highlight w:val="none"/>
        </w:rPr>
      </w:r>
      <w:r/>
    </w:p>
    <w:p>
      <w:pPr>
        <w:pStyle w:val="706"/>
        <w:rPr>
          <w:b/>
          <w:bCs/>
          <w:highlight w:val="none"/>
        </w:rPr>
      </w:pPr>
      <w:r>
        <w:rPr>
          <w:b/>
          <w:bCs/>
          <w:highlight w:val="none"/>
        </w:rPr>
      </w:r>
      <w:r/>
    </w:p>
    <w:p>
      <w:pPr>
        <w:pStyle w:val="744"/>
        <w:ind w:left="520"/>
        <w:rPr>
          <w:b/>
          <w:bCs/>
          <w:highlight w:val="none"/>
        </w:rPr>
      </w:pPr>
      <w:r>
        <w:rPr>
          <w:b/>
          <w:bCs/>
          <w:highlight w:val="none"/>
        </w:rPr>
      </w:r>
      <w:r/>
    </w:p>
    <w:p>
      <w:pPr>
        <w:pStyle w:val="706"/>
        <w:ind w:right="1560" w:firstLine="480"/>
        <w:jc w:val="right"/>
        <w:spacing w:line="360" w:lineRule="auto"/>
        <w:tabs>
          <w:tab w:val="left" w:pos="4860" w:leader="none"/>
        </w:tabs>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供应商（单位盖章）：</w:t>
      </w:r>
      <w:r>
        <w:rPr>
          <w:rFonts w:hint="eastAsia" w:ascii="宋体" w:hAnsi="宋体" w:eastAsia="宋体"/>
          <w:color w:val="000000"/>
          <w:sz w:val="24"/>
          <w:szCs w:val="24"/>
          <w:highlight w:val="none"/>
        </w:rPr>
      </w:r>
      <w:r/>
    </w:p>
    <w:p>
      <w:pPr>
        <w:pStyle w:val="706"/>
        <w:ind w:right="1560" w:firstLine="480"/>
        <w:jc w:val="right"/>
        <w:spacing w:line="360" w:lineRule="auto"/>
        <w:tabs>
          <w:tab w:val="left" w:pos="4860" w:leader="none"/>
        </w:tabs>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日期：   年   月   日</w:t>
      </w:r>
      <w:r>
        <w:rPr>
          <w:rFonts w:hint="eastAsia" w:ascii="宋体" w:hAnsi="宋体" w:eastAsia="宋体"/>
          <w:color w:val="000000"/>
          <w:sz w:val="24"/>
          <w:szCs w:val="24"/>
          <w:highlight w:val="none"/>
        </w:rPr>
      </w:r>
      <w:r/>
    </w:p>
    <w:p>
      <w:pPr>
        <w:pStyle w:val="746"/>
        <w:rPr>
          <w:b/>
          <w:bCs/>
          <w:highlight w:val="none"/>
        </w:rPr>
      </w:pPr>
      <w:r>
        <w:rPr>
          <w:b/>
          <w:bCs/>
          <w:highlight w:val="none"/>
        </w:rPr>
      </w:r>
      <w:r/>
    </w:p>
    <w:p>
      <w:pPr>
        <w:pStyle w:val="706"/>
        <w:rPr>
          <w:b/>
          <w:bCs/>
          <w:highlight w:val="none"/>
        </w:rPr>
      </w:pPr>
      <w:r>
        <w:rPr>
          <w:b/>
          <w:bCs/>
          <w:highlight w:val="none"/>
        </w:rPr>
      </w:r>
      <w:r/>
    </w:p>
    <w:p>
      <w:pPr>
        <w:pStyle w:val="744"/>
        <w:ind w:left="520"/>
        <w:rPr>
          <w:b/>
          <w:bCs/>
          <w:highlight w:val="none"/>
        </w:rPr>
      </w:pPr>
      <w:r>
        <w:rPr>
          <w:b/>
          <w:bCs/>
          <w:highlight w:val="none"/>
        </w:rPr>
      </w:r>
      <w:r/>
    </w:p>
    <w:p>
      <w:pPr>
        <w:pStyle w:val="746"/>
        <w:rPr>
          <w:b/>
          <w:bCs/>
          <w:highlight w:val="none"/>
        </w:rPr>
      </w:pPr>
      <w:r>
        <w:rPr>
          <w:b/>
          <w:bCs/>
          <w:highlight w:val="none"/>
        </w:rPr>
      </w:r>
      <w:r/>
    </w:p>
    <w:p>
      <w:pPr>
        <w:pStyle w:val="706"/>
        <w:rPr>
          <w:b/>
          <w:bCs/>
          <w:highlight w:val="none"/>
        </w:rPr>
      </w:pPr>
      <w:r>
        <w:rPr>
          <w:b/>
          <w:bCs/>
          <w:highlight w:val="none"/>
        </w:rPr>
      </w:r>
      <w:r/>
    </w:p>
    <w:p>
      <w:pPr>
        <w:pStyle w:val="744"/>
        <w:ind w:left="520"/>
        <w:rPr>
          <w:b/>
          <w:bCs/>
          <w:highlight w:val="none"/>
        </w:rPr>
      </w:pPr>
      <w:r>
        <w:rPr>
          <w:b/>
          <w:bCs/>
          <w:highlight w:val="none"/>
        </w:rPr>
      </w:r>
      <w:r/>
    </w:p>
    <w:p>
      <w:pPr>
        <w:pStyle w:val="746"/>
        <w:rPr>
          <w:b/>
          <w:bCs/>
          <w:highlight w:val="none"/>
        </w:rPr>
      </w:pPr>
      <w:r>
        <w:rPr>
          <w:b/>
          <w:bCs/>
          <w:highlight w:val="none"/>
        </w:rPr>
      </w:r>
      <w:r/>
    </w:p>
    <w:p>
      <w:pPr>
        <w:pStyle w:val="706"/>
        <w:rPr>
          <w:b/>
          <w:bCs/>
          <w:highlight w:val="none"/>
        </w:rPr>
      </w:pPr>
      <w:r>
        <w:rPr>
          <w:b/>
          <w:bCs/>
          <w:highlight w:val="none"/>
        </w:rPr>
      </w:r>
      <w:r/>
    </w:p>
    <w:p>
      <w:pPr>
        <w:pStyle w:val="744"/>
        <w:ind w:left="520"/>
        <w:rPr>
          <w:b/>
          <w:bCs/>
          <w:highlight w:val="none"/>
        </w:rPr>
      </w:pPr>
      <w:r>
        <w:rPr>
          <w:b/>
          <w:bCs/>
          <w:highlight w:val="none"/>
        </w:rPr>
      </w:r>
      <w:r/>
    </w:p>
    <w:p>
      <w:pPr>
        <w:pStyle w:val="746"/>
        <w:rPr>
          <w:b/>
          <w:bCs/>
          <w:highlight w:val="none"/>
        </w:rPr>
      </w:pPr>
      <w:r>
        <w:rPr>
          <w:b/>
          <w:bCs/>
          <w:highlight w:val="none"/>
        </w:rPr>
      </w:r>
      <w:r/>
    </w:p>
    <w:p>
      <w:pPr>
        <w:pStyle w:val="706"/>
        <w:rPr>
          <w:b/>
          <w:bCs/>
          <w:highlight w:val="none"/>
        </w:rPr>
      </w:pPr>
      <w:r>
        <w:rPr>
          <w:b/>
          <w:bCs/>
          <w:highlight w:val="none"/>
        </w:rPr>
      </w:r>
      <w:r/>
    </w:p>
    <w:p>
      <w:pPr>
        <w:pStyle w:val="744"/>
        <w:ind w:left="520"/>
        <w:rPr>
          <w:b/>
          <w:bCs/>
          <w:highlight w:val="none"/>
        </w:rPr>
      </w:pPr>
      <w:r>
        <w:rPr>
          <w:b/>
          <w:bCs/>
          <w:highlight w:val="none"/>
        </w:rPr>
      </w:r>
      <w:r/>
    </w:p>
    <w:p>
      <w:pPr>
        <w:pStyle w:val="746"/>
        <w:rPr>
          <w:b/>
          <w:bCs/>
          <w:highlight w:val="none"/>
        </w:rPr>
      </w:pPr>
      <w:r>
        <w:rPr>
          <w:b/>
          <w:bCs/>
          <w:highlight w:val="none"/>
        </w:rPr>
      </w:r>
      <w:r/>
    </w:p>
    <w:p>
      <w:pPr>
        <w:pStyle w:val="707"/>
        <w:numPr>
          <w:ilvl w:val="0"/>
          <w:numId w:val="6"/>
        </w:numPr>
        <w:spacing w:before="120" w:after="0" w:line="360" w:lineRule="auto"/>
        <w:rPr>
          <w:rFonts w:ascii="宋体" w:hAnsi="宋体" w:eastAsia="宋体"/>
          <w:b w:val="0"/>
          <w:bCs/>
          <w:color w:val="000000"/>
          <w:sz w:val="24"/>
          <w:szCs w:val="24"/>
          <w:highlight w:val="none"/>
        </w:rPr>
      </w:pPr>
      <w:r/>
      <w:bookmarkStart w:id="72" w:name="_Toc4716"/>
      <w:r>
        <w:rPr>
          <w:rFonts w:hint="eastAsia" w:ascii="宋体" w:hAnsi="宋体" w:eastAsia="宋体"/>
          <w:b w:val="0"/>
          <w:bCs/>
          <w:color w:val="000000"/>
          <w:sz w:val="24"/>
          <w:szCs w:val="24"/>
          <w:highlight w:val="none"/>
        </w:rPr>
        <w:t xml:space="preserve">项目经理无在建工程声明函</w:t>
      </w:r>
      <w:bookmarkEnd w:id="72"/>
      <w:r>
        <w:rPr>
          <w:rFonts w:ascii="宋体" w:hAnsi="宋体" w:eastAsia="宋体"/>
          <w:b w:val="0"/>
          <w:bCs/>
          <w:color w:val="000000"/>
          <w:sz w:val="24"/>
          <w:szCs w:val="24"/>
          <w:highlight w:val="none"/>
        </w:rPr>
      </w:r>
      <w:r/>
    </w:p>
    <w:p>
      <w:pPr>
        <w:pStyle w:val="706"/>
        <w:rPr>
          <w:rFonts w:hint="eastAsia"/>
          <w:highlight w:val="none"/>
        </w:rPr>
      </w:pPr>
      <w:r>
        <w:rPr>
          <w:rFonts w:hint="eastAsia"/>
          <w:highlight w:val="none"/>
        </w:rPr>
      </w:r>
      <w:r/>
    </w:p>
    <w:p>
      <w:pPr>
        <w:pStyle w:val="706"/>
        <w:jc w:val="center"/>
        <w:rPr>
          <w:highlight w:val="none"/>
        </w:rPr>
      </w:pPr>
      <w:r>
        <w:rPr>
          <w:rFonts w:hint="eastAsia" w:ascii="宋体" w:hAnsi="宋体" w:eastAsia="宋体"/>
          <w:bCs/>
          <w:color w:val="000000"/>
          <w:sz w:val="24"/>
          <w:szCs w:val="24"/>
          <w:highlight w:val="none"/>
        </w:rPr>
        <w:t xml:space="preserve">项目经理无在建工程声明函</w:t>
      </w:r>
      <w:r>
        <w:rPr>
          <w:highlight w:val="none"/>
        </w:rPr>
      </w:r>
      <w:r/>
    </w:p>
    <w:p>
      <w:pPr>
        <w:pStyle w:val="730"/>
        <w:ind w:firstLine="0"/>
        <w:jc w:val="both"/>
        <w:spacing w:line="360" w:lineRule="auto"/>
        <w:rPr>
          <w:rFonts w:ascii="宋体" w:hAnsi="宋体" w:eastAsia="宋体"/>
          <w:color w:val="000000"/>
          <w:szCs w:val="24"/>
          <w:highlight w:val="none"/>
        </w:rPr>
      </w:pPr>
      <w:r>
        <w:rPr>
          <w:rFonts w:hint="eastAsia" w:ascii="宋体" w:hAnsi="宋体" w:eastAsia="宋体" w:cs="宋体"/>
          <w:color w:val="000000"/>
          <w:highlight w:val="none"/>
        </w:rPr>
        <w:t xml:space="preserve">江苏京苏项目管理咨询有限公司</w:t>
      </w:r>
      <w:r>
        <w:rPr>
          <w:rFonts w:hint="eastAsia" w:ascii="宋体" w:hAnsi="宋体" w:eastAsia="宋体"/>
          <w:color w:val="000000"/>
          <w:szCs w:val="24"/>
          <w:highlight w:val="none"/>
        </w:rPr>
        <w:t xml:space="preserve">：</w:t>
      </w:r>
      <w:r>
        <w:rPr>
          <w:rFonts w:ascii="宋体" w:hAnsi="宋体" w:eastAsia="宋体"/>
          <w:color w:val="000000"/>
          <w:szCs w:val="24"/>
          <w:highlight w:val="none"/>
        </w:rPr>
      </w:r>
      <w:r/>
    </w:p>
    <w:p>
      <w:pPr>
        <w:pStyle w:val="730"/>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本公司愿就由贵公司组织实施的编号为</w:t>
      </w:r>
      <w:r>
        <w:rPr>
          <w:rFonts w:hint="eastAsia" w:ascii="宋体" w:hAnsi="宋体" w:eastAsia="宋体"/>
          <w:color w:val="000000"/>
          <w:szCs w:val="24"/>
          <w:highlight w:val="none"/>
          <w:u w:val="single"/>
        </w:rPr>
        <w:t xml:space="preserve">     </w:t>
      </w:r>
      <w:r>
        <w:rPr>
          <w:rFonts w:hint="eastAsia" w:ascii="宋体" w:hAnsi="宋体" w:eastAsia="宋体"/>
          <w:color w:val="000000"/>
          <w:szCs w:val="24"/>
          <w:highlight w:val="none"/>
        </w:rPr>
        <w:t xml:space="preserve">号的磋商采购活动进行响应。本公司拟派的项目经理</w:t>
      </w:r>
      <w:r>
        <w:rPr>
          <w:rFonts w:hint="eastAsia" w:ascii="宋体" w:hAnsi="宋体" w:eastAsia="宋体"/>
          <w:color w:val="000000"/>
          <w:szCs w:val="24"/>
          <w:highlight w:val="none"/>
          <w:u w:val="single"/>
        </w:rPr>
        <w:t xml:space="preserve">（姓名）      ，资质等级          ，证书号       </w:t>
      </w:r>
      <w:r>
        <w:rPr>
          <w:rFonts w:hint="eastAsia" w:ascii="宋体" w:hAnsi="宋体" w:eastAsia="宋体"/>
          <w:color w:val="000000"/>
          <w:szCs w:val="24"/>
          <w:highlight w:val="none"/>
        </w:rPr>
        <w:t xml:space="preserve">，无在建工程，</w:t>
      </w:r>
      <w:r>
        <w:rPr>
          <w:rFonts w:hint="eastAsia" w:ascii="宋体" w:hAnsi="宋体" w:eastAsia="宋体"/>
          <w:color w:val="000000"/>
          <w:szCs w:val="24"/>
          <w:highlight w:val="none"/>
        </w:rPr>
      </w:r>
      <w:r/>
    </w:p>
    <w:p>
      <w:pPr>
        <w:pStyle w:val="906"/>
        <w:ind w:firstLine="0"/>
        <w:spacing w:line="360" w:lineRule="auto"/>
        <w:tabs>
          <w:tab w:val="left" w:pos="808" w:leader="none"/>
        </w:tabs>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满足以下情形：项目经理非变更后无在建工程，或项目经理变更后无在建工程(必须原合同工期已满且变更备案之日已满6个月)，或因非承包方原因致使工程项目停工或因故不能按期开工、且已办理了项目经理解锁手续，或项目经理有在建工程，但该在建工程与本次招标的程属于同一工程项目、同一项目批文、同一施工地点分段发包或分期施工的情况且总的工程规模在项目经理执业范围之内。</w:t>
      </w:r>
      <w:r>
        <w:rPr>
          <w:rFonts w:hint="eastAsia" w:ascii="宋体" w:hAnsi="宋体" w:eastAsia="宋体" w:cs="宋体"/>
          <w:color w:val="000000"/>
          <w:sz w:val="24"/>
          <w:szCs w:val="24"/>
          <w:highlight w:val="none"/>
          <w:shd w:val="clear" w:color="auto" w:fill="ffffff"/>
        </w:rPr>
      </w:r>
      <w:r/>
    </w:p>
    <w:p>
      <w:pPr>
        <w:pStyle w:val="730"/>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若与真实情况不符，本公司愿意承担由此而产生的一切后果。</w:t>
      </w:r>
      <w:r>
        <w:rPr>
          <w:rFonts w:hint="eastAsia" w:ascii="宋体" w:hAnsi="宋体" w:eastAsia="宋体"/>
          <w:color w:val="000000"/>
          <w:szCs w:val="24"/>
          <w:highlight w:val="none"/>
        </w:rPr>
      </w:r>
      <w:r/>
    </w:p>
    <w:p>
      <w:pPr>
        <w:pStyle w:val="730"/>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r>
      <w:r/>
    </w:p>
    <w:p>
      <w:pPr>
        <w:pStyle w:val="730"/>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r>
      <w:r/>
    </w:p>
    <w:p>
      <w:pPr>
        <w:pStyle w:val="706"/>
        <w:ind w:right="1560" w:firstLine="480"/>
        <w:jc w:val="right"/>
        <w:spacing w:line="360" w:lineRule="auto"/>
        <w:tabs>
          <w:tab w:val="left" w:pos="4860" w:leader="none"/>
        </w:tabs>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供应商（单位盖章）：</w:t>
      </w:r>
      <w:r>
        <w:rPr>
          <w:rFonts w:hint="eastAsia" w:ascii="宋体" w:hAnsi="宋体" w:eastAsia="宋体"/>
          <w:color w:val="000000"/>
          <w:sz w:val="24"/>
          <w:szCs w:val="24"/>
          <w:highlight w:val="none"/>
        </w:rPr>
      </w:r>
      <w:r/>
    </w:p>
    <w:p>
      <w:pPr>
        <w:pStyle w:val="706"/>
        <w:ind w:right="1560" w:firstLine="480"/>
        <w:jc w:val="right"/>
        <w:spacing w:line="360" w:lineRule="auto"/>
        <w:tabs>
          <w:tab w:val="left" w:pos="4860" w:leader="none"/>
        </w:tabs>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法定代表人或代理人（签字或盖章）：</w:t>
      </w:r>
      <w:r>
        <w:rPr>
          <w:rFonts w:hint="eastAsia" w:ascii="宋体" w:hAnsi="宋体" w:eastAsia="宋体"/>
          <w:color w:val="000000"/>
          <w:sz w:val="24"/>
          <w:szCs w:val="24"/>
          <w:highlight w:val="none"/>
        </w:rPr>
      </w:r>
      <w:r/>
    </w:p>
    <w:p>
      <w:pPr>
        <w:pStyle w:val="706"/>
        <w:ind w:right="1560" w:firstLine="480"/>
        <w:jc w:val="right"/>
        <w:spacing w:line="360" w:lineRule="auto"/>
        <w:tabs>
          <w:tab w:val="left" w:pos="4860" w:leader="none"/>
        </w:tabs>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日期：   年   月   日</w:t>
      </w:r>
      <w:r>
        <w:rPr>
          <w:rFonts w:hint="eastAsia" w:ascii="宋体" w:hAnsi="宋体" w:eastAsia="宋体"/>
          <w:color w:val="000000"/>
          <w:sz w:val="24"/>
          <w:szCs w:val="24"/>
          <w:highlight w:val="none"/>
        </w:rPr>
      </w:r>
      <w:r/>
    </w:p>
    <w:p>
      <w:pPr>
        <w:pStyle w:val="730"/>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r>
      <w:r/>
    </w:p>
    <w:p>
      <w:pPr>
        <w:pStyle w:val="907"/>
        <w:rPr>
          <w:rFonts w:hint="eastAsia"/>
          <w:highlight w:val="none"/>
        </w:rPr>
      </w:pPr>
      <w:r>
        <w:rPr>
          <w:rFonts w:hint="eastAsia"/>
          <w:highlight w:val="none"/>
        </w:rPr>
      </w:r>
      <w:r/>
    </w:p>
    <w:p>
      <w:pPr>
        <w:pStyle w:val="730"/>
        <w:ind w:firstLine="480"/>
        <w:jc w:val="both"/>
        <w:spacing w:line="360" w:lineRule="auto"/>
        <w:rPr>
          <w:rFonts w:ascii="宋体" w:hAnsi="宋体" w:eastAsia="宋体"/>
          <w:color w:val="000000"/>
          <w:szCs w:val="24"/>
          <w:highlight w:val="none"/>
        </w:rPr>
      </w:pPr>
      <w:r>
        <w:rPr>
          <w:rFonts w:ascii="宋体" w:hAnsi="宋体" w:eastAsia="宋体"/>
          <w:color w:val="000000"/>
          <w:szCs w:val="24"/>
          <w:highlight w:val="none"/>
        </w:rPr>
      </w:r>
      <w:r/>
    </w:p>
    <w:p>
      <w:pPr>
        <w:pStyle w:val="708"/>
        <w:jc w:val="center"/>
        <w:spacing w:after="120" w:line="360" w:lineRule="auto"/>
        <w:rPr>
          <w:rFonts w:ascii="黑体" w:hAnsi="黑体" w:eastAsia="黑体"/>
          <w:b w:val="0"/>
          <w:sz w:val="44"/>
          <w:szCs w:val="44"/>
          <w:highlight w:val="none"/>
        </w:rPr>
      </w:pPr>
      <w:r>
        <w:rPr>
          <w:rFonts w:hint="eastAsia" w:eastAsia="宋体"/>
          <w:b w:val="0"/>
          <w:bCs/>
          <w:color w:val="000000"/>
          <w:sz w:val="24"/>
          <w:szCs w:val="24"/>
          <w:highlight w:val="none"/>
        </w:rPr>
        <w:br w:type="page" w:clear="all"/>
      </w:r>
      <w:bookmarkStart w:id="73" w:name="_Toc2427"/>
      <w:r>
        <w:rPr>
          <w:rFonts w:hint="eastAsia" w:ascii="黑体" w:hAnsi="黑体" w:eastAsia="黑体"/>
          <w:b w:val="0"/>
          <w:sz w:val="44"/>
          <w:szCs w:val="44"/>
          <w:highlight w:val="none"/>
        </w:rPr>
        <w:t xml:space="preserve">第三章 </w:t>
      </w:r>
      <w:bookmarkEnd w:id="47"/>
      <w:r>
        <w:rPr>
          <w:rFonts w:hint="eastAsia" w:ascii="黑体" w:hAnsi="黑体" w:eastAsia="黑体"/>
          <w:b w:val="0"/>
          <w:sz w:val="44"/>
          <w:szCs w:val="44"/>
          <w:highlight w:val="none"/>
        </w:rPr>
        <w:t xml:space="preserve">采购内容</w:t>
      </w:r>
      <w:bookmarkEnd w:id="48"/>
      <w:r/>
      <w:bookmarkEnd w:id="49"/>
      <w:r/>
      <w:bookmarkEnd w:id="73"/>
      <w:r>
        <w:rPr>
          <w:rFonts w:ascii="黑体" w:hAnsi="黑体" w:eastAsia="黑体"/>
          <w:b w:val="0"/>
          <w:sz w:val="44"/>
          <w:szCs w:val="44"/>
          <w:highlight w:val="none"/>
        </w:rPr>
      </w:r>
      <w:r/>
    </w:p>
    <w:p>
      <w:pPr>
        <w:pStyle w:val="730"/>
        <w:ind w:firstLine="480"/>
        <w:jc w:val="both"/>
        <w:spacing w:line="360" w:lineRule="auto"/>
        <w:rPr>
          <w:rFonts w:ascii="宋体" w:hAnsi="宋体" w:eastAsia="宋体"/>
          <w:szCs w:val="24"/>
          <w:highlight w:val="none"/>
        </w:rPr>
      </w:pPr>
      <w:r>
        <w:rPr>
          <w:rFonts w:hint="eastAsia" w:ascii="宋体" w:hAnsi="宋体" w:eastAsia="宋体" w:cs="宋体"/>
          <w:highlight w:val="none"/>
        </w:rPr>
        <w:t xml:space="preserve">江苏京苏项目管理咨询有限公司</w:t>
      </w:r>
      <w:r>
        <w:rPr>
          <w:rFonts w:hAnsi="宋体" w:eastAsia="宋体"/>
          <w:highlight w:val="none"/>
        </w:rPr>
        <w:t xml:space="preserve">受</w:t>
      </w:r>
      <w:r>
        <w:rPr>
          <w:rFonts w:hint="eastAsia" w:hAnsi="宋体" w:eastAsia="宋体"/>
          <w:highlight w:val="none"/>
          <w:lang w:eastAsia="zh-CN"/>
        </w:rPr>
        <w:t xml:space="preserve">苏州相城经济技术开发区管理委员会</w:t>
      </w:r>
      <w:r>
        <w:rPr>
          <w:rFonts w:hAnsi="宋体" w:eastAsia="宋体"/>
          <w:highlight w:val="none"/>
        </w:rPr>
        <w:t xml:space="preserve">的委托，就其所需</w:t>
      </w:r>
      <w:r>
        <w:rPr>
          <w:rFonts w:hint="eastAsia" w:hAnsi="宋体" w:eastAsia="宋体"/>
          <w:highlight w:val="none"/>
          <w:lang w:eastAsia="zh-CN"/>
        </w:rPr>
        <w:t xml:space="preserve">2026年市政养护及零星工程（北桥）</w:t>
      </w:r>
      <w:r>
        <w:rPr>
          <w:rFonts w:hint="eastAsia" w:hAnsi="宋体" w:eastAsia="宋体"/>
          <w:highlight w:val="none"/>
        </w:rPr>
        <w:t xml:space="preserve">项目</w:t>
      </w:r>
      <w:r>
        <w:rPr>
          <w:rFonts w:hAnsi="宋体" w:eastAsia="宋体"/>
          <w:highlight w:val="none"/>
        </w:rPr>
        <w:t xml:space="preserve">采用竞争性磋商方式进行采购，欢迎有资格的供应商前来参</w:t>
      </w:r>
      <w:r>
        <w:rPr>
          <w:rFonts w:ascii="宋体" w:hAnsi="宋体" w:eastAsia="宋体"/>
          <w:szCs w:val="24"/>
          <w:highlight w:val="none"/>
        </w:rPr>
        <w:t xml:space="preserve">加本次磋商采购活动。</w:t>
      </w:r>
      <w:r>
        <w:rPr>
          <w:rFonts w:ascii="宋体" w:hAnsi="宋体" w:eastAsia="宋体"/>
          <w:szCs w:val="24"/>
          <w:highlight w:val="none"/>
        </w:rPr>
      </w:r>
      <w:r/>
    </w:p>
    <w:p>
      <w:pPr>
        <w:pStyle w:val="730"/>
        <w:ind w:firstLine="482"/>
        <w:jc w:val="both"/>
        <w:spacing w:line="360" w:lineRule="auto"/>
        <w:rPr>
          <w:rFonts w:ascii="宋体" w:hAnsi="宋体" w:eastAsia="宋体"/>
          <w:b/>
          <w:szCs w:val="24"/>
          <w:highlight w:val="none"/>
        </w:rPr>
      </w:pPr>
      <w:r>
        <w:rPr>
          <w:rFonts w:ascii="宋体" w:hAnsi="宋体" w:eastAsia="宋体"/>
          <w:b/>
          <w:szCs w:val="24"/>
          <w:highlight w:val="none"/>
        </w:rPr>
        <w:t xml:space="preserve">一、采购编号：</w:t>
      </w:r>
      <w:r>
        <w:rPr>
          <w:rFonts w:hint="eastAsia" w:ascii="宋体" w:hAnsi="宋体" w:eastAsia="宋体"/>
          <w:b/>
          <w:szCs w:val="24"/>
          <w:highlight w:val="none"/>
          <w:lang w:eastAsia="zh-CN"/>
        </w:rPr>
        <w:t xml:space="preserve">JSZC-320507-PMJS-C2026-0011</w:t>
      </w:r>
      <w:r>
        <w:rPr>
          <w:rFonts w:ascii="宋体" w:hAnsi="宋体" w:eastAsia="宋体"/>
          <w:b/>
          <w:szCs w:val="24"/>
          <w:highlight w:val="none"/>
        </w:rPr>
        <w:t xml:space="preserve">号</w:t>
      </w:r>
      <w:r>
        <w:rPr>
          <w:rFonts w:ascii="宋体" w:hAnsi="宋体" w:eastAsia="宋体"/>
          <w:b/>
          <w:szCs w:val="24"/>
          <w:highlight w:val="none"/>
        </w:rPr>
      </w:r>
      <w:r/>
    </w:p>
    <w:p>
      <w:pPr>
        <w:pStyle w:val="768"/>
        <w:ind w:firstLine="482"/>
        <w:jc w:val="both"/>
        <w:spacing w:line="360" w:lineRule="auto"/>
        <w:rPr>
          <w:rFonts w:ascii="宋体" w:hAnsi="宋体" w:eastAsia="宋体"/>
          <w:b/>
          <w:szCs w:val="24"/>
          <w:highlight w:val="none"/>
        </w:rPr>
      </w:pPr>
      <w:r/>
      <w:bookmarkStart w:id="74" w:name="_Toc13642116"/>
      <w:r>
        <w:rPr>
          <w:rFonts w:ascii="宋体" w:hAnsi="宋体" w:eastAsia="宋体"/>
          <w:b/>
          <w:szCs w:val="24"/>
          <w:highlight w:val="none"/>
        </w:rPr>
        <w:t xml:space="preserve">二、采购项目：</w:t>
      </w:r>
      <w:r>
        <w:rPr>
          <w:rFonts w:hint="eastAsia" w:ascii="宋体" w:hAnsi="宋体" w:eastAsia="宋体"/>
          <w:b/>
          <w:szCs w:val="24"/>
          <w:highlight w:val="none"/>
          <w:lang w:eastAsia="zh-CN"/>
        </w:rPr>
        <w:t xml:space="preserve">2026年市政养护及零星工程（北桥）</w:t>
      </w:r>
      <w:r>
        <w:rPr>
          <w:rFonts w:ascii="宋体" w:hAnsi="宋体" w:eastAsia="宋体"/>
          <w:b/>
          <w:szCs w:val="24"/>
          <w:highlight w:val="none"/>
        </w:rPr>
      </w:r>
      <w:r/>
    </w:p>
    <w:p>
      <w:pPr>
        <w:pStyle w:val="789"/>
        <w:ind w:firstLine="482"/>
        <w:spacing w:before="0" w:beforeAutospacing="0" w:after="0" w:afterAutospacing="0" w:line="360" w:lineRule="auto"/>
        <w:rPr>
          <w:b/>
          <w:szCs w:val="20"/>
          <w:highlight w:val="none"/>
        </w:rPr>
      </w:pPr>
      <w:r>
        <w:rPr>
          <w:rFonts w:hint="eastAsia"/>
          <w:b/>
          <w:szCs w:val="20"/>
          <w:highlight w:val="none"/>
        </w:rPr>
        <w:t xml:space="preserve">三、采购需求：</w:t>
      </w:r>
      <w:r>
        <w:rPr>
          <w:b/>
          <w:szCs w:val="20"/>
          <w:highlight w:val="none"/>
        </w:rPr>
      </w:r>
      <w:r/>
    </w:p>
    <w:p>
      <w:pPr>
        <w:pStyle w:val="789"/>
        <w:ind w:firstLine="480"/>
        <w:spacing w:before="0" w:beforeAutospacing="0" w:after="0" w:afterAutospacing="0" w:line="360" w:lineRule="auto"/>
        <w:rPr>
          <w:szCs w:val="20"/>
          <w:highlight w:val="none"/>
        </w:rPr>
      </w:pPr>
      <w:r>
        <w:rPr>
          <w:rFonts w:hint="eastAsia"/>
          <w:szCs w:val="20"/>
          <w:highlight w:val="none"/>
        </w:rPr>
        <w:t xml:space="preserve">1、工程概况：</w:t>
      </w:r>
      <w:r>
        <w:rPr>
          <w:szCs w:val="20"/>
          <w:highlight w:val="none"/>
        </w:rPr>
      </w:r>
      <w:r/>
    </w:p>
    <w:p>
      <w:pPr>
        <w:pStyle w:val="789"/>
        <w:ind w:firstLine="480"/>
        <w:spacing w:before="0" w:beforeAutospacing="0" w:after="0" w:afterAutospacing="0" w:line="360" w:lineRule="auto"/>
        <w:rPr>
          <w:rFonts w:hint="eastAsia"/>
          <w:szCs w:val="20"/>
          <w:highlight w:val="none"/>
        </w:rPr>
      </w:pPr>
      <w:r>
        <w:rPr>
          <w:rFonts w:hint="eastAsia"/>
          <w:highlight w:val="none"/>
        </w:rPr>
        <w:t xml:space="preserve">施工范围及内容：</w:t>
      </w:r>
      <w:r>
        <w:rPr>
          <w:rFonts w:hint="eastAsia" w:cs="Arial"/>
          <w:highlight w:val="none"/>
        </w:rPr>
        <w:t xml:space="preserve">施工范围为</w:t>
      </w:r>
      <w:r>
        <w:rPr>
          <w:rFonts w:hint="eastAsia" w:cs="Arial"/>
          <w:highlight w:val="none"/>
          <w:lang w:eastAsia="zh-CN"/>
        </w:rPr>
        <w:t xml:space="preserve">街道范围</w:t>
      </w:r>
      <w:r>
        <w:rPr>
          <w:rFonts w:hint="eastAsia" w:cs="Arial"/>
          <w:highlight w:val="none"/>
        </w:rPr>
        <w:t xml:space="preserve">，主要工作内容包括</w:t>
      </w:r>
      <w:r>
        <w:rPr>
          <w:rFonts w:hint="eastAsia" w:cs="Arial"/>
          <w:highlight w:val="none"/>
          <w:lang w:eastAsia="zh-CN"/>
        </w:rPr>
        <w:t xml:space="preserve">道路维修</w:t>
      </w:r>
      <w:r>
        <w:rPr>
          <w:rFonts w:hint="eastAsia" w:cs="Arial"/>
          <w:highlight w:val="none"/>
        </w:rPr>
        <w:t xml:space="preserve">、人行道板维修、桥栏杆更换、窨井盖更换、停车场改造、雨污水管网设施改建、停车位划线等内容，工程内容详见工程量清单、工程量编制说明</w:t>
      </w:r>
      <w:r>
        <w:rPr>
          <w:rFonts w:hint="eastAsia"/>
          <w:highlight w:val="none"/>
        </w:rPr>
        <w:t xml:space="preserve">。</w:t>
      </w:r>
      <w:r>
        <w:rPr>
          <w:rFonts w:hint="eastAsia"/>
          <w:szCs w:val="20"/>
          <w:highlight w:val="none"/>
        </w:rPr>
      </w:r>
      <w:r/>
    </w:p>
    <w:p>
      <w:pPr>
        <w:pStyle w:val="789"/>
        <w:ind w:firstLine="480"/>
        <w:spacing w:before="0" w:beforeAutospacing="0" w:after="0" w:afterAutospacing="0" w:line="360" w:lineRule="auto"/>
        <w:rPr>
          <w:highlight w:val="none"/>
        </w:rPr>
      </w:pPr>
      <w:r>
        <w:rPr>
          <w:rFonts w:hint="eastAsia"/>
          <w:szCs w:val="20"/>
          <w:highlight w:val="none"/>
        </w:rPr>
        <w:t xml:space="preserve">工程地点：</w:t>
      </w:r>
      <w:r>
        <w:rPr>
          <w:rFonts w:hint="eastAsia" w:cs="Arial"/>
          <w:highlight w:val="none"/>
        </w:rPr>
        <w:t xml:space="preserve">苏州区北桥</w:t>
      </w:r>
      <w:r>
        <w:rPr>
          <w:rFonts w:hint="eastAsia"/>
          <w:highlight w:val="none"/>
        </w:rPr>
        <w:t xml:space="preserve">；</w:t>
      </w:r>
      <w:r>
        <w:rPr>
          <w:highlight w:val="none"/>
        </w:rPr>
      </w:r>
      <w:r/>
    </w:p>
    <w:p>
      <w:pPr>
        <w:pStyle w:val="789"/>
        <w:ind w:firstLine="480"/>
        <w:spacing w:before="0" w:beforeAutospacing="0" w:after="0" w:afterAutospacing="0" w:line="360" w:lineRule="auto"/>
        <w:rPr>
          <w:szCs w:val="20"/>
          <w:highlight w:val="none"/>
        </w:rPr>
      </w:pPr>
      <w:r>
        <w:rPr>
          <w:rFonts w:hint="eastAsia"/>
          <w:szCs w:val="20"/>
          <w:highlight w:val="none"/>
        </w:rPr>
        <w:t xml:space="preserve">资金来源：财政资金；</w:t>
      </w:r>
      <w:r>
        <w:rPr>
          <w:szCs w:val="20"/>
          <w:highlight w:val="none"/>
        </w:rPr>
      </w:r>
      <w:r/>
    </w:p>
    <w:p>
      <w:pPr>
        <w:pStyle w:val="789"/>
        <w:ind w:firstLine="480"/>
        <w:spacing w:before="0" w:beforeAutospacing="0" w:after="0" w:afterAutospacing="0" w:line="360" w:lineRule="auto"/>
        <w:rPr>
          <w:szCs w:val="20"/>
          <w:highlight w:val="none"/>
        </w:rPr>
      </w:pPr>
      <w:r>
        <w:rPr>
          <w:rFonts w:hint="eastAsia"/>
          <w:szCs w:val="20"/>
          <w:highlight w:val="none"/>
        </w:rPr>
        <w:t xml:space="preserve">承包方式：包工包料；</w:t>
      </w:r>
      <w:r>
        <w:rPr>
          <w:szCs w:val="20"/>
          <w:highlight w:val="none"/>
        </w:rPr>
      </w:r>
      <w:r/>
    </w:p>
    <w:p>
      <w:pPr>
        <w:pStyle w:val="789"/>
        <w:ind w:firstLine="480"/>
        <w:spacing w:before="0" w:beforeAutospacing="0" w:after="0" w:afterAutospacing="0" w:line="360" w:lineRule="auto"/>
        <w:rPr>
          <w:rFonts w:hint="eastAsia"/>
          <w:szCs w:val="20"/>
          <w:highlight w:val="none"/>
        </w:rPr>
      </w:pPr>
      <w:r>
        <w:rPr>
          <w:rFonts w:hint="eastAsia"/>
          <w:szCs w:val="20"/>
          <w:highlight w:val="none"/>
        </w:rPr>
        <w:t xml:space="preserve">服务期限：12个月（具体开工日期以采购人通知为准）；如在服务过程中，乙方服务费用达到预算金额时，合同自动终止；如在服务周期结束后，乙方服务费用未达到预算金额时，合同也自动终止。</w:t>
      </w:r>
      <w:r>
        <w:rPr>
          <w:rFonts w:hint="eastAsia"/>
          <w:szCs w:val="20"/>
          <w:highlight w:val="none"/>
        </w:rPr>
      </w:r>
      <w:r/>
    </w:p>
    <w:p>
      <w:pPr>
        <w:pStyle w:val="789"/>
        <w:ind w:firstLine="480"/>
        <w:spacing w:before="0" w:beforeAutospacing="0" w:after="0" w:afterAutospacing="0" w:line="360" w:lineRule="auto"/>
        <w:rPr>
          <w:szCs w:val="20"/>
          <w:highlight w:val="none"/>
        </w:rPr>
      </w:pPr>
      <w:r>
        <w:rPr>
          <w:rFonts w:hint="eastAsia"/>
          <w:szCs w:val="20"/>
          <w:highlight w:val="none"/>
        </w:rPr>
        <w:t xml:space="preserve">质量要求：合格；</w:t>
      </w:r>
      <w:r>
        <w:rPr>
          <w:szCs w:val="20"/>
          <w:highlight w:val="none"/>
        </w:rPr>
      </w:r>
      <w:r/>
    </w:p>
    <w:p>
      <w:pPr>
        <w:pStyle w:val="789"/>
        <w:ind w:firstLine="480"/>
        <w:spacing w:before="0" w:beforeAutospacing="0" w:after="0" w:afterAutospacing="0" w:line="360" w:lineRule="auto"/>
        <w:rPr>
          <w:szCs w:val="20"/>
          <w:highlight w:val="none"/>
        </w:rPr>
      </w:pPr>
      <w:r>
        <w:rPr>
          <w:rFonts w:hint="eastAsia"/>
          <w:szCs w:val="20"/>
          <w:highlight w:val="none"/>
        </w:rPr>
        <w:t xml:space="preserve">2、项目工程量：详见工程量清单及工程量编制说明（本项目工程量清单、工程量编制说明，请投标人自行下载）；</w:t>
      </w:r>
      <w:r>
        <w:rPr>
          <w:szCs w:val="20"/>
          <w:highlight w:val="none"/>
        </w:rPr>
      </w:r>
      <w:r/>
    </w:p>
    <w:p>
      <w:pPr>
        <w:pStyle w:val="789"/>
        <w:ind w:firstLine="480"/>
        <w:spacing w:before="0" w:beforeAutospacing="0" w:after="0" w:afterAutospacing="0" w:line="360" w:lineRule="auto"/>
        <w:rPr>
          <w:szCs w:val="20"/>
          <w:highlight w:val="none"/>
        </w:rPr>
      </w:pPr>
      <w:r>
        <w:rPr>
          <w:rFonts w:hint="eastAsia" w:eastAsia="楷体_GB2312"/>
          <w:szCs w:val="20"/>
          <w:highlight w:val="none"/>
        </w:rPr>
        <w:t xml:space="preserve">3</w:t>
      </w:r>
      <w:r>
        <w:rPr>
          <w:rFonts w:hint="eastAsia"/>
          <w:szCs w:val="20"/>
          <w:highlight w:val="none"/>
        </w:rPr>
        <w:t xml:space="preserve">、施工要求：</w:t>
      </w:r>
      <w:r>
        <w:rPr>
          <w:szCs w:val="20"/>
          <w:highlight w:val="none"/>
        </w:rPr>
      </w:r>
      <w:r/>
    </w:p>
    <w:p>
      <w:pPr>
        <w:pStyle w:val="789"/>
        <w:ind w:firstLine="480"/>
        <w:spacing w:before="0" w:beforeAutospacing="0" w:after="0" w:afterAutospacing="0" w:line="360" w:lineRule="auto"/>
        <w:rPr>
          <w:szCs w:val="20"/>
          <w:highlight w:val="none"/>
        </w:rPr>
      </w:pPr>
      <w:r>
        <w:rPr>
          <w:rFonts w:hint="eastAsia"/>
          <w:szCs w:val="20"/>
          <w:highlight w:val="none"/>
        </w:rPr>
        <w:t xml:space="preserve">（1）按采购文件、工程量清单等资料组织改造施工；</w:t>
      </w:r>
      <w:r>
        <w:rPr>
          <w:szCs w:val="20"/>
          <w:highlight w:val="none"/>
        </w:rPr>
      </w:r>
      <w:r/>
    </w:p>
    <w:p>
      <w:pPr>
        <w:pStyle w:val="789"/>
        <w:ind w:firstLine="480"/>
        <w:spacing w:before="0" w:beforeAutospacing="0" w:after="0" w:afterAutospacing="0" w:line="360" w:lineRule="auto"/>
        <w:rPr>
          <w:szCs w:val="20"/>
          <w:highlight w:val="none"/>
        </w:rPr>
      </w:pPr>
      <w:r>
        <w:rPr>
          <w:rFonts w:hint="eastAsia"/>
          <w:szCs w:val="20"/>
          <w:highlight w:val="none"/>
        </w:rPr>
        <w:t xml:space="preserve">（2）施工质量应符合现行国家施工技术及验收规范规程；</w:t>
      </w:r>
      <w:r>
        <w:rPr>
          <w:szCs w:val="20"/>
          <w:highlight w:val="none"/>
        </w:rPr>
      </w:r>
      <w:r/>
    </w:p>
    <w:p>
      <w:pPr>
        <w:pStyle w:val="789"/>
        <w:ind w:firstLine="480"/>
        <w:spacing w:before="0" w:beforeAutospacing="0" w:after="0" w:afterAutospacing="0" w:line="360" w:lineRule="auto"/>
        <w:rPr>
          <w:szCs w:val="20"/>
          <w:highlight w:val="none"/>
        </w:rPr>
      </w:pPr>
      <w:r>
        <w:rPr>
          <w:rFonts w:hint="eastAsia" w:eastAsia="楷体_GB2312"/>
          <w:szCs w:val="20"/>
          <w:highlight w:val="none"/>
        </w:rPr>
        <w:t xml:space="preserve">4</w:t>
      </w:r>
      <w:r>
        <w:rPr>
          <w:rFonts w:hint="eastAsia"/>
          <w:szCs w:val="20"/>
          <w:highlight w:val="none"/>
        </w:rPr>
        <w:t xml:space="preserve">、施工组织设计方案要求：</w:t>
      </w:r>
      <w:r>
        <w:rPr>
          <w:szCs w:val="20"/>
          <w:highlight w:val="none"/>
        </w:rPr>
      </w:r>
      <w:r/>
    </w:p>
    <w:p>
      <w:pPr>
        <w:pStyle w:val="789"/>
        <w:ind w:firstLine="480"/>
        <w:spacing w:before="0" w:beforeAutospacing="0" w:after="0" w:afterAutospacing="0" w:line="360" w:lineRule="auto"/>
        <w:rPr>
          <w:szCs w:val="20"/>
          <w:highlight w:val="none"/>
        </w:rPr>
      </w:pPr>
      <w:r>
        <w:rPr>
          <w:rFonts w:hint="eastAsia"/>
          <w:szCs w:val="20"/>
          <w:highlight w:val="none"/>
        </w:rPr>
        <w:t xml:space="preserve">按要求组织改造施工，施工组织设计内容包括但不限于总体概述、进度计划、施工方案应科学合理。劳动力配备合理，工作任务明确，人员组织到位。机械设备投入符合项目要求，有详尽的计划，项目实施进度、时间，关键节点科学合理。安全文明施工措施科学、合理、操作性强，沟通和解决机制简单有效，给出验收条件明晰、措施合理。</w:t>
      </w:r>
      <w:r>
        <w:rPr>
          <w:szCs w:val="20"/>
          <w:highlight w:val="none"/>
        </w:rPr>
      </w:r>
      <w:r/>
    </w:p>
    <w:p>
      <w:pPr>
        <w:pStyle w:val="789"/>
        <w:ind w:firstLine="480"/>
        <w:spacing w:before="0" w:beforeAutospacing="0" w:after="0" w:afterAutospacing="0" w:line="360" w:lineRule="auto"/>
        <w:rPr>
          <w:szCs w:val="20"/>
          <w:highlight w:val="none"/>
        </w:rPr>
      </w:pPr>
      <w:r>
        <w:rPr>
          <w:rFonts w:hint="eastAsia"/>
          <w:szCs w:val="20"/>
          <w:highlight w:val="none"/>
        </w:rPr>
        <w:t xml:space="preserve">5、验收标准：满足采购需求要求。</w:t>
      </w:r>
      <w:r>
        <w:rPr>
          <w:szCs w:val="20"/>
          <w:highlight w:val="none"/>
        </w:rPr>
      </w:r>
      <w:r/>
    </w:p>
    <w:p>
      <w:pPr>
        <w:pStyle w:val="730"/>
        <w:ind w:firstLine="482"/>
        <w:jc w:val="both"/>
        <w:spacing w:line="360" w:lineRule="auto"/>
        <w:rPr>
          <w:rFonts w:ascii="宋体" w:hAnsi="宋体" w:eastAsia="宋体"/>
          <w:b/>
          <w:bCs/>
          <w:szCs w:val="24"/>
          <w:highlight w:val="none"/>
        </w:rPr>
      </w:pPr>
      <w:r>
        <w:rPr>
          <w:rFonts w:hint="eastAsia" w:ascii="宋体" w:hAnsi="宋体" w:eastAsia="宋体"/>
          <w:b/>
          <w:bCs/>
          <w:szCs w:val="24"/>
          <w:highlight w:val="none"/>
        </w:rPr>
        <w:t xml:space="preserve">四、报价说明</w:t>
      </w:r>
      <w:r>
        <w:rPr>
          <w:rFonts w:ascii="宋体" w:hAnsi="宋体" w:eastAsia="宋体"/>
          <w:b/>
          <w:bCs/>
          <w:szCs w:val="24"/>
          <w:highlight w:val="none"/>
        </w:rPr>
      </w:r>
      <w:r/>
    </w:p>
    <w:p>
      <w:pPr>
        <w:pStyle w:val="730"/>
        <w:ind w:firstLine="480"/>
        <w:spacing w:line="360" w:lineRule="auto"/>
        <w:rPr>
          <w:rFonts w:ascii="宋体" w:hAnsi="宋体" w:eastAsia="宋体"/>
          <w:bCs/>
          <w:color w:val="000000"/>
          <w:szCs w:val="24"/>
          <w:highlight w:val="none"/>
        </w:rPr>
      </w:pPr>
      <w:r>
        <w:rPr>
          <w:rFonts w:hint="eastAsia" w:ascii="宋体" w:hAnsi="宋体" w:eastAsia="宋体"/>
          <w:bCs/>
          <w:color w:val="000000"/>
          <w:szCs w:val="24"/>
          <w:highlight w:val="none"/>
        </w:rPr>
        <w:t xml:space="preserve">1、报价方式：本工程项目采用下列第</w:t>
      </w:r>
      <w:r>
        <w:rPr>
          <w:rFonts w:hint="eastAsia" w:ascii="宋体" w:hAnsi="宋体" w:eastAsia="宋体"/>
          <w:bCs/>
          <w:color w:val="000000"/>
          <w:szCs w:val="24"/>
          <w:highlight w:val="none"/>
          <w:u w:val="single"/>
        </w:rPr>
        <w:t xml:space="preserve"> （2）</w:t>
      </w:r>
      <w:r>
        <w:rPr>
          <w:rFonts w:hint="eastAsia" w:ascii="宋体" w:hAnsi="宋体" w:eastAsia="宋体"/>
          <w:bCs/>
          <w:color w:val="000000"/>
          <w:szCs w:val="24"/>
          <w:highlight w:val="none"/>
        </w:rPr>
        <w:t xml:space="preserve"> 种报价方式。</w:t>
      </w:r>
      <w:r>
        <w:rPr>
          <w:rFonts w:ascii="宋体" w:hAnsi="宋体" w:eastAsia="宋体"/>
          <w:bCs/>
          <w:color w:val="000000"/>
          <w:szCs w:val="24"/>
          <w:highlight w:val="none"/>
        </w:rPr>
      </w:r>
      <w:r/>
    </w:p>
    <w:p>
      <w:pPr>
        <w:pStyle w:val="730"/>
        <w:ind w:firstLine="480"/>
        <w:spacing w:line="360" w:lineRule="auto"/>
        <w:rPr>
          <w:rFonts w:ascii="宋体" w:hAnsi="宋体" w:eastAsia="宋体"/>
          <w:bCs/>
          <w:color w:val="000000"/>
          <w:szCs w:val="24"/>
          <w:highlight w:val="none"/>
        </w:rPr>
      </w:pPr>
      <w:r>
        <w:rPr>
          <w:rFonts w:hint="eastAsia" w:ascii="宋体" w:hAnsi="宋体" w:eastAsia="宋体"/>
          <w:bCs/>
          <w:color w:val="000000"/>
          <w:szCs w:val="24"/>
          <w:highlight w:val="none"/>
        </w:rPr>
        <w:t xml:space="preserve">（1）固定总价报价。竞争报价人应充分考虑施工期间各类建材市场价格变化，政策性调整的风险，一旦经评审确定承包人，报价不作调整。</w:t>
      </w:r>
      <w:r>
        <w:rPr>
          <w:rFonts w:ascii="宋体" w:hAnsi="宋体" w:eastAsia="宋体"/>
          <w:bCs/>
          <w:color w:val="000000"/>
          <w:szCs w:val="24"/>
          <w:highlight w:val="none"/>
        </w:rPr>
      </w:r>
      <w:r/>
    </w:p>
    <w:p>
      <w:pPr>
        <w:pStyle w:val="730"/>
        <w:ind w:firstLine="480"/>
        <w:spacing w:line="360" w:lineRule="auto"/>
        <w:rPr>
          <w:rFonts w:ascii="宋体" w:hAnsi="宋体" w:eastAsia="宋体"/>
          <w:bCs/>
          <w:color w:val="000000"/>
          <w:szCs w:val="24"/>
          <w:highlight w:val="none"/>
        </w:rPr>
      </w:pPr>
      <w:r>
        <w:rPr>
          <w:rFonts w:hint="eastAsia" w:ascii="宋体" w:hAnsi="宋体" w:eastAsia="宋体"/>
          <w:bCs/>
          <w:color w:val="000000"/>
          <w:szCs w:val="24"/>
          <w:highlight w:val="none"/>
        </w:rPr>
        <w:t xml:space="preserve">（2）固定单价报价。磋商供应商应充分考虑施工期间各类建材的市场风险和国家政策性调整风险系数，具体按照国家和苏州市相关文件执行。本工程的具体结算方式在合同专用条款中约定。执行固定单价报价的基本规定：</w:t>
      </w:r>
      <w:r>
        <w:rPr>
          <w:rFonts w:ascii="宋体" w:hAnsi="宋体" w:eastAsia="宋体"/>
          <w:bCs/>
          <w:color w:val="000000"/>
          <w:szCs w:val="24"/>
          <w:highlight w:val="none"/>
        </w:rPr>
      </w:r>
      <w:r/>
    </w:p>
    <w:p>
      <w:pPr>
        <w:pStyle w:val="730"/>
        <w:ind w:firstLine="480"/>
        <w:spacing w:line="360" w:lineRule="auto"/>
        <w:rPr>
          <w:rFonts w:ascii="宋体" w:hAnsi="宋体" w:eastAsia="宋体"/>
          <w:bCs/>
          <w:strike/>
          <w:color w:val="000000"/>
          <w:szCs w:val="24"/>
          <w:highlight w:val="none"/>
        </w:rPr>
      </w:pPr>
      <w:r>
        <w:rPr>
          <w:rFonts w:hint="eastAsia" w:ascii="宋体" w:hAnsi="宋体" w:eastAsia="宋体"/>
          <w:bCs/>
          <w:color w:val="000000"/>
          <w:szCs w:val="24"/>
          <w:highlight w:val="none"/>
        </w:rPr>
        <w:t xml:space="preserve">（2.1）磋商供应商报价时，必须按统一的工程量清单报价。成交后，本工程工程量清单各子目综合单价的确定方式为：以供应商首轮报价清单各子目综合单价为基准，按其成交价与首轮报价相比的下浮系数同比例下浮。</w:t>
      </w:r>
      <w:r>
        <w:rPr>
          <w:rFonts w:ascii="宋体" w:hAnsi="宋体" w:eastAsia="宋体"/>
          <w:bCs/>
          <w:strike/>
          <w:color w:val="000000"/>
          <w:szCs w:val="24"/>
          <w:highlight w:val="none"/>
        </w:rPr>
      </w:r>
      <w:r/>
    </w:p>
    <w:p>
      <w:pPr>
        <w:pStyle w:val="730"/>
        <w:ind w:firstLine="480"/>
        <w:spacing w:line="360" w:lineRule="auto"/>
        <w:rPr>
          <w:rFonts w:ascii="宋体" w:hAnsi="宋体" w:eastAsia="宋体"/>
          <w:bCs/>
          <w:color w:val="000000"/>
          <w:szCs w:val="24"/>
          <w:highlight w:val="none"/>
        </w:rPr>
      </w:pPr>
      <w:r>
        <w:rPr>
          <w:rFonts w:hint="eastAsia" w:ascii="宋体" w:hAnsi="宋体" w:eastAsia="宋体"/>
          <w:bCs/>
          <w:color w:val="000000"/>
          <w:szCs w:val="24"/>
          <w:highlight w:val="none"/>
        </w:rPr>
        <w:t xml:space="preserve">（2.2）本工程追加费用不得超过原合同金额的10%；原合同金额10%以内的追加费用，限于原合同内工程清单数量调整增加的工程费用，原合同外工程内容不得计入。</w:t>
      </w:r>
      <w:r>
        <w:rPr>
          <w:rFonts w:ascii="宋体" w:hAnsi="宋体" w:eastAsia="宋体"/>
          <w:bCs/>
          <w:color w:val="000000"/>
          <w:szCs w:val="24"/>
          <w:highlight w:val="none"/>
        </w:rPr>
      </w:r>
      <w:r/>
    </w:p>
    <w:p>
      <w:pPr>
        <w:pStyle w:val="730"/>
        <w:ind w:firstLine="480"/>
        <w:spacing w:line="360" w:lineRule="auto"/>
        <w:rPr>
          <w:rFonts w:ascii="宋体" w:hAnsi="宋体" w:eastAsia="宋体"/>
          <w:bCs/>
          <w:color w:val="000000"/>
          <w:szCs w:val="24"/>
          <w:highlight w:val="none"/>
        </w:rPr>
      </w:pPr>
      <w:r>
        <w:rPr>
          <w:rFonts w:hint="eastAsia" w:ascii="宋体" w:hAnsi="宋体" w:eastAsia="宋体"/>
          <w:bCs/>
          <w:color w:val="000000"/>
          <w:szCs w:val="24"/>
          <w:highlight w:val="none"/>
        </w:rPr>
        <w:t xml:space="preserve">（2.3）本工程在磋商文件中已明确的各项施工措施项目，除工程变更引起施工方案改变外，承包人不得以招标工程措施项目清单缺项为由要求新增措施项目。 </w:t>
      </w:r>
      <w:r>
        <w:rPr>
          <w:rFonts w:ascii="宋体" w:hAnsi="宋体" w:eastAsia="宋体"/>
          <w:bCs/>
          <w:color w:val="000000"/>
          <w:szCs w:val="24"/>
          <w:highlight w:val="none"/>
        </w:rPr>
      </w:r>
      <w:r/>
    </w:p>
    <w:p>
      <w:pPr>
        <w:pStyle w:val="706"/>
        <w:ind w:firstLine="520"/>
        <w:spacing w:line="360" w:lineRule="auto"/>
        <w:rPr>
          <w:rFonts w:ascii="宋体" w:hAnsi="宋体" w:eastAsia="宋体" w:cs="宋体"/>
          <w:color w:val="000000"/>
          <w:sz w:val="24"/>
          <w:szCs w:val="24"/>
          <w:highlight w:val="none"/>
        </w:rPr>
      </w:pPr>
      <w:r>
        <w:rPr>
          <w:rFonts w:hint="eastAsia" w:ascii="宋体" w:hAnsi="宋体" w:eastAsia="宋体"/>
          <w:bCs/>
          <w:color w:val="000000"/>
          <w:sz w:val="24"/>
          <w:szCs w:val="24"/>
          <w:highlight w:val="none"/>
        </w:rPr>
        <w:t xml:space="preserve">（2.4）</w:t>
      </w:r>
      <w:r>
        <w:rPr>
          <w:rFonts w:hint="eastAsia" w:ascii="宋体" w:hAnsi="宋体" w:eastAsia="宋体" w:cs="宋体"/>
          <w:color w:val="000000"/>
          <w:sz w:val="24"/>
          <w:szCs w:val="24"/>
          <w:highlight w:val="none"/>
        </w:rPr>
        <w:t xml:space="preserve">政府投资工程有关变更按《苏州市政府投资建设项目工程变更备案管理暂行办法》、《苏州市市级政府投资建筑工程变更备案管理实施细则》等项目所在地相关规定执行。</w:t>
      </w:r>
      <w:r>
        <w:rPr>
          <w:rFonts w:ascii="宋体" w:hAnsi="宋体" w:eastAsia="宋体" w:cs="宋体"/>
          <w:color w:val="000000"/>
          <w:sz w:val="24"/>
          <w:szCs w:val="24"/>
          <w:highlight w:val="none"/>
        </w:rPr>
      </w:r>
      <w:r/>
    </w:p>
    <w:p>
      <w:pPr>
        <w:pStyle w:val="706"/>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及时对招标工程量清单数量的工程数量进行校核，如两者的误差额达到《苏州市市级政府投资建筑工程变更备案管理实施细则》等项目所在地相关规定的备案起点时，必须在分部分项工程实施前向发包方提出变更费用申请，否则工程结算时对因此造成的造价增加将不予认可。</w:t>
      </w:r>
      <w:r>
        <w:rPr>
          <w:rFonts w:ascii="宋体" w:hAnsi="宋体" w:eastAsia="宋体" w:cs="宋体"/>
          <w:color w:val="000000"/>
          <w:sz w:val="24"/>
          <w:szCs w:val="24"/>
          <w:highlight w:val="none"/>
        </w:rPr>
      </w:r>
      <w:r/>
    </w:p>
    <w:p>
      <w:pPr>
        <w:pStyle w:val="730"/>
        <w:ind w:firstLine="480"/>
        <w:spacing w:line="360" w:lineRule="auto"/>
        <w:rPr>
          <w:rFonts w:ascii="宋体" w:hAnsi="宋体" w:eastAsia="宋体"/>
          <w:bCs/>
          <w:szCs w:val="24"/>
          <w:highlight w:val="none"/>
        </w:rPr>
      </w:pPr>
      <w:r>
        <w:rPr>
          <w:rFonts w:hint="eastAsia" w:ascii="宋体" w:hAnsi="宋体" w:eastAsia="宋体"/>
          <w:bCs/>
          <w:szCs w:val="24"/>
          <w:highlight w:val="none"/>
        </w:rPr>
        <w:t xml:space="preserve">（2.5）合同备案要求</w:t>
      </w:r>
      <w:r>
        <w:rPr>
          <w:rFonts w:ascii="宋体" w:hAnsi="宋体" w:eastAsia="宋体"/>
          <w:bCs/>
          <w:szCs w:val="24"/>
          <w:highlight w:val="none"/>
        </w:rPr>
      </w:r>
      <w:r/>
    </w:p>
    <w:p>
      <w:pPr>
        <w:pStyle w:val="730"/>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（2.5.1）如需办理施工许可证等相关工程监管手续的小额工程项目，在项目实施前，建设单位（集中建设实施单位）应及时办理施工许可证，并接受质安监的监督管理。</w:t>
      </w:r>
      <w:r>
        <w:rPr>
          <w:rFonts w:hint="eastAsia" w:ascii="宋体" w:hAnsi="宋体" w:eastAsia="宋体" w:cs="宋体"/>
          <w:color w:val="000000"/>
          <w:sz w:val="24"/>
          <w:szCs w:val="24"/>
          <w:highlight w:val="none"/>
          <w:lang w:val="en-US" w:eastAsia="zh-CN" w:bidi="ar-SA"/>
        </w:rPr>
      </w:r>
      <w:r/>
    </w:p>
    <w:p>
      <w:pPr>
        <w:pStyle w:val="730"/>
        <w:ind w:firstLine="480"/>
        <w:spacing w:line="360" w:lineRule="auto"/>
        <w:rPr>
          <w:rFonts w:ascii="宋体" w:hAnsi="宋体" w:eastAsia="宋体"/>
          <w:bCs/>
          <w:szCs w:val="24"/>
          <w:highlight w:val="none"/>
        </w:rPr>
      </w:pPr>
      <w:r>
        <w:rPr>
          <w:rFonts w:hint="eastAsia" w:ascii="宋体" w:hAnsi="宋体" w:eastAsia="宋体"/>
          <w:bCs/>
          <w:szCs w:val="24"/>
          <w:highlight w:val="none"/>
        </w:rPr>
        <w:t xml:space="preserve">（2.5.2）无需办理施工许可证等相关工程监管手续的小额工程项目，只需在</w:t>
      </w:r>
      <w:r>
        <w:rPr>
          <w:rFonts w:hint="eastAsia" w:ascii="宋体" w:hAnsi="宋体" w:eastAsia="宋体"/>
          <w:bCs/>
          <w:szCs w:val="24"/>
          <w:highlight w:val="none"/>
          <w:lang w:eastAsia="zh-CN"/>
        </w:rPr>
        <w:t xml:space="preserve">合同公示</w:t>
      </w:r>
      <w:r>
        <w:rPr>
          <w:rFonts w:hint="eastAsia" w:ascii="宋体" w:hAnsi="宋体" w:eastAsia="宋体"/>
          <w:bCs/>
          <w:szCs w:val="24"/>
          <w:highlight w:val="none"/>
        </w:rPr>
        <w:t xml:space="preserve">即可。</w:t>
      </w:r>
      <w:r>
        <w:rPr>
          <w:rFonts w:ascii="宋体" w:hAnsi="宋体" w:eastAsia="宋体"/>
          <w:bCs/>
          <w:szCs w:val="24"/>
          <w:highlight w:val="none"/>
        </w:rPr>
      </w:r>
      <w:r/>
    </w:p>
    <w:p>
      <w:pPr>
        <w:pStyle w:val="730"/>
        <w:ind w:firstLine="480"/>
        <w:spacing w:line="360" w:lineRule="auto"/>
        <w:rPr>
          <w:rFonts w:ascii="宋体" w:hAnsi="宋体" w:eastAsia="宋体"/>
          <w:bCs/>
          <w:szCs w:val="24"/>
          <w:highlight w:val="none"/>
        </w:rPr>
      </w:pPr>
      <w:r>
        <w:rPr>
          <w:rFonts w:hint="eastAsia" w:ascii="宋体" w:hAnsi="宋体" w:eastAsia="宋体"/>
          <w:bCs/>
          <w:szCs w:val="24"/>
          <w:highlight w:val="none"/>
        </w:rPr>
        <w:t xml:space="preserve">2、磋商报价时，不可竞争费用均按规定计算，不得让利或随意调整计算标准，否则报价无效。规费费率详见工程量清单。磋商单位不得将不可竞争费用降低标准收取，不可竞争费费率详见工程量清单。</w:t>
      </w:r>
      <w:r>
        <w:rPr>
          <w:rFonts w:ascii="宋体" w:hAnsi="宋体" w:eastAsia="宋体"/>
          <w:bCs/>
          <w:szCs w:val="24"/>
          <w:highlight w:val="none"/>
        </w:rPr>
      </w:r>
      <w:r/>
    </w:p>
    <w:p>
      <w:pPr>
        <w:pStyle w:val="706"/>
        <w:ind w:firstLine="480"/>
        <w:jc w:val="left"/>
        <w:spacing w:line="360" w:lineRule="auto"/>
        <w:rPr>
          <w:rFonts w:ascii="宋体" w:hAnsi="宋体" w:eastAsia="宋体"/>
          <w:bCs/>
          <w:sz w:val="24"/>
          <w:szCs w:val="24"/>
          <w:highlight w:val="none"/>
        </w:rPr>
      </w:pPr>
      <w:r>
        <w:rPr>
          <w:rFonts w:hint="eastAsia" w:ascii="宋体" w:hAnsi="宋体" w:eastAsia="宋体"/>
          <w:bCs/>
          <w:sz w:val="24"/>
          <w:szCs w:val="24"/>
          <w:highlight w:val="none"/>
        </w:rPr>
        <w:t xml:space="preserve">3、规费费率详见工程量清单。江苏省安全文明施工措施费应放在措施项目清单中（计取基本费、扬尘污染防治增加费）。投标人不得将不可磋商费用降低标准收取，不可磋商费费率详见工程量清单。</w:t>
      </w:r>
      <w:r>
        <w:rPr>
          <w:rFonts w:ascii="宋体" w:hAnsi="宋体" w:eastAsia="宋体"/>
          <w:bCs/>
          <w:sz w:val="24"/>
          <w:szCs w:val="24"/>
          <w:highlight w:val="none"/>
        </w:rPr>
      </w:r>
      <w:r/>
    </w:p>
    <w:p>
      <w:pPr>
        <w:pStyle w:val="730"/>
        <w:ind w:firstLine="480"/>
        <w:jc w:val="both"/>
        <w:spacing w:line="360" w:lineRule="auto"/>
        <w:rPr>
          <w:rFonts w:hint="eastAsia" w:ascii="宋体" w:hAnsi="宋体" w:eastAsia="宋体"/>
          <w:bCs/>
          <w:szCs w:val="24"/>
          <w:highlight w:val="none"/>
        </w:rPr>
      </w:pPr>
      <w:r>
        <w:rPr>
          <w:rFonts w:hint="eastAsia" w:ascii="宋体" w:hAnsi="宋体" w:eastAsia="宋体"/>
          <w:bCs/>
          <w:szCs w:val="24"/>
          <w:highlight w:val="none"/>
        </w:rPr>
        <w:t xml:space="preserve">4、计价格式中列明的所有需要填报的单价和合价，竞争人均需填报，未填报的单价和合价，视为此项费用已包含在工程量清单的其他单价和合价中。</w:t>
      </w:r>
      <w:r>
        <w:rPr>
          <w:rFonts w:hint="eastAsia" w:ascii="宋体" w:hAnsi="宋体" w:eastAsia="宋体"/>
          <w:bCs/>
          <w:szCs w:val="24"/>
          <w:highlight w:val="none"/>
        </w:rPr>
      </w:r>
      <w:r/>
    </w:p>
    <w:p>
      <w:pPr>
        <w:pStyle w:val="706"/>
        <w:ind w:firstLine="480"/>
        <w:jc w:val="left"/>
        <w:spacing w:line="360" w:lineRule="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5、成交供应商一般工程8小时内响应，24小时内完成；特殊项目8小时内响应，48小时内完成。</w:t>
      </w:r>
      <w:r>
        <w:rPr>
          <w:rFonts w:hint="eastAsia" w:ascii="宋体" w:hAnsi="宋体" w:eastAsia="宋体" w:cs="Times New Roman"/>
          <w:bCs/>
          <w:sz w:val="24"/>
          <w:szCs w:val="24"/>
          <w:highlight w:val="none"/>
          <w:lang w:val="en-US" w:eastAsia="zh-CN"/>
        </w:rPr>
      </w:r>
      <w:r/>
    </w:p>
    <w:p>
      <w:pPr>
        <w:pStyle w:val="706"/>
        <w:ind w:firstLine="480"/>
        <w:jc w:val="left"/>
        <w:spacing w:line="360" w:lineRule="auto"/>
        <w:rPr>
          <w:rFonts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6、因成交供应商养护不到位造成的他人的人身及财产损失，经有关部门认定为养护人责任的，由成交单位承担相关责任及费用。</w:t>
      </w:r>
      <w:r>
        <w:rPr>
          <w:rFonts w:ascii="宋体" w:hAnsi="宋体" w:eastAsia="宋体" w:cs="Times New Roman"/>
          <w:bCs/>
          <w:sz w:val="24"/>
          <w:szCs w:val="24"/>
          <w:highlight w:val="none"/>
          <w:lang w:val="en-US" w:eastAsia="zh-CN"/>
        </w:rPr>
      </w:r>
      <w:r/>
    </w:p>
    <w:p>
      <w:pPr>
        <w:pStyle w:val="768"/>
        <w:ind w:firstLine="482"/>
        <w:jc w:val="both"/>
        <w:spacing w:line="360" w:lineRule="auto"/>
        <w:rPr>
          <w:rFonts w:ascii="宋体" w:hAnsi="宋体" w:eastAsia="宋体"/>
          <w:b/>
          <w:szCs w:val="24"/>
          <w:highlight w:val="none"/>
        </w:rPr>
      </w:pPr>
      <w:r>
        <w:rPr>
          <w:rFonts w:hint="eastAsia" w:ascii="宋体" w:hAnsi="宋体" w:eastAsia="宋体" w:cs="宋体"/>
          <w:b/>
          <w:szCs w:val="24"/>
          <w:highlight w:val="none"/>
        </w:rPr>
        <w:t xml:space="preserve">六、</w:t>
      </w:r>
      <w:r>
        <w:rPr>
          <w:rFonts w:hint="eastAsia" w:ascii="宋体" w:hAnsi="宋体" w:eastAsia="宋体"/>
          <w:b/>
          <w:szCs w:val="24"/>
          <w:highlight w:val="none"/>
        </w:rPr>
        <w:t xml:space="preserve">响应文件的组成及要求：</w:t>
      </w:r>
      <w:r>
        <w:rPr>
          <w:rFonts w:ascii="宋体" w:hAnsi="宋体" w:eastAsia="宋体"/>
          <w:b/>
          <w:szCs w:val="24"/>
          <w:highlight w:val="none"/>
        </w:rPr>
      </w:r>
      <w:r/>
    </w:p>
    <w:p>
      <w:pPr>
        <w:pStyle w:val="706"/>
        <w:ind w:firstLine="480"/>
        <w:spacing w:line="360" w:lineRule="auto"/>
        <w:tabs>
          <w:tab w:val="left" w:pos="753" w:leader="none"/>
        </w:tabs>
        <w:rPr>
          <w:rFonts w:ascii="宋体" w:hAnsi="宋体" w:eastAsia="宋体"/>
          <w:sz w:val="24"/>
          <w:szCs w:val="24"/>
          <w:highlight w:val="none"/>
        </w:rPr>
      </w:pPr>
      <w:r>
        <w:rPr>
          <w:rFonts w:hint="eastAsia" w:ascii="宋体" w:hAnsi="宋体" w:eastAsia="宋体"/>
          <w:sz w:val="24"/>
          <w:szCs w:val="24"/>
          <w:highlight w:val="none"/>
        </w:rPr>
        <w:t xml:space="preserve">（一）文件组成（部分格式见第二章）</w:t>
      </w:r>
      <w:r>
        <w:rPr>
          <w:rFonts w:ascii="宋体" w:hAnsi="宋体" w:eastAsia="宋体"/>
          <w:sz w:val="24"/>
          <w:szCs w:val="24"/>
          <w:highlight w:val="none"/>
        </w:rPr>
      </w:r>
      <w:r/>
    </w:p>
    <w:p>
      <w:pPr>
        <w:pStyle w:val="706"/>
        <w:ind w:firstLine="480"/>
        <w:spacing w:line="360" w:lineRule="auto"/>
        <w:rPr>
          <w:rFonts w:ascii="宋体" w:hAnsi="宋体" w:eastAsia="宋体"/>
          <w:sz w:val="24"/>
          <w:szCs w:val="24"/>
          <w:highlight w:val="none"/>
        </w:rPr>
      </w:pPr>
      <w:r>
        <w:rPr>
          <w:rFonts w:ascii="宋体" w:hAnsi="宋体" w:eastAsia="宋体"/>
          <w:sz w:val="24"/>
          <w:szCs w:val="24"/>
          <w:highlight w:val="none"/>
        </w:rPr>
        <w:t xml:space="preserve">1</w:t>
      </w:r>
      <w:r>
        <w:rPr>
          <w:rFonts w:hint="eastAsia" w:ascii="宋体" w:hAnsi="宋体" w:eastAsia="宋体"/>
          <w:sz w:val="24"/>
          <w:szCs w:val="24"/>
          <w:highlight w:val="none"/>
        </w:rPr>
        <w:t xml:space="preserve">、磋商响应函；</w:t>
      </w:r>
      <w:r>
        <w:rPr>
          <w:rFonts w:ascii="宋体" w:hAnsi="宋体" w:eastAsia="宋体"/>
          <w:sz w:val="24"/>
          <w:szCs w:val="24"/>
          <w:highlight w:val="none"/>
        </w:rPr>
      </w:r>
      <w:r/>
    </w:p>
    <w:p>
      <w:pPr>
        <w:pStyle w:val="706"/>
        <w:ind w:firstLine="480"/>
        <w:spacing w:line="360" w:lineRule="auto"/>
        <w:tabs>
          <w:tab w:val="left" w:pos="0" w:leader="none"/>
        </w:tabs>
        <w:rPr>
          <w:rFonts w:ascii="宋体" w:hAnsi="宋体" w:eastAsia="宋体"/>
          <w:sz w:val="24"/>
          <w:szCs w:val="24"/>
          <w:highlight w:val="none"/>
        </w:rPr>
      </w:pPr>
      <w:r>
        <w:rPr>
          <w:rFonts w:ascii="宋体" w:hAnsi="宋体" w:eastAsia="宋体"/>
          <w:sz w:val="24"/>
          <w:szCs w:val="24"/>
          <w:highlight w:val="none"/>
        </w:rPr>
        <w:t xml:space="preserve">2</w:t>
      </w:r>
      <w:r>
        <w:rPr>
          <w:rFonts w:hint="eastAsia" w:ascii="宋体" w:hAnsi="宋体" w:eastAsia="宋体"/>
          <w:sz w:val="24"/>
          <w:szCs w:val="24"/>
          <w:highlight w:val="none"/>
        </w:rPr>
        <w:t xml:space="preserve">、授权委托书（如有授权）；</w:t>
      </w:r>
      <w:r>
        <w:rPr>
          <w:rFonts w:ascii="宋体" w:hAnsi="宋体" w:eastAsia="宋体"/>
          <w:sz w:val="24"/>
          <w:szCs w:val="24"/>
          <w:highlight w:val="none"/>
        </w:rPr>
      </w:r>
      <w:r/>
    </w:p>
    <w:p>
      <w:pPr>
        <w:pStyle w:val="706"/>
        <w:ind w:firstLine="480"/>
        <w:spacing w:line="360" w:lineRule="auto"/>
        <w:tabs>
          <w:tab w:val="left" w:pos="0" w:leader="none"/>
        </w:tabs>
        <w:rPr>
          <w:rFonts w:ascii="宋体" w:hAnsi="宋体" w:eastAsia="宋体"/>
          <w:sz w:val="24"/>
          <w:szCs w:val="24"/>
          <w:highlight w:val="none"/>
        </w:rPr>
      </w:pPr>
      <w:r>
        <w:rPr>
          <w:rFonts w:hint="eastAsia" w:ascii="宋体" w:hAnsi="宋体" w:eastAsia="宋体"/>
          <w:sz w:val="24"/>
          <w:szCs w:val="24"/>
          <w:highlight w:val="none"/>
        </w:rPr>
        <w:t xml:space="preserve">3、磋商报价表、开标一览表；</w:t>
      </w:r>
      <w:r>
        <w:rPr>
          <w:rFonts w:ascii="宋体" w:hAnsi="宋体" w:eastAsia="宋体"/>
          <w:sz w:val="24"/>
          <w:szCs w:val="24"/>
          <w:highlight w:val="none"/>
        </w:rPr>
      </w:r>
      <w:r/>
    </w:p>
    <w:p>
      <w:pPr>
        <w:pStyle w:val="706"/>
        <w:ind w:firstLine="480"/>
        <w:spacing w:line="360" w:lineRule="auto"/>
        <w:tabs>
          <w:tab w:val="left" w:pos="0" w:leader="none"/>
        </w:tabs>
        <w:rPr>
          <w:rFonts w:hint="eastAsia" w:ascii="宋体" w:hAnsi="宋体" w:eastAsia="宋体"/>
          <w:sz w:val="24"/>
          <w:szCs w:val="24"/>
          <w:highlight w:val="none"/>
        </w:rPr>
      </w:pPr>
      <w:r>
        <w:rPr>
          <w:rFonts w:hint="eastAsia" w:ascii="宋体" w:hAnsi="宋体" w:eastAsia="宋体"/>
          <w:sz w:val="24"/>
          <w:szCs w:val="24"/>
          <w:highlight w:val="none"/>
        </w:rPr>
        <w:t xml:space="preserve">4、已标价工程量清单（按《建设工程工程量清单计价规范》（GB50500-2013）提供）；</w:t>
      </w:r>
      <w:r>
        <w:rPr>
          <w:rFonts w:hint="eastAsia" w:ascii="宋体" w:hAnsi="宋体" w:eastAsia="宋体"/>
          <w:sz w:val="24"/>
          <w:szCs w:val="24"/>
          <w:highlight w:val="none"/>
        </w:rPr>
      </w:r>
      <w:r/>
    </w:p>
    <w:p>
      <w:pPr>
        <w:pStyle w:val="706"/>
        <w:ind w:firstLine="480"/>
        <w:spacing w:line="360" w:lineRule="auto"/>
        <w:tabs>
          <w:tab w:val="left" w:pos="0" w:leader="none"/>
        </w:tabs>
        <w:rPr>
          <w:rFonts w:ascii="宋体" w:hAnsi="宋体" w:eastAsia="宋体"/>
          <w:sz w:val="24"/>
          <w:szCs w:val="24"/>
          <w:highlight w:val="none"/>
        </w:rPr>
      </w:pPr>
      <w:r>
        <w:rPr>
          <w:rFonts w:hint="eastAsia" w:ascii="宋体" w:hAnsi="宋体" w:eastAsia="宋体"/>
          <w:sz w:val="24"/>
          <w:szCs w:val="24"/>
          <w:highlight w:val="none"/>
        </w:rPr>
        <w:t xml:space="preserve">5、《</w:t>
      </w:r>
      <w:r>
        <w:rPr>
          <w:rFonts w:ascii="宋体" w:hAnsi="宋体" w:eastAsia="宋体"/>
          <w:sz w:val="24"/>
          <w:szCs w:val="24"/>
          <w:highlight w:val="none"/>
        </w:rPr>
        <w:t xml:space="preserve">中小企业声明函</w:t>
      </w:r>
      <w:r>
        <w:rPr>
          <w:rFonts w:hint="eastAsia" w:ascii="宋体" w:hAnsi="宋体" w:eastAsia="宋体"/>
          <w:sz w:val="24"/>
          <w:szCs w:val="24"/>
          <w:highlight w:val="none"/>
        </w:rPr>
        <w:t xml:space="preserve">》或</w:t>
      </w:r>
      <w:r>
        <w:rPr>
          <w:rFonts w:ascii="宋体" w:hAnsi="宋体" w:eastAsia="宋体"/>
          <w:sz w:val="24"/>
          <w:szCs w:val="24"/>
          <w:highlight w:val="none"/>
        </w:rPr>
        <w:t xml:space="preserve">残疾人福利性单位声明函</w:t>
      </w:r>
      <w:r>
        <w:rPr>
          <w:rFonts w:hint="eastAsia" w:ascii="宋体" w:hAnsi="宋体" w:eastAsia="宋体"/>
          <w:sz w:val="24"/>
          <w:szCs w:val="24"/>
          <w:highlight w:val="none"/>
        </w:rPr>
        <w:t xml:space="preserve">或</w:t>
      </w:r>
      <w:r>
        <w:rPr>
          <w:rFonts w:ascii="宋体" w:hAnsi="宋体" w:eastAsia="宋体"/>
          <w:sz w:val="24"/>
          <w:szCs w:val="24"/>
          <w:highlight w:val="none"/>
        </w:rPr>
        <w:t xml:space="preserve">省级以上监狱管理局、戒毒管理局（含新疆生产建设兵团）出具的属于监狱企业的证明文件扫描件；</w:t>
      </w:r>
      <w:r>
        <w:rPr>
          <w:rFonts w:ascii="宋体" w:hAnsi="宋体" w:eastAsia="宋体"/>
          <w:sz w:val="24"/>
          <w:szCs w:val="24"/>
          <w:highlight w:val="none"/>
        </w:rPr>
      </w:r>
      <w:r/>
    </w:p>
    <w:p>
      <w:pPr>
        <w:pStyle w:val="706"/>
        <w:ind w:firstLine="420"/>
        <w:spacing w:line="360" w:lineRule="auto"/>
        <w:rPr>
          <w:rFonts w:hint="eastAsia" w:ascii="宋体" w:hAnsi="宋体" w:eastAsia="宋体"/>
          <w:b/>
          <w:sz w:val="24"/>
          <w:szCs w:val="24"/>
          <w:highlight w:val="none"/>
          <w:u w:val="single"/>
        </w:rPr>
      </w:pPr>
      <w:r>
        <w:rPr>
          <w:rFonts w:hint="eastAsia" w:ascii="宋体" w:hAnsi="宋体" w:eastAsia="宋体"/>
          <w:b/>
          <w:sz w:val="24"/>
          <w:szCs w:val="24"/>
          <w:highlight w:val="none"/>
          <w:u w:val="single"/>
        </w:rPr>
        <w:t xml:space="preserve">注：未提供、未按要求提供或者提供的</w:t>
      </w:r>
      <w:r>
        <w:rPr>
          <w:rFonts w:ascii="宋体" w:hAnsi="宋体" w:eastAsia="宋体"/>
          <w:b/>
          <w:sz w:val="24"/>
          <w:szCs w:val="24"/>
          <w:highlight w:val="none"/>
          <w:u w:val="single"/>
        </w:rPr>
        <w:t xml:space="preserve">中小企业声明函</w:t>
      </w:r>
      <w:r>
        <w:rPr>
          <w:rFonts w:hint="eastAsia" w:ascii="宋体" w:hAnsi="宋体" w:eastAsia="宋体"/>
          <w:b/>
          <w:sz w:val="24"/>
          <w:szCs w:val="24"/>
          <w:highlight w:val="none"/>
          <w:u w:val="single"/>
        </w:rPr>
        <w:t xml:space="preserve">或残疾人福利性单位声明函未加盖有公章的彩色扫描件上传</w:t>
      </w:r>
      <w:r>
        <w:rPr>
          <w:rFonts w:ascii="宋体" w:hAnsi="宋体" w:eastAsia="宋体"/>
          <w:b/>
          <w:sz w:val="24"/>
          <w:szCs w:val="24"/>
          <w:highlight w:val="none"/>
          <w:u w:val="single"/>
        </w:rPr>
        <w:t xml:space="preserve">至电子投标文件中</w:t>
      </w:r>
      <w:r>
        <w:rPr>
          <w:rFonts w:hint="eastAsia" w:ascii="宋体" w:hAnsi="宋体" w:eastAsia="宋体"/>
          <w:b/>
          <w:sz w:val="24"/>
          <w:szCs w:val="24"/>
          <w:highlight w:val="none"/>
          <w:u w:val="single"/>
        </w:rPr>
        <w:t xml:space="preserve">的不享受相关政策。</w:t>
      </w:r>
      <w:r>
        <w:rPr>
          <w:rFonts w:hint="eastAsia" w:ascii="宋体" w:hAnsi="宋体" w:eastAsia="宋体"/>
          <w:b/>
          <w:sz w:val="24"/>
          <w:szCs w:val="24"/>
          <w:highlight w:val="none"/>
          <w:u w:val="single"/>
        </w:rPr>
      </w:r>
      <w:r/>
    </w:p>
    <w:p>
      <w:pPr>
        <w:pStyle w:val="706"/>
        <w:ind w:firstLine="480"/>
        <w:spacing w:line="360" w:lineRule="auto"/>
        <w:tabs>
          <w:tab w:val="left" w:pos="0" w:leader="none"/>
        </w:tabs>
        <w:rPr>
          <w:rFonts w:ascii="宋体" w:hAnsi="宋体" w:eastAsia="宋体"/>
          <w:sz w:val="24"/>
          <w:szCs w:val="24"/>
          <w:highlight w:val="none"/>
        </w:rPr>
      </w:pPr>
      <w:r>
        <w:rPr>
          <w:rFonts w:hint="eastAsia" w:ascii="宋体" w:hAnsi="宋体" w:eastAsia="宋体"/>
          <w:sz w:val="24"/>
          <w:szCs w:val="24"/>
          <w:highlight w:val="none"/>
        </w:rPr>
        <w:t xml:space="preserve">6、关于资格文件的声明函；</w:t>
      </w:r>
      <w:r>
        <w:rPr>
          <w:rFonts w:ascii="宋体" w:hAnsi="宋体" w:eastAsia="宋体"/>
          <w:sz w:val="24"/>
          <w:szCs w:val="24"/>
          <w:highlight w:val="none"/>
        </w:rPr>
      </w:r>
      <w:r/>
    </w:p>
    <w:p>
      <w:pPr>
        <w:pStyle w:val="706"/>
        <w:ind w:firstLine="480"/>
        <w:spacing w:line="360" w:lineRule="auto"/>
        <w:tabs>
          <w:tab w:val="left" w:pos="0" w:leader="none"/>
        </w:tabs>
        <w:rPr>
          <w:rFonts w:ascii="宋体" w:hAnsi="宋体" w:eastAsia="宋体"/>
          <w:sz w:val="24"/>
          <w:szCs w:val="24"/>
          <w:highlight w:val="none"/>
        </w:rPr>
      </w:pPr>
      <w:r>
        <w:rPr>
          <w:rFonts w:hint="eastAsia" w:ascii="宋体" w:hAnsi="宋体" w:eastAsia="宋体"/>
          <w:sz w:val="24"/>
          <w:szCs w:val="24"/>
          <w:highlight w:val="none"/>
        </w:rPr>
        <w:t xml:space="preserve">7、磋商响应单位情况表，</w:t>
      </w:r>
      <w:r>
        <w:rPr>
          <w:rFonts w:hint="eastAsia" w:ascii="宋体" w:hAnsi="宋体" w:eastAsia="宋体"/>
          <w:sz w:val="24"/>
          <w:szCs w:val="24"/>
          <w:highlight w:val="none"/>
          <w:lang w:val="zh-CN"/>
        </w:rPr>
        <w:t xml:space="preserve">供应商与其他单位存在控股、管理关系情况表</w:t>
      </w:r>
      <w:r>
        <w:rPr>
          <w:rFonts w:hint="eastAsia" w:ascii="宋体" w:hAnsi="宋体" w:eastAsia="宋体"/>
          <w:sz w:val="24"/>
          <w:szCs w:val="24"/>
          <w:highlight w:val="none"/>
        </w:rPr>
        <w:t xml:space="preserve">；</w:t>
      </w:r>
      <w:r>
        <w:rPr>
          <w:rFonts w:ascii="宋体" w:hAnsi="宋体" w:eastAsia="宋体"/>
          <w:sz w:val="24"/>
          <w:szCs w:val="24"/>
          <w:highlight w:val="none"/>
        </w:rPr>
      </w:r>
      <w:r/>
    </w:p>
    <w:p>
      <w:pPr>
        <w:pStyle w:val="706"/>
        <w:ind w:firstLine="480"/>
        <w:spacing w:line="360" w:lineRule="auto"/>
        <w:tabs>
          <w:tab w:val="left" w:pos="0" w:leader="none"/>
        </w:tabs>
        <w:rPr>
          <w:rFonts w:ascii="宋体" w:hAnsi="宋体" w:eastAsia="宋体"/>
          <w:sz w:val="24"/>
          <w:szCs w:val="24"/>
          <w:highlight w:val="none"/>
        </w:rPr>
      </w:pPr>
      <w:r>
        <w:rPr>
          <w:rFonts w:hint="eastAsia" w:ascii="宋体" w:hAnsi="宋体" w:eastAsia="宋体"/>
          <w:sz w:val="24"/>
          <w:szCs w:val="24"/>
          <w:highlight w:val="none"/>
        </w:rPr>
        <w:t xml:space="preserve">8、磋商响应单位法定代表人身份证</w:t>
      </w:r>
      <w:r>
        <w:rPr>
          <w:rFonts w:hint="eastAsia" w:ascii="宋体" w:hAnsi="宋体" w:eastAsia="宋体"/>
          <w:bCs/>
          <w:sz w:val="24"/>
          <w:szCs w:val="24"/>
          <w:highlight w:val="none"/>
        </w:rPr>
        <w:t xml:space="preserve">扫描件</w:t>
      </w:r>
      <w:r>
        <w:rPr>
          <w:rFonts w:hint="eastAsia" w:ascii="宋体" w:hAnsi="宋体" w:eastAsia="宋体"/>
          <w:sz w:val="24"/>
          <w:szCs w:val="24"/>
          <w:highlight w:val="none"/>
        </w:rPr>
        <w:t xml:space="preserve">；</w:t>
      </w:r>
      <w:r>
        <w:rPr>
          <w:rFonts w:ascii="宋体" w:hAnsi="宋体" w:eastAsia="宋体"/>
          <w:sz w:val="24"/>
          <w:szCs w:val="24"/>
          <w:highlight w:val="none"/>
        </w:rPr>
      </w:r>
      <w:r/>
    </w:p>
    <w:p>
      <w:pPr>
        <w:pStyle w:val="706"/>
        <w:ind w:firstLine="480"/>
        <w:spacing w:line="360" w:lineRule="auto"/>
        <w:tabs>
          <w:tab w:val="left" w:pos="0" w:leader="none"/>
        </w:tabs>
        <w:rPr>
          <w:rFonts w:ascii="宋体" w:hAnsi="宋体" w:eastAsia="宋体"/>
          <w:sz w:val="24"/>
          <w:szCs w:val="24"/>
          <w:highlight w:val="none"/>
        </w:rPr>
      </w:pPr>
      <w:r>
        <w:rPr>
          <w:rFonts w:hint="eastAsia" w:ascii="宋体" w:hAnsi="宋体" w:eastAsia="宋体"/>
          <w:sz w:val="24"/>
          <w:szCs w:val="24"/>
          <w:highlight w:val="none"/>
        </w:rPr>
        <w:t xml:space="preserve">9、磋商响应单位代理人身份证</w:t>
      </w:r>
      <w:r>
        <w:rPr>
          <w:rFonts w:hint="eastAsia" w:ascii="宋体" w:hAnsi="宋体" w:eastAsia="宋体"/>
          <w:bCs/>
          <w:sz w:val="24"/>
          <w:szCs w:val="24"/>
          <w:highlight w:val="none"/>
        </w:rPr>
        <w:t xml:space="preserve">扫描件</w:t>
      </w:r>
      <w:r>
        <w:rPr>
          <w:rFonts w:hint="eastAsia" w:ascii="宋体" w:hAnsi="宋体" w:eastAsia="宋体"/>
          <w:sz w:val="24"/>
          <w:szCs w:val="24"/>
          <w:highlight w:val="none"/>
        </w:rPr>
        <w:t xml:space="preserve">（如有授权）；</w:t>
      </w:r>
      <w:r>
        <w:rPr>
          <w:rFonts w:ascii="宋体" w:hAnsi="宋体" w:eastAsia="宋体"/>
          <w:sz w:val="24"/>
          <w:szCs w:val="24"/>
          <w:highlight w:val="none"/>
        </w:rPr>
      </w:r>
      <w:r/>
    </w:p>
    <w:p>
      <w:pPr>
        <w:pStyle w:val="706"/>
        <w:ind w:firstLine="48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10、《商务</w:t>
      </w:r>
      <w:r>
        <w:rPr>
          <w:rFonts w:hint="eastAsia" w:ascii="宋体" w:hAnsi="宋体" w:eastAsia="宋体"/>
          <w:sz w:val="24"/>
          <w:szCs w:val="24"/>
          <w:highlight w:val="none"/>
          <w:lang w:val="en-US" w:eastAsia="zh-CN"/>
        </w:rPr>
        <w:t xml:space="preserve">技术</w:t>
      </w:r>
      <w:r>
        <w:rPr>
          <w:rFonts w:hint="eastAsia" w:ascii="宋体" w:hAnsi="宋体" w:eastAsia="宋体"/>
          <w:sz w:val="24"/>
          <w:szCs w:val="24"/>
          <w:highlight w:val="none"/>
        </w:rPr>
        <w:t xml:space="preserve">条款偏离表》；</w:t>
      </w:r>
      <w:r>
        <w:rPr>
          <w:rFonts w:hint="eastAsia" w:ascii="宋体" w:hAnsi="宋体" w:eastAsia="宋体"/>
          <w:sz w:val="24"/>
          <w:szCs w:val="24"/>
          <w:highlight w:val="none"/>
        </w:rPr>
      </w:r>
      <w:r/>
    </w:p>
    <w:p>
      <w:pPr>
        <w:pStyle w:val="706"/>
        <w:ind w:firstLine="482"/>
        <w:spacing w:line="360" w:lineRule="auto"/>
        <w:rPr>
          <w:rFonts w:ascii="宋体" w:hAnsi="宋体" w:eastAsia="宋体"/>
          <w:b/>
          <w:bCs/>
          <w:sz w:val="24"/>
          <w:szCs w:val="24"/>
          <w:highlight w:val="none"/>
        </w:rPr>
      </w:pPr>
      <w:r>
        <w:rPr>
          <w:rFonts w:hint="eastAsia" w:ascii="宋体" w:hAnsi="宋体" w:eastAsia="宋体"/>
          <w:b/>
          <w:bCs/>
          <w:sz w:val="24"/>
          <w:szCs w:val="24"/>
          <w:highlight w:val="none"/>
        </w:rPr>
        <w:t xml:space="preserve">11、供应商一般资格条件证明文件：</w:t>
      </w:r>
      <w:r>
        <w:rPr>
          <w:rFonts w:ascii="宋体" w:hAnsi="宋体" w:eastAsia="宋体"/>
          <w:b/>
          <w:bCs/>
          <w:sz w:val="24"/>
          <w:szCs w:val="24"/>
          <w:highlight w:val="none"/>
        </w:rPr>
      </w:r>
      <w:r/>
    </w:p>
    <w:p>
      <w:pPr>
        <w:pStyle w:val="706"/>
        <w:ind w:firstLine="480"/>
        <w:spacing w:line="360" w:lineRule="auto"/>
        <w:tabs>
          <w:tab w:val="left" w:pos="0" w:leader="none"/>
        </w:tabs>
        <w:rPr>
          <w:rFonts w:ascii="宋体" w:hAnsi="宋体" w:eastAsia="宋体"/>
          <w:sz w:val="24"/>
          <w:szCs w:val="24"/>
          <w:highlight w:val="none"/>
        </w:rPr>
      </w:pPr>
      <w:r>
        <w:rPr>
          <w:rFonts w:hint="eastAsia" w:ascii="宋体" w:hAnsi="宋体" w:eastAsia="宋体"/>
          <w:sz w:val="24"/>
          <w:szCs w:val="24"/>
          <w:highlight w:val="none"/>
        </w:rPr>
        <w:t xml:space="preserve">①具有独立承担民事责任的能力：包括法人或者其他组织的营业执照等证明文件，自然人身份证明；</w:t>
      </w:r>
      <w:r>
        <w:rPr>
          <w:rFonts w:ascii="宋体" w:hAnsi="宋体" w:eastAsia="宋体"/>
          <w:sz w:val="24"/>
          <w:szCs w:val="24"/>
          <w:highlight w:val="none"/>
        </w:rPr>
      </w:r>
      <w:r/>
    </w:p>
    <w:p>
      <w:pPr>
        <w:pStyle w:val="706"/>
        <w:ind w:firstLine="480"/>
        <w:spacing w:line="360" w:lineRule="auto"/>
        <w:tabs>
          <w:tab w:val="left" w:pos="0" w:leader="none"/>
        </w:tabs>
        <w:rPr>
          <w:rFonts w:ascii="宋体" w:hAnsi="宋体" w:eastAsia="宋体"/>
          <w:sz w:val="24"/>
          <w:szCs w:val="24"/>
          <w:highlight w:val="none"/>
        </w:rPr>
      </w:pPr>
      <w:r>
        <w:rPr>
          <w:rFonts w:hint="eastAsia" w:ascii="宋体" w:hAnsi="宋体" w:eastAsia="宋体"/>
          <w:sz w:val="24"/>
          <w:szCs w:val="24"/>
          <w:highlight w:val="none"/>
        </w:rPr>
        <w:t xml:space="preserve">②具有良好的商业信誉和健全的财务会计制度：</w:t>
      </w:r>
      <w:r>
        <w:rPr>
          <w:rFonts w:hint="eastAsia" w:ascii="宋体" w:hAnsi="宋体" w:eastAsia="宋体"/>
          <w:sz w:val="24"/>
          <w:highlight w:val="none"/>
        </w:rPr>
        <w:t xml:space="preserve">包括但不限于最近一期经审计的财务报告或其基本开户银行出具的资信证明，其他组织、自然人及成立未满一年的法人应提供银行出具的资信证明</w:t>
      </w:r>
      <w:r>
        <w:rPr>
          <w:rFonts w:hint="eastAsia" w:ascii="宋体" w:hAnsi="宋体" w:eastAsia="宋体"/>
          <w:sz w:val="24"/>
          <w:szCs w:val="24"/>
          <w:highlight w:val="none"/>
        </w:rPr>
        <w:t xml:space="preserve">；</w:t>
      </w:r>
      <w:r>
        <w:rPr>
          <w:rFonts w:ascii="宋体" w:hAnsi="宋体" w:eastAsia="宋体"/>
          <w:sz w:val="24"/>
          <w:szCs w:val="24"/>
          <w:highlight w:val="none"/>
        </w:rPr>
      </w:r>
      <w:r/>
    </w:p>
    <w:p>
      <w:pPr>
        <w:pStyle w:val="706"/>
        <w:ind w:firstLine="480"/>
        <w:spacing w:line="360" w:lineRule="auto"/>
        <w:tabs>
          <w:tab w:val="left" w:pos="0" w:leader="none"/>
        </w:tabs>
        <w:rPr>
          <w:rFonts w:ascii="宋体" w:hAnsi="宋体" w:eastAsia="宋体"/>
          <w:sz w:val="24"/>
          <w:szCs w:val="24"/>
          <w:highlight w:val="none"/>
        </w:rPr>
      </w:pPr>
      <w:r>
        <w:rPr>
          <w:rFonts w:hint="eastAsia" w:ascii="宋体" w:hAnsi="宋体" w:eastAsia="宋体"/>
          <w:sz w:val="24"/>
          <w:szCs w:val="24"/>
          <w:highlight w:val="none"/>
        </w:rPr>
        <w:t xml:space="preserve">③具有履行合同所必需的设备和专业技术能力证明资料或声明函；</w:t>
      </w:r>
      <w:r>
        <w:rPr>
          <w:rFonts w:ascii="宋体" w:hAnsi="宋体" w:eastAsia="宋体"/>
          <w:sz w:val="24"/>
          <w:szCs w:val="24"/>
          <w:highlight w:val="none"/>
        </w:rPr>
      </w:r>
      <w:r/>
    </w:p>
    <w:p>
      <w:pPr>
        <w:pStyle w:val="706"/>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④有依法缴纳税收和社会保障资金的良好记录:</w:t>
      </w:r>
      <w:r>
        <w:rPr>
          <w:rFonts w:hint="eastAsia" w:ascii="宋体" w:hAnsi="宋体" w:eastAsia="宋体"/>
          <w:sz w:val="24"/>
          <w:highlight w:val="none"/>
        </w:rPr>
        <w:t xml:space="preserve">投标截止时间前六个月内依法缴纳税收的凭据</w:t>
      </w:r>
      <w:r>
        <w:rPr>
          <w:rFonts w:hint="eastAsia" w:ascii="宋体" w:hAnsi="宋体" w:eastAsia="宋体"/>
          <w:sz w:val="24"/>
          <w:szCs w:val="24"/>
          <w:highlight w:val="none"/>
        </w:rPr>
        <w:t xml:space="preserve">，如为依法免税或不需要缴纳的，投标人则须提供对应证明资料，否则不予认可；社会保险登记证（如有）和投标截止时间前六个月内依法缴纳社会保险的凭据（专用收据或社会保险缴纳清单）；</w:t>
      </w:r>
      <w:r>
        <w:rPr>
          <w:rFonts w:ascii="宋体" w:hAnsi="宋体" w:eastAsia="宋体"/>
          <w:sz w:val="24"/>
          <w:szCs w:val="24"/>
          <w:highlight w:val="none"/>
        </w:rPr>
      </w:r>
      <w:r/>
    </w:p>
    <w:p>
      <w:pPr>
        <w:pStyle w:val="706"/>
        <w:ind w:firstLine="480"/>
        <w:spacing w:line="360" w:lineRule="auto"/>
        <w:tabs>
          <w:tab w:val="left" w:pos="0" w:leader="none"/>
        </w:tabs>
        <w:rPr>
          <w:rFonts w:ascii="宋体" w:hAnsi="宋体" w:eastAsia="宋体"/>
          <w:sz w:val="24"/>
          <w:szCs w:val="24"/>
          <w:highlight w:val="none"/>
        </w:rPr>
      </w:pPr>
      <w:r>
        <w:rPr>
          <w:rFonts w:hint="eastAsia" w:ascii="宋体" w:hAnsi="宋体" w:eastAsia="宋体"/>
          <w:sz w:val="24"/>
          <w:szCs w:val="24"/>
          <w:highlight w:val="none"/>
        </w:rPr>
        <w:t xml:space="preserve">⑤参加政府采购活动近三年内，在经营活动中没有重大违法记录的书面声明函（格式自拟）；</w:t>
      </w:r>
      <w:r>
        <w:rPr>
          <w:rFonts w:ascii="宋体" w:hAnsi="宋体" w:eastAsia="宋体"/>
          <w:sz w:val="24"/>
          <w:szCs w:val="24"/>
          <w:highlight w:val="none"/>
        </w:rPr>
      </w:r>
      <w:r/>
    </w:p>
    <w:p>
      <w:pPr>
        <w:pStyle w:val="706"/>
        <w:numPr>
          <w:ilvl w:val="0"/>
          <w:numId w:val="0"/>
        </w:numPr>
        <w:ind w:left="862" w:hanging="720"/>
        <w:spacing w:line="360" w:lineRule="auto"/>
        <w:tabs>
          <w:tab w:val="left" w:pos="0" w:leader="none"/>
        </w:tabs>
        <w:rPr>
          <w:rFonts w:hint="eastAsia" w:ascii="宋体" w:hAnsi="宋体" w:eastAsia="宋体"/>
          <w:b/>
          <w:sz w:val="24"/>
          <w:szCs w:val="24"/>
          <w:highlight w:val="none"/>
        </w:rPr>
      </w:pPr>
      <w:r>
        <w:rPr>
          <w:rFonts w:ascii="宋体" w:hAnsi="宋体" w:eastAsia="宋体"/>
          <w:b/>
          <w:sz w:val="24"/>
          <w:szCs w:val="24"/>
          <w:highlight w:val="none"/>
          <w:lang w:val="en-US" w:eastAsia="zh-CN" w:bidi="ar-SA"/>
        </w:rPr>
        <w:t xml:space="preserve">1</w:t>
      </w:r>
      <w:r>
        <w:rPr>
          <w:rFonts w:hint="eastAsia" w:ascii="宋体" w:hAnsi="宋体" w:eastAsia="宋体"/>
          <w:b/>
          <w:sz w:val="24"/>
          <w:szCs w:val="24"/>
          <w:highlight w:val="none"/>
          <w:lang w:val="en-US" w:eastAsia="zh-CN" w:bidi="ar-SA"/>
        </w:rPr>
        <w:t xml:space="preserve">2</w:t>
      </w:r>
      <w:r>
        <w:rPr>
          <w:rFonts w:ascii="宋体" w:hAnsi="宋体" w:eastAsia="宋体"/>
          <w:b/>
          <w:sz w:val="24"/>
          <w:szCs w:val="24"/>
          <w:highlight w:val="none"/>
          <w:lang w:val="en-US" w:eastAsia="zh-CN" w:bidi="ar-SA"/>
        </w:rPr>
        <w:t xml:space="preserve">、</w:t>
      </w:r>
      <w:r>
        <w:rPr>
          <w:rFonts w:hint="eastAsia" w:ascii="宋体" w:hAnsi="宋体" w:eastAsia="宋体"/>
          <w:b/>
          <w:sz w:val="24"/>
          <w:szCs w:val="24"/>
          <w:highlight w:val="none"/>
        </w:rPr>
        <w:t xml:space="preserve">供应商特殊资格条件证明文件：</w:t>
      </w:r>
      <w:r>
        <w:rPr>
          <w:rFonts w:hint="eastAsia" w:ascii="宋体" w:hAnsi="宋体" w:eastAsia="宋体"/>
          <w:b/>
          <w:sz w:val="24"/>
          <w:szCs w:val="24"/>
          <w:highlight w:val="none"/>
        </w:rPr>
      </w:r>
      <w:r/>
    </w:p>
    <w:p>
      <w:pPr>
        <w:pStyle w:val="706"/>
        <w:ind w:firstLine="48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（1）磋商供应商具有市政公用工程施工总承包三级(含)以上资质扫描件；</w:t>
      </w:r>
      <w:r>
        <w:rPr>
          <w:rFonts w:hint="eastAsia" w:ascii="宋体" w:hAnsi="宋体" w:eastAsia="宋体"/>
          <w:sz w:val="24"/>
          <w:szCs w:val="24"/>
          <w:highlight w:val="none"/>
        </w:rPr>
      </w:r>
      <w:r/>
    </w:p>
    <w:p>
      <w:pPr>
        <w:pStyle w:val="706"/>
        <w:ind w:firstLine="48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（2）磋商供应商具备安全生产条件：安全生产许可证扫描件；</w:t>
      </w:r>
      <w:r>
        <w:rPr>
          <w:rFonts w:hint="eastAsia" w:ascii="宋体" w:hAnsi="宋体" w:eastAsia="宋体"/>
          <w:sz w:val="24"/>
          <w:szCs w:val="24"/>
          <w:highlight w:val="none"/>
        </w:rPr>
      </w:r>
      <w:r/>
    </w:p>
    <w:p>
      <w:pPr>
        <w:pStyle w:val="706"/>
        <w:ind w:firstLine="480"/>
        <w:spacing w:line="360" w:lineRule="auto"/>
        <w:tabs>
          <w:tab w:val="left" w:pos="0" w:leader="none"/>
        </w:tabs>
        <w:rPr>
          <w:rFonts w:ascii="宋体" w:hAnsi="宋体" w:eastAsia="宋体"/>
          <w:bCs/>
          <w:sz w:val="24"/>
          <w:szCs w:val="24"/>
          <w:highlight w:val="none"/>
        </w:rPr>
      </w:pPr>
      <w:r>
        <w:rPr>
          <w:rFonts w:hint="eastAsia" w:ascii="宋体" w:hAnsi="宋体" w:eastAsia="宋体" w:cs="宋体"/>
          <w:sz w:val="24"/>
          <w:szCs w:val="24"/>
          <w:highlight w:val="none"/>
        </w:rPr>
        <w:t xml:space="preserve">（3）拟选派项目经理市政公用工程二级注册建造师及以上资质证书扫描件、</w:t>
      </w:r>
      <w:r>
        <w:rPr>
          <w:rFonts w:hint="eastAsia" w:ascii="宋体" w:hAnsi="宋体" w:eastAsia="宋体"/>
          <w:sz w:val="24"/>
          <w:szCs w:val="24"/>
          <w:highlight w:val="none"/>
        </w:rPr>
        <w:t xml:space="preserve">《建筑施工企业项目负责人安全生产考核合格证书》（B类）扫描件及响应单位为其缴纳社保证明扫描件；</w:t>
      </w:r>
      <w:r>
        <w:rPr>
          <w:rFonts w:ascii="宋体" w:hAnsi="宋体" w:eastAsia="宋体"/>
          <w:bCs/>
          <w:sz w:val="24"/>
          <w:szCs w:val="24"/>
          <w:highlight w:val="none"/>
        </w:rPr>
      </w:r>
      <w:r/>
    </w:p>
    <w:p>
      <w:pPr>
        <w:pStyle w:val="706"/>
        <w:ind w:firstLine="480"/>
        <w:spacing w:line="360" w:lineRule="auto"/>
        <w:tabs>
          <w:tab w:val="left" w:pos="0" w:leader="none"/>
        </w:tabs>
        <w:rPr>
          <w:rFonts w:hint="eastAsia" w:ascii="宋体" w:hAnsi="宋体" w:eastAsia="宋体"/>
          <w:bCs/>
          <w:sz w:val="24"/>
          <w:szCs w:val="24"/>
          <w:highlight w:val="none"/>
        </w:rPr>
      </w:pPr>
      <w:r>
        <w:rPr>
          <w:rFonts w:hint="eastAsia" w:ascii="宋体" w:hAnsi="宋体" w:eastAsia="宋体"/>
          <w:bCs/>
          <w:sz w:val="24"/>
          <w:szCs w:val="24"/>
          <w:highlight w:val="none"/>
        </w:rPr>
        <w:t xml:space="preserve">（4）项目经理无在建工程承诺书（格式自拟）；</w:t>
      </w:r>
      <w:r>
        <w:rPr>
          <w:rFonts w:hint="eastAsia" w:ascii="宋体" w:hAnsi="宋体" w:eastAsia="宋体"/>
          <w:bCs/>
          <w:sz w:val="24"/>
          <w:szCs w:val="24"/>
          <w:highlight w:val="none"/>
        </w:rPr>
      </w:r>
      <w:r/>
    </w:p>
    <w:p>
      <w:pPr>
        <w:pStyle w:val="706"/>
        <w:ind w:firstLine="480"/>
        <w:spacing w:line="360" w:lineRule="auto"/>
        <w:tabs>
          <w:tab w:val="left" w:pos="0" w:leader="none"/>
        </w:tabs>
        <w:rPr>
          <w:rFonts w:ascii="宋体" w:hAnsi="宋体" w:eastAsia="宋体"/>
          <w:sz w:val="24"/>
          <w:szCs w:val="24"/>
          <w:highlight w:val="none"/>
        </w:rPr>
      </w:pPr>
      <w:r>
        <w:rPr>
          <w:rFonts w:hint="eastAsia" w:ascii="宋体" w:hAnsi="宋体" w:eastAsia="宋体"/>
          <w:sz w:val="24"/>
          <w:szCs w:val="24"/>
          <w:highlight w:val="none"/>
        </w:rPr>
        <w:t xml:space="preserve">1</w:t>
      </w:r>
      <w:r>
        <w:rPr>
          <w:rFonts w:hint="eastAsia" w:ascii="宋体" w:hAnsi="宋体" w:eastAsia="宋体"/>
          <w:sz w:val="24"/>
          <w:szCs w:val="24"/>
          <w:highlight w:val="none"/>
          <w:lang w:val="en-US" w:eastAsia="zh-CN"/>
        </w:rPr>
        <w:t xml:space="preserve">3</w:t>
      </w:r>
      <w:r>
        <w:rPr>
          <w:rFonts w:hint="eastAsia" w:ascii="宋体" w:hAnsi="宋体" w:eastAsia="宋体"/>
          <w:sz w:val="24"/>
          <w:szCs w:val="24"/>
          <w:highlight w:val="none"/>
        </w:rPr>
        <w:t xml:space="preserve">、类似业绩一览表及相关附件；</w:t>
      </w:r>
      <w:r>
        <w:rPr>
          <w:rFonts w:ascii="宋体" w:hAnsi="宋体" w:eastAsia="宋体"/>
          <w:sz w:val="24"/>
          <w:szCs w:val="24"/>
          <w:highlight w:val="none"/>
        </w:rPr>
      </w:r>
      <w:r/>
    </w:p>
    <w:p>
      <w:pPr>
        <w:pStyle w:val="706"/>
        <w:ind w:firstLine="480"/>
        <w:spacing w:line="360" w:lineRule="auto"/>
        <w:tabs>
          <w:tab w:val="left" w:pos="0" w:leader="none"/>
        </w:tabs>
        <w:rPr>
          <w:rFonts w:ascii="宋体" w:hAnsi="宋体" w:eastAsia="宋体"/>
          <w:sz w:val="24"/>
          <w:szCs w:val="24"/>
          <w:highlight w:val="none"/>
        </w:rPr>
      </w:pPr>
      <w:r>
        <w:rPr>
          <w:rFonts w:hint="eastAsia" w:ascii="宋体" w:hAnsi="宋体" w:eastAsia="宋体"/>
          <w:sz w:val="24"/>
          <w:szCs w:val="24"/>
          <w:highlight w:val="none"/>
        </w:rPr>
        <w:t xml:space="preserve">1</w:t>
      </w:r>
      <w:r>
        <w:rPr>
          <w:rFonts w:hint="eastAsia" w:ascii="宋体" w:hAnsi="宋体" w:eastAsia="宋体"/>
          <w:sz w:val="24"/>
          <w:szCs w:val="24"/>
          <w:highlight w:val="none"/>
          <w:lang w:val="en-US" w:eastAsia="zh-CN"/>
        </w:rPr>
        <w:t xml:space="preserve">4</w:t>
      </w:r>
      <w:r>
        <w:rPr>
          <w:rFonts w:hint="eastAsia" w:ascii="宋体" w:hAnsi="宋体" w:eastAsia="宋体"/>
          <w:sz w:val="24"/>
          <w:szCs w:val="24"/>
          <w:highlight w:val="none"/>
        </w:rPr>
        <w:t xml:space="preserve">、施工组织设计；</w:t>
      </w:r>
      <w:r>
        <w:rPr>
          <w:rFonts w:ascii="宋体" w:hAnsi="宋体" w:eastAsia="宋体"/>
          <w:sz w:val="24"/>
          <w:szCs w:val="24"/>
          <w:highlight w:val="none"/>
        </w:rPr>
      </w:r>
      <w:r/>
    </w:p>
    <w:p>
      <w:pPr>
        <w:pStyle w:val="706"/>
        <w:ind w:firstLine="480"/>
        <w:spacing w:line="360" w:lineRule="auto"/>
        <w:tabs>
          <w:tab w:val="left" w:pos="0" w:leader="none"/>
        </w:tabs>
        <w:rPr>
          <w:rFonts w:ascii="宋体" w:hAnsi="宋体" w:eastAsia="宋体"/>
          <w:sz w:val="24"/>
          <w:szCs w:val="24"/>
          <w:highlight w:val="none"/>
        </w:rPr>
      </w:pPr>
      <w:r>
        <w:rPr>
          <w:rFonts w:hint="eastAsia" w:ascii="宋体" w:hAnsi="宋体" w:eastAsia="宋体"/>
          <w:sz w:val="24"/>
          <w:szCs w:val="24"/>
          <w:highlight w:val="none"/>
        </w:rPr>
        <w:t xml:space="preserve">1</w:t>
      </w:r>
      <w:r>
        <w:rPr>
          <w:rFonts w:hint="eastAsia" w:ascii="宋体" w:hAnsi="宋体" w:eastAsia="宋体"/>
          <w:sz w:val="24"/>
          <w:szCs w:val="24"/>
          <w:highlight w:val="none"/>
          <w:lang w:val="en-US" w:eastAsia="zh-CN"/>
        </w:rPr>
        <w:t xml:space="preserve">5</w:t>
      </w:r>
      <w:r>
        <w:rPr>
          <w:rFonts w:hint="eastAsia" w:ascii="宋体" w:hAnsi="宋体" w:eastAsia="宋体"/>
          <w:sz w:val="24"/>
          <w:szCs w:val="24"/>
          <w:highlight w:val="none"/>
        </w:rPr>
        <w:t xml:space="preserve">、施工组织机构人员名单；</w:t>
      </w:r>
      <w:r>
        <w:rPr>
          <w:rFonts w:ascii="宋体" w:hAnsi="宋体" w:eastAsia="宋体"/>
          <w:sz w:val="24"/>
          <w:szCs w:val="24"/>
          <w:highlight w:val="none"/>
        </w:rPr>
      </w:r>
      <w:r/>
    </w:p>
    <w:p>
      <w:pPr>
        <w:pStyle w:val="706"/>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1</w:t>
      </w:r>
      <w:r>
        <w:rPr>
          <w:rFonts w:hint="eastAsia" w:ascii="宋体" w:hAnsi="宋体" w:eastAsia="宋体"/>
          <w:sz w:val="24"/>
          <w:szCs w:val="24"/>
          <w:highlight w:val="none"/>
          <w:lang w:val="en-US" w:eastAsia="zh-CN"/>
        </w:rPr>
        <w:t xml:space="preserve">6</w:t>
      </w:r>
      <w:r>
        <w:rPr>
          <w:rFonts w:hint="eastAsia" w:ascii="宋体" w:hAnsi="宋体" w:eastAsia="宋体"/>
          <w:sz w:val="24"/>
          <w:szCs w:val="24"/>
          <w:highlight w:val="none"/>
        </w:rPr>
        <w:t xml:space="preserve">、采购文件要求提供的其他资料及响应单位认为应提交的资料。</w:t>
      </w:r>
      <w:r>
        <w:rPr>
          <w:rFonts w:ascii="宋体" w:hAnsi="宋体" w:eastAsia="宋体"/>
          <w:sz w:val="24"/>
          <w:szCs w:val="24"/>
          <w:highlight w:val="none"/>
        </w:rPr>
      </w:r>
      <w:r/>
    </w:p>
    <w:p>
      <w:pPr>
        <w:pStyle w:val="706"/>
        <w:ind w:firstLine="480"/>
        <w:spacing w:line="360" w:lineRule="auto"/>
        <w:tabs>
          <w:tab w:val="left" w:pos="753" w:leader="none"/>
        </w:tabs>
        <w:rPr>
          <w:rFonts w:ascii="宋体" w:hAnsi="宋体" w:eastAsia="宋体"/>
          <w:sz w:val="24"/>
          <w:szCs w:val="24"/>
          <w:highlight w:val="none"/>
        </w:rPr>
      </w:pPr>
      <w:r>
        <w:rPr>
          <w:rFonts w:hint="eastAsia" w:ascii="宋体" w:hAnsi="宋体" w:eastAsia="宋体"/>
          <w:sz w:val="24"/>
          <w:szCs w:val="24"/>
          <w:highlight w:val="none"/>
        </w:rPr>
        <w:t xml:space="preserve">（二）电子磋商响应文件编制及提交：</w:t>
      </w:r>
      <w:r>
        <w:rPr>
          <w:rFonts w:ascii="宋体" w:hAnsi="宋体" w:eastAsia="宋体"/>
          <w:sz w:val="24"/>
          <w:szCs w:val="24"/>
          <w:highlight w:val="none"/>
        </w:rPr>
      </w:r>
      <w:r/>
    </w:p>
    <w:p>
      <w:pPr>
        <w:pStyle w:val="706"/>
        <w:ind w:firstLine="480"/>
        <w:spacing w:line="360" w:lineRule="auto"/>
        <w:rPr>
          <w:rFonts w:ascii="宋体" w:hAnsi="宋体" w:eastAsia="宋体"/>
          <w:b/>
          <w:bCs/>
          <w:sz w:val="24"/>
          <w:szCs w:val="24"/>
          <w:highlight w:val="none"/>
        </w:rPr>
      </w:pPr>
      <w:r>
        <w:rPr>
          <w:rFonts w:hint="eastAsia" w:ascii="宋体" w:hAnsi="宋体" w:eastAsia="宋体"/>
          <w:sz w:val="24"/>
          <w:szCs w:val="24"/>
          <w:highlight w:val="none"/>
        </w:rPr>
        <w:t xml:space="preserve">1、本项目为网上招投标项目，供应商应登陆苏采云系统、线上获取招标（采购）文件，线上获取更正（补充）文件、对投标（响应）文件进行电子签章、线上递交投标（响应）文件；应使用电子投标文件制作工具制作电子版投标（响应）文件。</w:t>
      </w:r>
      <w:r>
        <w:rPr>
          <w:rFonts w:hint="eastAsia" w:ascii="宋体" w:hAnsi="宋体" w:eastAsia="宋体"/>
          <w:b/>
          <w:bCs/>
          <w:sz w:val="24"/>
          <w:szCs w:val="24"/>
          <w:highlight w:val="none"/>
        </w:rPr>
        <w:t xml:space="preserve">电子投标（响应）文件制作完成后请于上传截止前成功上传，未按要求线上递交电子投标（响应）文件将被拒收。</w:t>
      </w:r>
      <w:r>
        <w:rPr>
          <w:rFonts w:ascii="宋体" w:hAnsi="宋体" w:eastAsia="宋体"/>
          <w:b/>
          <w:bCs/>
          <w:sz w:val="24"/>
          <w:szCs w:val="24"/>
          <w:highlight w:val="none"/>
        </w:rPr>
      </w:r>
      <w:r/>
    </w:p>
    <w:p>
      <w:pPr>
        <w:pStyle w:val="1045"/>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2、电子投标（响应）文件制作工具下载：</w:t>
      </w:r>
      <w:r>
        <w:rPr>
          <w:rFonts w:ascii="宋体" w:hAnsi="宋体" w:eastAsia="宋体" w:cs="宋体"/>
          <w:sz w:val="24"/>
          <w:szCs w:val="24"/>
          <w:highlight w:val="none"/>
        </w:rPr>
      </w:r>
      <w:r/>
    </w:p>
    <w:p>
      <w:pPr>
        <w:pStyle w:val="1045"/>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电子投标文件制作工具下载：详见苏州市政府采购网-苏采云登陆页面右下角点击驱动下载。使用指南见《苏采云系统供应商操作手册》。</w:t>
      </w:r>
      <w:r>
        <w:rPr>
          <w:rFonts w:ascii="宋体" w:hAnsi="宋体" w:eastAsia="宋体" w:cs="宋体"/>
          <w:sz w:val="24"/>
          <w:szCs w:val="24"/>
          <w:highlight w:val="none"/>
        </w:rPr>
      </w:r>
      <w:r/>
    </w:p>
    <w:p>
      <w:pPr>
        <w:pStyle w:val="1045"/>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3、电子投标（响应）文件制作与提交：</w:t>
      </w:r>
      <w:r>
        <w:rPr>
          <w:rFonts w:ascii="宋体" w:hAnsi="宋体" w:eastAsia="宋体" w:cs="宋体"/>
          <w:sz w:val="24"/>
          <w:szCs w:val="24"/>
          <w:highlight w:val="none"/>
        </w:rPr>
      </w:r>
      <w:r/>
    </w:p>
    <w:p>
      <w:pPr>
        <w:pStyle w:val="1045"/>
        <w:ind w:firstLine="480"/>
        <w:jc w:val="left"/>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供应商根据《苏采云系统供应商操作手册》进行操作。制作电子投标文件时必须与投标文件制作软件目录一一对应，将相关资料上传至相应模块。</w:t>
      </w:r>
      <w:r>
        <w:rPr>
          <w:rFonts w:hint="eastAsia" w:ascii="宋体" w:hAnsi="宋体" w:eastAsia="宋体" w:cs="宋体"/>
          <w:b/>
          <w:sz w:val="24"/>
          <w:szCs w:val="24"/>
          <w:highlight w:val="none"/>
        </w:rPr>
        <w:t xml:space="preserve">需对投标（响应）文件中涉及的扫描件（复印件）及需要加盖公章的部分进行签章，否则视为未提供相对应项。</w:t>
      </w:r>
      <w:r>
        <w:rPr>
          <w:rFonts w:hint="eastAsia" w:ascii="宋体" w:hAnsi="宋体" w:eastAsia="宋体" w:cs="宋体"/>
          <w:b/>
          <w:sz w:val="24"/>
          <w:szCs w:val="24"/>
          <w:highlight w:val="none"/>
        </w:rPr>
      </w:r>
      <w:r/>
    </w:p>
    <w:p>
      <w:pPr>
        <w:pStyle w:val="706"/>
        <w:ind w:left="42" w:firstLine="42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4、投标</w:t>
      </w:r>
      <w:r>
        <w:rPr>
          <w:rFonts w:hint="eastAsia" w:ascii="宋体" w:hAnsi="宋体" w:eastAsia="宋体" w:cs="宋体"/>
          <w:b/>
          <w:bCs/>
          <w:sz w:val="24"/>
          <w:szCs w:val="24"/>
          <w:highlight w:val="none"/>
        </w:rPr>
        <w:t xml:space="preserve">（响应）</w:t>
      </w:r>
      <w:r>
        <w:rPr>
          <w:rFonts w:hint="eastAsia" w:ascii="宋体" w:hAnsi="宋体" w:eastAsia="宋体" w:cs="宋体"/>
          <w:b/>
          <w:sz w:val="24"/>
          <w:szCs w:val="24"/>
          <w:highlight w:val="none"/>
        </w:rPr>
        <w:t xml:space="preserve">文件制作完成后导出投标</w:t>
      </w:r>
      <w:r>
        <w:rPr>
          <w:rFonts w:hint="eastAsia" w:ascii="宋体" w:hAnsi="宋体" w:eastAsia="宋体" w:cs="宋体"/>
          <w:b/>
          <w:bCs/>
          <w:sz w:val="24"/>
          <w:szCs w:val="24"/>
          <w:highlight w:val="none"/>
        </w:rPr>
        <w:t xml:space="preserve">（响应）</w:t>
      </w:r>
      <w:r>
        <w:rPr>
          <w:rFonts w:hint="eastAsia" w:ascii="宋体" w:hAnsi="宋体" w:eastAsia="宋体" w:cs="宋体"/>
          <w:b/>
          <w:sz w:val="24"/>
          <w:szCs w:val="24"/>
          <w:highlight w:val="none"/>
        </w:rPr>
        <w:t xml:space="preserve">文件，在“参与详情”页面上传已制作完成的投标（响应）文件。</w:t>
      </w:r>
      <w:r>
        <w:rPr>
          <w:rFonts w:hint="eastAsia" w:ascii="宋体" w:hAnsi="宋体" w:eastAsia="宋体" w:cs="宋体"/>
          <w:b/>
          <w:sz w:val="24"/>
          <w:szCs w:val="24"/>
          <w:highlight w:val="none"/>
        </w:rPr>
      </w:r>
      <w:r/>
    </w:p>
    <w:p>
      <w:pPr>
        <w:pStyle w:val="706"/>
        <w:ind w:left="42" w:firstLine="420"/>
        <w:spacing w:line="360" w:lineRule="auto"/>
        <w:rPr>
          <w:rFonts w:ascii="宋体" w:hAnsi="宋体" w:eastAsia="宋体" w:cs="宋体"/>
          <w:bCs/>
          <w:sz w:val="24"/>
          <w:szCs w:val="24"/>
          <w:highlight w:val="none"/>
        </w:rPr>
      </w:pPr>
      <w:r>
        <w:rPr>
          <w:rFonts w:ascii="宋体" w:hAnsi="宋体" w:eastAsia="宋体" w:cs="宋体"/>
          <w:bCs/>
          <w:sz w:val="24"/>
          <w:szCs w:val="24"/>
          <w:highlight w:val="none"/>
        </w:rPr>
        <w:t xml:space="preserve">5、</w:t>
      </w:r>
      <w:r>
        <w:rPr>
          <w:rFonts w:hint="eastAsia" w:ascii="宋体" w:hAnsi="宋体" w:eastAsia="宋体" w:cs="宋体"/>
          <w:bCs/>
          <w:sz w:val="24"/>
          <w:szCs w:val="24"/>
          <w:highlight w:val="none"/>
        </w:rPr>
        <w:t xml:space="preserve">投标（响应）文件提交后，供应商可通过模拟解密操作检测投标（响应）文件是否可以正常解密。</w:t>
      </w:r>
      <w:r>
        <w:rPr>
          <w:rFonts w:ascii="宋体" w:hAnsi="宋体" w:eastAsia="宋体" w:cs="宋体"/>
          <w:bCs/>
          <w:sz w:val="24"/>
          <w:szCs w:val="24"/>
          <w:highlight w:val="none"/>
        </w:rPr>
      </w:r>
      <w:r/>
    </w:p>
    <w:p>
      <w:pPr>
        <w:pStyle w:val="706"/>
        <w:ind w:firstLine="420"/>
        <w:spacing w:line="360" w:lineRule="auto"/>
        <w:rPr>
          <w:rFonts w:ascii="宋体" w:hAnsi="宋体" w:eastAsia="宋体" w:cs="宋体"/>
          <w:b/>
          <w:bCs/>
          <w:szCs w:val="24"/>
          <w:highlight w:val="none"/>
        </w:rPr>
      </w:pPr>
      <w:r>
        <w:rPr>
          <w:rFonts w:hint="eastAsia" w:ascii="宋体" w:hAnsi="宋体" w:eastAsia="宋体" w:cs="宋体"/>
          <w:b/>
          <w:bCs/>
          <w:szCs w:val="24"/>
          <w:highlight w:val="none"/>
        </w:rPr>
        <w:t xml:space="preserve">6、</w:t>
      </w:r>
      <w:r>
        <w:rPr>
          <w:rFonts w:hint="eastAsia" w:ascii="宋体" w:hAnsi="宋体" w:eastAsia="宋体"/>
          <w:b/>
          <w:sz w:val="24"/>
          <w:szCs w:val="24"/>
          <w:highlight w:val="none"/>
          <w:u w:val="single"/>
        </w:rPr>
        <w:t xml:space="preserve">因本章“六、响应文件的组成及要求”要求的</w:t>
      </w:r>
      <w:r>
        <w:rPr>
          <w:rFonts w:ascii="宋体" w:hAnsi="宋体" w:eastAsia="宋体"/>
          <w:b/>
          <w:sz w:val="24"/>
          <w:szCs w:val="24"/>
          <w:highlight w:val="none"/>
          <w:u w:val="single"/>
        </w:rPr>
        <w:t xml:space="preserve">中小企业声明函</w:t>
      </w:r>
      <w:r>
        <w:rPr>
          <w:rFonts w:hint="eastAsia" w:ascii="宋体" w:hAnsi="宋体" w:eastAsia="宋体"/>
          <w:b/>
          <w:sz w:val="24"/>
          <w:szCs w:val="24"/>
          <w:highlight w:val="none"/>
          <w:u w:val="single"/>
        </w:rPr>
        <w:t xml:space="preserve">、残疾人福利性单位声明函要求的文件需在成交公告时对外公示，故磋商供应商如涉及需要提供“六、响应文件的组成及要求”要求的</w:t>
      </w:r>
      <w:r>
        <w:rPr>
          <w:rFonts w:ascii="宋体" w:hAnsi="宋体" w:eastAsia="宋体"/>
          <w:b/>
          <w:sz w:val="24"/>
          <w:szCs w:val="24"/>
          <w:highlight w:val="none"/>
          <w:u w:val="single"/>
        </w:rPr>
        <w:t xml:space="preserve">中小企业声明函</w:t>
      </w:r>
      <w:r>
        <w:rPr>
          <w:rFonts w:hint="eastAsia" w:ascii="宋体" w:hAnsi="宋体" w:eastAsia="宋体"/>
          <w:b/>
          <w:sz w:val="24"/>
          <w:szCs w:val="24"/>
          <w:highlight w:val="none"/>
          <w:u w:val="single"/>
        </w:rPr>
        <w:t xml:space="preserve">、残疾人福利性单位声明函的文件时，必须将签章上传至电子投标文件中。</w:t>
      </w:r>
      <w:r>
        <w:rPr>
          <w:rFonts w:ascii="宋体" w:hAnsi="宋体" w:eastAsia="宋体" w:cs="宋体"/>
          <w:b/>
          <w:bCs/>
          <w:szCs w:val="24"/>
          <w:highlight w:val="none"/>
        </w:rPr>
      </w:r>
      <w:r/>
    </w:p>
    <w:p>
      <w:pPr>
        <w:pStyle w:val="706"/>
        <w:ind w:firstLine="480"/>
        <w:spacing w:line="360" w:lineRule="auto"/>
        <w:rPr>
          <w:rFonts w:ascii="宋体" w:hAnsi="宋体" w:eastAsia="宋体" w:cs="宋体"/>
          <w:b/>
          <w:bCs/>
          <w:sz w:val="24"/>
          <w:szCs w:val="24"/>
          <w:highlight w:val="none"/>
        </w:rPr>
      </w:pPr>
      <w:r>
        <w:rPr>
          <w:rFonts w:hint="eastAsia" w:ascii="宋体" w:hAnsi="宋体" w:eastAsia="宋体" w:cs="宋体"/>
          <w:sz w:val="24"/>
          <w:szCs w:val="24"/>
          <w:highlight w:val="none"/>
        </w:rPr>
        <w:t xml:space="preserve">7、供应商应在采购系统中选择已制作好的响应文件进行上传，上传必须在投标（响应）截止时间前完成。</w:t>
      </w:r>
      <w:r>
        <w:rPr>
          <w:rFonts w:hint="eastAsia" w:ascii="宋体" w:hAnsi="宋体" w:eastAsia="宋体" w:cs="宋体"/>
          <w:b/>
          <w:bCs/>
          <w:sz w:val="24"/>
          <w:szCs w:val="24"/>
          <w:highlight w:val="none"/>
        </w:rPr>
        <w:t xml:space="preserve">未按要求成功上传的投标（响应）文件视为未递交。</w:t>
      </w:r>
      <w:r>
        <w:rPr>
          <w:rFonts w:ascii="宋体" w:hAnsi="宋体" w:eastAsia="宋体" w:cs="宋体"/>
          <w:b/>
          <w:bCs/>
          <w:sz w:val="24"/>
          <w:szCs w:val="24"/>
          <w:highlight w:val="none"/>
        </w:rPr>
      </w:r>
      <w:r/>
    </w:p>
    <w:p>
      <w:pPr>
        <w:pStyle w:val="706"/>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8、联合体投标：本项目不涉及。</w:t>
      </w:r>
      <w:r>
        <w:rPr>
          <w:rFonts w:ascii="宋体" w:hAnsi="宋体" w:eastAsia="宋体" w:cs="宋体"/>
          <w:sz w:val="24"/>
          <w:szCs w:val="24"/>
          <w:highlight w:val="none"/>
        </w:rPr>
      </w:r>
      <w:r/>
    </w:p>
    <w:p>
      <w:pPr>
        <w:pStyle w:val="706"/>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如招标（采购）公告中允许联合体投标，联合体投标的投标（响应）文件制作上传操作如下：</w:t>
      </w:r>
      <w:r>
        <w:rPr>
          <w:rFonts w:ascii="宋体" w:hAnsi="宋体" w:eastAsia="宋体" w:cs="宋体"/>
          <w:sz w:val="24"/>
          <w:szCs w:val="24"/>
          <w:highlight w:val="none"/>
        </w:rPr>
      </w:r>
      <w:r/>
    </w:p>
    <w:p>
      <w:pPr>
        <w:pStyle w:val="706"/>
        <w:ind w:firstLine="480"/>
        <w:spacing w:line="360" w:lineRule="auto"/>
        <w:tabs>
          <w:tab w:val="left" w:pos="142" w:leader="none"/>
          <w:tab w:val="left" w:pos="600" w:leader="none"/>
        </w:tabs>
        <w:rPr>
          <w:rFonts w:eastAsia="宋体"/>
          <w:sz w:val="24"/>
          <w:szCs w:val="24"/>
          <w:highlight w:val="none"/>
        </w:rPr>
      </w:pPr>
      <w:r>
        <w:rPr>
          <w:rFonts w:hint="eastAsia" w:eastAsia="宋体"/>
          <w:sz w:val="24"/>
          <w:szCs w:val="24"/>
          <w:highlight w:val="none"/>
        </w:rPr>
        <w:t xml:space="preserve">第一步：在投标（响应）文件中上传联合体投标协议书。</w:t>
      </w:r>
      <w:r>
        <w:rPr>
          <w:rFonts w:eastAsia="宋体"/>
          <w:sz w:val="24"/>
          <w:szCs w:val="24"/>
          <w:highlight w:val="none"/>
        </w:rPr>
      </w:r>
      <w:r/>
    </w:p>
    <w:p>
      <w:pPr>
        <w:pStyle w:val="706"/>
        <w:ind w:firstLine="480"/>
        <w:spacing w:line="360" w:lineRule="auto"/>
        <w:tabs>
          <w:tab w:val="left" w:pos="142" w:leader="none"/>
          <w:tab w:val="left" w:pos="600" w:leader="none"/>
        </w:tabs>
        <w:rPr>
          <w:rFonts w:eastAsia="宋体"/>
          <w:sz w:val="24"/>
          <w:szCs w:val="24"/>
          <w:highlight w:val="none"/>
        </w:rPr>
      </w:pPr>
      <w:r>
        <w:rPr>
          <w:rFonts w:hint="eastAsia" w:eastAsia="宋体"/>
          <w:sz w:val="24"/>
          <w:szCs w:val="24"/>
          <w:highlight w:val="none"/>
        </w:rPr>
        <w:t xml:space="preserve">第二步</w:t>
      </w:r>
      <w:r>
        <w:rPr>
          <w:rFonts w:hint="eastAsia"/>
          <w:sz w:val="24"/>
          <w:szCs w:val="24"/>
          <w:highlight w:val="none"/>
        </w:rPr>
        <w:t xml:space="preserve">：</w:t>
      </w:r>
      <w:r>
        <w:rPr>
          <w:rFonts w:hint="eastAsia" w:eastAsia="宋体"/>
          <w:sz w:val="24"/>
          <w:szCs w:val="24"/>
          <w:highlight w:val="none"/>
        </w:rPr>
        <w:t xml:space="preserve">在投标（响应）文件中，由联合体中的牵头人制作投标（响应）文件。</w:t>
      </w:r>
      <w:r>
        <w:rPr>
          <w:rFonts w:eastAsia="宋体"/>
          <w:sz w:val="24"/>
          <w:szCs w:val="24"/>
          <w:highlight w:val="none"/>
        </w:rPr>
      </w:r>
      <w:r/>
    </w:p>
    <w:p>
      <w:pPr>
        <w:pStyle w:val="706"/>
        <w:ind w:firstLine="482"/>
        <w:spacing w:line="360" w:lineRule="auto"/>
        <w:tabs>
          <w:tab w:val="left" w:pos="502" w:leader="none"/>
        </w:tabs>
        <w:rPr>
          <w:rFonts w:ascii="宋体" w:hAnsi="宋体" w:eastAsia="宋体" w:cs="宋体"/>
          <w:b/>
          <w:sz w:val="24"/>
          <w:szCs w:val="24"/>
          <w:highlight w:val="none"/>
          <w:lang w:val="zh-CN"/>
        </w:rPr>
      </w:pPr>
      <w:r>
        <w:rPr>
          <w:rFonts w:hint="eastAsia" w:ascii="宋体" w:hAnsi="宋体" w:eastAsia="宋体" w:cs="宋体"/>
          <w:b/>
          <w:sz w:val="24"/>
          <w:szCs w:val="24"/>
          <w:highlight w:val="none"/>
          <w:lang w:val="zh-CN"/>
        </w:rPr>
        <w:t xml:space="preserve">备注</w:t>
      </w:r>
      <w:r>
        <w:rPr>
          <w:rFonts w:ascii="宋体" w:hAnsi="宋体" w:eastAsia="宋体" w:cs="宋体"/>
          <w:b/>
          <w:sz w:val="24"/>
          <w:szCs w:val="24"/>
          <w:highlight w:val="none"/>
          <w:lang w:val="zh-CN"/>
        </w:rPr>
        <w:t xml:space="preserve">：</w:t>
      </w:r>
      <w:r>
        <w:rPr>
          <w:rFonts w:hint="eastAsia" w:ascii="宋体" w:hAnsi="宋体" w:eastAsia="宋体" w:cs="宋体"/>
          <w:b/>
          <w:sz w:val="24"/>
          <w:szCs w:val="24"/>
          <w:highlight w:val="none"/>
          <w:lang w:val="zh-CN"/>
        </w:rPr>
        <w:t xml:space="preserve">响应文件中的CA证书签章为有效签名章。</w:t>
      </w:r>
      <w:r>
        <w:rPr>
          <w:rFonts w:ascii="宋体" w:hAnsi="宋体" w:eastAsia="宋体" w:cs="宋体"/>
          <w:b/>
          <w:sz w:val="24"/>
          <w:szCs w:val="24"/>
          <w:highlight w:val="none"/>
          <w:lang w:val="zh-CN"/>
        </w:rPr>
      </w:r>
      <w:r/>
    </w:p>
    <w:p>
      <w:pPr>
        <w:pStyle w:val="706"/>
        <w:ind w:firstLine="480"/>
        <w:spacing w:line="360" w:lineRule="auto"/>
        <w:tabs>
          <w:tab w:val="left" w:pos="753" w:leader="none"/>
        </w:tabs>
        <w:rPr>
          <w:rFonts w:ascii="宋体" w:hAnsi="宋体" w:eastAsia="宋体"/>
          <w:sz w:val="24"/>
          <w:szCs w:val="24"/>
          <w:highlight w:val="none"/>
        </w:rPr>
      </w:pPr>
      <w:r>
        <w:rPr>
          <w:rFonts w:hint="eastAsia" w:ascii="宋体" w:hAnsi="宋体" w:eastAsia="宋体"/>
          <w:sz w:val="24"/>
          <w:szCs w:val="24"/>
          <w:highlight w:val="none"/>
        </w:rPr>
        <w:t xml:space="preserve">（三）报价（编制）要求的说明</w:t>
      </w:r>
      <w:r>
        <w:rPr>
          <w:rFonts w:ascii="宋体" w:hAnsi="宋体" w:eastAsia="宋体"/>
          <w:sz w:val="24"/>
          <w:szCs w:val="24"/>
          <w:highlight w:val="none"/>
        </w:rPr>
      </w:r>
      <w:r/>
    </w:p>
    <w:p>
      <w:pPr>
        <w:pStyle w:val="706"/>
        <w:ind w:firstLine="480"/>
        <w:spacing w:line="360" w:lineRule="auto"/>
        <w:tabs>
          <w:tab w:val="left" w:pos="753" w:leader="none"/>
        </w:tabs>
        <w:rPr>
          <w:rFonts w:ascii="宋体" w:hAnsi="宋体" w:eastAsia="宋体"/>
          <w:sz w:val="24"/>
          <w:szCs w:val="24"/>
          <w:highlight w:val="none"/>
        </w:rPr>
      </w:pPr>
      <w:r>
        <w:rPr>
          <w:rFonts w:hint="eastAsia" w:ascii="宋体" w:hAnsi="宋体" w:eastAsia="宋体"/>
          <w:sz w:val="24"/>
          <w:szCs w:val="24"/>
          <w:highlight w:val="none"/>
        </w:rPr>
        <w:t xml:space="preserve">1、根据提供的磋商文件、工程量清单及有关资料单独编制相关项目实施的磋商报价并汇总填入《已标价工程量清单》；</w:t>
      </w:r>
      <w:r>
        <w:rPr>
          <w:rFonts w:ascii="宋体" w:hAnsi="宋体" w:eastAsia="宋体"/>
          <w:sz w:val="24"/>
          <w:szCs w:val="24"/>
          <w:highlight w:val="none"/>
        </w:rPr>
      </w:r>
      <w:r/>
    </w:p>
    <w:p>
      <w:pPr>
        <w:pStyle w:val="706"/>
        <w:ind w:firstLine="480"/>
        <w:spacing w:line="360" w:lineRule="auto"/>
        <w:tabs>
          <w:tab w:val="left" w:pos="753" w:leader="none"/>
        </w:tabs>
        <w:rPr>
          <w:rFonts w:ascii="宋体" w:hAnsi="宋体" w:eastAsia="宋体"/>
          <w:sz w:val="24"/>
          <w:szCs w:val="24"/>
          <w:highlight w:val="none"/>
        </w:rPr>
      </w:pPr>
      <w:r>
        <w:rPr>
          <w:rFonts w:hint="eastAsia" w:ascii="宋体" w:hAnsi="宋体" w:eastAsia="宋体"/>
          <w:sz w:val="24"/>
          <w:szCs w:val="24"/>
          <w:highlight w:val="none"/>
        </w:rPr>
        <w:t xml:space="preserve">2、磋商报价明细中标的物顺序和数量均应按本磋商文件提供的采购清单顺序和数量。如发现响应报价中有错算现象，一旦成交，磋商供应商自行承担错算这部分的经济损失。</w:t>
      </w:r>
      <w:r>
        <w:rPr>
          <w:rFonts w:ascii="宋体" w:hAnsi="宋体" w:eastAsia="宋体"/>
          <w:sz w:val="24"/>
          <w:szCs w:val="24"/>
          <w:highlight w:val="none"/>
        </w:rPr>
      </w:r>
      <w:r/>
    </w:p>
    <w:p>
      <w:pPr>
        <w:pStyle w:val="706"/>
        <w:ind w:firstLine="480"/>
        <w:spacing w:line="360" w:lineRule="auto"/>
        <w:tabs>
          <w:tab w:val="left" w:pos="753" w:leader="none"/>
        </w:tabs>
        <w:rPr>
          <w:rFonts w:ascii="宋体" w:hAnsi="宋体" w:eastAsia="宋体"/>
          <w:sz w:val="24"/>
          <w:szCs w:val="24"/>
          <w:highlight w:val="none"/>
        </w:rPr>
      </w:pPr>
      <w:r>
        <w:rPr>
          <w:rFonts w:hint="eastAsia" w:ascii="宋体" w:hAnsi="宋体" w:eastAsia="宋体"/>
          <w:sz w:val="24"/>
          <w:szCs w:val="24"/>
          <w:highlight w:val="none"/>
        </w:rPr>
        <w:t xml:space="preserve">3、供应商应对磋商文件内所要采购的全部内容进行报价，只响应其中部分内容者，其响应文件将被拒绝。</w:t>
      </w:r>
      <w:r>
        <w:rPr>
          <w:rFonts w:ascii="宋体" w:hAnsi="宋体" w:eastAsia="宋体"/>
          <w:sz w:val="24"/>
          <w:szCs w:val="24"/>
          <w:highlight w:val="none"/>
        </w:rPr>
      </w:r>
      <w:r/>
    </w:p>
    <w:p>
      <w:pPr>
        <w:pStyle w:val="706"/>
        <w:ind w:firstLine="480"/>
        <w:spacing w:line="360" w:lineRule="auto"/>
        <w:tabs>
          <w:tab w:val="left" w:pos="753" w:leader="none"/>
        </w:tabs>
        <w:rPr>
          <w:rFonts w:ascii="宋体" w:hAnsi="宋体" w:eastAsia="宋体"/>
          <w:sz w:val="24"/>
          <w:szCs w:val="24"/>
          <w:highlight w:val="none"/>
        </w:rPr>
      </w:pPr>
      <w:r>
        <w:rPr>
          <w:rFonts w:hint="eastAsia" w:ascii="宋体" w:hAnsi="宋体" w:eastAsia="宋体"/>
          <w:sz w:val="24"/>
          <w:szCs w:val="24"/>
          <w:highlight w:val="none"/>
        </w:rPr>
        <w:t xml:space="preserve">4、一项响应内容只允许一个报价，采购人不接受任何有选择性的响应报价。</w:t>
      </w:r>
      <w:r>
        <w:rPr>
          <w:rFonts w:ascii="宋体" w:hAnsi="宋体" w:eastAsia="宋体"/>
          <w:sz w:val="24"/>
          <w:szCs w:val="24"/>
          <w:highlight w:val="none"/>
        </w:rPr>
      </w:r>
      <w:r/>
    </w:p>
    <w:p>
      <w:pPr>
        <w:pStyle w:val="706"/>
        <w:ind w:firstLine="480"/>
        <w:spacing w:line="360" w:lineRule="auto"/>
        <w:tabs>
          <w:tab w:val="left" w:pos="753" w:leader="none"/>
        </w:tabs>
        <w:rPr>
          <w:rFonts w:ascii="宋体" w:hAnsi="宋体" w:eastAsia="宋体"/>
          <w:sz w:val="24"/>
          <w:szCs w:val="24"/>
          <w:highlight w:val="none"/>
        </w:rPr>
      </w:pPr>
      <w:r>
        <w:rPr>
          <w:rFonts w:hint="eastAsia" w:ascii="宋体" w:hAnsi="宋体" w:eastAsia="宋体"/>
          <w:sz w:val="24"/>
          <w:szCs w:val="24"/>
          <w:highlight w:val="none"/>
        </w:rPr>
        <w:t xml:space="preserve">5、响应文件中报价全部采用人民币表示，除非合同的特殊条款另有规定。</w:t>
      </w:r>
      <w:r>
        <w:rPr>
          <w:rFonts w:ascii="宋体" w:hAnsi="宋体" w:eastAsia="宋体"/>
          <w:sz w:val="24"/>
          <w:szCs w:val="24"/>
          <w:highlight w:val="none"/>
        </w:rPr>
      </w:r>
      <w:r/>
    </w:p>
    <w:p>
      <w:pPr>
        <w:pStyle w:val="706"/>
        <w:ind w:firstLine="482"/>
        <w:spacing w:line="360" w:lineRule="auto"/>
        <w:tabs>
          <w:tab w:val="left" w:pos="753" w:leader="none"/>
        </w:tabs>
        <w:rPr>
          <w:rFonts w:ascii="宋体" w:hAnsi="宋体" w:eastAsia="宋体"/>
          <w:b/>
          <w:sz w:val="24"/>
          <w:szCs w:val="24"/>
          <w:highlight w:val="none"/>
        </w:rPr>
      </w:pPr>
      <w:r>
        <w:rPr>
          <w:rFonts w:hint="eastAsia" w:ascii="宋体" w:hAnsi="宋体" w:eastAsia="宋体"/>
          <w:b/>
          <w:sz w:val="24"/>
          <w:szCs w:val="24"/>
          <w:highlight w:val="none"/>
        </w:rPr>
        <w:t xml:space="preserve">七、磋商程序</w:t>
      </w:r>
      <w:r>
        <w:rPr>
          <w:rFonts w:ascii="宋体" w:hAnsi="宋体" w:eastAsia="宋体"/>
          <w:b/>
          <w:sz w:val="24"/>
          <w:szCs w:val="24"/>
          <w:highlight w:val="none"/>
        </w:rPr>
      </w:r>
      <w:r/>
    </w:p>
    <w:p>
      <w:pPr>
        <w:pStyle w:val="706"/>
        <w:ind w:firstLine="405"/>
        <w:spacing w:line="360" w:lineRule="auto"/>
        <w:rPr>
          <w:rFonts w:ascii="宋体" w:hAnsi="宋体" w:eastAsia="宋体"/>
          <w:b/>
          <w:sz w:val="24"/>
          <w:szCs w:val="24"/>
          <w:highlight w:val="none"/>
          <w:u w:val="single"/>
        </w:rPr>
      </w:pPr>
      <w:r>
        <w:rPr>
          <w:rFonts w:hint="eastAsia" w:ascii="宋体" w:hAnsi="宋体" w:eastAsia="宋体"/>
          <w:sz w:val="24"/>
          <w:szCs w:val="24"/>
          <w:highlight w:val="none"/>
        </w:rPr>
        <w:t xml:space="preserve">1、</w:t>
      </w:r>
      <w:r>
        <w:rPr>
          <w:rFonts w:hint="eastAsia" w:ascii="宋体" w:hAnsi="宋体" w:eastAsia="宋体"/>
          <w:b/>
          <w:sz w:val="24"/>
          <w:szCs w:val="24"/>
          <w:highlight w:val="none"/>
        </w:rPr>
        <w:t xml:space="preserve">供应商不需到现场参加开标会</w:t>
      </w:r>
      <w:r>
        <w:rPr>
          <w:rFonts w:hint="eastAsia" w:ascii="宋体" w:hAnsi="宋体" w:eastAsia="宋体"/>
          <w:b/>
          <w:sz w:val="24"/>
          <w:szCs w:val="24"/>
          <w:highlight w:val="none"/>
          <w:u w:val="single"/>
        </w:rPr>
        <w:t xml:space="preserve">(但请及时关注系统公告栏及语音播报，以防错过二次报价)。</w:t>
      </w:r>
      <w:r>
        <w:rPr>
          <w:rFonts w:ascii="宋体" w:hAnsi="宋体" w:eastAsia="宋体"/>
          <w:b/>
          <w:sz w:val="24"/>
          <w:szCs w:val="24"/>
          <w:highlight w:val="none"/>
          <w:u w:val="single"/>
        </w:rPr>
      </w:r>
      <w:r/>
    </w:p>
    <w:p>
      <w:pPr>
        <w:pStyle w:val="706"/>
        <w:ind w:firstLine="42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2、线上参加（观看）开标会方式：</w:t>
      </w:r>
      <w:r>
        <w:rPr>
          <w:rFonts w:hint="eastAsia" w:ascii="宋体" w:hAnsi="宋体" w:eastAsia="宋体" w:cs="宋体"/>
          <w:sz w:val="24"/>
          <w:szCs w:val="24"/>
          <w:highlight w:val="none"/>
        </w:rPr>
        <w:t xml:space="preserve">苏州市政府采购网点击“</w:t>
      </w:r>
      <w:r>
        <w:rPr>
          <w:rFonts w:hint="eastAsia" w:ascii="宋体" w:hAnsi="宋体" w:eastAsia="宋体"/>
          <w:bCs/>
          <w:sz w:val="24"/>
          <w:szCs w:val="24"/>
          <w:highlight w:val="none"/>
        </w:rPr>
        <w:t xml:space="preserve">苏采云</w:t>
      </w:r>
      <w:r>
        <w:rPr>
          <w:rFonts w:hint="eastAsia" w:ascii="宋体" w:hAnsi="宋体" w:eastAsia="宋体" w:cs="宋体"/>
          <w:sz w:val="24"/>
          <w:szCs w:val="24"/>
          <w:highlight w:val="none"/>
        </w:rPr>
        <w:t xml:space="preserve">”进入交易系统，点击“开标大厅-我的项目”，找到对应项目进行线上参加（观看）</w:t>
      </w:r>
      <w:r>
        <w:rPr>
          <w:rFonts w:ascii="宋体" w:hAnsi="宋体" w:eastAsia="宋体"/>
          <w:sz w:val="24"/>
          <w:szCs w:val="24"/>
          <w:highlight w:val="none"/>
        </w:rPr>
        <w:t xml:space="preserve">。</w:t>
      </w:r>
      <w:r>
        <w:rPr>
          <w:rFonts w:ascii="宋体" w:hAnsi="宋体" w:eastAsia="宋体"/>
          <w:sz w:val="24"/>
          <w:szCs w:val="24"/>
          <w:highlight w:val="none"/>
        </w:rPr>
      </w:r>
      <w:r/>
    </w:p>
    <w:p>
      <w:pPr>
        <w:pStyle w:val="706"/>
        <w:ind w:firstLine="42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3、开标时，供应商的响应文件须在供应商</w:t>
      </w:r>
      <w:r>
        <w:rPr>
          <w:rFonts w:ascii="宋体" w:hAnsi="宋体" w:eastAsia="宋体"/>
          <w:sz w:val="24"/>
          <w:szCs w:val="24"/>
          <w:highlight w:val="none"/>
        </w:rPr>
        <w:t xml:space="preserve">解密</w:t>
      </w:r>
      <w:r>
        <w:rPr>
          <w:rFonts w:hint="eastAsia" w:ascii="宋体" w:hAnsi="宋体" w:eastAsia="宋体"/>
          <w:sz w:val="24"/>
          <w:szCs w:val="24"/>
          <w:highlight w:val="none"/>
        </w:rPr>
        <w:t xml:space="preserve">环节进行解密，在解密时长倒计时结束前，供应商需解密完成，否则视为放弃本次投标（磋商）</w:t>
      </w:r>
      <w:r>
        <w:rPr>
          <w:rFonts w:ascii="宋体" w:hAnsi="宋体" w:eastAsia="宋体"/>
          <w:sz w:val="24"/>
          <w:szCs w:val="24"/>
          <w:highlight w:val="none"/>
        </w:rPr>
        <w:t xml:space="preserve">。</w:t>
      </w:r>
      <w:r>
        <w:rPr>
          <w:rFonts w:ascii="宋体" w:hAnsi="宋体" w:eastAsia="宋体"/>
          <w:sz w:val="24"/>
          <w:szCs w:val="24"/>
          <w:highlight w:val="none"/>
        </w:rPr>
      </w:r>
      <w:r/>
    </w:p>
    <w:p>
      <w:pPr>
        <w:pStyle w:val="706"/>
        <w:ind w:firstLine="42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4、解密完成后，供应商可通过查看“磋商响应”菜单查看是否被邀请磋商。供应商进入采购包磋商列表界面，点击【响应】按钮进行响应。页面弹出磋商要求函，供应商需要在倒计时结束后，点击【我知道了】，完善磋商回复栏内容后，进行签章提交。开标大厅显示“立即报价”后，供应商须在报价结束时间前进行报价，报价结束时间未进行报价，则视为放弃报价。报价结束时间前可修改最后报价，点击【修改报价】按钮进行修改，倒计时结束后，点击我知道了。最后报价结束，若需要修改报价信息，可在剩余时间之内进行撤销，重新报价。 </w:t>
      </w:r>
      <w:r>
        <w:rPr>
          <w:rFonts w:hint="eastAsia" w:ascii="宋体" w:hAnsi="宋体" w:eastAsia="宋体"/>
          <w:sz w:val="24"/>
          <w:szCs w:val="24"/>
          <w:highlight w:val="none"/>
        </w:rPr>
      </w:r>
      <w:r/>
    </w:p>
    <w:p>
      <w:pPr>
        <w:pStyle w:val="706"/>
        <w:ind w:firstLine="42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5、开评审结果会在磋商结束的同时通过采购系统告知供应商，请供应商及时查看，否则导致的对供应商不利的后果由供应商自行承担。</w:t>
      </w:r>
      <w:r>
        <w:rPr>
          <w:rFonts w:ascii="宋体" w:hAnsi="宋体" w:eastAsia="宋体"/>
          <w:sz w:val="24"/>
          <w:szCs w:val="24"/>
          <w:highlight w:val="none"/>
        </w:rPr>
      </w:r>
      <w:r/>
    </w:p>
    <w:p>
      <w:pPr>
        <w:pStyle w:val="706"/>
        <w:ind w:firstLine="42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6、本项目采用线上澄清：</w:t>
      </w:r>
      <w:r>
        <w:rPr>
          <w:rFonts w:ascii="宋体" w:hAnsi="宋体" w:eastAsia="宋体"/>
          <w:sz w:val="24"/>
          <w:szCs w:val="24"/>
          <w:highlight w:val="none"/>
        </w:rPr>
      </w:r>
      <w:r/>
    </w:p>
    <w:p>
      <w:pPr>
        <w:pStyle w:val="706"/>
        <w:ind w:firstLine="600"/>
        <w:spacing w:line="360" w:lineRule="auto"/>
        <w:rPr>
          <w:rFonts w:ascii="宋体" w:hAnsi="宋体" w:eastAsia="宋体"/>
          <w:sz w:val="24"/>
          <w:szCs w:val="24"/>
          <w:highlight w:val="none"/>
        </w:rPr>
      </w:pPr>
      <w:r>
        <w:rPr>
          <w:rFonts w:ascii="宋体" w:hAnsi="宋体" w:eastAsia="宋体"/>
          <w:sz w:val="24"/>
          <w:szCs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宋体" w:hAnsi="宋体" w:eastAsia="宋体"/>
          <w:sz w:val="24"/>
          <w:szCs w:val="24"/>
          <w:highlight w:val="none"/>
        </w:rPr>
      </w:r>
      <w:r/>
    </w:p>
    <w:p>
      <w:pPr>
        <w:pStyle w:val="706"/>
        <w:ind w:firstLine="60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评审中需要供应商进行澄清的通知会通过苏采云系统发出，供应商应及时登录采购系统查看澄清要求并在规定的时间内进行线上答复。</w:t>
      </w:r>
      <w:r>
        <w:rPr>
          <w:rFonts w:hint="eastAsia" w:ascii="宋体" w:hAnsi="宋体" w:eastAsia="宋体"/>
          <w:sz w:val="24"/>
          <w:szCs w:val="24"/>
          <w:highlight w:val="none"/>
        </w:rPr>
      </w:r>
      <w:r/>
    </w:p>
    <w:p>
      <w:pPr>
        <w:pStyle w:val="744"/>
        <w:ind w:left="0" w:firstLine="480"/>
        <w:spacing w:line="360" w:lineRule="auto"/>
        <w:rPr>
          <w:highlight w:val="none"/>
        </w:rPr>
      </w:pPr>
      <w:r>
        <w:rPr>
          <w:rFonts w:hint="eastAsia" w:ascii="宋体" w:hAnsi="宋体" w:eastAsia="宋体"/>
          <w:szCs w:val="24"/>
          <w:highlight w:val="none"/>
        </w:rPr>
        <w:t xml:space="preserve">有关澄清的答复应在系统内采用书面形式，该书面签复应有投标人签(盖)章，并将作为投标内容的一部分。</w:t>
      </w:r>
      <w:r>
        <w:rPr>
          <w:highlight w:val="none"/>
        </w:rPr>
      </w:r>
      <w:r/>
    </w:p>
    <w:p>
      <w:pPr>
        <w:pStyle w:val="744"/>
        <w:ind w:left="0" w:firstLine="480"/>
        <w:spacing w:line="360" w:lineRule="auto"/>
        <w:rPr>
          <w:rFonts w:hint="eastAsia" w:ascii="宋体" w:hAnsi="宋体" w:eastAsia="宋体"/>
          <w:szCs w:val="24"/>
          <w:highlight w:val="none"/>
        </w:rPr>
      </w:pPr>
      <w:r>
        <w:rPr>
          <w:rFonts w:hint="eastAsia" w:ascii="宋体" w:hAnsi="宋体" w:eastAsia="宋体"/>
          <w:szCs w:val="24"/>
          <w:highlight w:val="none"/>
        </w:rPr>
        <w:t xml:space="preserve">线上澄清答复的方式：当发起答疑澄清时，页面弹出处理答疑澄清消息菜单，点击反馈进入-点击【响应】-填写询问响应内容后，进行询问响应函签章。</w:t>
      </w:r>
      <w:r>
        <w:rPr>
          <w:rFonts w:hint="eastAsia" w:ascii="宋体" w:hAnsi="宋体" w:eastAsia="宋体"/>
          <w:szCs w:val="24"/>
          <w:highlight w:val="none"/>
        </w:rPr>
      </w:r>
      <w:r/>
    </w:p>
    <w:p>
      <w:pPr>
        <w:pStyle w:val="744"/>
        <w:ind w:left="0" w:firstLine="480"/>
        <w:spacing w:line="360" w:lineRule="auto"/>
        <w:rPr>
          <w:rFonts w:hint="eastAsia" w:ascii="宋体" w:hAnsi="宋体" w:eastAsia="宋体"/>
          <w:szCs w:val="24"/>
          <w:highlight w:val="none"/>
        </w:rPr>
      </w:pPr>
      <w:r>
        <w:rPr>
          <w:rFonts w:hint="eastAsia" w:ascii="宋体" w:hAnsi="宋体" w:eastAsia="宋体"/>
          <w:szCs w:val="24"/>
          <w:highlight w:val="none"/>
        </w:rPr>
        <w:t xml:space="preserve">评审结束后系统公告中会提示评审流程结束，供应商可离开电脑。</w:t>
      </w:r>
      <w:r>
        <w:rPr>
          <w:rFonts w:hint="eastAsia" w:ascii="宋体" w:hAnsi="宋体" w:eastAsia="宋体"/>
          <w:szCs w:val="24"/>
          <w:highlight w:val="none"/>
        </w:rPr>
      </w:r>
      <w:r/>
    </w:p>
    <w:p>
      <w:pPr>
        <w:pStyle w:val="706"/>
        <w:ind w:firstLine="405"/>
        <w:spacing w:line="360" w:lineRule="auto"/>
        <w:rPr>
          <w:rFonts w:ascii="宋体" w:hAnsi="宋体" w:eastAsia="宋体"/>
          <w:b/>
          <w:sz w:val="24"/>
          <w:szCs w:val="24"/>
          <w:highlight w:val="none"/>
          <w:u w:val="single"/>
        </w:rPr>
      </w:pPr>
      <w:r>
        <w:rPr>
          <w:rFonts w:hint="eastAsia" w:ascii="宋体" w:hAnsi="宋体" w:eastAsia="宋体"/>
          <w:b/>
          <w:bCs/>
          <w:sz w:val="24"/>
          <w:szCs w:val="24"/>
          <w:highlight w:val="none"/>
        </w:rPr>
        <w:t xml:space="preserve">7、本项目采用线上二次报价</w:t>
      </w:r>
      <w:r>
        <w:rPr>
          <w:rFonts w:hint="eastAsia" w:ascii="宋体" w:hAnsi="宋体" w:eastAsia="宋体"/>
          <w:b/>
          <w:sz w:val="24"/>
          <w:szCs w:val="24"/>
          <w:highlight w:val="none"/>
          <w:u w:val="single"/>
        </w:rPr>
        <w:t xml:space="preserve">(及时关注“苏采云”系统公告栏和语音播报信息，以防错过二次报价)</w:t>
      </w:r>
      <w:r>
        <w:rPr>
          <w:rFonts w:ascii="宋体" w:hAnsi="宋体" w:eastAsia="宋体"/>
          <w:b/>
          <w:sz w:val="24"/>
          <w:szCs w:val="24"/>
          <w:highlight w:val="none"/>
          <w:u w:val="single"/>
        </w:rPr>
      </w:r>
      <w:r/>
    </w:p>
    <w:p>
      <w:pPr>
        <w:pStyle w:val="706"/>
        <w:ind w:firstLine="405"/>
        <w:spacing w:line="360" w:lineRule="auto"/>
        <w:rPr>
          <w:rFonts w:hint="eastAsia" w:ascii="宋体" w:hAnsi="宋体" w:eastAsia="宋体"/>
          <w:b/>
          <w:bCs/>
          <w:sz w:val="24"/>
          <w:szCs w:val="24"/>
          <w:highlight w:val="none"/>
        </w:rPr>
      </w:pPr>
      <w:r>
        <w:rPr>
          <w:rFonts w:hint="eastAsia" w:ascii="宋体" w:hAnsi="宋体" w:eastAsia="宋体"/>
          <w:b/>
          <w:bCs/>
          <w:sz w:val="24"/>
          <w:szCs w:val="24"/>
          <w:highlight w:val="none"/>
        </w:rPr>
        <w:t xml:space="preserve">特别提醒：开评标过程中如有问题采购代理机构工作人员会及时通过《投标供应商确认函》留存的手机号与供应商联系。请供应商确保该手机号通讯畅通，否则导致的不利后果由供应商自行承担。</w:t>
      </w:r>
      <w:r>
        <w:rPr>
          <w:rFonts w:hint="eastAsia" w:ascii="宋体" w:hAnsi="宋体" w:eastAsia="宋体"/>
          <w:b/>
          <w:bCs/>
          <w:sz w:val="24"/>
          <w:szCs w:val="24"/>
          <w:highlight w:val="none"/>
        </w:rPr>
      </w:r>
      <w:r/>
    </w:p>
    <w:p>
      <w:pPr>
        <w:pStyle w:val="706"/>
        <w:ind w:firstLine="482"/>
        <w:spacing w:line="360" w:lineRule="auto"/>
        <w:rPr>
          <w:rFonts w:eastAsia="宋体"/>
          <w:b/>
          <w:bCs/>
          <w:highlight w:val="none"/>
        </w:rPr>
      </w:pPr>
      <w:r>
        <w:rPr>
          <w:rFonts w:hint="eastAsia" w:ascii="宋体" w:hAnsi="宋体" w:eastAsia="宋体"/>
          <w:b/>
          <w:bCs/>
          <w:sz w:val="24"/>
          <w:szCs w:val="24"/>
          <w:highlight w:val="none"/>
        </w:rPr>
        <w:t xml:space="preserve">8、供应商未按规定时间及要求递交二次报价的，视为放弃本次投标（响应）。</w:t>
      </w:r>
      <w:r>
        <w:rPr>
          <w:rFonts w:eastAsia="宋体"/>
          <w:b/>
          <w:bCs/>
          <w:highlight w:val="none"/>
        </w:rPr>
      </w:r>
      <w:r/>
    </w:p>
    <w:p>
      <w:pPr>
        <w:pStyle w:val="706"/>
        <w:ind w:firstLine="518"/>
        <w:spacing w:line="360" w:lineRule="auto"/>
        <w:tabs>
          <w:tab w:val="left" w:pos="260" w:leader="none"/>
        </w:tabs>
        <w:rPr>
          <w:rFonts w:ascii="宋体" w:hAnsi="宋体" w:eastAsia="宋体"/>
          <w:b/>
          <w:sz w:val="24"/>
          <w:szCs w:val="24"/>
          <w:highlight w:val="none"/>
        </w:rPr>
      </w:pPr>
      <w:r>
        <w:rPr>
          <w:rFonts w:hint="eastAsia" w:ascii="宋体" w:hAnsi="宋体" w:eastAsia="宋体"/>
          <w:sz w:val="24"/>
          <w:szCs w:val="24"/>
          <w:highlight w:val="none"/>
        </w:rPr>
        <w:t xml:space="preserve">9、</w:t>
      </w:r>
      <w:r>
        <w:rPr>
          <w:rFonts w:ascii="宋体" w:hAnsi="宋体" w:eastAsia="宋体"/>
          <w:sz w:val="24"/>
          <w:szCs w:val="24"/>
          <w:highlight w:val="none"/>
        </w:rPr>
        <w:t xml:space="preserve">磋商结束后，</w:t>
      </w:r>
      <w:r>
        <w:rPr>
          <w:rFonts w:hint="eastAsia" w:ascii="宋体" w:hAnsi="宋体" w:eastAsia="宋体"/>
          <w:sz w:val="24"/>
          <w:szCs w:val="24"/>
          <w:highlight w:val="none"/>
        </w:rPr>
        <w:t xml:space="preserve">磋商小组要求</w:t>
      </w:r>
      <w:r>
        <w:rPr>
          <w:rFonts w:ascii="宋体" w:hAnsi="宋体" w:eastAsia="宋体"/>
          <w:sz w:val="24"/>
          <w:szCs w:val="24"/>
          <w:highlight w:val="none"/>
        </w:rPr>
        <w:t xml:space="preserve">所有实质性响应的</w:t>
      </w:r>
      <w:r>
        <w:rPr>
          <w:rFonts w:hint="eastAsia" w:ascii="宋体" w:hAnsi="宋体" w:eastAsia="宋体"/>
          <w:sz w:val="24"/>
          <w:szCs w:val="24"/>
          <w:highlight w:val="none"/>
        </w:rPr>
        <w:t xml:space="preserve">供应商应登录采购系统并在规定时间内进行线上二次报价即最后报价，</w:t>
      </w:r>
      <w:r>
        <w:rPr>
          <w:rFonts w:ascii="宋体" w:hAnsi="宋体" w:eastAsia="宋体"/>
          <w:sz w:val="24"/>
          <w:szCs w:val="24"/>
          <w:highlight w:val="none"/>
        </w:rPr>
        <w:t xml:space="preserve">提交最后报价的供应商不</w:t>
      </w:r>
      <w:r>
        <w:rPr>
          <w:rFonts w:hint="eastAsia" w:ascii="宋体" w:hAnsi="宋体" w:eastAsia="宋体"/>
          <w:sz w:val="24"/>
          <w:szCs w:val="24"/>
          <w:highlight w:val="none"/>
        </w:rPr>
        <w:t xml:space="preserve">足3</w:t>
      </w:r>
      <w:r>
        <w:rPr>
          <w:rFonts w:ascii="宋体" w:hAnsi="宋体" w:eastAsia="宋体"/>
          <w:sz w:val="24"/>
          <w:szCs w:val="24"/>
          <w:highlight w:val="none"/>
        </w:rPr>
        <w:t xml:space="preserve">家</w:t>
      </w:r>
      <w:r>
        <w:rPr>
          <w:rFonts w:hint="eastAsia" w:ascii="宋体" w:hAnsi="宋体" w:eastAsia="宋体"/>
          <w:sz w:val="24"/>
          <w:szCs w:val="24"/>
          <w:highlight w:val="none"/>
        </w:rPr>
        <w:t xml:space="preserve">的，磋商采购失败</w:t>
      </w:r>
      <w:r>
        <w:rPr>
          <w:rFonts w:ascii="宋体" w:hAnsi="宋体" w:eastAsia="宋体"/>
          <w:sz w:val="24"/>
          <w:szCs w:val="24"/>
          <w:highlight w:val="none"/>
        </w:rPr>
        <w:t xml:space="preserve">。</w:t>
      </w:r>
      <w:r>
        <w:rPr>
          <w:rFonts w:hint="eastAsia" w:ascii="宋体" w:hAnsi="宋体" w:eastAsia="宋体"/>
          <w:sz w:val="24"/>
          <w:szCs w:val="24"/>
          <w:highlight w:val="none"/>
        </w:rPr>
        <w:t xml:space="preserve">除因磋商文件修改导致成本增加外，</w:t>
      </w:r>
      <w:r>
        <w:rPr>
          <w:rFonts w:hint="eastAsia" w:ascii="宋体" w:hAnsi="宋体" w:eastAsia="宋体"/>
          <w:b/>
          <w:sz w:val="24"/>
          <w:szCs w:val="24"/>
          <w:highlight w:val="none"/>
        </w:rPr>
        <w:t xml:space="preserve">最后报价不得高于一次报价，否则为无效响应报价。</w:t>
      </w:r>
      <w:r>
        <w:rPr>
          <w:rFonts w:ascii="宋体" w:hAnsi="宋体" w:eastAsia="宋体"/>
          <w:b/>
          <w:sz w:val="24"/>
          <w:szCs w:val="24"/>
          <w:highlight w:val="none"/>
        </w:rPr>
      </w:r>
      <w:r/>
    </w:p>
    <w:p>
      <w:pPr>
        <w:pStyle w:val="706"/>
        <w:ind w:firstLine="482"/>
        <w:jc w:val="left"/>
        <w:keepLines w:val="0"/>
        <w:keepNext w:val="0"/>
        <w:pageBreakBefore w:val="0"/>
        <w:spacing w:line="360" w:lineRule="auto"/>
        <w:widowControl/>
        <w:rPr>
          <w:rFonts w:hint="eastAsia" w:ascii="宋体" w:hAnsi="宋体" w:eastAsia="宋体" w:cs="宋体"/>
          <w:b/>
          <w:color w:val="000000"/>
          <w:sz w:val="24"/>
          <w:szCs w:val="24"/>
          <w:highlight w:val="none"/>
          <w:lang w:val="en-US" w:eastAsia="zh-CN"/>
        </w:rPr>
        <w:suppressLineNumbers w:val="0"/>
      </w:pPr>
      <w:r>
        <w:rPr>
          <w:rFonts w:hint="eastAsia" w:ascii="宋体" w:hAnsi="宋体" w:eastAsia="宋体"/>
          <w:b/>
          <w:bCs/>
          <w:sz w:val="24"/>
          <w:szCs w:val="24"/>
          <w:highlight w:val="none"/>
        </w:rPr>
        <w:t xml:space="preserve">10、</w:t>
      </w:r>
      <w:r>
        <w:rPr>
          <w:rFonts w:hint="eastAsia" w:ascii="宋体" w:hAnsi="宋体" w:eastAsia="宋体" w:cs="宋体"/>
          <w:b/>
          <w:bCs/>
          <w:color w:val="000000"/>
          <w:sz w:val="24"/>
          <w:szCs w:val="24"/>
          <w:highlight w:val="none"/>
          <w:lang w:val="en-US" w:eastAsia="zh-CN"/>
        </w:rPr>
        <w:t xml:space="preserve">异常低价投</w:t>
      </w:r>
      <w:r>
        <w:rPr>
          <w:rFonts w:hint="eastAsia" w:ascii="宋体" w:hAnsi="宋体" w:eastAsia="宋体" w:cs="宋体"/>
          <w:b/>
          <w:color w:val="000000"/>
          <w:sz w:val="24"/>
          <w:szCs w:val="24"/>
          <w:highlight w:val="none"/>
          <w:lang w:val="en-US" w:eastAsia="zh-CN"/>
        </w:rPr>
        <w:t xml:space="preserve">标审查</w:t>
      </w:r>
      <w:r>
        <w:rPr>
          <w:rFonts w:hint="eastAsia" w:ascii="宋体" w:hAnsi="宋体" w:eastAsia="宋体" w:cs="宋体"/>
          <w:b/>
          <w:color w:val="000000"/>
          <w:sz w:val="24"/>
          <w:szCs w:val="24"/>
          <w:highlight w:val="none"/>
          <w:lang w:val="en-US" w:eastAsia="zh-CN"/>
        </w:rPr>
      </w:r>
      <w:r/>
    </w:p>
    <w:p>
      <w:pPr>
        <w:pStyle w:val="706"/>
        <w:ind w:firstLine="482"/>
        <w:jc w:val="left"/>
        <w:keepLines w:val="0"/>
        <w:keepNext w:val="0"/>
        <w:pageBreakBefore w:val="0"/>
        <w:spacing w:line="360" w:lineRule="auto"/>
        <w:widowControl/>
        <w:rPr>
          <w:rFonts w:hint="eastAsia" w:ascii="宋体" w:hAnsi="宋体" w:eastAsia="宋体" w:cs="宋体"/>
          <w:b/>
          <w:color w:val="000000"/>
          <w:sz w:val="24"/>
          <w:szCs w:val="24"/>
          <w:highlight w:val="none"/>
          <w:lang w:val="en-US" w:eastAsia="zh-CN"/>
        </w:rPr>
        <w:suppressLineNumbers w:val="0"/>
      </w:pPr>
      <w:r>
        <w:rPr>
          <w:rFonts w:hint="eastAsia" w:ascii="宋体" w:hAnsi="宋体" w:eastAsia="宋体" w:cs="宋体"/>
          <w:b/>
          <w:color w:val="000000"/>
          <w:sz w:val="24"/>
          <w:szCs w:val="24"/>
          <w:highlight w:val="none"/>
          <w:lang w:val="en-US" w:eastAsia="zh-CN"/>
        </w:rPr>
        <w:t xml:space="preserve">10.1 评标过程中出现下列情形之一的，评标委员会应当启动异常低价投标审查程序：</w:t>
      </w:r>
      <w:r>
        <w:rPr>
          <w:rFonts w:hint="eastAsia" w:ascii="宋体" w:hAnsi="宋体" w:eastAsia="宋体" w:cs="宋体"/>
          <w:b/>
          <w:color w:val="000000"/>
          <w:sz w:val="24"/>
          <w:szCs w:val="24"/>
          <w:highlight w:val="none"/>
          <w:lang w:val="en-US" w:eastAsia="zh-CN"/>
        </w:rPr>
      </w:r>
      <w:r/>
    </w:p>
    <w:p>
      <w:pPr>
        <w:pStyle w:val="706"/>
        <w:ind w:firstLine="482"/>
        <w:jc w:val="left"/>
        <w:keepLines w:val="0"/>
        <w:keepNext w:val="0"/>
        <w:pageBreakBefore w:val="0"/>
        <w:spacing w:line="360" w:lineRule="auto"/>
        <w:widowControl/>
        <w:rPr>
          <w:rFonts w:hint="eastAsia" w:ascii="宋体" w:hAnsi="宋体" w:eastAsia="宋体" w:cs="宋体"/>
          <w:b/>
          <w:color w:val="000000"/>
          <w:sz w:val="24"/>
          <w:szCs w:val="24"/>
          <w:highlight w:val="none"/>
          <w:lang w:val="en-US" w:eastAsia="zh-CN"/>
        </w:rPr>
        <w:suppressLineNumbers w:val="0"/>
      </w:pPr>
      <w:r>
        <w:rPr>
          <w:rFonts w:hint="eastAsia" w:ascii="宋体" w:hAnsi="宋体" w:eastAsia="宋体" w:cs="宋体"/>
          <w:b/>
          <w:color w:val="000000"/>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color w:val="000000"/>
          <w:sz w:val="24"/>
          <w:szCs w:val="24"/>
          <w:highlight w:val="none"/>
          <w:lang w:val="en-US" w:eastAsia="zh-CN"/>
        </w:rPr>
      </w:r>
      <w:r/>
    </w:p>
    <w:p>
      <w:pPr>
        <w:pStyle w:val="706"/>
        <w:ind w:firstLine="482"/>
        <w:jc w:val="left"/>
        <w:keepLines w:val="0"/>
        <w:keepNext w:val="0"/>
        <w:pageBreakBefore w:val="0"/>
        <w:spacing w:line="360" w:lineRule="auto"/>
        <w:widowControl/>
        <w:rPr>
          <w:highlight w:val="none"/>
        </w:rPr>
        <w:suppressLineNumbers w:val="0"/>
      </w:pPr>
      <w:r>
        <w:rPr>
          <w:rFonts w:hint="eastAsia" w:ascii="宋体" w:hAnsi="宋体" w:eastAsia="宋体" w:cs="宋体"/>
          <w:b/>
          <w:color w:val="000000"/>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rPr>
          <w:highlight w:val="none"/>
        </w:rPr>
      </w:r>
      <w:r/>
    </w:p>
    <w:p>
      <w:pPr>
        <w:pStyle w:val="706"/>
        <w:ind w:firstLine="482"/>
        <w:jc w:val="left"/>
        <w:keepLines w:val="0"/>
        <w:keepNext w:val="0"/>
        <w:pageBreakBefore w:val="0"/>
        <w:spacing w:line="360" w:lineRule="auto"/>
        <w:widowControl/>
        <w:rPr>
          <w:rFonts w:hint="eastAsia" w:ascii="宋体" w:hAnsi="宋体" w:eastAsia="宋体" w:cs="宋体"/>
          <w:b/>
          <w:color w:val="000000"/>
          <w:sz w:val="24"/>
          <w:szCs w:val="24"/>
          <w:highlight w:val="none"/>
          <w:lang w:val="en-US" w:eastAsia="zh-CN"/>
        </w:rPr>
        <w:suppressLineNumbers w:val="0"/>
      </w:pPr>
      <w:r>
        <w:rPr>
          <w:rFonts w:hint="eastAsia" w:ascii="宋体" w:hAnsi="宋体" w:eastAsia="宋体" w:cs="宋体"/>
          <w:b/>
          <w:color w:val="000000"/>
          <w:sz w:val="24"/>
          <w:szCs w:val="24"/>
          <w:highlight w:val="none"/>
          <w:lang w:val="en-US" w:eastAsia="zh-CN"/>
        </w:rPr>
        <w:t xml:space="preserve">（3）投标报价低于采购项目最高限价45%的，即投标报价＜采购项目最高限价×45%；</w:t>
      </w:r>
      <w:r>
        <w:rPr>
          <w:rFonts w:hint="eastAsia" w:ascii="宋体" w:hAnsi="宋体" w:eastAsia="宋体" w:cs="宋体"/>
          <w:b/>
          <w:color w:val="000000"/>
          <w:sz w:val="24"/>
          <w:szCs w:val="24"/>
          <w:highlight w:val="none"/>
          <w:lang w:val="en-US" w:eastAsia="zh-CN"/>
        </w:rPr>
      </w:r>
      <w:r/>
    </w:p>
    <w:p>
      <w:pPr>
        <w:pStyle w:val="706"/>
        <w:ind w:firstLine="482"/>
        <w:jc w:val="left"/>
        <w:keepLines w:val="0"/>
        <w:keepNext w:val="0"/>
        <w:pageBreakBefore w:val="0"/>
        <w:spacing w:line="360" w:lineRule="auto"/>
        <w:widowControl/>
        <w:rPr>
          <w:rFonts w:hint="eastAsia" w:ascii="宋体" w:hAnsi="宋体" w:eastAsia="宋体" w:cs="宋体"/>
          <w:b/>
          <w:color w:val="000000"/>
          <w:sz w:val="24"/>
          <w:szCs w:val="24"/>
          <w:highlight w:val="none"/>
          <w:lang w:val="en-US" w:eastAsia="zh-CN"/>
        </w:rPr>
        <w:suppressLineNumbers w:val="0"/>
      </w:pPr>
      <w:r>
        <w:rPr>
          <w:rFonts w:hint="eastAsia" w:ascii="宋体" w:hAnsi="宋体" w:eastAsia="宋体" w:cs="宋体"/>
          <w:b/>
          <w:color w:val="000000"/>
          <w:sz w:val="24"/>
          <w:szCs w:val="24"/>
          <w:highlight w:val="none"/>
          <w:lang w:val="en-US" w:eastAsia="zh-CN"/>
        </w:rPr>
        <w:t xml:space="preserve">（4）评标委员会认定的供应商报价过低、有可能影响产品质量或者不能诚信履约的其他情形。</w:t>
      </w:r>
      <w:r>
        <w:rPr>
          <w:rFonts w:hint="eastAsia" w:ascii="宋体" w:hAnsi="宋体" w:eastAsia="宋体" w:cs="宋体"/>
          <w:b/>
          <w:color w:val="000000"/>
          <w:sz w:val="24"/>
          <w:szCs w:val="24"/>
          <w:highlight w:val="none"/>
          <w:lang w:val="en-US" w:eastAsia="zh-CN"/>
        </w:rPr>
      </w:r>
      <w:r/>
    </w:p>
    <w:p>
      <w:pPr>
        <w:pStyle w:val="706"/>
        <w:ind w:firstLine="482"/>
        <w:jc w:val="left"/>
        <w:keepLines w:val="0"/>
        <w:keepNext w:val="0"/>
        <w:pageBreakBefore w:val="0"/>
        <w:spacing w:line="360" w:lineRule="auto"/>
        <w:widowControl/>
        <w:rPr>
          <w:rFonts w:hint="eastAsia" w:ascii="宋体" w:hAnsi="宋体" w:eastAsia="宋体" w:cs="宋体"/>
          <w:b/>
          <w:color w:val="000000"/>
          <w:sz w:val="24"/>
          <w:szCs w:val="24"/>
          <w:highlight w:val="none"/>
          <w:lang w:val="en-US" w:eastAsia="zh-CN"/>
        </w:rPr>
        <w:suppressLineNumbers w:val="0"/>
      </w:pPr>
      <w:r>
        <w:rPr>
          <w:rFonts w:hint="eastAsia" w:ascii="宋体" w:hAnsi="宋体" w:eastAsia="宋体" w:cs="宋体"/>
          <w:b/>
          <w:color w:val="000000"/>
          <w:sz w:val="24"/>
          <w:szCs w:val="24"/>
          <w:highlight w:val="none"/>
          <w:lang w:val="en-US" w:eastAsia="zh-CN"/>
        </w:rPr>
        <w:t xml:space="preserve">10.2启动异常低价投标审查后，评标委员会应当要求相关供应商在评标现场合理的时间内，提供项目具体成本测算等（包</w:t>
      </w:r>
      <w:r>
        <w:rPr>
          <w:rFonts w:hint="eastAsia" w:ascii="宋体" w:hAnsi="宋体" w:eastAsia="宋体" w:cs="宋体"/>
          <w:b/>
          <w:color w:val="000000"/>
          <w:sz w:val="24"/>
          <w:szCs w:val="24"/>
          <w:highlight w:val="none"/>
          <w:lang w:val="en-US" w:eastAsia="zh-CN"/>
        </w:rPr>
        <w:t xml:space="preserve">括原材料成本、人工成本、制造费用等）</w:t>
      </w:r>
      <w:r>
        <w:rPr>
          <w:rFonts w:hint="eastAsia" w:ascii="宋体" w:hAnsi="宋体" w:eastAsia="宋体" w:cs="宋体"/>
          <w:b/>
          <w:color w:val="000000"/>
          <w:sz w:val="24"/>
          <w:szCs w:val="24"/>
          <w:highlight w:val="none"/>
          <w:lang w:val="en-US" w:eastAsia="zh-CN"/>
        </w:rPr>
        <w:t xml:space="preserve">与报价合理性相关的书面说明材料及相关证明材料，对投标价格作出解释，由评标委员会</w:t>
      </w:r>
      <w:r>
        <w:rPr>
          <w:rFonts w:hint="eastAsia" w:ascii="宋体" w:hAnsi="宋体" w:eastAsia="宋体" w:cs="宋体"/>
          <w:b/>
          <w:color w:val="000000"/>
          <w:sz w:val="24"/>
          <w:szCs w:val="24"/>
          <w:highlight w:val="none"/>
          <w:lang w:val="en-US" w:eastAsia="zh-CN"/>
        </w:rPr>
        <w:t xml:space="preserve">参考同类项目中标（成交）价格、类似产品市场价格水平、行业人工费用标准、国家有关部门指导行业协会发布的行业平均成本等情况，对报价合理性进行判断，</w:t>
      </w:r>
      <w:r>
        <w:rPr>
          <w:rFonts w:hint="eastAsia" w:ascii="宋体" w:hAnsi="宋体" w:eastAsia="宋体" w:cs="宋体"/>
          <w:b/>
          <w:color w:val="000000"/>
          <w:sz w:val="24"/>
          <w:szCs w:val="24"/>
          <w:highlight w:val="none"/>
          <w:lang w:val="en-US" w:eastAsia="zh-CN"/>
        </w:rPr>
        <w:t xml:space="preserve">依据专业经验对供应商报价合理性进行判断。投标供应商不提供成本测算、书面说明、证明材料，或者提供的书面说明、证明材料不能证明其报价合理性的，评标委员会应当将其作为无效投标处理。审查相关情况应当在评标报告中进行记录。</w:t>
      </w:r>
      <w:r>
        <w:rPr>
          <w:rFonts w:hint="eastAsia" w:ascii="宋体" w:hAnsi="宋体" w:eastAsia="宋体" w:cs="宋体"/>
          <w:b/>
          <w:color w:val="000000"/>
          <w:sz w:val="24"/>
          <w:szCs w:val="24"/>
          <w:highlight w:val="none"/>
          <w:lang w:val="en-US" w:eastAsia="zh-CN"/>
        </w:rPr>
      </w:r>
      <w:r/>
    </w:p>
    <w:p>
      <w:pPr>
        <w:pStyle w:val="706"/>
        <w:ind w:firstLine="480"/>
        <w:spacing w:line="360" w:lineRule="auto"/>
        <w:rPr>
          <w:rFonts w:ascii="宋体" w:hAnsi="宋体" w:eastAsia="宋体"/>
          <w:sz w:val="24"/>
          <w:szCs w:val="24"/>
          <w:highlight w:val="none"/>
        </w:rPr>
      </w:pPr>
      <w:r>
        <w:rPr>
          <w:rFonts w:hint="eastAsia" w:ascii="宋体" w:hAnsi="宋体" w:eastAsia="宋体"/>
          <w:sz w:val="24"/>
          <w:szCs w:val="24"/>
          <w:highlight w:val="none"/>
          <w:lang w:val="en-US" w:eastAsia="zh-CN"/>
        </w:rPr>
        <w:t xml:space="preserve">11、</w:t>
      </w:r>
      <w:r>
        <w:rPr>
          <w:rFonts w:ascii="宋体" w:hAnsi="宋体" w:eastAsia="宋体"/>
          <w:sz w:val="24"/>
          <w:szCs w:val="24"/>
          <w:highlight w:val="none"/>
        </w:rPr>
        <w:t xml:space="preserve">经磋商确定最终采购需求和提交最后报价的供应商后，由磋商小组采用综合评分法对提交最后报价的供应商的响应文件和最后报价进行综合评分。</w:t>
      </w:r>
      <w:r>
        <w:rPr>
          <w:rFonts w:ascii="宋体" w:hAnsi="宋体" w:eastAsia="宋体"/>
          <w:sz w:val="24"/>
          <w:szCs w:val="24"/>
          <w:highlight w:val="none"/>
        </w:rPr>
      </w:r>
      <w:r/>
    </w:p>
    <w:p>
      <w:pPr>
        <w:pStyle w:val="706"/>
        <w:ind w:firstLine="42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1</w:t>
      </w:r>
      <w:r>
        <w:rPr>
          <w:rFonts w:hint="eastAsia" w:ascii="宋体" w:hAnsi="宋体" w:eastAsia="宋体"/>
          <w:sz w:val="24"/>
          <w:szCs w:val="24"/>
          <w:highlight w:val="none"/>
          <w:lang w:val="en-US" w:eastAsia="zh-CN"/>
        </w:rPr>
        <w:t xml:space="preserve">2</w:t>
      </w:r>
      <w:r>
        <w:rPr>
          <w:rFonts w:hint="eastAsia" w:ascii="宋体" w:hAnsi="宋体" w:eastAsia="宋体"/>
          <w:sz w:val="24"/>
          <w:szCs w:val="24"/>
          <w:highlight w:val="none"/>
        </w:rPr>
        <w:t xml:space="preserve">、</w:t>
      </w:r>
      <w:r>
        <w:rPr>
          <w:rFonts w:ascii="宋体" w:hAnsi="宋体" w:eastAsia="宋体"/>
          <w:sz w:val="24"/>
          <w:szCs w:val="24"/>
          <w:highlight w:val="none"/>
        </w:rPr>
        <w:t xml:space="preserve">由于</w:t>
      </w:r>
      <w:r>
        <w:rPr>
          <w:rFonts w:hint="eastAsia" w:ascii="宋体" w:hAnsi="宋体" w:eastAsia="宋体"/>
          <w:sz w:val="24"/>
          <w:szCs w:val="24"/>
          <w:highlight w:val="none"/>
        </w:rPr>
        <w:t xml:space="preserve">开标</w:t>
      </w:r>
      <w:r>
        <w:rPr>
          <w:rFonts w:ascii="宋体" w:hAnsi="宋体" w:eastAsia="宋体"/>
          <w:sz w:val="24"/>
          <w:szCs w:val="24"/>
          <w:highlight w:val="none"/>
        </w:rPr>
        <w:t xml:space="preserve">现场监控传输路径与开标信息传输路径不同，会造成网页显示时间与监控图像显示时间不同。</w:t>
      </w:r>
      <w:r>
        <w:rPr>
          <w:rFonts w:ascii="宋体" w:hAnsi="宋体" w:eastAsia="宋体"/>
          <w:sz w:val="24"/>
          <w:szCs w:val="24"/>
          <w:highlight w:val="none"/>
        </w:rPr>
      </w:r>
      <w:r/>
    </w:p>
    <w:p>
      <w:pPr>
        <w:pStyle w:val="706"/>
        <w:ind w:firstLine="480"/>
        <w:spacing w:line="360" w:lineRule="auto"/>
        <w:rPr>
          <w:rFonts w:ascii="宋体" w:hAnsi="宋体" w:eastAsia="宋体" w:cs="宋体"/>
          <w:sz w:val="24"/>
          <w:highlight w:val="none"/>
        </w:rPr>
      </w:pPr>
      <w:r>
        <w:rPr>
          <w:rFonts w:hint="eastAsia" w:ascii="宋体" w:hAnsi="宋体" w:eastAsia="宋体"/>
          <w:sz w:val="24"/>
          <w:szCs w:val="24"/>
          <w:highlight w:val="none"/>
        </w:rPr>
        <w:t xml:space="preserve">1</w:t>
      </w:r>
      <w:r>
        <w:rPr>
          <w:rFonts w:hint="eastAsia" w:ascii="宋体" w:hAnsi="宋体" w:eastAsia="宋体"/>
          <w:sz w:val="24"/>
          <w:szCs w:val="24"/>
          <w:highlight w:val="none"/>
          <w:lang w:val="en-US" w:eastAsia="zh-CN"/>
        </w:rPr>
        <w:t xml:space="preserve">3</w:t>
      </w:r>
      <w:r>
        <w:rPr>
          <w:rFonts w:hint="eastAsia" w:ascii="宋体" w:hAnsi="宋体" w:eastAsia="宋体"/>
          <w:sz w:val="24"/>
          <w:szCs w:val="24"/>
          <w:highlight w:val="none"/>
        </w:rPr>
        <w:t xml:space="preserve">、</w:t>
      </w:r>
      <w:r>
        <w:rPr>
          <w:rFonts w:hint="eastAsia" w:ascii="宋体" w:hAnsi="宋体" w:eastAsia="宋体" w:cs="宋体"/>
          <w:sz w:val="24"/>
          <w:szCs w:val="24"/>
          <w:highlight w:val="none"/>
        </w:rPr>
        <w:t xml:space="preserve">技术支持</w:t>
      </w:r>
      <w:r>
        <w:rPr>
          <w:rFonts w:ascii="宋体" w:hAnsi="宋体" w:eastAsia="宋体" w:cs="宋体"/>
          <w:sz w:val="24"/>
          <w:highlight w:val="none"/>
        </w:rPr>
      </w:r>
      <w:r/>
    </w:p>
    <w:p>
      <w:pPr>
        <w:pStyle w:val="789"/>
        <w:ind w:firstLine="420"/>
        <w:spacing w:before="0" w:beforeAutospacing="0" w:after="0" w:afterAutospacing="0" w:line="360" w:lineRule="auto"/>
        <w:shd w:val="clear" w:color="ffffff" w:fill="auto"/>
        <w:rPr>
          <w:rFonts w:hint="eastAsia"/>
          <w:highlight w:val="none"/>
        </w:rPr>
      </w:pPr>
      <w:r>
        <w:rPr>
          <w:rFonts w:hint="eastAsia"/>
          <w:highlight w:val="none"/>
        </w:rPr>
        <w:t xml:space="preserve">CA技术咨询电话：400-608-6099；</w:t>
      </w:r>
      <w:r>
        <w:rPr>
          <w:rFonts w:hint="eastAsia"/>
          <w:highlight w:val="none"/>
        </w:rPr>
      </w:r>
      <w:r/>
    </w:p>
    <w:p>
      <w:pPr>
        <w:pStyle w:val="789"/>
        <w:ind w:firstLine="420"/>
        <w:spacing w:before="0" w:beforeAutospacing="0" w:after="0" w:afterAutospacing="0" w:line="360" w:lineRule="auto"/>
        <w:shd w:val="clear" w:color="ffffff" w:fill="auto"/>
        <w:rPr>
          <w:rFonts w:hint="eastAsia"/>
          <w:highlight w:val="none"/>
        </w:rPr>
      </w:pPr>
      <w:r>
        <w:rPr>
          <w:rFonts w:hint="eastAsia"/>
          <w:highlight w:val="none"/>
        </w:rPr>
        <w:t xml:space="preserve">签章使用问题：025-83633811、025-83633812、15380932027、15371015030；</w:t>
      </w:r>
      <w:r>
        <w:rPr>
          <w:rFonts w:hint="eastAsia"/>
          <w:highlight w:val="none"/>
        </w:rPr>
      </w:r>
      <w:r/>
    </w:p>
    <w:p>
      <w:pPr>
        <w:pStyle w:val="789"/>
        <w:ind w:firstLine="420"/>
        <w:spacing w:before="0" w:beforeAutospacing="0" w:after="0" w:afterAutospacing="0" w:line="360" w:lineRule="auto"/>
        <w:shd w:val="clear" w:color="ffffff" w:fill="auto"/>
        <w:rPr>
          <w:rFonts w:hint="eastAsia"/>
          <w:highlight w:val="none"/>
        </w:rPr>
      </w:pPr>
      <w:r>
        <w:rPr>
          <w:rFonts w:hint="eastAsia"/>
          <w:highlight w:val="none"/>
        </w:rPr>
        <w:t xml:space="preserve">系统使用指导与咨询：联系电话：18261002950；QQ：3048755361、1315179389、895706745。</w:t>
      </w:r>
      <w:r>
        <w:rPr>
          <w:rFonts w:hint="eastAsia"/>
          <w:highlight w:val="none"/>
        </w:rPr>
      </w:r>
      <w:r/>
    </w:p>
    <w:p>
      <w:pPr>
        <w:pStyle w:val="706"/>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八、磋商小组</w:t>
      </w:r>
      <w:r>
        <w:rPr>
          <w:rFonts w:ascii="宋体" w:hAnsi="宋体" w:eastAsia="宋体"/>
          <w:b/>
          <w:sz w:val="24"/>
          <w:szCs w:val="24"/>
          <w:highlight w:val="none"/>
        </w:rPr>
      </w:r>
      <w:r/>
    </w:p>
    <w:p>
      <w:pPr>
        <w:pStyle w:val="730"/>
        <w:ind w:firstLine="502"/>
        <w:jc w:val="both"/>
        <w:spacing w:line="360" w:lineRule="auto"/>
        <w:rPr>
          <w:rFonts w:ascii="宋体" w:hAnsi="宋体" w:eastAsia="宋体"/>
          <w:szCs w:val="24"/>
          <w:highlight w:val="none"/>
        </w:rPr>
      </w:pPr>
      <w:r>
        <w:rPr>
          <w:rFonts w:hint="eastAsia" w:ascii="宋体" w:hAnsi="宋体" w:eastAsia="宋体"/>
          <w:szCs w:val="24"/>
          <w:highlight w:val="none"/>
        </w:rPr>
        <w:t xml:space="preserve">1、磋商小组由采购人依法组建，由采购人代表、专家评委组成。</w:t>
      </w:r>
      <w:r>
        <w:rPr>
          <w:rFonts w:ascii="宋体" w:hAnsi="宋体" w:eastAsia="宋体"/>
          <w:szCs w:val="24"/>
          <w:highlight w:val="none"/>
        </w:rPr>
      </w:r>
      <w:r/>
    </w:p>
    <w:p>
      <w:pPr>
        <w:pStyle w:val="706"/>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2、磋商小组与参加采购活动的供应商存在下列利害关系之一的，应当回避：</w:t>
      </w:r>
      <w:r>
        <w:rPr>
          <w:rFonts w:ascii="宋体" w:hAnsi="宋体" w:eastAsia="宋体"/>
          <w:sz w:val="24"/>
          <w:szCs w:val="24"/>
          <w:highlight w:val="none"/>
        </w:rPr>
      </w:r>
      <w:r/>
    </w:p>
    <w:p>
      <w:pPr>
        <w:pStyle w:val="706"/>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（一）参加采购活动前三年内，与投标人存在劳动关系、或者担任过投标人的董事、监事，或者是投标人的控股股东或实际控制人；</w:t>
      </w:r>
      <w:r>
        <w:rPr>
          <w:rFonts w:ascii="宋体" w:hAnsi="宋体" w:eastAsia="宋体"/>
          <w:sz w:val="24"/>
          <w:szCs w:val="24"/>
          <w:highlight w:val="none"/>
        </w:rPr>
      </w:r>
      <w:r/>
    </w:p>
    <w:p>
      <w:pPr>
        <w:pStyle w:val="706"/>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（二）与投标人的法定代表人或者负责人有夫妻、直系血亲、三代以内旁系血亲或者近姻亲关系；</w:t>
      </w:r>
      <w:r>
        <w:rPr>
          <w:rFonts w:ascii="宋体" w:hAnsi="宋体" w:eastAsia="宋体"/>
          <w:sz w:val="24"/>
          <w:szCs w:val="24"/>
          <w:highlight w:val="none"/>
        </w:rPr>
      </w:r>
      <w:r/>
    </w:p>
    <w:p>
      <w:pPr>
        <w:pStyle w:val="706"/>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（三）与投标人有其他影响政府采购活动公平、公正进行的关系。</w:t>
      </w:r>
      <w:r>
        <w:rPr>
          <w:rFonts w:ascii="宋体" w:hAnsi="宋体" w:eastAsia="宋体"/>
          <w:sz w:val="24"/>
          <w:szCs w:val="24"/>
          <w:highlight w:val="none"/>
        </w:rPr>
      </w:r>
      <w:r/>
    </w:p>
    <w:p>
      <w:pPr>
        <w:pStyle w:val="706"/>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磋商小组发现本人与参加采购活动的供应商有利害关系的，应当主动提出回避。采购人或采购代理机构发现评审专家与参加采购活动的供应商有利害关系的，应当要求其回避。</w:t>
      </w:r>
      <w:r>
        <w:rPr>
          <w:rFonts w:ascii="宋体" w:hAnsi="宋体" w:eastAsia="宋体"/>
          <w:sz w:val="24"/>
          <w:szCs w:val="24"/>
          <w:highlight w:val="none"/>
        </w:rPr>
      </w:r>
      <w:r/>
    </w:p>
    <w:p>
      <w:pPr>
        <w:pStyle w:val="730"/>
        <w:ind w:firstLine="502"/>
        <w:jc w:val="both"/>
        <w:spacing w:line="360" w:lineRule="auto"/>
        <w:rPr>
          <w:rFonts w:ascii="宋体" w:hAnsi="宋体" w:eastAsia="宋体"/>
          <w:szCs w:val="24"/>
          <w:highlight w:val="none"/>
        </w:rPr>
      </w:pPr>
      <w:r>
        <w:rPr>
          <w:rFonts w:hint="eastAsia" w:ascii="宋体" w:hAnsi="宋体" w:eastAsia="宋体"/>
          <w:szCs w:val="24"/>
          <w:highlight w:val="none"/>
        </w:rPr>
        <w:t xml:space="preserve">3、磋商小组负责具体的磋商事务，并独立履行以下职责：</w:t>
      </w:r>
      <w:r>
        <w:rPr>
          <w:rFonts w:ascii="宋体" w:hAnsi="宋体" w:eastAsia="宋体"/>
          <w:szCs w:val="24"/>
          <w:highlight w:val="none"/>
        </w:rPr>
      </w:r>
      <w:r/>
    </w:p>
    <w:p>
      <w:pPr>
        <w:pStyle w:val="730"/>
        <w:ind w:firstLine="502"/>
        <w:jc w:val="both"/>
        <w:spacing w:line="360" w:lineRule="auto"/>
        <w:rPr>
          <w:rFonts w:ascii="宋体" w:hAnsi="宋体" w:eastAsia="宋体"/>
          <w:szCs w:val="24"/>
          <w:highlight w:val="none"/>
        </w:rPr>
      </w:pPr>
      <w:r>
        <w:rPr>
          <w:rFonts w:hint="eastAsia" w:ascii="宋体" w:hAnsi="宋体" w:eastAsia="宋体"/>
          <w:szCs w:val="24"/>
          <w:highlight w:val="none"/>
        </w:rPr>
        <w:t xml:space="preserve">3.1审查响应文件是否符合磋商采购文件的要求，并作出评价；</w:t>
      </w:r>
      <w:r>
        <w:rPr>
          <w:rFonts w:ascii="宋体" w:hAnsi="宋体" w:eastAsia="宋体"/>
          <w:szCs w:val="24"/>
          <w:highlight w:val="none"/>
        </w:rPr>
      </w:r>
      <w:r/>
    </w:p>
    <w:p>
      <w:pPr>
        <w:pStyle w:val="730"/>
        <w:ind w:firstLine="502"/>
        <w:jc w:val="both"/>
        <w:spacing w:line="360" w:lineRule="auto"/>
        <w:rPr>
          <w:rFonts w:ascii="宋体" w:hAnsi="宋体" w:eastAsia="宋体"/>
          <w:szCs w:val="24"/>
          <w:highlight w:val="none"/>
        </w:rPr>
      </w:pPr>
      <w:r>
        <w:rPr>
          <w:rFonts w:hint="eastAsia" w:ascii="宋体" w:hAnsi="宋体" w:eastAsia="宋体"/>
          <w:szCs w:val="24"/>
          <w:highlight w:val="none"/>
        </w:rPr>
        <w:t xml:space="preserve">3.2可以要求磋商供应商对响应文件有关事项作出解释或澄清；</w:t>
      </w:r>
      <w:r>
        <w:rPr>
          <w:rFonts w:ascii="宋体" w:hAnsi="宋体" w:eastAsia="宋体"/>
          <w:szCs w:val="24"/>
          <w:highlight w:val="none"/>
        </w:rPr>
      </w:r>
      <w:r/>
    </w:p>
    <w:p>
      <w:pPr>
        <w:pStyle w:val="730"/>
        <w:ind w:firstLine="502"/>
        <w:jc w:val="both"/>
        <w:spacing w:line="360" w:lineRule="auto"/>
        <w:rPr>
          <w:rFonts w:ascii="宋体" w:hAnsi="宋体" w:eastAsia="宋体"/>
          <w:szCs w:val="24"/>
          <w:highlight w:val="none"/>
        </w:rPr>
      </w:pPr>
      <w:r>
        <w:rPr>
          <w:rFonts w:hint="eastAsia" w:ascii="宋体" w:hAnsi="宋体" w:eastAsia="宋体"/>
          <w:szCs w:val="24"/>
          <w:highlight w:val="none"/>
        </w:rPr>
        <w:t xml:space="preserve">3.3推荐成交候选磋商供应商名单；</w:t>
      </w:r>
      <w:r>
        <w:rPr>
          <w:rFonts w:ascii="宋体" w:hAnsi="宋体" w:eastAsia="宋体"/>
          <w:szCs w:val="24"/>
          <w:highlight w:val="none"/>
        </w:rPr>
      </w:r>
      <w:r/>
    </w:p>
    <w:p>
      <w:pPr>
        <w:pStyle w:val="730"/>
        <w:ind w:firstLine="502"/>
        <w:jc w:val="both"/>
        <w:spacing w:line="360" w:lineRule="auto"/>
        <w:rPr>
          <w:rFonts w:ascii="宋体" w:hAnsi="宋体" w:eastAsia="宋体"/>
          <w:szCs w:val="24"/>
          <w:highlight w:val="none"/>
        </w:rPr>
      </w:pPr>
      <w:r>
        <w:rPr>
          <w:rFonts w:hint="eastAsia" w:ascii="宋体" w:hAnsi="宋体" w:eastAsia="宋体"/>
          <w:szCs w:val="24"/>
          <w:highlight w:val="none"/>
        </w:rPr>
        <w:t xml:space="preserve">3.4向采购人或者有关部门报告非法干预磋商工作的行为。</w:t>
      </w:r>
      <w:r>
        <w:rPr>
          <w:rFonts w:ascii="宋体" w:hAnsi="宋体" w:eastAsia="宋体"/>
          <w:szCs w:val="24"/>
          <w:highlight w:val="none"/>
        </w:rPr>
      </w:r>
      <w:r/>
    </w:p>
    <w:p>
      <w:pPr>
        <w:pStyle w:val="730"/>
        <w:ind w:firstLine="502"/>
        <w:jc w:val="both"/>
        <w:spacing w:line="360" w:lineRule="auto"/>
        <w:rPr>
          <w:rFonts w:ascii="宋体" w:hAnsi="宋体" w:eastAsia="宋体"/>
          <w:szCs w:val="24"/>
          <w:highlight w:val="none"/>
        </w:rPr>
      </w:pPr>
      <w:r>
        <w:rPr>
          <w:rFonts w:hint="eastAsia" w:ascii="宋体" w:hAnsi="宋体" w:eastAsia="宋体"/>
          <w:szCs w:val="24"/>
          <w:highlight w:val="none"/>
        </w:rPr>
        <w:t xml:space="preserve">4、磋商小组成员应当履行下列义务：</w:t>
      </w:r>
      <w:r>
        <w:rPr>
          <w:rFonts w:ascii="宋体" w:hAnsi="宋体" w:eastAsia="宋体"/>
          <w:szCs w:val="24"/>
          <w:highlight w:val="none"/>
        </w:rPr>
      </w:r>
      <w:r/>
    </w:p>
    <w:p>
      <w:pPr>
        <w:pStyle w:val="730"/>
        <w:ind w:firstLine="502"/>
        <w:jc w:val="both"/>
        <w:spacing w:line="360" w:lineRule="auto"/>
        <w:rPr>
          <w:rFonts w:ascii="宋体" w:hAnsi="宋体" w:eastAsia="宋体"/>
          <w:szCs w:val="24"/>
          <w:highlight w:val="none"/>
        </w:rPr>
      </w:pPr>
      <w:r>
        <w:rPr>
          <w:rFonts w:hint="eastAsia" w:ascii="宋体" w:hAnsi="宋体" w:eastAsia="宋体"/>
          <w:szCs w:val="24"/>
          <w:highlight w:val="none"/>
        </w:rPr>
        <w:t xml:space="preserve">4.1遵纪守法，客观、公正、廉洁地履行职责；</w:t>
      </w:r>
      <w:r>
        <w:rPr>
          <w:rFonts w:ascii="宋体" w:hAnsi="宋体" w:eastAsia="宋体"/>
          <w:szCs w:val="24"/>
          <w:highlight w:val="none"/>
        </w:rPr>
      </w:r>
      <w:r/>
    </w:p>
    <w:p>
      <w:pPr>
        <w:pStyle w:val="730"/>
        <w:ind w:firstLine="502"/>
        <w:jc w:val="both"/>
        <w:spacing w:line="360" w:lineRule="auto"/>
        <w:rPr>
          <w:rFonts w:ascii="宋体" w:hAnsi="宋体" w:eastAsia="宋体"/>
          <w:szCs w:val="24"/>
          <w:highlight w:val="none"/>
        </w:rPr>
      </w:pPr>
      <w:r>
        <w:rPr>
          <w:rFonts w:hint="eastAsia" w:ascii="宋体" w:hAnsi="宋体" w:eastAsia="宋体"/>
          <w:szCs w:val="24"/>
          <w:highlight w:val="none"/>
        </w:rPr>
        <w:t xml:space="preserve">4.2按照磋商采购文件规定的评审办法和评分标准进行评审，对评审意见承担个人责任；</w:t>
      </w:r>
      <w:r>
        <w:rPr>
          <w:rFonts w:ascii="宋体" w:hAnsi="宋体" w:eastAsia="宋体"/>
          <w:szCs w:val="24"/>
          <w:highlight w:val="none"/>
        </w:rPr>
      </w:r>
      <w:r/>
    </w:p>
    <w:p>
      <w:pPr>
        <w:pStyle w:val="730"/>
        <w:ind w:firstLine="502"/>
        <w:jc w:val="both"/>
        <w:spacing w:line="360" w:lineRule="auto"/>
        <w:rPr>
          <w:rFonts w:ascii="宋体" w:hAnsi="宋体" w:eastAsia="宋体"/>
          <w:szCs w:val="24"/>
          <w:highlight w:val="none"/>
        </w:rPr>
      </w:pPr>
      <w:r>
        <w:rPr>
          <w:rFonts w:hint="eastAsia" w:ascii="宋体" w:hAnsi="宋体" w:eastAsia="宋体"/>
          <w:szCs w:val="24"/>
          <w:highlight w:val="none"/>
        </w:rPr>
        <w:t xml:space="preserve">4.3对磋商过程和结果，以及磋商供应商的商业秘密保密；</w:t>
      </w:r>
      <w:r>
        <w:rPr>
          <w:rFonts w:ascii="宋体" w:hAnsi="宋体" w:eastAsia="宋体"/>
          <w:szCs w:val="24"/>
          <w:highlight w:val="none"/>
        </w:rPr>
      </w:r>
      <w:r/>
    </w:p>
    <w:p>
      <w:pPr>
        <w:pStyle w:val="730"/>
        <w:ind w:firstLine="502"/>
        <w:jc w:val="both"/>
        <w:spacing w:line="360" w:lineRule="auto"/>
        <w:rPr>
          <w:rFonts w:ascii="宋体" w:hAnsi="宋体" w:eastAsia="宋体"/>
          <w:szCs w:val="24"/>
          <w:highlight w:val="none"/>
        </w:rPr>
      </w:pPr>
      <w:r>
        <w:rPr>
          <w:rFonts w:hint="eastAsia" w:ascii="宋体" w:hAnsi="宋体" w:eastAsia="宋体"/>
          <w:szCs w:val="24"/>
          <w:highlight w:val="none"/>
        </w:rPr>
        <w:t xml:space="preserve">4.4参与评审报告的起草；</w:t>
      </w:r>
      <w:r>
        <w:rPr>
          <w:rFonts w:ascii="宋体" w:hAnsi="宋体" w:eastAsia="宋体"/>
          <w:szCs w:val="24"/>
          <w:highlight w:val="none"/>
        </w:rPr>
      </w:r>
      <w:r/>
    </w:p>
    <w:p>
      <w:pPr>
        <w:pStyle w:val="730"/>
        <w:ind w:firstLine="502"/>
        <w:jc w:val="both"/>
        <w:spacing w:line="360" w:lineRule="auto"/>
        <w:rPr>
          <w:rFonts w:ascii="宋体" w:hAnsi="宋体" w:eastAsia="宋体"/>
          <w:szCs w:val="24"/>
          <w:highlight w:val="none"/>
        </w:rPr>
      </w:pPr>
      <w:r>
        <w:rPr>
          <w:rFonts w:hint="eastAsia" w:ascii="宋体" w:hAnsi="宋体" w:eastAsia="宋体"/>
          <w:szCs w:val="24"/>
          <w:highlight w:val="none"/>
        </w:rPr>
        <w:t xml:space="preserve">4.5配合相关部门的投诉处理工作；</w:t>
      </w:r>
      <w:r>
        <w:rPr>
          <w:rFonts w:ascii="宋体" w:hAnsi="宋体" w:eastAsia="宋体"/>
          <w:szCs w:val="24"/>
          <w:highlight w:val="none"/>
        </w:rPr>
      </w:r>
      <w:r/>
    </w:p>
    <w:p>
      <w:pPr>
        <w:pStyle w:val="730"/>
        <w:ind w:firstLine="502"/>
        <w:jc w:val="both"/>
        <w:spacing w:line="360" w:lineRule="auto"/>
        <w:rPr>
          <w:rFonts w:ascii="宋体" w:hAnsi="宋体" w:eastAsia="宋体"/>
          <w:szCs w:val="24"/>
          <w:highlight w:val="none"/>
        </w:rPr>
      </w:pPr>
      <w:r>
        <w:rPr>
          <w:rFonts w:hint="eastAsia" w:ascii="宋体" w:hAnsi="宋体" w:eastAsia="宋体"/>
          <w:szCs w:val="24"/>
          <w:highlight w:val="none"/>
        </w:rPr>
        <w:t xml:space="preserve">4.6配合采购人答复磋商供应商提出的质疑。</w:t>
      </w:r>
      <w:r>
        <w:rPr>
          <w:rFonts w:ascii="宋体" w:hAnsi="宋体" w:eastAsia="宋体"/>
          <w:szCs w:val="24"/>
          <w:highlight w:val="none"/>
        </w:rPr>
      </w:r>
      <w:r/>
    </w:p>
    <w:p>
      <w:pPr>
        <w:pStyle w:val="706"/>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九、评审内容的保密</w:t>
      </w:r>
      <w:r>
        <w:rPr>
          <w:rFonts w:ascii="宋体" w:hAnsi="宋体" w:eastAsia="宋体"/>
          <w:b/>
          <w:sz w:val="24"/>
          <w:szCs w:val="24"/>
          <w:highlight w:val="none"/>
        </w:rPr>
      </w:r>
      <w:r/>
    </w:p>
    <w:p>
      <w:pPr>
        <w:pStyle w:val="730"/>
        <w:ind w:firstLine="502"/>
        <w:jc w:val="both"/>
        <w:spacing w:line="360" w:lineRule="auto"/>
        <w:rPr>
          <w:rFonts w:ascii="宋体" w:hAnsi="宋体" w:eastAsia="宋体"/>
          <w:szCs w:val="24"/>
          <w:highlight w:val="none"/>
        </w:rPr>
      </w:pPr>
      <w:r>
        <w:rPr>
          <w:rFonts w:ascii="宋体" w:hAnsi="宋体" w:eastAsia="宋体"/>
          <w:szCs w:val="24"/>
          <w:highlight w:val="none"/>
        </w:rPr>
        <w:t xml:space="preserve">1</w:t>
      </w:r>
      <w:r>
        <w:rPr>
          <w:rFonts w:hint="eastAsia" w:ascii="宋体" w:hAnsi="宋体" w:eastAsia="宋体"/>
          <w:szCs w:val="24"/>
          <w:highlight w:val="none"/>
        </w:rPr>
        <w:t xml:space="preserve">、磋商开始后，直到宣布授予成交单位合同为止，凡属于审查、澄清、评价和比较响应文件的所有资料，有关授予合同的信息都不应向磋商供应商或与评审无关的其他人泄露。</w:t>
      </w:r>
      <w:r>
        <w:rPr>
          <w:rFonts w:ascii="宋体" w:hAnsi="宋体" w:eastAsia="宋体"/>
          <w:szCs w:val="24"/>
          <w:highlight w:val="none"/>
        </w:rPr>
      </w:r>
      <w:r/>
    </w:p>
    <w:p>
      <w:pPr>
        <w:pStyle w:val="730"/>
        <w:ind w:firstLine="502"/>
        <w:jc w:val="both"/>
        <w:spacing w:line="360" w:lineRule="auto"/>
        <w:rPr>
          <w:rFonts w:ascii="宋体" w:hAnsi="宋体" w:eastAsia="宋体"/>
          <w:szCs w:val="24"/>
          <w:highlight w:val="none"/>
        </w:rPr>
      </w:pPr>
      <w:r>
        <w:rPr>
          <w:rFonts w:ascii="宋体" w:hAnsi="宋体" w:eastAsia="宋体"/>
          <w:szCs w:val="24"/>
          <w:highlight w:val="none"/>
        </w:rPr>
        <w:t xml:space="preserve">2</w:t>
      </w:r>
      <w:r>
        <w:rPr>
          <w:rFonts w:hint="eastAsia" w:ascii="宋体" w:hAnsi="宋体" w:eastAsia="宋体"/>
          <w:szCs w:val="24"/>
          <w:highlight w:val="none"/>
        </w:rPr>
        <w:t xml:space="preserve">、在响应文件的审查、澄清、评价和比较以及授予合同的过程中，磋商供应商对采购人和磋商小组施加影响的任何行为，都将取消其成交资格。</w:t>
      </w:r>
      <w:r>
        <w:rPr>
          <w:rFonts w:ascii="宋体" w:hAnsi="宋体" w:eastAsia="宋体"/>
          <w:szCs w:val="24"/>
          <w:highlight w:val="none"/>
        </w:rPr>
      </w:r>
      <w:r/>
    </w:p>
    <w:p>
      <w:pPr>
        <w:pStyle w:val="730"/>
        <w:ind w:firstLine="502"/>
        <w:jc w:val="both"/>
        <w:spacing w:line="360" w:lineRule="auto"/>
        <w:rPr>
          <w:rFonts w:ascii="宋体" w:hAnsi="宋体" w:eastAsia="宋体"/>
          <w:szCs w:val="24"/>
          <w:highlight w:val="none"/>
        </w:rPr>
      </w:pPr>
      <w:r>
        <w:rPr>
          <w:rFonts w:ascii="宋体" w:hAnsi="宋体" w:eastAsia="宋体"/>
          <w:szCs w:val="24"/>
          <w:highlight w:val="none"/>
        </w:rPr>
        <w:t xml:space="preserve">3</w:t>
      </w:r>
      <w:r>
        <w:rPr>
          <w:rFonts w:hint="eastAsia" w:ascii="宋体" w:hAnsi="宋体" w:eastAsia="宋体"/>
          <w:szCs w:val="24"/>
          <w:highlight w:val="none"/>
        </w:rPr>
        <w:t xml:space="preserve">、在评审期间，采购人将通过指定联络人与磋商供应商进行联系。</w:t>
      </w:r>
      <w:r>
        <w:rPr>
          <w:rFonts w:ascii="宋体" w:hAnsi="宋体" w:eastAsia="宋体"/>
          <w:szCs w:val="24"/>
          <w:highlight w:val="none"/>
        </w:rPr>
      </w:r>
      <w:r/>
    </w:p>
    <w:p>
      <w:pPr>
        <w:pStyle w:val="706"/>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十、对响应文件初审</w:t>
      </w:r>
      <w:r>
        <w:rPr>
          <w:rFonts w:ascii="宋体" w:hAnsi="宋体" w:eastAsia="宋体"/>
          <w:b/>
          <w:sz w:val="24"/>
          <w:szCs w:val="24"/>
          <w:highlight w:val="none"/>
        </w:rPr>
      </w:r>
      <w:r/>
    </w:p>
    <w:p>
      <w:pPr>
        <w:pStyle w:val="706"/>
        <w:ind w:firstLine="501"/>
        <w:spacing w:line="360" w:lineRule="auto"/>
        <w:rPr>
          <w:rFonts w:ascii="宋体" w:hAnsi="宋体" w:eastAsia="宋体"/>
          <w:sz w:val="24"/>
          <w:szCs w:val="24"/>
          <w:highlight w:val="none"/>
        </w:rPr>
      </w:pPr>
      <w:r>
        <w:rPr>
          <w:rFonts w:ascii="宋体" w:hAnsi="宋体" w:eastAsia="宋体"/>
          <w:sz w:val="24"/>
          <w:szCs w:val="24"/>
          <w:highlight w:val="none"/>
        </w:rPr>
        <w:t xml:space="preserve">1</w:t>
      </w:r>
      <w:r>
        <w:rPr>
          <w:rFonts w:hint="eastAsia" w:ascii="宋体" w:hAnsi="宋体" w:eastAsia="宋体"/>
          <w:sz w:val="24"/>
          <w:szCs w:val="24"/>
          <w:highlight w:val="none"/>
        </w:rPr>
        <w:t xml:space="preserve">、开始磋商后，磋商小组将审查响应文件是否实质性响应磋商采购文件的要求、内容是否完整、价格构成有无计算错误、文件签署是否齐全等，响应文件有下列情况之一者，且磋商小组认为在磋商承诺函中无法修正的则有权将其拒绝：</w:t>
      </w:r>
      <w:r>
        <w:rPr>
          <w:rFonts w:ascii="宋体" w:hAnsi="宋体" w:eastAsia="宋体"/>
          <w:sz w:val="24"/>
          <w:szCs w:val="24"/>
          <w:highlight w:val="none"/>
        </w:rPr>
      </w:r>
      <w:r/>
    </w:p>
    <w:p>
      <w:pPr>
        <w:pStyle w:val="706"/>
        <w:ind w:firstLine="501"/>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1</w:t>
      </w:r>
      <w:r>
        <w:rPr>
          <w:rFonts w:ascii="宋体" w:hAnsi="宋体" w:eastAsia="宋体"/>
          <w:sz w:val="24"/>
          <w:szCs w:val="24"/>
          <w:highlight w:val="none"/>
        </w:rPr>
        <w:t xml:space="preserve">.1</w:t>
      </w:r>
      <w:r>
        <w:rPr>
          <w:rFonts w:hint="eastAsia" w:ascii="宋体" w:hAnsi="宋体" w:eastAsia="宋体"/>
          <w:sz w:val="24"/>
          <w:szCs w:val="24"/>
          <w:highlight w:val="none"/>
        </w:rPr>
        <w:t xml:space="preserve">磋商供应商的响应文件未按照本须知规定制作的；</w:t>
      </w:r>
      <w:r>
        <w:rPr>
          <w:rFonts w:ascii="宋体" w:hAnsi="宋体" w:eastAsia="宋体"/>
          <w:sz w:val="24"/>
          <w:szCs w:val="24"/>
          <w:highlight w:val="none"/>
        </w:rPr>
      </w:r>
      <w:r/>
    </w:p>
    <w:p>
      <w:pPr>
        <w:pStyle w:val="706"/>
        <w:ind w:firstLine="501"/>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1</w:t>
      </w:r>
      <w:r>
        <w:rPr>
          <w:rFonts w:ascii="宋体" w:hAnsi="宋体" w:eastAsia="宋体"/>
          <w:sz w:val="24"/>
          <w:szCs w:val="24"/>
          <w:highlight w:val="none"/>
        </w:rPr>
        <w:t xml:space="preserve">.2</w:t>
      </w:r>
      <w:r>
        <w:rPr>
          <w:rFonts w:hint="eastAsia" w:ascii="宋体" w:hAnsi="宋体" w:eastAsia="宋体"/>
          <w:sz w:val="24"/>
          <w:szCs w:val="24"/>
          <w:highlight w:val="none"/>
        </w:rPr>
        <w:t xml:space="preserve">未按本须知规定提交资格文件；</w:t>
      </w:r>
      <w:r>
        <w:rPr>
          <w:rFonts w:ascii="宋体" w:hAnsi="宋体" w:eastAsia="宋体"/>
          <w:sz w:val="24"/>
          <w:szCs w:val="24"/>
          <w:highlight w:val="none"/>
        </w:rPr>
      </w:r>
      <w:r/>
    </w:p>
    <w:p>
      <w:pPr>
        <w:pStyle w:val="706"/>
        <w:ind w:firstLine="501"/>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1</w:t>
      </w:r>
      <w:r>
        <w:rPr>
          <w:rFonts w:ascii="宋体" w:hAnsi="宋体" w:eastAsia="宋体"/>
          <w:sz w:val="24"/>
          <w:szCs w:val="24"/>
          <w:highlight w:val="none"/>
        </w:rPr>
        <w:t xml:space="preserve">.3</w:t>
      </w:r>
      <w:r>
        <w:rPr>
          <w:rFonts w:hint="eastAsia" w:ascii="宋体" w:hAnsi="宋体" w:eastAsia="宋体"/>
          <w:sz w:val="24"/>
          <w:szCs w:val="24"/>
          <w:highlight w:val="none"/>
        </w:rPr>
        <w:t xml:space="preserve">与磋商采购文件有重大偏离；</w:t>
      </w:r>
      <w:r>
        <w:rPr>
          <w:rFonts w:ascii="宋体" w:hAnsi="宋体" w:eastAsia="宋体"/>
          <w:sz w:val="24"/>
          <w:szCs w:val="24"/>
          <w:highlight w:val="none"/>
        </w:rPr>
      </w:r>
      <w:r/>
    </w:p>
    <w:p>
      <w:pPr>
        <w:pStyle w:val="706"/>
        <w:ind w:firstLine="501"/>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1</w:t>
      </w:r>
      <w:r>
        <w:rPr>
          <w:rFonts w:ascii="宋体" w:hAnsi="宋体" w:eastAsia="宋体"/>
          <w:sz w:val="24"/>
          <w:szCs w:val="24"/>
          <w:highlight w:val="none"/>
        </w:rPr>
        <w:t xml:space="preserve">.4</w:t>
      </w:r>
      <w:r>
        <w:rPr>
          <w:rFonts w:hint="eastAsia" w:ascii="宋体" w:hAnsi="宋体" w:eastAsia="宋体"/>
          <w:sz w:val="24"/>
          <w:szCs w:val="24"/>
          <w:highlight w:val="none"/>
        </w:rPr>
        <w:t xml:space="preserve">磋商供应商拒绝修正错误；</w:t>
      </w:r>
      <w:r>
        <w:rPr>
          <w:rFonts w:ascii="宋体" w:hAnsi="宋体" w:eastAsia="宋体"/>
          <w:sz w:val="24"/>
          <w:szCs w:val="24"/>
          <w:highlight w:val="none"/>
        </w:rPr>
      </w:r>
      <w:r/>
    </w:p>
    <w:p>
      <w:pPr>
        <w:pStyle w:val="706"/>
        <w:ind w:firstLine="501"/>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1</w:t>
      </w:r>
      <w:r>
        <w:rPr>
          <w:rFonts w:ascii="宋体" w:hAnsi="宋体" w:eastAsia="宋体"/>
          <w:sz w:val="24"/>
          <w:szCs w:val="24"/>
          <w:highlight w:val="none"/>
        </w:rPr>
        <w:t xml:space="preserve">.5</w:t>
      </w:r>
      <w:r>
        <w:rPr>
          <w:rFonts w:hint="eastAsia" w:ascii="宋体" w:hAnsi="宋体" w:eastAsia="宋体"/>
          <w:sz w:val="24"/>
          <w:szCs w:val="24"/>
          <w:highlight w:val="none"/>
        </w:rPr>
        <w:t xml:space="preserve">磋商供应商的报价是选择性的；</w:t>
      </w:r>
      <w:r>
        <w:rPr>
          <w:rFonts w:ascii="宋体" w:hAnsi="宋体" w:eastAsia="宋体"/>
          <w:sz w:val="24"/>
          <w:szCs w:val="24"/>
          <w:highlight w:val="none"/>
        </w:rPr>
      </w:r>
      <w:r/>
    </w:p>
    <w:p>
      <w:pPr>
        <w:pStyle w:val="706"/>
        <w:ind w:firstLine="501"/>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1</w:t>
      </w:r>
      <w:r>
        <w:rPr>
          <w:rFonts w:ascii="宋体" w:hAnsi="宋体" w:eastAsia="宋体"/>
          <w:sz w:val="24"/>
          <w:szCs w:val="24"/>
          <w:highlight w:val="none"/>
        </w:rPr>
        <w:t xml:space="preserve">.6</w:t>
      </w:r>
      <w:r>
        <w:rPr>
          <w:rFonts w:hint="eastAsia" w:ascii="宋体" w:hAnsi="宋体" w:eastAsia="宋体"/>
          <w:sz w:val="24"/>
          <w:szCs w:val="24"/>
          <w:highlight w:val="none"/>
        </w:rPr>
        <w:t xml:space="preserve">磋商供应商的报价只投了部分内容；</w:t>
      </w:r>
      <w:r>
        <w:rPr>
          <w:rFonts w:hint="eastAsia" w:ascii="宋体" w:hAnsi="宋体" w:eastAsia="宋体"/>
          <w:sz w:val="24"/>
          <w:szCs w:val="24"/>
          <w:highlight w:val="none"/>
        </w:rPr>
      </w:r>
      <w:r/>
    </w:p>
    <w:p>
      <w:pPr>
        <w:pStyle w:val="706"/>
        <w:ind w:firstLine="501"/>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1.7未按时递交二次报价的；</w:t>
      </w:r>
      <w:r>
        <w:rPr>
          <w:rFonts w:ascii="宋体" w:hAnsi="宋体" w:eastAsia="宋体"/>
          <w:sz w:val="24"/>
          <w:szCs w:val="24"/>
          <w:highlight w:val="none"/>
        </w:rPr>
      </w:r>
      <w:r/>
    </w:p>
    <w:p>
      <w:pPr>
        <w:pStyle w:val="706"/>
        <w:ind w:firstLine="501"/>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1.8磋商供应商的响应文件出现了评标委员会认为不应当雷同的情况；</w:t>
      </w:r>
      <w:r>
        <w:rPr>
          <w:rFonts w:hint="eastAsia" w:ascii="宋体" w:hAnsi="宋体" w:eastAsia="宋体"/>
          <w:sz w:val="24"/>
          <w:szCs w:val="24"/>
          <w:highlight w:val="none"/>
        </w:rPr>
      </w:r>
      <w:r/>
    </w:p>
    <w:p>
      <w:pPr>
        <w:pStyle w:val="706"/>
        <w:ind w:firstLine="501"/>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1.9经磋商小组认定磋商供应商的报价低于成本价的；</w:t>
      </w:r>
      <w:r>
        <w:rPr>
          <w:rFonts w:ascii="宋体" w:hAnsi="宋体" w:eastAsia="宋体"/>
          <w:sz w:val="24"/>
          <w:szCs w:val="24"/>
          <w:highlight w:val="none"/>
        </w:rPr>
      </w:r>
      <w:r/>
    </w:p>
    <w:p>
      <w:pPr>
        <w:pStyle w:val="706"/>
        <w:ind w:firstLine="501"/>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1.10不同供应商的“机器码一致”的情形；</w:t>
      </w:r>
      <w:r>
        <w:rPr>
          <w:rFonts w:ascii="宋体" w:hAnsi="宋体" w:eastAsia="宋体"/>
          <w:sz w:val="24"/>
          <w:szCs w:val="24"/>
          <w:highlight w:val="none"/>
        </w:rPr>
      </w:r>
      <w:r/>
    </w:p>
    <w:p>
      <w:pPr>
        <w:pStyle w:val="706"/>
        <w:ind w:firstLine="501"/>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1.11 其他被磋商小组认定无效的情况。</w:t>
      </w:r>
      <w:r>
        <w:rPr>
          <w:rFonts w:ascii="宋体" w:hAnsi="宋体" w:eastAsia="宋体"/>
          <w:sz w:val="24"/>
          <w:szCs w:val="24"/>
          <w:highlight w:val="none"/>
        </w:rPr>
      </w:r>
      <w:r/>
    </w:p>
    <w:p>
      <w:pPr>
        <w:pStyle w:val="706"/>
        <w:ind w:firstLine="502"/>
        <w:spacing w:line="360" w:lineRule="auto"/>
        <w:rPr>
          <w:rFonts w:ascii="宋体" w:hAnsi="宋体" w:eastAsia="宋体"/>
          <w:b/>
          <w:sz w:val="24"/>
          <w:szCs w:val="24"/>
          <w:highlight w:val="none"/>
          <w:u w:val="single"/>
        </w:rPr>
      </w:pPr>
      <w:r>
        <w:rPr>
          <w:rFonts w:hint="eastAsia" w:ascii="宋体" w:hAnsi="宋体" w:eastAsia="宋体"/>
          <w:b/>
          <w:sz w:val="24"/>
          <w:szCs w:val="24"/>
          <w:highlight w:val="none"/>
          <w:u w:val="single"/>
        </w:rPr>
        <w:t xml:space="preserve">2、磋商采购文件提供的工艺、材料、设备、参考的商标或样本目录号码等仅作为说明并没有限制性，磋商供应商在磋商中可以选用替代标准，但这些替代标准要优于或相当于技术规格中要求的标准，以满足采购人的需要。</w:t>
      </w:r>
      <w:r>
        <w:rPr>
          <w:rFonts w:ascii="宋体" w:hAnsi="宋体" w:eastAsia="宋体"/>
          <w:b/>
          <w:sz w:val="24"/>
          <w:szCs w:val="24"/>
          <w:highlight w:val="none"/>
          <w:u w:val="single"/>
        </w:rPr>
      </w:r>
      <w:r/>
    </w:p>
    <w:p>
      <w:pPr>
        <w:pStyle w:val="706"/>
        <w:ind w:firstLine="501"/>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3、磋商小组将对确定为实质性响应的文件进行审核，看其是否有计算上或累加上的算术错误，修正错误的原则如下：</w:t>
      </w:r>
      <w:r>
        <w:rPr>
          <w:rFonts w:ascii="宋体" w:hAnsi="宋体" w:eastAsia="宋体"/>
          <w:sz w:val="24"/>
          <w:szCs w:val="24"/>
          <w:highlight w:val="none"/>
        </w:rPr>
      </w:r>
      <w:r/>
    </w:p>
    <w:p>
      <w:pPr>
        <w:pStyle w:val="706"/>
        <w:ind w:firstLine="501"/>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3</w:t>
      </w:r>
      <w:r>
        <w:rPr>
          <w:rFonts w:ascii="宋体" w:hAnsi="宋体" w:eastAsia="宋体"/>
          <w:sz w:val="24"/>
          <w:szCs w:val="24"/>
          <w:highlight w:val="none"/>
        </w:rPr>
        <w:t xml:space="preserve">.</w:t>
      </w:r>
      <w:r>
        <w:rPr>
          <w:rFonts w:hint="eastAsia" w:ascii="宋体" w:hAnsi="宋体" w:eastAsia="宋体"/>
          <w:sz w:val="24"/>
          <w:szCs w:val="24"/>
          <w:highlight w:val="none"/>
        </w:rPr>
        <w:t xml:space="preserve">1响应文件的大写金额与小写金额不一致的，以大写金额为准；</w:t>
      </w:r>
      <w:r>
        <w:rPr>
          <w:rFonts w:ascii="宋体" w:hAnsi="宋体" w:eastAsia="宋体"/>
          <w:sz w:val="24"/>
          <w:szCs w:val="24"/>
          <w:highlight w:val="none"/>
        </w:rPr>
      </w:r>
      <w:r/>
    </w:p>
    <w:p>
      <w:pPr>
        <w:pStyle w:val="706"/>
        <w:ind w:firstLine="501"/>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3.2如果单价乘数量不等于总价，数量符合磋商采购文件要求，以单价计算金额为准；单价金额小数点有明细错位的，应以总价为准，并修改单价；数量不符合磋商采购文件要求的作为未实质性响应磋商采购文件处理，该响应文件将不予以详细评审，也不成交；</w:t>
      </w:r>
      <w:r>
        <w:rPr>
          <w:rFonts w:ascii="宋体" w:hAnsi="宋体" w:eastAsia="宋体"/>
          <w:sz w:val="24"/>
          <w:szCs w:val="24"/>
          <w:highlight w:val="none"/>
        </w:rPr>
      </w:r>
      <w:r/>
    </w:p>
    <w:p>
      <w:pPr>
        <w:pStyle w:val="706"/>
        <w:ind w:firstLine="501"/>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3.3对不同文字文本响应文件的解释发生异议的，以中文文本为准；</w:t>
      </w:r>
      <w:r>
        <w:rPr>
          <w:rFonts w:ascii="宋体" w:hAnsi="宋体" w:eastAsia="宋体"/>
          <w:sz w:val="24"/>
          <w:szCs w:val="24"/>
          <w:highlight w:val="none"/>
        </w:rPr>
      </w:r>
      <w:r/>
    </w:p>
    <w:p>
      <w:pPr>
        <w:pStyle w:val="706"/>
        <w:ind w:firstLine="501"/>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3.4磋商供应商不同意以上修正，则其响应文件将被拒绝。</w:t>
      </w:r>
      <w:r>
        <w:rPr>
          <w:rFonts w:ascii="宋体" w:hAnsi="宋体" w:eastAsia="宋体"/>
          <w:sz w:val="24"/>
          <w:szCs w:val="24"/>
          <w:highlight w:val="none"/>
        </w:rPr>
      </w:r>
      <w:r/>
    </w:p>
    <w:p>
      <w:pPr>
        <w:pStyle w:val="706"/>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十一、项目的终止</w:t>
      </w:r>
      <w:r>
        <w:rPr>
          <w:rFonts w:ascii="宋体" w:hAnsi="宋体" w:eastAsia="宋体"/>
          <w:b/>
          <w:sz w:val="24"/>
          <w:szCs w:val="24"/>
          <w:highlight w:val="none"/>
        </w:rPr>
      </w:r>
      <w:r/>
    </w:p>
    <w:p>
      <w:pPr>
        <w:pStyle w:val="706"/>
        <w:ind w:firstLine="502"/>
        <w:spacing w:line="360" w:lineRule="auto"/>
        <w:rPr>
          <w:rFonts w:ascii="宋体" w:hAnsi="宋体" w:eastAsia="宋体"/>
          <w:b/>
          <w:sz w:val="24"/>
          <w:szCs w:val="24"/>
          <w:highlight w:val="none"/>
          <w:u w:val="single"/>
        </w:rPr>
      </w:pPr>
      <w:r>
        <w:rPr>
          <w:rFonts w:hint="eastAsia" w:ascii="宋体" w:hAnsi="宋体" w:eastAsia="宋体"/>
          <w:b/>
          <w:sz w:val="24"/>
          <w:szCs w:val="24"/>
          <w:highlight w:val="none"/>
          <w:u w:val="single"/>
        </w:rPr>
        <w:t xml:space="preserve">1、</w:t>
      </w:r>
      <w:r>
        <w:rPr>
          <w:rFonts w:ascii="宋体" w:hAnsi="宋体" w:eastAsia="宋体"/>
          <w:b/>
          <w:sz w:val="24"/>
          <w:szCs w:val="24"/>
          <w:highlight w:val="none"/>
          <w:u w:val="single"/>
        </w:rPr>
        <w:t xml:space="preserve">出现下列情形之一的，</w:t>
      </w:r>
      <w:r>
        <w:rPr>
          <w:rFonts w:hint="eastAsia" w:ascii="宋体" w:hAnsi="宋体" w:eastAsia="宋体"/>
          <w:b/>
          <w:sz w:val="24"/>
          <w:szCs w:val="24"/>
          <w:highlight w:val="none"/>
          <w:u w:val="single"/>
        </w:rPr>
        <w:t xml:space="preserve">将</w:t>
      </w:r>
      <w:r>
        <w:rPr>
          <w:rFonts w:ascii="宋体" w:hAnsi="宋体" w:eastAsia="宋体"/>
          <w:b/>
          <w:sz w:val="24"/>
          <w:szCs w:val="24"/>
          <w:highlight w:val="none"/>
          <w:u w:val="single"/>
        </w:rPr>
        <w:t xml:space="preserve">终止</w:t>
      </w:r>
      <w:r>
        <w:rPr>
          <w:rFonts w:hint="eastAsia" w:ascii="宋体" w:hAnsi="宋体" w:eastAsia="宋体"/>
          <w:b/>
          <w:sz w:val="24"/>
          <w:szCs w:val="24"/>
          <w:highlight w:val="none"/>
          <w:u w:val="single"/>
        </w:rPr>
        <w:t xml:space="preserve">竞争性磋商</w:t>
      </w:r>
      <w:r>
        <w:rPr>
          <w:rFonts w:ascii="宋体" w:hAnsi="宋体" w:eastAsia="宋体"/>
          <w:b/>
          <w:sz w:val="24"/>
          <w:szCs w:val="24"/>
          <w:highlight w:val="none"/>
          <w:u w:val="single"/>
        </w:rPr>
        <w:t xml:space="preserve">采购活动：</w:t>
      </w:r>
      <w:r>
        <w:rPr>
          <w:rFonts w:ascii="宋体" w:hAnsi="宋体" w:eastAsia="宋体"/>
          <w:b/>
          <w:sz w:val="24"/>
          <w:szCs w:val="24"/>
          <w:highlight w:val="none"/>
          <w:u w:val="single"/>
        </w:rPr>
      </w:r>
      <w:r/>
    </w:p>
    <w:p>
      <w:pPr>
        <w:pStyle w:val="706"/>
        <w:ind w:firstLine="482"/>
        <w:spacing w:line="360" w:lineRule="auto"/>
        <w:rPr>
          <w:rFonts w:ascii="宋体" w:hAnsi="宋体" w:eastAsia="宋体"/>
          <w:b/>
          <w:sz w:val="24"/>
          <w:szCs w:val="24"/>
          <w:highlight w:val="none"/>
          <w:u w:val="single"/>
        </w:rPr>
      </w:pPr>
      <w:r>
        <w:rPr>
          <w:rFonts w:hint="eastAsia" w:ascii="宋体" w:hAnsi="宋体" w:eastAsia="宋体"/>
          <w:b/>
          <w:sz w:val="24"/>
          <w:szCs w:val="24"/>
          <w:highlight w:val="none"/>
          <w:u w:val="single"/>
        </w:rPr>
        <w:t xml:space="preserve">1.1</w:t>
      </w:r>
      <w:r>
        <w:rPr>
          <w:rFonts w:ascii="宋体" w:hAnsi="宋体" w:eastAsia="宋体"/>
          <w:b/>
          <w:sz w:val="24"/>
          <w:szCs w:val="24"/>
          <w:highlight w:val="none"/>
          <w:u w:val="single"/>
        </w:rPr>
        <w:t xml:space="preserve">因情况变化，不再符合规定的</w:t>
      </w:r>
      <w:r>
        <w:rPr>
          <w:rFonts w:hint="eastAsia" w:ascii="宋体" w:hAnsi="宋体" w:eastAsia="宋体"/>
          <w:b/>
          <w:sz w:val="24"/>
          <w:szCs w:val="24"/>
          <w:highlight w:val="none"/>
          <w:u w:val="single"/>
        </w:rPr>
        <w:t xml:space="preserve">竞争性磋商</w:t>
      </w:r>
      <w:r>
        <w:rPr>
          <w:rFonts w:ascii="宋体" w:hAnsi="宋体" w:eastAsia="宋体"/>
          <w:b/>
          <w:sz w:val="24"/>
          <w:szCs w:val="24"/>
          <w:highlight w:val="none"/>
          <w:u w:val="single"/>
        </w:rPr>
        <w:t xml:space="preserve">采购方式适用情形的；</w:t>
      </w:r>
      <w:r>
        <w:rPr>
          <w:rFonts w:ascii="宋体" w:hAnsi="宋体" w:eastAsia="宋体"/>
          <w:b/>
          <w:sz w:val="24"/>
          <w:szCs w:val="24"/>
          <w:highlight w:val="none"/>
          <w:u w:val="single"/>
        </w:rPr>
      </w:r>
      <w:r/>
    </w:p>
    <w:p>
      <w:pPr>
        <w:pStyle w:val="706"/>
        <w:ind w:firstLine="482"/>
        <w:spacing w:line="360" w:lineRule="auto"/>
        <w:rPr>
          <w:rFonts w:ascii="宋体" w:hAnsi="宋体" w:eastAsia="宋体"/>
          <w:b/>
          <w:sz w:val="24"/>
          <w:szCs w:val="24"/>
          <w:highlight w:val="none"/>
          <w:u w:val="single"/>
        </w:rPr>
      </w:pPr>
      <w:r>
        <w:rPr>
          <w:rFonts w:hint="eastAsia" w:ascii="宋体" w:hAnsi="宋体" w:eastAsia="宋体"/>
          <w:b/>
          <w:sz w:val="24"/>
          <w:szCs w:val="24"/>
          <w:highlight w:val="none"/>
          <w:u w:val="single"/>
        </w:rPr>
        <w:t xml:space="preserve">1.2</w:t>
      </w:r>
      <w:r>
        <w:rPr>
          <w:rFonts w:ascii="宋体" w:hAnsi="宋体" w:eastAsia="宋体"/>
          <w:b/>
          <w:sz w:val="24"/>
          <w:szCs w:val="24"/>
          <w:highlight w:val="none"/>
          <w:u w:val="single"/>
        </w:rPr>
        <w:t xml:space="preserve">出现影响采购公正的违法、违规行为的；</w:t>
      </w:r>
      <w:r>
        <w:rPr>
          <w:rFonts w:ascii="宋体" w:hAnsi="宋体" w:eastAsia="宋体"/>
          <w:b/>
          <w:sz w:val="24"/>
          <w:szCs w:val="24"/>
          <w:highlight w:val="none"/>
          <w:u w:val="single"/>
        </w:rPr>
      </w:r>
      <w:r/>
    </w:p>
    <w:p>
      <w:pPr>
        <w:pStyle w:val="706"/>
        <w:ind w:firstLine="502"/>
        <w:spacing w:line="360" w:lineRule="auto"/>
        <w:rPr>
          <w:rFonts w:ascii="宋体" w:hAnsi="宋体" w:eastAsia="宋体"/>
          <w:b/>
          <w:sz w:val="24"/>
          <w:szCs w:val="24"/>
          <w:highlight w:val="none"/>
          <w:u w:val="single"/>
        </w:rPr>
      </w:pPr>
      <w:r>
        <w:rPr>
          <w:rFonts w:hint="eastAsia" w:ascii="宋体" w:hAnsi="宋体" w:eastAsia="宋体"/>
          <w:b/>
          <w:sz w:val="24"/>
          <w:szCs w:val="24"/>
          <w:highlight w:val="none"/>
          <w:u w:val="single"/>
        </w:rPr>
        <w:t xml:space="preserve">1.3实质性响应磋商文件不满三家或进入二次报价的不满三家或二次报价在采购预算内不满三家的。</w:t>
      </w:r>
      <w:r>
        <w:rPr>
          <w:rFonts w:ascii="宋体" w:hAnsi="宋体" w:eastAsia="宋体"/>
          <w:b/>
          <w:sz w:val="24"/>
          <w:szCs w:val="24"/>
          <w:highlight w:val="none"/>
          <w:u w:val="single"/>
        </w:rPr>
      </w:r>
      <w:r/>
    </w:p>
    <w:p>
      <w:pPr>
        <w:pStyle w:val="706"/>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十二、响应文件的评价和比较</w:t>
      </w:r>
      <w:r>
        <w:rPr>
          <w:rFonts w:ascii="宋体" w:hAnsi="宋体" w:eastAsia="宋体"/>
          <w:b/>
          <w:sz w:val="24"/>
          <w:szCs w:val="24"/>
          <w:highlight w:val="none"/>
        </w:rPr>
      </w:r>
      <w:r/>
    </w:p>
    <w:p>
      <w:pPr>
        <w:pStyle w:val="730"/>
        <w:ind w:firstLine="502"/>
        <w:jc w:val="both"/>
        <w:spacing w:line="360" w:lineRule="auto"/>
        <w:rPr>
          <w:rFonts w:ascii="宋体" w:hAnsi="宋体" w:eastAsia="宋体"/>
          <w:szCs w:val="24"/>
          <w:highlight w:val="none"/>
        </w:rPr>
      </w:pPr>
      <w:r>
        <w:rPr>
          <w:rFonts w:ascii="宋体" w:hAnsi="宋体" w:eastAsia="宋体"/>
          <w:szCs w:val="24"/>
          <w:highlight w:val="none"/>
        </w:rPr>
        <w:t xml:space="preserve">1</w:t>
      </w:r>
      <w:r>
        <w:rPr>
          <w:rFonts w:hint="eastAsia" w:ascii="宋体" w:hAnsi="宋体" w:eastAsia="宋体"/>
          <w:szCs w:val="24"/>
          <w:highlight w:val="none"/>
        </w:rPr>
        <w:t xml:space="preserve">、磋商小组将仅对按照本须知有关规定确定为实质性响应磋商采购文件要求的响应文件进行评价和比较。</w:t>
      </w:r>
      <w:r>
        <w:rPr>
          <w:rFonts w:ascii="宋体" w:hAnsi="宋体" w:eastAsia="宋体"/>
          <w:szCs w:val="24"/>
          <w:highlight w:val="none"/>
        </w:rPr>
      </w:r>
      <w:r/>
    </w:p>
    <w:p>
      <w:pPr>
        <w:pStyle w:val="706"/>
        <w:ind w:firstLine="501"/>
        <w:spacing w:line="360" w:lineRule="auto"/>
        <w:rPr>
          <w:rFonts w:ascii="宋体" w:hAnsi="宋体" w:eastAsia="宋体"/>
          <w:sz w:val="24"/>
          <w:szCs w:val="24"/>
          <w:highlight w:val="none"/>
          <w:u w:val="single"/>
        </w:rPr>
      </w:pPr>
      <w:r>
        <w:rPr>
          <w:rFonts w:hint="eastAsia" w:ascii="宋体" w:hAnsi="宋体" w:eastAsia="宋体"/>
          <w:sz w:val="24"/>
          <w:szCs w:val="24"/>
          <w:highlight w:val="none"/>
        </w:rPr>
        <w:t xml:space="preserve">2、评审办法</w:t>
      </w:r>
      <w:r>
        <w:rPr>
          <w:rFonts w:ascii="宋体" w:hAnsi="宋体" w:eastAsia="宋体"/>
          <w:sz w:val="24"/>
          <w:szCs w:val="24"/>
          <w:highlight w:val="none"/>
          <w:u w:val="single"/>
        </w:rPr>
      </w:r>
      <w:r/>
    </w:p>
    <w:p>
      <w:pPr>
        <w:pStyle w:val="706"/>
        <w:ind w:firstLine="501"/>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采购人授权磋商小组根据本文件规定的成交原则，在</w:t>
      </w:r>
      <w:r>
        <w:rPr>
          <w:rFonts w:ascii="宋体" w:hAnsi="宋体" w:eastAsia="宋体"/>
          <w:sz w:val="24"/>
          <w:szCs w:val="24"/>
          <w:highlight w:val="none"/>
        </w:rPr>
        <w:t xml:space="preserve">响应文件满足磋商文件全部实质性要求且按评审因素的量化指标评审得分最高的磋商供应商为成交候选磋商供应商。</w:t>
      </w:r>
      <w:r>
        <w:rPr>
          <w:rFonts w:ascii="宋体" w:hAnsi="宋体" w:eastAsia="宋体"/>
          <w:sz w:val="24"/>
          <w:szCs w:val="24"/>
          <w:highlight w:val="none"/>
        </w:rPr>
      </w:r>
      <w:r/>
    </w:p>
    <w:p>
      <w:pPr>
        <w:pStyle w:val="706"/>
        <w:ind w:firstLine="501"/>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评标委员会严格按照磋商采购文件的要求、条件、合格性评审办法，对磋商供应商所</w:t>
      </w:r>
      <w:r>
        <w:rPr>
          <w:rFonts w:ascii="宋体" w:hAnsi="宋体" w:eastAsia="宋体"/>
          <w:sz w:val="24"/>
          <w:szCs w:val="24"/>
          <w:highlight w:val="none"/>
        </w:rPr>
        <w:t xml:space="preserve">提供</w:t>
      </w:r>
      <w:r>
        <w:rPr>
          <w:rFonts w:hint="eastAsia" w:ascii="宋体" w:hAnsi="宋体" w:eastAsia="宋体"/>
          <w:sz w:val="24"/>
          <w:szCs w:val="24"/>
          <w:highlight w:val="none"/>
        </w:rPr>
        <w:t xml:space="preserve">的服务内容进行比较，同时考虑以下因素：</w:t>
      </w:r>
      <w:r>
        <w:rPr>
          <w:rFonts w:ascii="宋体" w:hAnsi="宋体" w:eastAsia="宋体"/>
          <w:sz w:val="24"/>
          <w:szCs w:val="24"/>
          <w:highlight w:val="none"/>
        </w:rPr>
      </w:r>
      <w:r/>
    </w:p>
    <w:p>
      <w:pPr>
        <w:pStyle w:val="706"/>
        <w:ind w:firstLine="502"/>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2.1磋商供应商</w:t>
      </w:r>
      <w:r>
        <w:rPr>
          <w:rFonts w:ascii="宋体" w:hAnsi="宋体" w:eastAsia="宋体"/>
          <w:sz w:val="24"/>
          <w:szCs w:val="24"/>
          <w:highlight w:val="none"/>
        </w:rPr>
        <w:t xml:space="preserve">的资信情况和履约能力；</w:t>
      </w:r>
      <w:r>
        <w:rPr>
          <w:rFonts w:ascii="宋体" w:hAnsi="宋体" w:eastAsia="宋体"/>
          <w:sz w:val="24"/>
          <w:szCs w:val="24"/>
          <w:highlight w:val="none"/>
        </w:rPr>
      </w:r>
      <w:r/>
    </w:p>
    <w:p>
      <w:pPr>
        <w:pStyle w:val="706"/>
        <w:ind w:firstLine="502"/>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2.2磋商供应商</w:t>
      </w:r>
      <w:r>
        <w:rPr>
          <w:rFonts w:ascii="宋体" w:hAnsi="宋体" w:eastAsia="宋体"/>
          <w:sz w:val="24"/>
          <w:szCs w:val="24"/>
          <w:highlight w:val="none"/>
        </w:rPr>
        <w:t xml:space="preserve">提供的其他优惠条件</w:t>
      </w:r>
      <w:r>
        <w:rPr>
          <w:rFonts w:hint="eastAsia" w:ascii="宋体" w:hAnsi="宋体" w:eastAsia="宋体"/>
          <w:sz w:val="24"/>
          <w:szCs w:val="24"/>
          <w:highlight w:val="none"/>
        </w:rPr>
        <w:t xml:space="preserve">；</w:t>
      </w:r>
      <w:r>
        <w:rPr>
          <w:rFonts w:ascii="宋体" w:hAnsi="宋体" w:eastAsia="宋体"/>
          <w:sz w:val="24"/>
          <w:szCs w:val="24"/>
          <w:highlight w:val="none"/>
        </w:rPr>
      </w:r>
      <w:r/>
    </w:p>
    <w:p>
      <w:pPr>
        <w:pStyle w:val="706"/>
        <w:ind w:firstLine="502"/>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2.3磋商供应商的实施方案；</w:t>
      </w:r>
      <w:r>
        <w:rPr>
          <w:rFonts w:ascii="宋体" w:hAnsi="宋体" w:eastAsia="宋体"/>
          <w:sz w:val="24"/>
          <w:szCs w:val="24"/>
          <w:highlight w:val="none"/>
        </w:rPr>
      </w:r>
      <w:r/>
    </w:p>
    <w:p>
      <w:pPr>
        <w:pStyle w:val="706"/>
        <w:ind w:firstLine="502"/>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3、评标委员会各成员独立对每个进入合格性评审程序的磋商供应商的响应文件按评审办法进行评审和评价。</w:t>
      </w:r>
      <w:r>
        <w:rPr>
          <w:rFonts w:ascii="宋体" w:hAnsi="宋体" w:eastAsia="宋体"/>
          <w:sz w:val="24"/>
          <w:szCs w:val="24"/>
          <w:highlight w:val="none"/>
        </w:rPr>
      </w:r>
      <w:r/>
    </w:p>
    <w:p>
      <w:pPr>
        <w:pStyle w:val="706"/>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十三、成交单位的确认</w:t>
      </w:r>
      <w:r>
        <w:rPr>
          <w:rFonts w:ascii="宋体" w:hAnsi="宋体" w:eastAsia="宋体"/>
          <w:b/>
          <w:sz w:val="24"/>
          <w:szCs w:val="24"/>
          <w:highlight w:val="none"/>
        </w:rPr>
      </w:r>
      <w:r/>
    </w:p>
    <w:p>
      <w:pPr>
        <w:pStyle w:val="730"/>
        <w:ind w:firstLine="502"/>
        <w:jc w:val="both"/>
        <w:spacing w:line="360" w:lineRule="auto"/>
        <w:rPr>
          <w:rFonts w:ascii="宋体" w:hAnsi="宋体" w:eastAsia="宋体"/>
          <w:szCs w:val="24"/>
          <w:highlight w:val="none"/>
        </w:rPr>
      </w:pPr>
      <w:r>
        <w:rPr>
          <w:rFonts w:hint="eastAsia" w:ascii="宋体" w:hAnsi="宋体" w:eastAsia="宋体"/>
          <w:szCs w:val="24"/>
          <w:highlight w:val="none"/>
        </w:rPr>
        <w:t xml:space="preserve">1、磋商小组根据磋商供应商资格审查情况，对响应文件进行评价和比较，按照评审办法和标准进行评审，并按采购人的委托向采购人推荐成交候选单位。</w:t>
      </w:r>
      <w:r>
        <w:rPr>
          <w:rFonts w:ascii="宋体" w:hAnsi="宋体" w:eastAsia="宋体"/>
          <w:szCs w:val="24"/>
          <w:highlight w:val="none"/>
        </w:rPr>
      </w:r>
      <w:r/>
    </w:p>
    <w:p>
      <w:pPr>
        <w:pStyle w:val="730"/>
        <w:jc w:val="both"/>
        <w:spacing w:line="360" w:lineRule="auto"/>
        <w:rPr>
          <w:rFonts w:ascii="宋体" w:hAnsi="宋体" w:eastAsia="宋体"/>
          <w:szCs w:val="24"/>
          <w:highlight w:val="none"/>
        </w:rPr>
      </w:pPr>
      <w:r>
        <w:rPr>
          <w:rFonts w:hint="eastAsia" w:ascii="宋体" w:hAnsi="宋体" w:eastAsia="宋体"/>
          <w:szCs w:val="24"/>
          <w:highlight w:val="none"/>
        </w:rPr>
        <w:t xml:space="preserve">2、确定成交供应商后，磋商采购单位将在规定的时间内将成交结果在相关媒体上予以公告。</w:t>
      </w:r>
      <w:r>
        <w:rPr>
          <w:rFonts w:ascii="宋体" w:hAnsi="宋体" w:eastAsia="宋体"/>
          <w:szCs w:val="24"/>
          <w:highlight w:val="none"/>
        </w:rPr>
      </w:r>
      <w:r/>
    </w:p>
    <w:p>
      <w:pPr>
        <w:pStyle w:val="706"/>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十四、合同授予标准</w:t>
      </w:r>
      <w:r>
        <w:rPr>
          <w:rFonts w:ascii="宋体" w:hAnsi="宋体" w:eastAsia="宋体"/>
          <w:b/>
          <w:sz w:val="24"/>
          <w:szCs w:val="24"/>
          <w:highlight w:val="none"/>
        </w:rPr>
      </w:r>
      <w:r/>
    </w:p>
    <w:p>
      <w:pPr>
        <w:pStyle w:val="730"/>
        <w:ind w:firstLine="502"/>
        <w:jc w:val="both"/>
        <w:spacing w:line="360" w:lineRule="auto"/>
        <w:rPr>
          <w:rFonts w:ascii="宋体" w:hAnsi="宋体" w:eastAsia="宋体"/>
          <w:szCs w:val="24"/>
          <w:highlight w:val="none"/>
        </w:rPr>
      </w:pPr>
      <w:r>
        <w:rPr>
          <w:rFonts w:hint="eastAsia" w:ascii="宋体" w:hAnsi="宋体" w:eastAsia="宋体"/>
          <w:szCs w:val="24"/>
          <w:highlight w:val="none"/>
        </w:rPr>
        <w:t xml:space="preserve">1、采购人将把合同授予其响应文件在实质上响应磋商文件要求和按本须知规定评选出的磋商供应商。</w:t>
      </w:r>
      <w:r>
        <w:rPr>
          <w:rFonts w:ascii="宋体" w:hAnsi="宋体" w:eastAsia="宋体"/>
          <w:szCs w:val="24"/>
          <w:highlight w:val="none"/>
        </w:rPr>
      </w:r>
      <w:r/>
    </w:p>
    <w:p>
      <w:pPr>
        <w:pStyle w:val="706"/>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政府采购合同履行中，采购人需追加与合同标的物相同的货物、工程或者服务的，在不改变合同其他条款的前提下，可以与成交供应商签订补充合同，但所有补充合同的采购金额不得超过原合同采购金额的百分之十。</w:t>
      </w:r>
      <w:r>
        <w:rPr>
          <w:rFonts w:ascii="宋体" w:hAnsi="宋体" w:eastAsia="宋体"/>
          <w:sz w:val="24"/>
          <w:szCs w:val="24"/>
          <w:highlight w:val="none"/>
        </w:rPr>
      </w:r>
      <w:r/>
    </w:p>
    <w:p>
      <w:pPr>
        <w:pStyle w:val="706"/>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十五、成交通知书</w:t>
      </w:r>
      <w:r>
        <w:rPr>
          <w:rFonts w:ascii="宋体" w:hAnsi="宋体" w:eastAsia="宋体"/>
          <w:b/>
          <w:sz w:val="24"/>
          <w:szCs w:val="24"/>
          <w:highlight w:val="none"/>
        </w:rPr>
      </w:r>
      <w:r/>
    </w:p>
    <w:p>
      <w:pPr>
        <w:pStyle w:val="706"/>
        <w:ind w:firstLine="501"/>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1、磋商采购单位应在规定的时间向成交供应商发出成交通知书。成交通知书发出后，采购人改变成交结果，或者成交供应商放弃成交，应当承担相应的法律责任。</w:t>
      </w:r>
      <w:r>
        <w:rPr>
          <w:rFonts w:ascii="宋体" w:hAnsi="宋体" w:eastAsia="宋体"/>
          <w:sz w:val="24"/>
          <w:szCs w:val="24"/>
          <w:highlight w:val="none"/>
        </w:rPr>
      </w:r>
      <w:r/>
    </w:p>
    <w:p>
      <w:pPr>
        <w:pStyle w:val="706"/>
        <w:ind w:firstLine="501"/>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2、成交通知书将成为合同的组成部分。</w:t>
      </w:r>
      <w:r>
        <w:rPr>
          <w:rFonts w:ascii="宋体" w:hAnsi="宋体" w:eastAsia="宋体"/>
          <w:sz w:val="24"/>
          <w:szCs w:val="24"/>
          <w:highlight w:val="none"/>
        </w:rPr>
      </w:r>
      <w:r/>
    </w:p>
    <w:p>
      <w:pPr>
        <w:pStyle w:val="706"/>
        <w:ind w:firstLine="501"/>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3、磋商采购单位对未成交供应商不承担解释未成交原因的义务。</w:t>
      </w:r>
      <w:r>
        <w:rPr>
          <w:rFonts w:ascii="宋体" w:hAnsi="宋体" w:eastAsia="宋体"/>
          <w:sz w:val="24"/>
          <w:szCs w:val="24"/>
          <w:highlight w:val="none"/>
        </w:rPr>
      </w:r>
      <w:r/>
    </w:p>
    <w:p>
      <w:pPr>
        <w:pStyle w:val="706"/>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十六、告知成交结果</w:t>
      </w:r>
      <w:r>
        <w:rPr>
          <w:rFonts w:ascii="宋体" w:hAnsi="宋体" w:eastAsia="宋体"/>
          <w:b/>
          <w:sz w:val="24"/>
          <w:szCs w:val="24"/>
          <w:highlight w:val="none"/>
        </w:rPr>
      </w:r>
      <w:r/>
    </w:p>
    <w:p>
      <w:pPr>
        <w:pStyle w:val="706"/>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1、发出成交通知书。</w:t>
      </w:r>
      <w:r>
        <w:rPr>
          <w:rFonts w:hint="eastAsia" w:ascii="宋体" w:hAnsi="宋体" w:eastAsia="宋体"/>
          <w:bCs/>
          <w:sz w:val="24"/>
          <w:szCs w:val="24"/>
          <w:highlight w:val="none"/>
        </w:rPr>
        <w:t xml:space="preserve">在</w:t>
      </w:r>
      <w:r>
        <w:rPr>
          <w:rFonts w:hint="eastAsia" w:ascii="宋体" w:hAnsi="宋体" w:eastAsia="宋体"/>
          <w:sz w:val="24"/>
          <w:szCs w:val="24"/>
          <w:highlight w:val="none"/>
        </w:rPr>
        <w:t xml:space="preserve">发布成交公告的同时，向成交磋商供应商发出成交通知书。</w:t>
      </w:r>
      <w:r>
        <w:rPr>
          <w:rFonts w:ascii="宋体" w:hAnsi="宋体" w:eastAsia="宋体"/>
          <w:sz w:val="24"/>
          <w:szCs w:val="24"/>
          <w:highlight w:val="none"/>
        </w:rPr>
      </w:r>
      <w:r/>
    </w:p>
    <w:p>
      <w:pPr>
        <w:pStyle w:val="730"/>
        <w:ind w:firstLine="502"/>
        <w:jc w:val="both"/>
        <w:spacing w:line="360" w:lineRule="auto"/>
        <w:rPr>
          <w:rFonts w:ascii="宋体" w:hAnsi="宋体" w:eastAsia="宋体"/>
          <w:szCs w:val="24"/>
          <w:highlight w:val="none"/>
        </w:rPr>
      </w:pPr>
      <w:r>
        <w:rPr>
          <w:rFonts w:hint="eastAsia" w:ascii="宋体" w:hAnsi="宋体" w:eastAsia="宋体"/>
          <w:szCs w:val="24"/>
          <w:highlight w:val="none"/>
        </w:rPr>
        <w:t xml:space="preserve">2、</w:t>
      </w:r>
      <w:r>
        <w:rPr>
          <w:rFonts w:ascii="宋体" w:hAnsi="宋体" w:eastAsia="宋体"/>
          <w:szCs w:val="24"/>
          <w:highlight w:val="none"/>
        </w:rPr>
        <w:t xml:space="preserve">参与项目评审的未成交磋商供应商可在成交公告</w:t>
      </w:r>
      <w:r>
        <w:rPr>
          <w:rFonts w:hint="eastAsia" w:ascii="宋体" w:hAnsi="宋体" w:eastAsia="宋体"/>
          <w:szCs w:val="24"/>
          <w:highlight w:val="none"/>
        </w:rPr>
        <w:t xml:space="preserve">发布</w:t>
      </w:r>
      <w:r>
        <w:rPr>
          <w:rFonts w:ascii="宋体" w:hAnsi="宋体" w:eastAsia="宋体"/>
          <w:szCs w:val="24"/>
          <w:highlight w:val="none"/>
        </w:rPr>
        <w:t xml:space="preserve">之日起</w:t>
      </w:r>
      <w:r>
        <w:rPr>
          <w:rFonts w:hint="eastAsia" w:ascii="宋体" w:hAnsi="宋体" w:eastAsia="宋体"/>
          <w:szCs w:val="24"/>
          <w:highlight w:val="none"/>
        </w:rPr>
        <w:t xml:space="preserve">2</w:t>
      </w:r>
      <w:r>
        <w:rPr>
          <w:rFonts w:ascii="宋体" w:hAnsi="宋体" w:eastAsia="宋体"/>
          <w:szCs w:val="24"/>
          <w:highlight w:val="none"/>
        </w:rPr>
        <w:t xml:space="preserve">个工作日内</w:t>
      </w:r>
      <w:r>
        <w:rPr>
          <w:rFonts w:hint="eastAsia" w:ascii="宋体" w:hAnsi="宋体" w:eastAsia="宋体"/>
          <w:szCs w:val="24"/>
          <w:highlight w:val="none"/>
        </w:rPr>
        <w:t xml:space="preserve">向采购代理机构另行提供用以接收</w:t>
      </w:r>
      <w:r>
        <w:rPr>
          <w:rFonts w:ascii="宋体" w:hAnsi="宋体" w:eastAsia="宋体"/>
          <w:szCs w:val="24"/>
          <w:highlight w:val="none"/>
        </w:rPr>
        <w:t xml:space="preserve">《未成交通知书》</w:t>
      </w:r>
      <w:r>
        <w:rPr>
          <w:rFonts w:hint="eastAsia" w:ascii="宋体" w:hAnsi="宋体" w:eastAsia="宋体"/>
          <w:szCs w:val="24"/>
          <w:highlight w:val="none"/>
        </w:rPr>
        <w:t xml:space="preserve">的电子邮件地址，未按时提供电子邮件地址或提供信息有误的，视为自动放弃并自行承担相应后果。</w:t>
      </w:r>
      <w:r>
        <w:rPr>
          <w:rFonts w:ascii="宋体" w:hAnsi="宋体" w:eastAsia="宋体"/>
          <w:szCs w:val="24"/>
          <w:highlight w:val="none"/>
        </w:rPr>
      </w:r>
      <w:r/>
    </w:p>
    <w:p>
      <w:pPr>
        <w:pStyle w:val="706"/>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十七、合同的签订</w:t>
      </w:r>
      <w:r>
        <w:rPr>
          <w:rFonts w:ascii="宋体" w:hAnsi="宋体" w:eastAsia="宋体"/>
          <w:b/>
          <w:sz w:val="24"/>
          <w:szCs w:val="24"/>
          <w:highlight w:val="none"/>
        </w:rPr>
      </w:r>
      <w:r/>
    </w:p>
    <w:p>
      <w:pPr>
        <w:pStyle w:val="730"/>
        <w:ind w:firstLine="502"/>
        <w:jc w:val="both"/>
        <w:spacing w:line="360" w:lineRule="auto"/>
        <w:rPr>
          <w:rFonts w:ascii="宋体" w:hAnsi="宋体" w:eastAsia="宋体"/>
          <w:szCs w:val="24"/>
          <w:highlight w:val="none"/>
        </w:rPr>
      </w:pPr>
      <w:r>
        <w:rPr>
          <w:rFonts w:hint="eastAsia" w:ascii="宋体" w:hAnsi="宋体" w:eastAsia="宋体"/>
          <w:szCs w:val="24"/>
          <w:highlight w:val="none"/>
        </w:rPr>
        <w:t xml:space="preserve">1、成交单位应按规定的时间和地点，由法定代表人或代理人与甲方代表签订合同。否则按放弃处理。</w:t>
      </w:r>
      <w:r>
        <w:rPr>
          <w:rFonts w:ascii="宋体" w:hAnsi="宋体" w:eastAsia="宋体"/>
          <w:szCs w:val="24"/>
          <w:highlight w:val="none"/>
        </w:rPr>
      </w:r>
      <w:r/>
    </w:p>
    <w:p>
      <w:pPr>
        <w:pStyle w:val="730"/>
        <w:ind w:firstLine="502"/>
        <w:jc w:val="both"/>
        <w:spacing w:line="360" w:lineRule="auto"/>
        <w:rPr>
          <w:rFonts w:ascii="宋体" w:hAnsi="宋体" w:eastAsia="宋体"/>
          <w:szCs w:val="24"/>
          <w:highlight w:val="none"/>
        </w:rPr>
      </w:pPr>
      <w:r>
        <w:rPr>
          <w:rFonts w:hint="eastAsia" w:ascii="宋体" w:hAnsi="宋体" w:eastAsia="宋体"/>
          <w:szCs w:val="24"/>
          <w:highlight w:val="none"/>
        </w:rPr>
        <w:t xml:space="preserve">2、签订合同及合同条款应以磋商采购文件和成交单位的响应文件及其澄清文件为依据。</w:t>
      </w:r>
      <w:r>
        <w:rPr>
          <w:rFonts w:ascii="宋体" w:hAnsi="宋体" w:eastAsia="宋体"/>
          <w:szCs w:val="24"/>
          <w:highlight w:val="none"/>
        </w:rPr>
      </w:r>
      <w:r/>
    </w:p>
    <w:p>
      <w:pPr>
        <w:pStyle w:val="706"/>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十八、代理服务费</w:t>
      </w:r>
      <w:r>
        <w:rPr>
          <w:rFonts w:ascii="宋体" w:hAnsi="宋体" w:eastAsia="宋体"/>
          <w:b/>
          <w:sz w:val="24"/>
          <w:szCs w:val="24"/>
          <w:highlight w:val="none"/>
        </w:rPr>
      </w:r>
      <w:r/>
    </w:p>
    <w:p>
      <w:pPr>
        <w:pStyle w:val="730"/>
        <w:ind w:firstLine="502"/>
        <w:jc w:val="both"/>
        <w:spacing w:line="360" w:lineRule="auto"/>
        <w:rPr>
          <w:rFonts w:ascii="宋体" w:hAnsi="宋体" w:eastAsia="宋体"/>
          <w:szCs w:val="24"/>
          <w:highlight w:val="none"/>
        </w:rPr>
      </w:pPr>
      <w:r>
        <w:rPr>
          <w:rFonts w:hint="eastAsia" w:ascii="宋体" w:hAnsi="宋体" w:eastAsia="宋体"/>
          <w:szCs w:val="24"/>
          <w:highlight w:val="none"/>
        </w:rPr>
        <w:t xml:space="preserve">1、成交单位须按前附表的规定计算并支付服务费，该费用应在领取成交通知书时向采购代理机构一次性付清。</w:t>
      </w:r>
      <w:r>
        <w:rPr>
          <w:rFonts w:ascii="宋体" w:hAnsi="宋体" w:eastAsia="宋体"/>
          <w:szCs w:val="24"/>
          <w:highlight w:val="none"/>
        </w:rPr>
      </w:r>
      <w:r/>
    </w:p>
    <w:p>
      <w:pPr>
        <w:pStyle w:val="730"/>
        <w:ind w:firstLine="502"/>
        <w:jc w:val="both"/>
        <w:spacing w:line="360" w:lineRule="auto"/>
        <w:rPr>
          <w:rFonts w:ascii="宋体" w:hAnsi="宋体" w:eastAsia="宋体"/>
          <w:szCs w:val="24"/>
          <w:highlight w:val="none"/>
        </w:rPr>
      </w:pPr>
      <w:r>
        <w:rPr>
          <w:rFonts w:hint="eastAsia" w:ascii="宋体" w:hAnsi="宋体" w:eastAsia="宋体"/>
          <w:szCs w:val="24"/>
          <w:highlight w:val="none"/>
        </w:rPr>
        <w:t xml:space="preserve">2、成交单位如果未按规定缴纳服务费，磋商采购单位将保留诉讼的权利。</w:t>
      </w:r>
      <w:r>
        <w:rPr>
          <w:rFonts w:ascii="宋体" w:hAnsi="宋体" w:eastAsia="宋体"/>
          <w:szCs w:val="24"/>
          <w:highlight w:val="none"/>
        </w:rPr>
      </w:r>
      <w:r/>
    </w:p>
    <w:p>
      <w:pPr>
        <w:pStyle w:val="706"/>
        <w:jc w:val="left"/>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十九、采购文件的质疑</w:t>
      </w:r>
      <w:r>
        <w:rPr>
          <w:rFonts w:ascii="宋体" w:hAnsi="宋体" w:eastAsia="宋体"/>
          <w:b/>
          <w:sz w:val="24"/>
          <w:szCs w:val="24"/>
          <w:highlight w:val="none"/>
        </w:rPr>
      </w:r>
      <w:r/>
    </w:p>
    <w:p>
      <w:pPr>
        <w:pStyle w:val="706"/>
        <w:ind w:firstLine="480"/>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1、根据《政府采购质疑和投诉办法》财政部第94号令，供应商认为采购文件、采购过程、成交结果使自己的权益受到损害的，可以在知道或者应知其权益受到损害之日起7个工作日内，以书面形式向采购人、采购代理机构提出质疑。</w:t>
      </w:r>
      <w:r>
        <w:rPr>
          <w:rFonts w:ascii="宋体" w:hAnsi="宋体" w:eastAsia="宋体"/>
          <w:sz w:val="24"/>
          <w:szCs w:val="24"/>
          <w:highlight w:val="none"/>
        </w:rPr>
      </w:r>
      <w:r/>
    </w:p>
    <w:p>
      <w:pPr>
        <w:pStyle w:val="706"/>
        <w:ind w:firstLine="480"/>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2、本次采购文件要求供应商在法定质疑期内一次性提出针对同一采购程序环节的质疑。</w:t>
      </w:r>
      <w:r>
        <w:rPr>
          <w:rFonts w:ascii="宋体" w:hAnsi="宋体" w:eastAsia="宋体"/>
          <w:sz w:val="24"/>
          <w:szCs w:val="24"/>
          <w:highlight w:val="none"/>
        </w:rPr>
      </w:r>
      <w:r/>
    </w:p>
    <w:p>
      <w:pPr>
        <w:pStyle w:val="706"/>
        <w:ind w:firstLine="480"/>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3、采购人、采购代理机构收到质疑供应商在法定质疑期内发出的质疑函，应当在收到质疑函后7个工作日内作出答复，并以书面形式通知质疑供应商和其他有关供应商。</w:t>
      </w:r>
      <w:r>
        <w:rPr>
          <w:rFonts w:ascii="宋体" w:hAnsi="宋体" w:eastAsia="宋体"/>
          <w:sz w:val="24"/>
          <w:szCs w:val="24"/>
          <w:highlight w:val="none"/>
        </w:rPr>
      </w:r>
      <w:r/>
    </w:p>
    <w:p>
      <w:pPr>
        <w:pStyle w:val="706"/>
        <w:ind w:firstLine="480"/>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4、供应商提出质疑应当提交质疑函、报名确认单和必要的证明材料。质疑函应当包括下列内容：</w:t>
      </w:r>
      <w:r>
        <w:rPr>
          <w:rFonts w:ascii="宋体" w:hAnsi="宋体" w:eastAsia="宋体"/>
          <w:sz w:val="24"/>
          <w:szCs w:val="24"/>
          <w:highlight w:val="none"/>
        </w:rPr>
      </w:r>
      <w:r/>
    </w:p>
    <w:p>
      <w:pPr>
        <w:pStyle w:val="706"/>
        <w:ind w:firstLine="480"/>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4.1供应商的姓名或者名称、地址、邮编、联系人及联系电话；</w:t>
      </w:r>
      <w:r>
        <w:rPr>
          <w:rFonts w:ascii="宋体" w:hAnsi="宋体" w:eastAsia="宋体"/>
          <w:sz w:val="24"/>
          <w:szCs w:val="24"/>
          <w:highlight w:val="none"/>
        </w:rPr>
      </w:r>
      <w:r/>
    </w:p>
    <w:p>
      <w:pPr>
        <w:pStyle w:val="706"/>
        <w:ind w:firstLine="480"/>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4.2质疑项目的名称、编号；</w:t>
      </w:r>
      <w:r>
        <w:rPr>
          <w:rFonts w:ascii="宋体" w:hAnsi="宋体" w:eastAsia="宋体"/>
          <w:sz w:val="24"/>
          <w:szCs w:val="24"/>
          <w:highlight w:val="none"/>
        </w:rPr>
      </w:r>
      <w:r/>
    </w:p>
    <w:p>
      <w:pPr>
        <w:pStyle w:val="706"/>
        <w:ind w:firstLine="480"/>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4.3具体、明确的质疑事项和与质疑事项相关的请求；</w:t>
      </w:r>
      <w:r>
        <w:rPr>
          <w:rFonts w:ascii="宋体" w:hAnsi="宋体" w:eastAsia="宋体"/>
          <w:sz w:val="24"/>
          <w:szCs w:val="24"/>
          <w:highlight w:val="none"/>
        </w:rPr>
      </w:r>
      <w:r/>
    </w:p>
    <w:p>
      <w:pPr>
        <w:pStyle w:val="706"/>
        <w:ind w:firstLine="480"/>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4.4事实依据；</w:t>
      </w:r>
      <w:r>
        <w:rPr>
          <w:rFonts w:ascii="宋体" w:hAnsi="宋体" w:eastAsia="宋体"/>
          <w:sz w:val="24"/>
          <w:szCs w:val="24"/>
          <w:highlight w:val="none"/>
        </w:rPr>
      </w:r>
      <w:r/>
    </w:p>
    <w:p>
      <w:pPr>
        <w:pStyle w:val="706"/>
        <w:ind w:firstLine="480"/>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4.5必要的法律依据；</w:t>
      </w:r>
      <w:r>
        <w:rPr>
          <w:rFonts w:ascii="宋体" w:hAnsi="宋体" w:eastAsia="宋体"/>
          <w:sz w:val="24"/>
          <w:szCs w:val="24"/>
          <w:highlight w:val="none"/>
        </w:rPr>
      </w:r>
      <w:r/>
    </w:p>
    <w:p>
      <w:pPr>
        <w:pStyle w:val="706"/>
        <w:ind w:firstLine="480"/>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4.6提出质疑的日期。</w:t>
      </w:r>
      <w:r>
        <w:rPr>
          <w:rFonts w:ascii="宋体" w:hAnsi="宋体" w:eastAsia="宋体"/>
          <w:sz w:val="24"/>
          <w:szCs w:val="24"/>
          <w:highlight w:val="none"/>
        </w:rPr>
      </w:r>
      <w:r/>
    </w:p>
    <w:p>
      <w:pPr>
        <w:pStyle w:val="706"/>
        <w:ind w:firstLine="480"/>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ascii="宋体" w:hAnsi="宋体" w:eastAsia="宋体"/>
          <w:sz w:val="24"/>
          <w:szCs w:val="24"/>
          <w:highlight w:val="none"/>
        </w:rPr>
      </w:r>
      <w:r/>
    </w:p>
    <w:p>
      <w:pPr>
        <w:pStyle w:val="768"/>
        <w:ind w:firstLine="480"/>
        <w:spacing w:line="360" w:lineRule="auto"/>
        <w:rPr>
          <w:rFonts w:ascii="宋体" w:hAnsi="宋体" w:eastAsia="宋体"/>
          <w:szCs w:val="24"/>
          <w:highlight w:val="none"/>
        </w:rPr>
      </w:pPr>
      <w:r>
        <w:rPr>
          <w:rFonts w:hint="eastAsia" w:ascii="宋体" w:hAnsi="宋体" w:eastAsia="宋体"/>
          <w:szCs w:val="24"/>
          <w:highlight w:val="none"/>
        </w:rPr>
        <w:t xml:space="preserve">5、质疑联系方式详见前附表。</w:t>
      </w:r>
      <w:r>
        <w:rPr>
          <w:rFonts w:ascii="宋体" w:hAnsi="宋体" w:eastAsia="宋体"/>
          <w:szCs w:val="24"/>
          <w:highlight w:val="none"/>
        </w:rPr>
      </w:r>
      <w:r/>
    </w:p>
    <w:p>
      <w:pPr>
        <w:pStyle w:val="706"/>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二十、政府采购政策</w:t>
      </w:r>
      <w:r>
        <w:rPr>
          <w:rFonts w:ascii="宋体" w:hAnsi="宋体" w:eastAsia="宋体" w:cs="宋体"/>
          <w:b/>
          <w:bCs/>
          <w:sz w:val="24"/>
          <w:szCs w:val="24"/>
          <w:highlight w:val="none"/>
        </w:rPr>
      </w:r>
      <w:r/>
    </w:p>
    <w:p>
      <w:pPr>
        <w:pStyle w:val="706"/>
        <w:ind w:firstLine="482"/>
        <w:jc w:val="left"/>
        <w:spacing w:line="360" w:lineRule="auto"/>
        <w:widowControl/>
        <w:rPr>
          <w:rFonts w:ascii="宋体" w:hAnsi="宋体" w:eastAsia="宋体" w:cs="宋体"/>
          <w:sz w:val="24"/>
          <w:szCs w:val="24"/>
          <w:highlight w:val="none"/>
        </w:rPr>
      </w:pPr>
      <w:r>
        <w:rPr>
          <w:rFonts w:hint="eastAsia" w:ascii="宋体" w:hAnsi="宋体" w:cs="宋体"/>
          <w:b/>
          <w:bCs/>
          <w:sz w:val="24"/>
          <w:szCs w:val="24"/>
          <w:highlight w:val="none"/>
        </w:rPr>
        <w:t xml:space="preserve">1</w:t>
      </w:r>
      <w:r>
        <w:rPr>
          <w:rFonts w:hint="eastAsia" w:ascii="宋体" w:hAnsi="宋体" w:eastAsia="宋体" w:cs="宋体"/>
          <w:b/>
          <w:bCs/>
          <w:sz w:val="24"/>
          <w:szCs w:val="24"/>
          <w:highlight w:val="none"/>
        </w:rPr>
        <w:t xml:space="preserve">、关于节能环保产品政府采购要求：</w:t>
      </w:r>
      <w:r>
        <w:rPr>
          <w:rFonts w:hint="eastAsia" w:ascii="宋体" w:hAnsi="宋体" w:eastAsia="宋体" w:cs="宋体"/>
          <w:b/>
          <w:bCs/>
          <w:sz w:val="24"/>
          <w:szCs w:val="24"/>
          <w:highlight w:val="none"/>
        </w:rPr>
        <w:br w:type="textWrapping" w:clear="all"/>
      </w:r>
      <w:r>
        <w:rPr>
          <w:rFonts w:hint="eastAsia" w:ascii="宋体" w:hAnsi="宋体" w:eastAsia="宋体" w:cs="宋体"/>
          <w:sz w:val="24"/>
          <w:szCs w:val="24"/>
          <w:highlight w:val="none"/>
        </w:rPr>
        <w:t xml:space="preserve">   本项目不涉及属于《节能产品政府采购品目清单》中强制采购范围内产品，不涉及属于《节能产品政府采购品目清单》中优先采购范围内的产品及《环境标志产品政府采购品目清单》范围内的产品。</w:t>
      </w:r>
      <w:r>
        <w:rPr>
          <w:rFonts w:ascii="宋体" w:hAnsi="宋体" w:eastAsia="宋体" w:cs="宋体"/>
          <w:sz w:val="24"/>
          <w:szCs w:val="24"/>
          <w:highlight w:val="none"/>
        </w:rPr>
      </w:r>
      <w:r/>
    </w:p>
    <w:p>
      <w:pPr>
        <w:pStyle w:val="706"/>
        <w:ind w:firstLine="482"/>
        <w:jc w:val="left"/>
        <w:spacing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2、</w:t>
      </w:r>
      <w:r>
        <w:rPr>
          <w:rFonts w:hint="eastAsia" w:ascii="宋体" w:hAnsi="宋体" w:eastAsia="宋体" w:cs="宋体"/>
          <w:b/>
          <w:bCs/>
          <w:sz w:val="24"/>
          <w:szCs w:val="24"/>
          <w:highlight w:val="none"/>
          <w:lang w:eastAsia="zh-CN"/>
        </w:rPr>
        <w:t xml:space="preserve">本项目不接受进口产品。</w:t>
      </w:r>
      <w:r>
        <w:rPr>
          <w:rFonts w:hint="eastAsia" w:ascii="宋体" w:hAnsi="宋体" w:eastAsia="宋体" w:cs="宋体"/>
          <w:sz w:val="24"/>
          <w:szCs w:val="24"/>
          <w:highlight w:val="none"/>
          <w:lang w:val="en-US" w:eastAsia="zh-CN"/>
        </w:rPr>
        <w:t xml:space="preserve">本项目中涉及的标的物执行</w:t>
      </w:r>
      <w:r>
        <w:rPr>
          <w:rFonts w:hint="eastAsia" w:ascii="宋体" w:hAnsi="宋体" w:eastAsia="宋体" w:cs="宋体"/>
          <w:sz w:val="24"/>
          <w:szCs w:val="24"/>
          <w:highlight w:val="none"/>
        </w:rPr>
        <w:t xml:space="preserve">国办发〔2025〕34号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国务院办公厅关于在政府采购中实施本国产品标准及相关政策的通知</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r>
      <w:r/>
    </w:p>
    <w:p>
      <w:pPr>
        <w:pStyle w:val="706"/>
        <w:ind w:firstLine="482"/>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sz w:val="24"/>
          <w:szCs w:val="24"/>
          <w:highlight w:val="none"/>
        </w:rPr>
        <w:t xml:space="preserve">针对中小型企业的评审：</w:t>
      </w:r>
      <w:r>
        <w:rPr>
          <w:rFonts w:hint="eastAsia" w:ascii="宋体" w:hAnsi="宋体" w:eastAsia="宋体" w:cs="宋体"/>
          <w:b/>
          <w:bCs/>
          <w:sz w:val="24"/>
          <w:szCs w:val="24"/>
          <w:highlight w:val="none"/>
        </w:rPr>
      </w:r>
      <w:r/>
    </w:p>
    <w:p>
      <w:pPr>
        <w:pStyle w:val="706"/>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（1）本项目为专门面向中小企业采购。</w:t>
      </w:r>
      <w:r>
        <w:rPr>
          <w:rFonts w:ascii="宋体" w:hAnsi="宋体" w:eastAsia="宋体" w:cs="宋体"/>
          <w:b/>
          <w:bCs/>
          <w:sz w:val="24"/>
          <w:szCs w:val="24"/>
          <w:highlight w:val="none"/>
        </w:rPr>
      </w:r>
      <w:r/>
    </w:p>
    <w:p>
      <w:pPr>
        <w:pStyle w:val="706"/>
        <w:ind w:firstLine="480"/>
        <w:spacing w:line="360" w:lineRule="auto"/>
        <w:rPr>
          <w:rFonts w:ascii="宋体" w:hAnsi="宋体" w:eastAsia="宋体" w:cs="宋体"/>
          <w:b/>
          <w:bCs/>
          <w:sz w:val="24"/>
          <w:szCs w:val="24"/>
          <w:highlight w:val="none"/>
        </w:rPr>
      </w:pPr>
      <w:r>
        <w:rPr>
          <w:rFonts w:hint="eastAsia" w:ascii="宋体" w:hAnsi="宋体" w:eastAsia="宋体" w:cs="宋体"/>
          <w:sz w:val="24"/>
          <w:szCs w:val="24"/>
          <w:highlight w:val="none"/>
        </w:rPr>
        <w:t xml:space="preserve">根据《政府采购促进中小企业发展管理办法》（财库〔2020〕46号）及《关于做好政府采购支持企业发展有关事项的通知》（苏财购〔2020〕52号）的相关规定，对于专门面向中小微企业的项目，如供应商认定本企业提供的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sz w:val="24"/>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ascii="宋体" w:hAnsi="宋体" w:eastAsia="宋体" w:cs="宋体"/>
          <w:b/>
          <w:bCs/>
          <w:sz w:val="24"/>
          <w:szCs w:val="24"/>
          <w:highlight w:val="none"/>
        </w:rPr>
      </w:r>
      <w:r/>
    </w:p>
    <w:p>
      <w:pPr>
        <w:pStyle w:val="706"/>
        <w:ind w:firstLine="480"/>
        <w:spacing w:line="360" w:lineRule="auto"/>
        <w:rPr>
          <w:rFonts w:ascii="宋体" w:hAnsi="宋体" w:eastAsia="宋体" w:cs="宋体"/>
          <w:b/>
          <w:bCs/>
          <w:sz w:val="24"/>
          <w:szCs w:val="24"/>
          <w:highlight w:val="none"/>
        </w:rPr>
      </w:pPr>
      <w:r>
        <w:rPr>
          <w:rFonts w:hint="eastAsia" w:ascii="宋体" w:hAnsi="宋体" w:eastAsia="宋体" w:cs="宋体"/>
          <w:sz w:val="24"/>
          <w:szCs w:val="24"/>
          <w:highlight w:val="none"/>
        </w:rPr>
        <w:t xml:space="preserve">在政府采购活动中，供应商提供的工程符合下列情形的，享受《政府采购促进中小企业发展管理办法》规定的中小企业扶持政策：在工程项目中，项目由中小微企业承建。</w:t>
      </w:r>
      <w:r>
        <w:rPr>
          <w:rFonts w:ascii="宋体" w:hAnsi="宋体" w:eastAsia="宋体" w:cs="宋体"/>
          <w:b/>
          <w:bCs/>
          <w:sz w:val="24"/>
          <w:szCs w:val="24"/>
          <w:highlight w:val="none"/>
        </w:rPr>
      </w:r>
      <w:r/>
    </w:p>
    <w:p>
      <w:pPr>
        <w:pStyle w:val="706"/>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根据《政府采购促进中小企业发展管理办法》（财库〔2020〕46号）及《中小企业划型标准规定》（工信部联企业〔2011〕300号），本采购项目对应的中小企业划分标准所属行业为：建筑业。</w:t>
      </w:r>
      <w:r>
        <w:rPr>
          <w:rFonts w:ascii="宋体" w:hAnsi="宋体" w:eastAsia="宋体" w:cs="宋体"/>
          <w:b/>
          <w:bCs/>
          <w:sz w:val="24"/>
          <w:szCs w:val="24"/>
          <w:highlight w:val="none"/>
        </w:rPr>
      </w:r>
      <w:r/>
    </w:p>
    <w:p>
      <w:pPr>
        <w:pStyle w:val="706"/>
        <w:ind w:firstLine="480"/>
        <w:jc w:val="left"/>
        <w:spacing w:line="360" w:lineRule="auto"/>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若中小微企业提供的 “中小企业声明函” 或认定证明为虚假声明则视同提供虚假材料，按政府采购相关规定处理并报请政府监管部门给予行政处罚。</w:t>
      </w:r>
      <w:r>
        <w:rPr>
          <w:rFonts w:ascii="宋体" w:hAnsi="宋体"/>
          <w:color w:val="000000"/>
          <w:sz w:val="24"/>
          <w:szCs w:val="24"/>
          <w:highlight w:val="none"/>
        </w:rPr>
      </w:r>
      <w:r/>
    </w:p>
    <w:p>
      <w:pPr>
        <w:pStyle w:val="807"/>
        <w:ind w:firstLine="480"/>
        <w:spacing w:line="360" w:lineRule="auto"/>
        <w:rPr>
          <w:bCs/>
          <w:highlight w:val="none"/>
        </w:rPr>
      </w:pPr>
      <w:r>
        <w:rPr>
          <w:rFonts w:hint="eastAsia" w:hAnsi="宋体" w:cs="宋体"/>
          <w:bCs/>
          <w:sz w:val="24"/>
          <w:szCs w:val="24"/>
          <w:highlight w:val="none"/>
        </w:rPr>
        <w:t xml:space="preserve">未尽事宜按照《苏州市政府采购促进中小企业发展实施意见》执行。</w:t>
      </w:r>
      <w:r>
        <w:rPr>
          <w:bCs/>
          <w:highlight w:val="none"/>
        </w:rPr>
      </w:r>
      <w:r/>
    </w:p>
    <w:p>
      <w:pPr>
        <w:pStyle w:val="706"/>
        <w:ind w:firstLine="482"/>
        <w:jc w:val="left"/>
        <w:spacing w:line="360" w:lineRule="auto"/>
        <w:widowControl/>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（2）残疾人福利性单位</w:t>
      </w:r>
      <w:r>
        <w:rPr>
          <w:rFonts w:ascii="宋体" w:hAnsi="宋体" w:eastAsia="宋体" w:cs="宋体"/>
          <w:b/>
          <w:bCs/>
          <w:sz w:val="24"/>
          <w:szCs w:val="24"/>
          <w:highlight w:val="none"/>
        </w:rPr>
      </w:r>
      <w:r/>
    </w:p>
    <w:p>
      <w:pPr>
        <w:pStyle w:val="706"/>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根据《关于促进残疾人就业政府采购政策的通知》（财库〔2017〕141号）的相关规定，在政府采购活动中残疾人福利性单位视同小型、微型企业。符合条件的残疾人福利性单位，应提交《残疾人福利性单位声明函》，并对声明的真实性负责。</w:t>
      </w:r>
      <w:r>
        <w:rPr>
          <w:rFonts w:ascii="宋体" w:hAnsi="宋体" w:eastAsia="宋体" w:cs="宋体"/>
          <w:sz w:val="24"/>
          <w:szCs w:val="24"/>
          <w:highlight w:val="none"/>
        </w:rPr>
      </w:r>
      <w:r/>
    </w:p>
    <w:p>
      <w:pPr>
        <w:pStyle w:val="706"/>
        <w:ind w:firstLine="482"/>
        <w:jc w:val="left"/>
        <w:spacing w:line="360" w:lineRule="auto"/>
        <w:widowControl/>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（3）监狱企业</w:t>
      </w:r>
      <w:r>
        <w:rPr>
          <w:rFonts w:ascii="宋体" w:hAnsi="宋体" w:eastAsia="宋体" w:cs="宋体"/>
          <w:b/>
          <w:bCs/>
          <w:sz w:val="24"/>
          <w:szCs w:val="24"/>
          <w:highlight w:val="none"/>
        </w:rPr>
      </w:r>
      <w:r/>
    </w:p>
    <w:p>
      <w:pPr>
        <w:pStyle w:val="706"/>
        <w:ind w:firstLine="480"/>
        <w:jc w:val="left"/>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w:t>
      </w:r>
      <w:r>
        <w:rPr>
          <w:rFonts w:ascii="宋体" w:hAnsi="宋体" w:eastAsia="宋体" w:cs="宋体"/>
          <w:sz w:val="24"/>
          <w:szCs w:val="24"/>
          <w:highlight w:val="none"/>
        </w:rPr>
      </w:r>
      <w:r/>
    </w:p>
    <w:p>
      <w:pPr>
        <w:pStyle w:val="1046"/>
        <w:ind w:firstLine="482"/>
        <w:jc w:val="left"/>
        <w:spacing w:after="36"/>
        <w:rPr>
          <w:rFonts w:cs="宋体"/>
          <w:b/>
          <w:highlight w:val="none"/>
        </w:rPr>
      </w:pPr>
      <w:r>
        <w:rPr>
          <w:rFonts w:hint="eastAsia" w:cs="宋体"/>
          <w:b/>
          <w:highlight w:val="none"/>
          <w:lang w:val="en-US" w:eastAsia="zh-CN"/>
        </w:rPr>
        <w:t xml:space="preserve">4</w:t>
      </w:r>
      <w:r>
        <w:rPr>
          <w:rFonts w:hint="eastAsia" w:cs="宋体"/>
          <w:b/>
          <w:highlight w:val="none"/>
        </w:rPr>
        <w:t xml:space="preserve">、信用记录</w:t>
      </w:r>
      <w:r>
        <w:rPr>
          <w:rFonts w:cs="宋体"/>
          <w:b/>
          <w:highlight w:val="none"/>
        </w:rPr>
      </w:r>
      <w:r/>
    </w:p>
    <w:p>
      <w:pPr>
        <w:pStyle w:val="706"/>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根据政府采购法及相关法规，以及</w:t>
      </w:r>
      <w:r>
        <w:rPr>
          <w:rFonts w:hint="eastAsia" w:ascii="宋体" w:hAnsi="宋体" w:eastAsia="宋体" w:cs="宋体"/>
          <w:bCs/>
          <w:sz w:val="24"/>
          <w:szCs w:val="24"/>
          <w:highlight w:val="none"/>
        </w:rPr>
        <w:t xml:space="preserve">苏州市财政局《关于苏州市政府采购网下线“供应商信用查询”功能的通知》</w:t>
      </w:r>
      <w:r>
        <w:rPr>
          <w:rFonts w:hint="eastAsia" w:ascii="宋体" w:hAnsi="宋体" w:eastAsia="宋体" w:cs="宋体"/>
          <w:sz w:val="24"/>
          <w:szCs w:val="24"/>
          <w:highlight w:val="none"/>
        </w:rPr>
        <w:t xml:space="preserve">的规定，我们将依法对供应商进行信用查询，凡经评审小组确认不符合政府采购相关法律法规规定的，将拒绝其参与政府采购活动。</w:t>
      </w:r>
      <w:r>
        <w:rPr>
          <w:rFonts w:ascii="宋体" w:hAnsi="宋体" w:eastAsia="宋体" w:cs="宋体"/>
          <w:sz w:val="24"/>
          <w:szCs w:val="24"/>
          <w:highlight w:val="none"/>
        </w:rPr>
      </w:r>
      <w:r/>
    </w:p>
    <w:p>
      <w:pPr>
        <w:pStyle w:val="706"/>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3.1查询截止时点：响应文件递交截止时间。</w:t>
      </w:r>
      <w:r>
        <w:rPr>
          <w:rFonts w:ascii="宋体" w:hAnsi="宋体" w:eastAsia="宋体" w:cs="宋体"/>
          <w:sz w:val="24"/>
          <w:szCs w:val="24"/>
          <w:highlight w:val="none"/>
        </w:rPr>
      </w:r>
      <w:r/>
    </w:p>
    <w:p>
      <w:pPr>
        <w:pStyle w:val="706"/>
        <w:ind w:firstLine="480"/>
        <w:jc w:val="left"/>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3.2查询渠道：</w:t>
      </w:r>
      <w:r>
        <w:rPr>
          <w:rFonts w:ascii="宋体" w:hAnsi="宋体" w:eastAsia="宋体" w:cs="宋体"/>
          <w:bCs/>
          <w:sz w:val="24"/>
          <w:szCs w:val="24"/>
          <w:highlight w:val="none"/>
        </w:rPr>
      </w:r>
      <w:r/>
    </w:p>
    <w:p>
      <w:pPr>
        <w:pStyle w:val="70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采购代理机构将通过</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zh-CN"/>
        </w:rPr>
        <w:t xml:space="preserve">在中国政府采购网</w:t>
      </w:r>
      <w:r>
        <w:rPr>
          <w:rFonts w:hint="eastAsia" w:ascii="宋体" w:hAnsi="宋体" w:eastAsia="宋体" w:cs="宋体"/>
          <w:sz w:val="24"/>
          <w:szCs w:val="24"/>
          <w:highlight w:val="none"/>
        </w:rPr>
        <w:t xml:space="preserve">（http://www.ccgp.gov.cn）</w:t>
      </w:r>
      <w:r>
        <w:rPr>
          <w:rFonts w:hint="eastAsia" w:ascii="宋体" w:hAnsi="宋体" w:eastAsia="宋体" w:cs="宋体"/>
          <w:sz w:val="24"/>
          <w:szCs w:val="24"/>
          <w:highlight w:val="none"/>
          <w:lang w:val="zh-CN"/>
        </w:rPr>
        <w:t xml:space="preserve">、信用中国</w:t>
      </w:r>
      <w:r>
        <w:rPr>
          <w:rFonts w:hint="eastAsia" w:ascii="宋体" w:hAnsi="宋体" w:eastAsia="宋体" w:cs="宋体"/>
          <w:sz w:val="24"/>
          <w:szCs w:val="24"/>
          <w:highlight w:val="none"/>
        </w:rPr>
        <w:t xml:space="preserve">（www.creditchina.gov.cn）</w:t>
      </w:r>
      <w:r>
        <w:rPr>
          <w:rFonts w:hint="eastAsia" w:ascii="宋体" w:hAnsi="宋体" w:eastAsia="宋体" w:cs="宋体"/>
          <w:sz w:val="24"/>
          <w:szCs w:val="24"/>
          <w:highlight w:val="none"/>
          <w:lang w:val="zh-CN"/>
        </w:rPr>
        <w:t xml:space="preserve">的网站输入供应商全称或统一社会信用代码查询信用记录</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zh-CN"/>
        </w:rPr>
        <w:t xml:space="preserve">并将查询结果递交评审小组。</w:t>
      </w:r>
      <w:r>
        <w:rPr>
          <w:rFonts w:hint="eastAsia" w:ascii="宋体" w:hAnsi="宋体" w:eastAsia="宋体" w:cs="宋体"/>
          <w:sz w:val="24"/>
          <w:szCs w:val="24"/>
          <w:highlight w:val="none"/>
        </w:rPr>
      </w:r>
      <w:r/>
    </w:p>
    <w:p>
      <w:pPr>
        <w:pStyle w:val="706"/>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zh-CN"/>
        </w:rPr>
        <w:t xml:space="preserve">.</w:t>
      </w:r>
      <w:r>
        <w:rPr>
          <w:rFonts w:hint="eastAsia" w:ascii="宋体" w:hAnsi="宋体" w:cs="宋体"/>
          <w:sz w:val="24"/>
          <w:szCs w:val="24"/>
          <w:highlight w:val="none"/>
        </w:rPr>
        <w:t xml:space="preserve">3</w:t>
      </w:r>
      <w:r>
        <w:rPr>
          <w:rFonts w:hint="eastAsia" w:ascii="宋体" w:hAnsi="宋体" w:eastAsia="宋体" w:cs="宋体"/>
          <w:sz w:val="24"/>
          <w:szCs w:val="24"/>
          <w:highlight w:val="none"/>
          <w:lang w:val="zh-CN"/>
        </w:rPr>
        <w:t xml:space="preserve">信用记录使用规则：对投标人进行资格性审查时，应根据查询结果对供应商的不良信用记录逐项甄别确认。</w:t>
      </w:r>
      <w:r>
        <w:rPr>
          <w:rFonts w:hint="eastAsia" w:ascii="宋体" w:hAnsi="宋体" w:eastAsia="宋体" w:cs="宋体"/>
          <w:sz w:val="24"/>
          <w:szCs w:val="24"/>
          <w:highlight w:val="none"/>
        </w:rPr>
        <w:t xml:space="preserve">按照《中华人民共和国政府采购法》第二十二条规定，下列信用记录属于应依法拒绝投标人参加政府采购的失信信息：</w:t>
      </w:r>
      <w:r>
        <w:rPr>
          <w:rFonts w:ascii="宋体" w:hAnsi="宋体" w:eastAsia="宋体" w:cs="宋体"/>
          <w:sz w:val="24"/>
          <w:szCs w:val="24"/>
          <w:highlight w:val="none"/>
        </w:rPr>
      </w:r>
      <w:r/>
    </w:p>
    <w:p>
      <w:pPr>
        <w:pStyle w:val="706"/>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（一）政府采购严重违法记录，即供应商被全国各级财政部门列入“政府采购严重违法失信行为记录名单”，且在处罚有效期内的。</w:t>
      </w:r>
      <w:r>
        <w:rPr>
          <w:rFonts w:ascii="宋体" w:hAnsi="宋体" w:eastAsia="宋体" w:cs="宋体"/>
          <w:sz w:val="24"/>
          <w:szCs w:val="24"/>
          <w:highlight w:val="none"/>
        </w:rPr>
      </w:r>
      <w:r/>
    </w:p>
    <w:p>
      <w:pPr>
        <w:pStyle w:val="706"/>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（二）财政部门与法院、工商、税务等部门联合惩戒的失信信息，包括：</w:t>
      </w:r>
      <w:r>
        <w:rPr>
          <w:rFonts w:ascii="宋体" w:hAnsi="宋体" w:eastAsia="宋体" w:cs="宋体"/>
          <w:sz w:val="24"/>
          <w:szCs w:val="24"/>
          <w:highlight w:val="none"/>
        </w:rPr>
      </w:r>
      <w:r/>
    </w:p>
    <w:p>
      <w:pPr>
        <w:pStyle w:val="706"/>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（1）被列入失信被执行人名单；</w:t>
      </w:r>
      <w:r>
        <w:rPr>
          <w:rFonts w:ascii="宋体" w:hAnsi="宋体" w:eastAsia="宋体" w:cs="宋体"/>
          <w:sz w:val="24"/>
          <w:szCs w:val="24"/>
          <w:highlight w:val="none"/>
        </w:rPr>
      </w:r>
      <w:r/>
    </w:p>
    <w:p>
      <w:pPr>
        <w:pStyle w:val="706"/>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（2）被列入重大税收违法案件当事人名单；</w:t>
      </w:r>
      <w:r>
        <w:rPr>
          <w:rFonts w:ascii="宋体" w:hAnsi="宋体" w:eastAsia="宋体" w:cs="宋体"/>
          <w:sz w:val="24"/>
          <w:szCs w:val="24"/>
          <w:highlight w:val="none"/>
        </w:rPr>
      </w:r>
      <w:r/>
    </w:p>
    <w:p>
      <w:pPr>
        <w:pStyle w:val="706"/>
        <w:ind w:firstLine="480"/>
        <w:spacing w:line="360" w:lineRule="auto"/>
        <w:rPr>
          <w:rFonts w:ascii="宋体" w:hAnsi="宋体" w:eastAsia="宋体" w:cs="宋体"/>
          <w:sz w:val="24"/>
          <w:szCs w:val="24"/>
          <w:highlight w:val="none"/>
          <w:lang w:val="zh-CN"/>
        </w:rPr>
      </w:pPr>
      <w:r>
        <w:rPr>
          <w:rFonts w:hint="eastAsia" w:ascii="宋体" w:hAnsi="宋体" w:eastAsia="宋体" w:cs="宋体"/>
          <w:sz w:val="24"/>
          <w:szCs w:val="24"/>
          <w:highlight w:val="none"/>
        </w:rPr>
        <w:t xml:space="preserve">（3）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投标（响应）文件日未满三年的。</w:t>
      </w:r>
      <w:r>
        <w:rPr>
          <w:rFonts w:ascii="宋体" w:hAnsi="宋体" w:eastAsia="宋体" w:cs="宋体"/>
          <w:sz w:val="24"/>
          <w:szCs w:val="24"/>
          <w:highlight w:val="none"/>
          <w:lang w:val="zh-CN"/>
        </w:rPr>
      </w:r>
      <w:r/>
    </w:p>
    <w:p>
      <w:pPr>
        <w:pStyle w:val="744"/>
        <w:ind w:left="0"/>
        <w:rPr>
          <w:highlight w:val="none"/>
        </w:rPr>
      </w:pPr>
      <w:r>
        <w:rPr>
          <w:highlight w:val="none"/>
        </w:rPr>
      </w:r>
      <w:r/>
    </w:p>
    <w:p>
      <w:pPr>
        <w:pStyle w:val="746"/>
        <w:rPr>
          <w:highlight w:val="none"/>
        </w:rPr>
      </w:pPr>
      <w:r>
        <w:rPr>
          <w:highlight w:val="none"/>
        </w:rPr>
      </w:r>
      <w:r/>
    </w:p>
    <w:p>
      <w:pPr>
        <w:pStyle w:val="706"/>
        <w:rPr>
          <w:highlight w:val="none"/>
        </w:rPr>
      </w:pPr>
      <w:r>
        <w:rPr>
          <w:highlight w:val="none"/>
        </w:rPr>
      </w:r>
      <w:r/>
    </w:p>
    <w:p>
      <w:pPr>
        <w:pStyle w:val="744"/>
        <w:rPr>
          <w:highlight w:val="none"/>
        </w:rPr>
      </w:pPr>
      <w:r>
        <w:rPr>
          <w:highlight w:val="none"/>
        </w:rPr>
      </w:r>
      <w:r/>
    </w:p>
    <w:p>
      <w:pPr>
        <w:pStyle w:val="746"/>
        <w:rPr>
          <w:highlight w:val="none"/>
        </w:rPr>
      </w:pPr>
      <w:r>
        <w:rPr>
          <w:highlight w:val="none"/>
        </w:rPr>
      </w:r>
      <w:r/>
    </w:p>
    <w:p>
      <w:pPr>
        <w:pStyle w:val="706"/>
        <w:rPr>
          <w:highlight w:val="none"/>
        </w:rPr>
      </w:pPr>
      <w:r>
        <w:rPr>
          <w:highlight w:val="none"/>
        </w:rPr>
      </w:r>
      <w:r/>
    </w:p>
    <w:p>
      <w:pPr>
        <w:pStyle w:val="706"/>
        <w:rPr>
          <w:highlight w:val="none"/>
        </w:rPr>
      </w:pPr>
      <w:r>
        <w:rPr>
          <w:highlight w:val="none"/>
        </w:rPr>
      </w:r>
      <w:r/>
    </w:p>
    <w:p>
      <w:pPr>
        <w:pStyle w:val="706"/>
        <w:rPr>
          <w:highlight w:val="none"/>
        </w:rPr>
      </w:pPr>
      <w:r>
        <w:rPr>
          <w:highlight w:val="none"/>
        </w:rPr>
      </w:r>
      <w:r/>
    </w:p>
    <w:p>
      <w:pPr>
        <w:pStyle w:val="706"/>
        <w:rPr>
          <w:highlight w:val="none"/>
        </w:rPr>
      </w:pPr>
      <w:r>
        <w:rPr>
          <w:highlight w:val="none"/>
        </w:rPr>
      </w:r>
      <w:r/>
    </w:p>
    <w:p>
      <w:pPr>
        <w:pStyle w:val="706"/>
        <w:rPr>
          <w:highlight w:val="none"/>
        </w:rPr>
      </w:pPr>
      <w:r>
        <w:rPr>
          <w:highlight w:val="none"/>
        </w:rPr>
      </w:r>
      <w:r/>
    </w:p>
    <w:p>
      <w:pPr>
        <w:pStyle w:val="706"/>
        <w:rPr>
          <w:highlight w:val="none"/>
        </w:rPr>
      </w:pPr>
      <w:r>
        <w:rPr>
          <w:highlight w:val="none"/>
        </w:rPr>
      </w:r>
      <w:r/>
    </w:p>
    <w:p>
      <w:pPr>
        <w:pStyle w:val="706"/>
        <w:rPr>
          <w:highlight w:val="none"/>
        </w:rPr>
      </w:pPr>
      <w:r>
        <w:rPr>
          <w:highlight w:val="none"/>
        </w:rPr>
      </w:r>
      <w:r/>
    </w:p>
    <w:p>
      <w:pPr>
        <w:pStyle w:val="706"/>
        <w:rPr>
          <w:highlight w:val="none"/>
        </w:rPr>
      </w:pPr>
      <w:r>
        <w:rPr>
          <w:highlight w:val="none"/>
        </w:rPr>
      </w:r>
      <w:r/>
    </w:p>
    <w:p>
      <w:pPr>
        <w:pStyle w:val="706"/>
        <w:rPr>
          <w:highlight w:val="none"/>
        </w:rPr>
      </w:pPr>
      <w:r>
        <w:rPr>
          <w:highlight w:val="none"/>
        </w:rPr>
      </w:r>
      <w:r/>
    </w:p>
    <w:p>
      <w:pPr>
        <w:pStyle w:val="706"/>
        <w:rPr>
          <w:highlight w:val="none"/>
        </w:rPr>
      </w:pPr>
      <w:r>
        <w:rPr>
          <w:highlight w:val="none"/>
        </w:rPr>
      </w:r>
      <w:r/>
    </w:p>
    <w:p>
      <w:pPr>
        <w:pStyle w:val="706"/>
        <w:rPr>
          <w:highlight w:val="none"/>
        </w:rPr>
      </w:pPr>
      <w:r>
        <w:rPr>
          <w:highlight w:val="none"/>
        </w:rPr>
      </w:r>
      <w:r/>
    </w:p>
    <w:p>
      <w:pPr>
        <w:pStyle w:val="706"/>
        <w:rPr>
          <w:highlight w:val="none"/>
        </w:rPr>
      </w:pPr>
      <w:r>
        <w:rPr>
          <w:highlight w:val="none"/>
        </w:rPr>
      </w:r>
      <w:r/>
    </w:p>
    <w:p>
      <w:pPr>
        <w:pStyle w:val="706"/>
        <w:rPr>
          <w:highlight w:val="none"/>
        </w:rPr>
      </w:pPr>
      <w:r>
        <w:rPr>
          <w:highlight w:val="none"/>
        </w:rPr>
      </w:r>
      <w:r/>
    </w:p>
    <w:p>
      <w:pPr>
        <w:pStyle w:val="706"/>
        <w:rPr>
          <w:highlight w:val="none"/>
        </w:rPr>
      </w:pPr>
      <w:r>
        <w:rPr>
          <w:highlight w:val="none"/>
        </w:rPr>
      </w:r>
      <w:r/>
    </w:p>
    <w:p>
      <w:pPr>
        <w:pStyle w:val="744"/>
        <w:rPr>
          <w:highlight w:val="none"/>
        </w:rPr>
      </w:pPr>
      <w:r>
        <w:rPr>
          <w:highlight w:val="none"/>
        </w:rPr>
      </w:r>
      <w:r/>
    </w:p>
    <w:p>
      <w:pPr>
        <w:pStyle w:val="707"/>
        <w:numPr>
          <w:ilvl w:val="0"/>
          <w:numId w:val="7"/>
        </w:numPr>
        <w:jc w:val="center"/>
        <w:spacing w:line="240" w:lineRule="auto"/>
        <w:rPr>
          <w:rFonts w:hint="eastAsia" w:ascii="黑体" w:hAnsi="黑体" w:eastAsia="黑体" w:cs="黑体"/>
          <w:sz w:val="32"/>
          <w:szCs w:val="32"/>
          <w:highlight w:val="none"/>
        </w:rPr>
      </w:pPr>
      <w:r/>
      <w:bookmarkStart w:id="75" w:name="_Toc1196"/>
      <w:r/>
      <w:bookmarkStart w:id="76" w:name="_Toc7013"/>
      <w:r>
        <w:rPr>
          <w:rFonts w:hint="eastAsia" w:ascii="黑体" w:hAnsi="黑体" w:eastAsia="黑体" w:cs="黑体"/>
          <w:sz w:val="32"/>
          <w:szCs w:val="32"/>
          <w:highlight w:val="none"/>
        </w:rPr>
        <w:t xml:space="preserve">技术管理要求</w:t>
      </w:r>
      <w:bookmarkEnd w:id="75"/>
      <w:r/>
      <w:bookmarkEnd w:id="76"/>
      <w:r>
        <w:rPr>
          <w:rFonts w:hint="eastAsia" w:ascii="黑体" w:hAnsi="黑体" w:eastAsia="黑体" w:cs="黑体"/>
          <w:sz w:val="32"/>
          <w:szCs w:val="32"/>
          <w:highlight w:val="none"/>
        </w:rPr>
      </w:r>
      <w:r/>
    </w:p>
    <w:p>
      <w:pPr>
        <w:pStyle w:val="706"/>
        <w:ind w:firstLine="482"/>
        <w:spacing w:before="120" w:after="12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一、工程范围与内容</w:t>
      </w:r>
      <w:r>
        <w:rPr>
          <w:rFonts w:hint="eastAsia" w:ascii="宋体" w:hAnsi="宋体" w:eastAsia="宋体" w:cs="宋体"/>
          <w:b/>
          <w:sz w:val="24"/>
          <w:szCs w:val="24"/>
          <w:highlight w:val="none"/>
        </w:rPr>
      </w:r>
      <w:r/>
    </w:p>
    <w:p>
      <w:pPr>
        <w:pStyle w:val="706"/>
        <w:ind w:firstLine="482"/>
        <w:spacing w:before="120" w:after="120"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1、工程概况：</w:t>
      </w:r>
      <w:r>
        <w:rPr>
          <w:rFonts w:hint="eastAsia" w:ascii="宋体" w:hAnsi="宋体" w:eastAsia="宋体" w:cs="宋体"/>
          <w:b/>
          <w:bCs/>
          <w:sz w:val="24"/>
          <w:szCs w:val="24"/>
          <w:highlight w:val="none"/>
        </w:rPr>
      </w:r>
      <w:r/>
    </w:p>
    <w:p>
      <w:pPr>
        <w:pStyle w:val="706"/>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2026年市政养护及零星工程（北桥）</w:t>
      </w:r>
      <w:r>
        <w:rPr>
          <w:rFonts w:hint="eastAsia" w:ascii="宋体" w:hAnsi="宋体" w:eastAsia="宋体" w:cs="宋体"/>
          <w:sz w:val="24"/>
          <w:szCs w:val="24"/>
          <w:highlight w:val="none"/>
        </w:rPr>
        <w:t xml:space="preserve">：施工范围为</w:t>
      </w:r>
      <w:r>
        <w:rPr>
          <w:rFonts w:hint="eastAsia" w:ascii="宋体" w:hAnsi="宋体" w:eastAsia="宋体" w:cs="宋体"/>
          <w:sz w:val="24"/>
          <w:szCs w:val="24"/>
          <w:highlight w:val="none"/>
          <w:lang w:eastAsia="zh-CN"/>
        </w:rPr>
        <w:t xml:space="preserve">街道范围</w:t>
      </w:r>
      <w:r>
        <w:rPr>
          <w:rFonts w:hint="eastAsia" w:ascii="宋体" w:hAnsi="宋体" w:eastAsia="宋体" w:cs="宋体"/>
          <w:sz w:val="24"/>
          <w:szCs w:val="24"/>
          <w:highlight w:val="none"/>
        </w:rPr>
        <w:t xml:space="preserve">，主要工作内容包括</w:t>
      </w:r>
      <w:r>
        <w:rPr>
          <w:rFonts w:hint="eastAsia" w:ascii="宋体" w:hAnsi="宋体" w:eastAsia="宋体" w:cs="宋体"/>
          <w:sz w:val="24"/>
          <w:szCs w:val="24"/>
          <w:highlight w:val="none"/>
          <w:lang w:eastAsia="zh-CN"/>
        </w:rPr>
        <w:t xml:space="preserve">道路维修</w:t>
      </w:r>
      <w:r>
        <w:rPr>
          <w:rFonts w:hint="eastAsia" w:ascii="宋体" w:hAnsi="宋体" w:eastAsia="宋体" w:cs="宋体"/>
          <w:sz w:val="24"/>
          <w:szCs w:val="24"/>
          <w:highlight w:val="none"/>
        </w:rPr>
        <w:t xml:space="preserve">、人行道板维修、桥栏杆更换、窨井盖更换、停车场改造、雨污水管网设施改建、停车位划线等。</w:t>
      </w:r>
      <w:r>
        <w:rPr>
          <w:rFonts w:hint="eastAsia" w:ascii="宋体" w:hAnsi="宋体" w:eastAsia="宋体" w:cs="宋体"/>
          <w:sz w:val="24"/>
          <w:szCs w:val="24"/>
          <w:highlight w:val="none"/>
        </w:rPr>
      </w:r>
      <w:r/>
    </w:p>
    <w:p>
      <w:pPr>
        <w:pStyle w:val="706"/>
        <w:ind w:firstLine="482"/>
        <w:spacing w:before="120" w:after="120"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2、工程招标范围、内容：</w:t>
      </w:r>
      <w:r>
        <w:rPr>
          <w:rFonts w:hint="eastAsia" w:ascii="宋体" w:hAnsi="宋体" w:eastAsia="宋体" w:cs="宋体"/>
          <w:b/>
          <w:bCs/>
          <w:sz w:val="24"/>
          <w:szCs w:val="24"/>
          <w:highlight w:val="none"/>
        </w:rPr>
      </w:r>
      <w:r/>
    </w:p>
    <w:p>
      <w:pPr>
        <w:pStyle w:val="706"/>
        <w:ind w:firstLine="60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施工范围内的全部</w:t>
      </w:r>
      <w:r>
        <w:rPr>
          <w:rFonts w:hint="eastAsia" w:ascii="宋体" w:hAnsi="宋体" w:eastAsia="宋体" w:cs="宋体"/>
          <w:sz w:val="24"/>
          <w:szCs w:val="24"/>
          <w:highlight w:val="none"/>
          <w:lang w:eastAsia="zh-CN"/>
        </w:rPr>
        <w:t xml:space="preserve">道路维修</w:t>
      </w:r>
      <w:r>
        <w:rPr>
          <w:rFonts w:hint="eastAsia" w:ascii="宋体" w:hAnsi="宋体" w:eastAsia="宋体" w:cs="宋体"/>
          <w:sz w:val="24"/>
          <w:szCs w:val="24"/>
          <w:highlight w:val="none"/>
        </w:rPr>
        <w:t xml:space="preserve">、人行道板维修、桥栏杆更换、窨井盖更换、停车场改造、雨污水管网设施改建、停车位划线等内容，具体详见工程量清单。</w:t>
      </w:r>
      <w:r>
        <w:rPr>
          <w:rFonts w:hint="eastAsia" w:ascii="宋体" w:hAnsi="宋体" w:eastAsia="宋体" w:cs="宋体"/>
          <w:sz w:val="24"/>
          <w:szCs w:val="24"/>
          <w:highlight w:val="none"/>
          <w:lang w:val="zh-CN"/>
        </w:rPr>
      </w:r>
      <w:r/>
    </w:p>
    <w:p>
      <w:pPr>
        <w:pStyle w:val="706"/>
        <w:numPr>
          <w:ilvl w:val="0"/>
          <w:numId w:val="8"/>
        </w:numPr>
        <w:spacing w:before="120" w:after="12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技术管理要求</w:t>
      </w:r>
      <w:r>
        <w:rPr>
          <w:rFonts w:hint="eastAsia" w:ascii="宋体" w:hAnsi="宋体" w:eastAsia="宋体" w:cs="宋体"/>
          <w:b/>
          <w:sz w:val="24"/>
          <w:szCs w:val="24"/>
          <w:highlight w:val="none"/>
        </w:rPr>
      </w:r>
      <w:r/>
    </w:p>
    <w:p>
      <w:pPr>
        <w:pStyle w:val="706"/>
        <w:ind w:firstLine="480"/>
        <w:spacing w:before="120"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承包人应把履行本技术管理要求的所有涉及费用综合考虑计入投标总价中包干。</w:t>
      </w:r>
      <w:r>
        <w:rPr>
          <w:rFonts w:hint="eastAsia" w:ascii="宋体" w:hAnsi="宋体" w:eastAsia="宋体" w:cs="宋体"/>
          <w:sz w:val="24"/>
          <w:szCs w:val="24"/>
          <w:highlight w:val="none"/>
        </w:rPr>
      </w:r>
      <w:r/>
    </w:p>
    <w:p>
      <w:pPr>
        <w:pStyle w:val="706"/>
        <w:ind w:firstLine="482"/>
        <w:spacing w:before="120" w:after="120" w:line="360" w:lineRule="auto"/>
        <w:tabs>
          <w:tab w:val="left" w:pos="987" w:leader="none"/>
        </w:tabs>
        <w:rPr>
          <w:rFonts w:hint="eastAsia" w:ascii="宋体" w:hAnsi="宋体" w:eastAsia="宋体" w:cs="宋体"/>
          <w:b/>
          <w:bCs/>
          <w:sz w:val="24"/>
          <w:szCs w:val="24"/>
          <w:highlight w:val="none"/>
        </w:rPr>
      </w:pPr>
      <w:r>
        <w:rPr>
          <w:rFonts w:hint="eastAsia" w:ascii="宋体" w:hAnsi="宋体" w:eastAsia="宋体" w:cs="宋体"/>
          <w:b/>
          <w:sz w:val="24"/>
          <w:szCs w:val="24"/>
          <w:highlight w:val="none"/>
        </w:rPr>
        <w:t xml:space="preserve">三、发包人提供工程量</w:t>
      </w:r>
      <w:r>
        <w:rPr>
          <w:rFonts w:hint="eastAsia" w:ascii="宋体" w:hAnsi="宋体" w:eastAsia="宋体" w:cs="宋体"/>
          <w:b/>
          <w:bCs/>
          <w:sz w:val="24"/>
          <w:szCs w:val="24"/>
          <w:highlight w:val="none"/>
        </w:rPr>
      </w:r>
      <w:r/>
    </w:p>
    <w:p>
      <w:pPr>
        <w:pStyle w:val="706"/>
        <w:ind w:right="39"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本工程业主提供的工程量，承包商须自行根据工程现场情况进行核准。</w:t>
      </w:r>
      <w:r>
        <w:rPr>
          <w:rFonts w:hint="eastAsia" w:ascii="宋体" w:hAnsi="宋体" w:eastAsia="宋体" w:cs="宋体"/>
          <w:sz w:val="24"/>
          <w:szCs w:val="24"/>
          <w:highlight w:val="none"/>
        </w:rPr>
      </w:r>
      <w:r/>
    </w:p>
    <w:p>
      <w:pPr>
        <w:pStyle w:val="706"/>
        <w:ind w:firstLine="482"/>
        <w:spacing w:before="120" w:after="120" w:line="360" w:lineRule="auto"/>
        <w:tabs>
          <w:tab w:val="left" w:pos="987"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五、竣工验收</w:t>
      </w:r>
      <w:r>
        <w:rPr>
          <w:rFonts w:hint="eastAsia" w:ascii="宋体" w:hAnsi="宋体" w:eastAsia="宋体" w:cs="宋体"/>
          <w:b/>
          <w:bCs/>
          <w:sz w:val="24"/>
          <w:szCs w:val="24"/>
          <w:highlight w:val="none"/>
        </w:rPr>
      </w:r>
      <w:r/>
    </w:p>
    <w:p>
      <w:pPr>
        <w:pStyle w:val="706"/>
        <w:ind w:firstLine="480"/>
        <w:spacing w:before="120" w:after="120" w:line="360" w:lineRule="auto"/>
        <w:tabs>
          <w:tab w:val="left" w:pos="98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程验收须经承包商自检、监理预验收，合格后报联合验收小组进行初验。联合验收小组由发包人、接收单位、代建单位、监理和设计单位共同组成。承包人需配合完成电力相关部门的验收，涉及费用综合计入投标总价包干。</w:t>
      </w:r>
      <w:r>
        <w:rPr>
          <w:rFonts w:hint="eastAsia" w:ascii="宋体" w:hAnsi="宋体" w:eastAsia="宋体" w:cs="宋体"/>
          <w:sz w:val="24"/>
          <w:szCs w:val="24"/>
          <w:highlight w:val="none"/>
        </w:rPr>
      </w:r>
      <w:r/>
    </w:p>
    <w:p>
      <w:pPr>
        <w:pStyle w:val="706"/>
        <w:ind w:firstLine="480"/>
        <w:spacing w:before="120" w:after="120" w:line="360" w:lineRule="auto"/>
        <w:tabs>
          <w:tab w:val="left" w:pos="98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工程必须完成所有方案变更申报手续后，方可申请工程验收；工程验收后对验收前发生的增加变更费用原则上不予受理。</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744"/>
        <w:ind w:left="0"/>
        <w:rPr>
          <w:rFonts w:hint="eastAsia"/>
          <w:highlight w:val="none"/>
        </w:rPr>
      </w:pPr>
      <w:r>
        <w:rPr>
          <w:rFonts w:hint="eastAsia"/>
          <w:highlight w:val="none"/>
        </w:rPr>
      </w:r>
      <w:r/>
    </w:p>
    <w:p>
      <w:pPr>
        <w:pStyle w:val="746"/>
        <w:rPr>
          <w:rFonts w:hint="eastAsia"/>
          <w:highlight w:val="none"/>
        </w:rPr>
      </w:pPr>
      <w:r>
        <w:rPr>
          <w:rFonts w:hint="eastAsia"/>
          <w:highlight w:val="none"/>
        </w:rPr>
      </w:r>
      <w:r/>
    </w:p>
    <w:p>
      <w:pPr>
        <w:pStyle w:val="744"/>
        <w:ind w:left="0"/>
        <w:rPr>
          <w:rFonts w:hint="eastAsia"/>
          <w:highlight w:val="none"/>
        </w:rPr>
      </w:pPr>
      <w:r>
        <w:rPr>
          <w:rFonts w:hint="eastAsia"/>
          <w:highlight w:val="none"/>
        </w:rPr>
      </w:r>
      <w:r/>
    </w:p>
    <w:p>
      <w:pPr>
        <w:pStyle w:val="744"/>
        <w:ind w:left="0"/>
        <w:rPr>
          <w:rFonts w:hint="eastAsia"/>
          <w:highlight w:val="none"/>
        </w:rPr>
      </w:pPr>
      <w:r>
        <w:rPr>
          <w:rFonts w:hint="eastAsia"/>
          <w:highlight w:val="none"/>
        </w:rPr>
      </w:r>
      <w:r/>
    </w:p>
    <w:p>
      <w:pPr>
        <w:pStyle w:val="744"/>
        <w:ind w:left="0"/>
        <w:rPr>
          <w:rFonts w:hint="eastAsia"/>
          <w:highlight w:val="none"/>
        </w:rPr>
      </w:pPr>
      <w:r>
        <w:rPr>
          <w:rFonts w:hint="eastAsia"/>
          <w:highlight w:val="none"/>
        </w:rPr>
      </w:r>
      <w:r/>
    </w:p>
    <w:p>
      <w:pPr>
        <w:pStyle w:val="707"/>
        <w:jc w:val="center"/>
        <w:spacing w:before="120" w:after="0" w:line="360" w:lineRule="auto"/>
        <w:rPr>
          <w:rFonts w:ascii="黑体" w:hAnsi="黑体" w:eastAsia="黑体"/>
          <w:b w:val="0"/>
          <w:sz w:val="32"/>
          <w:szCs w:val="32"/>
          <w:highlight w:val="none"/>
        </w:rPr>
      </w:pPr>
      <w:r/>
      <w:bookmarkStart w:id="77" w:name="_Toc15956"/>
      <w:r/>
      <w:bookmarkStart w:id="78" w:name="_Toc23847"/>
      <w:r/>
      <w:bookmarkStart w:id="79" w:name="_Toc473017222"/>
      <w:r>
        <w:rPr>
          <w:rFonts w:hint="eastAsia" w:ascii="黑体" w:hAnsi="黑体" w:eastAsia="黑体"/>
          <w:b w:val="0"/>
          <w:sz w:val="32"/>
          <w:szCs w:val="32"/>
          <w:highlight w:val="none"/>
        </w:rPr>
        <w:t xml:space="preserve">第五章 合同主要条款</w:t>
      </w:r>
      <w:bookmarkEnd w:id="74"/>
      <w:r/>
      <w:bookmarkEnd w:id="77"/>
      <w:r/>
      <w:bookmarkEnd w:id="78"/>
      <w:r/>
      <w:bookmarkEnd w:id="79"/>
      <w:r>
        <w:rPr>
          <w:rFonts w:ascii="黑体" w:hAnsi="黑体" w:eastAsia="黑体"/>
          <w:b w:val="0"/>
          <w:sz w:val="32"/>
          <w:szCs w:val="32"/>
          <w:highlight w:val="none"/>
        </w:rPr>
      </w:r>
      <w:r/>
    </w:p>
    <w:p>
      <w:pPr>
        <w:pStyle w:val="706"/>
        <w:ind w:firstLine="3614"/>
        <w:rPr>
          <w:rFonts w:hint="eastAsia" w:ascii="宋体" w:hAnsi="宋体" w:eastAsia="宋体" w:cs="宋体"/>
          <w:b/>
          <w:bCs/>
          <w:sz w:val="24"/>
          <w:highlight w:val="none"/>
        </w:rPr>
      </w:pPr>
      <w:r/>
      <w:bookmarkStart w:id="80" w:name="EB40ccd3f75c884f6ca209b2d6bdd3c9f4"/>
      <w:r/>
      <w:bookmarkStart w:id="81" w:name="_Toc473017223"/>
      <w:r>
        <w:rPr>
          <w:rFonts w:hint="eastAsia" w:ascii="宋体" w:hAnsi="宋体" w:eastAsia="宋体" w:cs="宋体"/>
          <w:b/>
          <w:bCs/>
          <w:sz w:val="24"/>
          <w:highlight w:val="none"/>
        </w:rPr>
        <w:t xml:space="preserve">工程施工合同</w:t>
      </w:r>
      <w:r>
        <w:rPr>
          <w:rFonts w:hint="eastAsia" w:ascii="宋体" w:hAnsi="宋体" w:eastAsia="宋体" w:cs="宋体"/>
          <w:b/>
          <w:bCs/>
          <w:sz w:val="24"/>
          <w:highlight w:val="none"/>
        </w:rPr>
      </w:r>
      <w:r/>
    </w:p>
    <w:p>
      <w:pPr>
        <w:pStyle w:val="706"/>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合同编号： </w:t>
      </w:r>
      <w:r>
        <w:rPr>
          <w:rFonts w:hint="eastAsia" w:ascii="宋体" w:hAnsi="宋体" w:eastAsia="宋体" w:cs="宋体"/>
          <w:sz w:val="24"/>
          <w:highlight w:val="none"/>
        </w:rPr>
      </w:r>
      <w:r/>
    </w:p>
    <w:p>
      <w:pPr>
        <w:pStyle w:val="706"/>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甲方：                                （以下简称甲方）</w:t>
      </w:r>
      <w:r>
        <w:rPr>
          <w:rFonts w:hint="eastAsia" w:ascii="宋体" w:hAnsi="宋体" w:eastAsia="宋体" w:cs="宋体"/>
          <w:sz w:val="24"/>
          <w:highlight w:val="none"/>
        </w:rPr>
      </w:r>
      <w:r/>
    </w:p>
    <w:p>
      <w:pPr>
        <w:pStyle w:val="706"/>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联系人：  </w:t>
      </w:r>
      <w:r>
        <w:rPr>
          <w:rFonts w:hint="eastAsia" w:ascii="宋体" w:hAnsi="宋体" w:eastAsia="宋体" w:cs="宋体"/>
          <w:sz w:val="24"/>
          <w:highlight w:val="none"/>
        </w:rPr>
      </w:r>
      <w:r/>
    </w:p>
    <w:p>
      <w:pPr>
        <w:pStyle w:val="706"/>
        <w:rPr>
          <w:rFonts w:hint="eastAsia" w:ascii="宋体" w:hAnsi="宋体" w:eastAsia="宋体" w:cs="宋体"/>
          <w:sz w:val="24"/>
          <w:highlight w:val="none"/>
        </w:rPr>
      </w:pPr>
      <w:r>
        <w:rPr>
          <w:rFonts w:hint="eastAsia" w:ascii="宋体" w:hAnsi="宋体" w:eastAsia="宋体" w:cs="宋体"/>
          <w:sz w:val="24"/>
          <w:highlight w:val="none"/>
        </w:rPr>
        <w:t xml:space="preserve">联系电话： </w:t>
      </w:r>
      <w:r>
        <w:rPr>
          <w:rFonts w:hint="eastAsia" w:ascii="宋体" w:hAnsi="宋体" w:eastAsia="宋体" w:cs="宋体"/>
          <w:sz w:val="24"/>
          <w:highlight w:val="none"/>
        </w:rPr>
      </w:r>
      <w:r/>
    </w:p>
    <w:p>
      <w:pPr>
        <w:pStyle w:val="706"/>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乙方：                                （以下简称乙方） </w:t>
      </w:r>
      <w:r>
        <w:rPr>
          <w:rFonts w:hint="eastAsia" w:ascii="宋体" w:hAnsi="宋体" w:eastAsia="宋体" w:cs="宋体"/>
          <w:sz w:val="24"/>
          <w:highlight w:val="none"/>
        </w:rPr>
      </w:r>
      <w:r/>
    </w:p>
    <w:p>
      <w:pPr>
        <w:pStyle w:val="706"/>
        <w:spacing w:line="360" w:lineRule="auto"/>
        <w:tabs>
          <w:tab w:val="left" w:pos="1535" w:leader="none"/>
        </w:tabs>
        <w:rPr>
          <w:rFonts w:hint="eastAsia" w:ascii="宋体" w:hAnsi="宋体" w:eastAsia="宋体" w:cs="宋体"/>
          <w:sz w:val="24"/>
          <w:highlight w:val="none"/>
        </w:rPr>
      </w:pPr>
      <w:r>
        <w:rPr>
          <w:rFonts w:hint="eastAsia" w:ascii="宋体" w:hAnsi="宋体" w:eastAsia="宋体" w:cs="宋体"/>
          <w:sz w:val="24"/>
          <w:highlight w:val="none"/>
        </w:rPr>
        <w:t xml:space="preserve">联系人：   </w:t>
      </w:r>
      <w:r>
        <w:rPr>
          <w:rFonts w:hint="eastAsia" w:ascii="宋体" w:hAnsi="宋体" w:eastAsia="宋体" w:cs="宋体"/>
          <w:sz w:val="24"/>
          <w:highlight w:val="none"/>
        </w:rPr>
      </w:r>
      <w:r/>
    </w:p>
    <w:p>
      <w:pPr>
        <w:pStyle w:val="706"/>
        <w:spacing w:line="360" w:lineRule="auto"/>
        <w:rPr>
          <w:rFonts w:hint="eastAsia" w:ascii="宋体" w:hAnsi="宋体" w:eastAsia="宋体" w:cs="宋体"/>
          <w:b/>
          <w:sz w:val="24"/>
          <w:highlight w:val="none"/>
        </w:rPr>
      </w:pPr>
      <w:r>
        <w:rPr>
          <w:rFonts w:hint="eastAsia" w:ascii="宋体" w:hAnsi="宋体" w:eastAsia="宋体" w:cs="宋体"/>
          <w:sz w:val="24"/>
          <w:highlight w:val="none"/>
        </w:rPr>
        <w:t xml:space="preserve">联系电话： </w:t>
      </w:r>
      <w:r>
        <w:rPr>
          <w:rFonts w:hint="eastAsia" w:ascii="宋体" w:hAnsi="宋体" w:eastAsia="宋体" w:cs="宋体"/>
          <w:b/>
          <w:sz w:val="24"/>
          <w:highlight w:val="none"/>
        </w:rPr>
      </w:r>
      <w:r/>
    </w:p>
    <w:p>
      <w:pPr>
        <w:pStyle w:val="730"/>
        <w:rPr>
          <w:rFonts w:hint="eastAsia" w:ascii="宋体" w:hAnsi="宋体" w:eastAsia="宋体" w:cs="宋体"/>
          <w:szCs w:val="24"/>
          <w:highlight w:val="none"/>
        </w:rPr>
      </w:pPr>
      <w:r>
        <w:rPr>
          <w:rFonts w:hint="eastAsia" w:ascii="宋体" w:hAnsi="宋体" w:eastAsia="宋体" w:cs="宋体"/>
          <w:szCs w:val="24"/>
          <w:highlight w:val="none"/>
        </w:rPr>
      </w:r>
      <w:r/>
    </w:p>
    <w:p>
      <w:pPr>
        <w:pStyle w:val="706"/>
        <w:jc w:val="center"/>
        <w:spacing w:line="300" w:lineRule="auto"/>
        <w:rPr>
          <w:rFonts w:hint="eastAsia" w:ascii="宋体" w:hAnsi="宋体" w:eastAsia="宋体" w:cs="宋体"/>
          <w:b/>
          <w:bCs/>
          <w:sz w:val="24"/>
          <w:highlight w:val="none"/>
        </w:rPr>
      </w:pPr>
      <w:r/>
      <w:bookmarkStart w:id="82" w:name="_Toc22641637"/>
      <w:r/>
      <w:bookmarkStart w:id="83" w:name="_Toc432067252"/>
      <w:r>
        <w:rPr>
          <w:rFonts w:hint="eastAsia" w:ascii="宋体" w:hAnsi="宋体" w:eastAsia="宋体" w:cs="宋体"/>
          <w:b/>
          <w:bCs/>
          <w:sz w:val="24"/>
          <w:highlight w:val="none"/>
        </w:rPr>
        <w:t xml:space="preserve">第一部分 合同协议书</w:t>
      </w:r>
      <w:bookmarkEnd w:id="82"/>
      <w:r/>
      <w:bookmarkEnd w:id="83"/>
      <w:r>
        <w:rPr>
          <w:rFonts w:hint="eastAsia" w:ascii="宋体" w:hAnsi="宋体" w:eastAsia="宋体" w:cs="宋体"/>
          <w:b/>
          <w:bCs/>
          <w:sz w:val="24"/>
          <w:highlight w:val="none"/>
        </w:rPr>
      </w:r>
      <w:r/>
    </w:p>
    <w:p>
      <w:pPr>
        <w:pStyle w:val="706"/>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发包人（全称）：</w:t>
      </w:r>
      <w:bookmarkStart w:id="84" w:name="EBe395b17da380461796898dbd081e92ce"/>
      <w:r/>
      <w:bookmarkEnd w:id="84"/>
      <w:r>
        <w:rPr>
          <w:rFonts w:hint="eastAsia" w:ascii="宋体" w:hAnsi="宋体" w:eastAsia="宋体" w:cs="宋体"/>
          <w:sz w:val="24"/>
          <w:highlight w:val="none"/>
        </w:rPr>
      </w:r>
      <w:r/>
    </w:p>
    <w:p>
      <w:pPr>
        <w:pStyle w:val="706"/>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承包人（全称）：</w:t>
      </w:r>
      <w:bookmarkStart w:id="85" w:name="EBfe1f048126e645a392baff2d554e4ba9"/>
      <w:r/>
      <w:bookmarkEnd w:id="85"/>
      <w:r>
        <w:rPr>
          <w:rFonts w:hint="eastAsia" w:ascii="宋体" w:hAnsi="宋体" w:eastAsia="宋体" w:cs="宋体"/>
          <w:sz w:val="24"/>
          <w:highlight w:val="none"/>
        </w:rPr>
      </w:r>
      <w:r/>
    </w:p>
    <w:p>
      <w:pPr>
        <w:pStyle w:val="706"/>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根据《中华人民共和国民法典》、《中华人民共和国建筑法》及有关法律规定，遵循平等、自愿、公平和诚实信用的原则，双方就</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eastAsia="zh-CN"/>
        </w:rPr>
        <w:t xml:space="preserve">2026年市政养护及零星工程（北桥）</w:t>
      </w:r>
      <w:r>
        <w:rPr>
          <w:rFonts w:hint="eastAsia" w:ascii="宋体" w:hAnsi="宋体" w:eastAsia="宋体" w:cs="宋体"/>
          <w:sz w:val="24"/>
          <w:highlight w:val="none"/>
          <w:u w:val="single"/>
        </w:rPr>
        <w:t xml:space="preserve">工程 </w:t>
      </w:r>
      <w:r>
        <w:rPr>
          <w:rFonts w:hint="eastAsia" w:ascii="宋体" w:hAnsi="宋体" w:eastAsia="宋体" w:cs="宋体"/>
          <w:sz w:val="24"/>
          <w:highlight w:val="none"/>
        </w:rPr>
        <w:t xml:space="preserve">施工及有关事项协商一致，共同达成如下协议：</w:t>
      </w:r>
      <w:r>
        <w:rPr>
          <w:rFonts w:hint="eastAsia" w:ascii="宋体" w:hAnsi="宋体" w:eastAsia="宋体" w:cs="宋体"/>
          <w:sz w:val="24"/>
          <w:highlight w:val="none"/>
        </w:rPr>
      </w:r>
      <w:r/>
    </w:p>
    <w:p>
      <w:pPr>
        <w:pStyle w:val="706"/>
        <w:ind w:firstLine="465"/>
        <w:spacing w:line="300" w:lineRule="auto"/>
        <w:rPr>
          <w:rFonts w:hint="eastAsia" w:ascii="宋体" w:hAnsi="宋体" w:eastAsia="宋体" w:cs="宋体"/>
          <w:spacing w:val="10"/>
          <w:sz w:val="24"/>
          <w:highlight w:val="none"/>
        </w:rPr>
      </w:pPr>
      <w:r>
        <w:rPr>
          <w:rFonts w:hint="eastAsia" w:ascii="宋体" w:hAnsi="宋体" w:eastAsia="宋体" w:cs="宋体"/>
          <w:sz w:val="24"/>
          <w:highlight w:val="none"/>
        </w:rPr>
        <w:t xml:space="preserve">依照《中华人民共和国招标投标法》、《中华人民共和国民法典》、《中华人民共和国建筑法》、及其他有关法律、行政法规，遵循平等、自愿、公平和诚实信用的原则，双方就</w:t>
      </w:r>
      <w:r>
        <w:rPr>
          <w:rFonts w:hint="eastAsia" w:ascii="宋体" w:hAnsi="宋体" w:eastAsia="宋体" w:cs="宋体"/>
          <w:sz w:val="24"/>
          <w:highlight w:val="none"/>
          <w:u w:val="single"/>
        </w:rPr>
        <w:t xml:space="preserve">本</w:t>
      </w:r>
      <w:r>
        <w:rPr>
          <w:rFonts w:hint="eastAsia" w:ascii="宋体" w:hAnsi="宋体" w:eastAsia="宋体" w:cs="宋体"/>
          <w:sz w:val="24"/>
          <w:highlight w:val="none"/>
        </w:rPr>
        <w:t xml:space="preserve">工程施工及有关事项协商一致，共同达成如下协议。</w:t>
      </w:r>
      <w:r>
        <w:rPr>
          <w:rFonts w:hint="eastAsia" w:ascii="宋体" w:hAnsi="宋体" w:eastAsia="宋体" w:cs="宋体"/>
          <w:spacing w:val="10"/>
          <w:sz w:val="24"/>
          <w:highlight w:val="none"/>
        </w:rPr>
      </w:r>
      <w:r/>
    </w:p>
    <w:p>
      <w:pPr>
        <w:pStyle w:val="706"/>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一、工程概况</w:t>
      </w:r>
      <w:r>
        <w:rPr>
          <w:rFonts w:hint="eastAsia" w:ascii="宋体" w:hAnsi="宋体" w:eastAsia="宋体" w:cs="宋体"/>
          <w:sz w:val="24"/>
          <w:highlight w:val="none"/>
        </w:rPr>
      </w:r>
      <w:r/>
    </w:p>
    <w:p>
      <w:pPr>
        <w:pStyle w:val="706"/>
        <w:ind w:firstLine="420"/>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工程名称：</w:t>
      </w:r>
      <w:r>
        <w:rPr>
          <w:rFonts w:hint="eastAsia" w:ascii="宋体" w:hAnsi="宋体" w:eastAsia="宋体" w:cs="宋体"/>
          <w:sz w:val="24"/>
          <w:highlight w:val="none"/>
          <w:u w:val="single"/>
          <w:lang w:eastAsia="zh-CN"/>
        </w:rPr>
        <w:t xml:space="preserve">2026年市政养护及零星工程（北桥）</w:t>
      </w:r>
      <w:r>
        <w:rPr>
          <w:rFonts w:hint="eastAsia" w:ascii="宋体" w:hAnsi="宋体" w:eastAsia="宋体" w:cs="宋体"/>
          <w:sz w:val="24"/>
          <w:highlight w:val="none"/>
        </w:rPr>
      </w:r>
      <w:r/>
    </w:p>
    <w:p>
      <w:pPr>
        <w:pStyle w:val="706"/>
        <w:ind w:firstLine="420"/>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工程地点：</w:t>
      </w:r>
      <w:r>
        <w:rPr>
          <w:rFonts w:hint="eastAsia" w:ascii="宋体" w:hAnsi="宋体" w:eastAsia="宋体" w:cs="宋体"/>
          <w:sz w:val="24"/>
          <w:highlight w:val="none"/>
          <w:u w:val="single"/>
        </w:rPr>
        <w:t xml:space="preserve"> 苏州市 </w:t>
      </w:r>
      <w:r>
        <w:rPr>
          <w:rFonts w:hint="eastAsia" w:ascii="宋体" w:hAnsi="宋体" w:eastAsia="宋体" w:cs="宋体"/>
          <w:sz w:val="24"/>
          <w:highlight w:val="none"/>
        </w:rPr>
      </w:r>
      <w:r/>
    </w:p>
    <w:p>
      <w:pPr>
        <w:pStyle w:val="706"/>
        <w:ind w:left="1840" w:hanging="1320"/>
        <w:spacing w:line="300" w:lineRule="auto"/>
        <w:rPr>
          <w:rStyle w:val="800"/>
          <w:rFonts w:hint="eastAsia" w:ascii="宋体" w:hAnsi="宋体" w:eastAsia="宋体" w:cs="宋体"/>
          <w:bCs w:val="0"/>
          <w:sz w:val="24"/>
          <w:highlight w:val="none"/>
        </w:rPr>
      </w:pPr>
      <w:r>
        <w:rPr>
          <w:rFonts w:hint="eastAsia" w:ascii="宋体" w:hAnsi="宋体" w:eastAsia="宋体" w:cs="宋体"/>
          <w:sz w:val="24"/>
          <w:highlight w:val="none"/>
        </w:rPr>
        <w:t xml:space="preserve">工程内容：</w:t>
      </w:r>
      <w:bookmarkStart w:id="86" w:name="EBd835ed18d4cf4ccab1364aa6a2c02e44"/>
      <w:r>
        <w:rPr>
          <w:rFonts w:hint="eastAsia" w:ascii="宋体" w:hAnsi="宋体" w:eastAsia="宋体" w:cs="宋体"/>
          <w:sz w:val="24"/>
          <w:highlight w:val="none"/>
          <w:u w:val="single"/>
          <w:lang w:eastAsia="zh-CN"/>
        </w:rPr>
        <w:t xml:space="preserve">2026年市政养护及零星工程（北桥）</w:t>
      </w:r>
      <w:r>
        <w:rPr>
          <w:rStyle w:val="800"/>
          <w:rFonts w:hint="eastAsia" w:ascii="宋体" w:hAnsi="宋体" w:eastAsia="宋体" w:cs="宋体"/>
          <w:bCs w:val="0"/>
          <w:sz w:val="24"/>
          <w:highlight w:val="none"/>
        </w:rPr>
        <w:t xml:space="preserve">，详见工程量清单</w:t>
      </w:r>
      <w:bookmarkEnd w:id="86"/>
      <w:r>
        <w:rPr>
          <w:rStyle w:val="800"/>
          <w:rFonts w:hint="eastAsia" w:ascii="宋体" w:hAnsi="宋体" w:eastAsia="宋体" w:cs="宋体"/>
          <w:bCs w:val="0"/>
          <w:sz w:val="24"/>
          <w:highlight w:val="none"/>
        </w:rPr>
      </w:r>
      <w:r/>
    </w:p>
    <w:p>
      <w:pPr>
        <w:pStyle w:val="706"/>
        <w:ind w:firstLine="420"/>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群体工程应附“承包人承揽工程项目一览表”</w:t>
      </w:r>
      <w:r>
        <w:rPr>
          <w:rFonts w:hint="eastAsia" w:ascii="宋体" w:hAnsi="宋体" w:eastAsia="宋体" w:cs="宋体"/>
          <w:sz w:val="24"/>
          <w:highlight w:val="none"/>
        </w:rPr>
      </w:r>
      <w:r/>
    </w:p>
    <w:p>
      <w:pPr>
        <w:pStyle w:val="706"/>
        <w:ind w:firstLine="420"/>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工程立项批准文号：/</w:t>
      </w:r>
      <w:r>
        <w:rPr>
          <w:rFonts w:hint="eastAsia" w:ascii="宋体" w:hAnsi="宋体" w:eastAsia="宋体" w:cs="宋体"/>
          <w:sz w:val="24"/>
          <w:highlight w:val="none"/>
        </w:rPr>
      </w:r>
      <w:r/>
    </w:p>
    <w:p>
      <w:pPr>
        <w:pStyle w:val="706"/>
        <w:ind w:firstLine="420"/>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资金来源：</w:t>
      </w:r>
      <w:r>
        <w:rPr>
          <w:rFonts w:hint="eastAsia" w:ascii="宋体" w:hAnsi="宋体" w:eastAsia="宋体" w:cs="宋体"/>
          <w:b/>
          <w:bCs/>
          <w:sz w:val="24"/>
          <w:highlight w:val="none"/>
        </w:rPr>
        <w:t xml:space="preserve">财政资金</w:t>
      </w:r>
      <w:r>
        <w:rPr>
          <w:rFonts w:hint="eastAsia" w:ascii="宋体" w:hAnsi="宋体" w:eastAsia="宋体" w:cs="宋体"/>
          <w:sz w:val="24"/>
          <w:highlight w:val="none"/>
        </w:rPr>
      </w:r>
      <w:r/>
    </w:p>
    <w:p>
      <w:pPr>
        <w:pStyle w:val="706"/>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二、工程承包范围</w:t>
      </w:r>
      <w:r>
        <w:rPr>
          <w:rFonts w:hint="eastAsia" w:ascii="宋体" w:hAnsi="宋体" w:eastAsia="宋体" w:cs="宋体"/>
          <w:sz w:val="24"/>
          <w:highlight w:val="none"/>
        </w:rPr>
      </w:r>
      <w:r/>
    </w:p>
    <w:p>
      <w:pPr>
        <w:pStyle w:val="706"/>
        <w:ind w:left="1967" w:hanging="1200"/>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承包范围：</w:t>
      </w:r>
      <w:r>
        <w:rPr>
          <w:rFonts w:hint="eastAsia" w:ascii="宋体" w:hAnsi="宋体" w:eastAsia="宋体" w:cs="宋体"/>
          <w:sz w:val="24"/>
          <w:highlight w:val="none"/>
          <w:u w:val="single"/>
          <w:lang w:eastAsia="zh-CN"/>
        </w:rPr>
        <w:t xml:space="preserve">2026年市政养护及零星工程（北桥）</w:t>
      </w:r>
      <w:r>
        <w:rPr>
          <w:rFonts w:hint="eastAsia" w:ascii="宋体" w:hAnsi="宋体" w:eastAsia="宋体" w:cs="宋体"/>
          <w:sz w:val="24"/>
          <w:highlight w:val="none"/>
          <w:u w:val="single"/>
        </w:rPr>
        <w:t xml:space="preserve">工程</w:t>
      </w:r>
      <w:r>
        <w:rPr>
          <w:rStyle w:val="800"/>
          <w:rFonts w:hint="eastAsia" w:ascii="宋体" w:hAnsi="宋体" w:eastAsia="宋体" w:cs="宋体"/>
          <w:bCs w:val="0"/>
          <w:sz w:val="24"/>
          <w:highlight w:val="none"/>
        </w:rPr>
        <w:t xml:space="preserve">，详见工程量清单</w:t>
      </w:r>
      <w:r>
        <w:rPr>
          <w:rFonts w:hint="eastAsia" w:ascii="宋体" w:hAnsi="宋体" w:eastAsia="宋体" w:cs="宋体"/>
          <w:sz w:val="24"/>
          <w:highlight w:val="none"/>
        </w:rPr>
      </w:r>
      <w:r/>
    </w:p>
    <w:p>
      <w:pPr>
        <w:pStyle w:val="706"/>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三、合同工期</w:t>
      </w:r>
      <w:r>
        <w:rPr>
          <w:rFonts w:hint="eastAsia" w:ascii="宋体" w:hAnsi="宋体" w:eastAsia="宋体" w:cs="宋体"/>
          <w:sz w:val="24"/>
          <w:highlight w:val="none"/>
        </w:rPr>
      </w:r>
      <w:r/>
    </w:p>
    <w:p>
      <w:pPr>
        <w:pStyle w:val="706"/>
        <w:ind w:firstLine="420"/>
        <w:spacing w:line="30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计划开工日期：</w:t>
      </w:r>
      <w:r>
        <w:rPr>
          <w:rFonts w:hint="eastAsia" w:ascii="宋体" w:hAnsi="宋体" w:eastAsia="宋体" w:cs="宋体"/>
          <w:b/>
          <w:bCs/>
          <w:sz w:val="24"/>
          <w:highlight w:val="none"/>
        </w:rPr>
        <w:t xml:space="preserve">202</w:t>
      </w:r>
      <w:r>
        <w:rPr>
          <w:rFonts w:hint="eastAsia" w:ascii="宋体" w:hAnsi="宋体" w:eastAsia="宋体" w:cs="宋体"/>
          <w:b/>
          <w:bCs/>
          <w:sz w:val="24"/>
          <w:highlight w:val="none"/>
          <w:lang w:val="en-US" w:eastAsia="zh-CN"/>
        </w:rPr>
        <w:t xml:space="preserve">6</w:t>
      </w:r>
      <w:r>
        <w:rPr>
          <w:rFonts w:hint="eastAsia" w:ascii="宋体" w:hAnsi="宋体" w:eastAsia="宋体" w:cs="宋体"/>
          <w:b/>
          <w:bCs/>
          <w:sz w:val="24"/>
          <w:highlight w:val="none"/>
        </w:rPr>
        <w:t xml:space="preserve">年    月   日</w:t>
      </w:r>
      <w:r>
        <w:rPr>
          <w:rFonts w:hint="eastAsia" w:ascii="宋体" w:hAnsi="宋体" w:eastAsia="宋体" w:cs="宋体"/>
          <w:sz w:val="24"/>
          <w:highlight w:val="none"/>
        </w:rPr>
        <w:t xml:space="preserve">（具体开工时间以采购人通知为准）</w:t>
      </w:r>
      <w:r>
        <w:rPr>
          <w:rFonts w:hint="eastAsia" w:ascii="宋体" w:hAnsi="宋体" w:eastAsia="宋体" w:cs="宋体"/>
          <w:sz w:val="24"/>
          <w:highlight w:val="none"/>
          <w:u w:val="single"/>
        </w:rPr>
      </w:r>
      <w:r/>
    </w:p>
    <w:p>
      <w:pPr>
        <w:pStyle w:val="706"/>
        <w:ind w:firstLine="420"/>
        <w:spacing w:line="30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计划竣工日期</w:t>
      </w:r>
      <w:bookmarkStart w:id="87" w:name="EB99e2dc574c294729842d90f69004f71c"/>
      <w:r>
        <w:rPr>
          <w:rFonts w:hint="eastAsia" w:ascii="宋体" w:hAnsi="宋体" w:eastAsia="宋体" w:cs="宋体"/>
          <w:sz w:val="24"/>
          <w:highlight w:val="none"/>
        </w:rPr>
        <w:t xml:space="preserve">：</w:t>
      </w:r>
      <w:bookmarkEnd w:id="87"/>
      <w:r>
        <w:rPr>
          <w:rFonts w:hint="eastAsia" w:ascii="宋体" w:hAnsi="宋体" w:eastAsia="宋体" w:cs="宋体"/>
          <w:b/>
          <w:bCs/>
          <w:sz w:val="24"/>
          <w:highlight w:val="none"/>
        </w:rPr>
        <w:t xml:space="preserve">202</w:t>
      </w:r>
      <w:r>
        <w:rPr>
          <w:rFonts w:hint="eastAsia" w:ascii="宋体" w:hAnsi="宋体" w:eastAsia="宋体" w:cs="宋体"/>
          <w:b/>
          <w:bCs/>
          <w:sz w:val="24"/>
          <w:highlight w:val="none"/>
          <w:lang w:val="en-US" w:eastAsia="zh-CN"/>
        </w:rPr>
        <w:t xml:space="preserve">7</w:t>
      </w:r>
      <w:r>
        <w:rPr>
          <w:rFonts w:hint="eastAsia" w:ascii="宋体" w:hAnsi="宋体" w:eastAsia="宋体" w:cs="宋体"/>
          <w:b/>
          <w:bCs/>
          <w:sz w:val="24"/>
          <w:highlight w:val="none"/>
        </w:rPr>
        <w:t xml:space="preserve">年    月   日</w:t>
      </w:r>
      <w:r>
        <w:rPr>
          <w:rFonts w:hint="eastAsia" w:ascii="宋体" w:hAnsi="宋体" w:eastAsia="宋体" w:cs="宋体"/>
          <w:sz w:val="24"/>
          <w:highlight w:val="none"/>
          <w:u w:val="single"/>
        </w:rPr>
      </w:r>
      <w:r/>
    </w:p>
    <w:p>
      <w:pPr>
        <w:pStyle w:val="706"/>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服务期限:</w:t>
      </w:r>
      <w:r>
        <w:rPr>
          <w:rFonts w:hint="eastAsia" w:ascii="宋体" w:hAnsi="宋体" w:eastAsia="宋体" w:cs="宋体"/>
          <w:b/>
          <w:sz w:val="24"/>
          <w:highlight w:val="none"/>
          <w:u w:val="single"/>
        </w:rPr>
        <w:t xml:space="preserve"> 12个月，如在服务过程中，乙方服务费用达到预算金额时，合同自动终止；如在服务周期结束后，乙方服务费用未达到预算金额时，合同也自动终止。</w:t>
      </w:r>
      <w:r>
        <w:rPr>
          <w:rFonts w:hint="eastAsia" w:ascii="宋体" w:hAnsi="宋体" w:eastAsia="宋体" w:cs="宋体"/>
          <w:sz w:val="24"/>
          <w:highlight w:val="none"/>
        </w:rPr>
        <w:t xml:space="preserve">服务期自发包人发出的开工通知中载明的开工日期起算。</w:t>
      </w:r>
      <w:r>
        <w:rPr>
          <w:rFonts w:hint="eastAsia" w:ascii="宋体" w:hAnsi="宋体" w:eastAsia="宋体" w:cs="宋体"/>
          <w:sz w:val="24"/>
          <w:highlight w:val="none"/>
        </w:rPr>
      </w:r>
      <w:r/>
    </w:p>
    <w:p>
      <w:pPr>
        <w:pStyle w:val="706"/>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四、质量标准</w:t>
      </w:r>
      <w:r>
        <w:rPr>
          <w:rFonts w:hint="eastAsia" w:ascii="宋体" w:hAnsi="宋体" w:eastAsia="宋体" w:cs="宋体"/>
          <w:sz w:val="24"/>
          <w:highlight w:val="none"/>
        </w:rPr>
      </w:r>
      <w:r/>
    </w:p>
    <w:p>
      <w:pPr>
        <w:pStyle w:val="706"/>
        <w:ind w:firstLine="420"/>
        <w:spacing w:line="30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工程质量标准：</w:t>
      </w:r>
      <w:bookmarkStart w:id="88" w:name="EB627724ac9ebd4a769d8ca5e9d69dd9b7"/>
      <w:r>
        <w:rPr>
          <w:rFonts w:hint="eastAsia" w:ascii="宋体" w:hAnsi="宋体" w:eastAsia="宋体" w:cs="宋体"/>
          <w:b/>
          <w:sz w:val="24"/>
          <w:highlight w:val="none"/>
          <w:u w:val="single"/>
        </w:rPr>
        <w:t xml:space="preserve">合格</w:t>
      </w:r>
      <w:bookmarkEnd w:id="88"/>
      <w:r>
        <w:rPr>
          <w:rFonts w:hint="eastAsia" w:ascii="宋体" w:hAnsi="宋体" w:eastAsia="宋体" w:cs="宋体"/>
          <w:sz w:val="24"/>
          <w:highlight w:val="none"/>
          <w:u w:val="single"/>
        </w:rPr>
      </w:r>
      <w:r/>
    </w:p>
    <w:p>
      <w:pPr>
        <w:pStyle w:val="706"/>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五、合同形式</w:t>
      </w:r>
      <w:r>
        <w:rPr>
          <w:rFonts w:hint="eastAsia" w:ascii="宋体" w:hAnsi="宋体" w:eastAsia="宋体" w:cs="宋体"/>
          <w:sz w:val="24"/>
          <w:highlight w:val="none"/>
        </w:rPr>
      </w:r>
      <w:r/>
    </w:p>
    <w:p>
      <w:pPr>
        <w:pStyle w:val="706"/>
        <w:ind w:firstLine="480"/>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本合同采用合同形式：固定单价合同。乙方应充分考虑施工期间各类建材的市场风险和国家政策性调整风险系数。在合同约定的风险范围内，综合单价不再调整。结算方式在合同专用条款中约定。</w:t>
      </w:r>
      <w:r>
        <w:rPr>
          <w:rFonts w:hint="eastAsia" w:ascii="宋体" w:hAnsi="宋体" w:eastAsia="宋体" w:cs="宋体"/>
          <w:sz w:val="24"/>
          <w:highlight w:val="none"/>
        </w:rPr>
      </w:r>
      <w:r/>
    </w:p>
    <w:p>
      <w:pPr>
        <w:pStyle w:val="706"/>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六、签约合同价</w:t>
      </w:r>
      <w:r>
        <w:rPr>
          <w:rFonts w:hint="eastAsia" w:ascii="宋体" w:hAnsi="宋体" w:eastAsia="宋体" w:cs="宋体"/>
          <w:sz w:val="24"/>
          <w:highlight w:val="none"/>
        </w:rPr>
      </w:r>
      <w:r/>
    </w:p>
    <w:p>
      <w:pPr>
        <w:pStyle w:val="706"/>
        <w:ind w:firstLine="420"/>
        <w:spacing w:line="30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金额(大写）：</w:t>
      </w:r>
      <w:bookmarkStart w:id="89" w:name="EB3c5d34fc44fb48aabcfde922377c1c69"/>
      <w:r/>
      <w:bookmarkEnd w:id="89"/>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（人民币） </w:t>
      </w:r>
      <w:r>
        <w:rPr>
          <w:rFonts w:hint="eastAsia" w:ascii="宋体" w:hAnsi="宋体" w:eastAsia="宋体" w:cs="宋体"/>
          <w:sz w:val="24"/>
          <w:highlight w:val="none"/>
          <w:u w:val="single"/>
        </w:rPr>
      </w:r>
      <w:r/>
    </w:p>
    <w:p>
      <w:pPr>
        <w:pStyle w:val="706"/>
        <w:ind w:firstLine="420"/>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(小写)￥：</w:t>
      </w:r>
      <w:bookmarkStart w:id="90" w:name="EBf28db0f417ab49cf9163799013344e62"/>
      <w:r/>
      <w:bookmarkEnd w:id="90"/>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706"/>
        <w:spacing w:line="30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七、承包人现场负责人：姓名：</w:t>
      </w:r>
      <w:bookmarkStart w:id="91" w:name="EBc012d71f071c4acc92835b8efd6b8a67"/>
      <w:r/>
      <w:bookmarkEnd w:id="91"/>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rPr>
      </w:r>
      <w:r/>
    </w:p>
    <w:p>
      <w:pPr>
        <w:pStyle w:val="706"/>
        <w:ind w:firstLine="420"/>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下列文件共同构成合同文件：</w:t>
      </w:r>
      <w:r>
        <w:rPr>
          <w:rFonts w:hint="eastAsia" w:ascii="宋体" w:hAnsi="宋体" w:eastAsia="宋体" w:cs="宋体"/>
          <w:sz w:val="24"/>
          <w:highlight w:val="none"/>
        </w:rPr>
      </w:r>
      <w:r/>
    </w:p>
    <w:p>
      <w:pPr>
        <w:pStyle w:val="706"/>
        <w:ind w:firstLine="420"/>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1、本协议书；</w:t>
      </w:r>
      <w:r>
        <w:rPr>
          <w:rFonts w:hint="eastAsia" w:ascii="宋体" w:hAnsi="宋体" w:eastAsia="宋体" w:cs="宋体"/>
          <w:sz w:val="24"/>
          <w:highlight w:val="none"/>
        </w:rPr>
      </w:r>
      <w:r/>
    </w:p>
    <w:p>
      <w:pPr>
        <w:pStyle w:val="706"/>
        <w:ind w:firstLine="420"/>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2、成交通知书；</w:t>
      </w:r>
      <w:r>
        <w:rPr>
          <w:rFonts w:hint="eastAsia" w:ascii="宋体" w:hAnsi="宋体" w:eastAsia="宋体" w:cs="宋体"/>
          <w:sz w:val="24"/>
          <w:highlight w:val="none"/>
        </w:rPr>
      </w:r>
      <w:r/>
    </w:p>
    <w:p>
      <w:pPr>
        <w:pStyle w:val="706"/>
        <w:ind w:firstLine="420"/>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3、响应函；</w:t>
      </w:r>
      <w:r>
        <w:rPr>
          <w:rFonts w:hint="eastAsia" w:ascii="宋体" w:hAnsi="宋体" w:eastAsia="宋体" w:cs="宋体"/>
          <w:sz w:val="24"/>
          <w:highlight w:val="none"/>
        </w:rPr>
      </w:r>
      <w:r/>
    </w:p>
    <w:p>
      <w:pPr>
        <w:pStyle w:val="706"/>
        <w:ind w:firstLine="420"/>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4、专用合同条款；</w:t>
      </w:r>
      <w:r>
        <w:rPr>
          <w:rFonts w:hint="eastAsia" w:ascii="宋体" w:hAnsi="宋体" w:eastAsia="宋体" w:cs="宋体"/>
          <w:sz w:val="24"/>
          <w:highlight w:val="none"/>
        </w:rPr>
      </w:r>
      <w:r/>
    </w:p>
    <w:p>
      <w:pPr>
        <w:pStyle w:val="706"/>
        <w:ind w:firstLine="420"/>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5、通用合同条款；</w:t>
      </w:r>
      <w:r>
        <w:rPr>
          <w:rFonts w:hint="eastAsia" w:ascii="宋体" w:hAnsi="宋体" w:eastAsia="宋体" w:cs="宋体"/>
          <w:sz w:val="24"/>
          <w:highlight w:val="none"/>
        </w:rPr>
      </w:r>
      <w:r/>
    </w:p>
    <w:p>
      <w:pPr>
        <w:pStyle w:val="706"/>
        <w:ind w:firstLine="420"/>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6、技术标准和要求；</w:t>
      </w:r>
      <w:r>
        <w:rPr>
          <w:rFonts w:hint="eastAsia" w:ascii="宋体" w:hAnsi="宋体" w:eastAsia="宋体" w:cs="宋体"/>
          <w:sz w:val="24"/>
          <w:highlight w:val="none"/>
        </w:rPr>
      </w:r>
      <w:r/>
    </w:p>
    <w:p>
      <w:pPr>
        <w:pStyle w:val="706"/>
        <w:ind w:firstLine="420"/>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7、已标价工程量清单；</w:t>
      </w:r>
      <w:r>
        <w:rPr>
          <w:rFonts w:hint="eastAsia" w:ascii="宋体" w:hAnsi="宋体" w:eastAsia="宋体" w:cs="宋体"/>
          <w:sz w:val="24"/>
          <w:highlight w:val="none"/>
        </w:rPr>
      </w:r>
      <w:r/>
    </w:p>
    <w:p>
      <w:pPr>
        <w:pStyle w:val="706"/>
        <w:ind w:firstLine="420"/>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8、其他合同文件。</w:t>
      </w:r>
      <w:r>
        <w:rPr>
          <w:rFonts w:hint="eastAsia" w:ascii="宋体" w:hAnsi="宋体" w:eastAsia="宋体" w:cs="宋体"/>
          <w:sz w:val="24"/>
          <w:highlight w:val="none"/>
        </w:rPr>
      </w:r>
      <w:r/>
    </w:p>
    <w:p>
      <w:pPr>
        <w:pStyle w:val="706"/>
        <w:ind w:firstLine="420"/>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上述文件互相补充和解释，如有不明确或不一致之处，以合同约定次序在先者为准。</w:t>
      </w:r>
      <w:r>
        <w:rPr>
          <w:rFonts w:hint="eastAsia" w:ascii="宋体" w:hAnsi="宋体" w:eastAsia="宋体" w:cs="宋体"/>
          <w:sz w:val="24"/>
          <w:highlight w:val="none"/>
        </w:rPr>
      </w:r>
      <w:r/>
    </w:p>
    <w:p>
      <w:pPr>
        <w:pStyle w:val="706"/>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八、本协议书中有关词语定义与合同条款中的定义相同。</w:t>
      </w:r>
      <w:r>
        <w:rPr>
          <w:rFonts w:hint="eastAsia" w:ascii="宋体" w:hAnsi="宋体" w:eastAsia="宋体" w:cs="宋体"/>
          <w:sz w:val="24"/>
          <w:highlight w:val="none"/>
        </w:rPr>
      </w:r>
      <w:r/>
    </w:p>
    <w:p>
      <w:pPr>
        <w:pStyle w:val="706"/>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九、承包人承诺按照合同约定进行施工、竣工、交付并在缺陷责任期内对工程缺陷承担维修责任。</w:t>
      </w:r>
      <w:r>
        <w:rPr>
          <w:rFonts w:hint="eastAsia" w:ascii="宋体" w:hAnsi="宋体" w:eastAsia="宋体" w:cs="宋体"/>
          <w:sz w:val="24"/>
          <w:highlight w:val="none"/>
        </w:rPr>
      </w:r>
      <w:r/>
    </w:p>
    <w:p>
      <w:pPr>
        <w:pStyle w:val="706"/>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十、发包人承诺按照合同约定的条件、期限和方式向承包人支付合同价款。</w:t>
      </w:r>
      <w:r>
        <w:rPr>
          <w:rFonts w:hint="eastAsia" w:ascii="宋体" w:hAnsi="宋体" w:eastAsia="宋体" w:cs="宋体"/>
          <w:sz w:val="24"/>
          <w:highlight w:val="none"/>
        </w:rPr>
      </w:r>
      <w:r/>
    </w:p>
    <w:p>
      <w:pPr>
        <w:pStyle w:val="706"/>
        <w:spacing w:line="300" w:lineRule="auto"/>
        <w:rPr>
          <w:rFonts w:hint="eastAsia" w:ascii="宋体" w:hAnsi="宋体" w:eastAsia="宋体" w:cs="宋体"/>
          <w:b/>
          <w:sz w:val="24"/>
          <w:highlight w:val="none"/>
          <w:u w:val="single"/>
        </w:rPr>
      </w:pPr>
      <w:r>
        <w:rPr>
          <w:rFonts w:hint="eastAsia" w:ascii="宋体" w:hAnsi="宋体" w:eastAsia="宋体" w:cs="宋体"/>
          <w:sz w:val="24"/>
          <w:highlight w:val="none"/>
        </w:rPr>
        <w:t xml:space="preserve">十一、本协议书连同其他合同文件一式</w:t>
      </w:r>
      <w:r>
        <w:rPr>
          <w:rFonts w:hint="eastAsia" w:ascii="宋体" w:hAnsi="宋体" w:eastAsia="宋体" w:cs="宋体"/>
          <w:b/>
          <w:bCs/>
          <w:sz w:val="24"/>
          <w:highlight w:val="none"/>
        </w:rPr>
        <w:t xml:space="preserve">陆</w:t>
      </w:r>
      <w:r>
        <w:rPr>
          <w:rFonts w:hint="eastAsia" w:ascii="宋体" w:hAnsi="宋体" w:eastAsia="宋体" w:cs="宋体"/>
          <w:sz w:val="24"/>
          <w:highlight w:val="none"/>
        </w:rPr>
        <w:t xml:space="preserve">份，合同双方各执</w:t>
      </w:r>
      <w:r>
        <w:rPr>
          <w:rFonts w:hint="eastAsia" w:ascii="宋体" w:hAnsi="宋体" w:eastAsia="宋体" w:cs="宋体"/>
          <w:b/>
          <w:bCs/>
          <w:sz w:val="24"/>
          <w:highlight w:val="none"/>
        </w:rPr>
        <w:t xml:space="preserve">贰</w:t>
      </w:r>
      <w:r>
        <w:rPr>
          <w:rFonts w:hint="eastAsia" w:ascii="宋体" w:hAnsi="宋体" w:eastAsia="宋体" w:cs="宋体"/>
          <w:sz w:val="24"/>
          <w:highlight w:val="none"/>
        </w:rPr>
        <w:t xml:space="preserve">份，采购人壹份，政府采购监督机构</w:t>
      </w:r>
      <w:r>
        <w:rPr>
          <w:rFonts w:hint="eastAsia" w:ascii="宋体" w:hAnsi="宋体" w:eastAsia="宋体" w:cs="宋体"/>
          <w:b/>
          <w:bCs/>
          <w:sz w:val="24"/>
          <w:highlight w:val="none"/>
        </w:rPr>
        <w:t xml:space="preserve">壹</w:t>
      </w:r>
      <w:r>
        <w:rPr>
          <w:rFonts w:hint="eastAsia" w:ascii="宋体" w:hAnsi="宋体" w:eastAsia="宋体" w:cs="宋体"/>
          <w:sz w:val="24"/>
          <w:highlight w:val="none"/>
        </w:rPr>
        <w:t xml:space="preserve">份。</w:t>
      </w:r>
      <w:r>
        <w:rPr>
          <w:rFonts w:hint="eastAsia" w:ascii="宋体" w:hAnsi="宋体" w:eastAsia="宋体" w:cs="宋体"/>
          <w:b/>
          <w:sz w:val="24"/>
          <w:highlight w:val="none"/>
          <w:u w:val="single"/>
        </w:rPr>
      </w:r>
      <w:r/>
    </w:p>
    <w:p>
      <w:pPr>
        <w:pStyle w:val="706"/>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十二、合同未尽事宜，双方另行签订补充协议，但不得背离本协议第八条所约定的合同文件的实质性内容。补充协议是合同文件的组成部分。</w:t>
      </w:r>
      <w:r>
        <w:rPr>
          <w:rFonts w:hint="eastAsia" w:ascii="宋体" w:hAnsi="宋体" w:eastAsia="宋体" w:cs="宋体"/>
          <w:sz w:val="24"/>
          <w:highlight w:val="none"/>
        </w:rPr>
      </w:r>
      <w:r/>
    </w:p>
    <w:p>
      <w:pPr>
        <w:pStyle w:val="706"/>
        <w:ind w:firstLine="480"/>
        <w:rPr>
          <w:rFonts w:hint="eastAsia" w:ascii="宋体" w:hAnsi="宋体" w:eastAsia="宋体" w:cs="宋体"/>
          <w:szCs w:val="24"/>
          <w:highlight w:val="none"/>
        </w:rPr>
      </w:pPr>
      <w:r>
        <w:rPr>
          <w:rFonts w:hint="eastAsia" w:ascii="宋体" w:hAnsi="宋体" w:eastAsia="宋体" w:cs="宋体"/>
          <w:szCs w:val="24"/>
          <w:highlight w:val="none"/>
        </w:rPr>
      </w:r>
      <w:r/>
    </w:p>
    <w:p>
      <w:pPr>
        <w:pStyle w:val="706"/>
        <w:rPr>
          <w:rFonts w:hint="eastAsia" w:ascii="宋体" w:hAnsi="宋体" w:eastAsia="宋体" w:cs="宋体"/>
          <w:sz w:val="24"/>
          <w:highlight w:val="none"/>
        </w:rPr>
      </w:pPr>
      <w:r>
        <w:rPr>
          <w:rFonts w:hint="eastAsia" w:ascii="宋体" w:hAnsi="宋体" w:eastAsia="宋体" w:cs="宋体"/>
          <w:sz w:val="24"/>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5070"/>
        <w:gridCol w:w="3280"/>
      </w:tblGrid>
      <w:tr>
        <w:trPr>
          <w:trHeight w:val="900"/>
        </w:trPr>
        <w:tc>
          <w:tcPr>
            <w:tcBorders>
              <w:top w:val="none" w:color="000000" w:sz="0" w:space="0"/>
              <w:left w:val="none" w:color="000000" w:sz="0" w:space="0"/>
              <w:bottom w:val="none" w:color="000000" w:sz="0" w:space="0"/>
              <w:right w:val="none" w:color="000000" w:sz="0" w:space="0"/>
            </w:tcBorders>
            <w:tcW w:w="5070" w:type="dxa"/>
            <w:vAlign w:val="top"/>
            <w:textDirection w:val="lrTb"/>
            <w:noWrap w:val="false"/>
          </w:tcPr>
          <w:p>
            <w:pPr>
              <w:pStyle w:val="706"/>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发包人：</w:t>
            </w:r>
            <w:bookmarkStart w:id="92" w:name="EBb602dc6de7e44e38a015289eea2172e7"/>
            <w:r/>
            <w:bookmarkEnd w:id="92"/>
            <w:r>
              <w:rPr>
                <w:rFonts w:hint="eastAsia" w:ascii="宋体" w:hAnsi="宋体" w:eastAsia="宋体" w:cs="宋体"/>
                <w:sz w:val="24"/>
                <w:highlight w:val="none"/>
              </w:rPr>
              <w:t xml:space="preserve">(盖单位章)</w:t>
            </w:r>
            <w:r>
              <w:rPr>
                <w:rFonts w:hint="eastAsia" w:ascii="宋体" w:hAnsi="宋体" w:eastAsia="宋体" w:cs="宋体"/>
                <w:sz w:val="24"/>
                <w:highlight w:val="none"/>
              </w:rPr>
            </w:r>
            <w:r/>
          </w:p>
        </w:tc>
        <w:tc>
          <w:tcPr>
            <w:tcBorders>
              <w:top w:val="none" w:color="000000" w:sz="0" w:space="0"/>
              <w:left w:val="none" w:color="000000" w:sz="0" w:space="0"/>
              <w:bottom w:val="none" w:color="000000" w:sz="0" w:space="0"/>
              <w:right w:val="none" w:color="000000" w:sz="0" w:space="0"/>
            </w:tcBorders>
            <w:tcW w:w="3280" w:type="dxa"/>
            <w:vAlign w:val="top"/>
            <w:textDirection w:val="lrTb"/>
            <w:noWrap w:val="false"/>
          </w:tcPr>
          <w:p>
            <w:pPr>
              <w:pStyle w:val="706"/>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承包人:</w:t>
            </w:r>
            <w:bookmarkStart w:id="93" w:name="EBcff6b770bf2f406980631e05eeb3b7a1"/>
            <w:r/>
            <w:bookmarkEnd w:id="93"/>
            <w:r>
              <w:rPr>
                <w:rFonts w:hint="eastAsia" w:ascii="宋体" w:hAnsi="宋体" w:eastAsia="宋体" w:cs="宋体"/>
                <w:sz w:val="24"/>
                <w:highlight w:val="none"/>
              </w:rPr>
              <w:t xml:space="preserve">(盖单位章)</w:t>
            </w:r>
            <w:r>
              <w:rPr>
                <w:rFonts w:hint="eastAsia" w:ascii="宋体" w:hAnsi="宋体" w:eastAsia="宋体" w:cs="宋体"/>
                <w:sz w:val="24"/>
                <w:highlight w:val="none"/>
              </w:rPr>
            </w:r>
            <w:r/>
          </w:p>
        </w:tc>
      </w:tr>
      <w:tr>
        <w:trPr>
          <w:trHeight w:val="1185"/>
        </w:trPr>
        <w:tc>
          <w:tcPr>
            <w:tcBorders>
              <w:top w:val="none" w:color="000000" w:sz="0" w:space="0"/>
              <w:left w:val="none" w:color="000000" w:sz="0" w:space="0"/>
              <w:bottom w:val="none" w:color="000000" w:sz="0" w:space="0"/>
              <w:right w:val="none" w:color="000000" w:sz="0" w:space="0"/>
            </w:tcBorders>
            <w:tcW w:w="5070" w:type="dxa"/>
            <w:vAlign w:val="top"/>
            <w:textDirection w:val="lrTb"/>
            <w:noWrap w:val="false"/>
          </w:tcPr>
          <w:p>
            <w:pPr>
              <w:pStyle w:val="706"/>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法定代表人或其委托代理人：</w:t>
            </w:r>
            <w:r>
              <w:rPr>
                <w:rFonts w:hint="eastAsia" w:ascii="宋体" w:hAnsi="宋体" w:eastAsia="宋体" w:cs="宋体"/>
                <w:sz w:val="24"/>
                <w:highlight w:val="none"/>
              </w:rPr>
            </w:r>
            <w:r/>
          </w:p>
          <w:p>
            <w:pPr>
              <w:pStyle w:val="706"/>
              <w:spacing w:line="300" w:lineRule="auto"/>
              <w:rPr>
                <w:rFonts w:hint="eastAsia" w:ascii="宋体" w:hAnsi="宋体" w:eastAsia="宋体" w:cs="宋体"/>
                <w:sz w:val="24"/>
                <w:highlight w:val="none"/>
              </w:rPr>
            </w:pPr>
            <w:r/>
            <w:bookmarkStart w:id="94" w:name="EB490efd1888f443efab8d807e1355bdfe"/>
            <w:r/>
            <w:bookmarkEnd w:id="94"/>
            <w:r>
              <w:rPr>
                <w:rFonts w:hint="eastAsia" w:ascii="宋体" w:hAnsi="宋体" w:eastAsia="宋体" w:cs="宋体"/>
                <w:sz w:val="24"/>
                <w:highlight w:val="none"/>
              </w:rPr>
              <w:t xml:space="preserve">(签字)</w:t>
            </w:r>
            <w:r>
              <w:rPr>
                <w:rFonts w:hint="eastAsia" w:ascii="宋体" w:hAnsi="宋体" w:eastAsia="宋体" w:cs="宋体"/>
                <w:sz w:val="24"/>
                <w:highlight w:val="none"/>
              </w:rPr>
            </w:r>
            <w:r/>
          </w:p>
        </w:tc>
        <w:tc>
          <w:tcPr>
            <w:tcBorders>
              <w:top w:val="none" w:color="000000" w:sz="0" w:space="0"/>
              <w:left w:val="none" w:color="000000" w:sz="0" w:space="0"/>
              <w:bottom w:val="none" w:color="000000" w:sz="0" w:space="0"/>
              <w:right w:val="none" w:color="000000" w:sz="0" w:space="0"/>
            </w:tcBorders>
            <w:tcW w:w="3280" w:type="dxa"/>
            <w:vAlign w:val="top"/>
            <w:textDirection w:val="lrTb"/>
            <w:noWrap w:val="false"/>
          </w:tcPr>
          <w:p>
            <w:pPr>
              <w:pStyle w:val="706"/>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法定代表人或其委托代理人：</w:t>
            </w:r>
            <w:r>
              <w:rPr>
                <w:rFonts w:hint="eastAsia" w:ascii="宋体" w:hAnsi="宋体" w:eastAsia="宋体" w:cs="宋体"/>
                <w:sz w:val="24"/>
                <w:highlight w:val="none"/>
              </w:rPr>
            </w:r>
            <w:r/>
          </w:p>
          <w:p>
            <w:pPr>
              <w:pStyle w:val="706"/>
              <w:spacing w:line="300" w:lineRule="auto"/>
              <w:rPr>
                <w:rFonts w:hint="eastAsia" w:ascii="宋体" w:hAnsi="宋体" w:eastAsia="宋体" w:cs="宋体"/>
                <w:sz w:val="24"/>
                <w:highlight w:val="none"/>
              </w:rPr>
            </w:pPr>
            <w:r/>
            <w:bookmarkStart w:id="95" w:name="EB36b419ff1022499ba9a269aa09c6348b"/>
            <w:r/>
            <w:bookmarkEnd w:id="95"/>
            <w:r>
              <w:rPr>
                <w:rFonts w:hint="eastAsia" w:ascii="宋体" w:hAnsi="宋体" w:eastAsia="宋体" w:cs="宋体"/>
                <w:sz w:val="24"/>
                <w:highlight w:val="none"/>
              </w:rPr>
              <w:t xml:space="preserve">(签字)</w:t>
            </w:r>
            <w:r>
              <w:rPr>
                <w:rFonts w:hint="eastAsia" w:ascii="宋体" w:hAnsi="宋体" w:eastAsia="宋体" w:cs="宋体"/>
                <w:sz w:val="24"/>
                <w:highlight w:val="none"/>
              </w:rPr>
            </w:r>
            <w:r/>
          </w:p>
        </w:tc>
      </w:tr>
      <w:tr>
        <w:trPr>
          <w:trHeight w:val="510"/>
        </w:trPr>
        <w:tc>
          <w:tcPr>
            <w:tcBorders>
              <w:top w:val="none" w:color="000000" w:sz="0" w:space="0"/>
              <w:left w:val="none" w:color="000000" w:sz="0" w:space="0"/>
              <w:bottom w:val="none" w:color="000000" w:sz="0" w:space="0"/>
              <w:right w:val="none" w:color="000000" w:sz="0" w:space="0"/>
            </w:tcBorders>
            <w:tcW w:w="5070" w:type="dxa"/>
            <w:vAlign w:val="top"/>
            <w:textDirection w:val="lrTb"/>
            <w:noWrap w:val="false"/>
          </w:tcPr>
          <w:p>
            <w:pPr>
              <w:pStyle w:val="706"/>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日期:</w:t>
            </w:r>
            <w:bookmarkStart w:id="96" w:name="EB64ae47a843d54b1a9490b67fbad59a08"/>
            <w:r/>
            <w:bookmarkEnd w:id="96"/>
            <w:r>
              <w:rPr>
                <w:rFonts w:hint="eastAsia" w:ascii="宋体" w:hAnsi="宋体" w:eastAsia="宋体" w:cs="宋体"/>
                <w:sz w:val="24"/>
                <w:highlight w:val="none"/>
              </w:rPr>
            </w:r>
            <w:r/>
          </w:p>
        </w:tc>
        <w:tc>
          <w:tcPr>
            <w:tcBorders>
              <w:top w:val="none" w:color="000000" w:sz="0" w:space="0"/>
              <w:left w:val="none" w:color="000000" w:sz="0" w:space="0"/>
              <w:bottom w:val="none" w:color="000000" w:sz="0" w:space="0"/>
              <w:right w:val="none" w:color="000000" w:sz="0" w:space="0"/>
            </w:tcBorders>
            <w:tcW w:w="3280" w:type="dxa"/>
            <w:vAlign w:val="top"/>
            <w:textDirection w:val="lrTb"/>
            <w:noWrap w:val="false"/>
          </w:tcPr>
          <w:p>
            <w:pPr>
              <w:pStyle w:val="706"/>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日期:</w:t>
            </w:r>
            <w:bookmarkStart w:id="97" w:name="EB1c0ff0ae7bd54d148340771055293c94"/>
            <w:r/>
            <w:bookmarkEnd w:id="97"/>
            <w:r>
              <w:rPr>
                <w:rFonts w:hint="eastAsia" w:ascii="宋体" w:hAnsi="宋体" w:eastAsia="宋体" w:cs="宋体"/>
                <w:sz w:val="24"/>
                <w:highlight w:val="none"/>
              </w:rPr>
            </w:r>
            <w:r/>
          </w:p>
        </w:tc>
      </w:tr>
      <w:tr>
        <w:trPr/>
        <w:tc>
          <w:tcPr>
            <w:gridSpan w:val="2"/>
            <w:tcBorders>
              <w:top w:val="none" w:color="000000" w:sz="0" w:space="0"/>
              <w:left w:val="none" w:color="000000" w:sz="0" w:space="0"/>
              <w:bottom w:val="none" w:color="000000" w:sz="0" w:space="0"/>
              <w:right w:val="none" w:color="000000" w:sz="0" w:space="0"/>
            </w:tcBorders>
            <w:tcW w:w="8350" w:type="dxa"/>
            <w:vAlign w:val="top"/>
            <w:textDirection w:val="lrTb"/>
            <w:noWrap w:val="false"/>
          </w:tcPr>
          <w:p>
            <w:pPr>
              <w:pStyle w:val="706"/>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签约地点:</w:t>
            </w:r>
            <w:bookmarkStart w:id="98" w:name="EBc07649cd27a149aea0ddc5e6c59e9081"/>
            <w:r/>
            <w:bookmarkEnd w:id="98"/>
            <w:r>
              <w:rPr>
                <w:rFonts w:hint="eastAsia" w:ascii="宋体" w:hAnsi="宋体" w:eastAsia="宋体" w:cs="宋体"/>
                <w:sz w:val="24"/>
                <w:highlight w:val="none"/>
              </w:rPr>
            </w:r>
            <w:r/>
          </w:p>
        </w:tc>
      </w:tr>
    </w:tbl>
    <w:p>
      <w:pPr>
        <w:pStyle w:val="708"/>
        <w:jc w:val="center"/>
        <w:rPr>
          <w:rFonts w:hint="eastAsia" w:eastAsia="宋体" w:cs="宋体"/>
          <w:sz w:val="24"/>
          <w:szCs w:val="24"/>
          <w:highlight w:val="none"/>
        </w:rPr>
      </w:pPr>
      <w:r/>
      <w:bookmarkStart w:id="99" w:name="_Toc273437361"/>
      <w:r/>
      <w:bookmarkStart w:id="100" w:name="_Toc20917"/>
      <w:r/>
      <w:bookmarkStart w:id="101" w:name="_Toc267475112"/>
      <w:r/>
      <w:bookmarkStart w:id="102" w:name="_Toc263777211"/>
      <w:r/>
      <w:bookmarkStart w:id="103" w:name="_Toc273453272"/>
      <w:r>
        <w:rPr>
          <w:rFonts w:hint="eastAsia" w:eastAsia="宋体" w:cs="宋体"/>
          <w:sz w:val="24"/>
          <w:szCs w:val="24"/>
          <w:highlight w:val="none"/>
        </w:rPr>
        <w:t xml:space="preserve">第二部分通用条款</w:t>
      </w:r>
      <w:bookmarkEnd w:id="99"/>
      <w:r/>
      <w:bookmarkEnd w:id="100"/>
      <w:r/>
      <w:bookmarkEnd w:id="101"/>
      <w:r/>
      <w:bookmarkEnd w:id="102"/>
      <w:r/>
      <w:bookmarkEnd w:id="103"/>
      <w:r>
        <w:rPr>
          <w:rFonts w:hint="eastAsia" w:eastAsia="宋体" w:cs="宋体"/>
          <w:sz w:val="24"/>
          <w:szCs w:val="24"/>
          <w:highlight w:val="none"/>
        </w:rPr>
      </w:r>
      <w:r/>
    </w:p>
    <w:p>
      <w:pPr>
        <w:pStyle w:val="789"/>
        <w:ind w:firstLine="420"/>
        <w:spacing w:before="226" w:beforeAutospacing="0" w:after="0" w:afterAutospacing="0" w:line="450" w:lineRule="atLeast"/>
        <w:rPr>
          <w:rFonts w:hint="eastAsia"/>
          <w:szCs w:val="21"/>
          <w:highlight w:val="none"/>
        </w:rPr>
      </w:pPr>
      <w:r>
        <w:rPr>
          <w:rFonts w:hint="eastAsia"/>
          <w:highlight w:val="none"/>
        </w:rPr>
        <w:t xml:space="preserve">参照住建部、国家工商行政管理局《建设工程施工合同（示范文本）》 （</w:t>
      </w:r>
      <w:r>
        <w:rPr>
          <w:rFonts w:hint="eastAsia"/>
          <w:highlight w:val="none"/>
          <w:shd w:val="clear" w:color="auto" w:fill="ffffff"/>
        </w:rPr>
        <w:t xml:space="preserve">GF-2017-0201</w:t>
      </w:r>
      <w:r>
        <w:rPr>
          <w:rFonts w:hint="eastAsia"/>
          <w:highlight w:val="none"/>
        </w:rPr>
        <w:t xml:space="preserve">）第二部分。</w:t>
      </w:r>
      <w:r>
        <w:rPr>
          <w:rFonts w:hint="eastAsia"/>
          <w:szCs w:val="21"/>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br w:type="textWrapping" w:clear="all"/>
      </w: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708"/>
        <w:jc w:val="center"/>
        <w:spacing w:line="360" w:lineRule="auto"/>
        <w:rPr>
          <w:rFonts w:hint="eastAsia" w:eastAsia="宋体" w:cs="宋体"/>
          <w:sz w:val="24"/>
          <w:szCs w:val="24"/>
          <w:highlight w:val="none"/>
        </w:rPr>
      </w:pPr>
      <w:r/>
      <w:bookmarkStart w:id="104" w:name="_Toc273437362"/>
      <w:r/>
      <w:bookmarkStart w:id="105" w:name="_Toc20604"/>
      <w:r/>
      <w:bookmarkStart w:id="106" w:name="_Toc273453273"/>
      <w:r>
        <w:rPr>
          <w:rFonts w:hint="eastAsia" w:eastAsia="宋体" w:cs="宋体"/>
          <w:sz w:val="24"/>
          <w:szCs w:val="24"/>
          <w:highlight w:val="none"/>
        </w:rPr>
        <w:t xml:space="preserve">第三部分专用合同条款</w:t>
      </w:r>
      <w:bookmarkEnd w:id="104"/>
      <w:r/>
      <w:bookmarkEnd w:id="105"/>
      <w:r/>
      <w:bookmarkEnd w:id="106"/>
      <w:r>
        <w:rPr>
          <w:rFonts w:hint="eastAsia" w:eastAsia="宋体" w:cs="宋体"/>
          <w:sz w:val="24"/>
          <w:szCs w:val="24"/>
          <w:highlight w:val="none"/>
        </w:rPr>
      </w:r>
      <w:r/>
    </w:p>
    <w:p>
      <w:pPr>
        <w:pStyle w:val="709"/>
        <w:spacing w:line="360" w:lineRule="auto"/>
        <w:rPr>
          <w:rFonts w:hint="eastAsia" w:ascii="宋体" w:hAnsi="宋体" w:eastAsia="宋体" w:cs="宋体"/>
          <w:sz w:val="24"/>
          <w:szCs w:val="24"/>
          <w:highlight w:val="none"/>
        </w:rPr>
      </w:pPr>
      <w:r/>
      <w:bookmarkStart w:id="107" w:name="_Toc24856"/>
      <w:r/>
      <w:bookmarkStart w:id="108" w:name="_Toc273453274"/>
      <w:r>
        <w:rPr>
          <w:rFonts w:hint="eastAsia" w:ascii="宋体" w:hAnsi="宋体" w:eastAsia="宋体" w:cs="宋体"/>
          <w:sz w:val="24"/>
          <w:szCs w:val="24"/>
          <w:highlight w:val="none"/>
        </w:rPr>
        <w:t xml:space="preserve">一、词语定义及合同文件</w:t>
      </w:r>
      <w:bookmarkEnd w:id="107"/>
      <w:r/>
      <w:bookmarkEnd w:id="108"/>
      <w:r>
        <w:rPr>
          <w:rFonts w:hint="eastAsia" w:ascii="宋体" w:hAnsi="宋体" w:eastAsia="宋体" w:cs="宋体"/>
          <w:sz w:val="24"/>
          <w:szCs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1、合同文件及解释顺序</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合同文件组成及解释顺序：</w:t>
      </w:r>
      <w:bookmarkStart w:id="109" w:name="EptNR_合同文件组成及解释顺序"/>
      <w:r/>
      <w:bookmarkEnd w:id="109"/>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（1）本合同协议书</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（2）成交通知书</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（3）投标书及其附件</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（4）本合同专用条款</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（5）本合同通用条款</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（6）技术标准和要求</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（7）已标价工程量清单</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（8）其他合同文件。</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合同协议书中约定采用总价合同形式的，已标价工程量清单中的各项工程量对合同双方不具有合同约束力。</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2、语言文字和适用法律、标准及规范</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2.1本合同除使用汉语外，还使用</w:t>
      </w:r>
      <w:r>
        <w:rPr>
          <w:rFonts w:hint="eastAsia" w:ascii="宋体" w:hAnsi="宋体" w:eastAsia="宋体" w:cs="宋体"/>
          <w:sz w:val="24"/>
          <w:highlight w:val="none"/>
          <w:u w:val="single"/>
        </w:rPr>
        <w:t xml:space="preserve">无</w:t>
      </w:r>
      <w:r>
        <w:rPr>
          <w:rFonts w:hint="eastAsia" w:ascii="宋体" w:hAnsi="宋体" w:eastAsia="宋体" w:cs="宋体"/>
          <w:sz w:val="24"/>
          <w:highlight w:val="none"/>
        </w:rPr>
        <w:t xml:space="preserve">语言文字。</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2.2适用法律和法规</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需要明示的法律、行政法规：</w:t>
      </w:r>
      <w:r>
        <w:rPr>
          <w:rFonts w:hint="eastAsia" w:ascii="宋体" w:hAnsi="宋体" w:eastAsia="宋体" w:cs="宋体"/>
          <w:sz w:val="24"/>
          <w:highlight w:val="none"/>
          <w:u w:val="single"/>
        </w:rPr>
        <w:t xml:space="preserve">《中华人民共和国民法典》、《中华人民共和国建筑法》、《建设工程质量管理条例》、《中华人民共和国政府采购法》、《工程建设项目施工招标投标办法》（七部委30号令）、《江苏省工程建设管理条例》、《建设工程施工发包与承包价格管理暂行规定》、《工程量清单计价规范》、其他法律法规以及江苏省和苏州市行业主管部门颁布的相关文件规定，如地方法规与国家法规相抵触，按国家法规执行。</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2.3适用标准、规范</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适用标准、规范的名称：</w:t>
      </w:r>
      <w:r>
        <w:rPr>
          <w:rFonts w:hint="eastAsia" w:ascii="宋体" w:hAnsi="宋体" w:eastAsia="宋体" w:cs="宋体"/>
          <w:sz w:val="24"/>
          <w:highlight w:val="none"/>
          <w:u w:val="single"/>
        </w:rPr>
        <w:t xml:space="preserve">现行工程施工标准规范以及质量验收标准及规范。</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发包人提供标准、规范的时间：</w:t>
      </w:r>
      <w:r>
        <w:rPr>
          <w:rFonts w:hint="eastAsia" w:ascii="宋体" w:hAnsi="宋体" w:eastAsia="宋体" w:cs="宋体"/>
          <w:sz w:val="24"/>
          <w:highlight w:val="none"/>
          <w:u w:val="single"/>
        </w:rPr>
        <w:t xml:space="preserve">承包人自行购置。</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国内没有相应标准、规范时的约定：</w:t>
      </w:r>
      <w:r>
        <w:rPr>
          <w:rFonts w:hint="eastAsia" w:ascii="宋体" w:hAnsi="宋体" w:eastAsia="宋体" w:cs="宋体"/>
          <w:sz w:val="24"/>
          <w:highlight w:val="none"/>
          <w:u w:val="single"/>
        </w:rPr>
        <w:t xml:space="preserve">如有涉及，双方另行协商约定。</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3、图纸</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3.1发包人向承包人提供图纸日期和套数：</w:t>
      </w:r>
      <w:r>
        <w:rPr>
          <w:rFonts w:hint="eastAsia" w:ascii="宋体" w:hAnsi="宋体" w:eastAsia="宋体" w:cs="宋体"/>
          <w:sz w:val="24"/>
          <w:highlight w:val="none"/>
          <w:u w:val="single"/>
        </w:rPr>
        <w:t xml:space="preserve">/。</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发包人对图纸的保密要求：除因履行本合同需要，承包人不得将图纸提供给第三方使用</w:t>
      </w:r>
      <w:r>
        <w:rPr>
          <w:rFonts w:hint="eastAsia" w:ascii="宋体" w:hAnsi="宋体" w:eastAsia="宋体" w:cs="宋体"/>
          <w:sz w:val="24"/>
          <w:highlight w:val="none"/>
          <w:u w:val="single"/>
        </w:rPr>
        <w:t xml:space="preserve">。</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使用国外图纸的要求及费用承担：</w:t>
      </w:r>
      <w:bookmarkStart w:id="110" w:name="EBf086e2ebb0c04a40b2b6c688565ee2cd"/>
      <w:r>
        <w:rPr>
          <w:rFonts w:hint="eastAsia" w:ascii="宋体" w:hAnsi="宋体" w:eastAsia="宋体" w:cs="宋体"/>
          <w:sz w:val="24"/>
          <w:highlight w:val="none"/>
        </w:rPr>
        <w:t xml:space="preserve">无</w:t>
      </w:r>
      <w:bookmarkEnd w:id="110"/>
      <w:r>
        <w:rPr>
          <w:rFonts w:hint="eastAsia" w:ascii="宋体" w:hAnsi="宋体" w:eastAsia="宋体" w:cs="宋体"/>
          <w:sz w:val="24"/>
          <w:highlight w:val="none"/>
        </w:rPr>
      </w:r>
      <w:r/>
    </w:p>
    <w:p>
      <w:pPr>
        <w:pStyle w:val="709"/>
        <w:spacing w:line="360" w:lineRule="auto"/>
        <w:rPr>
          <w:rFonts w:hint="eastAsia" w:ascii="宋体" w:hAnsi="宋体" w:eastAsia="宋体" w:cs="宋体"/>
          <w:sz w:val="24"/>
          <w:szCs w:val="24"/>
          <w:highlight w:val="none"/>
        </w:rPr>
      </w:pPr>
      <w:r/>
      <w:bookmarkStart w:id="111" w:name="_Toc8544"/>
      <w:r/>
      <w:bookmarkStart w:id="112" w:name="_Toc273453275"/>
      <w:r>
        <w:rPr>
          <w:rFonts w:hint="eastAsia" w:ascii="宋体" w:hAnsi="宋体" w:eastAsia="宋体" w:cs="宋体"/>
          <w:sz w:val="24"/>
          <w:szCs w:val="24"/>
          <w:highlight w:val="none"/>
        </w:rPr>
        <w:t xml:space="preserve">二、双方一般权利和义务</w:t>
      </w:r>
      <w:bookmarkEnd w:id="111"/>
      <w:r/>
      <w:bookmarkEnd w:id="112"/>
      <w:r>
        <w:rPr>
          <w:rFonts w:hint="eastAsia" w:ascii="宋体" w:hAnsi="宋体" w:eastAsia="宋体" w:cs="宋体"/>
          <w:sz w:val="24"/>
          <w:szCs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4、工程师</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4.2监理单位委派的工程师</w:t>
      </w:r>
      <w:r>
        <w:rPr>
          <w:rFonts w:hint="eastAsia" w:ascii="宋体" w:hAnsi="宋体" w:eastAsia="宋体" w:cs="宋体"/>
          <w:sz w:val="24"/>
          <w:highlight w:val="none"/>
        </w:rPr>
      </w:r>
      <w:r/>
    </w:p>
    <w:p>
      <w:pPr>
        <w:pStyle w:val="811"/>
        <w:ind w:firstLine="360"/>
        <w:spacing w:line="360" w:lineRule="auto"/>
        <w:rPr>
          <w:rFonts w:hint="eastAsia" w:hAnsi="宋体"/>
          <w:color w:val="000000"/>
          <w:highlight w:val="none"/>
        </w:rPr>
      </w:pPr>
      <w:r>
        <w:rPr>
          <w:rFonts w:hint="eastAsia" w:hAnsi="宋体"/>
          <w:color w:val="000000"/>
          <w:highlight w:val="none"/>
        </w:rPr>
        <w:t xml:space="preserve">（按监理合同）</w:t>
      </w:r>
      <w:r>
        <w:rPr>
          <w:rFonts w:hint="eastAsia" w:hAnsi="宋体"/>
          <w:color w:val="000000"/>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4.3发包人派驻的工程师</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u w:val="single"/>
        </w:rPr>
      </w:pPr>
      <w:r>
        <w:rPr>
          <w:rFonts w:hint="eastAsia" w:ascii="宋体" w:hAnsi="宋体" w:eastAsia="宋体" w:cs="宋体"/>
          <w:b/>
          <w:bCs/>
          <w:sz w:val="24"/>
          <w:highlight w:val="none"/>
        </w:rPr>
        <w:t xml:space="preserve">姓名</w:t>
      </w:r>
      <w:bookmarkStart w:id="113" w:name="EB99138febcefa49348c01c66fe0ed9b63"/>
      <w:r/>
      <w:bookmarkEnd w:id="113"/>
      <w:r>
        <w:rPr>
          <w:rFonts w:hint="eastAsia" w:ascii="宋体" w:hAnsi="宋体" w:eastAsia="宋体" w:cs="宋体"/>
          <w:b/>
          <w:bCs/>
          <w:sz w:val="24"/>
          <w:highlight w:val="none"/>
        </w:rPr>
        <w:t xml:space="preserve">：</w:t>
      </w:r>
      <w:r>
        <w:rPr>
          <w:rFonts w:hint="eastAsia" w:ascii="宋体" w:hAnsi="宋体" w:eastAsia="宋体" w:cs="宋体"/>
          <w:b/>
          <w:bCs/>
          <w:sz w:val="24"/>
          <w:highlight w:val="none"/>
          <w:u w:val="single"/>
        </w:rPr>
        <w:t xml:space="preserve">        </w:t>
      </w:r>
      <w:r>
        <w:rPr>
          <w:rFonts w:hint="eastAsia" w:ascii="宋体" w:hAnsi="宋体" w:eastAsia="宋体" w:cs="宋体"/>
          <w:b/>
          <w:bCs/>
          <w:sz w:val="24"/>
          <w:highlight w:val="none"/>
        </w:rPr>
        <w:t xml:space="preserve"> </w:t>
      </w:r>
      <w:r>
        <w:rPr>
          <w:rFonts w:hint="eastAsia" w:ascii="宋体" w:hAnsi="宋体" w:eastAsia="宋体" w:cs="宋体"/>
          <w:sz w:val="24"/>
          <w:highlight w:val="none"/>
        </w:rPr>
        <w:t xml:space="preserve">职务：</w:t>
      </w:r>
      <w:bookmarkStart w:id="114" w:name="EB5fd2606894394293a41dff8fd70f0e50"/>
      <w:r/>
      <w:bookmarkEnd w:id="114"/>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rPr>
      </w:r>
      <w:r/>
    </w:p>
    <w:p>
      <w:pPr>
        <w:pStyle w:val="706"/>
        <w:ind w:firstLine="42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职权：</w:t>
      </w:r>
      <w:r>
        <w:rPr>
          <w:rFonts w:hint="eastAsia" w:ascii="宋体" w:hAnsi="宋体" w:eastAsia="宋体" w:cs="宋体"/>
          <w:sz w:val="24"/>
          <w:highlight w:val="none"/>
          <w:u w:val="single"/>
        </w:rPr>
        <w:t xml:space="preserve">代表发包人行使业主权利，全面负责本工程的组织、协调和管理，签发或签署各种相关指令(涉及费用的指令需加盖发包人公章方有效)，报表及支付凭证，处理施工过程中的有关事宜。</w:t>
      </w:r>
      <w:r>
        <w:rPr>
          <w:rFonts w:hint="eastAsia" w:ascii="宋体" w:hAnsi="宋体" w:eastAsia="宋体" w:cs="宋体"/>
          <w:sz w:val="24"/>
          <w:highlight w:val="none"/>
          <w:u w:val="singl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5、承包人项目负责人</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姓名：</w:t>
      </w:r>
      <w:bookmarkStart w:id="115" w:name="EptNR_项目经理名称"/>
      <w:r/>
      <w:bookmarkEnd w:id="115"/>
      <w:r>
        <w:rPr>
          <w:rFonts w:hint="eastAsia" w:ascii="宋体" w:hAnsi="宋体" w:eastAsia="宋体" w:cs="宋体"/>
          <w:sz w:val="24"/>
          <w:highlight w:val="none"/>
        </w:rPr>
        <w:t xml:space="preserve">     职务：</w:t>
      </w:r>
      <w:r>
        <w:rPr>
          <w:rFonts w:hint="eastAsia" w:ascii="宋体" w:hAnsi="宋体" w:eastAsia="宋体" w:cs="宋体"/>
          <w:sz w:val="24"/>
          <w:highlight w:val="none"/>
          <w:u w:val="singl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6、发包人工作</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6.1发包人应按约定的时间和要求完成以下工作：</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（1）施工场地具备施工条件的要求及完成的时间：</w:t>
      </w:r>
      <w:r>
        <w:rPr>
          <w:rFonts w:hint="eastAsia" w:ascii="宋体" w:hAnsi="宋体" w:eastAsia="宋体" w:cs="宋体"/>
          <w:sz w:val="24"/>
          <w:highlight w:val="none"/>
          <w:u w:val="single"/>
        </w:rPr>
        <w:t xml:space="preserve">已基本到位。</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（2）将施工所需的水、电、电讯线路接至施工场地的时间、地点和供应要求：</w:t>
      </w:r>
      <w:r>
        <w:rPr>
          <w:rFonts w:hint="eastAsia" w:ascii="宋体" w:hAnsi="宋体" w:eastAsia="宋体" w:cs="宋体"/>
          <w:sz w:val="24"/>
          <w:highlight w:val="none"/>
          <w:u w:val="single"/>
        </w:rPr>
        <w:t xml:space="preserve">已提供。</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（3）施工场地与公共道路的通道开通时间和要求：</w:t>
      </w:r>
      <w:r>
        <w:rPr>
          <w:rFonts w:hint="eastAsia" w:ascii="宋体" w:hAnsi="宋体" w:eastAsia="宋体" w:cs="宋体"/>
          <w:sz w:val="24"/>
          <w:highlight w:val="none"/>
          <w:u w:val="single"/>
        </w:rPr>
        <w:t xml:space="preserve">已到位。</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（4）工程地质和地下管线资料的提供时间：</w:t>
      </w:r>
      <w:r>
        <w:rPr>
          <w:rFonts w:hint="eastAsia" w:ascii="宋体" w:hAnsi="宋体" w:eastAsia="宋体" w:cs="宋体"/>
          <w:sz w:val="24"/>
          <w:highlight w:val="none"/>
          <w:u w:val="single"/>
        </w:rPr>
        <w:t xml:space="preserve">需要时工程地质勘察报告、地下管线资料由发包人提供，承包人协助收集。</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（5）由发包人办理的施工所需证件、批件的名称和完成时间：</w:t>
      </w:r>
      <w:r>
        <w:rPr>
          <w:rFonts w:hint="eastAsia" w:ascii="宋体" w:hAnsi="宋体" w:eastAsia="宋体" w:cs="宋体"/>
          <w:sz w:val="24"/>
          <w:highlight w:val="none"/>
          <w:u w:val="single"/>
        </w:rPr>
        <w:t xml:space="preserve">无</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（6）水准点与座标控制点交验要求：</w:t>
      </w:r>
      <w:r>
        <w:rPr>
          <w:rFonts w:hint="eastAsia" w:ascii="宋体" w:hAnsi="宋体" w:eastAsia="宋体" w:cs="宋体"/>
          <w:sz w:val="24"/>
          <w:highlight w:val="none"/>
          <w:u w:val="single"/>
        </w:rPr>
        <w:t xml:space="preserve">正式开工前，现场交接。</w:t>
      </w:r>
      <w:bookmarkStart w:id="116" w:name="EptNR_水准点与座标控制点交验要求"/>
      <w:r/>
      <w:bookmarkEnd w:id="116"/>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（7）图纸会审和设计交底时间：</w:t>
      </w:r>
      <w:r>
        <w:rPr>
          <w:rFonts w:hint="eastAsia" w:ascii="宋体" w:hAnsi="宋体" w:eastAsia="宋体" w:cs="宋体"/>
          <w:sz w:val="24"/>
          <w:highlight w:val="none"/>
          <w:u w:val="single"/>
        </w:rPr>
        <w:t xml:space="preserve">正式开工前。</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（8）协调处理施工场地周围地下管线和邻近建筑物、构筑物（含文物保护建筑）、古树名木的保护工作：</w:t>
      </w:r>
      <w:r>
        <w:rPr>
          <w:rFonts w:hint="eastAsia" w:ascii="宋体" w:hAnsi="宋体" w:eastAsia="宋体" w:cs="宋体"/>
          <w:sz w:val="24"/>
          <w:highlight w:val="none"/>
          <w:u w:val="single"/>
        </w:rPr>
        <w:t xml:space="preserve">承包人负责处理，如有费用支出由发包人承担。</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（9）双方约定发包人应做的其他工作：</w:t>
      </w:r>
      <w:r>
        <w:rPr>
          <w:rFonts w:hint="eastAsia" w:ascii="宋体" w:hAnsi="宋体" w:eastAsia="宋体" w:cs="宋体"/>
          <w:sz w:val="24"/>
          <w:highlight w:val="none"/>
          <w:u w:val="single"/>
        </w:rPr>
        <w:t xml:space="preserve">如涉及，双方现场协商。</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6.2发包人委托承包人办理的工作：</w:t>
      </w:r>
      <w:r>
        <w:rPr>
          <w:rFonts w:hint="eastAsia" w:ascii="宋体" w:hAnsi="宋体" w:eastAsia="宋体" w:cs="宋体"/>
          <w:sz w:val="24"/>
          <w:highlight w:val="none"/>
          <w:u w:val="single"/>
        </w:rPr>
        <w:t xml:space="preserve">如涉及，双方现场协商。</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7、承包人工作</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7.1承包人应按约定时间和要求，完成以下工作：</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（1）需由设计资质等级和业务范围允许的承包人完成的设计文件提交时间：</w:t>
      </w:r>
      <w:bookmarkStart w:id="117" w:name="EBb91b5acf58c34b7ab726e4a68774be9f"/>
      <w:r/>
      <w:bookmarkEnd w:id="117"/>
      <w:r>
        <w:rPr>
          <w:rFonts w:hint="eastAsia" w:ascii="宋体" w:hAnsi="宋体" w:eastAsia="宋体" w:cs="宋体"/>
          <w:sz w:val="24"/>
          <w:highlight w:val="none"/>
        </w:rPr>
      </w:r>
      <w:r/>
    </w:p>
    <w:p>
      <w:pPr>
        <w:pStyle w:val="706"/>
        <w:ind w:firstLine="480"/>
        <w:spacing w:line="360" w:lineRule="auto"/>
        <w:rPr>
          <w:rFonts w:hint="eastAsia" w:ascii="宋体" w:hAnsi="宋体" w:eastAsia="宋体" w:cs="宋体"/>
          <w:bCs/>
          <w:sz w:val="24"/>
          <w:highlight w:val="none"/>
        </w:rPr>
      </w:pPr>
      <w:r>
        <w:rPr>
          <w:rFonts w:hint="eastAsia" w:ascii="宋体" w:hAnsi="宋体" w:eastAsia="宋体" w:cs="宋体"/>
          <w:sz w:val="24"/>
          <w:highlight w:val="none"/>
        </w:rPr>
        <w:t xml:space="preserve">（2）应提供计划、报表的名称及完成时间：</w:t>
      </w:r>
      <w:r>
        <w:rPr>
          <w:rFonts w:hint="eastAsia" w:ascii="宋体" w:hAnsi="宋体" w:eastAsia="宋体" w:cs="宋体"/>
          <w:bCs/>
          <w:sz w:val="24"/>
          <w:highlight w:val="none"/>
          <w:u w:val="single"/>
        </w:rPr>
        <w:t xml:space="preserve">按进度计划要求施工</w:t>
      </w:r>
      <w:r>
        <w:rPr>
          <w:rFonts w:hint="eastAsia" w:ascii="宋体" w:hAnsi="宋体" w:eastAsia="宋体" w:cs="宋体"/>
          <w:bCs/>
          <w:sz w:val="24"/>
          <w:highlight w:val="none"/>
        </w:rPr>
        <w:t xml:space="preserve">；</w:t>
      </w:r>
      <w:r>
        <w:rPr>
          <w:rFonts w:hint="eastAsia" w:ascii="宋体" w:hAnsi="宋体" w:eastAsia="宋体" w:cs="宋体"/>
          <w:bCs/>
          <w:sz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（3）承担施工安全保卫工作及非夜间施工照明的责任和要求：</w:t>
      </w:r>
      <w:r>
        <w:rPr>
          <w:rFonts w:hint="eastAsia" w:ascii="宋体" w:hAnsi="宋体" w:eastAsia="宋体" w:cs="宋体"/>
          <w:sz w:val="24"/>
          <w:highlight w:val="none"/>
          <w:u w:val="single"/>
        </w:rPr>
        <w:t xml:space="preserve">按建设工程安全施工规范、苏州市颁布的有关安全及施工保护规定执行。</w:t>
      </w:r>
      <w:bookmarkStart w:id="118" w:name="EptNR_承担施工安全保卫工作及非夜间施工照明的责任和要求"/>
      <w:r/>
      <w:bookmarkEnd w:id="118"/>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bCs/>
          <w:sz w:val="24"/>
          <w:highlight w:val="none"/>
          <w:u w:val="single"/>
        </w:rPr>
      </w:pPr>
      <w:r>
        <w:rPr>
          <w:rFonts w:hint="eastAsia" w:ascii="宋体" w:hAnsi="宋体" w:eastAsia="宋体" w:cs="宋体"/>
          <w:sz w:val="24"/>
          <w:highlight w:val="none"/>
        </w:rPr>
        <w:t xml:space="preserve">（4）向发包人提供的办公和生活房屋及设施的要求</w:t>
      </w:r>
      <w:r>
        <w:rPr>
          <w:rFonts w:hint="eastAsia" w:ascii="宋体" w:hAnsi="宋体" w:eastAsia="宋体" w:cs="宋体"/>
          <w:sz w:val="24"/>
          <w:highlight w:val="none"/>
          <w:u w:val="single"/>
        </w:rPr>
        <w:t xml:space="preserve">：</w:t>
      </w:r>
      <w:r>
        <w:rPr>
          <w:rFonts w:hint="eastAsia" w:ascii="宋体" w:hAnsi="宋体" w:eastAsia="宋体" w:cs="宋体"/>
          <w:bCs/>
          <w:sz w:val="24"/>
          <w:highlight w:val="none"/>
          <w:u w:val="single"/>
        </w:rPr>
        <w:t xml:space="preserve">无</w:t>
      </w:r>
      <w:r>
        <w:rPr>
          <w:rFonts w:hint="eastAsia" w:ascii="宋体" w:hAnsi="宋体" w:eastAsia="宋体" w:cs="宋体"/>
          <w:sz w:val="24"/>
          <w:highlight w:val="none"/>
          <w:u w:val="single"/>
        </w:rPr>
        <w:t xml:space="preserve">；</w:t>
      </w:r>
      <w:r>
        <w:rPr>
          <w:rFonts w:hint="eastAsia" w:ascii="宋体" w:hAnsi="宋体" w:eastAsia="宋体" w:cs="宋体"/>
          <w:bCs/>
          <w:sz w:val="24"/>
          <w:highlight w:val="none"/>
          <w:u w:val="singl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（5）需承包人办理的有关施工场地交通、环卫和施工噪音管理等手续：</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按苏州市颁布的有关建设工程施工现场交通、环卫、防噪音等方面的管理规定办理并承担相应费用。</w:t>
      </w:r>
      <w:r>
        <w:rPr>
          <w:rFonts w:hint="eastAsia" w:ascii="宋体" w:hAnsi="宋体" w:eastAsia="宋体" w:cs="宋体"/>
          <w:sz w:val="24"/>
          <w:highlight w:val="none"/>
          <w:u w:val="single"/>
        </w:rPr>
      </w:r>
      <w:r/>
    </w:p>
    <w:p>
      <w:pPr>
        <w:pStyle w:val="706"/>
        <w:ind w:firstLine="420"/>
        <w:spacing w:line="360" w:lineRule="auto"/>
        <w:rPr>
          <w:rFonts w:hint="eastAsia" w:ascii="宋体" w:hAnsi="宋体" w:eastAsia="宋体" w:cs="宋体"/>
          <w:bCs/>
          <w:sz w:val="24"/>
          <w:highlight w:val="none"/>
          <w:u w:val="single"/>
        </w:rPr>
      </w:pPr>
      <w:r>
        <w:rPr>
          <w:rFonts w:hint="eastAsia" w:ascii="宋体" w:hAnsi="宋体" w:eastAsia="宋体" w:cs="宋体"/>
          <w:sz w:val="24"/>
          <w:highlight w:val="none"/>
        </w:rPr>
        <w:t xml:space="preserve">（6）已完工程成品保护的特殊要求及费用承担：</w:t>
      </w:r>
      <w:r>
        <w:rPr>
          <w:rFonts w:hint="eastAsia" w:ascii="宋体" w:hAnsi="宋体" w:eastAsia="宋体" w:cs="宋体"/>
          <w:bCs/>
          <w:sz w:val="24"/>
          <w:highlight w:val="none"/>
          <w:u w:val="single"/>
        </w:rPr>
        <w:t xml:space="preserve">未交付发包人使用前由承包人负责；</w:t>
      </w:r>
      <w:r>
        <w:rPr>
          <w:rFonts w:hint="eastAsia" w:ascii="宋体" w:hAnsi="宋体" w:eastAsia="宋体" w:cs="宋体"/>
          <w:bCs/>
          <w:sz w:val="24"/>
          <w:highlight w:val="none"/>
          <w:u w:val="single"/>
        </w:rPr>
      </w:r>
      <w:r/>
    </w:p>
    <w:p>
      <w:pPr>
        <w:pStyle w:val="706"/>
        <w:ind w:firstLine="42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（7）施工场地周围地下管线和邻近建筑物、构筑物（含文物保护建筑）、古树名木的保护要求及费用承担：</w:t>
      </w:r>
      <w:r>
        <w:rPr>
          <w:rFonts w:hint="eastAsia" w:ascii="宋体" w:hAnsi="宋体" w:eastAsia="宋体" w:cs="宋体"/>
          <w:sz w:val="24"/>
          <w:highlight w:val="none"/>
          <w:u w:val="single"/>
        </w:rPr>
        <w:t xml:space="preserve">承包人负责保护，如有费用支出由发包人承担。由于承包人过错造成的损失，由承包人承担。</w:t>
      </w:r>
      <w:r>
        <w:rPr>
          <w:rFonts w:hint="eastAsia" w:ascii="宋体" w:hAnsi="宋体" w:eastAsia="宋体" w:cs="宋体"/>
          <w:sz w:val="24"/>
          <w:highlight w:val="none"/>
          <w:u w:val="singl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（8）施工场地清洁卫生的要求：</w:t>
      </w:r>
      <w:r>
        <w:rPr>
          <w:rFonts w:hint="eastAsia" w:ascii="宋体" w:hAnsi="宋体" w:eastAsia="宋体" w:cs="宋体"/>
          <w:sz w:val="24"/>
          <w:highlight w:val="none"/>
          <w:u w:val="single"/>
        </w:rPr>
        <w:t xml:space="preserve">施工期间按创建文明工地及环卫行政主管部门的要求执行，施工后做到工完场清，</w:t>
      </w:r>
      <w:r>
        <w:rPr>
          <w:rFonts w:hint="eastAsia" w:ascii="宋体" w:hAnsi="宋体" w:eastAsia="宋体" w:cs="宋体"/>
          <w:b/>
          <w:sz w:val="24"/>
          <w:highlight w:val="none"/>
          <w:u w:val="single"/>
        </w:rPr>
        <w:t xml:space="preserve">垃圾必须袋装化处理，否则，发现一次，扣罚500元。</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（9）双方约定承包人应做的其他工作：</w:t>
      </w:r>
      <w:r>
        <w:rPr>
          <w:rFonts w:hint="eastAsia" w:ascii="宋体" w:hAnsi="宋体" w:eastAsia="宋体" w:cs="宋体"/>
          <w:sz w:val="24"/>
          <w:highlight w:val="none"/>
          <w:u w:val="single"/>
        </w:rPr>
        <w:t xml:space="preserve">如涉及，双方现场协商。</w:t>
      </w:r>
      <w:r>
        <w:rPr>
          <w:rFonts w:hint="eastAsia" w:ascii="宋体" w:hAnsi="宋体" w:eastAsia="宋体" w:cs="宋体"/>
          <w:sz w:val="24"/>
          <w:highlight w:val="none"/>
          <w:u w:val="single"/>
        </w:rPr>
      </w:r>
      <w:r/>
    </w:p>
    <w:p>
      <w:pPr>
        <w:pStyle w:val="706"/>
        <w:ind w:firstLine="420"/>
        <w:spacing w:line="360" w:lineRule="auto"/>
        <w:rPr>
          <w:rFonts w:hint="eastAsia" w:ascii="宋体" w:hAnsi="宋体" w:eastAsia="宋体" w:cs="宋体"/>
          <w:sz w:val="24"/>
          <w:highlight w:val="none"/>
          <w:u w:val="single"/>
          <w:lang w:val="en-US" w:eastAsia="zh-CN"/>
        </w:rPr>
      </w:pPr>
      <w:r>
        <w:rPr>
          <w:rFonts w:hint="eastAsia" w:ascii="宋体" w:hAnsi="宋体" w:eastAsia="宋体" w:cs="宋体"/>
          <w:sz w:val="24"/>
          <w:highlight w:val="none"/>
          <w:u w:val="single"/>
          <w:lang w:val="en-US" w:eastAsia="zh-CN"/>
        </w:rPr>
        <w:t xml:space="preserve">8、关于项目经理每月在施工现场的时间要求：承包人项目负责人在同一合同期内严禁兼任另一工程的项目负责人，承包人项目负责人驻现场每月不得少于22天，须现场签到，未经书面报发包人（代建人）允许，每少一天，向发包人支付 1万元/天的违约金。项目负责人未请假或未经批准而不参加工地会议的，则每次须向发包人支付0.5万元/次的违约金。承包人承担由此给发包人造成的全部损失和法律后果。</w:t>
      </w:r>
      <w:r>
        <w:rPr>
          <w:rFonts w:hint="eastAsia" w:ascii="宋体" w:hAnsi="宋体" w:eastAsia="宋体" w:cs="宋体"/>
          <w:sz w:val="24"/>
          <w:highlight w:val="none"/>
          <w:u w:val="single"/>
          <w:lang w:val="en-US" w:eastAsia="zh-CN"/>
        </w:rPr>
      </w:r>
      <w:r/>
    </w:p>
    <w:p>
      <w:pPr>
        <w:pStyle w:val="709"/>
        <w:spacing w:line="360" w:lineRule="auto"/>
        <w:rPr>
          <w:rFonts w:hint="eastAsia" w:ascii="宋体" w:hAnsi="宋体" w:eastAsia="宋体" w:cs="宋体"/>
          <w:sz w:val="24"/>
          <w:szCs w:val="24"/>
          <w:highlight w:val="none"/>
        </w:rPr>
      </w:pPr>
      <w:r/>
      <w:bookmarkStart w:id="119" w:name="_Toc273453276"/>
      <w:r/>
      <w:bookmarkStart w:id="120" w:name="_Toc32613"/>
      <w:r>
        <w:rPr>
          <w:rFonts w:hint="eastAsia" w:ascii="宋体" w:hAnsi="宋体" w:eastAsia="宋体" w:cs="宋体"/>
          <w:sz w:val="24"/>
          <w:szCs w:val="24"/>
          <w:highlight w:val="none"/>
        </w:rPr>
        <w:t xml:space="preserve">三、施工组织设计和工期</w:t>
      </w:r>
      <w:bookmarkEnd w:id="119"/>
      <w:r/>
      <w:bookmarkEnd w:id="120"/>
      <w:r>
        <w:rPr>
          <w:rFonts w:hint="eastAsia" w:ascii="宋体" w:hAnsi="宋体" w:eastAsia="宋体" w:cs="宋体"/>
          <w:sz w:val="24"/>
          <w:szCs w:val="24"/>
          <w:highlight w:val="none"/>
        </w:rPr>
      </w:r>
      <w:r/>
    </w:p>
    <w:p>
      <w:pPr>
        <w:pStyle w:val="70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8、进度计划</w:t>
      </w:r>
      <w:r>
        <w:rPr>
          <w:rFonts w:hint="eastAsia" w:ascii="宋体" w:hAnsi="宋体" w:eastAsia="宋体" w:cs="宋体"/>
          <w:sz w:val="24"/>
          <w:highlight w:val="none"/>
        </w:rPr>
      </w:r>
      <w:r/>
    </w:p>
    <w:p>
      <w:pPr>
        <w:pStyle w:val="70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8.1承包人提供施工组织设计（施工方案）和进度计划的时间：</w:t>
      </w:r>
      <w:r>
        <w:rPr>
          <w:rFonts w:hint="eastAsia" w:ascii="宋体" w:hAnsi="宋体" w:eastAsia="宋体" w:cs="宋体"/>
          <w:sz w:val="24"/>
          <w:highlight w:val="none"/>
          <w:u w:val="single"/>
        </w:rPr>
        <w:t xml:space="preserve">进场前。</w:t>
      </w:r>
      <w:r>
        <w:rPr>
          <w:rFonts w:hint="eastAsia" w:ascii="宋体" w:hAnsi="宋体" w:eastAsia="宋体" w:cs="宋体"/>
          <w:sz w:val="24"/>
          <w:highlight w:val="none"/>
        </w:rPr>
      </w:r>
      <w:r/>
    </w:p>
    <w:p>
      <w:pPr>
        <w:pStyle w:val="70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工程师确认的时间：</w:t>
      </w:r>
      <w:r>
        <w:rPr>
          <w:rFonts w:hint="eastAsia" w:ascii="宋体" w:hAnsi="宋体" w:eastAsia="宋体" w:cs="宋体"/>
          <w:sz w:val="24"/>
          <w:highlight w:val="none"/>
          <w:u w:val="single"/>
        </w:rPr>
        <w:t xml:space="preserve">收到后七天。</w:t>
      </w:r>
      <w:r>
        <w:rPr>
          <w:rFonts w:hint="eastAsia" w:ascii="宋体" w:hAnsi="宋体" w:eastAsia="宋体" w:cs="宋体"/>
          <w:sz w:val="24"/>
          <w:highlight w:val="none"/>
        </w:rPr>
      </w:r>
      <w:r/>
    </w:p>
    <w:p>
      <w:pPr>
        <w:pStyle w:val="70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8.2  暂停施工</w:t>
      </w:r>
      <w:r>
        <w:rPr>
          <w:rFonts w:hint="eastAsia" w:ascii="宋体" w:hAnsi="宋体" w:eastAsia="宋体" w:cs="宋体"/>
          <w:sz w:val="24"/>
          <w:highlight w:val="none"/>
        </w:rPr>
      </w:r>
      <w:r/>
    </w:p>
    <w:p>
      <w:pPr>
        <w:pStyle w:val="70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以下情况造成的停工不属于发包人原因造成的停工：</w:t>
      </w:r>
      <w:r>
        <w:rPr>
          <w:rFonts w:hint="eastAsia" w:ascii="宋体" w:hAnsi="宋体" w:eastAsia="宋体" w:cs="宋体"/>
          <w:sz w:val="24"/>
          <w:highlight w:val="none"/>
        </w:rPr>
      </w:r>
      <w:r/>
    </w:p>
    <w:p>
      <w:pPr>
        <w:pStyle w:val="70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（1）承包人与现场其他施工单位交叉施工造成的停工；</w:t>
      </w:r>
      <w:r>
        <w:rPr>
          <w:rFonts w:hint="eastAsia" w:ascii="宋体" w:hAnsi="宋体" w:eastAsia="宋体" w:cs="宋体"/>
          <w:sz w:val="24"/>
          <w:highlight w:val="none"/>
        </w:rPr>
      </w:r>
      <w:r/>
    </w:p>
    <w:p>
      <w:pPr>
        <w:pStyle w:val="70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（2）各种自然灾害、不可抗力造成的停工（不可抗力的解释见39条款）；</w:t>
      </w:r>
      <w:r>
        <w:rPr>
          <w:rFonts w:hint="eastAsia" w:ascii="宋体" w:hAnsi="宋体" w:eastAsia="宋体" w:cs="宋体"/>
          <w:sz w:val="24"/>
          <w:highlight w:val="none"/>
        </w:rPr>
      </w:r>
      <w:r/>
    </w:p>
    <w:p>
      <w:pPr>
        <w:pStyle w:val="70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（3）事先未发现的地下障碍物造成的停工；</w:t>
      </w:r>
      <w:r>
        <w:rPr>
          <w:rFonts w:hint="eastAsia" w:ascii="宋体" w:hAnsi="宋体" w:eastAsia="宋体" w:cs="宋体"/>
          <w:sz w:val="24"/>
          <w:highlight w:val="none"/>
        </w:rPr>
      </w:r>
      <w:r/>
    </w:p>
    <w:p>
      <w:pPr>
        <w:pStyle w:val="70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对上述情况，承包人可递交书面材料申请延期，经总监、发包人签字确认后，工期可延期。</w:t>
      </w:r>
      <w:r>
        <w:rPr>
          <w:rFonts w:hint="eastAsia" w:ascii="宋体" w:hAnsi="宋体" w:eastAsia="宋体" w:cs="宋体"/>
          <w:sz w:val="24"/>
          <w:highlight w:val="none"/>
        </w:rPr>
      </w:r>
      <w:r/>
    </w:p>
    <w:p>
      <w:pPr>
        <w:pStyle w:val="70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9、工期延误</w:t>
      </w:r>
      <w:r>
        <w:rPr>
          <w:rFonts w:hint="eastAsia" w:ascii="宋体" w:hAnsi="宋体" w:eastAsia="宋体" w:cs="宋体"/>
          <w:sz w:val="24"/>
          <w:highlight w:val="none"/>
        </w:rPr>
      </w:r>
      <w:r/>
    </w:p>
    <w:p>
      <w:pPr>
        <w:pStyle w:val="706"/>
        <w:ind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9.1双方约定工期顺延的其他情况：</w:t>
      </w:r>
      <w:r>
        <w:rPr>
          <w:rFonts w:hint="eastAsia" w:ascii="宋体" w:hAnsi="宋体" w:eastAsia="宋体" w:cs="宋体"/>
          <w:sz w:val="24"/>
          <w:highlight w:val="none"/>
          <w:u w:val="single"/>
        </w:rPr>
        <w:t xml:space="preserve">按合同工期实施，非承包人原因引起的工期延误发包方应予以顺延工期。</w:t>
      </w:r>
      <w:r>
        <w:rPr>
          <w:rFonts w:hint="eastAsia" w:ascii="宋体" w:hAnsi="宋体" w:eastAsia="宋体" w:cs="宋体"/>
          <w:sz w:val="24"/>
          <w:highlight w:val="none"/>
          <w:u w:val="single"/>
        </w:rPr>
      </w:r>
      <w:r/>
    </w:p>
    <w:p>
      <w:pPr>
        <w:pStyle w:val="70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u w:val="single"/>
        </w:rPr>
        <w:t xml:space="preserve">9.2因承包人原因延误工期，每延误一天，扣罚承包人2000元的违约金。</w:t>
      </w:r>
      <w:r>
        <w:rPr>
          <w:rFonts w:hint="eastAsia" w:ascii="宋体" w:hAnsi="宋体" w:eastAsia="宋体" w:cs="宋体"/>
          <w:sz w:val="24"/>
          <w:highlight w:val="none"/>
        </w:rPr>
      </w:r>
      <w:r/>
    </w:p>
    <w:p>
      <w:pPr>
        <w:pStyle w:val="709"/>
        <w:spacing w:line="360" w:lineRule="auto"/>
        <w:rPr>
          <w:rFonts w:hint="eastAsia" w:ascii="宋体" w:hAnsi="宋体" w:eastAsia="宋体" w:cs="宋体"/>
          <w:sz w:val="24"/>
          <w:szCs w:val="24"/>
          <w:highlight w:val="none"/>
        </w:rPr>
      </w:pPr>
      <w:r/>
      <w:bookmarkStart w:id="121" w:name="_Toc26925"/>
      <w:r/>
      <w:bookmarkStart w:id="122" w:name="_Toc273453277"/>
      <w:r>
        <w:rPr>
          <w:rFonts w:hint="eastAsia" w:ascii="宋体" w:hAnsi="宋体" w:eastAsia="宋体" w:cs="宋体"/>
          <w:sz w:val="24"/>
          <w:szCs w:val="24"/>
          <w:highlight w:val="none"/>
        </w:rPr>
        <w:t xml:space="preserve">四、质量与验收</w:t>
      </w:r>
      <w:bookmarkEnd w:id="121"/>
      <w:r/>
      <w:bookmarkEnd w:id="122"/>
      <w:r>
        <w:rPr>
          <w:rFonts w:hint="eastAsia" w:ascii="宋体" w:hAnsi="宋体" w:eastAsia="宋体" w:cs="宋体"/>
          <w:sz w:val="24"/>
          <w:szCs w:val="24"/>
          <w:highlight w:val="none"/>
        </w:rPr>
      </w:r>
      <w:r/>
    </w:p>
    <w:p>
      <w:pPr>
        <w:pStyle w:val="70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10、本工程质量必须通过监理、发包人、质监站等相关部门的验收和确认。</w:t>
      </w:r>
      <w:r>
        <w:rPr>
          <w:rFonts w:hint="eastAsia" w:ascii="宋体" w:hAnsi="宋体" w:eastAsia="宋体" w:cs="宋体"/>
          <w:sz w:val="24"/>
          <w:highlight w:val="none"/>
        </w:rPr>
      </w:r>
      <w:r/>
    </w:p>
    <w:p>
      <w:pPr>
        <w:pStyle w:val="70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11、确保工程质量为一次合格。</w:t>
      </w:r>
      <w:r>
        <w:rPr>
          <w:rFonts w:hint="eastAsia" w:ascii="宋体" w:hAnsi="宋体" w:eastAsia="宋体" w:cs="宋体"/>
          <w:sz w:val="24"/>
          <w:highlight w:val="none"/>
        </w:rPr>
      </w:r>
      <w:r/>
    </w:p>
    <w:p>
      <w:pPr>
        <w:pStyle w:val="70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12、除不可抗力因素如战争、地震、火灾、自然灾害因素情况外，承包人保证对所供材料在工程全面竣工后设计合理使用年限内使用性能不变。</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13、隐蔽工程和中间验收</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13.1双方约定中间验收部位：</w:t>
      </w:r>
      <w:r>
        <w:rPr>
          <w:rFonts w:hint="eastAsia" w:ascii="宋体" w:hAnsi="宋体" w:eastAsia="宋体" w:cs="宋体"/>
          <w:sz w:val="24"/>
          <w:highlight w:val="none"/>
          <w:u w:val="single"/>
        </w:rPr>
        <w:t xml:space="preserve">按发包人指令执行。</w:t>
      </w:r>
      <w:r>
        <w:rPr>
          <w:rFonts w:hint="eastAsia" w:ascii="宋体" w:hAnsi="宋体" w:eastAsia="宋体" w:cs="宋体"/>
          <w:sz w:val="24"/>
          <w:highlight w:val="none"/>
          <w:u w:val="single"/>
        </w:rPr>
      </w:r>
      <w:r/>
    </w:p>
    <w:p>
      <w:pPr>
        <w:pStyle w:val="709"/>
        <w:spacing w:line="360" w:lineRule="auto"/>
        <w:rPr>
          <w:rFonts w:hint="eastAsia" w:ascii="宋体" w:hAnsi="宋体" w:eastAsia="宋体" w:cs="宋体"/>
          <w:sz w:val="24"/>
          <w:szCs w:val="24"/>
          <w:highlight w:val="none"/>
        </w:rPr>
      </w:pPr>
      <w:r/>
      <w:bookmarkStart w:id="123" w:name="_Toc16126"/>
      <w:r/>
      <w:bookmarkStart w:id="124" w:name="_Toc273453278"/>
      <w:r>
        <w:rPr>
          <w:rFonts w:hint="eastAsia" w:ascii="宋体" w:hAnsi="宋体" w:eastAsia="宋体" w:cs="宋体"/>
          <w:sz w:val="24"/>
          <w:szCs w:val="24"/>
          <w:highlight w:val="none"/>
        </w:rPr>
        <w:t xml:space="preserve">五、安全施工</w:t>
      </w:r>
      <w:bookmarkEnd w:id="123"/>
      <w:r/>
      <w:bookmarkEnd w:id="124"/>
      <w:r>
        <w:rPr>
          <w:rFonts w:hint="eastAsia" w:ascii="宋体" w:hAnsi="宋体" w:eastAsia="宋体" w:cs="宋体"/>
          <w:sz w:val="24"/>
          <w:szCs w:val="24"/>
          <w:highlight w:val="none"/>
        </w:rPr>
      </w:r>
      <w:r/>
    </w:p>
    <w:p>
      <w:pPr>
        <w:pStyle w:val="706"/>
        <w:ind w:firstLine="480"/>
        <w:jc w:val="left"/>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14、按建设部现行的《建设工程安全生产管理条例》的有关规定、《苏州市建筑施工安全监督管理办法》的有关条款以及磋商文件中技术标准和要求规定执行，由承包人负责管理，发包人监督执行，安全事故由责任方承担一切后果。</w:t>
      </w:r>
      <w:r>
        <w:rPr>
          <w:rFonts w:hint="eastAsia" w:ascii="宋体" w:hAnsi="宋体" w:eastAsia="宋体" w:cs="宋体"/>
          <w:sz w:val="24"/>
          <w:highlight w:val="none"/>
          <w:u w:val="single"/>
        </w:rPr>
      </w:r>
      <w:r/>
    </w:p>
    <w:p>
      <w:pPr>
        <w:pStyle w:val="709"/>
        <w:spacing w:line="360" w:lineRule="auto"/>
        <w:rPr>
          <w:rFonts w:hint="eastAsia" w:ascii="宋体" w:hAnsi="宋体" w:eastAsia="宋体" w:cs="宋体"/>
          <w:sz w:val="24"/>
          <w:szCs w:val="24"/>
          <w:highlight w:val="none"/>
        </w:rPr>
      </w:pPr>
      <w:r/>
      <w:bookmarkStart w:id="125" w:name="_Toc26627"/>
      <w:r/>
      <w:bookmarkStart w:id="126" w:name="_Toc273453279"/>
      <w:r/>
      <w:bookmarkStart w:id="127" w:name="EptNR_双方约定合同价款的其他调整因素"/>
      <w:r/>
      <w:bookmarkStart w:id="128" w:name="EptNR_环境保护"/>
      <w:r/>
      <w:bookmarkEnd w:id="128"/>
      <w:r/>
      <w:bookmarkStart w:id="129" w:name="EB3960a54ff1ed432280ebd5b194cdb544"/>
      <w:r/>
      <w:bookmarkEnd w:id="129"/>
      <w:r>
        <w:rPr>
          <w:rFonts w:hint="eastAsia" w:ascii="宋体" w:hAnsi="宋体" w:eastAsia="宋体" w:cs="宋体"/>
          <w:sz w:val="24"/>
          <w:szCs w:val="24"/>
          <w:highlight w:val="none"/>
        </w:rPr>
        <w:t xml:space="preserve">六、合同价款与支付</w:t>
      </w:r>
      <w:bookmarkEnd w:id="125"/>
      <w:r/>
      <w:bookmarkEnd w:id="126"/>
      <w:r>
        <w:rPr>
          <w:rFonts w:hint="eastAsia" w:ascii="宋体" w:hAnsi="宋体" w:eastAsia="宋体" w:cs="宋体"/>
          <w:sz w:val="24"/>
          <w:szCs w:val="24"/>
          <w:highlight w:val="none"/>
        </w:rPr>
      </w:r>
      <w:r/>
    </w:p>
    <w:p>
      <w:pPr>
        <w:pStyle w:val="1007"/>
        <w:ind w:left="0" w:right="0"/>
        <w:spacing w:before="0" w:after="0" w:line="360" w:lineRule="auto"/>
        <w:rPr>
          <w:rFonts w:hint="eastAsia" w:ascii="宋体" w:hAnsi="宋体" w:cs="宋体"/>
          <w:szCs w:val="24"/>
          <w:highlight w:val="none"/>
        </w:rPr>
      </w:pPr>
      <w:r>
        <w:rPr>
          <w:rFonts w:hint="eastAsia" w:ascii="宋体" w:hAnsi="宋体" w:cs="宋体"/>
          <w:szCs w:val="24"/>
          <w:highlight w:val="none"/>
        </w:rPr>
        <w:t xml:space="preserve">15、合同价款及调整</w:t>
      </w:r>
      <w:r>
        <w:rPr>
          <w:rFonts w:hint="eastAsia" w:ascii="宋体" w:hAnsi="宋体" w:cs="宋体"/>
          <w:szCs w:val="24"/>
          <w:highlight w:val="none"/>
        </w:rPr>
      </w:r>
      <w:r/>
    </w:p>
    <w:p>
      <w:pPr>
        <w:pStyle w:val="1007"/>
        <w:ind w:left="0" w:right="0"/>
        <w:spacing w:before="0" w:after="0" w:line="360" w:lineRule="auto"/>
        <w:rPr>
          <w:rFonts w:hint="eastAsia" w:ascii="宋体" w:hAnsi="宋体" w:cs="宋体"/>
          <w:szCs w:val="24"/>
          <w:highlight w:val="none"/>
        </w:rPr>
      </w:pPr>
      <w:r>
        <w:rPr>
          <w:rFonts w:hint="eastAsia" w:ascii="宋体" w:hAnsi="宋体" w:cs="宋体"/>
          <w:szCs w:val="24"/>
          <w:highlight w:val="none"/>
        </w:rPr>
        <w:t xml:space="preserve">15.1 本合同价款采用固定单价合同，承包人的报价已包括完成磋商文件规定的工程量清单项目所需的全部费用，在约定的风险范围内，承包人所报综合单价不再调整。在工程实施过程中，发包人有权调整工作内容，变更品牌及材质等，变更的内容相应调整，但变更部分的材料价格须经发包人认可。</w:t>
      </w:r>
      <w:r>
        <w:rPr>
          <w:rFonts w:hint="eastAsia" w:ascii="宋体" w:hAnsi="宋体" w:cs="宋体"/>
          <w:szCs w:val="24"/>
          <w:highlight w:val="none"/>
        </w:rPr>
      </w:r>
      <w:r/>
    </w:p>
    <w:p>
      <w:pPr>
        <w:pStyle w:val="706"/>
        <w:ind w:firstLine="3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15.2执行综合单价合同的基本规定：</w:t>
      </w:r>
      <w:r>
        <w:rPr>
          <w:rFonts w:hint="eastAsia" w:ascii="宋体" w:hAnsi="宋体" w:eastAsia="宋体" w:cs="宋体"/>
          <w:sz w:val="24"/>
          <w:highlight w:val="none"/>
        </w:rPr>
      </w:r>
      <w:r/>
    </w:p>
    <w:p>
      <w:pPr>
        <w:pStyle w:val="70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承包人投标时已按统一的工程量清单报价，在施工过程中，不论由于工程量清单有误或漏项，还是由于设计变更、现场变更、签证引起的工程量清单项目或清单项目工程数量的增减，均按实调整，施工做法不变，综合单价不变。</w:t>
      </w:r>
      <w:r>
        <w:rPr>
          <w:rFonts w:hint="eastAsia" w:ascii="宋体" w:hAnsi="宋体" w:eastAsia="宋体" w:cs="宋体"/>
          <w:sz w:val="24"/>
          <w:highlight w:val="none"/>
        </w:rPr>
      </w:r>
      <w:r/>
    </w:p>
    <w:p>
      <w:pPr>
        <w:pStyle w:val="70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2）清单范围外的签证变更不予结算。</w:t>
      </w:r>
      <w:r>
        <w:rPr>
          <w:rFonts w:hint="eastAsia" w:ascii="宋体" w:hAnsi="宋体" w:eastAsia="宋体" w:cs="宋体"/>
          <w:sz w:val="24"/>
          <w:highlight w:val="none"/>
        </w:rPr>
      </w:r>
      <w:r/>
    </w:p>
    <w:p>
      <w:pPr>
        <w:pStyle w:val="70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乙方报价时，必须按统一的工程量清单报价，中标后，本工程中工程量清单项目的综合单价按预算单价下浮之后的综合单价执行【下浮率为=(预算价－中标价)÷[预算价－暂列金额×(1+规费费率)×(1+税率)-专项暂估价×(1+规费费率)×(1+税率)-材料暂估价×(1+安全文明施工措施费率)×(1+规费费率)×(1+税率)- 甲供材料费×(1+安全文明施工措施费率)×(1+规费费率)] ×1</w:t>
      </w:r>
      <w:r>
        <w:rPr>
          <w:rFonts w:hint="eastAsia" w:ascii="宋体" w:hAnsi="宋体" w:eastAsia="宋体" w:cs="宋体"/>
          <w:sz w:val="24"/>
          <w:highlight w:val="none"/>
        </w:rPr>
        <w:t xml:space="preserve">00%。】，由于工程量清单的工程数量有误或者设计变更、现场签证等引起的工程量增减，当工程量清单项目工程量的变化幅度未超过10%（含10%），则综合单价不调整；若工程量清单项目工程量的变化幅度超过10%，并且影响分部分项工程费超过0.1%的，综合单价可调整；其增加部分的工程量或者减少后剩余部分的工程量的综合单价由承包人提出，经发包人确认后，作为支付进度款的依据。最终价格以审计为准，最终价格比合同金额增加部分经采购方批准同意后，根据追加的采购计划签订补充合同，但全部补充合同的采购金额不得超过原合同金额的10%。</w:t>
      </w:r>
      <w:r>
        <w:rPr>
          <w:rFonts w:hint="eastAsia" w:ascii="宋体" w:hAnsi="宋体" w:eastAsia="宋体" w:cs="宋体"/>
          <w:sz w:val="24"/>
          <w:highlight w:val="none"/>
        </w:rPr>
      </w:r>
      <w:r/>
    </w:p>
    <w:p>
      <w:pPr>
        <w:pStyle w:val="706"/>
        <w:numPr>
          <w:ilvl w:val="0"/>
          <w:numId w:val="9"/>
        </w:numPr>
        <w:ind w:firstLine="480"/>
        <w:spacing w:line="360" w:lineRule="auto"/>
        <w:tabs>
          <w:tab w:val="left" w:pos="1620" w:leader="none"/>
        </w:tabs>
        <w:rPr>
          <w:rFonts w:hint="eastAsia" w:ascii="宋体" w:hAnsi="宋体" w:eastAsia="宋体" w:cs="宋体"/>
          <w:sz w:val="24"/>
          <w:highlight w:val="none"/>
        </w:rPr>
      </w:pPr>
      <w:r>
        <w:rPr>
          <w:rFonts w:hint="eastAsia" w:ascii="宋体" w:hAnsi="宋体" w:eastAsia="宋体" w:cs="宋体"/>
          <w:sz w:val="24"/>
          <w:highlight w:val="none"/>
        </w:rPr>
        <w:t xml:space="preserve">本工程在磋商文件中已明确的各项施工措施费，均包含在合同总价中。其他在磋商文件和答疑中未提及、未明确部分的施工措施费项目，可以根据相关资料按实调整，并作相应的下浮。</w:t>
      </w:r>
      <w:r>
        <w:rPr>
          <w:rFonts w:hint="eastAsia" w:ascii="宋体" w:hAnsi="宋体" w:eastAsia="宋体" w:cs="宋体"/>
          <w:sz w:val="24"/>
          <w:highlight w:val="none"/>
        </w:rPr>
      </w:r>
      <w:r/>
    </w:p>
    <w:p>
      <w:pPr>
        <w:pStyle w:val="706"/>
        <w:ind w:firstLine="480"/>
        <w:spacing w:line="360" w:lineRule="auto"/>
        <w:tabs>
          <w:tab w:val="left" w:pos="1620" w:leader="none"/>
        </w:tabs>
        <w:rPr>
          <w:rFonts w:hint="eastAsia" w:ascii="宋体" w:hAnsi="宋体" w:eastAsia="宋体" w:cs="宋体"/>
          <w:sz w:val="24"/>
          <w:highlight w:val="none"/>
        </w:rPr>
      </w:pPr>
      <w:r>
        <w:rPr>
          <w:rFonts w:hint="eastAsia" w:ascii="宋体" w:hAnsi="宋体" w:eastAsia="宋体" w:cs="宋体"/>
          <w:sz w:val="24"/>
          <w:highlight w:val="none"/>
        </w:rPr>
        <w:t xml:space="preserve">5）实质性响应条款：（1）追加费用不得超过原合同金额的10%。（2）原合同金额10%以内的追加费用，限于原合同内工程清单数量调整增加的工程费用，原合同外工程内容不得计入。</w:t>
      </w:r>
      <w:r>
        <w:rPr>
          <w:rFonts w:hint="eastAsia" w:ascii="宋体" w:hAnsi="宋体" w:eastAsia="宋体" w:cs="宋体"/>
          <w:sz w:val="24"/>
          <w:highlight w:val="none"/>
        </w:rPr>
      </w:r>
      <w:r/>
    </w:p>
    <w:p>
      <w:pPr>
        <w:pStyle w:val="706"/>
        <w:ind w:firstLine="720"/>
        <w:spacing w:line="360" w:lineRule="auto"/>
        <w:tabs>
          <w:tab w:val="left" w:pos="1620" w:leader="none"/>
        </w:tabs>
        <w:rPr>
          <w:rFonts w:hint="eastAsia" w:ascii="宋体" w:hAnsi="宋体" w:eastAsia="宋体" w:cs="宋体"/>
          <w:sz w:val="24"/>
          <w:highlight w:val="none"/>
        </w:rPr>
      </w:pPr>
      <w:r>
        <w:rPr>
          <w:rFonts w:hint="eastAsia" w:ascii="宋体" w:hAnsi="宋体" w:eastAsia="宋体" w:cs="宋体"/>
          <w:sz w:val="24"/>
          <w:highlight w:val="none"/>
        </w:rPr>
        <w:t xml:space="preserve">小额工程在履行合同时，发生工程变更的，按照工程变更管理的相关规定办理变更手续。工程完工验收合格后，按发包方要求进行审计。</w:t>
      </w:r>
      <w:r>
        <w:rPr>
          <w:rFonts w:hint="eastAsia" w:ascii="宋体" w:hAnsi="宋体" w:eastAsia="宋体" w:cs="宋体"/>
          <w:sz w:val="24"/>
          <w:highlight w:val="none"/>
        </w:rPr>
      </w:r>
      <w:r/>
    </w:p>
    <w:p>
      <w:pPr>
        <w:pStyle w:val="706"/>
        <w:ind w:firstLine="720"/>
        <w:spacing w:line="360" w:lineRule="auto"/>
        <w:tabs>
          <w:tab w:val="left" w:pos="1620" w:leader="none"/>
        </w:tabs>
        <w:rPr>
          <w:rFonts w:hint="eastAsia" w:ascii="宋体" w:hAnsi="宋体" w:eastAsia="宋体" w:cs="宋体"/>
          <w:sz w:val="24"/>
          <w:highlight w:val="none"/>
        </w:rPr>
      </w:pPr>
      <w:r>
        <w:rPr>
          <w:rFonts w:hint="eastAsia" w:ascii="宋体" w:hAnsi="宋体" w:eastAsia="宋体" w:cs="宋体"/>
          <w:sz w:val="24"/>
          <w:highlight w:val="none"/>
        </w:rPr>
        <w:t xml:space="preserve">6）如响应报价有严重不平衡报价的（原则上以超过预算综合单价的正负20%为界定标准），发包人有权按照有利于发包人的方法处理，包括并不仅限于：发包人可以将投标单价超过预算单价20%的按预算单价乘以中标下浮率进行结算，未发生工程量低于预算单价20%的投标价按预算单价乘以中标下浮率进行扣除，已发生工程量低于预算单价20%的按投标价结算等措施。</w:t>
      </w:r>
      <w:r>
        <w:rPr>
          <w:rFonts w:hint="eastAsia" w:ascii="宋体" w:hAnsi="宋体" w:eastAsia="宋体" w:cs="宋体"/>
          <w:sz w:val="24"/>
          <w:highlight w:val="none"/>
        </w:rPr>
      </w:r>
      <w:r/>
    </w:p>
    <w:p>
      <w:pPr>
        <w:pStyle w:val="1007"/>
        <w:ind w:left="0" w:right="0"/>
        <w:spacing w:before="0" w:after="0" w:line="360" w:lineRule="auto"/>
        <w:rPr>
          <w:rFonts w:hint="eastAsia" w:ascii="宋体" w:hAnsi="宋体" w:cs="宋体"/>
          <w:szCs w:val="24"/>
          <w:highlight w:val="none"/>
        </w:rPr>
      </w:pPr>
      <w:r>
        <w:rPr>
          <w:rFonts w:hint="eastAsia" w:ascii="宋体" w:hAnsi="宋体" w:cs="宋体"/>
          <w:szCs w:val="24"/>
          <w:highlight w:val="none"/>
        </w:rPr>
        <w:t xml:space="preserve">16 双方约定合同价款的其他调整因素：</w:t>
      </w:r>
      <w:r>
        <w:rPr>
          <w:rFonts w:hint="eastAsia" w:ascii="宋体" w:hAnsi="宋体" w:cs="宋体"/>
          <w:szCs w:val="24"/>
          <w:highlight w:val="none"/>
        </w:rPr>
      </w:r>
      <w:r/>
    </w:p>
    <w:p>
      <w:pPr>
        <w:pStyle w:val="1007"/>
        <w:ind w:left="0" w:right="0" w:firstLine="240"/>
        <w:spacing w:before="0" w:after="0" w:line="360" w:lineRule="auto"/>
        <w:rPr>
          <w:rFonts w:hint="eastAsia" w:ascii="宋体" w:hAnsi="宋体" w:cs="宋体"/>
          <w:szCs w:val="24"/>
          <w:highlight w:val="none"/>
        </w:rPr>
      </w:pPr>
      <w:r>
        <w:rPr>
          <w:rFonts w:hint="eastAsia" w:ascii="宋体" w:hAnsi="宋体" w:cs="宋体"/>
          <w:szCs w:val="24"/>
          <w:highlight w:val="none"/>
        </w:rPr>
        <w:t xml:space="preserve">（1）采用工程量清单方式计价，竣工结算的工程量按发承包双方在合同中约定应予计量且实际完成的工程量确定。</w:t>
      </w:r>
      <w:r>
        <w:rPr>
          <w:rFonts w:hint="eastAsia" w:ascii="宋体" w:hAnsi="宋体" w:cs="宋体"/>
          <w:szCs w:val="24"/>
          <w:highlight w:val="none"/>
        </w:rPr>
      </w:r>
      <w:r/>
    </w:p>
    <w:p>
      <w:pPr>
        <w:pStyle w:val="1007"/>
        <w:ind w:left="0" w:right="0" w:firstLine="240"/>
        <w:spacing w:before="0" w:after="0" w:line="360" w:lineRule="auto"/>
        <w:rPr>
          <w:rFonts w:hint="eastAsia" w:ascii="宋体" w:hAnsi="宋体" w:cs="宋体"/>
          <w:szCs w:val="24"/>
          <w:highlight w:val="none"/>
        </w:rPr>
      </w:pPr>
      <w:r>
        <w:rPr>
          <w:rFonts w:hint="eastAsia" w:ascii="宋体" w:hAnsi="宋体" w:cs="宋体"/>
          <w:szCs w:val="24"/>
          <w:highlight w:val="none"/>
        </w:rPr>
        <w:t xml:space="preserve">（2）国家的法律、法规、规章和政策发生变化影响工程造价的，应按省级或行业建设部门或其授权的工程造价管理机构发布的文件调整合同价款。</w:t>
      </w:r>
      <w:bookmarkEnd w:id="127"/>
      <w:r>
        <w:rPr>
          <w:rFonts w:hint="eastAsia" w:ascii="宋体" w:hAnsi="宋体" w:cs="宋体"/>
          <w:szCs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17、工程预付款</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发包人向承包人预付工程款的时间和金额或占合同价款总额的比例：</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无。</w:t>
      </w:r>
      <w:r>
        <w:rPr>
          <w:rFonts w:hint="eastAsia" w:ascii="宋体" w:hAnsi="宋体" w:eastAsia="宋体" w:cs="宋体"/>
          <w:sz w:val="24"/>
          <w:highlight w:val="none"/>
          <w:u w:val="singl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扣回工程款的时间、比例：</w:t>
      </w:r>
      <w:r>
        <w:rPr>
          <w:rFonts w:hint="eastAsia" w:ascii="宋体" w:hAnsi="宋体" w:eastAsia="宋体" w:cs="宋体"/>
          <w:sz w:val="24"/>
          <w:highlight w:val="none"/>
          <w:u w:val="single"/>
        </w:rPr>
        <w:t xml:space="preserve">无</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18、工程量确认</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18.1　承包人向工程师提交已完工程量报告的时间：</w:t>
      </w:r>
      <w:r>
        <w:rPr>
          <w:rFonts w:hint="eastAsia" w:ascii="宋体" w:hAnsi="宋体" w:eastAsia="宋体" w:cs="宋体"/>
          <w:sz w:val="24"/>
          <w:highlight w:val="none"/>
          <w:u w:val="single"/>
        </w:rPr>
        <w:t xml:space="preserve">每月25日前。</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19、工程款（进度款）支付</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19.1、</w:t>
      </w:r>
      <w:r>
        <w:rPr>
          <w:rFonts w:hint="eastAsia" w:ascii="宋体" w:hAnsi="宋体" w:eastAsia="宋体" w:cs="宋体"/>
          <w:sz w:val="24"/>
          <w:highlight w:val="none"/>
        </w:rPr>
        <w:t xml:space="preserve">项目开工后进度款按实际完成工程量的50%定期支付；工程竣工备案完成后最高付至合同总价（实际完成工程量）的60%；工程审计结束（以审计报告为准）付至审计价的70%；余款审计后2年内定期支付。因工程变更增加的价款在工程审计结束前（以审计报告为准）最多付至实际完成工程量的50%。工程项目竣工结算审计按相开管委[2019]46号文执行。</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19.2、</w:t>
      </w:r>
      <w:r>
        <w:rPr>
          <w:rFonts w:hint="eastAsia" w:ascii="宋体" w:hAnsi="宋体" w:eastAsia="宋体" w:cs="宋体"/>
          <w:sz w:val="24"/>
          <w:highlight w:val="none"/>
        </w:rPr>
        <w:t xml:space="preserve">关于审计费:对审计核减率在7%以上的项目，在按区相关文件的标准执行由施工单位承担费用以外，实行下浮结算的办法，下浮金额按送审和对应的下浮率分档累计计算;因漏项引起的核增造价，按全额4%计算费用。上述费用由审计单位在审定工程总造价中直接一并扣除，建设单位按扣除上述费用后的审定总造价支付工程款。</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19.3、承包人必须按发包人每次支付的款项提供标有税务局监制章的工程发票。</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19.4、工程款支付方式为数字人民币支付。</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19.5、承包人每月底向发包人提交付款申请时必须完成本合同要求的节点工作量，否则发包人将不予以支付该月的工程款，待下次承包人申请付款且按节点要求完成相应工作量时一并支付。</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rPr>
      </w:pPr>
      <w:r/>
      <w:bookmarkStart w:id="130" w:name="EBe423e10034c343aa8b49b247d022e44c"/>
      <w:r>
        <w:rPr>
          <w:rFonts w:hint="eastAsia" w:ascii="宋体" w:hAnsi="宋体" w:eastAsia="宋体" w:cs="宋体"/>
          <w:sz w:val="24"/>
          <w:highlight w:val="none"/>
        </w:rPr>
        <w:t xml:space="preserve">特别约定：所有变更增加费用均不在进度款中支付，竣工结算报告经双方确认后同比例支付。</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在支付工程进度款时，承包人应根据发包人及监理人审核的“工作量月报表”中的工作量全额按本合同规定开具工程款发票（含甲供材料）；未按“工作量月报表”中的工作量全额开具或未按本合同规定开具发票的，发包人不办理付款手续。</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项目竣工验收合格后，承包人应尽快配合发包人对项目进行结算，结算报告审定后，承包人应按审定的结算金额按合同规定开具全部发票（含甲供材料）。</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如遇国家审计，最终结算价以国家审计结果为准。</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保修期：工程保修期从工程最终竣工验收合格之日起算。</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工程余款的付清，并不免除承包人在约定的本工程质量保修期内的保修责任。</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付款时间：任何按照合同要求的付款，发包人将在收到符合要求的付款申请30天后且承包人已提交符合本合同规定的发票后予以支付</w:t>
      </w:r>
      <w:bookmarkEnd w:id="130"/>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709"/>
        <w:spacing w:line="360" w:lineRule="auto"/>
        <w:rPr>
          <w:rFonts w:hint="eastAsia" w:ascii="宋体" w:hAnsi="宋体" w:eastAsia="宋体" w:cs="宋体"/>
          <w:sz w:val="24"/>
          <w:szCs w:val="24"/>
          <w:highlight w:val="none"/>
        </w:rPr>
      </w:pPr>
      <w:r/>
      <w:bookmarkStart w:id="131" w:name="_Toc273453280"/>
      <w:r/>
      <w:bookmarkStart w:id="132" w:name="_Toc446"/>
      <w:r>
        <w:rPr>
          <w:rFonts w:hint="eastAsia" w:ascii="宋体" w:hAnsi="宋体" w:eastAsia="宋体" w:cs="宋体"/>
          <w:sz w:val="24"/>
          <w:szCs w:val="24"/>
          <w:highlight w:val="none"/>
        </w:rPr>
        <w:t xml:space="preserve">七、材料设备供应</w:t>
      </w:r>
      <w:bookmarkEnd w:id="131"/>
      <w:r/>
      <w:bookmarkEnd w:id="132"/>
      <w:r>
        <w:rPr>
          <w:rFonts w:hint="eastAsia" w:ascii="宋体" w:hAnsi="宋体" w:eastAsia="宋体" w:cs="宋体"/>
          <w:sz w:val="24"/>
          <w:szCs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20、发包人供应材料设备</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无。</w:t>
      </w:r>
      <w:r>
        <w:rPr>
          <w:rFonts w:hint="eastAsia" w:ascii="宋体" w:hAnsi="宋体" w:eastAsia="宋体" w:cs="宋体"/>
          <w:sz w:val="24"/>
          <w:highlight w:val="none"/>
          <w:u w:val="singl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20.1发包人供应的材料设备与一览表不符时，双方约定发包人承担责任如下：</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（1）材料设备单价与一览表不符：</w:t>
      </w:r>
      <w:bookmarkStart w:id="133" w:name="EptNR_材料设备单价与一览表不符"/>
      <w:r>
        <w:rPr>
          <w:rFonts w:hint="eastAsia" w:ascii="宋体" w:hAnsi="宋体" w:eastAsia="宋体" w:cs="宋体"/>
          <w:sz w:val="24"/>
          <w:highlight w:val="none"/>
          <w:u w:val="single"/>
        </w:rPr>
        <w:t xml:space="preserve">按《通用条款》</w:t>
      </w:r>
      <w:bookmarkEnd w:id="133"/>
      <w:r>
        <w:rPr>
          <w:rFonts w:hint="eastAsia" w:ascii="宋体" w:hAnsi="宋体" w:eastAsia="宋体" w:cs="宋体"/>
          <w:sz w:val="24"/>
          <w:highlight w:val="none"/>
          <w:u w:val="single"/>
        </w:rPr>
      </w:r>
      <w:r/>
    </w:p>
    <w:p>
      <w:pPr>
        <w:pStyle w:val="706"/>
        <w:ind w:firstLine="42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（2）材料设备的品种、规格、型号、质量等级与一览表不符</w:t>
      </w:r>
      <w:r>
        <w:rPr>
          <w:rFonts w:hint="eastAsia" w:ascii="宋体" w:hAnsi="宋体" w:eastAsia="宋体" w:cs="宋体"/>
          <w:sz w:val="24"/>
          <w:highlight w:val="none"/>
          <w:u w:val="single"/>
        </w:rPr>
        <w:t xml:space="preserve">：按《通用条款》</w:t>
      </w:r>
      <w:r>
        <w:rPr>
          <w:rFonts w:hint="eastAsia" w:ascii="宋体" w:hAnsi="宋体" w:eastAsia="宋体" w:cs="宋体"/>
          <w:sz w:val="24"/>
          <w:highlight w:val="none"/>
          <w:u w:val="single"/>
        </w:rPr>
      </w:r>
      <w:r/>
    </w:p>
    <w:p>
      <w:pPr>
        <w:pStyle w:val="706"/>
        <w:ind w:firstLine="42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（3）承包人可代为调剂串换的材料：</w:t>
      </w:r>
      <w:bookmarkStart w:id="134" w:name="EptNR_承包人可代为调剂串换的材料"/>
      <w:r/>
      <w:bookmarkEnd w:id="134"/>
      <w:r>
        <w:rPr>
          <w:rFonts w:hint="eastAsia" w:ascii="宋体" w:hAnsi="宋体" w:eastAsia="宋体" w:cs="宋体"/>
          <w:sz w:val="24"/>
          <w:highlight w:val="none"/>
          <w:u w:val="single"/>
        </w:rPr>
        <w:t xml:space="preserve">按《通用条款》</w:t>
      </w:r>
      <w:r>
        <w:rPr>
          <w:rFonts w:hint="eastAsia" w:ascii="宋体" w:hAnsi="宋体" w:eastAsia="宋体" w:cs="宋体"/>
          <w:sz w:val="24"/>
          <w:highlight w:val="none"/>
          <w:u w:val="single"/>
        </w:rPr>
      </w:r>
      <w:r/>
    </w:p>
    <w:p>
      <w:pPr>
        <w:pStyle w:val="706"/>
        <w:ind w:firstLine="42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（4）到货地点与一览表不符</w:t>
      </w:r>
      <w:r>
        <w:rPr>
          <w:rFonts w:hint="eastAsia" w:ascii="宋体" w:hAnsi="宋体" w:eastAsia="宋体" w:cs="宋体"/>
          <w:sz w:val="24"/>
          <w:highlight w:val="none"/>
          <w:u w:val="single"/>
        </w:rPr>
        <w:t xml:space="preserve">：</w:t>
      </w:r>
      <w:bookmarkStart w:id="135" w:name="EptNR_到货地点与一览表不符"/>
      <w:r>
        <w:rPr>
          <w:rFonts w:hint="eastAsia" w:ascii="宋体" w:hAnsi="宋体" w:eastAsia="宋体" w:cs="宋体"/>
          <w:sz w:val="24"/>
          <w:highlight w:val="none"/>
          <w:u w:val="single"/>
        </w:rPr>
        <w:t xml:space="preserve">按《通用条款》</w:t>
      </w:r>
      <w:bookmarkEnd w:id="135"/>
      <w:r>
        <w:rPr>
          <w:rFonts w:hint="eastAsia" w:ascii="宋体" w:hAnsi="宋体" w:eastAsia="宋体" w:cs="宋体"/>
          <w:sz w:val="24"/>
          <w:highlight w:val="none"/>
          <w:u w:val="single"/>
        </w:rPr>
      </w:r>
      <w:r/>
    </w:p>
    <w:p>
      <w:pPr>
        <w:pStyle w:val="706"/>
        <w:ind w:firstLine="42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（5）供应数量与一览表不符</w:t>
      </w:r>
      <w:r>
        <w:rPr>
          <w:rFonts w:hint="eastAsia" w:ascii="宋体" w:hAnsi="宋体" w:eastAsia="宋体" w:cs="宋体"/>
          <w:sz w:val="24"/>
          <w:highlight w:val="none"/>
          <w:u w:val="single"/>
        </w:rPr>
        <w:t xml:space="preserve">：</w:t>
      </w:r>
      <w:bookmarkStart w:id="136" w:name="EptNR_供应数量与一览表不符"/>
      <w:r>
        <w:rPr>
          <w:rFonts w:hint="eastAsia" w:ascii="宋体" w:hAnsi="宋体" w:eastAsia="宋体" w:cs="宋体"/>
          <w:sz w:val="24"/>
          <w:highlight w:val="none"/>
          <w:u w:val="single"/>
        </w:rPr>
        <w:t xml:space="preserve">按《通用条款》</w:t>
      </w:r>
      <w:bookmarkEnd w:id="136"/>
      <w:r>
        <w:rPr>
          <w:rFonts w:hint="eastAsia" w:ascii="宋体" w:hAnsi="宋体" w:eastAsia="宋体" w:cs="宋体"/>
          <w:sz w:val="24"/>
          <w:highlight w:val="none"/>
          <w:u w:val="single"/>
        </w:rPr>
      </w:r>
      <w:r/>
    </w:p>
    <w:p>
      <w:pPr>
        <w:pStyle w:val="706"/>
        <w:ind w:firstLine="42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（6）到货时间与一览表不符</w:t>
      </w:r>
      <w:r>
        <w:rPr>
          <w:rFonts w:hint="eastAsia" w:ascii="宋体" w:hAnsi="宋体" w:eastAsia="宋体" w:cs="宋体"/>
          <w:sz w:val="24"/>
          <w:highlight w:val="none"/>
          <w:u w:val="single"/>
        </w:rPr>
        <w:t xml:space="preserve">：</w:t>
      </w:r>
      <w:bookmarkStart w:id="137" w:name="EptNR_到货时间与一览表不符"/>
      <w:r>
        <w:rPr>
          <w:rFonts w:hint="eastAsia" w:ascii="宋体" w:hAnsi="宋体" w:eastAsia="宋体" w:cs="宋体"/>
          <w:sz w:val="24"/>
          <w:highlight w:val="none"/>
          <w:u w:val="single"/>
        </w:rPr>
        <w:t xml:space="preserve">按《通用条款》</w:t>
      </w:r>
      <w:bookmarkEnd w:id="137"/>
      <w:r>
        <w:rPr>
          <w:rFonts w:hint="eastAsia" w:ascii="宋体" w:hAnsi="宋体" w:eastAsia="宋体" w:cs="宋体"/>
          <w:sz w:val="24"/>
          <w:highlight w:val="none"/>
          <w:u w:val="single"/>
        </w:rPr>
      </w:r>
      <w:r/>
    </w:p>
    <w:p>
      <w:pPr>
        <w:pStyle w:val="706"/>
        <w:ind w:firstLine="42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20.2发包人供应材料设备的结算方法：列入本工程结算。</w:t>
      </w:r>
      <w:bookmarkStart w:id="138" w:name="EptNR_发包人供应材料设备的结算方法"/>
      <w:r/>
      <w:bookmarkEnd w:id="138"/>
      <w:r>
        <w:rPr>
          <w:rFonts w:hint="eastAsia" w:ascii="宋体" w:hAnsi="宋体" w:eastAsia="宋体" w:cs="宋体"/>
          <w:sz w:val="24"/>
          <w:highlight w:val="none"/>
          <w:u w:val="single"/>
        </w:rPr>
      </w:r>
      <w:r/>
    </w:p>
    <w:p>
      <w:pPr>
        <w:pStyle w:val="706"/>
        <w:ind w:firstLine="42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21、承包人采购材料设备</w:t>
      </w:r>
      <w:r>
        <w:rPr>
          <w:rFonts w:hint="eastAsia" w:ascii="宋体" w:hAnsi="宋体" w:eastAsia="宋体" w:cs="宋体"/>
          <w:sz w:val="24"/>
          <w:highlight w:val="none"/>
          <w:u w:val="single"/>
        </w:rPr>
      </w:r>
      <w:r/>
    </w:p>
    <w:p>
      <w:pPr>
        <w:pStyle w:val="706"/>
        <w:ind w:firstLine="42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21.1承包人采购材料设备的约定：承包人负责采购材料设备的，应按照约定及设计和有关标准要求采购，并提供产品合格证明，对材料设备质量负责。承包人在材料设备到货前24小时通知工程师清点。</w:t>
      </w:r>
      <w:r>
        <w:rPr>
          <w:rFonts w:hint="eastAsia" w:ascii="宋体" w:hAnsi="宋体" w:eastAsia="宋体" w:cs="宋体"/>
          <w:sz w:val="24"/>
          <w:highlight w:val="none"/>
          <w:u w:val="single"/>
        </w:rPr>
      </w:r>
      <w:r/>
    </w:p>
    <w:p>
      <w:pPr>
        <w:pStyle w:val="706"/>
        <w:ind w:firstLine="42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21.2 发包人对承包人进场的材料：如无出厂证、合格证、检测证的有权指令限定时间内退出工地，并作出经济处罚，承包人应无条件接受。</w:t>
      </w:r>
      <w:r>
        <w:rPr>
          <w:rFonts w:hint="eastAsia" w:ascii="宋体" w:hAnsi="宋体" w:eastAsia="宋体" w:cs="宋体"/>
          <w:sz w:val="24"/>
          <w:highlight w:val="none"/>
          <w:u w:val="single"/>
        </w:rPr>
      </w:r>
      <w:r/>
    </w:p>
    <w:p>
      <w:pPr>
        <w:pStyle w:val="709"/>
        <w:spacing w:line="360" w:lineRule="auto"/>
        <w:rPr>
          <w:rFonts w:hint="eastAsia" w:ascii="宋体" w:hAnsi="宋体" w:eastAsia="宋体" w:cs="宋体"/>
          <w:sz w:val="24"/>
          <w:szCs w:val="24"/>
          <w:highlight w:val="none"/>
        </w:rPr>
      </w:pPr>
      <w:r/>
      <w:bookmarkStart w:id="139" w:name="_Toc273453281"/>
      <w:r/>
      <w:bookmarkStart w:id="140" w:name="_Toc31135"/>
      <w:r>
        <w:rPr>
          <w:rFonts w:hint="eastAsia" w:ascii="宋体" w:hAnsi="宋体" w:eastAsia="宋体" w:cs="宋体"/>
          <w:sz w:val="24"/>
          <w:szCs w:val="24"/>
          <w:highlight w:val="none"/>
        </w:rPr>
        <w:t xml:space="preserve">八、工程变更</w:t>
      </w:r>
      <w:bookmarkEnd w:id="139"/>
      <w:r/>
      <w:bookmarkEnd w:id="140"/>
      <w:r>
        <w:rPr>
          <w:rFonts w:hint="eastAsia" w:ascii="宋体" w:hAnsi="宋体" w:eastAsia="宋体" w:cs="宋体"/>
          <w:sz w:val="24"/>
          <w:szCs w:val="24"/>
          <w:highlight w:val="none"/>
        </w:rPr>
      </w:r>
      <w:r/>
    </w:p>
    <w:p>
      <w:pPr>
        <w:pStyle w:val="706"/>
        <w:ind w:firstLine="420"/>
        <w:spacing w:line="360" w:lineRule="auto"/>
        <w:rPr>
          <w:rFonts w:hint="eastAsia" w:ascii="宋体" w:hAnsi="宋体" w:eastAsia="宋体" w:cs="宋体"/>
          <w:bCs/>
          <w:sz w:val="24"/>
          <w:highlight w:val="none"/>
          <w:u w:val="single"/>
        </w:rPr>
      </w:pPr>
      <w:r>
        <w:rPr>
          <w:rFonts w:hint="eastAsia" w:ascii="宋体" w:hAnsi="宋体" w:eastAsia="宋体" w:cs="宋体"/>
          <w:bCs/>
          <w:sz w:val="24"/>
          <w:highlight w:val="none"/>
          <w:u w:val="single"/>
        </w:rPr>
        <w:t xml:space="preserve">22.1  所有工程量清单以外的增加项目必须经发包人书面流转同意方可实施。</w:t>
      </w:r>
      <w:r>
        <w:rPr>
          <w:rFonts w:hint="eastAsia" w:ascii="宋体" w:hAnsi="宋体" w:eastAsia="宋体" w:cs="宋体"/>
          <w:bCs/>
          <w:sz w:val="24"/>
          <w:highlight w:val="none"/>
          <w:u w:val="single"/>
        </w:rPr>
      </w:r>
      <w:r/>
    </w:p>
    <w:p>
      <w:pPr>
        <w:pStyle w:val="706"/>
        <w:ind w:firstLine="360"/>
        <w:spacing w:line="360" w:lineRule="auto"/>
        <w:rPr>
          <w:rFonts w:hint="eastAsia" w:ascii="宋体" w:hAnsi="宋体" w:eastAsia="宋体" w:cs="宋体"/>
          <w:sz w:val="24"/>
          <w:highlight w:val="none"/>
          <w:u w:val="single"/>
        </w:rPr>
      </w:pPr>
      <w:r>
        <w:rPr>
          <w:rFonts w:hint="eastAsia" w:ascii="宋体" w:hAnsi="宋体" w:eastAsia="宋体" w:cs="宋体"/>
          <w:bCs/>
          <w:sz w:val="24"/>
          <w:highlight w:val="none"/>
          <w:u w:val="single"/>
        </w:rPr>
        <w:t xml:space="preserve">22.2  所申报的签证变更费用将在竣工结算时调整，中间支付不作考虑。任何时候施工单位不得以变更费用未核定或者对核定价格有争议为借口影响施工。</w:t>
      </w:r>
      <w:r>
        <w:rPr>
          <w:rFonts w:hint="eastAsia" w:ascii="宋体" w:hAnsi="宋体" w:eastAsia="宋体" w:cs="宋体"/>
          <w:sz w:val="24"/>
          <w:highlight w:val="none"/>
          <w:u w:val="single"/>
        </w:rPr>
      </w:r>
      <w:r/>
    </w:p>
    <w:p>
      <w:pPr>
        <w:pStyle w:val="706"/>
        <w:ind w:firstLine="42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23、其他变更</w:t>
      </w:r>
      <w:r>
        <w:rPr>
          <w:rFonts w:hint="eastAsia" w:ascii="宋体" w:hAnsi="宋体" w:eastAsia="宋体" w:cs="宋体"/>
          <w:sz w:val="24"/>
          <w:highlight w:val="none"/>
          <w:u w:val="single"/>
        </w:rPr>
      </w:r>
      <w:r/>
    </w:p>
    <w:p>
      <w:pPr>
        <w:pStyle w:val="706"/>
        <w:ind w:firstLine="42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23.1在工程实施过程中，发包人发出的设计变更、签证，增减或调整工作内容及施工进度、变更材料、材质的指令等，是合同的一部分，承包人须无条件按发包人的要求实施并承担合同义务，否则视作违约。相关签证变更原则上应按清单范围内调整，超过清单范围的不予签证变更。</w:t>
      </w:r>
      <w:r>
        <w:rPr>
          <w:rFonts w:hint="eastAsia" w:ascii="宋体" w:hAnsi="宋体" w:eastAsia="宋体" w:cs="宋体"/>
          <w:sz w:val="24"/>
          <w:highlight w:val="none"/>
          <w:u w:val="single"/>
        </w:rPr>
      </w:r>
      <w:r/>
    </w:p>
    <w:p>
      <w:pPr>
        <w:pStyle w:val="706"/>
        <w:ind w:firstLine="42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23.2发生变更、施工条件变化等，要由发包人确认方为有效；由于设计变更、现场签证等引起的清单项目工程数量的增减，按实审计；本工程原则上不允许发生清单外内容的签证变更。</w:t>
      </w:r>
      <w:r>
        <w:rPr>
          <w:rFonts w:hint="eastAsia" w:ascii="宋体" w:hAnsi="宋体" w:eastAsia="宋体" w:cs="宋体"/>
          <w:sz w:val="24"/>
          <w:highlight w:val="none"/>
          <w:u w:val="single"/>
        </w:rPr>
      </w:r>
      <w:r/>
    </w:p>
    <w:p>
      <w:pPr>
        <w:pStyle w:val="709"/>
        <w:spacing w:line="360" w:lineRule="auto"/>
        <w:rPr>
          <w:rFonts w:hint="eastAsia" w:ascii="宋体" w:hAnsi="宋体" w:eastAsia="宋体" w:cs="宋体"/>
          <w:sz w:val="24"/>
          <w:szCs w:val="24"/>
          <w:highlight w:val="none"/>
        </w:rPr>
      </w:pPr>
      <w:r/>
      <w:bookmarkStart w:id="141" w:name="_Toc30838"/>
      <w:r/>
      <w:bookmarkStart w:id="142" w:name="_Toc273453282"/>
      <w:r>
        <w:rPr>
          <w:rFonts w:hint="eastAsia" w:ascii="宋体" w:hAnsi="宋体" w:eastAsia="宋体" w:cs="宋体"/>
          <w:sz w:val="24"/>
          <w:szCs w:val="24"/>
          <w:highlight w:val="none"/>
        </w:rPr>
        <w:t xml:space="preserve">九、竣工验收与结算</w:t>
      </w:r>
      <w:bookmarkEnd w:id="141"/>
      <w:r/>
      <w:bookmarkEnd w:id="142"/>
      <w:r>
        <w:rPr>
          <w:rFonts w:hint="eastAsia" w:ascii="宋体" w:hAnsi="宋体" w:eastAsia="宋体" w:cs="宋体"/>
          <w:sz w:val="24"/>
          <w:szCs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24、竣工验收</w:t>
      </w:r>
      <w:r>
        <w:rPr>
          <w:rFonts w:hint="eastAsia" w:ascii="宋体" w:hAnsi="宋体" w:eastAsia="宋体" w:cs="宋体"/>
          <w:sz w:val="24"/>
          <w:highlight w:val="none"/>
        </w:rPr>
      </w:r>
      <w:r/>
    </w:p>
    <w:p>
      <w:pPr>
        <w:pStyle w:val="706"/>
        <w:ind w:firstLine="3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工程竣工验收必须具备以下条件，否则，发包人不予组织竣工验收；</w:t>
      </w:r>
      <w:r>
        <w:rPr>
          <w:rFonts w:hint="eastAsia" w:ascii="宋体" w:hAnsi="宋体" w:eastAsia="宋体" w:cs="宋体"/>
          <w:sz w:val="24"/>
          <w:highlight w:val="none"/>
        </w:rPr>
      </w:r>
      <w:r/>
    </w:p>
    <w:p>
      <w:pPr>
        <w:pStyle w:val="706"/>
        <w:ind w:left="-720"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（1）完成按磋商文件、工程量清单和施工合同约定的工程范围的全部工作内容；</w:t>
      </w:r>
      <w:r>
        <w:rPr>
          <w:rFonts w:hint="eastAsia" w:ascii="宋体" w:hAnsi="宋体" w:eastAsia="宋体" w:cs="宋体"/>
          <w:sz w:val="24"/>
          <w:highlight w:val="none"/>
        </w:rPr>
      </w:r>
      <w:r/>
    </w:p>
    <w:p>
      <w:pPr>
        <w:pStyle w:val="706"/>
        <w:ind w:left="-720"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（2）承包人已完成现场的清理工作。</w:t>
      </w:r>
      <w:r>
        <w:rPr>
          <w:rFonts w:hint="eastAsia" w:ascii="宋体" w:hAnsi="宋体" w:eastAsia="宋体" w:cs="宋体"/>
          <w:sz w:val="24"/>
          <w:highlight w:val="none"/>
        </w:rPr>
      </w:r>
      <w:r/>
    </w:p>
    <w:p>
      <w:pPr>
        <w:pStyle w:val="706"/>
        <w:ind w:left="-720"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（3）工程师认为工程的所有部分均随时可以占据和使用。</w:t>
      </w:r>
      <w:r>
        <w:rPr>
          <w:rFonts w:hint="eastAsia" w:ascii="宋体" w:hAnsi="宋体" w:eastAsia="宋体" w:cs="宋体"/>
          <w:sz w:val="24"/>
          <w:highlight w:val="none"/>
        </w:rPr>
      </w:r>
      <w:r/>
    </w:p>
    <w:p>
      <w:pPr>
        <w:pStyle w:val="706"/>
        <w:ind w:left="-720"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（4）法律规定的其他竣工验收应具备的条件。</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24.1承包人提供竣工图的约定：</w:t>
      </w:r>
      <w:r>
        <w:rPr>
          <w:rFonts w:hint="eastAsia" w:ascii="宋体" w:hAnsi="宋体" w:eastAsia="宋体" w:cs="宋体"/>
          <w:sz w:val="24"/>
          <w:highlight w:val="none"/>
          <w:u w:val="single"/>
        </w:rPr>
        <w:t xml:space="preserve">无。</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24.2中间交工工程的范围和竣工时间：</w:t>
      </w:r>
      <w:r>
        <w:rPr>
          <w:rFonts w:hint="eastAsia" w:ascii="宋体" w:hAnsi="宋体" w:eastAsia="宋体" w:cs="宋体"/>
          <w:sz w:val="24"/>
          <w:highlight w:val="none"/>
          <w:u w:val="single"/>
        </w:rPr>
        <w:t xml:space="preserve">按照规范</w:t>
      </w:r>
      <w:r>
        <w:rPr>
          <w:rFonts w:hint="eastAsia" w:ascii="宋体" w:hAnsi="宋体" w:eastAsia="宋体" w:cs="宋体"/>
          <w:sz w:val="24"/>
          <w:highlight w:val="none"/>
          <w:u w:val="singl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24.3工程竣工验收通过后10日内,承包人应该向发包人移交工程。</w:t>
      </w:r>
      <w:r>
        <w:rPr>
          <w:rFonts w:hint="eastAsia" w:ascii="宋体" w:hAnsi="宋体" w:eastAsia="宋体" w:cs="宋体"/>
          <w:sz w:val="24"/>
          <w:highlight w:val="none"/>
        </w:rPr>
      </w:r>
      <w:r/>
    </w:p>
    <w:p>
      <w:pPr>
        <w:pStyle w:val="706"/>
        <w:ind w:firstLine="315"/>
        <w:spacing w:line="360" w:lineRule="auto"/>
        <w:rPr>
          <w:rFonts w:hint="eastAsia" w:ascii="宋体" w:hAnsi="宋体" w:eastAsia="宋体" w:cs="宋体"/>
          <w:b/>
          <w:bCs/>
          <w:sz w:val="24"/>
          <w:highlight w:val="none"/>
        </w:rPr>
      </w:pPr>
      <w:r>
        <w:rPr>
          <w:rFonts w:hint="eastAsia" w:ascii="宋体" w:hAnsi="宋体" w:eastAsia="宋体" w:cs="宋体"/>
          <w:sz w:val="24"/>
          <w:highlight w:val="none"/>
        </w:rPr>
        <w:t xml:space="preserve">25</w:t>
      </w:r>
      <w:r>
        <w:rPr>
          <w:rFonts w:hint="eastAsia" w:ascii="宋体" w:hAnsi="宋体" w:eastAsia="宋体" w:cs="宋体"/>
          <w:b/>
          <w:bCs/>
          <w:sz w:val="24"/>
          <w:highlight w:val="none"/>
        </w:rPr>
        <w:t xml:space="preserve">.竣工结算</w:t>
      </w:r>
      <w:r>
        <w:rPr>
          <w:rFonts w:hint="eastAsia" w:ascii="宋体" w:hAnsi="宋体" w:eastAsia="宋体" w:cs="宋体"/>
          <w:b/>
          <w:bCs/>
          <w:sz w:val="24"/>
          <w:highlight w:val="none"/>
        </w:rPr>
      </w:r>
      <w:r/>
    </w:p>
    <w:p>
      <w:pPr>
        <w:pStyle w:val="706"/>
        <w:ind w:firstLine="360"/>
        <w:spacing w:line="360" w:lineRule="auto"/>
        <w:rPr>
          <w:rFonts w:hint="eastAsia" w:ascii="宋体" w:hAnsi="宋体" w:eastAsia="宋体" w:cs="宋体"/>
          <w:sz w:val="24"/>
          <w:highlight w:val="none"/>
          <w:u w:val="single"/>
        </w:rPr>
      </w:pPr>
      <w:r>
        <w:rPr>
          <w:rFonts w:hint="eastAsia" w:ascii="宋体" w:hAnsi="宋体" w:eastAsia="宋体" w:cs="宋体"/>
          <w:bCs/>
          <w:sz w:val="24"/>
          <w:highlight w:val="none"/>
        </w:rPr>
        <w:t xml:space="preserve">25.1</w:t>
      </w:r>
      <w:r>
        <w:rPr>
          <w:rFonts w:hint="eastAsia" w:ascii="宋体" w:hAnsi="宋体" w:eastAsia="宋体" w:cs="宋体"/>
          <w:bCs/>
          <w:sz w:val="24"/>
          <w:highlight w:val="none"/>
          <w:u w:val="single"/>
        </w:rPr>
        <w:t xml:space="preserve">本工程的结算</w:t>
      </w:r>
      <w:r>
        <w:rPr>
          <w:rFonts w:hint="eastAsia" w:ascii="宋体" w:hAnsi="宋体" w:eastAsia="宋体" w:cs="宋体"/>
          <w:sz w:val="24"/>
          <w:highlight w:val="none"/>
          <w:u w:val="single"/>
        </w:rPr>
        <w:t xml:space="preserve">结果将以审计结果为准。</w:t>
      </w:r>
      <w:r>
        <w:rPr>
          <w:rFonts w:hint="eastAsia" w:ascii="宋体" w:hAnsi="宋体" w:eastAsia="宋体" w:cs="宋体"/>
          <w:sz w:val="24"/>
          <w:highlight w:val="none"/>
          <w:u w:val="single"/>
        </w:rPr>
      </w:r>
      <w:r/>
    </w:p>
    <w:p>
      <w:pPr>
        <w:pStyle w:val="706"/>
        <w:ind w:firstLine="360"/>
        <w:spacing w:line="360" w:lineRule="auto"/>
        <w:tabs>
          <w:tab w:val="left" w:pos="720" w:leader="none"/>
          <w:tab w:val="left" w:pos="900" w:leader="none"/>
        </w:tabs>
        <w:rPr>
          <w:rFonts w:hint="eastAsia" w:ascii="宋体" w:hAnsi="宋体" w:eastAsia="宋体" w:cs="宋体"/>
          <w:sz w:val="24"/>
          <w:highlight w:val="none"/>
          <w:u w:val="single"/>
        </w:rPr>
      </w:pPr>
      <w:r>
        <w:rPr>
          <w:rFonts w:hint="eastAsia" w:ascii="宋体" w:hAnsi="宋体" w:eastAsia="宋体" w:cs="宋体"/>
          <w:sz w:val="24"/>
          <w:highlight w:val="none"/>
        </w:rPr>
        <w:t xml:space="preserve">25</w:t>
      </w:r>
      <w:r>
        <w:rPr>
          <w:rFonts w:hint="eastAsia" w:ascii="宋体" w:hAnsi="宋体" w:eastAsia="宋体" w:cs="宋体"/>
          <w:bCs/>
          <w:sz w:val="24"/>
          <w:highlight w:val="none"/>
        </w:rPr>
        <w:t xml:space="preserve">.</w:t>
      </w:r>
      <w:r>
        <w:rPr>
          <w:rFonts w:hint="eastAsia" w:ascii="宋体" w:hAnsi="宋体" w:eastAsia="宋体" w:cs="宋体"/>
          <w:sz w:val="24"/>
          <w:highlight w:val="none"/>
        </w:rPr>
        <w:t xml:space="preserve">2</w:t>
      </w:r>
      <w:r>
        <w:rPr>
          <w:rFonts w:hint="eastAsia" w:ascii="宋体" w:hAnsi="宋体" w:eastAsia="宋体" w:cs="宋体"/>
          <w:sz w:val="24"/>
          <w:highlight w:val="none"/>
          <w:u w:val="single"/>
        </w:rPr>
        <w:t xml:space="preserve">一旦双方确认了竣工结算报告，则视为：双方一致同意该结算书的结算价款，工程涉及到的所有费用已经包括在上述结算金额之中。</w:t>
      </w:r>
      <w:r>
        <w:rPr>
          <w:rFonts w:hint="eastAsia" w:ascii="宋体" w:hAnsi="宋体" w:eastAsia="宋体" w:cs="宋体"/>
          <w:sz w:val="24"/>
          <w:highlight w:val="none"/>
          <w:u w:val="single"/>
        </w:rPr>
      </w:r>
      <w:r/>
    </w:p>
    <w:p>
      <w:pPr>
        <w:pStyle w:val="706"/>
        <w:ind w:firstLine="420"/>
        <w:spacing w:line="360" w:lineRule="auto"/>
        <w:rPr>
          <w:rFonts w:hint="eastAsia" w:ascii="宋体" w:hAnsi="宋体" w:eastAsia="宋体" w:cs="宋体"/>
          <w:sz w:val="24"/>
          <w:highlight w:val="none"/>
        </w:rPr>
      </w:pPr>
      <w:r/>
      <w:bookmarkStart w:id="143" w:name="OLE_LINK1"/>
      <w:r/>
      <w:bookmarkStart w:id="144" w:name="_Toc273453283"/>
      <w:r>
        <w:rPr>
          <w:rFonts w:hint="eastAsia" w:ascii="宋体" w:hAnsi="宋体" w:eastAsia="宋体" w:cs="宋体"/>
          <w:sz w:val="24"/>
          <w:highlight w:val="none"/>
        </w:rPr>
        <w:t xml:space="preserve">25.3承包人提交竣工结算申请单的期限和竣工结算申请单应包括的内容：</w:t>
      </w:r>
      <w:r>
        <w:rPr>
          <w:rFonts w:hint="eastAsia" w:ascii="宋体" w:hAnsi="宋体" w:eastAsia="宋体" w:cs="宋体"/>
          <w:sz w:val="24"/>
          <w:highlight w:val="none"/>
        </w:rPr>
      </w:r>
      <w:r/>
    </w:p>
    <w:p>
      <w:pPr>
        <w:pStyle w:val="706"/>
        <w:ind w:firstLine="3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A、发包人在竣工验收通过之后，承包人应在60天内提交完整的结算报告，经监理人审定后办理工程审计。如超过90天，承包人仍未提交完整的结算报告，每拖延1天应向发包人支付签约合同价的</w:t>
      </w:r>
      <w:r>
        <w:rPr>
          <w:rFonts w:hint="eastAsia" w:ascii="宋体" w:hAnsi="宋体" w:eastAsia="宋体" w:cs="宋体"/>
          <w:sz w:val="24"/>
          <w:highlight w:val="none"/>
          <w:lang w:val="en-US" w:eastAsia="zh-CN"/>
        </w:rPr>
        <w:t xml:space="preserve">1000元/天</w:t>
      </w:r>
      <w:r>
        <w:rPr>
          <w:rFonts w:hint="eastAsia" w:ascii="宋体" w:hAnsi="宋体" w:eastAsia="宋体" w:cs="宋体"/>
          <w:sz w:val="24"/>
          <w:highlight w:val="none"/>
        </w:rPr>
        <w:t xml:space="preserve">的违约金</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最高至合同价的5%</w:t>
      </w:r>
      <w:r>
        <w:rPr>
          <w:rFonts w:hint="eastAsia" w:ascii="宋体" w:hAnsi="宋体" w:eastAsia="宋体" w:cs="宋体"/>
          <w:sz w:val="24"/>
          <w:highlight w:val="none"/>
        </w:rPr>
        <w:t xml:space="preserve">。如承包人在工程竣工后150日内不向发包人报送工程结算报告及完善竣工结算资料，在发包人书面催告的期限内仍未提供的，则发包人有权自行委托造价审价单位根据已有资料进行竣工结算审价，审价单位审定价格即为本工程竣工结算造价。</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B、本工程的竣工结算在工程竣工验收合格后，发包人</w:t>
      </w:r>
      <w:r>
        <w:rPr>
          <w:rFonts w:hint="eastAsia" w:ascii="宋体" w:hAnsi="宋体" w:eastAsia="宋体" w:cs="宋体"/>
          <w:sz w:val="24"/>
          <w:highlight w:val="none"/>
        </w:rPr>
        <w:t xml:space="preserve">在承包人提交经总监审定的完整的结算报告后应办理工程审计。双方尚未结清的价款，均为工程结算尾款。工程结算尾款在工程竣工结算完成，审计报告经双方确认后 90天内支付。一旦双方确认了工程结算审计报告，则视为：双方一致同意该结算报告的结算价款，工程涉及到的所有费用已经包括在上述结算金额之中；一旦发包人根据最终结算报告付清了工程结算尾款，则按照双方已经签署的建设工程保修合同执行外，承包人承诺不再向发包人申请任何价款，这些不应再申请的价款包括但不限于本工程可能存在其他工程价款、工程变更价款、合同价款调整、工程索赔款等。</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C、结算仅认可按招标人工程管理制度规定的正常流程审批备案的工程变更，签证单、技术核定单、联系单、通知单等未经过审批签认形成工程变更报批表将不予结算。如投标人提交的送审清单数量有误或送审金额误差较大，导致最终审计核减率超出</w:t>
      </w: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rPr>
        <w:t xml:space="preserve">%（含</w:t>
      </w: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rPr>
        <w:t xml:space="preserve">%）或核增，则投标人支付相关审计费用。</w:t>
      </w:r>
      <w:r>
        <w:rPr>
          <w:rFonts w:hint="eastAsia" w:ascii="宋体" w:hAnsi="宋体" w:eastAsia="宋体" w:cs="宋体"/>
          <w:sz w:val="24"/>
          <w:highlight w:val="none"/>
        </w:rPr>
      </w:r>
      <w:r/>
    </w:p>
    <w:p>
      <w:pPr>
        <w:pStyle w:val="706"/>
        <w:ind w:firstLine="3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25.4送审资料需一次性报送，除审计另有要求外，审计过程中不再接收补充资料。乙方接到“工程结算审定单”确认签字的通知后，需在7天内确认并签字，逾期视为同意。</w:t>
      </w:r>
      <w:bookmarkEnd w:id="143"/>
      <w:r>
        <w:rPr>
          <w:rFonts w:hint="eastAsia" w:ascii="宋体" w:hAnsi="宋体" w:eastAsia="宋体" w:cs="宋体"/>
          <w:sz w:val="24"/>
          <w:highlight w:val="none"/>
        </w:rPr>
      </w:r>
      <w:r/>
    </w:p>
    <w:p>
      <w:pPr>
        <w:pStyle w:val="706"/>
        <w:ind w:firstLine="360"/>
        <w:spacing w:line="360" w:lineRule="auto"/>
        <w:rPr>
          <w:rFonts w:ascii="宋体" w:hAnsi="宋体" w:eastAsia="宋体" w:cs="宋体"/>
          <w:sz w:val="24"/>
          <w:highlight w:val="none"/>
          <w:lang w:val="en-US" w:eastAsia="zh-CN"/>
        </w:rPr>
      </w:pPr>
      <w:r>
        <w:rPr>
          <w:rFonts w:hint="eastAsia" w:ascii="宋体" w:hAnsi="宋体" w:eastAsia="宋体" w:cs="宋体"/>
          <w:sz w:val="24"/>
          <w:highlight w:val="none"/>
        </w:rPr>
        <w:t xml:space="preserve">25.5竣工</w:t>
      </w:r>
      <w:r>
        <w:rPr>
          <w:rFonts w:hint="eastAsia" w:ascii="宋体" w:hAnsi="宋体" w:eastAsia="宋体" w:cs="宋体"/>
          <w:sz w:val="24"/>
          <w:highlight w:val="none"/>
          <w:lang w:val="en-US" w:eastAsia="zh-CN"/>
        </w:rPr>
        <w:t xml:space="preserve">工程送审</w:t>
      </w:r>
      <w:r>
        <w:rPr>
          <w:rFonts w:ascii="宋体" w:hAnsi="宋体" w:eastAsia="宋体" w:cs="宋体"/>
          <w:sz w:val="24"/>
          <w:highlight w:val="none"/>
          <w:lang w:val="en-US" w:eastAsia="zh-CN"/>
        </w:rPr>
      </w:r>
      <w:r/>
    </w:p>
    <w:p>
      <w:pPr>
        <w:pStyle w:val="706"/>
        <w:ind w:firstLine="360"/>
        <w:spacing w:line="360" w:lineRule="auto"/>
        <w:rPr>
          <w:rFonts w:ascii="宋体" w:hAnsi="宋体" w:eastAsia="宋体" w:cs="宋体"/>
          <w:sz w:val="24"/>
          <w:highlight w:val="none"/>
        </w:rPr>
      </w:pPr>
      <w:r>
        <w:rPr>
          <w:rFonts w:hint="eastAsia" w:ascii="宋体" w:hAnsi="宋体" w:eastAsia="宋体" w:cs="宋体"/>
          <w:sz w:val="24"/>
          <w:highlight w:val="none"/>
        </w:rPr>
        <w:t xml:space="preserve">承包人提交竣工结算申请单的期限:承包人应在工程竣工验收合格后90日内向发包人和监理人提交竣工结算申请资料，逾期处以1000元/日的违约金，最高至合同价的5%。</w:t>
      </w:r>
      <w:r>
        <w:rPr>
          <w:rFonts w:ascii="宋体" w:hAnsi="宋体" w:eastAsia="宋体" w:cs="宋体"/>
          <w:sz w:val="24"/>
          <w:highlight w:val="none"/>
        </w:rPr>
      </w:r>
      <w:r/>
    </w:p>
    <w:p>
      <w:pPr>
        <w:pStyle w:val="709"/>
        <w:spacing w:line="360" w:lineRule="auto"/>
        <w:rPr>
          <w:rFonts w:hint="eastAsia" w:ascii="宋体" w:hAnsi="宋体" w:eastAsia="宋体" w:cs="宋体"/>
          <w:sz w:val="24"/>
          <w:szCs w:val="24"/>
          <w:highlight w:val="none"/>
        </w:rPr>
      </w:pPr>
      <w:r/>
      <w:bookmarkStart w:id="145" w:name="_Toc26478"/>
      <w:r>
        <w:rPr>
          <w:rFonts w:hint="eastAsia" w:ascii="宋体" w:hAnsi="宋体" w:eastAsia="宋体" w:cs="宋体"/>
          <w:sz w:val="24"/>
          <w:szCs w:val="24"/>
          <w:highlight w:val="none"/>
        </w:rPr>
        <w:t xml:space="preserve">十、违约、索赔和争议</w:t>
      </w:r>
      <w:bookmarkEnd w:id="144"/>
      <w:r/>
      <w:bookmarkEnd w:id="145"/>
      <w:r>
        <w:rPr>
          <w:rFonts w:hint="eastAsia" w:ascii="宋体" w:hAnsi="宋体" w:eastAsia="宋体" w:cs="宋体"/>
          <w:sz w:val="24"/>
          <w:szCs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26、违约</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26.1本合同中关于发包人违约的具体责任如下：</w:t>
      </w:r>
      <w:r>
        <w:rPr>
          <w:rFonts w:hint="eastAsia" w:ascii="宋体" w:hAnsi="宋体" w:eastAsia="宋体" w:cs="宋体"/>
          <w:sz w:val="24"/>
          <w:highlight w:val="none"/>
        </w:rPr>
      </w:r>
      <w:r/>
    </w:p>
    <w:p>
      <w:pPr>
        <w:pStyle w:val="706"/>
        <w:ind w:firstLine="72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本合同通用条款约定发包人违约应承担的违约责任：</w:t>
      </w:r>
      <w:bookmarkStart w:id="146" w:name="EB3412db72e4394a099cbd9c6c8cfbe7b2"/>
      <w:r/>
      <w:bookmarkEnd w:id="146"/>
      <w:r>
        <w:rPr>
          <w:rFonts w:hint="eastAsia" w:ascii="宋体" w:hAnsi="宋体" w:eastAsia="宋体" w:cs="宋体"/>
          <w:sz w:val="24"/>
          <w:highlight w:val="none"/>
          <w:u w:val="single"/>
        </w:rPr>
        <w:t xml:space="preserve">发包人不按约定时间支付工程款，应按同期银行贷款利率支付拖欠工程款的利息。</w:t>
      </w:r>
      <w:r>
        <w:rPr>
          <w:rFonts w:hint="eastAsia" w:ascii="宋体" w:hAnsi="宋体" w:eastAsia="宋体" w:cs="宋体"/>
          <w:sz w:val="24"/>
          <w:highlight w:val="none"/>
          <w:u w:val="singl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本合同通用条款约定发包人违约应承担的违约责任：</w:t>
      </w:r>
      <w:bookmarkStart w:id="147" w:name="EB7c9572ef8c2f4e5691e837426106eff1"/>
      <w:r/>
      <w:bookmarkEnd w:id="147"/>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本合同通用条款约定发包人违约应承担的违约责任：</w:t>
      </w:r>
      <w:bookmarkStart w:id="148" w:name="EB79af54e6510e49798e51bf6f68cb1156"/>
      <w:r/>
      <w:bookmarkEnd w:id="148"/>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双方约定的发包人其他违约责任：</w:t>
      </w:r>
      <w:bookmarkStart w:id="149" w:name="EB4b494097a8db469b8df8820ea1958432"/>
      <w:r/>
      <w:bookmarkEnd w:id="149"/>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26.2本合同中关于承包人违约的具体责任如下：</w:t>
      </w:r>
      <w:r>
        <w:rPr>
          <w:rFonts w:hint="eastAsia" w:ascii="宋体" w:hAnsi="宋体" w:eastAsia="宋体" w:cs="宋体"/>
          <w:sz w:val="24"/>
          <w:highlight w:val="none"/>
        </w:rPr>
      </w:r>
      <w:r/>
    </w:p>
    <w:p>
      <w:pPr>
        <w:pStyle w:val="706"/>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本合同通用条款约定承包人违约承担的违约责任：</w:t>
      </w:r>
      <w:bookmarkStart w:id="150" w:name="EBce2fdaac704a44d7b956d43e71e168ee"/>
      <w:r/>
      <w:bookmarkEnd w:id="150"/>
      <w:r>
        <w:rPr>
          <w:rFonts w:hint="eastAsia" w:ascii="宋体" w:hAnsi="宋体" w:eastAsia="宋体" w:cs="宋体"/>
          <w:sz w:val="24"/>
          <w:highlight w:val="none"/>
          <w:u w:val="single"/>
        </w:rPr>
        <w:t xml:space="preserve">工程质量达不到约定质量标准的，承包人必须自费进行返工；经返工质量仍达不到约定质量等级的，必须承担不合格部分工程造价20%的质量违约金。</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本合同通用条款约定承包人违约应承担的违约责任：</w:t>
      </w:r>
      <w:r>
        <w:rPr>
          <w:rFonts w:hint="eastAsia" w:ascii="宋体" w:hAnsi="宋体" w:eastAsia="宋体" w:cs="宋体"/>
          <w:sz w:val="24"/>
          <w:highlight w:val="none"/>
          <w:u w:val="single"/>
        </w:rPr>
        <w:t xml:space="preserve">由承包人负责对不合格工程进行整改或返工，直至验收合格，并承担一切费用。</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双方约定的承包人其他违约责任：</w:t>
      </w:r>
      <w:r>
        <w:rPr>
          <w:rFonts w:hint="eastAsia" w:ascii="宋体" w:hAnsi="宋体" w:eastAsia="宋体" w:cs="宋体"/>
          <w:sz w:val="24"/>
          <w:highlight w:val="none"/>
        </w:rPr>
      </w:r>
      <w:r/>
    </w:p>
    <w:p>
      <w:pPr>
        <w:pStyle w:val="706"/>
        <w:numPr>
          <w:ilvl w:val="0"/>
          <w:numId w:val="10"/>
        </w:num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承包人如在施工中如有偷工减料或使用不合格原材料的行为，每发现一次，承包人除应整改至合格之外，应向发包人支付违约金</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000元</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r>
      <w:r/>
    </w:p>
    <w:p>
      <w:pPr>
        <w:pStyle w:val="706"/>
        <w:numPr>
          <w:ilvl w:val="0"/>
          <w:numId w:val="10"/>
        </w:num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u w:val="single"/>
        </w:rPr>
        <w:t xml:space="preserve">承包人如拖欠民工工资引起民工上访事件将视为承包人违约，发包人有权要求承包人向其支付1万元/次的违约金。如因承包人原因导致发包人垫付民工工资的，承包人应按发包人垫付金额向发包人支付违约金。</w:t>
      </w:r>
      <w:r>
        <w:rPr>
          <w:rFonts w:hint="eastAsia" w:ascii="宋体" w:hAnsi="宋体" w:eastAsia="宋体" w:cs="宋体"/>
          <w:sz w:val="24"/>
          <w:highlight w:val="none"/>
        </w:rPr>
      </w:r>
      <w:r/>
    </w:p>
    <w:p>
      <w:pPr>
        <w:pStyle w:val="706"/>
        <w:numPr>
          <w:ilvl w:val="0"/>
          <w:numId w:val="10"/>
        </w:num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如因承包人原因导致本合同提前解除，承包人应向发包人支付合同总价20%的违约金。</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27、争议</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27.1双方约定，在履行合同过程中产生争议时：</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（1）请建设行政主管部门</w:t>
      </w:r>
      <w:r>
        <w:rPr>
          <w:rFonts w:hint="eastAsia" w:ascii="宋体" w:hAnsi="宋体" w:eastAsia="宋体" w:cs="宋体"/>
          <w:sz w:val="24"/>
          <w:highlight w:val="none"/>
          <w:u w:val="single"/>
        </w:rPr>
        <w:t xml:space="preserve">调解；</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（2）调解不成的，向</w:t>
      </w:r>
      <w:r>
        <w:rPr>
          <w:rFonts w:hint="eastAsia" w:ascii="宋体" w:hAnsi="宋体" w:eastAsia="宋体" w:cs="宋体"/>
          <w:sz w:val="24"/>
          <w:highlight w:val="none"/>
          <w:u w:val="single"/>
        </w:rPr>
        <w:t xml:space="preserve">工程所在地</w:t>
      </w:r>
      <w:r>
        <w:rPr>
          <w:rFonts w:hint="eastAsia" w:ascii="宋体" w:hAnsi="宋体" w:eastAsia="宋体" w:cs="宋体"/>
          <w:sz w:val="24"/>
          <w:highlight w:val="none"/>
        </w:rPr>
        <w:t xml:space="preserve">人民法院提起诉讼。</w:t>
      </w:r>
      <w:r>
        <w:rPr>
          <w:rFonts w:hint="eastAsia" w:ascii="宋体" w:hAnsi="宋体" w:eastAsia="宋体" w:cs="宋体"/>
          <w:sz w:val="24"/>
          <w:highlight w:val="none"/>
        </w:rPr>
      </w:r>
      <w:r/>
    </w:p>
    <w:p>
      <w:pPr>
        <w:pStyle w:val="709"/>
        <w:spacing w:line="360" w:lineRule="auto"/>
        <w:rPr>
          <w:rFonts w:hint="eastAsia" w:ascii="宋体" w:hAnsi="宋体" w:eastAsia="宋体" w:cs="宋体"/>
          <w:sz w:val="24"/>
          <w:szCs w:val="24"/>
          <w:highlight w:val="none"/>
        </w:rPr>
      </w:pPr>
      <w:r/>
      <w:bookmarkStart w:id="151" w:name="_Toc273453284"/>
      <w:r/>
      <w:bookmarkStart w:id="152" w:name="_Toc15162"/>
      <w:r>
        <w:rPr>
          <w:rFonts w:hint="eastAsia" w:ascii="宋体" w:hAnsi="宋体" w:eastAsia="宋体" w:cs="宋体"/>
          <w:sz w:val="24"/>
          <w:szCs w:val="24"/>
          <w:highlight w:val="none"/>
        </w:rPr>
        <w:t xml:space="preserve">十一、其他</w:t>
      </w:r>
      <w:bookmarkEnd w:id="151"/>
      <w:r/>
      <w:bookmarkEnd w:id="152"/>
      <w:r>
        <w:rPr>
          <w:rFonts w:hint="eastAsia" w:ascii="宋体" w:hAnsi="宋体" w:eastAsia="宋体" w:cs="宋体"/>
          <w:sz w:val="24"/>
          <w:szCs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28、工程分包</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28.1本工程发包人同意承包人分包的工程：</w:t>
      </w:r>
      <w:bookmarkStart w:id="153" w:name="EBc5db9227a05e430aa8dc6f609380bf47"/>
      <w:r/>
      <w:bookmarkEnd w:id="153"/>
      <w:r>
        <w:rPr>
          <w:rFonts w:hint="eastAsia" w:ascii="宋体" w:hAnsi="宋体" w:eastAsia="宋体" w:cs="宋体"/>
          <w:sz w:val="24"/>
          <w:highlight w:val="none"/>
          <w:u w:val="single"/>
        </w:rPr>
        <w:t xml:space="preserve">本工程发包人不同意分包。</w:t>
      </w:r>
      <w:r>
        <w:rPr>
          <w:rFonts w:hint="eastAsia" w:ascii="宋体" w:hAnsi="宋体" w:eastAsia="宋体" w:cs="宋体"/>
          <w:sz w:val="24"/>
          <w:highlight w:val="none"/>
          <w:u w:val="single"/>
        </w:rPr>
      </w:r>
      <w:r/>
    </w:p>
    <w:p>
      <w:pPr>
        <w:pStyle w:val="706"/>
        <w:ind w:firstLine="42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分包施工单位为：</w:t>
      </w:r>
      <w:r>
        <w:rPr>
          <w:rFonts w:hint="eastAsia" w:ascii="宋体" w:hAnsi="宋体" w:eastAsia="宋体" w:cs="宋体"/>
          <w:sz w:val="24"/>
          <w:highlight w:val="none"/>
          <w:u w:val="single"/>
        </w:rPr>
        <w:t xml:space="preserve">如实际施工中确有需要分包的情况发生，承包人必须首先征得发包人书面同意。分包人必须具有相应的资质条件和类似工程的业绩，经发包人审核同意后方可进场。</w:t>
      </w:r>
      <w:r>
        <w:rPr>
          <w:rFonts w:hint="eastAsia" w:ascii="宋体" w:hAnsi="宋体" w:eastAsia="宋体" w:cs="宋体"/>
          <w:sz w:val="24"/>
          <w:highlight w:val="none"/>
          <w:u w:val="single"/>
        </w:rPr>
      </w:r>
      <w:r/>
    </w:p>
    <w:p>
      <w:pPr>
        <w:pStyle w:val="70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29、不可抗力</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29.1双方关于不可抗力的约定：</w:t>
      </w:r>
      <w:r>
        <w:rPr>
          <w:rFonts w:hint="eastAsia" w:ascii="宋体" w:hAnsi="宋体" w:eastAsia="宋体" w:cs="宋体"/>
          <w:sz w:val="24"/>
          <w:highlight w:val="none"/>
          <w:u w:val="single"/>
        </w:rPr>
        <w:t xml:space="preserve">按通用条款执行。</w:t>
      </w:r>
      <w:bookmarkStart w:id="154" w:name="EptNR_双方关于不可抗力的约定"/>
      <w:r/>
      <w:bookmarkEnd w:id="154"/>
      <w:r>
        <w:rPr>
          <w:rFonts w:hint="eastAsia" w:ascii="宋体" w:hAnsi="宋体" w:eastAsia="宋体" w:cs="宋体"/>
          <w:sz w:val="24"/>
          <w:highlight w:val="none"/>
          <w:u w:val="singl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30、保险</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30.1本工程双方约定投保内容如下：</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（1）发包人投保内容：发包人的</w:t>
      </w:r>
      <w:bookmarkStart w:id="155" w:name="EptNR_发包人投保内容"/>
      <w:r>
        <w:rPr>
          <w:rFonts w:hint="eastAsia" w:ascii="宋体" w:hAnsi="宋体" w:eastAsia="宋体" w:cs="宋体"/>
          <w:sz w:val="24"/>
          <w:highlight w:val="none"/>
          <w:u w:val="single"/>
        </w:rPr>
        <w:t xml:space="preserve">无</w:t>
      </w:r>
      <w:bookmarkEnd w:id="155"/>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发包人委托承包人办理的保险事项：</w:t>
      </w:r>
      <w:bookmarkStart w:id="156" w:name="EptNR_发包人委托承包人办理的保险事项"/>
      <w:r>
        <w:rPr>
          <w:rFonts w:hint="eastAsia" w:ascii="宋体" w:hAnsi="宋体" w:eastAsia="宋体" w:cs="宋体"/>
          <w:sz w:val="24"/>
          <w:highlight w:val="none"/>
          <w:u w:val="single"/>
        </w:rPr>
        <w:t xml:space="preserve">无</w:t>
      </w:r>
      <w:bookmarkEnd w:id="156"/>
      <w:r>
        <w:rPr>
          <w:rFonts w:hint="eastAsia" w:ascii="宋体" w:hAnsi="宋体" w:eastAsia="宋体" w:cs="宋体"/>
          <w:sz w:val="24"/>
          <w:highlight w:val="none"/>
          <w:u w:val="single"/>
        </w:rPr>
      </w:r>
      <w:r/>
    </w:p>
    <w:p>
      <w:pPr>
        <w:pStyle w:val="706"/>
        <w:ind w:firstLine="42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（2）承包人投保内容：</w:t>
      </w:r>
      <w:r>
        <w:rPr>
          <w:rFonts w:hint="eastAsia" w:ascii="宋体" w:hAnsi="宋体" w:eastAsia="宋体" w:cs="宋体"/>
          <w:sz w:val="24"/>
          <w:highlight w:val="none"/>
          <w:u w:val="single"/>
        </w:rPr>
        <w:t xml:space="preserve">按苏州市有关工程保险规定，包括不限于意外险、建筑工程一切险、职业责任险。</w:t>
      </w:r>
      <w:r>
        <w:rPr>
          <w:rFonts w:hint="eastAsia" w:ascii="宋体" w:hAnsi="宋体" w:eastAsia="宋体" w:cs="宋体"/>
          <w:sz w:val="24"/>
          <w:highlight w:val="none"/>
          <w:u w:val="single"/>
        </w:rPr>
      </w:r>
      <w:r/>
    </w:p>
    <w:p>
      <w:pPr>
        <w:pStyle w:val="706"/>
        <w:ind w:firstLine="42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31、担保</w:t>
      </w:r>
      <w:r>
        <w:rPr>
          <w:rFonts w:hint="eastAsia" w:ascii="宋体" w:hAnsi="宋体" w:eastAsia="宋体" w:cs="宋体"/>
          <w:sz w:val="24"/>
          <w:highlight w:val="none"/>
          <w:u w:val="singl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31.1本工程双方约定担保事项如下：</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(1)发包人向承包人提供履约担保，担保方式为：</w:t>
      </w:r>
      <w:bookmarkStart w:id="157" w:name="EptNR_发包人向承包人提供履约担保"/>
      <w:r>
        <w:rPr>
          <w:rFonts w:hint="eastAsia" w:ascii="宋体" w:hAnsi="宋体" w:eastAsia="宋体" w:cs="宋体"/>
          <w:sz w:val="24"/>
          <w:highlight w:val="none"/>
          <w:u w:val="single"/>
        </w:rPr>
        <w:t xml:space="preserve">  / </w:t>
      </w:r>
      <w:bookmarkEnd w:id="157"/>
      <w:r>
        <w:rPr>
          <w:rFonts w:hint="eastAsia" w:ascii="宋体" w:hAnsi="宋体" w:eastAsia="宋体" w:cs="宋体"/>
          <w:sz w:val="24"/>
          <w:highlight w:val="none"/>
        </w:rPr>
        <w:t xml:space="preserve">，担保合同作为本合同附件。</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(2)承包人向发包人提供履约担保，担保方式为：</w:t>
      </w:r>
      <w:bookmarkStart w:id="158" w:name="EB15d9c706b5374b5084d8a138dba00178"/>
      <w:r/>
      <w:bookmarkEnd w:id="158"/>
      <w:r>
        <w:rPr>
          <w:rFonts w:hint="eastAsia" w:ascii="宋体" w:hAnsi="宋体" w:eastAsia="宋体" w:cs="宋体"/>
          <w:sz w:val="24"/>
          <w:highlight w:val="none"/>
          <w:u w:val="singl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(3)双方约定的其他担保事项：</w:t>
      </w:r>
      <w:bookmarkStart w:id="159" w:name="EB40ce7954db2b445abeb665bb7cebc429"/>
      <w:r/>
      <w:bookmarkEnd w:id="159"/>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32、合同份数</w:t>
      </w:r>
      <w:r>
        <w:rPr>
          <w:rFonts w:hint="eastAsia" w:ascii="宋体" w:hAnsi="宋体" w:eastAsia="宋体" w:cs="宋体"/>
          <w:sz w:val="24"/>
          <w:highlight w:val="none"/>
        </w:rPr>
      </w:r>
      <w:r/>
    </w:p>
    <w:p>
      <w:pPr>
        <w:pStyle w:val="706"/>
        <w:ind w:firstLine="42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33.1双方约定合同副本份数：</w:t>
      </w:r>
      <w:r>
        <w:rPr>
          <w:rFonts w:hint="eastAsia" w:ascii="宋体" w:hAnsi="宋体" w:eastAsia="宋体" w:cs="宋体"/>
          <w:sz w:val="24"/>
          <w:highlight w:val="none"/>
          <w:u w:val="single"/>
        </w:rPr>
        <w:t xml:space="preserve">一式</w:t>
      </w:r>
      <w:r>
        <w:rPr>
          <w:rFonts w:hint="eastAsia" w:ascii="宋体" w:hAnsi="宋体" w:eastAsia="宋体" w:cs="宋体"/>
          <w:b/>
          <w:bCs/>
          <w:sz w:val="24"/>
          <w:highlight w:val="none"/>
          <w:u w:val="single"/>
        </w:rPr>
        <w:t xml:space="preserve">陆</w:t>
      </w:r>
      <w:r>
        <w:rPr>
          <w:rFonts w:hint="eastAsia" w:ascii="宋体" w:hAnsi="宋体" w:eastAsia="宋体" w:cs="宋体"/>
          <w:sz w:val="24"/>
          <w:highlight w:val="none"/>
          <w:u w:val="single"/>
        </w:rPr>
        <w:t xml:space="preserve">份，合同双方各执</w:t>
      </w:r>
      <w:r>
        <w:rPr>
          <w:rFonts w:hint="eastAsia" w:ascii="宋体" w:hAnsi="宋体" w:eastAsia="宋体" w:cs="宋体"/>
          <w:b/>
          <w:bCs/>
          <w:sz w:val="24"/>
          <w:highlight w:val="none"/>
          <w:u w:val="single"/>
        </w:rPr>
        <w:t xml:space="preserve">贰</w:t>
      </w:r>
      <w:r>
        <w:rPr>
          <w:rFonts w:hint="eastAsia" w:ascii="宋体" w:hAnsi="宋体" w:eastAsia="宋体" w:cs="宋体"/>
          <w:sz w:val="24"/>
          <w:highlight w:val="none"/>
          <w:u w:val="single"/>
        </w:rPr>
        <w:t xml:space="preserve">份，采购人</w:t>
      </w:r>
      <w:r>
        <w:rPr>
          <w:rFonts w:hint="eastAsia" w:ascii="宋体" w:hAnsi="宋体" w:eastAsia="宋体" w:cs="宋体"/>
          <w:b/>
          <w:bCs/>
          <w:sz w:val="24"/>
          <w:highlight w:val="none"/>
          <w:u w:val="single"/>
        </w:rPr>
        <w:t xml:space="preserve">壹</w:t>
      </w:r>
      <w:r>
        <w:rPr>
          <w:rFonts w:hint="eastAsia" w:ascii="宋体" w:hAnsi="宋体" w:eastAsia="宋体" w:cs="宋体"/>
          <w:sz w:val="24"/>
          <w:highlight w:val="none"/>
          <w:u w:val="single"/>
        </w:rPr>
        <w:t xml:space="preserve">份，采购代理机构</w:t>
      </w:r>
      <w:r>
        <w:rPr>
          <w:rFonts w:hint="eastAsia" w:ascii="宋体" w:hAnsi="宋体" w:eastAsia="宋体" w:cs="宋体"/>
          <w:b/>
          <w:bCs/>
          <w:sz w:val="24"/>
          <w:highlight w:val="none"/>
          <w:u w:val="single"/>
        </w:rPr>
        <w:t xml:space="preserve">壹</w:t>
      </w:r>
      <w:r>
        <w:rPr>
          <w:rFonts w:hint="eastAsia" w:ascii="宋体" w:hAnsi="宋体" w:eastAsia="宋体" w:cs="宋体"/>
          <w:sz w:val="24"/>
          <w:highlight w:val="none"/>
          <w:u w:val="single"/>
        </w:rPr>
        <w:t xml:space="preserve">份。</w:t>
      </w:r>
      <w:r>
        <w:rPr>
          <w:rFonts w:hint="eastAsia" w:ascii="宋体" w:hAnsi="宋体" w:eastAsia="宋体" w:cs="宋体"/>
          <w:sz w:val="24"/>
          <w:highlight w:val="none"/>
          <w:u w:val="single"/>
        </w:rPr>
      </w:r>
      <w:r/>
    </w:p>
    <w:p>
      <w:pPr>
        <w:pStyle w:val="706"/>
        <w:spacing w:line="360" w:lineRule="auto"/>
        <w:rPr>
          <w:rFonts w:hint="eastAsia" w:ascii="宋体" w:hAnsi="宋体" w:eastAsia="宋体" w:cs="宋体"/>
          <w:sz w:val="24"/>
          <w:highlight w:val="none"/>
        </w:rPr>
      </w:pPr>
      <w:r>
        <w:rPr>
          <w:rFonts w:hint="eastAsia" w:ascii="宋体" w:hAnsi="宋体" w:eastAsia="宋体" w:cs="宋体"/>
          <w:b/>
          <w:bCs/>
          <w:sz w:val="24"/>
          <w:highlight w:val="none"/>
        </w:rPr>
        <w:t xml:space="preserve">33.2本项目所涉及的材料，中标单位（承包人）在实际进场施工前均须提供材料样品，经建设单位、设计单位及监理单位三方确认并封样后方可预订、采购。</w:t>
      </w:r>
      <w:r>
        <w:rPr>
          <w:rFonts w:hint="eastAsia" w:ascii="宋体" w:hAnsi="宋体" w:eastAsia="宋体" w:cs="宋体"/>
          <w:sz w:val="24"/>
          <w:highlight w:val="none"/>
        </w:rPr>
      </w:r>
      <w:r/>
    </w:p>
    <w:p>
      <w:pPr>
        <w:pStyle w:val="706"/>
        <w:ind w:firstLine="10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34、补充条款</w:t>
      </w:r>
      <w:bookmarkStart w:id="160" w:name="EptNR_其他补充的内容1"/>
      <w:r/>
      <w:bookmarkEnd w:id="160"/>
      <w:r>
        <w:rPr>
          <w:rFonts w:hint="eastAsia" w:ascii="宋体" w:hAnsi="宋体" w:eastAsia="宋体" w:cs="宋体"/>
          <w:sz w:val="24"/>
          <w:highlight w:val="none"/>
        </w:rPr>
      </w:r>
      <w:r/>
    </w:p>
    <w:p>
      <w:pPr>
        <w:pStyle w:val="706"/>
        <w:ind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（1）本工程必须执行国家相关规范、规定的要求，工程质量等级达到设计要求，如达不到设计要求，工程不合格，承包人应承担由此产生的一切经济和法律责任。</w:t>
      </w:r>
      <w:r>
        <w:rPr>
          <w:rFonts w:hint="eastAsia" w:ascii="宋体" w:hAnsi="宋体" w:eastAsia="宋体" w:cs="宋体"/>
          <w:sz w:val="24"/>
          <w:highlight w:val="none"/>
          <w:u w:val="single"/>
        </w:rPr>
      </w:r>
      <w:r/>
    </w:p>
    <w:p>
      <w:pPr>
        <w:pStyle w:val="706"/>
        <w:ind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（2）工程付款：合同中已约定。</w:t>
      </w:r>
      <w:r>
        <w:rPr>
          <w:rFonts w:hint="eastAsia" w:ascii="宋体" w:hAnsi="宋体" w:eastAsia="宋体" w:cs="宋体"/>
          <w:sz w:val="24"/>
          <w:highlight w:val="none"/>
          <w:u w:val="single"/>
        </w:rPr>
      </w:r>
      <w:r/>
    </w:p>
    <w:p>
      <w:pPr>
        <w:pStyle w:val="706"/>
        <w:ind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（3）承包人应对其在施工场地的工作人员进行安全教育，并对他们的安全负责。</w:t>
      </w:r>
      <w:r>
        <w:rPr>
          <w:rFonts w:hint="eastAsia" w:ascii="宋体" w:hAnsi="宋体" w:eastAsia="宋体" w:cs="宋体"/>
          <w:sz w:val="24"/>
          <w:highlight w:val="none"/>
          <w:u w:val="single"/>
        </w:rPr>
      </w:r>
      <w:r/>
    </w:p>
    <w:p>
      <w:pPr>
        <w:pStyle w:val="706"/>
        <w:ind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（4）发包人有权根据工程的实际情况增加或减少施工范围和施工内容，承包人不得以任何理由拒绝。</w:t>
      </w:r>
      <w:r>
        <w:rPr>
          <w:rFonts w:hint="eastAsia" w:ascii="宋体" w:hAnsi="宋体" w:eastAsia="宋体" w:cs="宋体"/>
          <w:sz w:val="24"/>
          <w:highlight w:val="none"/>
          <w:u w:val="single"/>
        </w:rPr>
      </w:r>
      <w:r/>
    </w:p>
    <w:p>
      <w:pPr>
        <w:pStyle w:val="706"/>
        <w:ind w:firstLine="240"/>
        <w:spacing w:line="360" w:lineRule="auto"/>
        <w:widowControl/>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（5）本合同未尽事宜，双方友好协商解决。</w:t>
      </w:r>
      <w:r>
        <w:rPr>
          <w:rFonts w:hint="eastAsia" w:ascii="宋体" w:hAnsi="宋体" w:eastAsia="宋体" w:cs="宋体"/>
          <w:sz w:val="24"/>
          <w:highlight w:val="none"/>
          <w:u w:val="single"/>
        </w:rPr>
      </w:r>
      <w:r/>
    </w:p>
    <w:p>
      <w:pPr>
        <w:pStyle w:val="807"/>
        <w:ind w:firstLine="422"/>
        <w:keepLines w:val="0"/>
        <w:keepNext w:val="0"/>
        <w:pageBreakBefore w:val="0"/>
        <w:spacing w:line="360"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 xml:space="preserve">35、安全文明施工</w:t>
      </w:r>
      <w:r>
        <w:rPr>
          <w:rFonts w:hint="eastAsia" w:ascii="宋体" w:hAnsi="宋体" w:eastAsia="宋体" w:cs="宋体"/>
          <w:color w:val="000000"/>
          <w:sz w:val="24"/>
          <w:szCs w:val="24"/>
          <w:highlight w:val="none"/>
          <w:u w:val="single"/>
          <w:lang w:val="en-US" w:eastAsia="zh-CN"/>
        </w:rPr>
      </w:r>
      <w:r/>
    </w:p>
    <w:p>
      <w:pPr>
        <w:pStyle w:val="706"/>
        <w:ind w:firstLine="480"/>
        <w:keepLines w:val="0"/>
        <w:keepNext w:val="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u w:val="single"/>
        </w:rPr>
        <w:t xml:space="preserve">施工场地清洁卫生的要求：按照苏州市现场施工清洁卫生规定执行；如违反规定要求承包人应承担当地行政执法部门的处罚费用，并将被发包人视为违约，发包人将对承包人处以同等数额的违约金并在工程结算中予以扣除。承包人在施工期间，负责定期将施工场地范围内的建筑垃圾、建筑杂物、临时道路、生活垃圾等清理干净，并及时清除出施工现场。如承包人不清理或清理不干净，发包人有权委托其它</w:t>
      </w:r>
      <w:r>
        <w:rPr>
          <w:rFonts w:hint="eastAsia" w:ascii="宋体" w:hAnsi="宋体" w:eastAsia="宋体" w:cs="宋体"/>
          <w:color w:val="000000"/>
          <w:sz w:val="24"/>
          <w:szCs w:val="24"/>
          <w:highlight w:val="none"/>
          <w:u w:val="single"/>
        </w:rPr>
        <w:t xml:space="preserve">单位或个人清理，所产生的一切费用由承包人负责，发包人在工程款结算时在承包人的工程款中扣除。防止建筑工地扬尘、工程车抛洒滴漏。施工通道应经常进行洒水降尘，严禁施工车辆抛洒滴漏污染道路，施工车辆驰向城市道路前，必须经冲洗场冲洗干净，杜绝车轮夹泥上路。从承包人施工起点起的上、下游各150米范围内的现有雨、污水管道被垃圾堵塞，必须由承包人清除。因此原因造成相关职能部门处罚时，同样也将被发包人视为违约，故承包人除支付相关职能部门罚金外，还须承担违约金5000元/次。该款项无需经承包人同意，由发包人直接在工程款中扣除。</w:t>
      </w:r>
      <w:r>
        <w:rPr>
          <w:rFonts w:hint="eastAsia" w:ascii="宋体" w:hAnsi="宋体" w:eastAsia="宋体" w:cs="宋体"/>
          <w:color w:val="000000"/>
          <w:sz w:val="24"/>
          <w:szCs w:val="24"/>
          <w:highlight w:val="none"/>
          <w:u w:val="single"/>
        </w:rPr>
      </w:r>
      <w:r/>
    </w:p>
    <w:p>
      <w:pPr>
        <w:pStyle w:val="808"/>
        <w:ind w:firstLine="24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36、建筑垃圾清运专项约定</w:t>
      </w:r>
      <w:r>
        <w:rPr>
          <w:rFonts w:hint="eastAsia" w:ascii="宋体" w:hAnsi="宋体" w:eastAsia="宋体" w:cs="宋体"/>
          <w:color w:val="000000"/>
          <w:sz w:val="24"/>
          <w:szCs w:val="24"/>
          <w:highlight w:val="none"/>
          <w:lang w:val="en-US" w:eastAsia="zh-CN"/>
        </w:rPr>
      </w:r>
      <w:r/>
    </w:p>
    <w:p>
      <w:pPr>
        <w:pStyle w:val="706"/>
        <w:numPr>
          <w:ilvl w:val="0"/>
          <w:numId w:val="11"/>
        </w:numPr>
        <w:ind w:left="425" w:hanging="425"/>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在施工期间，负责定期将施工场地范围内的建筑垃圾、建筑杂物、生活垃圾等清理干净，并及时清除出施工现场。如承包人不清理或清理不干净，发包人有权委托其它单位或个人清理，所产生的一切费用由承包人负责，并支付1000</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10000 元/次的违约金。发包人可从承包人的工程款中直接扣除。</w:t>
      </w:r>
      <w:r>
        <w:rPr>
          <w:rFonts w:hint="eastAsia" w:ascii="宋体" w:hAnsi="宋体" w:eastAsia="宋体" w:cs="宋体"/>
          <w:color w:val="000000"/>
          <w:sz w:val="24"/>
          <w:szCs w:val="24"/>
          <w:highlight w:val="none"/>
        </w:rPr>
      </w:r>
      <w:r/>
    </w:p>
    <w:p>
      <w:pPr>
        <w:pStyle w:val="706"/>
        <w:numPr>
          <w:ilvl w:val="0"/>
          <w:numId w:val="11"/>
        </w:numPr>
        <w:ind w:left="425" w:hanging="425"/>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运卸建筑垃圾的地点必须符合工程所在地相应政府部门规定，垃圾堆放场地由</w:t>
      </w:r>
      <w:r>
        <w:rPr>
          <w:rFonts w:hint="eastAsia" w:ascii="宋体" w:hAnsi="宋体" w:eastAsia="宋体" w:cs="宋体"/>
          <w:color w:val="000000"/>
          <w:sz w:val="24"/>
          <w:szCs w:val="24"/>
          <w:highlight w:val="none"/>
          <w:lang w:eastAsia="zh-CN"/>
        </w:rPr>
        <w:t xml:space="preserve">承包人</w:t>
      </w:r>
      <w:r>
        <w:rPr>
          <w:rFonts w:hint="eastAsia" w:ascii="宋体" w:hAnsi="宋体" w:eastAsia="宋体" w:cs="宋体"/>
          <w:color w:val="000000"/>
          <w:sz w:val="24"/>
          <w:szCs w:val="24"/>
          <w:highlight w:val="none"/>
        </w:rPr>
        <w:t xml:space="preserve">自行选择，但是必须符合政府要求，否则，由此产生的费用，全部由</w:t>
      </w:r>
      <w:r>
        <w:rPr>
          <w:rFonts w:hint="eastAsia" w:ascii="宋体" w:hAnsi="宋体" w:eastAsia="宋体" w:cs="宋体"/>
          <w:color w:val="000000"/>
          <w:sz w:val="24"/>
          <w:szCs w:val="24"/>
          <w:highlight w:val="none"/>
          <w:lang w:eastAsia="zh-CN"/>
        </w:rPr>
        <w:t xml:space="preserve">承包人</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706"/>
        <w:numPr>
          <w:ilvl w:val="0"/>
          <w:numId w:val="11"/>
        </w:numPr>
        <w:ind w:left="425" w:hanging="425"/>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承包人</w:t>
      </w:r>
      <w:r>
        <w:rPr>
          <w:rFonts w:hint="eastAsia" w:ascii="宋体" w:hAnsi="宋体" w:eastAsia="宋体" w:cs="宋体"/>
          <w:color w:val="000000"/>
          <w:sz w:val="24"/>
          <w:szCs w:val="24"/>
          <w:highlight w:val="none"/>
        </w:rPr>
        <w:t xml:space="preserve">的清运车辆必须符合当地政府规定的《建筑垃圾或者生活垃圾运输车辆标准》,如车厢顶部加装纵向开闭柔性结构篷布覆盖密闭装置，安装北斗兼容车载终端、驾驶室上方安装顶灯，车厢后箱喷涂放大反光牌号，车厢两侧喷涂运输企业名称，车身及车厢颜色应为苹果绿色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706"/>
        <w:numPr>
          <w:ilvl w:val="0"/>
          <w:numId w:val="11"/>
        </w:numPr>
        <w:ind w:left="425" w:hanging="425"/>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承包人</w:t>
      </w:r>
      <w:r>
        <w:rPr>
          <w:rFonts w:hint="eastAsia" w:ascii="宋体" w:hAnsi="宋体" w:eastAsia="宋体" w:cs="宋体"/>
          <w:color w:val="000000"/>
          <w:sz w:val="24"/>
          <w:szCs w:val="24"/>
          <w:highlight w:val="none"/>
        </w:rPr>
        <w:t xml:space="preserve">垃圾清运人员应对</w:t>
      </w:r>
      <w:r>
        <w:rPr>
          <w:rFonts w:hint="eastAsia" w:ascii="宋体" w:hAnsi="宋体" w:eastAsia="宋体" w:cs="宋体"/>
          <w:color w:val="000000"/>
          <w:sz w:val="24"/>
          <w:szCs w:val="24"/>
          <w:highlight w:val="none"/>
          <w:lang w:eastAsia="zh-CN"/>
        </w:rPr>
        <w:t xml:space="preserve">发包人</w:t>
      </w:r>
      <w:r>
        <w:rPr>
          <w:rFonts w:hint="eastAsia" w:ascii="宋体" w:hAnsi="宋体" w:eastAsia="宋体" w:cs="宋体"/>
          <w:color w:val="000000"/>
          <w:sz w:val="24"/>
          <w:szCs w:val="24"/>
          <w:highlight w:val="none"/>
        </w:rPr>
        <w:t xml:space="preserve">工地各个生活垃圾筒及垃圾箱等集中堆放垃圾进行装车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706"/>
        <w:numPr>
          <w:ilvl w:val="0"/>
          <w:numId w:val="11"/>
        </w:numPr>
        <w:ind w:left="425" w:hanging="425"/>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w:t>
      </w:r>
      <w:r>
        <w:rPr>
          <w:rFonts w:hint="eastAsia" w:ascii="宋体" w:hAnsi="宋体" w:eastAsia="宋体" w:cs="宋体"/>
          <w:color w:val="000000"/>
          <w:sz w:val="24"/>
          <w:szCs w:val="24"/>
          <w:highlight w:val="none"/>
          <w:lang w:eastAsia="zh-CN"/>
        </w:rPr>
        <w:t xml:space="preserve">发包人</w:t>
      </w:r>
      <w:r>
        <w:rPr>
          <w:rFonts w:hint="eastAsia" w:ascii="宋体" w:hAnsi="宋体" w:eastAsia="宋体" w:cs="宋体"/>
          <w:color w:val="000000"/>
          <w:sz w:val="24"/>
          <w:szCs w:val="24"/>
          <w:highlight w:val="none"/>
        </w:rPr>
        <w:t xml:space="preserve">的要求，对垃圾筒及垃圾箱等集中堆放处垃圾的清理工作，确保每次垃圾清运干净，不遗留。</w:t>
      </w:r>
      <w:r>
        <w:rPr>
          <w:rFonts w:hint="eastAsia" w:ascii="宋体" w:hAnsi="宋体" w:eastAsia="宋体" w:cs="宋体"/>
          <w:color w:val="000000"/>
          <w:sz w:val="24"/>
          <w:szCs w:val="24"/>
          <w:highlight w:val="none"/>
        </w:rPr>
      </w:r>
      <w:r/>
    </w:p>
    <w:p>
      <w:pPr>
        <w:pStyle w:val="706"/>
        <w:numPr>
          <w:ilvl w:val="0"/>
          <w:numId w:val="11"/>
        </w:numPr>
        <w:ind w:left="425" w:hanging="425"/>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施工单位及时编制建筑垃圾处理方案并备案，确保备案率100%。</w:t>
      </w:r>
      <w:r>
        <w:rPr>
          <w:rFonts w:hint="eastAsia" w:ascii="宋体" w:hAnsi="宋体" w:eastAsia="宋体" w:cs="宋体"/>
          <w:color w:val="000000"/>
          <w:sz w:val="24"/>
          <w:szCs w:val="24"/>
          <w:highlight w:val="none"/>
          <w:lang w:eastAsia="zh-CN"/>
        </w:rPr>
        <w:t xml:space="preserve">建筑垃圾清运后处置需</w:t>
      </w:r>
      <w:r>
        <w:rPr>
          <w:rFonts w:hint="eastAsia" w:ascii="宋体" w:hAnsi="宋体" w:eastAsia="宋体" w:cs="宋体"/>
          <w:color w:val="000000"/>
          <w:sz w:val="24"/>
          <w:szCs w:val="24"/>
          <w:highlight w:val="none"/>
          <w:lang w:val="en-US" w:eastAsia="zh-CN"/>
        </w:rPr>
        <w:t xml:space="preserve">提供处置协议，接收单等，及时做好台账，相关资料需交给甲方。</w:t>
      </w:r>
      <w:r>
        <w:rPr>
          <w:rFonts w:hint="eastAsia" w:ascii="宋体" w:hAnsi="宋体" w:eastAsia="宋体" w:cs="宋体"/>
          <w:color w:val="000000"/>
          <w:sz w:val="24"/>
          <w:szCs w:val="24"/>
          <w:highlight w:val="none"/>
        </w:rPr>
      </w:r>
      <w:r/>
    </w:p>
    <w:p>
      <w:pPr>
        <w:pStyle w:val="706"/>
        <w:numPr>
          <w:ilvl w:val="0"/>
          <w:numId w:val="11"/>
        </w:numPr>
        <w:ind w:left="425" w:hanging="425"/>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承包人</w:t>
      </w:r>
      <w:r>
        <w:rPr>
          <w:rFonts w:hint="eastAsia" w:ascii="宋体" w:hAnsi="宋体" w:eastAsia="宋体" w:cs="宋体"/>
          <w:color w:val="000000"/>
          <w:sz w:val="24"/>
          <w:szCs w:val="24"/>
          <w:highlight w:val="none"/>
        </w:rPr>
        <w:t xml:space="preserve">负责清运垃圾人员数量应满足</w:t>
      </w:r>
      <w:r>
        <w:rPr>
          <w:rFonts w:hint="eastAsia" w:ascii="宋体" w:hAnsi="宋体" w:eastAsia="宋体" w:cs="宋体"/>
          <w:color w:val="000000"/>
          <w:sz w:val="24"/>
          <w:szCs w:val="24"/>
          <w:highlight w:val="none"/>
          <w:lang w:eastAsia="zh-CN"/>
        </w:rPr>
        <w:t xml:space="preserve">发包人</w:t>
      </w:r>
      <w:r>
        <w:rPr>
          <w:rFonts w:hint="eastAsia" w:ascii="宋体" w:hAnsi="宋体" w:eastAsia="宋体" w:cs="宋体"/>
          <w:color w:val="000000"/>
          <w:sz w:val="24"/>
          <w:szCs w:val="24"/>
          <w:highlight w:val="none"/>
        </w:rPr>
        <w:t xml:space="preserve">要求，确保现场垃圾每天清理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706"/>
        <w:numPr>
          <w:ilvl w:val="0"/>
          <w:numId w:val="11"/>
        </w:numPr>
        <w:ind w:left="425" w:hanging="425"/>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承包人</w:t>
      </w:r>
      <w:r>
        <w:rPr>
          <w:rFonts w:hint="eastAsia" w:ascii="宋体" w:hAnsi="宋体" w:eastAsia="宋体" w:cs="宋体"/>
          <w:color w:val="000000"/>
          <w:sz w:val="24"/>
          <w:szCs w:val="24"/>
          <w:highlight w:val="none"/>
        </w:rPr>
        <w:t xml:space="preserve">要保护好现场垃圾桶及垃圾箱等设施，如有损坏，需双倍价钱赔偿或自费负责更换新的设施。</w:t>
      </w:r>
      <w:r>
        <w:rPr>
          <w:rFonts w:hint="eastAsia" w:ascii="宋体" w:hAnsi="宋体" w:eastAsia="宋体" w:cs="宋体"/>
          <w:color w:val="000000"/>
          <w:sz w:val="24"/>
          <w:szCs w:val="24"/>
          <w:highlight w:val="none"/>
        </w:rPr>
      </w:r>
      <w:r/>
    </w:p>
    <w:p>
      <w:pPr>
        <w:pStyle w:val="706"/>
        <w:numPr>
          <w:ilvl w:val="0"/>
          <w:numId w:val="11"/>
        </w:numPr>
        <w:ind w:left="425" w:hanging="425"/>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垃圾清运工作严格执行工程所在地政府相应规定。</w:t>
      </w:r>
      <w:r>
        <w:rPr>
          <w:rFonts w:hint="eastAsia" w:ascii="宋体" w:hAnsi="宋体" w:eastAsia="宋体" w:cs="宋体"/>
          <w:color w:val="000000"/>
          <w:sz w:val="24"/>
          <w:szCs w:val="24"/>
          <w:highlight w:val="none"/>
        </w:rPr>
      </w:r>
      <w:r/>
    </w:p>
    <w:p>
      <w:pPr>
        <w:pStyle w:val="706"/>
        <w:numPr>
          <w:ilvl w:val="0"/>
          <w:numId w:val="11"/>
        </w:numPr>
        <w:ind w:left="425" w:hanging="425"/>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垃圾清运车辆必须加盖密封，确保运输过程中不散落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706"/>
        <w:ind w:firstLine="240"/>
        <w:spacing w:line="360" w:lineRule="auto"/>
        <w:widowControl/>
        <w:rPr>
          <w:rFonts w:hint="eastAsia" w:ascii="宋体" w:hAnsi="宋体" w:eastAsia="宋体" w:cs="宋体"/>
          <w:sz w:val="24"/>
          <w:highlight w:val="none"/>
          <w:u w:val="single"/>
        </w:rPr>
      </w:pPr>
      <w:r>
        <w:rPr>
          <w:rFonts w:hint="eastAsia" w:ascii="宋体" w:hAnsi="宋体" w:eastAsia="宋体" w:cs="宋体"/>
          <w:sz w:val="24"/>
          <w:highlight w:val="none"/>
          <w:u w:val="single"/>
        </w:rPr>
      </w:r>
      <w:r/>
    </w:p>
    <w:p>
      <w:pPr>
        <w:pStyle w:val="706"/>
        <w:ind w:firstLine="240"/>
        <w:spacing w:line="360" w:lineRule="auto"/>
        <w:widowControl/>
        <w:rPr>
          <w:rFonts w:hint="eastAsia" w:ascii="宋体" w:hAnsi="宋体" w:eastAsia="宋体" w:cs="宋体"/>
          <w:sz w:val="24"/>
          <w:highlight w:val="none"/>
          <w:u w:val="single"/>
        </w:rPr>
      </w:pPr>
      <w:r>
        <w:rPr>
          <w:rFonts w:hint="eastAsia" w:ascii="宋体" w:hAnsi="宋体" w:eastAsia="宋体" w:cs="宋体"/>
          <w:sz w:val="24"/>
          <w:highlight w:val="none"/>
          <w:u w:val="single"/>
        </w:rPr>
      </w:r>
      <w:r/>
    </w:p>
    <w:p>
      <w:pPr>
        <w:pStyle w:val="706"/>
        <w:ind w:firstLine="240"/>
        <w:spacing w:line="360" w:lineRule="auto"/>
        <w:widowControl/>
        <w:rPr>
          <w:rFonts w:hint="eastAsia" w:ascii="宋体" w:hAnsi="宋体" w:eastAsia="宋体" w:cs="宋体"/>
          <w:sz w:val="24"/>
          <w:highlight w:val="none"/>
          <w:u w:val="single"/>
        </w:rPr>
      </w:pPr>
      <w:r>
        <w:rPr>
          <w:rFonts w:hint="eastAsia" w:ascii="宋体" w:hAnsi="宋体" w:eastAsia="宋体" w:cs="宋体"/>
          <w:sz w:val="24"/>
          <w:highlight w:val="none"/>
          <w:u w:val="single"/>
        </w:rPr>
      </w:r>
      <w:r/>
    </w:p>
    <w:p>
      <w:pPr>
        <w:pStyle w:val="706"/>
        <w:ind w:firstLine="240"/>
        <w:spacing w:line="360" w:lineRule="auto"/>
        <w:widowControl/>
        <w:rPr>
          <w:rFonts w:hint="eastAsia" w:ascii="宋体" w:hAnsi="宋体" w:eastAsia="宋体" w:cs="宋体"/>
          <w:sz w:val="24"/>
          <w:highlight w:val="none"/>
          <w:u w:val="single"/>
        </w:rPr>
      </w:pPr>
      <w:r>
        <w:rPr>
          <w:rFonts w:hint="eastAsia" w:ascii="宋体" w:hAnsi="宋体" w:eastAsia="宋体" w:cs="宋体"/>
          <w:sz w:val="24"/>
          <w:highlight w:val="none"/>
          <w:u w:val="single"/>
        </w:rPr>
      </w:r>
      <w:r/>
    </w:p>
    <w:p>
      <w:pPr>
        <w:pStyle w:val="706"/>
        <w:ind w:firstLine="240"/>
        <w:spacing w:line="360" w:lineRule="auto"/>
        <w:widowControl/>
        <w:rPr>
          <w:rFonts w:hint="eastAsia" w:ascii="宋体" w:hAnsi="宋体" w:eastAsia="宋体" w:cs="宋体"/>
          <w:sz w:val="24"/>
          <w:highlight w:val="none"/>
          <w:u w:val="single"/>
        </w:rPr>
      </w:pPr>
      <w:r>
        <w:rPr>
          <w:rFonts w:hint="eastAsia" w:ascii="宋体" w:hAnsi="宋体" w:eastAsia="宋体" w:cs="宋体"/>
          <w:sz w:val="24"/>
          <w:highlight w:val="none"/>
          <w:u w:val="single"/>
        </w:rPr>
      </w:r>
      <w:r/>
    </w:p>
    <w:p>
      <w:pPr>
        <w:pStyle w:val="706"/>
        <w:ind w:firstLine="240"/>
        <w:spacing w:line="360" w:lineRule="auto"/>
        <w:widowControl/>
        <w:rPr>
          <w:rFonts w:hint="eastAsia" w:ascii="宋体" w:hAnsi="宋体" w:eastAsia="宋体" w:cs="宋体"/>
          <w:sz w:val="24"/>
          <w:highlight w:val="none"/>
          <w:u w:val="single"/>
        </w:rPr>
      </w:pPr>
      <w:r>
        <w:rPr>
          <w:rFonts w:hint="eastAsia" w:ascii="宋体" w:hAnsi="宋体" w:eastAsia="宋体" w:cs="宋体"/>
          <w:sz w:val="24"/>
          <w:highlight w:val="none"/>
          <w:u w:val="single"/>
        </w:rPr>
      </w:r>
      <w:r/>
    </w:p>
    <w:p>
      <w:pPr>
        <w:pStyle w:val="706"/>
        <w:ind w:firstLine="240"/>
        <w:spacing w:line="360" w:lineRule="auto"/>
        <w:widowControl/>
        <w:rPr>
          <w:rFonts w:hint="eastAsia" w:ascii="宋体" w:hAnsi="宋体" w:eastAsia="宋体" w:cs="宋体"/>
          <w:sz w:val="24"/>
          <w:highlight w:val="none"/>
          <w:u w:val="single"/>
        </w:rPr>
      </w:pPr>
      <w:r>
        <w:rPr>
          <w:rFonts w:hint="eastAsia" w:ascii="宋体" w:hAnsi="宋体" w:eastAsia="宋体" w:cs="宋体"/>
          <w:sz w:val="24"/>
          <w:highlight w:val="none"/>
          <w:u w:val="single"/>
        </w:rPr>
      </w:r>
      <w:r/>
    </w:p>
    <w:p>
      <w:pPr>
        <w:pStyle w:val="706"/>
        <w:ind w:firstLine="240"/>
        <w:spacing w:line="360" w:lineRule="auto"/>
        <w:widowControl/>
        <w:rPr>
          <w:rFonts w:hint="eastAsia" w:ascii="宋体" w:hAnsi="宋体" w:eastAsia="宋体" w:cs="宋体"/>
          <w:sz w:val="24"/>
          <w:highlight w:val="none"/>
          <w:u w:val="single"/>
        </w:rPr>
      </w:pPr>
      <w:r>
        <w:rPr>
          <w:rFonts w:hint="eastAsia" w:ascii="宋体" w:hAnsi="宋体" w:eastAsia="宋体" w:cs="宋体"/>
          <w:sz w:val="24"/>
          <w:highlight w:val="none"/>
          <w:u w:val="single"/>
        </w:rPr>
      </w:r>
      <w:r/>
    </w:p>
    <w:p>
      <w:pPr>
        <w:pStyle w:val="706"/>
        <w:ind w:firstLine="240"/>
        <w:spacing w:line="360" w:lineRule="auto"/>
        <w:widowControl/>
        <w:rPr>
          <w:rFonts w:hint="eastAsia" w:ascii="宋体" w:hAnsi="宋体" w:eastAsia="宋体" w:cs="宋体"/>
          <w:sz w:val="24"/>
          <w:highlight w:val="none"/>
          <w:u w:val="single"/>
        </w:rPr>
      </w:pPr>
      <w:r>
        <w:rPr>
          <w:rFonts w:hint="eastAsia" w:ascii="宋体" w:hAnsi="宋体" w:eastAsia="宋体" w:cs="宋体"/>
          <w:sz w:val="24"/>
          <w:highlight w:val="none"/>
          <w:u w:val="single"/>
        </w:rPr>
      </w:r>
      <w:r/>
    </w:p>
    <w:p>
      <w:pPr>
        <w:pStyle w:val="706"/>
        <w:ind w:firstLine="240"/>
        <w:spacing w:line="360" w:lineRule="auto"/>
        <w:widowControl/>
        <w:rPr>
          <w:rFonts w:hint="eastAsia" w:ascii="宋体" w:hAnsi="宋体" w:eastAsia="宋体" w:cs="宋体"/>
          <w:sz w:val="24"/>
          <w:highlight w:val="none"/>
          <w:u w:val="single"/>
        </w:rPr>
      </w:pPr>
      <w:r>
        <w:rPr>
          <w:rFonts w:hint="eastAsia" w:ascii="宋体" w:hAnsi="宋体" w:eastAsia="宋体" w:cs="宋体"/>
          <w:sz w:val="24"/>
          <w:highlight w:val="none"/>
          <w:u w:val="single"/>
        </w:rPr>
      </w:r>
      <w:r/>
    </w:p>
    <w:p>
      <w:pPr>
        <w:pStyle w:val="706"/>
        <w:ind w:firstLine="240"/>
        <w:spacing w:line="360" w:lineRule="auto"/>
        <w:widowControl/>
        <w:rPr>
          <w:rFonts w:hint="eastAsia" w:ascii="宋体" w:hAnsi="宋体" w:eastAsia="宋体" w:cs="宋体"/>
          <w:sz w:val="24"/>
          <w:highlight w:val="none"/>
          <w:u w:val="single"/>
        </w:rPr>
      </w:pPr>
      <w:r>
        <w:rPr>
          <w:rFonts w:hint="eastAsia" w:ascii="宋体" w:hAnsi="宋体" w:eastAsia="宋体" w:cs="宋体"/>
          <w:sz w:val="24"/>
          <w:highlight w:val="none"/>
          <w:u w:val="single"/>
        </w:rPr>
      </w:r>
      <w:r/>
    </w:p>
    <w:p>
      <w:pPr>
        <w:pStyle w:val="706"/>
        <w:ind w:firstLine="240"/>
        <w:spacing w:line="360" w:lineRule="auto"/>
        <w:widowControl/>
        <w:rPr>
          <w:rFonts w:hint="eastAsia" w:ascii="宋体" w:hAnsi="宋体" w:eastAsia="宋体" w:cs="宋体"/>
          <w:sz w:val="24"/>
          <w:highlight w:val="none"/>
          <w:u w:val="single"/>
        </w:rPr>
      </w:pPr>
      <w:r>
        <w:rPr>
          <w:rFonts w:hint="eastAsia" w:ascii="宋体" w:hAnsi="宋体" w:eastAsia="宋体" w:cs="宋体"/>
          <w:sz w:val="24"/>
          <w:highlight w:val="none"/>
          <w:u w:val="single"/>
        </w:rPr>
      </w:r>
      <w:r/>
    </w:p>
    <w:p>
      <w:pPr>
        <w:pStyle w:val="706"/>
        <w:ind w:firstLine="240"/>
        <w:spacing w:line="360" w:lineRule="auto"/>
        <w:widowControl/>
        <w:rPr>
          <w:rFonts w:hint="eastAsia" w:ascii="宋体" w:hAnsi="宋体" w:eastAsia="宋体" w:cs="宋体"/>
          <w:sz w:val="24"/>
          <w:highlight w:val="none"/>
          <w:u w:val="single"/>
        </w:rPr>
      </w:pPr>
      <w:r>
        <w:rPr>
          <w:rFonts w:hint="eastAsia" w:ascii="宋体" w:hAnsi="宋体" w:eastAsia="宋体" w:cs="宋体"/>
          <w:sz w:val="24"/>
          <w:highlight w:val="none"/>
          <w:u w:val="single"/>
        </w:rPr>
      </w:r>
      <w:r/>
    </w:p>
    <w:p>
      <w:pPr>
        <w:pStyle w:val="706"/>
        <w:ind w:firstLine="240"/>
        <w:spacing w:line="360" w:lineRule="auto"/>
        <w:widowControl/>
        <w:rPr>
          <w:rFonts w:hint="eastAsia" w:ascii="宋体" w:hAnsi="宋体" w:eastAsia="宋体" w:cs="宋体"/>
          <w:sz w:val="24"/>
          <w:highlight w:val="none"/>
          <w:u w:val="single"/>
        </w:rPr>
      </w:pPr>
      <w:r>
        <w:rPr>
          <w:rFonts w:hint="eastAsia" w:ascii="宋体" w:hAnsi="宋体" w:eastAsia="宋体" w:cs="宋体"/>
          <w:sz w:val="24"/>
          <w:highlight w:val="none"/>
          <w:u w:val="single"/>
        </w:rPr>
      </w:r>
      <w:r/>
    </w:p>
    <w:p>
      <w:pPr>
        <w:pStyle w:val="706"/>
        <w:ind w:firstLine="138"/>
        <w:jc w:val="center"/>
        <w:spacing w:line="360" w:lineRule="auto"/>
        <w:rPr>
          <w:rFonts w:hint="eastAsia" w:ascii="宋体" w:hAnsi="宋体" w:eastAsia="宋体" w:cs="宋体"/>
          <w:b/>
          <w:bCs/>
          <w:szCs w:val="21"/>
          <w:highlight w:val="none"/>
        </w:rPr>
      </w:pPr>
      <w:r>
        <w:rPr>
          <w:rFonts w:hint="eastAsia" w:ascii="宋体" w:hAnsi="宋体" w:eastAsia="宋体" w:cs="宋体"/>
          <w:b/>
          <w:bCs/>
          <w:sz w:val="28"/>
          <w:szCs w:val="28"/>
          <w:highlight w:val="none"/>
        </w:rPr>
        <w:t xml:space="preserve">廉政合同</w:t>
      </w:r>
      <w:r>
        <w:rPr>
          <w:rFonts w:hint="eastAsia" w:ascii="宋体" w:hAnsi="宋体" w:eastAsia="宋体" w:cs="宋体"/>
          <w:b/>
          <w:bCs/>
          <w:szCs w:val="21"/>
          <w:highlight w:val="none"/>
        </w:rPr>
      </w:r>
      <w:r/>
    </w:p>
    <w:p>
      <w:pPr>
        <w:pStyle w:val="70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工程项目名称：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70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工程项目地址：</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70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发包人：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70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承包人：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70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rPr>
          <w:rFonts w:hint="eastAsia" w:ascii="宋体" w:hAnsi="宋体" w:eastAsia="宋体" w:cs="宋体"/>
          <w:sz w:val="24"/>
          <w:highlight w:val="none"/>
        </w:rPr>
      </w:r>
      <w:r/>
    </w:p>
    <w:p>
      <w:pPr>
        <w:pStyle w:val="70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第一条双方的责任</w:t>
      </w:r>
      <w:r>
        <w:rPr>
          <w:rFonts w:hint="eastAsia" w:ascii="宋体" w:hAnsi="宋体" w:eastAsia="宋体" w:cs="宋体"/>
          <w:sz w:val="24"/>
          <w:highlight w:val="none"/>
        </w:rPr>
      </w:r>
      <w:r/>
    </w:p>
    <w:p>
      <w:pPr>
        <w:pStyle w:val="70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（一）双方应共同遵守国家和江苏省、苏州市以及行业主管部门关于加强工程建设项目管理以及党风廉政建设的各项规定。</w:t>
      </w:r>
      <w:r>
        <w:rPr>
          <w:rFonts w:hint="eastAsia" w:ascii="宋体" w:hAnsi="宋体" w:eastAsia="宋体" w:cs="宋体"/>
          <w:sz w:val="24"/>
          <w:highlight w:val="none"/>
        </w:rPr>
      </w:r>
      <w:r/>
    </w:p>
    <w:p>
      <w:pPr>
        <w:pStyle w:val="70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（二）双方应严格执行工程建设项目承发包合同文件，自觉按合同办事。</w:t>
      </w:r>
      <w:r>
        <w:rPr>
          <w:rFonts w:hint="eastAsia" w:ascii="宋体" w:hAnsi="宋体" w:eastAsia="宋体" w:cs="宋体"/>
          <w:sz w:val="24"/>
          <w:highlight w:val="none"/>
        </w:rPr>
      </w:r>
      <w:r/>
    </w:p>
    <w:p>
      <w:pPr>
        <w:pStyle w:val="70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（三）除非法律认定的商业秘密和合同文件另有规定之外，双方的业务活动应坚持公开、公正、透明的原则，严禁损害国家和集体利益、违反工程建设项目管理规章制度的不正当交易。</w:t>
      </w:r>
      <w:r>
        <w:rPr>
          <w:rFonts w:hint="eastAsia" w:ascii="宋体" w:hAnsi="宋体" w:eastAsia="宋体" w:cs="宋体"/>
          <w:sz w:val="24"/>
          <w:highlight w:val="none"/>
        </w:rPr>
      </w:r>
      <w:r/>
    </w:p>
    <w:p>
      <w:pPr>
        <w:pStyle w:val="70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（四）双方如发现对方在业务活动中有违规、违纪、违法的行为，应及时提醒对方，情节严重的，应向其上级主管部门或新区纪检监察部门举报。</w:t>
      </w:r>
      <w:r>
        <w:rPr>
          <w:rFonts w:hint="eastAsia" w:ascii="宋体" w:hAnsi="宋体" w:eastAsia="宋体" w:cs="宋体"/>
          <w:sz w:val="24"/>
          <w:highlight w:val="none"/>
        </w:rPr>
      </w:r>
      <w:r/>
    </w:p>
    <w:p>
      <w:pPr>
        <w:pStyle w:val="70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第二条发包人的责任</w:t>
      </w:r>
      <w:r>
        <w:rPr>
          <w:rFonts w:hint="eastAsia" w:ascii="宋体" w:hAnsi="宋体" w:eastAsia="宋体" w:cs="宋体"/>
          <w:sz w:val="24"/>
          <w:highlight w:val="none"/>
        </w:rPr>
      </w:r>
      <w:r/>
    </w:p>
    <w:p>
      <w:pPr>
        <w:pStyle w:val="70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发包人的领导和从事该工程建设项目的工作人员，在工程建设的事前、事中、事后应遵守以下规定：</w:t>
      </w:r>
      <w:r>
        <w:rPr>
          <w:rFonts w:hint="eastAsia" w:ascii="宋体" w:hAnsi="宋体" w:eastAsia="宋体" w:cs="宋体"/>
          <w:sz w:val="24"/>
          <w:highlight w:val="none"/>
        </w:rPr>
      </w:r>
      <w:r/>
    </w:p>
    <w:p>
      <w:pPr>
        <w:pStyle w:val="70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（一）不准向承包人和相关单位索要或接受回扣、礼金、有价证券、贵重物品和好处费等。</w:t>
      </w:r>
      <w:r>
        <w:rPr>
          <w:rFonts w:hint="eastAsia" w:ascii="宋体" w:hAnsi="宋体" w:eastAsia="宋体" w:cs="宋体"/>
          <w:sz w:val="24"/>
          <w:highlight w:val="none"/>
        </w:rPr>
      </w:r>
      <w:r/>
    </w:p>
    <w:p>
      <w:pPr>
        <w:pStyle w:val="70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（二）不准在承包人和相关单位报销任何应由发包人或个人支付的费用。</w:t>
      </w:r>
      <w:r>
        <w:rPr>
          <w:rFonts w:hint="eastAsia" w:ascii="宋体" w:hAnsi="宋体" w:eastAsia="宋体" w:cs="宋体"/>
          <w:sz w:val="24"/>
          <w:highlight w:val="none"/>
        </w:rPr>
      </w:r>
      <w:r/>
    </w:p>
    <w:p>
      <w:pPr>
        <w:pStyle w:val="70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（三）不准要求、暗示或接受承包人和相关单位为个人装修住房、婚丧嫁娶、配偶子女的工作安排以及出国（境）、旅游等提供方便。</w:t>
      </w:r>
      <w:r>
        <w:rPr>
          <w:rFonts w:hint="eastAsia" w:ascii="宋体" w:hAnsi="宋体" w:eastAsia="宋体" w:cs="宋体"/>
          <w:sz w:val="24"/>
          <w:highlight w:val="none"/>
        </w:rPr>
      </w:r>
      <w:r/>
    </w:p>
    <w:p>
      <w:pPr>
        <w:pStyle w:val="70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（四）不准参加有可能影响公正执行公务的承包人和相关单位的宴请、娱乐等活动。</w:t>
      </w:r>
      <w:r>
        <w:rPr>
          <w:rFonts w:hint="eastAsia" w:ascii="宋体" w:hAnsi="宋体" w:eastAsia="宋体" w:cs="宋体"/>
          <w:sz w:val="24"/>
          <w:highlight w:val="none"/>
        </w:rPr>
      </w:r>
      <w:r/>
    </w:p>
    <w:p>
      <w:pPr>
        <w:pStyle w:val="70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五）不准向承包人介绍或为配偶、子女、亲属参与同发包人工程建设项目施工合同有关的设备、材料、工程分包、劳务等经济活动。不得以任何理由向承包人和相关单位推荐分包单位并要求承包人购买工程建设项目施工合同规定以外的材料、设备等。</w:t>
      </w:r>
      <w:r>
        <w:rPr>
          <w:rFonts w:hint="eastAsia" w:ascii="宋体" w:hAnsi="宋体" w:eastAsia="宋体" w:cs="宋体"/>
          <w:sz w:val="24"/>
          <w:highlight w:val="none"/>
        </w:rPr>
      </w:r>
      <w:r/>
    </w:p>
    <w:p>
      <w:pPr>
        <w:pStyle w:val="70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第三条承包人的责任</w:t>
      </w:r>
      <w:r>
        <w:rPr>
          <w:rFonts w:hint="eastAsia" w:ascii="宋体" w:hAnsi="宋体" w:eastAsia="宋体" w:cs="宋体"/>
          <w:sz w:val="24"/>
          <w:highlight w:val="none"/>
        </w:rPr>
      </w:r>
      <w:r/>
    </w:p>
    <w:p>
      <w:pPr>
        <w:pStyle w:val="70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承包人应与发包人保持正常的业务交往，按照有关法律法规和程序开展业务工作，严格执行工程建设的有关方针、政策，并遵守以下规定：</w:t>
      </w:r>
      <w:r>
        <w:rPr>
          <w:rFonts w:hint="eastAsia" w:ascii="宋体" w:hAnsi="宋体" w:eastAsia="宋体" w:cs="宋体"/>
          <w:sz w:val="24"/>
          <w:highlight w:val="none"/>
        </w:rPr>
      </w:r>
      <w:r/>
    </w:p>
    <w:p>
      <w:pPr>
        <w:pStyle w:val="70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（一）不准以任何理由向发包人及其工作人员索要、接受或赠送礼金、有价证券、贵重物品及回扣、好处费等。</w:t>
      </w:r>
      <w:r>
        <w:rPr>
          <w:rFonts w:hint="eastAsia" w:ascii="宋体" w:hAnsi="宋体" w:eastAsia="宋体" w:cs="宋体"/>
          <w:sz w:val="24"/>
          <w:highlight w:val="none"/>
        </w:rPr>
      </w:r>
      <w:r/>
    </w:p>
    <w:p>
      <w:pPr>
        <w:pStyle w:val="70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（二）不准以任何理由为发包人和相关单位报销应由对方或个人支付的费用。</w:t>
      </w:r>
      <w:r>
        <w:rPr>
          <w:rFonts w:hint="eastAsia" w:ascii="宋体" w:hAnsi="宋体" w:eastAsia="宋体" w:cs="宋体"/>
          <w:sz w:val="24"/>
          <w:highlight w:val="none"/>
        </w:rPr>
      </w:r>
      <w:r/>
    </w:p>
    <w:p>
      <w:pPr>
        <w:pStyle w:val="70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（三）不准接受或暗示为发包人、相关单位或个人装修住房、婚丧嫁娶、配偶子女的工作安排以及出国（境）、旅游等提供方便。</w:t>
      </w:r>
      <w:r>
        <w:rPr>
          <w:rFonts w:hint="eastAsia" w:ascii="宋体" w:hAnsi="宋体" w:eastAsia="宋体" w:cs="宋体"/>
          <w:sz w:val="24"/>
          <w:highlight w:val="none"/>
        </w:rPr>
      </w:r>
      <w:r/>
    </w:p>
    <w:p>
      <w:pPr>
        <w:pStyle w:val="70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（四）不准以任何理由为发包人、相关单位或个人组织有可能影响公正执行公务的宴请、娱乐等活动。</w:t>
      </w:r>
      <w:r>
        <w:rPr>
          <w:rFonts w:hint="eastAsia" w:ascii="宋体" w:hAnsi="宋体" w:eastAsia="宋体" w:cs="宋体"/>
          <w:sz w:val="24"/>
          <w:highlight w:val="none"/>
        </w:rPr>
      </w:r>
      <w:r/>
    </w:p>
    <w:p>
      <w:pPr>
        <w:pStyle w:val="70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第四条违约责任</w:t>
      </w:r>
      <w:r>
        <w:rPr>
          <w:rFonts w:hint="eastAsia" w:ascii="宋体" w:hAnsi="宋体" w:eastAsia="宋体" w:cs="宋体"/>
          <w:sz w:val="24"/>
          <w:highlight w:val="none"/>
        </w:rPr>
      </w:r>
      <w:r/>
    </w:p>
    <w:p>
      <w:pPr>
        <w:pStyle w:val="70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（一）发包人或发包人工作人员有违反本合同第一、二条规定的，按照管理权限，由新区纪检监察部门依据有关法律法规给予党纪、政纪处分；涉嫌犯罪的，移交司法机关追究刑事责任。</w:t>
      </w:r>
      <w:r>
        <w:rPr>
          <w:rFonts w:hint="eastAsia" w:ascii="宋体" w:hAnsi="宋体" w:eastAsia="宋体" w:cs="宋体"/>
          <w:sz w:val="24"/>
          <w:highlight w:val="none"/>
        </w:rPr>
      </w:r>
      <w:r/>
    </w:p>
    <w:p>
      <w:pPr>
        <w:pStyle w:val="70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（二）承包人或承包人工作人员有违反本合同第一、三条规定的，按照管理权限，新区纪检监察部门将建议相关建设主管部门给与相应的行政处罚；涉嫌犯罪的，移交司法机关追究刑事责任。</w:t>
      </w:r>
      <w:r>
        <w:rPr>
          <w:rFonts w:hint="eastAsia" w:ascii="宋体" w:hAnsi="宋体" w:eastAsia="宋体" w:cs="宋体"/>
          <w:sz w:val="24"/>
          <w:highlight w:val="none"/>
        </w:rPr>
      </w:r>
      <w:r/>
    </w:p>
    <w:p>
      <w:pPr>
        <w:pStyle w:val="70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第五条本合同书作为工程建设项目施工合同的附件，与工程建设项目施工合同具有同等法律效力。经双方签署后立即生效。</w:t>
      </w:r>
      <w:r>
        <w:rPr>
          <w:rFonts w:hint="eastAsia" w:ascii="宋体" w:hAnsi="宋体" w:eastAsia="宋体" w:cs="宋体"/>
          <w:sz w:val="24"/>
          <w:highlight w:val="none"/>
        </w:rPr>
      </w:r>
      <w:r/>
    </w:p>
    <w:p>
      <w:pPr>
        <w:pStyle w:val="70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第六条本合同书份数同主合同。</w:t>
      </w:r>
      <w:r>
        <w:rPr>
          <w:rFonts w:hint="eastAsia" w:ascii="宋体" w:hAnsi="宋体" w:eastAsia="宋体" w:cs="宋体"/>
          <w:sz w:val="24"/>
          <w:highlight w:val="none"/>
        </w:rPr>
      </w:r>
      <w:r/>
    </w:p>
    <w:p>
      <w:pPr>
        <w:pStyle w:val="706"/>
        <w:ind w:firstLine="480"/>
        <w:rPr>
          <w:rFonts w:hint="eastAsia" w:ascii="宋体" w:hAnsi="宋体" w:eastAsia="宋体" w:cs="宋体"/>
          <w:sz w:val="24"/>
          <w:highlight w:val="none"/>
        </w:rPr>
      </w:pPr>
      <w:r>
        <w:rPr>
          <w:rFonts w:hint="eastAsia" w:ascii="宋体" w:hAnsi="宋体" w:eastAsia="宋体" w:cs="宋体"/>
          <w:sz w:val="24"/>
          <w:highlight w:val="none"/>
        </w:rPr>
      </w:r>
      <w:r/>
    </w:p>
    <w:p>
      <w:pPr>
        <w:pStyle w:val="706"/>
        <w:ind w:firstLine="480"/>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发包人：（盖单位章）                            承包人：（盖单位章）</w:t>
      </w:r>
      <w:r>
        <w:rPr>
          <w:rFonts w:hint="eastAsia" w:ascii="宋体" w:hAnsi="宋体" w:eastAsia="宋体" w:cs="宋体"/>
          <w:sz w:val="24"/>
          <w:highlight w:val="none"/>
        </w:rPr>
      </w:r>
      <w:r/>
    </w:p>
    <w:p>
      <w:pPr>
        <w:pStyle w:val="706"/>
        <w:ind w:firstLine="480"/>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                                     法定代表人</w:t>
      </w:r>
      <w:r>
        <w:rPr>
          <w:rFonts w:hint="eastAsia" w:ascii="宋体" w:hAnsi="宋体" w:eastAsia="宋体" w:cs="宋体"/>
          <w:sz w:val="24"/>
          <w:highlight w:val="none"/>
        </w:rPr>
      </w:r>
      <w:r/>
    </w:p>
    <w:p>
      <w:pPr>
        <w:pStyle w:val="706"/>
        <w:ind w:firstLine="480"/>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委托代理人（签字）                             委托代理人（签字）</w:t>
      </w:r>
      <w:r>
        <w:rPr>
          <w:rFonts w:hint="eastAsia" w:ascii="宋体" w:hAnsi="宋体" w:eastAsia="宋体" w:cs="宋体"/>
          <w:sz w:val="24"/>
          <w:highlight w:val="none"/>
        </w:rPr>
      </w:r>
      <w:r/>
    </w:p>
    <w:p>
      <w:pPr>
        <w:pStyle w:val="706"/>
        <w:ind w:firstLine="480"/>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年   月   日                                    年    月    日</w:t>
      </w:r>
      <w:r>
        <w:rPr>
          <w:rFonts w:hint="eastAsia" w:ascii="宋体" w:hAnsi="宋体" w:eastAsia="宋体" w:cs="宋体"/>
          <w:sz w:val="24"/>
          <w:highlight w:val="none"/>
        </w:rPr>
        <w:tab/>
      </w:r>
      <w:r>
        <w:rPr>
          <w:rFonts w:hint="eastAsia" w:ascii="宋体" w:hAnsi="宋体" w:eastAsia="宋体" w:cs="宋体"/>
          <w:sz w:val="24"/>
          <w:highlight w:val="none"/>
        </w:rPr>
      </w:r>
      <w:r/>
    </w:p>
    <w:p>
      <w:pPr>
        <w:pStyle w:val="706"/>
        <w:ind w:firstLine="480"/>
        <w:spacing w:line="48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480" w:lineRule="auto"/>
        <w:rPr>
          <w:rFonts w:hint="eastAsia" w:ascii="宋体" w:hAnsi="宋体" w:eastAsia="宋体" w:cs="宋体"/>
          <w:sz w:val="24"/>
          <w:szCs w:val="24"/>
          <w:highlight w:val="none"/>
        </w:rPr>
      </w:pPr>
      <w:r>
        <w:rPr>
          <w:rFonts w:hint="eastAsia" w:ascii="宋体" w:hAnsi="宋体" w:eastAsia="宋体" w:cs="宋体"/>
          <w:sz w:val="24"/>
          <w:highlight w:val="none"/>
        </w:rPr>
      </w:r>
      <w:r>
        <w:rPr>
          <w:rFonts w:hint="eastAsia" w:ascii="宋体" w:hAnsi="宋体" w:eastAsia="宋体" w:cs="宋体"/>
          <w:sz w:val="24"/>
          <w:highlight w:val="none"/>
        </w:rPr>
      </w:r>
    </w:p>
    <w:p>
      <w:pPr>
        <w:ind w:firstLine="480"/>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p>
    <w:p>
      <w:pPr>
        <w:ind w:firstLine="480"/>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p>
    <w:p>
      <w:pPr>
        <w:ind w:firstLine="480"/>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p>
    <w:p>
      <w:pPr>
        <w:ind w:firstLine="480"/>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p>
    <w:p>
      <w:pPr>
        <w:ind w:firstLine="480"/>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p>
    <w:p>
      <w:pPr>
        <w:ind w:firstLine="480"/>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p>
    <w:p>
      <w:pPr>
        <w:ind w:firstLine="480"/>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p>
    <w:p>
      <w:pPr>
        <w:ind w:firstLine="480"/>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p>
    <w:p>
      <w:pPr>
        <w:ind w:firstLine="480"/>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p>
    <w:p>
      <w:pPr>
        <w:ind w:firstLine="480"/>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p>
    <w:p>
      <w:pPr>
        <w:ind w:firstLine="480"/>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p>
    <w:p>
      <w:pPr>
        <w:pStyle w:val="706"/>
        <w:ind w:firstLine="480"/>
        <w:spacing w:line="480" w:lineRule="auto"/>
        <w:rPr>
          <w:rFonts w:hint="eastAsia" w:ascii="宋体" w:hAnsi="宋体" w:eastAsia="宋体" w:cs="宋体"/>
          <w:sz w:val="24"/>
          <w:szCs w:val="24"/>
          <w:highlight w:val="none"/>
        </w:rPr>
      </w:pPr>
      <w:r>
        <w:rPr>
          <w:rFonts w:hint="eastAsia" w:ascii="宋体" w:hAnsi="宋体" w:eastAsia="宋体" w:cs="宋体"/>
          <w:sz w:val="24"/>
          <w:highlight w:val="none"/>
        </w:rPr>
      </w:r>
      <w:r/>
    </w:p>
    <w:p>
      <w:pPr>
        <w:pStyle w:val="706"/>
        <w:rPr>
          <w:szCs w:val="24"/>
          <w:highlight w:val="none"/>
        </w:rPr>
      </w:pPr>
      <w:r>
        <w:rPr>
          <w:szCs w:val="24"/>
          <w:highlight w:val="none"/>
        </w:rPr>
      </w:r>
      <w:r/>
    </w:p>
    <w:p>
      <w:pPr>
        <w:pStyle w:val="707"/>
        <w:jc w:val="center"/>
        <w:spacing w:before="120" w:after="0" w:line="360" w:lineRule="auto"/>
        <w:rPr>
          <w:rFonts w:ascii="黑体" w:hAnsi="黑体" w:eastAsia="黑体"/>
          <w:b w:val="0"/>
          <w:szCs w:val="44"/>
          <w:highlight w:val="none"/>
        </w:rPr>
      </w:pPr>
      <w:r/>
      <w:bookmarkEnd w:id="80"/>
      <w:r/>
      <w:bookmarkStart w:id="161" w:name="_Toc29740"/>
      <w:r/>
      <w:bookmarkStart w:id="162" w:name="_Toc17804"/>
      <w:r>
        <w:rPr>
          <w:rFonts w:hint="eastAsia" w:ascii="黑体" w:hAnsi="黑体" w:eastAsia="黑体"/>
          <w:b w:val="0"/>
          <w:szCs w:val="44"/>
          <w:highlight w:val="none"/>
        </w:rPr>
        <w:t xml:space="preserve">第六章 评审办法</w:t>
      </w:r>
      <w:bookmarkEnd w:id="81"/>
      <w:r/>
      <w:bookmarkEnd w:id="161"/>
      <w:r/>
      <w:bookmarkEnd w:id="162"/>
      <w:r>
        <w:rPr>
          <w:rFonts w:ascii="黑体" w:hAnsi="黑体" w:eastAsia="黑体"/>
          <w:b w:val="0"/>
          <w:szCs w:val="44"/>
          <w:highlight w:val="none"/>
        </w:rPr>
      </w:r>
      <w:r/>
    </w:p>
    <w:p>
      <w:pPr>
        <w:pStyle w:val="706"/>
        <w:ind w:firstLine="482"/>
        <w:jc w:val="left"/>
        <w:spacing w:line="360" w:lineRule="auto"/>
        <w:rPr>
          <w:rFonts w:ascii="宋体" w:hAnsi="宋体" w:eastAsia="宋体" w:cs="宋体"/>
          <w:b/>
          <w:bCs/>
          <w:sz w:val="24"/>
          <w:highlight w:val="none"/>
        </w:rPr>
      </w:pPr>
      <w:r>
        <w:rPr>
          <w:rFonts w:hint="eastAsia" w:ascii="宋体" w:hAnsi="宋体" w:eastAsia="宋体" w:cs="宋体"/>
          <w:b/>
          <w:bCs/>
          <w:sz w:val="24"/>
          <w:highlight w:val="none"/>
        </w:rPr>
        <w:t xml:space="preserve">一、评审办法</w:t>
      </w:r>
      <w:r>
        <w:rPr>
          <w:rFonts w:ascii="宋体" w:hAnsi="宋体" w:eastAsia="宋体" w:cs="宋体"/>
          <w:b/>
          <w:bCs/>
          <w:sz w:val="24"/>
          <w:highlight w:val="none"/>
        </w:rPr>
      </w:r>
      <w:r/>
    </w:p>
    <w:p>
      <w:pPr>
        <w:pStyle w:val="706"/>
        <w:ind w:firstLine="480"/>
        <w:jc w:val="left"/>
        <w:spacing w:line="360" w:lineRule="auto"/>
        <w:rPr>
          <w:rFonts w:ascii="宋体" w:hAnsi="宋体" w:eastAsia="宋体" w:cs="宋体"/>
          <w:bCs/>
          <w:sz w:val="24"/>
          <w:highlight w:val="none"/>
        </w:rPr>
      </w:pPr>
      <w:r>
        <w:rPr>
          <w:rFonts w:hint="eastAsia" w:ascii="宋体" w:hAnsi="宋体" w:eastAsia="宋体" w:cs="宋体"/>
          <w:sz w:val="24"/>
          <w:highlight w:val="none"/>
        </w:rPr>
        <w:t xml:space="preserve">1、 </w:t>
      </w:r>
      <w:r>
        <w:rPr>
          <w:rFonts w:hint="eastAsia" w:ascii="宋体" w:hAnsi="宋体" w:eastAsia="宋体" w:cs="宋体"/>
          <w:sz w:val="24"/>
          <w:highlight w:val="none"/>
        </w:rPr>
        <w:t xml:space="preserve">经磋商确定</w:t>
      </w:r>
      <w:r>
        <w:rPr>
          <w:rFonts w:hint="eastAsia" w:ascii="宋体" w:hAnsi="宋体" w:eastAsia="宋体" w:cs="宋体"/>
          <w:bCs/>
          <w:sz w:val="24"/>
          <w:highlight w:val="none"/>
        </w:rPr>
        <w:t xml:space="preserve">最终采购需求和提交最后报价的供应商后，由磋商小组采用综合评分法对提交最后报价的供应商的响应文件和最后报价进行综合评分。</w:t>
      </w:r>
      <w:r>
        <w:rPr>
          <w:rFonts w:ascii="宋体" w:hAnsi="宋体" w:eastAsia="宋体" w:cs="宋体"/>
          <w:bCs/>
          <w:sz w:val="24"/>
          <w:highlight w:val="none"/>
        </w:rPr>
      </w:r>
      <w:r/>
    </w:p>
    <w:p>
      <w:pPr>
        <w:pStyle w:val="706"/>
        <w:ind w:firstLine="480"/>
        <w:jc w:val="left"/>
        <w:spacing w:line="360" w:lineRule="auto"/>
        <w:rPr>
          <w:rFonts w:ascii="宋体" w:hAnsi="宋体" w:eastAsia="宋体" w:cs="宋体"/>
          <w:sz w:val="24"/>
          <w:highlight w:val="none"/>
        </w:rPr>
      </w:pPr>
      <w:r>
        <w:rPr>
          <w:rFonts w:hint="eastAsia" w:ascii="宋体" w:hAnsi="宋体" w:eastAsia="宋体" w:cs="宋体"/>
          <w:sz w:val="24"/>
          <w:highlight w:val="none"/>
        </w:rPr>
        <w:t xml:space="preserve">2、综合评分法是指响应文件满足磋商文件全部实质性要求且按评审因素的量化指标评审综合得分最高的供应商为成交候选供应商的评审方法。</w:t>
      </w:r>
      <w:r>
        <w:rPr>
          <w:rFonts w:ascii="宋体" w:hAnsi="宋体" w:eastAsia="宋体" w:cs="宋体"/>
          <w:sz w:val="24"/>
          <w:highlight w:val="none"/>
        </w:rPr>
      </w:r>
      <w:r/>
    </w:p>
    <w:p>
      <w:pPr>
        <w:pStyle w:val="706"/>
        <w:ind w:firstLine="480"/>
        <w:jc w:val="left"/>
        <w:spacing w:line="360" w:lineRule="auto"/>
        <w:rPr>
          <w:rFonts w:ascii="宋体" w:hAnsi="宋体" w:eastAsia="宋体" w:cs="宋体"/>
          <w:sz w:val="24"/>
          <w:highlight w:val="none"/>
        </w:rPr>
      </w:pPr>
      <w:r>
        <w:rPr>
          <w:rFonts w:hint="eastAsia" w:ascii="宋体" w:hAnsi="宋体" w:eastAsia="宋体" w:cs="宋体"/>
          <w:sz w:val="24"/>
          <w:highlight w:val="none"/>
        </w:rPr>
        <w:t xml:space="preserve">3、评审时，磋商小组各成员应当独立对每个有效响应的文件进行评价、打分，然后汇总每个供应商每项评分因素的得分。</w:t>
      </w:r>
      <w:r>
        <w:rPr>
          <w:rFonts w:ascii="宋体" w:hAnsi="宋体" w:eastAsia="宋体" w:cs="宋体"/>
          <w:sz w:val="24"/>
          <w:highlight w:val="none"/>
        </w:rPr>
      </w:r>
      <w:r/>
    </w:p>
    <w:p>
      <w:pPr>
        <w:pStyle w:val="706"/>
        <w:ind w:firstLine="480"/>
        <w:jc w:val="left"/>
        <w:spacing w:line="360" w:lineRule="auto"/>
        <w:rPr>
          <w:rFonts w:ascii="宋体" w:hAnsi="宋体" w:eastAsia="宋体" w:cs="宋体"/>
          <w:sz w:val="24"/>
          <w:highlight w:val="none"/>
        </w:rPr>
      </w:pPr>
      <w:r>
        <w:rPr>
          <w:rFonts w:hint="eastAsia" w:ascii="宋体" w:hAnsi="宋体" w:eastAsia="宋体" w:cs="宋体"/>
          <w:sz w:val="24"/>
          <w:highlight w:val="none"/>
        </w:rPr>
        <w:t xml:space="preserve">4、综合评审得分相同的，按照最后报价由低到高的顺序推荐。综合评审得分且最后报价相同的，则由磋商采购单位组织以抽签方式确定成交候选人。</w:t>
      </w:r>
      <w:r>
        <w:rPr>
          <w:rFonts w:ascii="宋体" w:hAnsi="宋体" w:eastAsia="宋体" w:cs="宋体"/>
          <w:sz w:val="24"/>
          <w:highlight w:val="none"/>
        </w:rPr>
      </w:r>
      <w:r/>
    </w:p>
    <w:p>
      <w:pPr>
        <w:pStyle w:val="706"/>
        <w:ind w:firstLine="482"/>
        <w:jc w:val="left"/>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二、评分标准： </w:t>
      </w:r>
      <w:r>
        <w:rPr>
          <w:rFonts w:ascii="宋体" w:hAnsi="宋体" w:eastAsia="宋体" w:cs="宋体"/>
          <w:b/>
          <w:sz w:val="24"/>
          <w:szCs w:val="24"/>
          <w:highlight w:val="none"/>
        </w:rPr>
      </w:r>
      <w:r/>
    </w:p>
    <w:p>
      <w:pPr>
        <w:pStyle w:val="706"/>
        <w:ind w:firstLine="482"/>
        <w:jc w:val="left"/>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（一）价格得分（10分）</w:t>
      </w:r>
      <w:r>
        <w:rPr>
          <w:rFonts w:ascii="宋体" w:hAnsi="宋体" w:eastAsia="宋体" w:cs="宋体"/>
          <w:b/>
          <w:sz w:val="24"/>
          <w:szCs w:val="24"/>
          <w:highlight w:val="none"/>
        </w:rPr>
      </w:r>
      <w:r/>
    </w:p>
    <w:p>
      <w:pPr>
        <w:pStyle w:val="706"/>
        <w:ind w:firstLine="480"/>
        <w:jc w:val="left"/>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第一步：无效投标报价的磋商响应文件不得成交。</w:t>
      </w:r>
      <w:r>
        <w:rPr>
          <w:rFonts w:ascii="宋体" w:hAnsi="宋体" w:eastAsia="宋体" w:cs="宋体"/>
          <w:bCs/>
          <w:sz w:val="24"/>
          <w:szCs w:val="24"/>
          <w:highlight w:val="none"/>
        </w:rPr>
      </w:r>
      <w:r/>
    </w:p>
    <w:p>
      <w:pPr>
        <w:pStyle w:val="706"/>
        <w:ind w:firstLine="480"/>
        <w:jc w:val="left"/>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第二步：价格分采用低价优先法计算，即满足采购文件要求且投标价格最低的投标报价为评标基准价，其价格分为满分。其他响应供应商的价格分统一按照下列公式计算：</w:t>
      </w:r>
      <w:r>
        <w:rPr>
          <w:rFonts w:ascii="宋体" w:hAnsi="宋体" w:eastAsia="宋体" w:cs="宋体"/>
          <w:bCs/>
          <w:sz w:val="24"/>
          <w:szCs w:val="24"/>
          <w:highlight w:val="none"/>
        </w:rPr>
      </w:r>
      <w:r/>
    </w:p>
    <w:p>
      <w:pPr>
        <w:pStyle w:val="706"/>
        <w:ind w:firstLine="480"/>
        <w:jc w:val="left"/>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投标报价得分=（磋商基准价/最后磋商报价）*价格权值（10%）*100，小数点后保留两位。</w:t>
      </w:r>
      <w:r>
        <w:rPr>
          <w:rFonts w:ascii="宋体" w:hAnsi="宋体" w:eastAsia="宋体" w:cs="宋体"/>
          <w:bCs/>
          <w:sz w:val="24"/>
          <w:szCs w:val="24"/>
          <w:highlight w:val="none"/>
        </w:rPr>
      </w:r>
      <w:r/>
    </w:p>
    <w:p>
      <w:pPr>
        <w:pStyle w:val="706"/>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（二）施工组织设计比较（62分）</w:t>
      </w:r>
      <w:r>
        <w:rPr>
          <w:rFonts w:hint="eastAsia" w:ascii="宋体" w:hAnsi="宋体" w:eastAsia="宋体" w:cs="宋体"/>
          <w:b/>
          <w:sz w:val="24"/>
          <w:szCs w:val="24"/>
          <w:highlight w:val="none"/>
        </w:rPr>
      </w:r>
      <w:r/>
    </w:p>
    <w:p>
      <w:pPr>
        <w:pStyle w:val="706"/>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根据供应商提供的整体施工方案进行评分，在实质性满足招标要求的前提下，按下列标准评分：</w:t>
      </w:r>
      <w:r>
        <w:rPr>
          <w:rFonts w:hint="eastAsia" w:ascii="宋体" w:hAnsi="宋体" w:eastAsia="宋体" w:cs="宋体"/>
          <w:bCs/>
          <w:sz w:val="24"/>
          <w:szCs w:val="24"/>
          <w:highlight w:val="none"/>
        </w:rPr>
      </w:r>
      <w:r/>
    </w:p>
    <w:p>
      <w:pPr>
        <w:pStyle w:val="70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1、总体概述：工程概述、总体安排、及施工部署及施工段划分等健全、合理、规范、高效。（7分）</w:t>
      </w:r>
      <w:r>
        <w:rPr>
          <w:rFonts w:hint="eastAsia" w:ascii="宋体" w:hAnsi="宋体" w:eastAsia="宋体" w:cs="宋体"/>
          <w:color w:val="000000"/>
          <w:sz w:val="24"/>
          <w:szCs w:val="24"/>
          <w:highlight w:val="none"/>
        </w:rPr>
      </w:r>
      <w:r/>
    </w:p>
    <w:p>
      <w:pPr>
        <w:pStyle w:val="70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综合评定优秀，概述详细，组织机构健全，总体安排科学，方案考虑周全，有合理化建议等得7分；综合评定良好，概述较为详细，总体安排可行，方案考虑比较细致，能满足项目实施需要的得4分；综合评定一般，方案简单，基本能满足项目实施需要的得1分,不提供的不得分。</w:t>
      </w:r>
      <w:r>
        <w:rPr>
          <w:rFonts w:hint="eastAsia" w:ascii="宋体" w:hAnsi="宋体" w:eastAsia="宋体" w:cs="宋体"/>
          <w:color w:val="000000"/>
          <w:sz w:val="24"/>
          <w:szCs w:val="24"/>
          <w:highlight w:val="none"/>
        </w:rPr>
      </w:r>
      <w:r/>
    </w:p>
    <w:p>
      <w:pPr>
        <w:pStyle w:val="70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2、平面布置：施工现场平面布置及临时设施、临时道路等施工现场的布置科学、合理、规范、高效。（7分）</w:t>
      </w:r>
      <w:r>
        <w:rPr>
          <w:rFonts w:hint="eastAsia" w:ascii="宋体" w:hAnsi="宋体" w:eastAsia="宋体" w:cs="宋体"/>
          <w:color w:val="000000"/>
          <w:sz w:val="24"/>
          <w:szCs w:val="24"/>
          <w:highlight w:val="none"/>
        </w:rPr>
      </w:r>
      <w:r/>
    </w:p>
    <w:p>
      <w:pPr>
        <w:pStyle w:val="70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综合评定优秀，布置科学合理，描述详细，清晰准确的得7分；综合评定良好，布置比较科学合理，描述比较详细，能满足项目实施需要的得4分；综合评定一般，方案简单，描述不完整，基本能满足项目实施需要的得1分,不提供的不得分。</w:t>
      </w:r>
      <w:r>
        <w:rPr>
          <w:rFonts w:hint="eastAsia" w:ascii="宋体" w:hAnsi="宋体" w:eastAsia="宋体" w:cs="宋体"/>
          <w:color w:val="000000"/>
          <w:sz w:val="24"/>
          <w:szCs w:val="24"/>
          <w:highlight w:val="none"/>
        </w:rPr>
      </w:r>
      <w:r/>
    </w:p>
    <w:p>
      <w:pPr>
        <w:pStyle w:val="70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3、施工总进度计划：关于本工程施工进度计划的描述，以及为完成该计划所定措施科学、合理、规范、高效。（7分）</w:t>
      </w:r>
      <w:r>
        <w:rPr>
          <w:rFonts w:hint="eastAsia" w:ascii="宋体" w:hAnsi="宋体" w:eastAsia="宋体" w:cs="宋体"/>
          <w:color w:val="000000"/>
          <w:sz w:val="24"/>
          <w:szCs w:val="24"/>
          <w:highlight w:val="none"/>
        </w:rPr>
      </w:r>
      <w:r/>
    </w:p>
    <w:p>
      <w:pPr>
        <w:pStyle w:val="70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综合评定优秀，总进度计划详尽，项目实施进度、时间点、关键节点等设置清晰准确的得7分；综合评定良好，总进度计划较为详尽，项目实施进度、时间点、关键点等设置比较准确的得4分；综合评定一般，方案简单，描述不清楚，基本能满足项目实施需要的得1分,不提供的不得分。</w:t>
      </w:r>
      <w:r>
        <w:rPr>
          <w:rFonts w:hint="eastAsia" w:ascii="宋体" w:hAnsi="宋体" w:eastAsia="宋体" w:cs="宋体"/>
          <w:color w:val="000000"/>
          <w:sz w:val="24"/>
          <w:szCs w:val="24"/>
          <w:highlight w:val="none"/>
        </w:rPr>
      </w:r>
      <w:r/>
    </w:p>
    <w:p>
      <w:pPr>
        <w:pStyle w:val="70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4、分部、分项工程的施工方案：该工程分部分项工程的施工方案、关键施工技术、工艺及工程项目实施的重点、难点和解决方案、具体施工技术措施科学、合理、操作性强、规范、高效。（8分）</w:t>
      </w:r>
      <w:r>
        <w:rPr>
          <w:rFonts w:hint="eastAsia" w:ascii="宋体" w:hAnsi="宋体" w:eastAsia="宋体" w:cs="宋体"/>
          <w:color w:val="000000"/>
          <w:sz w:val="24"/>
          <w:szCs w:val="24"/>
          <w:highlight w:val="none"/>
        </w:rPr>
      </w:r>
      <w:r/>
    </w:p>
    <w:p>
      <w:pPr>
        <w:pStyle w:val="70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综合评定优秀，分项施工方案、关键施工技术、工艺及工程项目实施的重点、难点和解决方案、科学合理、操作性强、考虑周全的得8分；综合评定良好，分项施工方案、关键施工技术、工艺及工程项目实施的重点、难点和解决方案、比较合理、操作性较强、考虑较周全的得5分；综合评定一般，方案简单，操作性不强的得2分,不提供的不得分。</w:t>
      </w:r>
      <w:r>
        <w:rPr>
          <w:rFonts w:hint="eastAsia" w:ascii="宋体" w:hAnsi="宋体" w:eastAsia="宋体" w:cs="宋体"/>
          <w:color w:val="000000"/>
          <w:sz w:val="24"/>
          <w:szCs w:val="24"/>
          <w:highlight w:val="none"/>
        </w:rPr>
      </w:r>
      <w:r/>
    </w:p>
    <w:p>
      <w:pPr>
        <w:pStyle w:val="70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5、安全文明施工措施：该工程安全文明施工、施工现场扬尘污染防治措施及环境保护方面的措施科学、合理、操作性强、规范、高效。（7分）</w:t>
      </w:r>
      <w:r>
        <w:rPr>
          <w:rFonts w:hint="eastAsia" w:ascii="宋体" w:hAnsi="宋体" w:eastAsia="宋体" w:cs="宋体"/>
          <w:color w:val="000000"/>
          <w:sz w:val="24"/>
          <w:szCs w:val="24"/>
          <w:highlight w:val="none"/>
        </w:rPr>
      </w:r>
      <w:r/>
    </w:p>
    <w:p>
      <w:pPr>
        <w:pStyle w:val="706"/>
        <w:ind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综合评定优秀，措施科学合理，问题沟通和解决机制简单有效，对项目安全、环保等风险进行分析，给出应对措施，操作性强的得7分；综合评定良好，措施比较合理、操作性较强、考虑较周全、能满足项目实施需要的得4分；综合评定一般，措施简单，操作性不强的得1分,不提供的不得分。</w:t>
      </w:r>
      <w:r>
        <w:rPr>
          <w:rFonts w:hint="eastAsia" w:ascii="宋体" w:hAnsi="宋体" w:eastAsia="宋体" w:cs="宋体"/>
          <w:sz w:val="24"/>
          <w:szCs w:val="24"/>
          <w:highlight w:val="none"/>
        </w:rPr>
      </w:r>
      <w:r/>
    </w:p>
    <w:p>
      <w:pPr>
        <w:pStyle w:val="706"/>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6、机械设备的投入；用于该工程的机械及各种设备，及施工过程中的主要设备的使用管理等内容比较。</w:t>
      </w:r>
      <w:r>
        <w:rPr>
          <w:rFonts w:hint="eastAsia" w:ascii="宋体" w:hAnsi="宋体" w:eastAsia="宋体" w:cs="宋体"/>
          <w:color w:val="000000"/>
          <w:sz w:val="24"/>
          <w:szCs w:val="24"/>
          <w:highlight w:val="none"/>
        </w:rPr>
        <w:t xml:space="preserve">（7分）</w:t>
      </w:r>
      <w:r>
        <w:rPr>
          <w:rFonts w:hint="eastAsia" w:ascii="宋体" w:hAnsi="宋体" w:eastAsia="宋体" w:cs="宋体"/>
          <w:bCs/>
          <w:sz w:val="24"/>
          <w:szCs w:val="24"/>
          <w:highlight w:val="none"/>
        </w:rPr>
      </w:r>
      <w:r/>
    </w:p>
    <w:p>
      <w:pPr>
        <w:pStyle w:val="706"/>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综合评定优秀，投入完全符合项目实际，管理制度完备、使用方案详尽的得7分；综合评定良好，投入基本符合项目实际，管理制度比较完备、使用方案比价清楚的得4分；综合评定一般，投入不足，基本能满足项目实施需要的得1分</w:t>
      </w:r>
      <w:r>
        <w:rPr>
          <w:rFonts w:hint="eastAsia" w:ascii="宋体" w:hAnsi="宋体" w:eastAsia="宋体" w:cs="宋体"/>
          <w:color w:val="000000"/>
          <w:sz w:val="24"/>
          <w:szCs w:val="24"/>
          <w:highlight w:val="none"/>
        </w:rPr>
        <w:t xml:space="preserve">,不提供的不得分</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706"/>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7、作业人员保障措施。（7分）</w:t>
      </w:r>
      <w:r>
        <w:rPr>
          <w:rFonts w:hint="eastAsia" w:ascii="宋体" w:hAnsi="宋体" w:eastAsia="宋体" w:cs="宋体"/>
          <w:bCs/>
          <w:sz w:val="24"/>
          <w:szCs w:val="24"/>
          <w:highlight w:val="none"/>
        </w:rPr>
      </w:r>
      <w:r/>
    </w:p>
    <w:p>
      <w:pPr>
        <w:pStyle w:val="706"/>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综合评定优秀，配备科学合理，方案详尽、考虑周全的得7分；综合评定良好，配备比较合理、考虑较周全、能满足项目实施需要的得4分；综合评定一般，配备简单，基本能满足项目实施需要的得1分</w:t>
      </w:r>
      <w:r>
        <w:rPr>
          <w:rFonts w:hint="eastAsia" w:ascii="宋体" w:hAnsi="宋体" w:eastAsia="宋体" w:cs="宋体"/>
          <w:color w:val="000000"/>
          <w:sz w:val="24"/>
          <w:szCs w:val="24"/>
          <w:highlight w:val="none"/>
        </w:rPr>
        <w:t xml:space="preserve">,不提供的不得分</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706"/>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8、特殊情况施工措施：本项目的季节性施工、已有设备、管线的加固、保护等特殊情况下的施工措施内容比较。 （6分）</w:t>
      </w:r>
      <w:r>
        <w:rPr>
          <w:rFonts w:hint="eastAsia" w:ascii="宋体" w:hAnsi="宋体" w:eastAsia="宋体" w:cs="宋体"/>
          <w:bCs/>
          <w:sz w:val="24"/>
          <w:szCs w:val="24"/>
          <w:highlight w:val="none"/>
        </w:rPr>
      </w:r>
      <w:r/>
    </w:p>
    <w:p>
      <w:pPr>
        <w:pStyle w:val="706"/>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综合评定优秀，措施科学合理，给出应对措施，操作性强的得6分；综合评定良好，措施比较合理、操作性较强、考虑较周全、能满足项目实施需要的的得4分；综合评定一般，措施简单，操作性不强的得2分</w:t>
      </w:r>
      <w:r>
        <w:rPr>
          <w:rFonts w:hint="eastAsia" w:ascii="宋体" w:hAnsi="宋体" w:eastAsia="宋体" w:cs="宋体"/>
          <w:color w:val="000000"/>
          <w:sz w:val="24"/>
          <w:szCs w:val="24"/>
          <w:highlight w:val="none"/>
        </w:rPr>
        <w:t xml:space="preserve">,不提供的不得分</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706"/>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9、应急预案：本项目施工过程中的重大、紧急事项应急方案比较。（6分）</w:t>
      </w:r>
      <w:r>
        <w:rPr>
          <w:rFonts w:hint="eastAsia" w:ascii="宋体" w:hAnsi="宋体" w:eastAsia="宋体" w:cs="宋体"/>
          <w:bCs/>
          <w:sz w:val="24"/>
          <w:szCs w:val="24"/>
          <w:highlight w:val="none"/>
        </w:rPr>
      </w:r>
      <w:r/>
    </w:p>
    <w:p>
      <w:pPr>
        <w:pStyle w:val="706"/>
        <w:ind w:firstLine="480"/>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综合评定优秀，方案措施科学合理，详尽有效，操作性强的得6分；综合评定良好，措施比较合理、操作性较强、考虑较周全、能满足项目实施需要的的得4分；综合评定一般，措施简单，操作性不强的得2分</w:t>
      </w:r>
      <w:r>
        <w:rPr>
          <w:rFonts w:hint="eastAsia" w:ascii="宋体" w:hAnsi="宋体" w:eastAsia="宋体" w:cs="宋体"/>
          <w:color w:val="000000"/>
          <w:sz w:val="24"/>
          <w:szCs w:val="24"/>
          <w:highlight w:val="none"/>
        </w:rPr>
        <w:t xml:space="preserve">,不提供的不得分</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r>
      <w:r/>
    </w:p>
    <w:p>
      <w:pPr>
        <w:pStyle w:val="706"/>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（三）投标人综合履约能力（28分）</w:t>
      </w:r>
      <w:r>
        <w:rPr>
          <w:rFonts w:hint="eastAsia" w:ascii="宋体" w:hAnsi="宋体" w:eastAsia="宋体" w:cs="宋体"/>
          <w:b/>
          <w:sz w:val="24"/>
          <w:szCs w:val="24"/>
          <w:highlight w:val="none"/>
        </w:rPr>
      </w:r>
      <w:r/>
    </w:p>
    <w:p>
      <w:pPr>
        <w:pStyle w:val="706"/>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sz w:val="24"/>
          <w:szCs w:val="24"/>
          <w:highlight w:val="none"/>
        </w:rPr>
        <w:t xml:space="preserve">响应单位202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年1月（以合同签订时间为准）以来承担过的类似业绩的有一个得3分，最高9分；（提供施</w:t>
      </w:r>
      <w:r>
        <w:rPr>
          <w:rFonts w:hint="eastAsia" w:ascii="宋体" w:hAnsi="宋体" w:eastAsia="宋体" w:cs="宋体"/>
          <w:sz w:val="24"/>
          <w:szCs w:val="24"/>
          <w:highlight w:val="none"/>
          <w:lang w:val="en-US" w:eastAsia="zh-CN"/>
        </w:rPr>
        <w:t xml:space="preserve">工</w:t>
      </w:r>
      <w:r>
        <w:rPr>
          <w:rFonts w:hint="eastAsia" w:ascii="宋体" w:hAnsi="宋体" w:eastAsia="宋体" w:cs="宋体"/>
          <w:sz w:val="24"/>
          <w:szCs w:val="24"/>
          <w:highlight w:val="none"/>
        </w:rPr>
        <w:t xml:space="preserve">合同、任一期发票扫描件）</w:t>
      </w:r>
      <w:r>
        <w:rPr>
          <w:rFonts w:hint="eastAsia" w:ascii="宋体" w:hAnsi="宋体" w:eastAsia="宋体" w:cs="宋体"/>
          <w:bCs/>
          <w:sz w:val="24"/>
          <w:szCs w:val="24"/>
          <w:highlight w:val="none"/>
        </w:rPr>
      </w:r>
      <w:r/>
    </w:p>
    <w:p>
      <w:pPr>
        <w:pStyle w:val="706"/>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t xml:space="preserve">响应单位具有质量管理体系认证证书、环境管理体系认证证书、职业健康安全管理体系每提供一项得3分，最高得9分，响应文件中需提供认证证书扫描件及对应证书在国家认可监督管理委员会官网查询结果的完整网页截图且显示为有效，未按要求提供的，对应项不得分。</w:t>
      </w:r>
      <w:r>
        <w:rPr>
          <w:rFonts w:hint="eastAsia" w:ascii="宋体" w:hAnsi="宋体" w:eastAsia="宋体" w:cs="宋体"/>
          <w:sz w:val="24"/>
          <w:szCs w:val="24"/>
          <w:highlight w:val="none"/>
        </w:rPr>
      </w:r>
      <w:r/>
    </w:p>
    <w:p>
      <w:pPr>
        <w:pStyle w:val="706"/>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bCs/>
          <w:sz w:val="24"/>
          <w:szCs w:val="24"/>
          <w:highlight w:val="none"/>
        </w:rPr>
        <w:t xml:space="preserve">项目组人员中（含项目经理）具有与本项目相关的工程师及以上职称的，每提供一名的得2分，满分10分。提供职称证书扫描件及社保缴纳证明扫描件</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06"/>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06"/>
        <w:spacing w:line="360" w:lineRule="auto"/>
        <w:rPr>
          <w:rFonts w:hAnsi="宋体" w:eastAsia="宋体"/>
          <w:sz w:val="24"/>
          <w:szCs w:val="24"/>
          <w:highlight w:val="none"/>
        </w:rPr>
      </w:pPr>
      <w:r>
        <w:rPr>
          <w:rFonts w:hint="eastAsia" w:hAnsi="宋体" w:eastAsia="宋体"/>
          <w:sz w:val="24"/>
          <w:szCs w:val="24"/>
          <w:highlight w:val="none"/>
        </w:rPr>
        <w:t xml:space="preserve">注：</w:t>
      </w:r>
      <w:r>
        <w:rPr>
          <w:rFonts w:hAnsi="宋体" w:eastAsia="宋体"/>
          <w:sz w:val="24"/>
          <w:szCs w:val="24"/>
          <w:highlight w:val="none"/>
        </w:rPr>
      </w:r>
      <w:r/>
    </w:p>
    <w:p>
      <w:pPr>
        <w:pStyle w:val="906"/>
        <w:ind w:left="502" w:firstLine="0"/>
        <w:spacing w:line="360" w:lineRule="auto"/>
        <w:tabs>
          <w:tab w:val="left" w:pos="0"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1、报价超过</w:t>
      </w:r>
      <w:r>
        <w:rPr>
          <w:rFonts w:hint="eastAsia" w:ascii="宋体" w:hAnsi="宋体" w:eastAsia="宋体"/>
          <w:sz w:val="24"/>
          <w:szCs w:val="24"/>
          <w:highlight w:val="none"/>
        </w:rPr>
        <w:t xml:space="preserve">预算价或最高限价</w:t>
      </w:r>
      <w:r>
        <w:rPr>
          <w:rFonts w:hint="eastAsia" w:ascii="宋体" w:hAnsi="宋体" w:eastAsia="宋体" w:cs="宋体"/>
          <w:bCs/>
          <w:sz w:val="24"/>
          <w:szCs w:val="24"/>
          <w:highlight w:val="none"/>
        </w:rPr>
        <w:t xml:space="preserve">的将不进入综合评审程序，也不得标。</w:t>
      </w:r>
      <w:r>
        <w:rPr>
          <w:rFonts w:ascii="宋体" w:hAnsi="宋体" w:eastAsia="宋体" w:cs="宋体"/>
          <w:bCs/>
          <w:sz w:val="24"/>
          <w:szCs w:val="24"/>
          <w:highlight w:val="none"/>
        </w:rPr>
      </w:r>
      <w:r/>
    </w:p>
    <w:p>
      <w:pPr>
        <w:pStyle w:val="906"/>
        <w:ind w:left="502" w:firstLine="0"/>
        <w:spacing w:line="360" w:lineRule="auto"/>
        <w:tabs>
          <w:tab w:val="left" w:pos="0"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2、针对评分标准中评分的每一条，响应供应商均应提供相关资料并作出相</w:t>
      </w:r>
      <w:r>
        <w:rPr>
          <w:rFonts w:ascii="宋体" w:hAnsi="宋体" w:eastAsia="宋体" w:cs="宋体"/>
          <w:bCs/>
          <w:sz w:val="24"/>
          <w:szCs w:val="24"/>
          <w:highlight w:val="none"/>
        </w:rPr>
      </w:r>
      <w:r/>
    </w:p>
    <w:p>
      <w:pPr>
        <w:pStyle w:val="906"/>
        <w:ind w:left="502" w:firstLine="0"/>
        <w:spacing w:line="360" w:lineRule="auto"/>
        <w:tabs>
          <w:tab w:val="left" w:pos="0"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应说明供评委评判，不提供相关资料的视为不具备该项得分的条件。</w:t>
      </w:r>
      <w:r>
        <w:rPr>
          <w:rFonts w:ascii="宋体" w:hAnsi="宋体" w:eastAsia="宋体" w:cs="宋体"/>
          <w:bCs/>
          <w:sz w:val="24"/>
          <w:szCs w:val="24"/>
          <w:highlight w:val="none"/>
        </w:rPr>
      </w:r>
      <w:r/>
    </w:p>
    <w:p>
      <w:pPr>
        <w:pStyle w:val="906"/>
        <w:ind w:left="502" w:firstLine="0"/>
        <w:spacing w:line="360" w:lineRule="auto"/>
        <w:tabs>
          <w:tab w:val="left" w:pos="0"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3、付款步骤、交付完成限期如有负偏离的不得标。</w:t>
      </w:r>
      <w:r>
        <w:rPr>
          <w:rFonts w:ascii="宋体" w:hAnsi="宋体" w:eastAsia="宋体" w:cs="宋体"/>
          <w:bCs/>
          <w:sz w:val="24"/>
          <w:szCs w:val="24"/>
          <w:highlight w:val="none"/>
        </w:rPr>
      </w:r>
      <w:r/>
    </w:p>
    <w:p>
      <w:pPr>
        <w:pStyle w:val="906"/>
        <w:ind w:left="502" w:firstLine="0"/>
        <w:spacing w:line="360" w:lineRule="auto"/>
        <w:tabs>
          <w:tab w:val="left" w:pos="0"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4、所有扫描件必须字迹清晰可见，字迹不清晰不得分。扫描件：指原件的各种彩色复制件，包括扫描、照片等。</w:t>
      </w:r>
      <w:r>
        <w:rPr>
          <w:rFonts w:ascii="宋体" w:hAnsi="宋体" w:eastAsia="宋体" w:cs="宋体"/>
          <w:bCs/>
          <w:sz w:val="24"/>
          <w:szCs w:val="24"/>
          <w:highlight w:val="none"/>
        </w:rPr>
      </w:r>
      <w:r/>
    </w:p>
    <w:p>
      <w:pPr>
        <w:pStyle w:val="706"/>
        <w:ind w:right="920"/>
        <w:jc w:val="right"/>
        <w:spacing w:line="360" w:lineRule="auto"/>
        <w:tabs>
          <w:tab w:val="left" w:pos="567" w:leader="none"/>
        </w:tabs>
        <w:rPr>
          <w:rFonts w:hint="eastAsia" w:ascii="宋体" w:hAnsi="宋体" w:eastAsia="宋体" w:cs="宋体"/>
          <w:sz w:val="24"/>
          <w:szCs w:val="24"/>
          <w:highlight w:val="none"/>
          <w:lang w:val="zh-CN"/>
        </w:rPr>
        <w:outlineLvl w:val="0"/>
      </w:pPr>
      <w:r/>
      <w:r/>
      <w:r>
        <w:rPr>
          <w:rFonts w:hint="eastAsia" w:ascii="宋体" w:hAnsi="宋体" w:eastAsia="宋体" w:cs="宋体"/>
          <w:sz w:val="24"/>
          <w:szCs w:val="24"/>
          <w:highlight w:val="none"/>
          <w:lang w:val="zh-CN"/>
        </w:rPr>
        <w:t xml:space="preserve">（全文完）</w:t>
      </w:r>
      <w:r/>
    </w:p>
    <w:sectPr>
      <w:headerReference w:type="default" r:id="rId9"/>
      <w:footerReference w:type="default" r:id="rId10"/>
      <w:footerReference w:type="first" r:id="rId11"/>
      <w:footnotePr/>
      <w:endnotePr/>
      <w:type w:val="nextPage"/>
      <w:pgSz w:w="11906" w:h="16838" w:orient="portrait"/>
      <w:pgMar w:top="1440" w:right="1417" w:bottom="1440" w:left="1417" w:header="794" w:footer="675"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华文细黑">
    <w:panose1 w:val="02010600040101010101"/>
  </w:font>
  <w:font w:name="方正书宋简体">
    <w:panose1 w:val="020B0503020202020204"/>
  </w:font>
  <w:font w:name="Courier New">
    <w:panose1 w:val="02070309020205020404"/>
  </w:font>
  <w:font w:name="方正仿宋简体">
    <w:panose1 w:val="020B0503020202020204"/>
  </w:font>
  <w:font w:name="Tahoma">
    <w:panose1 w:val="020B0604030504040204"/>
  </w:font>
  <w:font w:name="Cambria">
    <w:panose1 w:val="02040503050406030204"/>
  </w:font>
  <w:font w:name="方正大黑简体">
    <w:panose1 w:val="020B0503020202020204"/>
  </w:font>
  <w:font w:name="Calibri">
    <w:panose1 w:val="020F0502020204030204"/>
  </w:font>
  <w:font w:name="仿宋_GB2312">
    <w:panose1 w:val="02010609060101010101"/>
  </w:font>
  <w:font w:name="Verdana">
    <w:panose1 w:val="020B0604030504040204"/>
  </w:font>
  <w:font w:name="黑体">
    <w:panose1 w:val="02010609060101010101"/>
  </w:font>
  <w:font w:name="Tms Rmn">
    <w:panose1 w:val="020B0503020202020204"/>
  </w:font>
  <w:font w:name="楷体_GB2312">
    <w:panose1 w:val="02010609060101010101"/>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2851767</wp:posOffset>
              </wp:positionH>
              <wp:positionV relativeFrom="paragraph">
                <wp:posOffset>8620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57184" cy="321282"/>
                      </a:xfrm>
                      <a:prstGeom prst="rect">
                        <a:avLst/>
                      </a:prstGeom>
                      <a:noFill/>
                      <a:ln>
                        <a:noFill/>
                      </a:ln>
                    </wps:spPr>
                    <wps:txbx>
                      <w:txbxContent>
                        <w:p>
                          <w:pPr>
                            <w:pStyle w:val="763"/>
                            <w:tabs>
                              <w:tab w:val="clear" w:pos="4153" w:leader="none"/>
                              <w:tab w:val="clear" w:pos="8306" w:leader="none"/>
                            </w:tabs>
                          </w:pPr>
                          <w:r>
                            <w:fldChar w:fldCharType="begin"/>
                          </w:r>
                          <w:r>
                            <w:instrText xml:space="preserve"> PAGE  \* MERGEFORMAT </w:instrText>
                          </w:r>
                          <w:r>
                            <w:fldChar w:fldCharType="separate"/>
                          </w:r>
                          <w:r>
                            <w:t xml:space="preserve">58</w:t>
                          </w:r>
                          <w:r>
                            <w:fldChar w:fldCharType="end"/>
                          </w:r>
                          <w:r/>
                        </w:p>
                        <w:p>
                          <w:pPr>
                            <w:pStyle w:val="706"/>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argin-left:224.5pt;mso-position-horizontal:absolute;mso-position-vertical-relative:text;margin-top:0.7pt;mso-position-vertical:absolute;width:144.0pt;height:144.0pt;mso-wrap-distance-left:9.0pt;mso-wrap-distance-top:0.0pt;mso-wrap-distance-right:9.0pt;mso-wrap-distance-bottom:0.0pt;visibility:visible;" filled="f" stroked="f">
              <v:textbox inset="0,0,0,0">
                <w:txbxContent>
                  <w:p>
                    <w:pPr>
                      <w:pStyle w:val="763"/>
                      <w:tabs>
                        <w:tab w:val="clear" w:pos="4153" w:leader="none"/>
                        <w:tab w:val="clear" w:pos="8306" w:leader="none"/>
                      </w:tabs>
                    </w:pPr>
                    <w:r>
                      <w:fldChar w:fldCharType="begin"/>
                    </w:r>
                    <w:r>
                      <w:instrText xml:space="preserve"> PAGE  \* MERGEFORMAT </w:instrText>
                    </w:r>
                    <w:r>
                      <w:fldChar w:fldCharType="separate"/>
                    </w:r>
                    <w:r>
                      <w:t xml:space="preserve">58</w:t>
                    </w:r>
                    <w:r>
                      <w:fldChar w:fldCharType="end"/>
                    </w:r>
                    <w:r/>
                  </w:p>
                  <w:p>
                    <w:pPr>
                      <w:pStyle w:val="706"/>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ind w:right="360" w:firstLine="34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06"/>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0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left"/>
      <w:tabs>
        <w:tab w:val="center" w:pos="4153" w:leader="none"/>
        <w:tab w:val="right" w:pos="8306" w:leader="none"/>
      </w:tabs>
      <w:rPr>
        <w:rFonts w:ascii="宋体" w:hAnsi="宋体" w:eastAsia="宋体"/>
      </w:rPr>
    </w:pPr>
    <w:r>
      <w:rPr>
        <w:rFonts w:hint="eastAsia" w:ascii="宋体" w:hAnsi="宋体" w:eastAsia="宋体"/>
      </w:rPr>
      <w:t xml:space="preserve">竞争性磋商采购文件                                                    JSZC-320591-PMJS-C2024-00XX                                               </w:t>
    </w:r>
    <w:r>
      <w:rPr>
        <w:rFonts w:ascii="宋体" w:hAnsi="宋体"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pStyle w:val="70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706"/>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734"/>
      <w:isLgl w:val="false"/>
      <w:suff w:val="tab"/>
      <w:lvlText w:val=""/>
      <w:lvlJc w:val="left"/>
      <w:pPr>
        <w:pStyle w:val="706"/>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pStyle w:val="70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nothing"/>
      <w:lvlText w:val="%1）"/>
      <w:lvlJc w:val="left"/>
      <w:pPr>
        <w:pStyle w:val="70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nothing"/>
      <w:lvlText w:val="（%1）"/>
      <w:lvlJc w:val="left"/>
      <w:pPr>
        <w:pStyle w:val="70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japaneseCounting"/>
      <w:isLgl w:val="false"/>
      <w:suff w:val="tab"/>
      <w:lvlText w:val="%1、"/>
      <w:lvlJc w:val="left"/>
      <w:pPr>
        <w:pStyle w:val="706"/>
        <w:ind w:left="1202" w:hanging="720"/>
      </w:pPr>
    </w:lvl>
    <w:lvl w:ilvl="1">
      <w:start w:val="1"/>
      <w:numFmt w:val="lowerLetter"/>
      <w:isLgl w:val="false"/>
      <w:suff w:val="tab"/>
      <w:lvlText w:val="%2)"/>
      <w:lvlJc w:val="left"/>
      <w:pPr>
        <w:pStyle w:val="706"/>
        <w:ind w:left="1322" w:hanging="420"/>
      </w:pPr>
    </w:lvl>
    <w:lvl w:ilvl="2">
      <w:start w:val="1"/>
      <w:numFmt w:val="lowerRoman"/>
      <w:isLgl w:val="false"/>
      <w:suff w:val="tab"/>
      <w:lvlText w:val="%3."/>
      <w:lvlJc w:val="right"/>
      <w:pPr>
        <w:pStyle w:val="706"/>
        <w:ind w:left="1742" w:hanging="420"/>
      </w:pPr>
    </w:lvl>
    <w:lvl w:ilvl="3">
      <w:start w:val="1"/>
      <w:numFmt w:val="decimal"/>
      <w:isLgl w:val="false"/>
      <w:suff w:val="tab"/>
      <w:lvlText w:val="%4."/>
      <w:lvlJc w:val="left"/>
      <w:pPr>
        <w:pStyle w:val="706"/>
        <w:ind w:left="2162" w:hanging="420"/>
      </w:pPr>
    </w:lvl>
    <w:lvl w:ilvl="4">
      <w:start w:val="1"/>
      <w:numFmt w:val="lowerLetter"/>
      <w:isLgl w:val="false"/>
      <w:suff w:val="tab"/>
      <w:lvlText w:val="%5)"/>
      <w:lvlJc w:val="left"/>
      <w:pPr>
        <w:pStyle w:val="706"/>
        <w:ind w:left="2582" w:hanging="420"/>
      </w:pPr>
    </w:lvl>
    <w:lvl w:ilvl="5">
      <w:start w:val="1"/>
      <w:numFmt w:val="lowerRoman"/>
      <w:isLgl w:val="false"/>
      <w:suff w:val="tab"/>
      <w:lvlText w:val="%6."/>
      <w:lvlJc w:val="right"/>
      <w:pPr>
        <w:pStyle w:val="706"/>
        <w:ind w:left="3002" w:hanging="420"/>
      </w:pPr>
    </w:lvl>
    <w:lvl w:ilvl="6">
      <w:start w:val="1"/>
      <w:numFmt w:val="decimal"/>
      <w:isLgl w:val="false"/>
      <w:suff w:val="tab"/>
      <w:lvlText w:val="%7."/>
      <w:lvlJc w:val="left"/>
      <w:pPr>
        <w:pStyle w:val="706"/>
        <w:ind w:left="3422" w:hanging="420"/>
      </w:pPr>
    </w:lvl>
    <w:lvl w:ilvl="7">
      <w:start w:val="1"/>
      <w:numFmt w:val="lowerLetter"/>
      <w:isLgl w:val="false"/>
      <w:suff w:val="tab"/>
      <w:lvlText w:val="%8)"/>
      <w:lvlJc w:val="left"/>
      <w:pPr>
        <w:pStyle w:val="706"/>
        <w:ind w:left="3842" w:hanging="420"/>
      </w:pPr>
    </w:lvl>
    <w:lvl w:ilvl="8">
      <w:start w:val="1"/>
      <w:numFmt w:val="lowerRoman"/>
      <w:isLgl w:val="false"/>
      <w:suff w:val="tab"/>
      <w:lvlText w:val="%9."/>
      <w:lvlJc w:val="right"/>
      <w:pPr>
        <w:pStyle w:val="706"/>
        <w:ind w:left="4262" w:hanging="420"/>
      </w:pPr>
    </w:lvl>
  </w:abstractNum>
  <w:abstractNum w:abstractNumId="7">
    <w:multiLevelType w:val="hybridMultilevel"/>
    <w:lvl w:ilvl="0">
      <w:start w:val="1"/>
      <w:numFmt w:val="decimal"/>
      <w:isLgl w:val="false"/>
      <w:suff w:val="nothing"/>
      <w:lvlText w:val="%1、"/>
      <w:lvlJc w:val="left"/>
      <w:pPr>
        <w:pStyle w:val="706"/>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EnclosedCircle"/>
      <w:isLgl w:val="false"/>
      <w:suff w:val="tab"/>
      <w:lvlText w:val="%1"/>
      <w:lvlJc w:val="left"/>
      <w:pPr>
        <w:pStyle w:val="706"/>
        <w:ind w:left="1240" w:hanging="360"/>
        <w:tabs>
          <w:tab w:val="num" w:pos="1240" w:leader="none"/>
        </w:tabs>
      </w:pPr>
    </w:lvl>
    <w:lvl w:ilvl="1">
      <w:start w:val="1"/>
      <w:numFmt w:val="lowerLetter"/>
      <w:isLgl w:val="false"/>
      <w:suff w:val="tab"/>
      <w:lvlText w:val="%2)"/>
      <w:lvlJc w:val="left"/>
      <w:pPr>
        <w:pStyle w:val="706"/>
        <w:ind w:left="1720" w:hanging="420"/>
        <w:tabs>
          <w:tab w:val="num" w:pos="1720" w:leader="none"/>
        </w:tabs>
      </w:pPr>
    </w:lvl>
    <w:lvl w:ilvl="2">
      <w:start w:val="1"/>
      <w:numFmt w:val="lowerRoman"/>
      <w:isLgl w:val="false"/>
      <w:suff w:val="tab"/>
      <w:lvlText w:val="%3."/>
      <w:lvlJc w:val="right"/>
      <w:pPr>
        <w:pStyle w:val="706"/>
        <w:ind w:left="2140" w:hanging="420"/>
        <w:tabs>
          <w:tab w:val="num" w:pos="2140" w:leader="none"/>
        </w:tabs>
      </w:pPr>
    </w:lvl>
    <w:lvl w:ilvl="3">
      <w:start w:val="1"/>
      <w:numFmt w:val="decimal"/>
      <w:pStyle w:val="791"/>
      <w:isLgl w:val="false"/>
      <w:suff w:val="tab"/>
      <w:lvlText w:val="%4."/>
      <w:lvlJc w:val="left"/>
      <w:pPr>
        <w:pStyle w:val="706"/>
        <w:ind w:left="2560" w:hanging="420"/>
        <w:tabs>
          <w:tab w:val="num" w:pos="2560" w:leader="none"/>
        </w:tabs>
      </w:pPr>
    </w:lvl>
    <w:lvl w:ilvl="4">
      <w:start w:val="1"/>
      <w:numFmt w:val="lowerLetter"/>
      <w:isLgl w:val="false"/>
      <w:suff w:val="tab"/>
      <w:lvlText w:val="%5)"/>
      <w:lvlJc w:val="left"/>
      <w:pPr>
        <w:pStyle w:val="706"/>
        <w:ind w:left="2980" w:hanging="420"/>
        <w:tabs>
          <w:tab w:val="num" w:pos="2980" w:leader="none"/>
        </w:tabs>
      </w:pPr>
    </w:lvl>
    <w:lvl w:ilvl="5">
      <w:start w:val="1"/>
      <w:numFmt w:val="lowerRoman"/>
      <w:isLgl w:val="false"/>
      <w:suff w:val="tab"/>
      <w:lvlText w:val="%6."/>
      <w:lvlJc w:val="right"/>
      <w:pPr>
        <w:pStyle w:val="706"/>
        <w:ind w:left="3400" w:hanging="420"/>
        <w:tabs>
          <w:tab w:val="num" w:pos="3400" w:leader="none"/>
        </w:tabs>
      </w:pPr>
    </w:lvl>
    <w:lvl w:ilvl="6">
      <w:start w:val="1"/>
      <w:numFmt w:val="decimal"/>
      <w:isLgl w:val="false"/>
      <w:suff w:val="tab"/>
      <w:lvlText w:val="%7."/>
      <w:lvlJc w:val="left"/>
      <w:pPr>
        <w:pStyle w:val="706"/>
        <w:ind w:left="3820" w:hanging="420"/>
        <w:tabs>
          <w:tab w:val="num" w:pos="3820" w:leader="none"/>
        </w:tabs>
      </w:pPr>
    </w:lvl>
    <w:lvl w:ilvl="7">
      <w:start w:val="1"/>
      <w:numFmt w:val="lowerLetter"/>
      <w:isLgl w:val="false"/>
      <w:suff w:val="tab"/>
      <w:lvlText w:val="%8)"/>
      <w:lvlJc w:val="left"/>
      <w:pPr>
        <w:pStyle w:val="706"/>
        <w:ind w:left="4240" w:hanging="420"/>
        <w:tabs>
          <w:tab w:val="num" w:pos="4240" w:leader="none"/>
        </w:tabs>
      </w:pPr>
    </w:lvl>
    <w:lvl w:ilvl="8">
      <w:start w:val="1"/>
      <w:numFmt w:val="lowerRoman"/>
      <w:isLgl w:val="false"/>
      <w:suff w:val="tab"/>
      <w:lvlText w:val="%9."/>
      <w:lvlJc w:val="right"/>
      <w:pPr>
        <w:pStyle w:val="706"/>
        <w:ind w:left="4660" w:hanging="420"/>
        <w:tabs>
          <w:tab w:val="num" w:pos="4660" w:leader="none"/>
        </w:tabs>
      </w:pPr>
    </w:lvl>
  </w:abstractNum>
  <w:abstractNum w:abstractNumId="9">
    <w:multiLevelType w:val="hybridMultilevel"/>
    <w:lvl w:ilvl="0">
      <w:start w:val="1"/>
      <w:numFmt w:val="decimal"/>
      <w:isLgl w:val="false"/>
      <w:suff w:val="nothing"/>
      <w:lvlText w:val="（%1）"/>
      <w:lvlJc w:val="left"/>
      <w:pPr>
        <w:pStyle w:val="706"/>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pStyle w:val="70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8"/>
  </w:num>
  <w:num w:numId="3">
    <w:abstractNumId w:val="10"/>
    <w:lvlOverride w:ilvl="0">
      <w:startOverride w:val="1"/>
    </w:lvlOverride>
  </w:num>
  <w:num w:numId="4">
    <w:abstractNumId w:val="7"/>
    <w:lvlOverride w:ilvl="0">
      <w:startOverride w:val="1"/>
    </w:lvlOverride>
  </w:num>
  <w:num w:numId="5">
    <w:abstractNumId w:val="3"/>
  </w:num>
  <w:num w:numId="6">
    <w:abstractNumId w:val="5"/>
    <w:lvlOverride w:ilvl="0">
      <w:startOverride w:val="4"/>
    </w:lvlOverride>
  </w:num>
  <w:num w:numId="7">
    <w:abstractNumId w:val="0"/>
  </w:num>
  <w:num w:numId="8">
    <w:abstractNumId w:val="6"/>
  </w:num>
  <w:num w:numId="9">
    <w:abstractNumId w:val="4"/>
  </w:num>
  <w:num w:numId="10">
    <w:abstractNumId w:val="9"/>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6"/>
    <w:next w:val="706"/>
    <w:link w:val="969"/>
    <w:uiPriority w:val="9"/>
    <w:qFormat/>
    <w:pPr>
      <w:keepLines/>
      <w:keepNext/>
      <w:spacing w:before="480" w:after="200"/>
      <w:outlineLvl w:val="0"/>
    </w:pPr>
    <w:rPr>
      <w:rFonts w:ascii="Arial" w:hAnsi="Arial" w:eastAsia="Arial" w:cs="Arial"/>
      <w:sz w:val="40"/>
      <w:szCs w:val="40"/>
    </w:rPr>
  </w:style>
  <w:style w:type="paragraph" w:styleId="14">
    <w:name w:val="Heading 2"/>
    <w:basedOn w:val="706"/>
    <w:next w:val="706"/>
    <w:link w:val="917"/>
    <w:uiPriority w:val="9"/>
    <w:unhideWhenUsed/>
    <w:qFormat/>
    <w:pPr>
      <w:keepLines/>
      <w:keepNext/>
      <w:spacing w:before="360" w:after="200"/>
      <w:outlineLvl w:val="1"/>
    </w:pPr>
    <w:rPr>
      <w:rFonts w:ascii="Arial" w:hAnsi="Arial" w:eastAsia="Arial" w:cs="Arial"/>
      <w:sz w:val="34"/>
    </w:rPr>
  </w:style>
  <w:style w:type="paragraph" w:styleId="16">
    <w:name w:val="Heading 3"/>
    <w:basedOn w:val="706"/>
    <w:next w:val="706"/>
    <w:link w:val="967"/>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06"/>
    <w:next w:val="706"/>
    <w:link w:val="913"/>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06"/>
    <w:next w:val="706"/>
    <w:link w:val="935"/>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06"/>
    <w:next w:val="70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06"/>
    <w:next w:val="70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06"/>
    <w:next w:val="70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06"/>
    <w:next w:val="70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0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06"/>
    <w:next w:val="706"/>
    <w:link w:val="987"/>
    <w:uiPriority w:val="10"/>
    <w:qFormat/>
    <w:pPr>
      <w:contextualSpacing/>
      <w:spacing w:before="300" w:after="200"/>
    </w:pPr>
    <w:rPr>
      <w:sz w:val="48"/>
      <w:szCs w:val="48"/>
    </w:rPr>
  </w:style>
  <w:style w:type="paragraph" w:styleId="35">
    <w:name w:val="Subtitle"/>
    <w:basedOn w:val="706"/>
    <w:next w:val="70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06"/>
    <w:next w:val="706"/>
    <w:link w:val="38"/>
    <w:uiPriority w:val="29"/>
    <w:qFormat/>
    <w:pPr>
      <w:ind w:left="720" w:right="720"/>
    </w:pPr>
    <w:rPr>
      <w:i/>
    </w:rPr>
  </w:style>
  <w:style w:type="character" w:styleId="38">
    <w:name w:val="Quote Char"/>
    <w:link w:val="37"/>
    <w:uiPriority w:val="29"/>
    <w:rPr>
      <w:i/>
    </w:rPr>
  </w:style>
  <w:style w:type="paragraph" w:styleId="39">
    <w:name w:val="Intense Quote"/>
    <w:basedOn w:val="706"/>
    <w:next w:val="70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06"/>
    <w:link w:val="990"/>
    <w:uiPriority w:val="99"/>
    <w:unhideWhenUsed/>
    <w:pPr>
      <w:spacing w:after="0" w:line="240" w:lineRule="auto"/>
      <w:tabs>
        <w:tab w:val="center" w:pos="7143" w:leader="none"/>
        <w:tab w:val="right" w:pos="14287" w:leader="none"/>
      </w:tabs>
    </w:pPr>
  </w:style>
  <w:style w:type="paragraph" w:styleId="43">
    <w:name w:val="Footer"/>
    <w:basedOn w:val="706"/>
    <w:link w:val="46"/>
    <w:uiPriority w:val="99"/>
    <w:unhideWhenUsed/>
    <w:pPr>
      <w:spacing w:after="0" w:line="240" w:lineRule="auto"/>
      <w:tabs>
        <w:tab w:val="center" w:pos="7143" w:leader="none"/>
        <w:tab w:val="right" w:pos="14287" w:leader="none"/>
      </w:tabs>
    </w:pPr>
  </w:style>
  <w:style w:type="paragraph" w:styleId="45">
    <w:name w:val="Caption"/>
    <w:basedOn w:val="706"/>
    <w:next w:val="70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6"/>
    <w:link w:val="964"/>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0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06"/>
    <w:next w:val="706"/>
    <w:uiPriority w:val="39"/>
    <w:unhideWhenUsed/>
    <w:pPr>
      <w:ind w:left="0" w:right="0" w:firstLine="0"/>
      <w:spacing w:after="57"/>
    </w:pPr>
  </w:style>
  <w:style w:type="paragraph" w:styleId="181">
    <w:name w:val="toc 2"/>
    <w:basedOn w:val="706"/>
    <w:next w:val="706"/>
    <w:uiPriority w:val="39"/>
    <w:unhideWhenUsed/>
    <w:pPr>
      <w:ind w:left="283" w:right="0" w:firstLine="0"/>
      <w:spacing w:after="57"/>
    </w:pPr>
  </w:style>
  <w:style w:type="paragraph" w:styleId="182">
    <w:name w:val="toc 3"/>
    <w:basedOn w:val="706"/>
    <w:next w:val="706"/>
    <w:uiPriority w:val="39"/>
    <w:unhideWhenUsed/>
    <w:pPr>
      <w:ind w:left="567" w:right="0" w:firstLine="0"/>
      <w:spacing w:after="57"/>
    </w:pPr>
  </w:style>
  <w:style w:type="paragraph" w:styleId="183">
    <w:name w:val="toc 4"/>
    <w:basedOn w:val="706"/>
    <w:next w:val="706"/>
    <w:uiPriority w:val="39"/>
    <w:unhideWhenUsed/>
    <w:pPr>
      <w:ind w:left="850" w:right="0" w:firstLine="0"/>
      <w:spacing w:after="57"/>
    </w:pPr>
  </w:style>
  <w:style w:type="paragraph" w:styleId="184">
    <w:name w:val="toc 5"/>
    <w:basedOn w:val="706"/>
    <w:next w:val="706"/>
    <w:uiPriority w:val="39"/>
    <w:unhideWhenUsed/>
    <w:pPr>
      <w:ind w:left="1134" w:right="0" w:firstLine="0"/>
      <w:spacing w:after="57"/>
    </w:pPr>
  </w:style>
  <w:style w:type="paragraph" w:styleId="185">
    <w:name w:val="toc 6"/>
    <w:basedOn w:val="706"/>
    <w:next w:val="706"/>
    <w:uiPriority w:val="39"/>
    <w:unhideWhenUsed/>
    <w:pPr>
      <w:ind w:left="1417" w:right="0" w:firstLine="0"/>
      <w:spacing w:after="57"/>
    </w:pPr>
  </w:style>
  <w:style w:type="paragraph" w:styleId="186">
    <w:name w:val="toc 7"/>
    <w:basedOn w:val="706"/>
    <w:next w:val="706"/>
    <w:uiPriority w:val="39"/>
    <w:unhideWhenUsed/>
    <w:pPr>
      <w:ind w:left="1701" w:right="0" w:firstLine="0"/>
      <w:spacing w:after="57"/>
    </w:pPr>
  </w:style>
  <w:style w:type="paragraph" w:styleId="187">
    <w:name w:val="toc 8"/>
    <w:basedOn w:val="706"/>
    <w:next w:val="706"/>
    <w:uiPriority w:val="39"/>
    <w:unhideWhenUsed/>
    <w:pPr>
      <w:ind w:left="1984" w:right="0" w:firstLine="0"/>
      <w:spacing w:after="57"/>
    </w:pPr>
  </w:style>
  <w:style w:type="paragraph" w:styleId="188">
    <w:name w:val="toc 9"/>
    <w:basedOn w:val="706"/>
    <w:next w:val="706"/>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6"/>
    <w:next w:val="706"/>
    <w:uiPriority w:val="99"/>
    <w:unhideWhenUsed/>
    <w:pPr>
      <w:spacing w:after="0" w:afterAutospacing="0"/>
    </w:pPr>
  </w:style>
  <w:style w:type="paragraph" w:styleId="706" w:default="1">
    <w:name w:val="Normal"/>
    <w:next w:val="706"/>
    <w:link w:val="706"/>
    <w:qFormat/>
    <w:pPr>
      <w:jc w:val="both"/>
      <w:widowControl w:val="off"/>
    </w:pPr>
    <w:rPr>
      <w:rFonts w:eastAsia="楷体_GB2312"/>
      <w:sz w:val="26"/>
      <w:lang w:val="en-US" w:eastAsia="zh-CN" w:bidi="ar-SA"/>
    </w:rPr>
  </w:style>
  <w:style w:type="paragraph" w:styleId="707">
    <w:name w:val="标题 1"/>
    <w:basedOn w:val="706"/>
    <w:next w:val="706"/>
    <w:link w:val="718"/>
    <w:qFormat/>
    <w:pPr>
      <w:keepLines/>
      <w:keepNext/>
      <w:spacing w:before="340" w:after="330" w:line="578" w:lineRule="auto"/>
      <w:outlineLvl w:val="0"/>
    </w:pPr>
    <w:rPr>
      <w:b/>
      <w:sz w:val="44"/>
    </w:rPr>
  </w:style>
  <w:style w:type="paragraph" w:styleId="708">
    <w:name w:val="标题 2"/>
    <w:basedOn w:val="706"/>
    <w:next w:val="706"/>
    <w:link w:val="719"/>
    <w:qFormat/>
    <w:pPr>
      <w:jc w:val="left"/>
      <w:keepLines/>
      <w:keepNext/>
      <w:outlineLvl w:val="1"/>
    </w:pPr>
    <w:rPr>
      <w:rFonts w:ascii="宋体" w:hAnsi="宋体"/>
      <w:b/>
    </w:rPr>
  </w:style>
  <w:style w:type="paragraph" w:styleId="709">
    <w:name w:val="标题 3"/>
    <w:basedOn w:val="706"/>
    <w:next w:val="706"/>
    <w:link w:val="720"/>
    <w:uiPriority w:val="1"/>
    <w:qFormat/>
    <w:pPr>
      <w:jc w:val="left"/>
      <w:keepLines/>
      <w:keepNext/>
      <w:outlineLvl w:val="2"/>
    </w:pPr>
    <w:rPr>
      <w:b/>
    </w:rPr>
  </w:style>
  <w:style w:type="paragraph" w:styleId="710">
    <w:name w:val="标题 4"/>
    <w:basedOn w:val="706"/>
    <w:next w:val="706"/>
    <w:link w:val="721"/>
    <w:qFormat/>
    <w:pPr>
      <w:keepLines/>
      <w:keepNext/>
      <w:spacing w:before="280" w:after="290" w:line="376" w:lineRule="auto"/>
      <w:outlineLvl w:val="3"/>
    </w:pPr>
    <w:rPr>
      <w:rFonts w:ascii="Arial" w:hAnsi="Arial" w:eastAsia="黑体"/>
      <w:b/>
      <w:bCs/>
      <w:sz w:val="28"/>
      <w:szCs w:val="28"/>
    </w:rPr>
  </w:style>
  <w:style w:type="paragraph" w:styleId="711">
    <w:name w:val="标题 5"/>
    <w:basedOn w:val="706"/>
    <w:next w:val="706"/>
    <w:link w:val="722"/>
    <w:qFormat/>
    <w:pPr>
      <w:jc w:val="left"/>
      <w:keepLines/>
      <w:keepNext/>
      <w:spacing w:before="280" w:after="290" w:line="376" w:lineRule="atLeast"/>
      <w:outlineLvl w:val="4"/>
    </w:pPr>
    <w:rPr>
      <w:rFonts w:ascii="宋体" w:hAnsi="Tms Rmn" w:eastAsia="宋体"/>
      <w:b/>
      <w:sz w:val="28"/>
    </w:rPr>
  </w:style>
  <w:style w:type="paragraph" w:styleId="712">
    <w:name w:val="标题 6"/>
    <w:basedOn w:val="706"/>
    <w:next w:val="706"/>
    <w:link w:val="723"/>
    <w:qFormat/>
    <w:pPr>
      <w:jc w:val="left"/>
      <w:keepLines/>
      <w:keepNext/>
      <w:spacing w:before="240" w:after="64" w:line="320" w:lineRule="atLeast"/>
      <w:outlineLvl w:val="5"/>
    </w:pPr>
    <w:rPr>
      <w:rFonts w:ascii="黑体" w:hAnsi="Tms Rmn" w:eastAsia="黑体"/>
      <w:b/>
      <w:sz w:val="24"/>
    </w:rPr>
  </w:style>
  <w:style w:type="paragraph" w:styleId="713">
    <w:name w:val="标题 7"/>
    <w:basedOn w:val="706"/>
    <w:next w:val="706"/>
    <w:link w:val="724"/>
    <w:qFormat/>
    <w:pPr>
      <w:jc w:val="left"/>
      <w:keepLines/>
      <w:keepNext/>
      <w:spacing w:before="240" w:after="64" w:line="320" w:lineRule="atLeast"/>
      <w:outlineLvl w:val="6"/>
    </w:pPr>
    <w:rPr>
      <w:rFonts w:ascii="宋体" w:hAnsi="Tms Rmn" w:eastAsia="宋体"/>
      <w:b/>
      <w:sz w:val="24"/>
    </w:rPr>
  </w:style>
  <w:style w:type="paragraph" w:styleId="714">
    <w:name w:val="标题 8"/>
    <w:basedOn w:val="706"/>
    <w:next w:val="706"/>
    <w:link w:val="725"/>
    <w:qFormat/>
    <w:pPr>
      <w:keepLines/>
      <w:keepNext/>
      <w:spacing w:before="240" w:after="64" w:line="320" w:lineRule="auto"/>
      <w:outlineLvl w:val="7"/>
    </w:pPr>
    <w:rPr>
      <w:rFonts w:ascii="Arial" w:hAnsi="Arial" w:eastAsia="黑体"/>
      <w:sz w:val="24"/>
      <w:szCs w:val="24"/>
    </w:rPr>
  </w:style>
  <w:style w:type="paragraph" w:styleId="715">
    <w:name w:val="标题 9"/>
    <w:basedOn w:val="706"/>
    <w:next w:val="706"/>
    <w:link w:val="726"/>
    <w:qFormat/>
    <w:pPr>
      <w:keepLines/>
      <w:keepNext/>
      <w:spacing w:before="240" w:after="64" w:line="320" w:lineRule="auto"/>
      <w:outlineLvl w:val="8"/>
    </w:pPr>
    <w:rPr>
      <w:rFonts w:ascii="Arial" w:hAnsi="Arial" w:eastAsia="黑体"/>
      <w:sz w:val="21"/>
      <w:szCs w:val="21"/>
    </w:rPr>
  </w:style>
  <w:style w:type="character" w:styleId="716">
    <w:name w:val="默认段落字体"/>
    <w:next w:val="716"/>
    <w:link w:val="706"/>
    <w:uiPriority w:val="1"/>
    <w:unhideWhenUsed/>
  </w:style>
  <w:style w:type="table" w:styleId="717">
    <w:name w:val="普通表格"/>
    <w:next w:val="717"/>
    <w:link w:val="706"/>
    <w:uiPriority w:val="99"/>
    <w:unhideWhenUsed/>
    <w:qFormat/>
    <w:tblPr/>
  </w:style>
  <w:style w:type="character" w:styleId="718">
    <w:name w:val="标题 1 Char"/>
    <w:next w:val="718"/>
    <w:link w:val="707"/>
    <w:qFormat/>
    <w:rPr>
      <w:rFonts w:ascii="Times New Roman" w:hAnsi="Times New Roman" w:eastAsia="楷体_GB2312" w:cs="Times New Roman"/>
      <w:b/>
      <w:sz w:val="44"/>
      <w:szCs w:val="20"/>
    </w:rPr>
  </w:style>
  <w:style w:type="character" w:styleId="719">
    <w:name w:val="标题 2 Char"/>
    <w:next w:val="719"/>
    <w:link w:val="708"/>
    <w:qFormat/>
    <w:rPr>
      <w:rFonts w:ascii="宋体" w:hAnsi="宋体" w:eastAsia="楷体_GB2312" w:cs="Times New Roman"/>
      <w:b/>
      <w:sz w:val="26"/>
      <w:szCs w:val="20"/>
    </w:rPr>
  </w:style>
  <w:style w:type="character" w:styleId="720">
    <w:name w:val="标题 3 Char"/>
    <w:next w:val="720"/>
    <w:link w:val="709"/>
    <w:uiPriority w:val="1"/>
    <w:qFormat/>
    <w:rPr>
      <w:rFonts w:ascii="Times New Roman" w:hAnsi="Times New Roman" w:eastAsia="楷体_GB2312" w:cs="Times New Roman"/>
      <w:b/>
      <w:sz w:val="26"/>
      <w:szCs w:val="20"/>
    </w:rPr>
  </w:style>
  <w:style w:type="character" w:styleId="721">
    <w:name w:val="标题 4 Char"/>
    <w:next w:val="721"/>
    <w:link w:val="710"/>
    <w:qFormat/>
    <w:rPr>
      <w:rFonts w:ascii="Arial" w:hAnsi="Arial" w:eastAsia="黑体" w:cs="Times New Roman"/>
      <w:b/>
      <w:bCs/>
      <w:sz w:val="28"/>
      <w:szCs w:val="28"/>
    </w:rPr>
  </w:style>
  <w:style w:type="character" w:styleId="722">
    <w:name w:val="标题 5 Char"/>
    <w:next w:val="722"/>
    <w:link w:val="711"/>
    <w:qFormat/>
    <w:rPr>
      <w:rFonts w:ascii="宋体" w:hAnsi="Tms Rmn" w:eastAsia="宋体" w:cs="Times New Roman"/>
      <w:b/>
      <w:sz w:val="28"/>
      <w:szCs w:val="20"/>
    </w:rPr>
  </w:style>
  <w:style w:type="character" w:styleId="723">
    <w:name w:val="标题 6 Char"/>
    <w:next w:val="723"/>
    <w:link w:val="712"/>
    <w:qFormat/>
    <w:rPr>
      <w:rFonts w:ascii="黑体" w:hAnsi="Tms Rmn" w:eastAsia="黑体" w:cs="Times New Roman"/>
      <w:b/>
      <w:sz w:val="24"/>
      <w:szCs w:val="20"/>
    </w:rPr>
  </w:style>
  <w:style w:type="character" w:styleId="724">
    <w:name w:val="标题 7 Char"/>
    <w:next w:val="724"/>
    <w:link w:val="713"/>
    <w:qFormat/>
    <w:rPr>
      <w:rFonts w:ascii="宋体" w:hAnsi="Tms Rmn" w:eastAsia="宋体" w:cs="Times New Roman"/>
      <w:b/>
      <w:sz w:val="24"/>
      <w:szCs w:val="20"/>
    </w:rPr>
  </w:style>
  <w:style w:type="character" w:styleId="725">
    <w:name w:val="标题 8 Char"/>
    <w:next w:val="725"/>
    <w:link w:val="714"/>
    <w:qFormat/>
    <w:rPr>
      <w:rFonts w:ascii="Arial" w:hAnsi="Arial" w:eastAsia="黑体" w:cs="Times New Roman"/>
      <w:sz w:val="24"/>
      <w:szCs w:val="24"/>
    </w:rPr>
  </w:style>
  <w:style w:type="character" w:styleId="726">
    <w:name w:val="标题 9 Char"/>
    <w:next w:val="726"/>
    <w:link w:val="715"/>
    <w:qFormat/>
    <w:rPr>
      <w:rFonts w:ascii="Arial" w:hAnsi="Arial" w:eastAsia="黑体" w:cs="Times New Roman"/>
      <w:szCs w:val="21"/>
    </w:rPr>
  </w:style>
  <w:style w:type="paragraph" w:styleId="727">
    <w:name w:val="目录 7"/>
    <w:basedOn w:val="706"/>
    <w:next w:val="706"/>
    <w:link w:val="706"/>
    <w:uiPriority w:val="39"/>
    <w:qFormat/>
    <w:pPr>
      <w:ind w:left="2520"/>
    </w:pPr>
  </w:style>
  <w:style w:type="paragraph" w:styleId="728">
    <w:name w:val="索引 8"/>
    <w:basedOn w:val="706"/>
    <w:next w:val="706"/>
    <w:link w:val="706"/>
    <w:semiHidden/>
    <w:qFormat/>
    <w:pPr>
      <w:ind w:left="2940"/>
    </w:pPr>
  </w:style>
  <w:style w:type="paragraph" w:styleId="729">
    <w:name w:val="列表编号"/>
    <w:basedOn w:val="706"/>
    <w:next w:val="729"/>
    <w:link w:val="706"/>
    <w:qFormat/>
    <w:pPr>
      <w:ind w:left="1125" w:hanging="555"/>
      <w:tabs>
        <w:tab w:val="left" w:pos="1125" w:leader="none"/>
      </w:tabs>
    </w:pPr>
    <w:rPr>
      <w:rFonts w:eastAsia="宋体"/>
      <w:sz w:val="21"/>
      <w:szCs w:val="24"/>
    </w:rPr>
  </w:style>
  <w:style w:type="paragraph" w:styleId="730">
    <w:name w:val="正文缩进"/>
    <w:basedOn w:val="706"/>
    <w:next w:val="706"/>
    <w:link w:val="731"/>
    <w:qFormat/>
    <w:pPr>
      <w:ind w:firstLine="420"/>
      <w:jc w:val="left"/>
    </w:pPr>
    <w:rPr>
      <w:rFonts w:ascii="Calibri" w:hAnsi="Calibri" w:cs="Times New Roman"/>
      <w:sz w:val="24"/>
      <w:szCs w:val="22"/>
    </w:rPr>
  </w:style>
  <w:style w:type="character" w:styleId="731">
    <w:name w:val="正文缩进 Char"/>
    <w:next w:val="731"/>
    <w:link w:val="730"/>
    <w:qFormat/>
    <w:rPr>
      <w:rFonts w:eastAsia="楷体_GB2312"/>
      <w:sz w:val="24"/>
    </w:rPr>
  </w:style>
  <w:style w:type="paragraph" w:styleId="732">
    <w:name w:val="题注"/>
    <w:basedOn w:val="706"/>
    <w:next w:val="706"/>
    <w:link w:val="706"/>
    <w:qFormat/>
    <w:rPr>
      <w:rFonts w:ascii="Cambria" w:hAnsi="Cambria" w:eastAsia="黑体"/>
      <w:sz w:val="20"/>
    </w:rPr>
  </w:style>
  <w:style w:type="paragraph" w:styleId="733">
    <w:name w:val="索引 5"/>
    <w:basedOn w:val="706"/>
    <w:next w:val="706"/>
    <w:link w:val="706"/>
    <w:semiHidden/>
    <w:qFormat/>
    <w:pPr>
      <w:ind w:left="1680"/>
    </w:pPr>
  </w:style>
  <w:style w:type="paragraph" w:styleId="734">
    <w:name w:val="列表项目符号"/>
    <w:basedOn w:val="707"/>
    <w:next w:val="706"/>
    <w:link w:val="706"/>
    <w:uiPriority w:val="99"/>
    <w:unhideWhenUsed/>
    <w:qFormat/>
    <w:pPr>
      <w:numPr>
        <w:ilvl w:val="0"/>
        <w:numId w:val="1"/>
      </w:numPr>
      <w:tabs>
        <w:tab w:val="left" w:pos="360" w:leader="none"/>
      </w:tabs>
    </w:pPr>
  </w:style>
  <w:style w:type="paragraph" w:styleId="735">
    <w:name w:val="文档结构图"/>
    <w:basedOn w:val="706"/>
    <w:next w:val="735"/>
    <w:link w:val="736"/>
    <w:qFormat/>
    <w:pPr>
      <w:shd w:val="clear" w:color="auto" w:fill="000080"/>
    </w:pPr>
    <w:rPr>
      <w:rFonts w:eastAsia="宋体"/>
      <w:sz w:val="21"/>
    </w:rPr>
  </w:style>
  <w:style w:type="character" w:styleId="736">
    <w:name w:val="文档结构图 Char"/>
    <w:next w:val="736"/>
    <w:link w:val="735"/>
    <w:qFormat/>
    <w:rPr>
      <w:rFonts w:ascii="Times New Roman" w:hAnsi="Times New Roman" w:eastAsia="宋体" w:cs="Times New Roman"/>
      <w:szCs w:val="20"/>
      <w:shd w:val="clear" w:color="auto" w:fill="000080"/>
    </w:rPr>
  </w:style>
  <w:style w:type="paragraph" w:styleId="737">
    <w:name w:val="批注文字"/>
    <w:basedOn w:val="706"/>
    <w:next w:val="737"/>
    <w:link w:val="738"/>
    <w:unhideWhenUsed/>
    <w:qFormat/>
    <w:pPr>
      <w:jc w:val="left"/>
    </w:pPr>
  </w:style>
  <w:style w:type="character" w:styleId="738">
    <w:name w:val="批注文字 Char1"/>
    <w:next w:val="738"/>
    <w:link w:val="737"/>
    <w:uiPriority w:val="99"/>
    <w:qFormat/>
    <w:rPr>
      <w:rFonts w:ascii="Times New Roman" w:hAnsi="Times New Roman" w:eastAsia="楷体_GB2312" w:cs="Times New Roman"/>
      <w:sz w:val="26"/>
      <w:szCs w:val="20"/>
    </w:rPr>
  </w:style>
  <w:style w:type="paragraph" w:styleId="739">
    <w:name w:val="索引 6"/>
    <w:basedOn w:val="706"/>
    <w:next w:val="706"/>
    <w:link w:val="706"/>
    <w:semiHidden/>
    <w:qFormat/>
    <w:pPr>
      <w:ind w:left="2100"/>
    </w:pPr>
  </w:style>
  <w:style w:type="paragraph" w:styleId="740">
    <w:name w:val="正文文本 3"/>
    <w:basedOn w:val="706"/>
    <w:next w:val="740"/>
    <w:link w:val="741"/>
    <w:qFormat/>
    <w:rPr>
      <w:rFonts w:ascii="宋体" w:eastAsia="宋体"/>
      <w:sz w:val="24"/>
    </w:rPr>
  </w:style>
  <w:style w:type="character" w:styleId="741">
    <w:name w:val="正文文本 3 Char"/>
    <w:next w:val="741"/>
    <w:link w:val="740"/>
    <w:qFormat/>
    <w:rPr>
      <w:rFonts w:ascii="宋体"/>
      <w:sz w:val="24"/>
    </w:rPr>
  </w:style>
  <w:style w:type="paragraph" w:styleId="742">
    <w:name w:val="正文文本"/>
    <w:basedOn w:val="706"/>
    <w:next w:val="742"/>
    <w:link w:val="743"/>
    <w:qFormat/>
    <w:pPr>
      <w:spacing w:line="400" w:lineRule="exact"/>
    </w:pPr>
    <w:rPr>
      <w:rFonts w:ascii="楷体_GB2312" w:hAnsi="Calibri" w:cs="Times New Roman"/>
      <w:sz w:val="28"/>
      <w:szCs w:val="22"/>
    </w:rPr>
  </w:style>
  <w:style w:type="character" w:styleId="743">
    <w:name w:val="正文文本 Char"/>
    <w:next w:val="743"/>
    <w:link w:val="742"/>
    <w:qFormat/>
    <w:rPr>
      <w:rFonts w:ascii="楷体_GB2312" w:eastAsia="楷体_GB2312"/>
      <w:sz w:val="28"/>
    </w:rPr>
  </w:style>
  <w:style w:type="paragraph" w:styleId="744">
    <w:name w:val="正文文本缩进"/>
    <w:basedOn w:val="706"/>
    <w:next w:val="746"/>
    <w:link w:val="745"/>
    <w:uiPriority w:val="99"/>
    <w:qFormat/>
    <w:pPr>
      <w:ind w:left="570"/>
      <w:spacing w:line="520" w:lineRule="exact"/>
    </w:pPr>
    <w:rPr>
      <w:rFonts w:ascii="方正仿宋简体" w:hAnsi="创艺简仿宋" w:eastAsia="方正仿宋简体" w:cs="Times New Roman"/>
      <w:sz w:val="24"/>
      <w:szCs w:val="22"/>
    </w:rPr>
  </w:style>
  <w:style w:type="character" w:styleId="745">
    <w:name w:val="正文文本缩进 Char"/>
    <w:next w:val="745"/>
    <w:link w:val="744"/>
    <w:uiPriority w:val="99"/>
    <w:qFormat/>
    <w:rPr>
      <w:rFonts w:ascii="方正仿宋简体" w:hAnsi="创艺简仿宋" w:eastAsia="方正仿宋简体"/>
      <w:sz w:val="24"/>
    </w:rPr>
  </w:style>
  <w:style w:type="paragraph" w:styleId="746">
    <w:name w:val="目录 51"/>
    <w:next w:val="706"/>
    <w:link w:val="706"/>
    <w:qFormat/>
    <w:pPr>
      <w:ind w:left="1275"/>
      <w:jc w:val="both"/>
    </w:pPr>
    <w:rPr>
      <w:sz w:val="21"/>
      <w:lang w:val="en-US" w:eastAsia="zh-CN" w:bidi="ar-SA"/>
    </w:rPr>
  </w:style>
  <w:style w:type="paragraph" w:styleId="747">
    <w:name w:val="列表 2"/>
    <w:basedOn w:val="706"/>
    <w:next w:val="747"/>
    <w:link w:val="706"/>
    <w:qFormat/>
    <w:pPr>
      <w:ind w:left="840" w:hanging="420"/>
    </w:pPr>
    <w:rPr>
      <w:rFonts w:eastAsia="宋体"/>
      <w:sz w:val="21"/>
      <w:szCs w:val="24"/>
    </w:rPr>
  </w:style>
  <w:style w:type="paragraph" w:styleId="748">
    <w:name w:val="列表接续"/>
    <w:basedOn w:val="706"/>
    <w:next w:val="748"/>
    <w:link w:val="706"/>
    <w:qFormat/>
    <w:pPr>
      <w:ind w:left="420"/>
      <w:jc w:val="left"/>
      <w:spacing w:after="120"/>
      <w:widowControl/>
    </w:pPr>
    <w:rPr>
      <w:sz w:val="20"/>
      <w:szCs w:val="20"/>
    </w:rPr>
  </w:style>
  <w:style w:type="paragraph" w:styleId="749">
    <w:name w:val="文本块"/>
    <w:basedOn w:val="706"/>
    <w:next w:val="749"/>
    <w:link w:val="706"/>
    <w:qFormat/>
    <w:pPr>
      <w:ind w:left="630" w:right="-609" w:firstLine="420"/>
      <w:spacing w:line="360" w:lineRule="auto"/>
    </w:pPr>
    <w:rPr>
      <w:rFonts w:hint="eastAsia" w:ascii="仿宋_GB2312" w:eastAsia="仿宋_GB2312"/>
      <w:sz w:val="21"/>
    </w:rPr>
  </w:style>
  <w:style w:type="paragraph" w:styleId="750">
    <w:name w:val="索引 4"/>
    <w:basedOn w:val="706"/>
    <w:next w:val="706"/>
    <w:link w:val="706"/>
    <w:qFormat/>
    <w:pPr>
      <w:ind w:left="1260"/>
    </w:pPr>
  </w:style>
  <w:style w:type="paragraph" w:styleId="751">
    <w:name w:val="目录 5"/>
    <w:basedOn w:val="706"/>
    <w:next w:val="706"/>
    <w:link w:val="706"/>
    <w:uiPriority w:val="39"/>
    <w:qFormat/>
    <w:pPr>
      <w:ind w:left="1680"/>
    </w:pPr>
  </w:style>
  <w:style w:type="paragraph" w:styleId="752">
    <w:name w:val="目录 3"/>
    <w:basedOn w:val="706"/>
    <w:next w:val="706"/>
    <w:link w:val="706"/>
    <w:uiPriority w:val="39"/>
    <w:qFormat/>
    <w:pPr>
      <w:ind w:left="840"/>
    </w:pPr>
  </w:style>
  <w:style w:type="paragraph" w:styleId="753">
    <w:name w:val="纯文本"/>
    <w:basedOn w:val="706"/>
    <w:next w:val="753"/>
    <w:link w:val="754"/>
    <w:qFormat/>
    <w:rPr>
      <w:rFonts w:ascii="宋体" w:hAnsi="Courier New" w:cs="Times New Roman"/>
      <w:szCs w:val="22"/>
    </w:rPr>
  </w:style>
  <w:style w:type="character" w:styleId="754">
    <w:name w:val="纯文本 Char"/>
    <w:next w:val="754"/>
    <w:link w:val="753"/>
    <w:qFormat/>
    <w:rPr>
      <w:rFonts w:ascii="宋体" w:hAnsi="Courier New" w:eastAsia="楷体_GB2312"/>
      <w:sz w:val="26"/>
    </w:rPr>
  </w:style>
  <w:style w:type="paragraph" w:styleId="755">
    <w:name w:val="目录 8"/>
    <w:basedOn w:val="706"/>
    <w:next w:val="706"/>
    <w:link w:val="706"/>
    <w:uiPriority w:val="39"/>
    <w:qFormat/>
    <w:pPr>
      <w:ind w:left="2940"/>
    </w:pPr>
  </w:style>
  <w:style w:type="paragraph" w:styleId="756">
    <w:name w:val="索引 3"/>
    <w:basedOn w:val="706"/>
    <w:next w:val="706"/>
    <w:link w:val="706"/>
    <w:semiHidden/>
    <w:qFormat/>
    <w:pPr>
      <w:ind w:left="840"/>
    </w:pPr>
  </w:style>
  <w:style w:type="paragraph" w:styleId="757">
    <w:name w:val="日期"/>
    <w:basedOn w:val="706"/>
    <w:next w:val="706"/>
    <w:link w:val="758"/>
    <w:qFormat/>
    <w:rPr>
      <w:rFonts w:ascii="宋体" w:hAnsi="宋体"/>
      <w:sz w:val="24"/>
    </w:rPr>
  </w:style>
  <w:style w:type="character" w:styleId="758">
    <w:name w:val="日期 Char"/>
    <w:next w:val="758"/>
    <w:link w:val="757"/>
    <w:qFormat/>
    <w:rPr>
      <w:rFonts w:ascii="宋体" w:hAnsi="宋体" w:eastAsia="楷体_GB2312" w:cs="Times New Roman"/>
      <w:sz w:val="24"/>
      <w:szCs w:val="20"/>
    </w:rPr>
  </w:style>
  <w:style w:type="paragraph" w:styleId="759">
    <w:name w:val="正文文本缩进 2"/>
    <w:basedOn w:val="706"/>
    <w:next w:val="759"/>
    <w:link w:val="760"/>
    <w:qFormat/>
    <w:pPr>
      <w:ind w:firstLine="502"/>
      <w:spacing w:line="360" w:lineRule="auto"/>
      <w:tabs>
        <w:tab w:val="left" w:pos="0" w:leader="none"/>
      </w:tabs>
    </w:pPr>
    <w:rPr>
      <w:rFonts w:ascii="宋体" w:hAnsi="Calibri" w:eastAsia="宋体" w:cs="Times New Roman"/>
      <w:b/>
      <w:bCs/>
      <w:sz w:val="24"/>
      <w:szCs w:val="22"/>
    </w:rPr>
  </w:style>
  <w:style w:type="character" w:styleId="760">
    <w:name w:val="正文文本缩进 2 Char"/>
    <w:next w:val="760"/>
    <w:link w:val="759"/>
    <w:qFormat/>
    <w:rPr>
      <w:rFonts w:ascii="宋体"/>
      <w:b/>
      <w:bCs/>
      <w:sz w:val="24"/>
    </w:rPr>
  </w:style>
  <w:style w:type="paragraph" w:styleId="761">
    <w:name w:val="批注框文本"/>
    <w:basedOn w:val="706"/>
    <w:next w:val="761"/>
    <w:link w:val="762"/>
    <w:qFormat/>
    <w:rPr>
      <w:sz w:val="18"/>
      <w:szCs w:val="18"/>
    </w:rPr>
  </w:style>
  <w:style w:type="character" w:styleId="762">
    <w:name w:val="批注框文本 Char"/>
    <w:next w:val="762"/>
    <w:link w:val="761"/>
    <w:qFormat/>
    <w:rPr>
      <w:rFonts w:ascii="Times New Roman" w:hAnsi="Times New Roman" w:eastAsia="楷体_GB2312" w:cs="Times New Roman"/>
      <w:sz w:val="18"/>
      <w:szCs w:val="18"/>
    </w:rPr>
  </w:style>
  <w:style w:type="paragraph" w:styleId="763">
    <w:name w:val="页脚"/>
    <w:basedOn w:val="706"/>
    <w:next w:val="763"/>
    <w:link w:val="764"/>
    <w:uiPriority w:val="99"/>
    <w:qFormat/>
    <w:pPr>
      <w:jc w:val="left"/>
      <w:tabs>
        <w:tab w:val="center" w:pos="4153" w:leader="none"/>
        <w:tab w:val="right" w:pos="8306" w:leader="none"/>
      </w:tabs>
    </w:pPr>
    <w:rPr>
      <w:sz w:val="18"/>
    </w:rPr>
  </w:style>
  <w:style w:type="character" w:styleId="764">
    <w:name w:val="页脚 Char"/>
    <w:next w:val="764"/>
    <w:link w:val="763"/>
    <w:uiPriority w:val="99"/>
    <w:qFormat/>
    <w:rPr>
      <w:rFonts w:ascii="Times New Roman" w:hAnsi="Times New Roman" w:eastAsia="楷体_GB2312" w:cs="Times New Roman"/>
      <w:sz w:val="18"/>
      <w:szCs w:val="20"/>
    </w:rPr>
  </w:style>
  <w:style w:type="paragraph" w:styleId="765">
    <w:name w:val="寄信人地址"/>
    <w:basedOn w:val="706"/>
    <w:next w:val="765"/>
    <w:link w:val="706"/>
    <w:qFormat/>
    <w:rPr>
      <w:rFonts w:ascii="Arial" w:hAnsi="Arial"/>
    </w:rPr>
  </w:style>
  <w:style w:type="paragraph" w:styleId="766">
    <w:name w:val="页眉"/>
    <w:basedOn w:val="706"/>
    <w:next w:val="766"/>
    <w:link w:val="767"/>
    <w:uiPriority w:val="99"/>
    <w:qFormat/>
    <w:pPr>
      <w:jc w:val="center"/>
      <w:tabs>
        <w:tab w:val="center" w:pos="4153" w:leader="none"/>
        <w:tab w:val="right" w:pos="8306" w:leader="none"/>
      </w:tabs>
      <w:pBdr>
        <w:bottom w:val="single" w:color="000000" w:sz="6" w:space="1"/>
      </w:pBdr>
    </w:pPr>
    <w:rPr>
      <w:sz w:val="18"/>
    </w:rPr>
  </w:style>
  <w:style w:type="character" w:styleId="767">
    <w:name w:val="页眉 Char"/>
    <w:next w:val="767"/>
    <w:link w:val="766"/>
    <w:uiPriority w:val="99"/>
    <w:qFormat/>
    <w:rPr>
      <w:rFonts w:ascii="Times New Roman" w:hAnsi="Times New Roman" w:eastAsia="楷体_GB2312" w:cs="Times New Roman"/>
      <w:sz w:val="18"/>
      <w:szCs w:val="20"/>
    </w:rPr>
  </w:style>
  <w:style w:type="paragraph" w:styleId="768">
    <w:name w:val="目录 1"/>
    <w:basedOn w:val="706"/>
    <w:next w:val="706"/>
    <w:link w:val="706"/>
    <w:qFormat/>
    <w:pPr>
      <w:jc w:val="left"/>
    </w:pPr>
    <w:rPr>
      <w:sz w:val="24"/>
    </w:rPr>
  </w:style>
  <w:style w:type="paragraph" w:styleId="769">
    <w:name w:val="目录 4"/>
    <w:basedOn w:val="706"/>
    <w:next w:val="706"/>
    <w:link w:val="706"/>
    <w:uiPriority w:val="39"/>
    <w:qFormat/>
    <w:pPr>
      <w:ind w:left="1260"/>
    </w:pPr>
  </w:style>
  <w:style w:type="paragraph" w:styleId="770">
    <w:name w:val="索引标题"/>
    <w:basedOn w:val="706"/>
    <w:next w:val="771"/>
    <w:link w:val="706"/>
    <w:semiHidden/>
    <w:qFormat/>
  </w:style>
  <w:style w:type="paragraph" w:styleId="771">
    <w:name w:val="索引 1"/>
    <w:basedOn w:val="706"/>
    <w:next w:val="706"/>
    <w:link w:val="706"/>
    <w:semiHidden/>
    <w:qFormat/>
  </w:style>
  <w:style w:type="paragraph" w:styleId="772">
    <w:name w:val="副标题"/>
    <w:basedOn w:val="706"/>
    <w:next w:val="706"/>
    <w:link w:val="773"/>
    <w:qFormat/>
    <w:pPr>
      <w:jc w:val="center"/>
      <w:spacing w:before="240" w:after="60" w:line="312" w:lineRule="auto"/>
      <w:outlineLvl w:val="1"/>
    </w:pPr>
    <w:rPr>
      <w:rFonts w:ascii="Cambria" w:hAnsi="Cambria" w:eastAsia="宋体"/>
      <w:b/>
      <w:bCs/>
      <w:sz w:val="32"/>
      <w:szCs w:val="32"/>
    </w:rPr>
  </w:style>
  <w:style w:type="character" w:styleId="773">
    <w:name w:val="副标题 Char"/>
    <w:next w:val="773"/>
    <w:link w:val="772"/>
    <w:qFormat/>
    <w:rPr>
      <w:rFonts w:ascii="Cambria" w:hAnsi="Cambria" w:eastAsia="宋体" w:cs="Times New Roman"/>
      <w:b/>
      <w:bCs/>
      <w:sz w:val="32"/>
      <w:szCs w:val="32"/>
    </w:rPr>
  </w:style>
  <w:style w:type="paragraph" w:styleId="774">
    <w:name w:val="列表"/>
    <w:basedOn w:val="706"/>
    <w:next w:val="774"/>
    <w:link w:val="706"/>
    <w:qFormat/>
    <w:pPr>
      <w:ind w:left="420" w:hanging="420"/>
    </w:pPr>
    <w:rPr>
      <w:rFonts w:eastAsia="宋体"/>
      <w:sz w:val="21"/>
      <w:szCs w:val="24"/>
    </w:rPr>
  </w:style>
  <w:style w:type="paragraph" w:styleId="775">
    <w:name w:val="脚注文本"/>
    <w:basedOn w:val="706"/>
    <w:next w:val="775"/>
    <w:link w:val="776"/>
    <w:qFormat/>
    <w:pPr>
      <w:jc w:val="left"/>
    </w:pPr>
    <w:rPr>
      <w:sz w:val="18"/>
    </w:rPr>
  </w:style>
  <w:style w:type="character" w:styleId="776">
    <w:name w:val="脚注文本 Char"/>
    <w:next w:val="776"/>
    <w:link w:val="775"/>
    <w:qFormat/>
    <w:rPr>
      <w:rFonts w:ascii="Times New Roman" w:hAnsi="Times New Roman" w:eastAsia="楷体_GB2312" w:cs="Times New Roman"/>
      <w:sz w:val="18"/>
      <w:szCs w:val="20"/>
    </w:rPr>
  </w:style>
  <w:style w:type="paragraph" w:styleId="777">
    <w:name w:val="目录 6"/>
    <w:basedOn w:val="706"/>
    <w:next w:val="706"/>
    <w:link w:val="706"/>
    <w:uiPriority w:val="39"/>
    <w:qFormat/>
    <w:pPr>
      <w:ind w:left="2100"/>
    </w:pPr>
  </w:style>
  <w:style w:type="paragraph" w:styleId="778">
    <w:name w:val="正文文本缩进 3"/>
    <w:basedOn w:val="706"/>
    <w:next w:val="778"/>
    <w:link w:val="779"/>
    <w:qFormat/>
    <w:pPr>
      <w:ind w:firstLine="617"/>
      <w:spacing w:line="360" w:lineRule="auto"/>
    </w:pPr>
    <w:rPr>
      <w:rFonts w:eastAsia="宋体"/>
      <w:sz w:val="24"/>
      <w:szCs w:val="24"/>
    </w:rPr>
  </w:style>
  <w:style w:type="character" w:styleId="779">
    <w:name w:val="正文文本缩进 3 Char"/>
    <w:next w:val="779"/>
    <w:link w:val="778"/>
    <w:qFormat/>
    <w:rPr>
      <w:rFonts w:ascii="Times New Roman" w:hAnsi="Times New Roman" w:eastAsia="宋体" w:cs="Times New Roman"/>
      <w:sz w:val="24"/>
      <w:szCs w:val="24"/>
    </w:rPr>
  </w:style>
  <w:style w:type="paragraph" w:styleId="780">
    <w:name w:val="索引 7"/>
    <w:basedOn w:val="706"/>
    <w:next w:val="706"/>
    <w:link w:val="706"/>
    <w:semiHidden/>
    <w:qFormat/>
    <w:pPr>
      <w:ind w:left="2520"/>
    </w:pPr>
  </w:style>
  <w:style w:type="paragraph" w:styleId="781">
    <w:name w:val="索引 9"/>
    <w:basedOn w:val="706"/>
    <w:next w:val="706"/>
    <w:link w:val="706"/>
    <w:semiHidden/>
    <w:qFormat/>
    <w:pPr>
      <w:ind w:left="3360"/>
    </w:pPr>
  </w:style>
  <w:style w:type="paragraph" w:styleId="782">
    <w:name w:val="图表目录"/>
    <w:basedOn w:val="706"/>
    <w:next w:val="706"/>
    <w:link w:val="706"/>
    <w:semiHidden/>
    <w:qFormat/>
    <w:pPr>
      <w:ind w:left="420" w:hanging="420"/>
      <w:jc w:val="left"/>
    </w:pPr>
    <w:rPr>
      <w:smallCaps/>
      <w:sz w:val="24"/>
    </w:rPr>
  </w:style>
  <w:style w:type="paragraph" w:styleId="783">
    <w:name w:val="目录 2"/>
    <w:basedOn w:val="706"/>
    <w:next w:val="706"/>
    <w:link w:val="706"/>
    <w:uiPriority w:val="39"/>
    <w:qFormat/>
    <w:pPr>
      <w:ind w:left="420"/>
    </w:pPr>
  </w:style>
  <w:style w:type="paragraph" w:styleId="784">
    <w:name w:val="目录 9"/>
    <w:basedOn w:val="706"/>
    <w:next w:val="706"/>
    <w:link w:val="706"/>
    <w:uiPriority w:val="39"/>
    <w:qFormat/>
    <w:pPr>
      <w:ind w:left="3360"/>
    </w:pPr>
  </w:style>
  <w:style w:type="paragraph" w:styleId="785">
    <w:name w:val="正文文本 2"/>
    <w:basedOn w:val="707"/>
    <w:next w:val="734"/>
    <w:link w:val="786"/>
    <w:qFormat/>
    <w:pPr>
      <w:spacing w:after="120" w:line="480" w:lineRule="auto"/>
    </w:pPr>
  </w:style>
  <w:style w:type="character" w:styleId="786">
    <w:name w:val="正文文本 2 Char"/>
    <w:next w:val="786"/>
    <w:link w:val="785"/>
    <w:qFormat/>
    <w:rPr>
      <w:rFonts w:ascii="Times New Roman" w:hAnsi="Times New Roman" w:eastAsia="楷体_GB2312" w:cs="Times New Roman"/>
      <w:sz w:val="26"/>
      <w:szCs w:val="20"/>
    </w:rPr>
  </w:style>
  <w:style w:type="paragraph" w:styleId="787">
    <w:name w:val="HTML 预设格式"/>
    <w:basedOn w:val="706"/>
    <w:next w:val="787"/>
    <w:link w:val="78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1"/>
      <w:szCs w:val="22"/>
    </w:rPr>
  </w:style>
  <w:style w:type="character" w:styleId="788">
    <w:name w:val="HTML 预设格式 Char"/>
    <w:next w:val="788"/>
    <w:link w:val="787"/>
    <w:uiPriority w:val="99"/>
    <w:qFormat/>
    <w:rPr>
      <w:rFonts w:ascii="黑体" w:hAnsi="Courier New" w:eastAsia="黑体" w:cs="楷体_GB2312"/>
    </w:rPr>
  </w:style>
  <w:style w:type="paragraph" w:styleId="789">
    <w:name w:val="普通(网站)"/>
    <w:basedOn w:val="706"/>
    <w:next w:val="789"/>
    <w:link w:val="706"/>
    <w:qFormat/>
    <w:pPr>
      <w:jc w:val="left"/>
      <w:spacing w:before="100" w:beforeAutospacing="1" w:after="100" w:afterAutospacing="1"/>
      <w:widowControl/>
    </w:pPr>
    <w:rPr>
      <w:rFonts w:ascii="宋体" w:hAnsi="宋体" w:eastAsia="宋体" w:cs="宋体"/>
      <w:sz w:val="24"/>
      <w:szCs w:val="24"/>
    </w:rPr>
  </w:style>
  <w:style w:type="paragraph" w:styleId="790">
    <w:name w:val="索引 2"/>
    <w:basedOn w:val="706"/>
    <w:next w:val="706"/>
    <w:link w:val="706"/>
    <w:semiHidden/>
    <w:qFormat/>
    <w:pPr>
      <w:ind w:left="420"/>
    </w:pPr>
  </w:style>
  <w:style w:type="paragraph" w:styleId="791">
    <w:name w:val="标题"/>
    <w:basedOn w:val="706"/>
    <w:next w:val="791"/>
    <w:link w:val="792"/>
    <w:qFormat/>
    <w:pPr>
      <w:numPr>
        <w:ilvl w:val="3"/>
        <w:numId w:val="2"/>
      </w:numPr>
      <w:jc w:val="center"/>
      <w:spacing w:before="240" w:after="60" w:line="360" w:lineRule="atLeast"/>
      <w:tabs>
        <w:tab w:val="left" w:pos="851" w:leader="none"/>
        <w:tab w:val="left" w:pos="2560" w:leader="none"/>
      </w:tabs>
      <w:outlineLvl w:val="0"/>
    </w:pPr>
    <w:rPr>
      <w:rFonts w:ascii="Arial" w:hAnsi="Arial" w:eastAsia="宋体" w:cs="Times New Roman"/>
      <w:b/>
      <w:sz w:val="32"/>
      <w:szCs w:val="22"/>
    </w:rPr>
  </w:style>
  <w:style w:type="character" w:styleId="792">
    <w:name w:val="标题 Char"/>
    <w:next w:val="792"/>
    <w:link w:val="791"/>
    <w:qFormat/>
    <w:rPr>
      <w:rFonts w:ascii="Arial" w:hAnsi="Arial"/>
      <w:b/>
      <w:sz w:val="32"/>
    </w:rPr>
  </w:style>
  <w:style w:type="paragraph" w:styleId="793">
    <w:name w:val="批注主题"/>
    <w:basedOn w:val="737"/>
    <w:next w:val="737"/>
    <w:link w:val="794"/>
    <w:qFormat/>
    <w:rPr>
      <w:b/>
      <w:bCs/>
    </w:rPr>
  </w:style>
  <w:style w:type="character" w:styleId="794">
    <w:name w:val="批注主题 Char"/>
    <w:next w:val="794"/>
    <w:link w:val="793"/>
    <w:qFormat/>
    <w:rPr>
      <w:rFonts w:ascii="Times New Roman" w:hAnsi="Times New Roman" w:eastAsia="楷体_GB2312" w:cs="Times New Roman"/>
      <w:b/>
      <w:bCs/>
      <w:sz w:val="26"/>
      <w:szCs w:val="20"/>
    </w:rPr>
  </w:style>
  <w:style w:type="paragraph" w:styleId="795">
    <w:name w:val="正文首行缩进"/>
    <w:basedOn w:val="742"/>
    <w:next w:val="795"/>
    <w:link w:val="796"/>
    <w:qFormat/>
    <w:pPr>
      <w:ind w:firstLine="420"/>
      <w:spacing w:after="120" w:line="240" w:lineRule="auto"/>
    </w:pPr>
    <w:rPr>
      <w:rFonts w:ascii="Times New Roman"/>
      <w:sz w:val="26"/>
    </w:rPr>
  </w:style>
  <w:style w:type="character" w:styleId="796">
    <w:name w:val="正文首行缩进 Char"/>
    <w:next w:val="796"/>
    <w:link w:val="795"/>
    <w:qFormat/>
    <w:rPr>
      <w:rFonts w:ascii="Times New Roman" w:hAnsi="Times New Roman" w:eastAsia="楷体_GB2312" w:cs="Times New Roman"/>
      <w:sz w:val="26"/>
      <w:szCs w:val="20"/>
    </w:rPr>
  </w:style>
  <w:style w:type="paragraph" w:styleId="797">
    <w:name w:val="正文首行缩进 2"/>
    <w:basedOn w:val="744"/>
    <w:next w:val="706"/>
    <w:link w:val="798"/>
    <w:qFormat/>
    <w:pPr>
      <w:ind w:left="0" w:firstLine="420"/>
      <w:spacing w:after="120" w:line="240" w:lineRule="auto"/>
    </w:pPr>
    <w:rPr>
      <w:rFonts w:ascii="Times New Roman" w:hAnsi="Times New Roman" w:eastAsia="宋体" w:cs="Times New Roman"/>
      <w:sz w:val="20"/>
      <w:szCs w:val="20"/>
    </w:rPr>
  </w:style>
  <w:style w:type="character" w:styleId="798">
    <w:name w:val="正文首行缩进 2 Char"/>
    <w:next w:val="798"/>
    <w:link w:val="797"/>
    <w:qFormat/>
  </w:style>
  <w:style w:type="table" w:styleId="799">
    <w:name w:val="网格型"/>
    <w:basedOn w:val="717"/>
    <w:next w:val="799"/>
    <w:link w:val="706"/>
    <w:unhideWhenUsed/>
    <w:qFormat/>
    <w:tblPr/>
  </w:style>
  <w:style w:type="character" w:styleId="800">
    <w:name w:val="要点"/>
    <w:basedOn w:val="716"/>
    <w:next w:val="800"/>
    <w:link w:val="706"/>
    <w:qFormat/>
    <w:rPr>
      <w:b/>
      <w:bCs/>
    </w:rPr>
  </w:style>
  <w:style w:type="character" w:styleId="801">
    <w:name w:val="页码"/>
    <w:next w:val="801"/>
    <w:link w:val="706"/>
    <w:qFormat/>
  </w:style>
  <w:style w:type="character" w:styleId="802">
    <w:name w:val="已访问的超链接"/>
    <w:next w:val="802"/>
    <w:link w:val="706"/>
    <w:uiPriority w:val="99"/>
    <w:unhideWhenUsed/>
    <w:qFormat/>
    <w:rPr>
      <w:color w:val="333333"/>
      <w:u w:val="none"/>
    </w:rPr>
  </w:style>
  <w:style w:type="character" w:styleId="803">
    <w:name w:val="强调"/>
    <w:basedOn w:val="716"/>
    <w:next w:val="803"/>
    <w:link w:val="706"/>
    <w:qFormat/>
    <w:rPr>
      <w:color w:val="cc0000"/>
    </w:rPr>
  </w:style>
  <w:style w:type="character" w:styleId="804">
    <w:name w:val="超链接"/>
    <w:next w:val="804"/>
    <w:link w:val="706"/>
    <w:uiPriority w:val="99"/>
    <w:qFormat/>
    <w:rPr>
      <w:color w:val="333333"/>
      <w:u w:val="none"/>
    </w:rPr>
  </w:style>
  <w:style w:type="character" w:styleId="805">
    <w:name w:val="批注引用"/>
    <w:next w:val="805"/>
    <w:link w:val="706"/>
    <w:uiPriority w:val="99"/>
    <w:qFormat/>
    <w:rPr>
      <w:sz w:val="21"/>
      <w:szCs w:val="21"/>
    </w:rPr>
  </w:style>
  <w:style w:type="character" w:styleId="806">
    <w:name w:val="脚注引用"/>
    <w:next w:val="806"/>
    <w:link w:val="706"/>
    <w:semiHidden/>
    <w:qFormat/>
    <w:rPr>
      <w:vertAlign w:val="superscript"/>
    </w:rPr>
  </w:style>
  <w:style w:type="paragraph" w:styleId="807">
    <w:name w:val="段"/>
    <w:next w:val="808"/>
    <w:link w:val="706"/>
    <w:qFormat/>
    <w:pPr>
      <w:ind w:firstLine="200"/>
      <w:jc w:val="both"/>
    </w:pPr>
    <w:rPr>
      <w:rFonts w:ascii="宋体"/>
      <w:sz w:val="21"/>
      <w:lang w:val="en-US" w:eastAsia="zh-CN" w:bidi="ar-SA"/>
    </w:rPr>
  </w:style>
  <w:style w:type="paragraph" w:styleId="808">
    <w:name w:val="正文_1_0"/>
    <w:next w:val="807"/>
    <w:link w:val="706"/>
    <w:qFormat/>
    <w:pPr>
      <w:jc w:val="both"/>
      <w:widowControl w:val="off"/>
    </w:pPr>
    <w:rPr>
      <w:sz w:val="21"/>
      <w:szCs w:val="22"/>
      <w:lang w:val="en-US" w:eastAsia="zh-CN" w:bidi="ar-SA"/>
    </w:rPr>
  </w:style>
  <w:style w:type="paragraph" w:styleId="809">
    <w:name w:val="正文文本1"/>
    <w:basedOn w:val="706"/>
    <w:next w:val="809"/>
    <w:link w:val="706"/>
    <w:qFormat/>
    <w:pPr>
      <w:jc w:val="center"/>
    </w:pPr>
    <w:rPr>
      <w:rFonts w:ascii="方正大黑简体" w:hAnsi="Tahoma" w:eastAsia="方正大黑简体" w:cs="Times New Roman"/>
      <w:position w:val="6"/>
      <w:sz w:val="30"/>
      <w:szCs w:val="20"/>
      <w:lang w:eastAsia="en-US"/>
    </w:rPr>
  </w:style>
  <w:style w:type="character" w:styleId="810">
    <w:name w:val="正文文本 Char1"/>
    <w:next w:val="810"/>
    <w:link w:val="706"/>
    <w:qFormat/>
    <w:rPr>
      <w:rFonts w:ascii="Times New Roman" w:hAnsi="Times New Roman" w:eastAsia="楷体_GB2312" w:cs="Times New Roman"/>
      <w:sz w:val="26"/>
      <w:szCs w:val="20"/>
    </w:rPr>
  </w:style>
  <w:style w:type="paragraph" w:styleId="811">
    <w:name w:val="Default"/>
    <w:next w:val="811"/>
    <w:link w:val="706"/>
    <w:qFormat/>
    <w:pPr>
      <w:widowControl w:val="off"/>
    </w:pPr>
    <w:rPr>
      <w:rFonts w:ascii="宋体" w:hAnsi="Calibri" w:cs="宋体"/>
      <w:color w:val="000000"/>
      <w:sz w:val="24"/>
      <w:szCs w:val="24"/>
      <w:lang w:val="en-US" w:eastAsia="zh-CN" w:bidi="ar-SA"/>
    </w:rPr>
  </w:style>
  <w:style w:type="paragraph" w:styleId="812">
    <w:name w:val="_Style 21"/>
    <w:next w:val="812"/>
    <w:link w:val="706"/>
    <w:qFormat/>
    <w:pPr>
      <w:jc w:val="both"/>
      <w:widowControl w:val="off"/>
    </w:pPr>
    <w:rPr>
      <w:rFonts w:eastAsia="楷体_GB2312"/>
      <w:sz w:val="26"/>
      <w:lang w:val="en-US" w:eastAsia="zh-CN" w:bidi="ar-SA"/>
    </w:rPr>
  </w:style>
  <w:style w:type="character" w:styleId="813">
    <w:name w:val="样式 首行缩进:  2 字符 Char"/>
    <w:next w:val="813"/>
    <w:link w:val="814"/>
    <w:qFormat/>
    <w:rPr>
      <w:rFonts w:eastAsia="仿宋_GB2312"/>
      <w:sz w:val="24"/>
    </w:rPr>
  </w:style>
  <w:style w:type="paragraph" w:styleId="814">
    <w:name w:val="样式 首行缩进:  2 字符"/>
    <w:basedOn w:val="706"/>
    <w:next w:val="814"/>
    <w:link w:val="813"/>
    <w:qFormat/>
    <w:pPr>
      <w:ind w:firstLine="560"/>
      <w:spacing w:line="360" w:lineRule="auto"/>
    </w:pPr>
    <w:rPr>
      <w:rFonts w:ascii="Calibri" w:hAnsi="Calibri" w:eastAsia="仿宋_GB2312" w:cs="Times New Roman"/>
      <w:sz w:val="24"/>
      <w:szCs w:val="22"/>
    </w:rPr>
  </w:style>
  <w:style w:type="character" w:styleId="815">
    <w:name w:val="批注文字 Char"/>
    <w:next w:val="815"/>
    <w:link w:val="706"/>
    <w:qFormat/>
    <w:rPr>
      <w:rFonts w:eastAsia="楷体_GB2312"/>
      <w:sz w:val="26"/>
    </w:rPr>
  </w:style>
  <w:style w:type="character" w:styleId="816">
    <w:name w:val="列出段落 Char"/>
    <w:next w:val="816"/>
    <w:link w:val="817"/>
    <w:uiPriority w:val="99"/>
    <w:qFormat/>
    <w:rPr>
      <w:rFonts w:eastAsia="楷体_GB2312"/>
      <w:sz w:val="26"/>
    </w:rPr>
  </w:style>
  <w:style w:type="paragraph" w:styleId="817">
    <w:name w:val="列出段落1"/>
    <w:basedOn w:val="706"/>
    <w:next w:val="817"/>
    <w:link w:val="816"/>
    <w:uiPriority w:val="34"/>
    <w:qFormat/>
    <w:pPr>
      <w:ind w:firstLine="420"/>
    </w:pPr>
    <w:rPr>
      <w:rFonts w:ascii="Calibri" w:hAnsi="Calibri" w:cs="Times New Roman"/>
      <w:szCs w:val="22"/>
    </w:rPr>
  </w:style>
  <w:style w:type="character" w:styleId="818">
    <w:name w:val="ca-221"/>
    <w:next w:val="818"/>
    <w:link w:val="706"/>
    <w:qFormat/>
    <w:rPr>
      <w:rFonts w:hint="eastAsia" w:ascii="宋体" w:hAnsi="宋体" w:eastAsia="宋体"/>
      <w:color w:val="ff0000"/>
      <w:sz w:val="24"/>
      <w:szCs w:val="24"/>
    </w:rPr>
  </w:style>
  <w:style w:type="character" w:styleId="819">
    <w:name w:val="正文首行缩进 Char Char"/>
    <w:next w:val="819"/>
    <w:link w:val="820"/>
    <w:qFormat/>
    <w:rPr>
      <w:szCs w:val="24"/>
    </w:rPr>
  </w:style>
  <w:style w:type="paragraph" w:styleId="820">
    <w:name w:val="正文首行缩进1"/>
    <w:basedOn w:val="742"/>
    <w:next w:val="820"/>
    <w:link w:val="819"/>
    <w:qFormat/>
    <w:pPr>
      <w:ind w:firstLine="420"/>
      <w:spacing w:after="120" w:line="240" w:lineRule="auto"/>
    </w:pPr>
    <w:rPr>
      <w:rFonts w:ascii="Calibri" w:eastAsia="宋体"/>
      <w:sz w:val="21"/>
      <w:szCs w:val="24"/>
    </w:rPr>
  </w:style>
  <w:style w:type="character" w:styleId="821">
    <w:name w:val="普通文字 Char Char"/>
    <w:next w:val="821"/>
    <w:link w:val="706"/>
    <w:qFormat/>
    <w:rPr>
      <w:rFonts w:ascii="宋体" w:hAnsi="Courier New" w:eastAsia="楷体_GB2312"/>
      <w:sz w:val="26"/>
      <w:lang w:val="en-US" w:eastAsia="zh-CN" w:bidi="ar-SA"/>
    </w:rPr>
  </w:style>
  <w:style w:type="character" w:styleId="822">
    <w:name w:val="正文文本缩进 Char1"/>
    <w:next w:val="822"/>
    <w:link w:val="706"/>
    <w:qFormat/>
    <w:rPr>
      <w:rFonts w:ascii="Times New Roman" w:hAnsi="Times New Roman" w:eastAsia="楷体_GB2312" w:cs="Times New Roman"/>
      <w:sz w:val="26"/>
      <w:szCs w:val="20"/>
    </w:rPr>
  </w:style>
  <w:style w:type="character" w:styleId="823">
    <w:name w:val="正文文本缩进 2 Char1"/>
    <w:next w:val="823"/>
    <w:link w:val="706"/>
    <w:uiPriority w:val="99"/>
    <w:semiHidden/>
    <w:qFormat/>
    <w:rPr>
      <w:rFonts w:ascii="Times New Roman" w:hAnsi="Times New Roman" w:eastAsia="楷体_GB2312" w:cs="Times New Roman"/>
      <w:sz w:val="26"/>
      <w:szCs w:val="20"/>
    </w:rPr>
  </w:style>
  <w:style w:type="character" w:styleId="824">
    <w:name w:val="纯文本 Char1"/>
    <w:next w:val="824"/>
    <w:link w:val="706"/>
    <w:qFormat/>
    <w:rPr>
      <w:rFonts w:ascii="宋体" w:hAnsi="Courier New" w:eastAsia="宋体" w:cs="Courier New"/>
      <w:szCs w:val="21"/>
    </w:rPr>
  </w:style>
  <w:style w:type="character" w:styleId="825">
    <w:name w:val="HTML 预设格式 Char1"/>
    <w:next w:val="825"/>
    <w:link w:val="706"/>
    <w:uiPriority w:val="99"/>
    <w:semiHidden/>
    <w:qFormat/>
    <w:rPr>
      <w:rFonts w:ascii="Courier New" w:hAnsi="Courier New" w:eastAsia="楷体_GB2312" w:cs="Courier New"/>
      <w:sz w:val="20"/>
      <w:szCs w:val="20"/>
    </w:rPr>
  </w:style>
  <w:style w:type="paragraph" w:styleId="826">
    <w:name w:val="Char Char3 Char Char Char Char Char Char Char Char Char Char Char Char Char Char Char Char"/>
    <w:basedOn w:val="706"/>
    <w:next w:val="826"/>
    <w:link w:val="706"/>
    <w:qFormat/>
    <w:pPr>
      <w:ind w:firstLine="200"/>
      <w:jc w:val="left"/>
      <w:spacing w:after="160" w:line="360" w:lineRule="auto"/>
      <w:widowControl/>
    </w:pPr>
    <w:rPr>
      <w:rFonts w:ascii="宋体" w:hAnsi="宋体" w:eastAsia="宋体"/>
      <w:sz w:val="24"/>
    </w:rPr>
  </w:style>
  <w:style w:type="paragraph" w:styleId="827">
    <w:name w:val="xl62"/>
    <w:basedOn w:val="706"/>
    <w:next w:val="827"/>
    <w:link w:val="7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828">
    <w:name w:val="xl45"/>
    <w:basedOn w:val="706"/>
    <w:next w:val="828"/>
    <w:link w:val="7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29">
    <w:name w:val="xl47"/>
    <w:basedOn w:val="706"/>
    <w:next w:val="829"/>
    <w:link w:val="7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830">
    <w:name w:val="xl66"/>
    <w:basedOn w:val="706"/>
    <w:next w:val="830"/>
    <w:link w:val="7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31">
    <w:name w:val="xl46"/>
    <w:basedOn w:val="706"/>
    <w:next w:val="831"/>
    <w:link w:val="7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32">
    <w:name w:val="xl61"/>
    <w:basedOn w:val="706"/>
    <w:next w:val="832"/>
    <w:link w:val="7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833">
    <w:name w:val="xl48"/>
    <w:basedOn w:val="706"/>
    <w:next w:val="833"/>
    <w:link w:val="7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834">
    <w:name w:val="Char Char Char"/>
    <w:basedOn w:val="706"/>
    <w:next w:val="834"/>
    <w:link w:val="706"/>
    <w:qFormat/>
    <w:rPr>
      <w:rFonts w:ascii="Tahoma" w:hAnsi="Tahoma" w:eastAsia="宋体"/>
      <w:sz w:val="24"/>
    </w:rPr>
  </w:style>
  <w:style w:type="paragraph" w:styleId="835">
    <w:name w:val="cardlist-value"/>
    <w:basedOn w:val="706"/>
    <w:next w:val="835"/>
    <w:link w:val="706"/>
    <w:qFormat/>
    <w:pPr>
      <w:jc w:val="left"/>
      <w:spacing w:before="100" w:beforeAutospacing="1" w:after="100" w:afterAutospacing="1"/>
      <w:widowControl/>
    </w:pPr>
    <w:rPr>
      <w:rFonts w:ascii="宋体" w:hAnsi="宋体" w:eastAsia="宋体" w:cs="宋体"/>
      <w:sz w:val="24"/>
      <w:szCs w:val="24"/>
    </w:rPr>
  </w:style>
  <w:style w:type="paragraph" w:styleId="836">
    <w:name w:val="Char"/>
    <w:basedOn w:val="706"/>
    <w:next w:val="836"/>
    <w:link w:val="706"/>
    <w:qFormat/>
    <w:pPr>
      <w:jc w:val="left"/>
      <w:spacing w:after="160" w:line="240" w:lineRule="exact"/>
      <w:widowControl/>
    </w:pPr>
    <w:rPr>
      <w:rFonts w:ascii="Verdana" w:hAnsi="Verdana" w:eastAsia="仿宋_GB2312"/>
      <w:sz w:val="24"/>
      <w:lang w:eastAsia="en-US"/>
    </w:rPr>
  </w:style>
  <w:style w:type="paragraph" w:styleId="837">
    <w:name w:val="Default Paragraph Font Para Char"/>
    <w:basedOn w:val="706"/>
    <w:next w:val="837"/>
    <w:link w:val="706"/>
    <w:semiHidden/>
    <w:qFormat/>
    <w:pPr>
      <w:jc w:val="left"/>
      <w:spacing w:after="160" w:line="240" w:lineRule="exact"/>
      <w:widowControl/>
    </w:pPr>
    <w:rPr>
      <w:rFonts w:ascii="Verdana" w:hAnsi="Verdana" w:eastAsia="宋体"/>
      <w:sz w:val="20"/>
      <w:lang w:eastAsia="en-US"/>
    </w:rPr>
  </w:style>
  <w:style w:type="paragraph" w:styleId="838">
    <w:name w:val="小四 段落 宋体 Char Char Char Char Char Char"/>
    <w:basedOn w:val="839"/>
    <w:next w:val="838"/>
    <w:link w:val="706"/>
    <w:qFormat/>
    <w:pPr>
      <w:ind w:firstLine="480"/>
    </w:pPr>
    <w:rPr>
      <w:rFonts w:ascii="宋体" w:hAnsi="宋体"/>
    </w:rPr>
  </w:style>
  <w:style w:type="paragraph" w:styleId="839">
    <w:name w:val="小四 段落 宋体 Char Char Char Char Char Char Char"/>
    <w:basedOn w:val="729"/>
    <w:next w:val="839"/>
    <w:link w:val="706"/>
    <w:semiHidden/>
    <w:qFormat/>
    <w:pPr>
      <w:ind w:left="0" w:right="-33" w:firstLine="545"/>
      <w:jc w:val="left"/>
      <w:spacing w:line="360" w:lineRule="auto"/>
      <w:tabs>
        <w:tab w:val="clear" w:pos="1125" w:leader="none"/>
      </w:tabs>
    </w:pPr>
    <w:rPr>
      <w:sz w:val="24"/>
    </w:rPr>
  </w:style>
  <w:style w:type="paragraph" w:styleId="840">
    <w:name w:val="Plain Text1"/>
    <w:basedOn w:val="706"/>
    <w:next w:val="840"/>
    <w:link w:val="706"/>
    <w:qFormat/>
    <w:rPr>
      <w:rFonts w:ascii="宋体" w:hAnsi="Courier New"/>
    </w:rPr>
  </w:style>
  <w:style w:type="paragraph" w:styleId="841">
    <w:name w:val="xl50"/>
    <w:basedOn w:val="706"/>
    <w:next w:val="841"/>
    <w:link w:val="7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842">
    <w:name w:val="xl52"/>
    <w:basedOn w:val="706"/>
    <w:next w:val="842"/>
    <w:link w:val="7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43">
    <w:name w:val="font6"/>
    <w:basedOn w:val="706"/>
    <w:next w:val="843"/>
    <w:link w:val="706"/>
    <w:qFormat/>
    <w:pPr>
      <w:jc w:val="left"/>
      <w:spacing w:before="100" w:beforeAutospacing="1" w:after="100" w:afterAutospacing="1"/>
      <w:widowControl/>
    </w:pPr>
    <w:rPr>
      <w:rFonts w:hint="eastAsia" w:ascii="宋体" w:hAnsi="宋体" w:eastAsia="宋体" w:cs="Arial Unicode MS"/>
      <w:b/>
      <w:bCs/>
      <w:sz w:val="18"/>
      <w:szCs w:val="18"/>
    </w:rPr>
  </w:style>
  <w:style w:type="paragraph" w:styleId="844">
    <w:name w:val="p0"/>
    <w:basedOn w:val="706"/>
    <w:next w:val="844"/>
    <w:link w:val="706"/>
    <w:qFormat/>
    <w:pPr>
      <w:jc w:val="left"/>
      <w:spacing w:before="100" w:beforeAutospacing="1" w:after="100" w:afterAutospacing="1"/>
      <w:widowControl/>
    </w:pPr>
    <w:rPr>
      <w:rFonts w:ascii="宋体" w:hAnsi="宋体" w:eastAsia="宋体" w:cs="宋体"/>
      <w:sz w:val="24"/>
      <w:szCs w:val="24"/>
    </w:rPr>
  </w:style>
  <w:style w:type="paragraph" w:styleId="845">
    <w:name w:val="Char1"/>
    <w:basedOn w:val="706"/>
    <w:next w:val="845"/>
    <w:link w:val="706"/>
    <w:qFormat/>
    <w:rPr>
      <w:rFonts w:ascii="Tahoma" w:hAnsi="Tahoma" w:eastAsia="宋体"/>
      <w:sz w:val="24"/>
    </w:rPr>
  </w:style>
  <w:style w:type="paragraph" w:styleId="846">
    <w:name w:val="xl53"/>
    <w:basedOn w:val="706"/>
    <w:next w:val="846"/>
    <w:link w:val="7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47">
    <w:name w:val="xl57"/>
    <w:basedOn w:val="706"/>
    <w:next w:val="847"/>
    <w:link w:val="70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48">
    <w:name w:val="xl59"/>
    <w:basedOn w:val="706"/>
    <w:next w:val="848"/>
    <w:link w:val="7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49">
    <w:name w:val="xl65"/>
    <w:basedOn w:val="706"/>
    <w:next w:val="849"/>
    <w:link w:val="7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50">
    <w:name w:val="font5"/>
    <w:basedOn w:val="706"/>
    <w:next w:val="850"/>
    <w:link w:val="706"/>
    <w:qFormat/>
    <w:pPr>
      <w:jc w:val="left"/>
      <w:spacing w:before="100" w:beforeAutospacing="1" w:after="100" w:afterAutospacing="1"/>
      <w:widowControl/>
    </w:pPr>
    <w:rPr>
      <w:rFonts w:hint="eastAsia" w:ascii="宋体" w:hAnsi="宋体" w:eastAsia="宋体"/>
      <w:sz w:val="18"/>
      <w:szCs w:val="18"/>
    </w:rPr>
  </w:style>
  <w:style w:type="paragraph" w:styleId="851">
    <w:name w:val="小四 段落 宋体 Char"/>
    <w:basedOn w:val="729"/>
    <w:next w:val="851"/>
    <w:link w:val="706"/>
    <w:qFormat/>
    <w:pPr>
      <w:ind w:left="0" w:right="-33" w:firstLine="480"/>
      <w:jc w:val="left"/>
      <w:spacing w:line="360" w:lineRule="auto"/>
      <w:tabs>
        <w:tab w:val="clear" w:pos="1125" w:leader="none"/>
      </w:tabs>
    </w:pPr>
    <w:rPr>
      <w:sz w:val="24"/>
    </w:rPr>
  </w:style>
  <w:style w:type="paragraph" w:styleId="852">
    <w:name w:val="xl58"/>
    <w:basedOn w:val="706"/>
    <w:next w:val="852"/>
    <w:link w:val="7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53">
    <w:name w:val="xl49"/>
    <w:basedOn w:val="706"/>
    <w:next w:val="853"/>
    <w:link w:val="706"/>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854">
    <w:name w:val="纯文本1"/>
    <w:basedOn w:val="706"/>
    <w:next w:val="854"/>
    <w:link w:val="706"/>
    <w:qFormat/>
    <w:rPr>
      <w:rFonts w:ascii="宋体" w:hAnsi="Courier New"/>
    </w:rPr>
  </w:style>
  <w:style w:type="paragraph" w:styleId="855">
    <w:name w:val="Char Char"/>
    <w:basedOn w:val="706"/>
    <w:next w:val="855"/>
    <w:link w:val="706"/>
    <w:qFormat/>
    <w:rPr>
      <w:rFonts w:eastAsia="宋体"/>
      <w:sz w:val="21"/>
      <w:szCs w:val="24"/>
    </w:rPr>
  </w:style>
  <w:style w:type="paragraph" w:styleId="856">
    <w:name w:val="Char Char Char1 Char Char Char Char"/>
    <w:basedOn w:val="706"/>
    <w:next w:val="856"/>
    <w:link w:val="706"/>
    <w:qFormat/>
    <w:pPr>
      <w:jc w:val="left"/>
      <w:spacing w:after="160" w:line="240" w:lineRule="exact"/>
      <w:widowControl/>
    </w:pPr>
    <w:rPr>
      <w:rFonts w:eastAsia="宋体"/>
      <w:sz w:val="24"/>
      <w:szCs w:val="24"/>
    </w:rPr>
  </w:style>
  <w:style w:type="paragraph" w:styleId="857">
    <w:name w:val="xl51"/>
    <w:basedOn w:val="706"/>
    <w:next w:val="857"/>
    <w:link w:val="7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858">
    <w:name w:val="font7"/>
    <w:basedOn w:val="706"/>
    <w:next w:val="858"/>
    <w:link w:val="706"/>
    <w:qFormat/>
    <w:pPr>
      <w:jc w:val="left"/>
      <w:spacing w:before="100" w:beforeAutospacing="1" w:after="100" w:afterAutospacing="1"/>
      <w:widowControl/>
    </w:pPr>
    <w:rPr>
      <w:rFonts w:eastAsia="宋体"/>
      <w:sz w:val="20"/>
    </w:rPr>
  </w:style>
  <w:style w:type="paragraph" w:styleId="859">
    <w:name w:val="xl54"/>
    <w:basedOn w:val="706"/>
    <w:next w:val="859"/>
    <w:link w:val="7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60">
    <w:name w:val="xl55"/>
    <w:basedOn w:val="706"/>
    <w:next w:val="860"/>
    <w:link w:val="70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61">
    <w:name w:val="xl56"/>
    <w:basedOn w:val="706"/>
    <w:next w:val="861"/>
    <w:link w:val="7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62">
    <w:name w:val="xl60"/>
    <w:basedOn w:val="706"/>
    <w:next w:val="862"/>
    <w:link w:val="7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63">
    <w:name w:val="xl63"/>
    <w:basedOn w:val="706"/>
    <w:next w:val="863"/>
    <w:link w:val="7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864">
    <w:name w:val="xl64"/>
    <w:basedOn w:val="706"/>
    <w:next w:val="864"/>
    <w:link w:val="7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character" w:styleId="865">
    <w:name w:val="标题 Char1"/>
    <w:next w:val="865"/>
    <w:link w:val="706"/>
    <w:uiPriority w:val="10"/>
    <w:qFormat/>
    <w:rPr>
      <w:rFonts w:ascii="Cambria" w:hAnsi="Cambria" w:eastAsia="宋体" w:cs="Times New Roman"/>
      <w:b/>
      <w:bCs/>
      <w:sz w:val="32"/>
      <w:szCs w:val="32"/>
    </w:rPr>
  </w:style>
  <w:style w:type="paragraph" w:styleId="866">
    <w:name w:val="图"/>
    <w:basedOn w:val="706"/>
    <w:next w:val="866"/>
    <w:link w:val="706"/>
    <w:qFormat/>
    <w:pPr>
      <w:jc w:val="center"/>
      <w:keepNext/>
      <w:spacing w:before="60" w:after="60" w:line="300" w:lineRule="auto"/>
    </w:pPr>
    <w:rPr>
      <w:rFonts w:eastAsia="宋体"/>
      <w:spacing w:val="20"/>
      <w:sz w:val="24"/>
    </w:rPr>
  </w:style>
  <w:style w:type="paragraph" w:styleId="867">
    <w:name w:val="纯文本2"/>
    <w:next w:val="867"/>
    <w:link w:val="706"/>
    <w:qFormat/>
    <w:pPr>
      <w:jc w:val="both"/>
      <w:widowControl w:val="off"/>
    </w:pPr>
    <w:rPr>
      <w:rFonts w:ascii="宋体" w:hAnsi="宋体" w:cs="宋体"/>
      <w:color w:val="000000"/>
      <w:sz w:val="26"/>
      <w:szCs w:val="26"/>
      <w:lang w:val="en-US" w:eastAsia="zh-CN" w:bidi="ar-SA"/>
    </w:rPr>
  </w:style>
  <w:style w:type="paragraph" w:styleId="868">
    <w:name w:val="正文_9"/>
    <w:next w:val="868"/>
    <w:link w:val="706"/>
    <w:qFormat/>
    <w:pPr>
      <w:jc w:val="both"/>
      <w:widowControl w:val="off"/>
    </w:pPr>
    <w:rPr>
      <w:rFonts w:ascii="Calibri" w:hAnsi="Calibri"/>
      <w:lang w:val="en-US" w:eastAsia="zh-CN" w:bidi="ar-SA"/>
    </w:rPr>
  </w:style>
  <w:style w:type="paragraph" w:styleId="869">
    <w:name w:val="Normal_14"/>
    <w:next w:val="869"/>
    <w:link w:val="706"/>
    <w:qFormat/>
    <w:pPr>
      <w:jc w:val="both"/>
      <w:widowControl w:val="off"/>
    </w:pPr>
    <w:rPr>
      <w:rFonts w:eastAsia="Times New Roman"/>
      <w:lang w:val="en-US" w:eastAsia="zh-CN" w:bidi="ar-SA"/>
    </w:rPr>
  </w:style>
  <w:style w:type="paragraph" w:styleId="870">
    <w:name w:val="正文_6"/>
    <w:next w:val="870"/>
    <w:link w:val="706"/>
    <w:qFormat/>
    <w:pPr>
      <w:jc w:val="both"/>
      <w:widowControl w:val="off"/>
    </w:pPr>
    <w:rPr>
      <w:rFonts w:ascii="Calibri" w:hAnsi="Calibri"/>
      <w:lang w:val="en-US" w:eastAsia="zh-CN" w:bidi="ar-SA"/>
    </w:rPr>
  </w:style>
  <w:style w:type="character" w:styleId="871">
    <w:name w:val="Char Char20"/>
    <w:next w:val="871"/>
    <w:link w:val="706"/>
    <w:qFormat/>
    <w:rPr>
      <w:rFonts w:ascii="Arial" w:hAnsi="Arial" w:eastAsia="黑体"/>
      <w:sz w:val="24"/>
      <w:szCs w:val="24"/>
      <w:lang w:val="en-US" w:eastAsia="zh-CN" w:bidi="ar-SA"/>
    </w:rPr>
  </w:style>
  <w:style w:type="character" w:styleId="872">
    <w:name w:val="apple-style-span"/>
    <w:next w:val="872"/>
    <w:link w:val="706"/>
    <w:qFormat/>
  </w:style>
  <w:style w:type="paragraph" w:styleId="873">
    <w:name w:val="正文2"/>
    <w:basedOn w:val="706"/>
    <w:next w:val="873"/>
    <w:link w:val="706"/>
    <w:qFormat/>
    <w:pPr>
      <w:ind w:firstLine="420"/>
      <w:jc w:val="left"/>
      <w:spacing w:line="360" w:lineRule="auto"/>
      <w:widowControl/>
    </w:pPr>
    <w:rPr>
      <w:rFonts w:eastAsia="宋体"/>
      <w:sz w:val="28"/>
    </w:rPr>
  </w:style>
  <w:style w:type="character" w:styleId="874">
    <w:name w:val="Andy_正文 Char"/>
    <w:next w:val="874"/>
    <w:link w:val="875"/>
    <w:qFormat/>
    <w:rPr>
      <w:rFonts w:ascii="Calibri" w:hAnsi="Calibri" w:cs="Calibri"/>
      <w:sz w:val="24"/>
      <w:szCs w:val="24"/>
    </w:rPr>
  </w:style>
  <w:style w:type="paragraph" w:styleId="875">
    <w:name w:val="Andy_正文"/>
    <w:basedOn w:val="706"/>
    <w:next w:val="875"/>
    <w:link w:val="874"/>
    <w:qFormat/>
    <w:pPr>
      <w:ind w:firstLine="480"/>
      <w:spacing w:line="360" w:lineRule="auto"/>
    </w:pPr>
    <w:rPr>
      <w:rFonts w:ascii="Calibri" w:hAnsi="Calibri" w:eastAsia="宋体" w:cs="Calibri"/>
      <w:sz w:val="24"/>
      <w:szCs w:val="24"/>
    </w:rPr>
  </w:style>
  <w:style w:type="paragraph" w:styleId="876">
    <w:name w:val="列出段落2"/>
    <w:basedOn w:val="706"/>
    <w:next w:val="876"/>
    <w:link w:val="706"/>
    <w:uiPriority w:val="99"/>
    <w:qFormat/>
    <w:pPr>
      <w:ind w:firstLine="420"/>
    </w:pPr>
    <w:rPr>
      <w:rFonts w:ascii="Calibri" w:hAnsi="Calibri" w:eastAsia="宋体"/>
      <w:sz w:val="21"/>
      <w:szCs w:val="22"/>
    </w:rPr>
  </w:style>
  <w:style w:type="paragraph" w:styleId="877">
    <w:name w:val="表格文字"/>
    <w:next w:val="706"/>
    <w:link w:val="706"/>
    <w:qFormat/>
    <w:rPr>
      <w:sz w:val="21"/>
      <w:lang w:val="en-US" w:eastAsia="zh-CN" w:bidi="ar-SA"/>
    </w:rPr>
  </w:style>
  <w:style w:type="paragraph" w:styleId="878">
    <w:name w:val="Char Char Char Char Char Char"/>
    <w:basedOn w:val="706"/>
    <w:next w:val="878"/>
    <w:link w:val="706"/>
    <w:qFormat/>
    <w:pPr>
      <w:ind w:firstLine="200"/>
      <w:spacing w:line="360" w:lineRule="auto"/>
    </w:pPr>
    <w:rPr>
      <w:rFonts w:eastAsia="宋体"/>
      <w:sz w:val="21"/>
      <w:szCs w:val="24"/>
    </w:rPr>
  </w:style>
  <w:style w:type="character" w:styleId="879">
    <w:name w:val="引用 Char"/>
    <w:next w:val="879"/>
    <w:link w:val="880"/>
    <w:qFormat/>
    <w:rPr>
      <w:rFonts w:ascii="Calibri" w:hAnsi="Calibri"/>
      <w:i/>
      <w:iCs/>
      <w:color w:val="000000"/>
    </w:rPr>
  </w:style>
  <w:style w:type="paragraph" w:styleId="880">
    <w:name w:val="引用"/>
    <w:basedOn w:val="706"/>
    <w:next w:val="706"/>
    <w:link w:val="879"/>
    <w:qFormat/>
    <w:rPr>
      <w:rFonts w:ascii="Calibri" w:hAnsi="Calibri" w:eastAsia="宋体" w:cs="Times New Roman"/>
      <w:i/>
      <w:iCs/>
      <w:color w:val="000000"/>
      <w:sz w:val="21"/>
      <w:szCs w:val="22"/>
    </w:rPr>
  </w:style>
  <w:style w:type="character" w:styleId="881">
    <w:name w:val="引用 Char1"/>
    <w:next w:val="881"/>
    <w:link w:val="706"/>
    <w:uiPriority w:val="29"/>
    <w:qFormat/>
    <w:rPr>
      <w:rFonts w:ascii="Times New Roman" w:hAnsi="Times New Roman" w:eastAsia="楷体_GB2312" w:cs="Times New Roman"/>
      <w:i/>
      <w:iCs/>
      <w:color w:val="000000"/>
      <w:sz w:val="26"/>
      <w:szCs w:val="20"/>
    </w:rPr>
  </w:style>
  <w:style w:type="character" w:styleId="882">
    <w:name w:val="日期 Char1"/>
    <w:next w:val="882"/>
    <w:link w:val="706"/>
    <w:qFormat/>
    <w:rPr>
      <w:sz w:val="21"/>
      <w:szCs w:val="24"/>
    </w:rPr>
  </w:style>
  <w:style w:type="character" w:styleId="883">
    <w:name w:val="c lh15"/>
    <w:next w:val="883"/>
    <w:link w:val="706"/>
    <w:qFormat/>
  </w:style>
  <w:style w:type="character" w:styleId="884">
    <w:name w:val="副标题 Char1"/>
    <w:next w:val="884"/>
    <w:link w:val="706"/>
    <w:uiPriority w:val="11"/>
    <w:qFormat/>
    <w:rPr>
      <w:rFonts w:ascii="Cambria" w:hAnsi="Cambria" w:cs="Times New Roman"/>
      <w:b/>
      <w:bCs/>
      <w:sz w:val="32"/>
      <w:szCs w:val="32"/>
    </w:rPr>
  </w:style>
  <w:style w:type="character" w:styleId="885">
    <w:name w:val="批注主题 Char1"/>
    <w:next w:val="885"/>
    <w:link w:val="706"/>
    <w:qFormat/>
    <w:rPr>
      <w:b/>
      <w:bCs/>
      <w:sz w:val="21"/>
      <w:szCs w:val="24"/>
    </w:rPr>
  </w:style>
  <w:style w:type="character" w:styleId="886">
    <w:name w:val="明显引用 Char"/>
    <w:next w:val="886"/>
    <w:link w:val="887"/>
    <w:qFormat/>
    <w:rPr>
      <w:rFonts w:ascii="Calibri" w:hAnsi="Calibri"/>
      <w:b/>
      <w:bCs/>
      <w:i/>
      <w:iCs/>
      <w:color w:val="4f81bd"/>
    </w:rPr>
  </w:style>
  <w:style w:type="paragraph" w:styleId="887">
    <w:name w:val="明显引用"/>
    <w:basedOn w:val="706"/>
    <w:next w:val="706"/>
    <w:link w:val="886"/>
    <w:qFormat/>
    <w:pPr>
      <w:ind w:left="936" w:right="936"/>
      <w:spacing w:before="200" w:after="280"/>
      <w:pBdr>
        <w:bottom w:val="single" w:color="4F81BD" w:sz="4" w:space="4"/>
      </w:pBdr>
    </w:pPr>
    <w:rPr>
      <w:rFonts w:ascii="Calibri" w:hAnsi="Calibri" w:eastAsia="宋体" w:cs="Times New Roman"/>
      <w:b/>
      <w:bCs/>
      <w:i/>
      <w:iCs/>
      <w:color w:val="4f81bd"/>
      <w:sz w:val="21"/>
      <w:szCs w:val="22"/>
    </w:rPr>
  </w:style>
  <w:style w:type="character" w:styleId="888">
    <w:name w:val="明显引用 Char1"/>
    <w:next w:val="888"/>
    <w:link w:val="706"/>
    <w:uiPriority w:val="30"/>
    <w:qFormat/>
    <w:rPr>
      <w:rFonts w:ascii="Times New Roman" w:hAnsi="Times New Roman" w:eastAsia="楷体_GB2312" w:cs="Times New Roman"/>
      <w:b/>
      <w:bCs/>
      <w:i/>
      <w:iCs/>
      <w:color w:val="4f81bd"/>
      <w:sz w:val="26"/>
      <w:szCs w:val="20"/>
    </w:rPr>
  </w:style>
  <w:style w:type="character" w:styleId="889">
    <w:name w:val="标题4 Char Char"/>
    <w:next w:val="889"/>
    <w:link w:val="890"/>
    <w:qFormat/>
    <w:rPr>
      <w:rFonts w:ascii="Arial" w:hAnsi="Arial" w:cs="Arial"/>
      <w:b/>
      <w:bCs/>
      <w:sz w:val="24"/>
      <w:szCs w:val="32"/>
    </w:rPr>
  </w:style>
  <w:style w:type="paragraph" w:styleId="890">
    <w:name w:val="标题4"/>
    <w:basedOn w:val="708"/>
    <w:next w:val="750"/>
    <w:link w:val="889"/>
    <w:qFormat/>
    <w:pPr>
      <w:jc w:val="both"/>
      <w:spacing w:before="260" w:after="260" w:line="412" w:lineRule="auto"/>
    </w:pPr>
    <w:rPr>
      <w:rFonts w:ascii="Arial" w:hAnsi="Arial" w:eastAsia="宋体" w:cs="Arial"/>
      <w:bCs/>
      <w:sz w:val="24"/>
      <w:szCs w:val="32"/>
    </w:rPr>
  </w:style>
  <w:style w:type="character" w:styleId="891">
    <w:name w:val="标题5 Char Char"/>
    <w:next w:val="891"/>
    <w:link w:val="892"/>
    <w:qFormat/>
    <w:rPr>
      <w:rFonts w:ascii="Arial" w:hAnsi="Arial" w:cs="Arial"/>
      <w:b/>
      <w:bCs/>
      <w:sz w:val="24"/>
      <w:szCs w:val="32"/>
    </w:rPr>
  </w:style>
  <w:style w:type="paragraph" w:styleId="892">
    <w:name w:val="标题5"/>
    <w:basedOn w:val="709"/>
    <w:next w:val="892"/>
    <w:link w:val="891"/>
    <w:qFormat/>
    <w:pPr>
      <w:jc w:val="both"/>
      <w:spacing w:before="260" w:after="260" w:line="412" w:lineRule="auto"/>
    </w:pPr>
    <w:rPr>
      <w:rFonts w:ascii="Arial" w:hAnsi="Arial" w:eastAsia="宋体" w:cs="Arial"/>
      <w:bCs/>
      <w:sz w:val="24"/>
      <w:szCs w:val="32"/>
    </w:rPr>
  </w:style>
  <w:style w:type="character" w:styleId="893">
    <w:name w:val="标题 Char2"/>
    <w:next w:val="893"/>
    <w:link w:val="706"/>
    <w:qFormat/>
    <w:rPr>
      <w:rFonts w:ascii="Cambria" w:hAnsi="Cambria" w:eastAsia="宋体" w:cs="Times New Roman"/>
      <w:b/>
      <w:bCs/>
      <w:sz w:val="32"/>
      <w:szCs w:val="32"/>
    </w:rPr>
  </w:style>
  <w:style w:type="character" w:styleId="894">
    <w:name w:val="副标题 Char2"/>
    <w:next w:val="894"/>
    <w:link w:val="706"/>
    <w:uiPriority w:val="11"/>
    <w:qFormat/>
    <w:rPr>
      <w:rFonts w:ascii="Cambria" w:hAnsi="Cambria" w:eastAsia="宋体" w:cs="Times New Roman"/>
      <w:b/>
      <w:bCs/>
      <w:sz w:val="32"/>
      <w:szCs w:val="32"/>
    </w:rPr>
  </w:style>
  <w:style w:type="paragraph" w:styleId="895">
    <w:name w:val="Char1 Char Char Char"/>
    <w:basedOn w:val="706"/>
    <w:next w:val="895"/>
    <w:link w:val="706"/>
    <w:qFormat/>
    <w:rPr>
      <w:rFonts w:ascii="Tahoma" w:hAnsi="Tahoma" w:eastAsia="宋体"/>
      <w:sz w:val="24"/>
    </w:rPr>
  </w:style>
  <w:style w:type="paragraph" w:styleId="896">
    <w:name w:val="_Style 10"/>
    <w:basedOn w:val="706"/>
    <w:next w:val="896"/>
    <w:link w:val="706"/>
    <w:qFormat/>
    <w:pPr>
      <w:ind w:left="420" w:hanging="420"/>
      <w:tabs>
        <w:tab w:val="left" w:pos="420" w:leader="none"/>
      </w:tabs>
    </w:pPr>
    <w:rPr>
      <w:rFonts w:eastAsia="宋体"/>
      <w:sz w:val="24"/>
      <w:szCs w:val="24"/>
    </w:rPr>
  </w:style>
  <w:style w:type="character" w:styleId="897">
    <w:name w:val="引用 Char2"/>
    <w:next w:val="897"/>
    <w:link w:val="706"/>
    <w:uiPriority w:val="29"/>
    <w:qFormat/>
    <w:rPr>
      <w:rFonts w:ascii="Calibri" w:hAnsi="Calibri" w:eastAsia="宋体" w:cs="Times New Roman"/>
      <w:i/>
      <w:iCs/>
      <w:color w:val="000000"/>
    </w:rPr>
  </w:style>
  <w:style w:type="paragraph" w:styleId="898">
    <w:name w:val="Char Char Char Char"/>
    <w:basedOn w:val="735"/>
    <w:next w:val="898"/>
    <w:link w:val="706"/>
    <w:qFormat/>
    <w:pPr>
      <w:spacing w:line="360" w:lineRule="auto"/>
    </w:pPr>
    <w:rPr>
      <w:rFonts w:ascii="Calibri" w:hAnsi="Calibri"/>
      <w:sz w:val="24"/>
    </w:rPr>
  </w:style>
  <w:style w:type="paragraph" w:styleId="899">
    <w:name w:val="_Style 14"/>
    <w:basedOn w:val="706"/>
    <w:next w:val="899"/>
    <w:link w:val="706"/>
    <w:qFormat/>
    <w:rPr>
      <w:rFonts w:eastAsia="宋体"/>
      <w:sz w:val="21"/>
      <w:szCs w:val="24"/>
    </w:rPr>
  </w:style>
  <w:style w:type="paragraph" w:styleId="900">
    <w:name w:val="Char Char Char Char Char Char Char Char Char1 Char"/>
    <w:basedOn w:val="735"/>
    <w:next w:val="900"/>
    <w:link w:val="706"/>
    <w:qFormat/>
    <w:pPr>
      <w:spacing w:line="360" w:lineRule="auto"/>
    </w:pPr>
    <w:rPr>
      <w:rFonts w:ascii="Tahoma" w:hAnsi="Tahoma"/>
      <w:sz w:val="24"/>
      <w:szCs w:val="24"/>
    </w:rPr>
  </w:style>
  <w:style w:type="character" w:styleId="901">
    <w:name w:val="明显引用 Char2"/>
    <w:next w:val="901"/>
    <w:link w:val="706"/>
    <w:uiPriority w:val="30"/>
    <w:qFormat/>
    <w:rPr>
      <w:rFonts w:ascii="Calibri" w:hAnsi="Calibri" w:eastAsia="宋体" w:cs="Times New Roman"/>
      <w:b/>
      <w:bCs/>
      <w:i/>
      <w:iCs/>
      <w:color w:val="4f81bd"/>
    </w:rPr>
  </w:style>
  <w:style w:type="paragraph" w:styleId="902">
    <w:name w:val="纯文本21"/>
    <w:basedOn w:val="706"/>
    <w:next w:val="902"/>
    <w:link w:val="706"/>
    <w:qFormat/>
    <w:rPr>
      <w:rFonts w:ascii="宋体" w:hAnsi="Courier New"/>
      <w:sz w:val="28"/>
    </w:rPr>
  </w:style>
  <w:style w:type="paragraph" w:styleId="903">
    <w:name w:val="Char Char Char1"/>
    <w:basedOn w:val="706"/>
    <w:next w:val="903"/>
    <w:link w:val="706"/>
    <w:qFormat/>
    <w:pPr>
      <w:ind w:left="840" w:hanging="360"/>
      <w:tabs>
        <w:tab w:val="left" w:pos="360" w:leader="none"/>
        <w:tab w:val="left" w:pos="840" w:leader="none"/>
      </w:tabs>
    </w:pPr>
    <w:rPr>
      <w:rFonts w:eastAsia="宋体"/>
      <w:sz w:val="21"/>
      <w:szCs w:val="24"/>
    </w:rPr>
  </w:style>
  <w:style w:type="paragraph" w:styleId="904">
    <w:name w:val="Char Char Char Char Char Char Char Char Char1 Char Char Char Char"/>
    <w:basedOn w:val="735"/>
    <w:next w:val="904"/>
    <w:link w:val="706"/>
    <w:qFormat/>
    <w:pPr>
      <w:spacing w:line="360" w:lineRule="auto"/>
    </w:pPr>
    <w:rPr>
      <w:rFonts w:ascii="Calibri" w:hAnsi="Calibri" w:eastAsia="楷体_GB2312"/>
      <w:sz w:val="26"/>
    </w:rPr>
  </w:style>
  <w:style w:type="paragraph" w:styleId="905">
    <w:name w:val="默认段落字体 Para Char Char Char Char Char Char Char Char Char1 Char Char Char Char"/>
    <w:basedOn w:val="706"/>
    <w:next w:val="905"/>
    <w:link w:val="706"/>
    <w:qFormat/>
    <w:rPr>
      <w:rFonts w:eastAsia="宋体"/>
      <w:sz w:val="21"/>
    </w:rPr>
  </w:style>
  <w:style w:type="paragraph" w:styleId="906">
    <w:name w:val="列出段落"/>
    <w:basedOn w:val="706"/>
    <w:next w:val="906"/>
    <w:link w:val="706"/>
    <w:uiPriority w:val="34"/>
    <w:qFormat/>
    <w:pPr>
      <w:ind w:firstLine="420"/>
    </w:pPr>
  </w:style>
  <w:style w:type="paragraph" w:styleId="907">
    <w:name w:val="xl91"/>
    <w:basedOn w:val="707"/>
    <w:next w:val="908"/>
    <w:link w:val="706"/>
    <w:qFormat/>
    <w:pPr>
      <w:ind w:firstLine="3584"/>
      <w:spacing w:before="280" w:after="280" w:line="240" w:lineRule="auto"/>
    </w:pPr>
  </w:style>
  <w:style w:type="paragraph" w:styleId="908">
    <w:name w:val="xl76"/>
    <w:basedOn w:val="707"/>
    <w:next w:val="785"/>
    <w:link w:val="706"/>
    <w:qFormat/>
    <w:pPr>
      <w:ind w:firstLine="3584"/>
      <w:jc w:val="center"/>
      <w:spacing w:before="280" w:after="280" w:line="240" w:lineRule="auto"/>
    </w:pPr>
  </w:style>
  <w:style w:type="character" w:styleId="909">
    <w:name w:val="正文缩进 Char2"/>
    <w:next w:val="909"/>
    <w:link w:val="706"/>
    <w:qFormat/>
    <w:rPr>
      <w:rFonts w:eastAsia="楷体_GB2312"/>
      <w:sz w:val="24"/>
    </w:rPr>
  </w:style>
  <w:style w:type="character" w:styleId="910">
    <w:name w:val="正文1"/>
    <w:next w:val="910"/>
    <w:link w:val="706"/>
    <w:qFormat/>
  </w:style>
  <w:style w:type="character" w:styleId="911">
    <w:name w:val="正文文本缩进 Char3"/>
    <w:next w:val="911"/>
    <w:link w:val="706"/>
    <w:qFormat/>
    <w:rPr>
      <w:rFonts w:eastAsia="方正书宋简体"/>
      <w:sz w:val="24"/>
    </w:rPr>
  </w:style>
  <w:style w:type="character" w:styleId="912">
    <w:name w:val="CITE"/>
    <w:next w:val="912"/>
    <w:link w:val="706"/>
    <w:qFormat/>
    <w:rPr>
      <w:i/>
    </w:rPr>
  </w:style>
  <w:style w:type="character" w:styleId="913">
    <w:name w:val="Heading 4 Char"/>
    <w:next w:val="913"/>
    <w:link w:val="706"/>
    <w:qFormat/>
    <w:rPr>
      <w:rFonts w:ascii="Arial" w:hAnsi="Arial" w:eastAsia="宋体"/>
      <w:b/>
      <w:bCs/>
      <w:sz w:val="21"/>
      <w:szCs w:val="28"/>
      <w:lang w:val="en-US" w:eastAsia="zh-CN" w:bidi="ar-SA"/>
    </w:rPr>
  </w:style>
  <w:style w:type="character" w:styleId="914">
    <w:name w:val="Char Char9"/>
    <w:next w:val="914"/>
    <w:link w:val="706"/>
    <w:qFormat/>
    <w:rPr>
      <w:rFonts w:eastAsia="宋体"/>
      <w:b/>
      <w:bCs/>
      <w:sz w:val="32"/>
      <w:szCs w:val="44"/>
      <w:lang w:val="en-US" w:eastAsia="zh-CN" w:bidi="ar-SA"/>
    </w:rPr>
  </w:style>
  <w:style w:type="character" w:styleId="915">
    <w:name w:val="Footer Char"/>
    <w:next w:val="915"/>
    <w:link w:val="706"/>
    <w:qFormat/>
    <w:rPr>
      <w:rFonts w:eastAsia="宋体"/>
      <w:sz w:val="18"/>
      <w:szCs w:val="18"/>
      <w:lang w:val="en-US" w:eastAsia="zh-CN" w:bidi="ar-SA"/>
    </w:rPr>
  </w:style>
  <w:style w:type="character" w:styleId="916">
    <w:name w:val="Char Char4"/>
    <w:next w:val="916"/>
    <w:link w:val="706"/>
    <w:qFormat/>
    <w:rPr>
      <w:rFonts w:ascii="宋体" w:hAnsi="宋体" w:eastAsia="黑体" w:cs="Arial"/>
      <w:b/>
      <w:sz w:val="28"/>
      <w:szCs w:val="32"/>
      <w:lang w:val="en-US" w:eastAsia="zh-CN" w:bidi="ar-SA"/>
    </w:rPr>
  </w:style>
  <w:style w:type="character" w:styleId="917">
    <w:name w:val="Heading 2 Char"/>
    <w:next w:val="917"/>
    <w:link w:val="706"/>
    <w:qFormat/>
    <w:rPr>
      <w:rFonts w:ascii="Arial" w:hAnsi="Arial" w:eastAsia="黑体"/>
      <w:b/>
      <w:bCs/>
      <w:sz w:val="32"/>
      <w:szCs w:val="32"/>
      <w:lang w:val="en-US" w:eastAsia="zh-CN" w:bidi="ar-SA"/>
    </w:rPr>
  </w:style>
  <w:style w:type="character" w:styleId="918">
    <w:name w:val="Body Text Indent Char"/>
    <w:next w:val="918"/>
    <w:link w:val="706"/>
    <w:qFormat/>
    <w:rPr>
      <w:rFonts w:ascii="宋体" w:hAnsi="宋体" w:eastAsia="宋体"/>
      <w:sz w:val="21"/>
      <w:lang w:val="en-US" w:eastAsia="zh-CN" w:bidi="ar-SA"/>
    </w:rPr>
  </w:style>
  <w:style w:type="character" w:styleId="919">
    <w:name w:val="批注文字 Char Char"/>
    <w:next w:val="919"/>
    <w:link w:val="706"/>
    <w:qFormat/>
    <w:rPr>
      <w:rFonts w:ascii="宋体" w:hAnsi="Times New Roman" w:eastAsia="宋体" w:cs="Times New Roman"/>
      <w:sz w:val="28"/>
      <w:szCs w:val="20"/>
    </w:rPr>
  </w:style>
  <w:style w:type="character" w:styleId="920">
    <w:name w:val="Body Text Indent 2 Char"/>
    <w:next w:val="920"/>
    <w:link w:val="706"/>
    <w:qFormat/>
    <w:rPr>
      <w:rFonts w:eastAsia="宋体"/>
      <w:sz w:val="21"/>
      <w:szCs w:val="24"/>
      <w:lang w:val="en-US" w:eastAsia="zh-CN" w:bidi="ar-SA"/>
    </w:rPr>
  </w:style>
  <w:style w:type="character" w:styleId="921">
    <w:name w:val="textcontents"/>
    <w:next w:val="921"/>
    <w:link w:val="706"/>
    <w:qFormat/>
    <w:rPr>
      <w:rFonts w:cs="Times New Roman"/>
    </w:rPr>
  </w:style>
  <w:style w:type="character" w:styleId="922">
    <w:name w:val="Char Char24"/>
    <w:next w:val="922"/>
    <w:link w:val="706"/>
    <w:qFormat/>
    <w:rPr>
      <w:rFonts w:eastAsia="宋体"/>
      <w:b/>
      <w:bCs/>
      <w:sz w:val="32"/>
      <w:szCs w:val="44"/>
      <w:lang w:val="en-US" w:eastAsia="zh-CN" w:bidi="ar-SA"/>
    </w:rPr>
  </w:style>
  <w:style w:type="character" w:styleId="923">
    <w:name w:val="正文11"/>
    <w:next w:val="923"/>
    <w:link w:val="706"/>
    <w:qFormat/>
  </w:style>
  <w:style w:type="character" w:styleId="924">
    <w:name w:val="Date Char"/>
    <w:next w:val="924"/>
    <w:link w:val="706"/>
    <w:qFormat/>
    <w:rPr>
      <w:rFonts w:eastAsia="宋体"/>
      <w:sz w:val="21"/>
      <w:szCs w:val="24"/>
      <w:lang w:val="en-US" w:eastAsia="zh-CN" w:bidi="ar-SA"/>
    </w:rPr>
  </w:style>
  <w:style w:type="character" w:styleId="925">
    <w:name w:val="Char Char91"/>
    <w:next w:val="925"/>
    <w:link w:val="706"/>
    <w:qFormat/>
    <w:rPr>
      <w:rFonts w:eastAsia="宋体"/>
      <w:b/>
      <w:bCs/>
      <w:sz w:val="32"/>
      <w:szCs w:val="44"/>
      <w:lang w:val="en-US" w:eastAsia="zh-CN" w:bidi="ar-SA"/>
    </w:rPr>
  </w:style>
  <w:style w:type="character" w:styleId="926">
    <w:name w:val="Char Char181"/>
    <w:next w:val="926"/>
    <w:link w:val="706"/>
    <w:qFormat/>
    <w:rPr>
      <w:b/>
      <w:bCs/>
      <w:sz w:val="44"/>
      <w:szCs w:val="44"/>
    </w:rPr>
  </w:style>
  <w:style w:type="character" w:styleId="927">
    <w:name w:val="标题 Char_0"/>
    <w:next w:val="927"/>
    <w:link w:val="928"/>
    <w:qFormat/>
    <w:rPr>
      <w:rFonts w:ascii="黑体" w:hAnsi="Arial" w:eastAsia="黑体"/>
      <w:b/>
      <w:bCs/>
      <w:sz w:val="32"/>
      <w:szCs w:val="32"/>
    </w:rPr>
  </w:style>
  <w:style w:type="paragraph" w:styleId="928">
    <w:name w:val="标题_0"/>
    <w:basedOn w:val="929"/>
    <w:next w:val="928"/>
    <w:link w:val="927"/>
    <w:qFormat/>
    <w:pPr>
      <w:jc w:val="center"/>
      <w:spacing w:before="120" w:after="120" w:line="360" w:lineRule="auto"/>
      <w:outlineLvl w:val="0"/>
    </w:pPr>
    <w:rPr>
      <w:rFonts w:ascii="黑体" w:hAnsi="Arial" w:eastAsia="黑体"/>
      <w:b/>
      <w:bCs/>
      <w:sz w:val="32"/>
      <w:szCs w:val="32"/>
    </w:rPr>
  </w:style>
  <w:style w:type="paragraph" w:styleId="929">
    <w:name w:val="正文_1"/>
    <w:next w:val="807"/>
    <w:link w:val="706"/>
    <w:qFormat/>
    <w:rPr>
      <w:sz w:val="21"/>
      <w:szCs w:val="22"/>
      <w:lang w:val="en-US" w:eastAsia="zh-CN" w:bidi="ar-SA"/>
    </w:rPr>
  </w:style>
  <w:style w:type="character" w:styleId="930">
    <w:name w:val="批注文字 Char3"/>
    <w:next w:val="930"/>
    <w:link w:val="706"/>
    <w:qFormat/>
    <w:rPr>
      <w:sz w:val="21"/>
      <w:szCs w:val="24"/>
    </w:rPr>
  </w:style>
  <w:style w:type="character" w:styleId="931">
    <w:name w:val="不明显参考1"/>
    <w:next w:val="931"/>
    <w:link w:val="706"/>
    <w:qFormat/>
    <w:rPr>
      <w:smallCaps/>
      <w:color w:val="c0504d"/>
      <w:u w:val="single"/>
    </w:rPr>
  </w:style>
  <w:style w:type="character" w:styleId="932">
    <w:name w:val="Char Char26"/>
    <w:next w:val="932"/>
    <w:link w:val="706"/>
    <w:qFormat/>
    <w:rPr>
      <w:rFonts w:ascii="宋体" w:hAnsi="Arial" w:eastAsia="宋体" w:cs="Arial"/>
      <w:b/>
      <w:sz w:val="24"/>
      <w:szCs w:val="44"/>
      <w:lang w:val="en-US" w:eastAsia="zh-CN" w:bidi="ar-SA"/>
    </w:rPr>
  </w:style>
  <w:style w:type="character" w:styleId="933">
    <w:name w:val="书籍标题1"/>
    <w:next w:val="933"/>
    <w:link w:val="706"/>
    <w:qFormat/>
    <w:rPr>
      <w:b/>
      <w:bCs/>
      <w:smallCaps/>
      <w:spacing w:val="5"/>
    </w:rPr>
  </w:style>
  <w:style w:type="character" w:styleId="934">
    <w:name w:val="明显强调1"/>
    <w:next w:val="934"/>
    <w:link w:val="706"/>
    <w:qFormat/>
    <w:rPr>
      <w:b/>
      <w:bCs/>
      <w:i/>
      <w:iCs/>
      <w:color w:val="4f81bd"/>
    </w:rPr>
  </w:style>
  <w:style w:type="character" w:styleId="935">
    <w:name w:val="Heading 5 Char"/>
    <w:next w:val="935"/>
    <w:link w:val="706"/>
    <w:qFormat/>
    <w:rPr>
      <w:rFonts w:eastAsia="宋体"/>
      <w:b/>
      <w:bCs/>
      <w:sz w:val="28"/>
      <w:szCs w:val="28"/>
      <w:lang w:val="en-US" w:eastAsia="zh-CN" w:bidi="ar-SA"/>
    </w:rPr>
  </w:style>
  <w:style w:type="character" w:styleId="936">
    <w:name w:val="Sample"/>
    <w:next w:val="936"/>
    <w:link w:val="706"/>
    <w:qFormat/>
    <w:rPr>
      <w:rFonts w:ascii="Courier New" w:hAnsi="Courier New"/>
    </w:rPr>
  </w:style>
  <w:style w:type="character" w:styleId="937">
    <w:name w:val="Comment"/>
    <w:next w:val="937"/>
    <w:link w:val="706"/>
    <w:qFormat/>
    <w:rPr>
      <w:vanish/>
    </w:rPr>
  </w:style>
  <w:style w:type="character" w:styleId="938">
    <w:name w:val="样式 Char"/>
    <w:next w:val="938"/>
    <w:link w:val="939"/>
    <w:qFormat/>
    <w:rPr>
      <w:rFonts w:ascii="宋体" w:hAnsi="宋体" w:cs="宋体"/>
      <w:sz w:val="24"/>
      <w:szCs w:val="24"/>
    </w:rPr>
  </w:style>
  <w:style w:type="paragraph" w:styleId="939">
    <w:name w:val="样式"/>
    <w:next w:val="939"/>
    <w:link w:val="938"/>
    <w:qFormat/>
    <w:pPr>
      <w:widowControl w:val="off"/>
    </w:pPr>
    <w:rPr>
      <w:rFonts w:ascii="宋体" w:hAnsi="宋体" w:cs="宋体"/>
      <w:sz w:val="24"/>
      <w:szCs w:val="24"/>
      <w:lang w:val="en-US" w:eastAsia="zh-CN" w:bidi="ar-SA"/>
    </w:rPr>
  </w:style>
  <w:style w:type="character" w:styleId="940">
    <w:name w:val="content1"/>
    <w:next w:val="940"/>
    <w:link w:val="706"/>
    <w:qFormat/>
    <w:rPr>
      <w:rFonts w:ascii="Tahoma" w:hAnsi="Tahoma" w:cs="Tahoma"/>
      <w:sz w:val="21"/>
      <w:szCs w:val="21"/>
    </w:rPr>
  </w:style>
  <w:style w:type="character" w:styleId="941">
    <w:name w:val="明显参考1"/>
    <w:next w:val="941"/>
    <w:link w:val="706"/>
    <w:qFormat/>
    <w:rPr>
      <w:b/>
      <w:bCs/>
      <w:smallCaps/>
      <w:color w:val="c0504d"/>
      <w:spacing w:val="5"/>
      <w:u w:val="single"/>
    </w:rPr>
  </w:style>
  <w:style w:type="character" w:styleId="942">
    <w:name w:val="标题 Char_1"/>
    <w:next w:val="942"/>
    <w:link w:val="943"/>
    <w:qFormat/>
    <w:rPr>
      <w:rFonts w:ascii="Cambria" w:hAnsi="Cambria"/>
      <w:b/>
      <w:bCs/>
      <w:sz w:val="32"/>
      <w:szCs w:val="32"/>
    </w:rPr>
  </w:style>
  <w:style w:type="paragraph" w:styleId="943">
    <w:name w:val="标题_1"/>
    <w:basedOn w:val="944"/>
    <w:next w:val="944"/>
    <w:link w:val="942"/>
    <w:qFormat/>
    <w:pPr>
      <w:jc w:val="center"/>
      <w:spacing w:before="240" w:after="60"/>
      <w:outlineLvl w:val="0"/>
    </w:pPr>
    <w:rPr>
      <w:rFonts w:ascii="Cambria" w:hAnsi="Cambria"/>
      <w:b/>
      <w:bCs/>
      <w:sz w:val="32"/>
      <w:szCs w:val="32"/>
    </w:rPr>
  </w:style>
  <w:style w:type="paragraph" w:styleId="944">
    <w:name w:val="正文_2"/>
    <w:next w:val="944"/>
    <w:link w:val="706"/>
    <w:qFormat/>
    <w:pPr>
      <w:jc w:val="both"/>
      <w:widowControl w:val="off"/>
    </w:pPr>
    <w:rPr>
      <w:rFonts w:ascii="Calibri" w:hAnsi="Calibri"/>
      <w:sz w:val="21"/>
      <w:szCs w:val="22"/>
      <w:lang w:val="en-US" w:eastAsia="zh-CN" w:bidi="ar-SA"/>
    </w:rPr>
  </w:style>
  <w:style w:type="character" w:styleId="945">
    <w:name w:val="Balloon Text Char"/>
    <w:next w:val="945"/>
    <w:link w:val="706"/>
    <w:qFormat/>
    <w:rPr>
      <w:sz w:val="18"/>
      <w:lang w:bidi="ar-SA"/>
    </w:rPr>
  </w:style>
  <w:style w:type="character" w:styleId="946">
    <w:name w:val="HTML Markup"/>
    <w:next w:val="946"/>
    <w:link w:val="706"/>
    <w:qFormat/>
    <w:rPr>
      <w:vanish/>
      <w:color w:val="ff0000"/>
    </w:rPr>
  </w:style>
  <w:style w:type="character" w:styleId="947">
    <w:name w:val="标题 2 Char1"/>
    <w:next w:val="947"/>
    <w:link w:val="706"/>
    <w:qFormat/>
    <w:rPr>
      <w:rFonts w:ascii="Arial" w:hAnsi="Arial" w:eastAsia="黑体" w:cs="Calibri"/>
      <w:b/>
      <w:sz w:val="32"/>
      <w:szCs w:val="20"/>
    </w:rPr>
  </w:style>
  <w:style w:type="character" w:styleId="948">
    <w:name w:val="Char Char18"/>
    <w:next w:val="948"/>
    <w:link w:val="706"/>
    <w:qFormat/>
    <w:rPr>
      <w:rFonts w:ascii="Times New Roman" w:hAnsi="Times New Roman" w:eastAsia="宋体" w:cs="Times New Roman"/>
      <w:b/>
      <w:bCs/>
      <w:sz w:val="28"/>
      <w:szCs w:val="28"/>
    </w:rPr>
  </w:style>
  <w:style w:type="character" w:styleId="949">
    <w:name w:val="Variable"/>
    <w:next w:val="949"/>
    <w:link w:val="706"/>
    <w:qFormat/>
    <w:rPr>
      <w:i/>
    </w:rPr>
  </w:style>
  <w:style w:type="character" w:styleId="950">
    <w:name w:val="Typewriter"/>
    <w:next w:val="950"/>
    <w:link w:val="706"/>
    <w:qFormat/>
    <w:rPr>
      <w:rFonts w:ascii="Courier New" w:hAnsi="Courier New"/>
      <w:sz w:val="20"/>
    </w:rPr>
  </w:style>
  <w:style w:type="character" w:styleId="951">
    <w:name w:val="超链接_0"/>
    <w:next w:val="951"/>
    <w:link w:val="706"/>
    <w:uiPriority w:val="99"/>
    <w:qFormat/>
    <w:rPr>
      <w:rFonts w:ascii="Calibri" w:hAnsi="Calibri" w:cs="Times New Roman"/>
      <w:color w:val="0000ff"/>
      <w:u w:val="single"/>
    </w:rPr>
  </w:style>
  <w:style w:type="character" w:styleId="952">
    <w:name w:val="Char Char3"/>
    <w:next w:val="952"/>
    <w:link w:val="706"/>
    <w:qFormat/>
    <w:rPr>
      <w:rFonts w:ascii="黑体" w:hAnsi="宋体" w:eastAsia="黑体" w:cs="Arial"/>
      <w:b/>
      <w:bCs/>
      <w:sz w:val="24"/>
      <w:szCs w:val="24"/>
      <w:lang w:val="en-US" w:eastAsia="zh-CN" w:bidi="ar-SA"/>
    </w:rPr>
  </w:style>
  <w:style w:type="character" w:styleId="953">
    <w:name w:val="标题 2 Char_1"/>
    <w:next w:val="953"/>
    <w:link w:val="954"/>
    <w:qFormat/>
    <w:rPr>
      <w:rFonts w:ascii="黑体" w:hAnsi="宋体" w:eastAsia="黑体"/>
      <w:b/>
      <w:bCs/>
      <w:sz w:val="30"/>
      <w:szCs w:val="30"/>
    </w:rPr>
  </w:style>
  <w:style w:type="paragraph" w:styleId="954">
    <w:name w:val="标题 2_1"/>
    <w:basedOn w:val="943"/>
    <w:next w:val="944"/>
    <w:link w:val="953"/>
    <w:unhideWhenUsed/>
    <w:qFormat/>
    <w:pPr>
      <w:keepLines/>
      <w:keepNext/>
      <w:spacing w:before="120" w:after="120" w:line="360" w:lineRule="auto"/>
      <w:outlineLvl w:val="1"/>
    </w:pPr>
    <w:rPr>
      <w:rFonts w:ascii="黑体" w:hAnsi="宋体" w:eastAsia="黑体"/>
      <w:sz w:val="30"/>
      <w:szCs w:val="30"/>
    </w:rPr>
  </w:style>
  <w:style w:type="character" w:styleId="955">
    <w:name w:val="脚注文本 Char1"/>
    <w:next w:val="955"/>
    <w:link w:val="706"/>
    <w:qFormat/>
    <w:rPr>
      <w:sz w:val="18"/>
      <w:szCs w:val="18"/>
    </w:rPr>
  </w:style>
  <w:style w:type="character" w:styleId="956">
    <w:name w:val="Comment Text Char1"/>
    <w:next w:val="956"/>
    <w:link w:val="706"/>
    <w:qFormat/>
    <w:rPr>
      <w:sz w:val="24"/>
      <w:lang w:bidi="ar-SA"/>
    </w:rPr>
  </w:style>
  <w:style w:type="character" w:styleId="957">
    <w:name w:val="不明显强调1"/>
    <w:next w:val="957"/>
    <w:link w:val="706"/>
    <w:qFormat/>
    <w:rPr>
      <w:i/>
      <w:iCs/>
      <w:color w:val="808080"/>
    </w:rPr>
  </w:style>
  <w:style w:type="character" w:styleId="958">
    <w:name w:val="正文文本 Char2"/>
    <w:next w:val="958"/>
    <w:link w:val="706"/>
    <w:qFormat/>
    <w:rPr>
      <w:sz w:val="21"/>
      <w:szCs w:val="24"/>
    </w:rPr>
  </w:style>
  <w:style w:type="character" w:styleId="959">
    <w:name w:val="Comment Text Char"/>
    <w:next w:val="959"/>
    <w:link w:val="706"/>
    <w:qFormat/>
    <w:rPr>
      <w:rFonts w:cs="Times New Roman"/>
      <w:sz w:val="24"/>
      <w:szCs w:val="24"/>
    </w:rPr>
  </w:style>
  <w:style w:type="character" w:styleId="960">
    <w:name w:val="批注框文本 Char1"/>
    <w:next w:val="960"/>
    <w:link w:val="706"/>
    <w:qFormat/>
    <w:rPr>
      <w:rFonts w:ascii="Times New Roman" w:hAnsi="Times New Roman" w:eastAsia="宋体" w:cs="Times New Roman"/>
      <w:sz w:val="18"/>
      <w:szCs w:val="18"/>
    </w:rPr>
  </w:style>
  <w:style w:type="character" w:styleId="961">
    <w:name w:val="Char Char21"/>
    <w:next w:val="961"/>
    <w:link w:val="706"/>
    <w:qFormat/>
    <w:rPr>
      <w:rFonts w:ascii="Arial" w:hAnsi="Arial" w:eastAsia="黑体" w:cs="Times New Roman"/>
      <w:b/>
      <w:bCs/>
      <w:sz w:val="32"/>
      <w:szCs w:val="32"/>
    </w:rPr>
  </w:style>
  <w:style w:type="character" w:styleId="962">
    <w:name w:val="CODE"/>
    <w:next w:val="962"/>
    <w:link w:val="706"/>
    <w:qFormat/>
    <w:rPr>
      <w:rFonts w:ascii="Courier New" w:hAnsi="Courier New"/>
      <w:sz w:val="20"/>
    </w:rPr>
  </w:style>
  <w:style w:type="character" w:styleId="963">
    <w:name w:val="纯文本 Char2"/>
    <w:next w:val="963"/>
    <w:link w:val="706"/>
    <w:qFormat/>
    <w:rPr>
      <w:rFonts w:ascii="宋体" w:hAnsi="Courier New" w:cs="Courier New"/>
      <w:sz w:val="21"/>
      <w:szCs w:val="21"/>
    </w:rPr>
  </w:style>
  <w:style w:type="character" w:styleId="964">
    <w:name w:val="Footnote Text Char"/>
    <w:next w:val="964"/>
    <w:link w:val="706"/>
    <w:qFormat/>
    <w:rPr>
      <w:rFonts w:eastAsia="宋体"/>
      <w:sz w:val="18"/>
      <w:lang w:val="en-US" w:eastAsia="zh-CN" w:bidi="ar-SA"/>
    </w:rPr>
  </w:style>
  <w:style w:type="character" w:styleId="965">
    <w:name w:val="样式 标题 3 + (中文) 黑体 小四 非加粗 段前: 7.8 磅 段后: 0 磅 行距: 固定值 20 磅 Char"/>
    <w:next w:val="965"/>
    <w:link w:val="706"/>
    <w:qFormat/>
    <w:rPr>
      <w:rFonts w:ascii="黑体" w:hAnsi="宋体" w:eastAsia="黑体" w:cs="宋体"/>
      <w:b/>
      <w:bCs/>
      <w:sz w:val="24"/>
      <w:lang w:val="en-US" w:eastAsia="zh-CN" w:bidi="ar-SA"/>
    </w:rPr>
  </w:style>
  <w:style w:type="character" w:styleId="966">
    <w:name w:val="Char Char1"/>
    <w:next w:val="966"/>
    <w:link w:val="706"/>
    <w:qFormat/>
    <w:rPr>
      <w:rFonts w:ascii="黑体" w:hAnsi="Arial" w:eastAsia="黑体" w:cs="Arial"/>
      <w:b/>
      <w:bCs/>
      <w:sz w:val="32"/>
      <w:szCs w:val="32"/>
      <w:lang w:val="en-US" w:eastAsia="zh-CN" w:bidi="ar-SA"/>
    </w:rPr>
  </w:style>
  <w:style w:type="character" w:styleId="967">
    <w:name w:val="Heading 3 Char"/>
    <w:next w:val="967"/>
    <w:link w:val="706"/>
    <w:qFormat/>
    <w:rPr>
      <w:rFonts w:cs="Times New Roman"/>
      <w:b/>
      <w:bCs/>
      <w:sz w:val="32"/>
      <w:szCs w:val="32"/>
    </w:rPr>
  </w:style>
  <w:style w:type="character" w:styleId="968">
    <w:name w:val="Char Char22"/>
    <w:next w:val="968"/>
    <w:link w:val="706"/>
    <w:qFormat/>
    <w:rPr>
      <w:rFonts w:ascii="Times New Roman" w:hAnsi="Times New Roman" w:eastAsia="宋体" w:cs="Times New Roman"/>
      <w:b/>
      <w:bCs/>
      <w:sz w:val="32"/>
      <w:szCs w:val="44"/>
    </w:rPr>
  </w:style>
  <w:style w:type="character" w:styleId="969">
    <w:name w:val="Heading 1 Char"/>
    <w:next w:val="969"/>
    <w:link w:val="706"/>
    <w:qFormat/>
    <w:rPr>
      <w:rFonts w:eastAsia="宋体"/>
      <w:b/>
      <w:bCs/>
      <w:sz w:val="32"/>
      <w:szCs w:val="44"/>
      <w:lang w:val="en-US" w:eastAsia="zh-CN" w:bidi="ar-SA"/>
    </w:rPr>
  </w:style>
  <w:style w:type="character" w:styleId="970">
    <w:name w:val="正文缩进 Char1"/>
    <w:next w:val="970"/>
    <w:link w:val="706"/>
    <w:qFormat/>
    <w:rPr>
      <w:rFonts w:eastAsia="楷体_GB2312"/>
      <w:sz w:val="24"/>
    </w:rPr>
  </w:style>
  <w:style w:type="character" w:styleId="971">
    <w:name w:val="Document Map Char"/>
    <w:next w:val="971"/>
    <w:link w:val="706"/>
    <w:qFormat/>
    <w:rPr>
      <w:rFonts w:eastAsia="宋体"/>
      <w:sz w:val="21"/>
      <w:szCs w:val="24"/>
      <w:lang w:val="en-US" w:eastAsia="zh-CN" w:bidi="ar-SA"/>
    </w:rPr>
  </w:style>
  <w:style w:type="character" w:styleId="972">
    <w:name w:val="批注主题 Char2"/>
    <w:next w:val="972"/>
    <w:link w:val="706"/>
    <w:qFormat/>
    <w:rPr>
      <w:b/>
      <w:bCs/>
      <w:szCs w:val="24"/>
    </w:rPr>
  </w:style>
  <w:style w:type="character" w:styleId="973">
    <w:name w:val="Char Char6"/>
    <w:next w:val="973"/>
    <w:link w:val="706"/>
    <w:qFormat/>
    <w:rPr>
      <w:rFonts w:eastAsia="宋体"/>
      <w:b/>
      <w:bCs/>
      <w:sz w:val="32"/>
      <w:szCs w:val="44"/>
      <w:lang w:val="en-US" w:eastAsia="zh-CN" w:bidi="ar-SA"/>
    </w:rPr>
  </w:style>
  <w:style w:type="character" w:styleId="974">
    <w:name w:val="Char Char19"/>
    <w:next w:val="974"/>
    <w:link w:val="706"/>
    <w:qFormat/>
    <w:rPr>
      <w:rFonts w:ascii="Arial" w:hAnsi="Arial" w:eastAsia="宋体" w:cs="Times New Roman"/>
      <w:b/>
      <w:bCs/>
      <w:szCs w:val="28"/>
    </w:rPr>
  </w:style>
  <w:style w:type="character" w:styleId="975">
    <w:name w:val="Plain Text Char"/>
    <w:next w:val="975"/>
    <w:link w:val="706"/>
    <w:qFormat/>
    <w:rPr>
      <w:rFonts w:ascii="宋体" w:hAnsi="Courier New" w:eastAsia="宋体"/>
      <w:sz w:val="24"/>
      <w:lang w:bidi="ar-SA"/>
    </w:rPr>
  </w:style>
  <w:style w:type="character" w:styleId="976">
    <w:name w:val="无间隔 Char"/>
    <w:next w:val="976"/>
    <w:link w:val="977"/>
    <w:qFormat/>
    <w:rPr>
      <w:szCs w:val="24"/>
    </w:rPr>
  </w:style>
  <w:style w:type="paragraph" w:styleId="977">
    <w:name w:val="无间隔"/>
    <w:next w:val="977"/>
    <w:link w:val="976"/>
    <w:qFormat/>
    <w:pPr>
      <w:jc w:val="both"/>
      <w:widowControl w:val="off"/>
    </w:pPr>
    <w:rPr>
      <w:szCs w:val="24"/>
      <w:lang w:val="en-US" w:eastAsia="zh-CN" w:bidi="ar-SA"/>
    </w:rPr>
  </w:style>
  <w:style w:type="character" w:styleId="978">
    <w:name w:val="标题 Char3"/>
    <w:next w:val="978"/>
    <w:link w:val="706"/>
    <w:qFormat/>
    <w:rPr>
      <w:rFonts w:ascii="Cambria" w:hAnsi="Cambria" w:cs="Times New Roman"/>
      <w:b/>
      <w:bCs/>
      <w:sz w:val="32"/>
      <w:szCs w:val="32"/>
    </w:rPr>
  </w:style>
  <w:style w:type="character" w:styleId="979">
    <w:name w:val="批注文字 Char2"/>
    <w:next w:val="979"/>
    <w:link w:val="706"/>
    <w:qFormat/>
    <w:rPr>
      <w:rFonts w:eastAsia="宋体"/>
      <w:sz w:val="21"/>
      <w:szCs w:val="24"/>
      <w:lang w:val="en-US" w:eastAsia="zh-CN" w:bidi="ar-SA"/>
    </w:rPr>
  </w:style>
  <w:style w:type="character" w:styleId="980">
    <w:name w:val="正文文本 3 Char1"/>
    <w:next w:val="980"/>
    <w:link w:val="706"/>
    <w:uiPriority w:val="99"/>
    <w:qFormat/>
    <w:rPr>
      <w:rFonts w:eastAsia="楷体_GB2312"/>
      <w:sz w:val="16"/>
      <w:szCs w:val="16"/>
    </w:rPr>
  </w:style>
  <w:style w:type="character" w:styleId="981">
    <w:name w:val="Char Char23"/>
    <w:next w:val="981"/>
    <w:link w:val="706"/>
    <w:qFormat/>
    <w:rPr>
      <w:rFonts w:eastAsia="宋体"/>
      <w:b/>
      <w:bCs/>
      <w:sz w:val="32"/>
      <w:szCs w:val="44"/>
      <w:lang w:val="en-US" w:eastAsia="zh-CN" w:bidi="ar-SA"/>
    </w:rPr>
  </w:style>
  <w:style w:type="character" w:styleId="982">
    <w:name w:val="标题 1 Char1"/>
    <w:next w:val="982"/>
    <w:link w:val="706"/>
    <w:qFormat/>
    <w:rPr>
      <w:rFonts w:ascii="Calibri" w:hAnsi="Calibri" w:eastAsia="宋体" w:cs="Arial"/>
      <w:b/>
      <w:sz w:val="44"/>
      <w:szCs w:val="20"/>
    </w:rPr>
  </w:style>
  <w:style w:type="character" w:styleId="983">
    <w:name w:val="文档结构图 Char1"/>
    <w:next w:val="983"/>
    <w:link w:val="706"/>
    <w:qFormat/>
    <w:rPr>
      <w:rFonts w:ascii="宋体"/>
      <w:sz w:val="18"/>
      <w:szCs w:val="18"/>
    </w:rPr>
  </w:style>
  <w:style w:type="character" w:styleId="984">
    <w:name w:val="正文首行缩进 2 Char1"/>
    <w:next w:val="984"/>
    <w:link w:val="706"/>
    <w:uiPriority w:val="99"/>
    <w:qFormat/>
    <w:rPr>
      <w:rFonts w:ascii="方正仿宋简体" w:hAnsi="创艺简仿宋" w:eastAsia="楷体_GB2312"/>
      <w:sz w:val="26"/>
    </w:rPr>
  </w:style>
  <w:style w:type="character" w:styleId="985">
    <w:name w:val="Comment Subject Char"/>
    <w:next w:val="985"/>
    <w:link w:val="706"/>
    <w:qFormat/>
    <w:rPr>
      <w:b/>
      <w:sz w:val="24"/>
      <w:lang w:bidi="ar-SA"/>
    </w:rPr>
  </w:style>
  <w:style w:type="character" w:styleId="986">
    <w:name w:val="Definition"/>
    <w:next w:val="986"/>
    <w:link w:val="706"/>
    <w:qFormat/>
    <w:rPr>
      <w:i/>
    </w:rPr>
  </w:style>
  <w:style w:type="character" w:styleId="987">
    <w:name w:val="Title Char"/>
    <w:next w:val="987"/>
    <w:link w:val="706"/>
    <w:qFormat/>
    <w:rPr>
      <w:rFonts w:ascii="Cambria" w:hAnsi="Cambria"/>
      <w:b/>
      <w:sz w:val="32"/>
      <w:lang w:bidi="ar-SA"/>
    </w:rPr>
  </w:style>
  <w:style w:type="character" w:styleId="988">
    <w:name w:val="标题 2 Char_0"/>
    <w:next w:val="988"/>
    <w:link w:val="989"/>
    <w:qFormat/>
    <w:rPr>
      <w:rFonts w:ascii="Calibri" w:hAnsi="Calibri"/>
    </w:rPr>
  </w:style>
  <w:style w:type="paragraph" w:styleId="989">
    <w:name w:val="标题 2_0"/>
    <w:basedOn w:val="706"/>
    <w:next w:val="989"/>
    <w:link w:val="988"/>
    <w:qFormat/>
    <w:rPr>
      <w:rFonts w:ascii="Calibri" w:hAnsi="Calibri" w:eastAsia="宋体"/>
      <w:sz w:val="20"/>
    </w:rPr>
  </w:style>
  <w:style w:type="character" w:styleId="990">
    <w:name w:val="Header Char"/>
    <w:next w:val="990"/>
    <w:link w:val="706"/>
    <w:qFormat/>
    <w:rPr>
      <w:rFonts w:eastAsia="宋体"/>
      <w:sz w:val="18"/>
      <w:szCs w:val="18"/>
      <w:lang w:val="en-US" w:eastAsia="zh-CN" w:bidi="ar-SA"/>
    </w:rPr>
  </w:style>
  <w:style w:type="character" w:styleId="991">
    <w:name w:val="Keyboard"/>
    <w:next w:val="991"/>
    <w:link w:val="706"/>
    <w:qFormat/>
    <w:rPr>
      <w:rFonts w:ascii="Courier New" w:hAnsi="Courier New"/>
      <w:b/>
      <w:sz w:val="20"/>
    </w:rPr>
  </w:style>
  <w:style w:type="character" w:styleId="992">
    <w:name w:val="标题 3 Char1"/>
    <w:next w:val="992"/>
    <w:link w:val="706"/>
    <w:qFormat/>
    <w:rPr>
      <w:rFonts w:ascii="Calibri" w:hAnsi="Calibri" w:eastAsia="宋体" w:cs="Arial"/>
      <w:b/>
      <w:sz w:val="32"/>
      <w:szCs w:val="20"/>
    </w:rPr>
  </w:style>
  <w:style w:type="character" w:styleId="993">
    <w:name w:val="Heading 3 Char1"/>
    <w:next w:val="993"/>
    <w:link w:val="706"/>
    <w:qFormat/>
    <w:rPr>
      <w:rFonts w:eastAsia="宋体"/>
      <w:b/>
      <w:bCs/>
      <w:sz w:val="24"/>
      <w:szCs w:val="32"/>
      <w:lang w:val="en-US" w:eastAsia="zh-CN" w:bidi="ar-SA"/>
    </w:rPr>
  </w:style>
  <w:style w:type="paragraph" w:styleId="994">
    <w:name w:val="正文_0"/>
    <w:next w:val="994"/>
    <w:link w:val="706"/>
    <w:qFormat/>
    <w:pPr>
      <w:jc w:val="both"/>
      <w:widowControl w:val="off"/>
    </w:pPr>
    <w:rPr>
      <w:rFonts w:ascii="Calibri" w:hAnsi="Calibri"/>
      <w:sz w:val="21"/>
      <w:szCs w:val="22"/>
      <w:lang w:val="en-US" w:eastAsia="zh-CN" w:bidi="ar-SA"/>
    </w:rPr>
  </w:style>
  <w:style w:type="character" w:styleId="995">
    <w:name w:val="正文文本 Char3"/>
    <w:next w:val="995"/>
    <w:link w:val="706"/>
    <w:uiPriority w:val="99"/>
    <w:qFormat/>
    <w:rPr>
      <w:sz w:val="21"/>
      <w:szCs w:val="24"/>
    </w:rPr>
  </w:style>
  <w:style w:type="character" w:styleId="996">
    <w:name w:val="批注文字 Char4"/>
    <w:next w:val="996"/>
    <w:link w:val="706"/>
    <w:uiPriority w:val="99"/>
    <w:semiHidden/>
    <w:qFormat/>
    <w:rPr>
      <w:rFonts w:ascii="Times New Roman" w:hAnsi="Times New Roman" w:eastAsia="宋体" w:cs="Times New Roman"/>
      <w:szCs w:val="24"/>
    </w:rPr>
  </w:style>
  <w:style w:type="character" w:styleId="997">
    <w:name w:val="标题 Char4"/>
    <w:next w:val="997"/>
    <w:link w:val="706"/>
    <w:uiPriority w:val="10"/>
    <w:qFormat/>
    <w:rPr>
      <w:rFonts w:ascii="Cambria" w:hAnsi="Cambria" w:cs="Times New Roman"/>
      <w:b/>
      <w:bCs/>
      <w:sz w:val="32"/>
      <w:szCs w:val="32"/>
    </w:rPr>
  </w:style>
  <w:style w:type="character" w:styleId="998">
    <w:name w:val="文档结构图 Char2"/>
    <w:next w:val="998"/>
    <w:link w:val="706"/>
    <w:uiPriority w:val="99"/>
    <w:qFormat/>
    <w:rPr>
      <w:rFonts w:ascii="宋体"/>
      <w:sz w:val="18"/>
      <w:szCs w:val="18"/>
    </w:rPr>
  </w:style>
  <w:style w:type="character" w:styleId="999">
    <w:name w:val="脚注文本 Char2"/>
    <w:next w:val="999"/>
    <w:link w:val="706"/>
    <w:uiPriority w:val="99"/>
    <w:qFormat/>
    <w:rPr>
      <w:sz w:val="18"/>
      <w:szCs w:val="18"/>
    </w:rPr>
  </w:style>
  <w:style w:type="paragraph" w:styleId="1000">
    <w:name w:val="z-Top of Form"/>
    <w:next w:val="706"/>
    <w:link w:val="706"/>
    <w:qFormat/>
    <w:pPr>
      <w:jc w:val="center"/>
      <w:widowControl w:val="off"/>
      <w:pBdr>
        <w:bottom w:val="single" w:color="000000" w:sz="2" w:space="0"/>
      </w:pBdr>
    </w:pPr>
    <w:rPr>
      <w:rFonts w:ascii="Arial" w:hAnsi="Arial"/>
      <w:vanish/>
      <w:sz w:val="16"/>
      <w:lang w:val="en-US" w:eastAsia="zh-CN" w:bidi="ar-SA"/>
    </w:rPr>
  </w:style>
  <w:style w:type="paragraph" w:styleId="1001">
    <w:name w:val="样式1"/>
    <w:basedOn w:val="706"/>
    <w:next w:val="710"/>
    <w:link w:val="706"/>
    <w:qFormat/>
    <w:pPr>
      <w:ind w:firstLine="420"/>
      <w:spacing w:line="360" w:lineRule="auto"/>
    </w:pPr>
    <w:rPr>
      <w:rFonts w:ascii="宋体" w:hAnsi="宋体" w:eastAsia="宋体"/>
      <w:sz w:val="21"/>
      <w:szCs w:val="21"/>
    </w:rPr>
  </w:style>
  <w:style w:type="paragraph" w:styleId="1002">
    <w:name w:val="TOC 标题_0"/>
    <w:basedOn w:val="1003"/>
    <w:next w:val="994"/>
    <w:link w:val="706"/>
    <w:qFormat/>
    <w:pPr>
      <w:outlineLvl w:val="9"/>
    </w:pPr>
    <w:rPr>
      <w:rFonts w:ascii="Calibri" w:hAnsi="Calibri"/>
    </w:rPr>
  </w:style>
  <w:style w:type="paragraph" w:styleId="1003">
    <w:name w:val="标题 1_0"/>
    <w:basedOn w:val="994"/>
    <w:next w:val="1004"/>
    <w:link w:val="706"/>
    <w:qFormat/>
    <w:pPr>
      <w:keepLines/>
      <w:keepNext/>
      <w:spacing w:before="340" w:after="330" w:line="576" w:lineRule="auto"/>
      <w:outlineLvl w:val="0"/>
    </w:pPr>
    <w:rPr>
      <w:rFonts w:ascii="Times New Roman" w:hAnsi="Times New Roman"/>
      <w:b/>
      <w:bCs/>
      <w:sz w:val="44"/>
      <w:szCs w:val="44"/>
    </w:rPr>
  </w:style>
  <w:style w:type="paragraph" w:styleId="1004">
    <w:name w:val="正文_1_0_0"/>
    <w:next w:val="1004"/>
    <w:link w:val="706"/>
    <w:uiPriority w:val="99"/>
    <w:qFormat/>
    <w:pPr>
      <w:jc w:val="both"/>
      <w:widowControl w:val="off"/>
    </w:pPr>
    <w:rPr>
      <w:sz w:val="21"/>
      <w:szCs w:val="22"/>
      <w:lang w:val="en-US" w:eastAsia="zh-CN" w:bidi="ar-SA"/>
    </w:rPr>
  </w:style>
  <w:style w:type="paragraph" w:styleId="1005">
    <w:name w:val="样式 标题 3 + (中文) 黑体 小四 非加粗 段前: 7.8 磅 段后: 0 磅 行距: 固定值 20 磅"/>
    <w:basedOn w:val="709"/>
    <w:next w:val="1005"/>
    <w:link w:val="706"/>
    <w:qFormat/>
    <w:pPr>
      <w:jc w:val="both"/>
      <w:spacing w:line="400" w:lineRule="exact"/>
    </w:pPr>
    <w:rPr>
      <w:rFonts w:eastAsia="黑体" w:cs="宋体"/>
      <w:b w:val="0"/>
      <w:sz w:val="21"/>
    </w:rPr>
  </w:style>
  <w:style w:type="character" w:styleId="1006">
    <w:name w:val="正文文本 2 Char1"/>
    <w:next w:val="1006"/>
    <w:link w:val="706"/>
    <w:uiPriority w:val="99"/>
    <w:qFormat/>
    <w:rPr>
      <w:sz w:val="21"/>
      <w:szCs w:val="24"/>
    </w:rPr>
  </w:style>
  <w:style w:type="paragraph" w:styleId="1007">
    <w:name w:val="Blockquote"/>
    <w:basedOn w:val="706"/>
    <w:next w:val="1007"/>
    <w:link w:val="706"/>
    <w:qFormat/>
    <w:pPr>
      <w:ind w:left="360" w:right="360"/>
      <w:jc w:val="left"/>
      <w:spacing w:before="100" w:after="100"/>
    </w:pPr>
    <w:rPr>
      <w:rFonts w:ascii="Calibri" w:hAnsi="Calibri" w:eastAsia="宋体"/>
      <w:sz w:val="24"/>
    </w:rPr>
  </w:style>
  <w:style w:type="paragraph" w:styleId="1008">
    <w:name w:val="标题 3_0"/>
    <w:basedOn w:val="994"/>
    <w:next w:val="994"/>
    <w:link w:val="706"/>
    <w:qFormat/>
    <w:pPr>
      <w:keepLines/>
      <w:keepNext/>
      <w:spacing w:before="260" w:after="260" w:line="413" w:lineRule="auto"/>
      <w:outlineLvl w:val="2"/>
    </w:pPr>
    <w:rPr>
      <w:rFonts w:ascii="Times New Roman" w:hAnsi="Times New Roman"/>
      <w:b/>
      <w:bCs/>
      <w:sz w:val="32"/>
      <w:szCs w:val="32"/>
    </w:rPr>
  </w:style>
  <w:style w:type="paragraph" w:styleId="1009">
    <w:name w:val="表格"/>
    <w:basedOn w:val="706"/>
    <w:next w:val="1009"/>
    <w:link w:val="706"/>
    <w:qFormat/>
    <w:pPr>
      <w:jc w:val="center"/>
    </w:pPr>
    <w:rPr>
      <w:rFonts w:ascii="华文细黑" w:hAnsi="华文细黑" w:eastAsia="宋体"/>
      <w:sz w:val="21"/>
    </w:rPr>
  </w:style>
  <w:style w:type="character" w:styleId="1010">
    <w:name w:val="明显引用 Char3"/>
    <w:next w:val="1010"/>
    <w:link w:val="706"/>
    <w:uiPriority w:val="30"/>
    <w:qFormat/>
    <w:rPr>
      <w:b/>
      <w:bCs/>
      <w:i/>
      <w:iCs/>
      <w:color w:val="4f81bd"/>
      <w:sz w:val="21"/>
      <w:szCs w:val="24"/>
    </w:rPr>
  </w:style>
  <w:style w:type="paragraph" w:styleId="1011">
    <w:name w:val="Definition List"/>
    <w:basedOn w:val="706"/>
    <w:next w:val="1012"/>
    <w:link w:val="706"/>
    <w:qFormat/>
    <w:pPr>
      <w:ind w:left="360"/>
      <w:jc w:val="left"/>
    </w:pPr>
    <w:rPr>
      <w:rFonts w:ascii="Calibri" w:hAnsi="Calibri" w:eastAsia="宋体"/>
      <w:sz w:val="24"/>
    </w:rPr>
  </w:style>
  <w:style w:type="paragraph" w:styleId="1012">
    <w:name w:val="Definition Term"/>
    <w:basedOn w:val="706"/>
    <w:next w:val="1011"/>
    <w:link w:val="706"/>
    <w:qFormat/>
    <w:pPr>
      <w:jc w:val="left"/>
    </w:pPr>
    <w:rPr>
      <w:rFonts w:ascii="Calibri" w:hAnsi="Calibri" w:eastAsia="宋体"/>
      <w:sz w:val="24"/>
    </w:rPr>
  </w:style>
  <w:style w:type="paragraph" w:styleId="1013">
    <w:name w:val="st4.5"/>
    <w:next w:val="1013"/>
    <w:link w:val="706"/>
    <w:uiPriority w:val="99"/>
    <w:qFormat/>
    <w:pPr>
      <w:ind w:firstLine="426"/>
      <w:jc w:val="both"/>
      <w:spacing w:line="360" w:lineRule="auto"/>
      <w:widowControl w:val="off"/>
    </w:pPr>
    <w:rPr>
      <w:rFonts w:ascii="仿宋_GB2312" w:eastAsia="仿宋_GB2312" w:cs="仿宋_GB2312"/>
      <w:sz w:val="28"/>
      <w:szCs w:val="28"/>
      <w:lang w:val="en-US" w:eastAsia="zh-CN" w:bidi="ar-SA"/>
    </w:rPr>
  </w:style>
  <w:style w:type="paragraph" w:styleId="1014">
    <w:name w:val="1"/>
    <w:basedOn w:val="706"/>
    <w:next w:val="706"/>
    <w:link w:val="706"/>
    <w:qFormat/>
    <w:rPr>
      <w:rFonts w:eastAsia="宋体"/>
      <w:sz w:val="21"/>
      <w:szCs w:val="24"/>
    </w:rPr>
  </w:style>
  <w:style w:type="paragraph" w:styleId="1015">
    <w:name w:val="样式 (西文) 仿宋_GB2312 居中 行距: 1.5 倍行距"/>
    <w:basedOn w:val="706"/>
    <w:next w:val="1015"/>
    <w:link w:val="706"/>
    <w:qFormat/>
    <w:pPr>
      <w:jc w:val="center"/>
      <w:spacing w:line="360" w:lineRule="auto"/>
    </w:pPr>
    <w:rPr>
      <w:rFonts w:ascii="宋体" w:hAnsi="宋体" w:eastAsia="宋体" w:cs="宋体"/>
      <w:sz w:val="21"/>
    </w:rPr>
  </w:style>
  <w:style w:type="paragraph" w:styleId="1016">
    <w:name w:val="正文缩进_0"/>
    <w:basedOn w:val="929"/>
    <w:next w:val="1016"/>
    <w:link w:val="706"/>
    <w:qFormat/>
    <w:pPr>
      <w:ind w:firstLine="420"/>
      <w:jc w:val="both"/>
      <w:widowControl w:val="off"/>
    </w:pPr>
    <w:rPr>
      <w:u w:val="single"/>
    </w:rPr>
  </w:style>
  <w:style w:type="paragraph" w:styleId="1017">
    <w:name w:val="标题 4_0"/>
    <w:basedOn w:val="1004"/>
    <w:next w:val="1004"/>
    <w:link w:val="706"/>
    <w:qFormat/>
    <w:pPr>
      <w:keepLines/>
      <w:keepNext/>
      <w:spacing w:before="280" w:after="290" w:line="372" w:lineRule="auto"/>
      <w:outlineLvl w:val="3"/>
    </w:pPr>
    <w:rPr>
      <w:rFonts w:ascii="Cambria" w:hAnsi="Cambria"/>
      <w:b/>
      <w:bCs/>
      <w:sz w:val="28"/>
      <w:szCs w:val="28"/>
    </w:rPr>
  </w:style>
  <w:style w:type="paragraph" w:styleId="1018">
    <w:name w:val="H2"/>
    <w:basedOn w:val="706"/>
    <w:next w:val="706"/>
    <w:link w:val="706"/>
    <w:qFormat/>
    <w:pPr>
      <w:jc w:val="left"/>
      <w:keepNext/>
      <w:spacing w:before="100" w:after="100"/>
      <w:outlineLvl w:val="2"/>
    </w:pPr>
    <w:rPr>
      <w:rFonts w:ascii="Calibri" w:hAnsi="Calibri" w:eastAsia="宋体"/>
      <w:b/>
      <w:sz w:val="36"/>
    </w:rPr>
  </w:style>
  <w:style w:type="paragraph" w:styleId="1019">
    <w:name w:val="flNote"/>
    <w:basedOn w:val="706"/>
    <w:next w:val="1019"/>
    <w:link w:val="706"/>
    <w:qFormat/>
    <w:pPr>
      <w:jc w:val="center"/>
      <w:spacing w:before="320" w:after="160" w:line="360" w:lineRule="atLeast"/>
    </w:pPr>
    <w:rPr>
      <w:rFonts w:ascii="Arial" w:eastAsia="黑体"/>
      <w:sz w:val="30"/>
    </w:rPr>
  </w:style>
  <w:style w:type="paragraph" w:styleId="1020">
    <w:name w:val="修订1"/>
    <w:next w:val="1020"/>
    <w:link w:val="706"/>
    <w:qFormat/>
    <w:rPr>
      <w:sz w:val="21"/>
      <w:szCs w:val="24"/>
      <w:lang w:val="en-US" w:eastAsia="zh-CN" w:bidi="ar-SA"/>
    </w:rPr>
  </w:style>
  <w:style w:type="paragraph" w:styleId="1021">
    <w:name w:val="H6"/>
    <w:basedOn w:val="706"/>
    <w:next w:val="706"/>
    <w:link w:val="706"/>
    <w:qFormat/>
    <w:pPr>
      <w:jc w:val="left"/>
      <w:keepNext/>
      <w:spacing w:before="100" w:after="100"/>
      <w:outlineLvl w:val="6"/>
    </w:pPr>
    <w:rPr>
      <w:rFonts w:ascii="Calibri" w:hAnsi="Calibri" w:eastAsia="宋体"/>
      <w:b/>
      <w:sz w:val="16"/>
    </w:rPr>
  </w:style>
  <w:style w:type="paragraph" w:styleId="1022">
    <w:name w:val="无间隔1"/>
    <w:next w:val="1022"/>
    <w:link w:val="706"/>
    <w:qFormat/>
    <w:pPr>
      <w:jc w:val="both"/>
      <w:widowControl w:val="off"/>
    </w:pPr>
    <w:rPr>
      <w:sz w:val="21"/>
      <w:szCs w:val="24"/>
      <w:lang w:val="en-US" w:eastAsia="zh-CN" w:bidi="ar-SA"/>
    </w:rPr>
  </w:style>
  <w:style w:type="paragraph" w:styleId="1023">
    <w:name w:val="reader-word-layer"/>
    <w:basedOn w:val="706"/>
    <w:next w:val="1023"/>
    <w:link w:val="706"/>
    <w:qFormat/>
    <w:pPr>
      <w:jc w:val="left"/>
      <w:spacing w:before="100" w:beforeAutospacing="1" w:after="100" w:afterAutospacing="1"/>
      <w:widowControl/>
    </w:pPr>
    <w:rPr>
      <w:rFonts w:ascii="宋体" w:hAnsi="宋体" w:eastAsia="宋体" w:cs="宋体"/>
      <w:sz w:val="24"/>
      <w:szCs w:val="24"/>
    </w:rPr>
  </w:style>
  <w:style w:type="paragraph" w:styleId="1024">
    <w:name w:val="TOC 标题1"/>
    <w:basedOn w:val="707"/>
    <w:next w:val="706"/>
    <w:link w:val="706"/>
    <w:qFormat/>
    <w:pPr>
      <w:spacing w:line="576" w:lineRule="auto"/>
      <w:outlineLvl w:val="9"/>
    </w:pPr>
    <w:rPr>
      <w:rFonts w:ascii="Calibri" w:hAnsi="Calibri" w:eastAsia="黑体"/>
      <w:bCs/>
      <w:szCs w:val="44"/>
    </w:rPr>
  </w:style>
  <w:style w:type="paragraph" w:styleId="1025">
    <w:name w:val="正文文本_0"/>
    <w:basedOn w:val="994"/>
    <w:next w:val="1025"/>
    <w:link w:val="706"/>
    <w:qFormat/>
    <w:pPr>
      <w:ind w:left="72" w:right="30"/>
      <w:jc w:val="center"/>
      <w:spacing w:after="60" w:line="360" w:lineRule="atLeast"/>
    </w:pPr>
    <w:rPr>
      <w:rFonts w:ascii="Times New Roman" w:hAnsi="Times New Roman"/>
      <w:sz w:val="20"/>
      <w:szCs w:val="20"/>
    </w:rPr>
  </w:style>
  <w:style w:type="paragraph" w:styleId="1026">
    <w:name w:val="Char Char Char Char Char Char Char"/>
    <w:basedOn w:val="706"/>
    <w:next w:val="1026"/>
    <w:link w:val="706"/>
    <w:qFormat/>
    <w:pPr>
      <w:jc w:val="left"/>
      <w:spacing w:after="160" w:line="240" w:lineRule="exact"/>
      <w:widowControl/>
    </w:pPr>
    <w:rPr>
      <w:rFonts w:eastAsia="宋体"/>
      <w:sz w:val="21"/>
      <w:szCs w:val="24"/>
    </w:rPr>
  </w:style>
  <w:style w:type="paragraph" w:styleId="1027">
    <w:name w:val="_Style 37"/>
    <w:basedOn w:val="706"/>
    <w:next w:val="706"/>
    <w:link w:val="706"/>
    <w:qFormat/>
    <w:rPr>
      <w:rFonts w:eastAsia="宋体"/>
      <w:sz w:val="21"/>
      <w:szCs w:val="24"/>
    </w:rPr>
  </w:style>
  <w:style w:type="paragraph" w:styleId="1028">
    <w:name w:val="样式 标题 2 + Times New Roman 四号 非加粗 段前: 5 磅 段后: 0 磅 行距: 固定值 20..."/>
    <w:basedOn w:val="708"/>
    <w:next w:val="1028"/>
    <w:link w:val="706"/>
    <w:qFormat/>
    <w:pPr>
      <w:jc w:val="both"/>
      <w:spacing w:before="100" w:line="400" w:lineRule="exact"/>
    </w:pPr>
    <w:rPr>
      <w:rFonts w:ascii="Times New Roman" w:hAnsi="Times New Roman" w:eastAsia="黑体" w:cs="宋体"/>
      <w:b w:val="0"/>
      <w:sz w:val="28"/>
    </w:rPr>
  </w:style>
  <w:style w:type="paragraph" w:styleId="1029">
    <w:name w:val="H3"/>
    <w:basedOn w:val="706"/>
    <w:next w:val="706"/>
    <w:link w:val="706"/>
    <w:qFormat/>
    <w:pPr>
      <w:jc w:val="left"/>
      <w:keepNext/>
      <w:spacing w:before="100" w:after="100"/>
      <w:outlineLvl w:val="3"/>
    </w:pPr>
    <w:rPr>
      <w:rFonts w:ascii="Calibri" w:hAnsi="Calibri" w:eastAsia="宋体"/>
      <w:b/>
      <w:sz w:val="28"/>
    </w:rPr>
  </w:style>
  <w:style w:type="paragraph" w:styleId="1030">
    <w:name w:val="2-2ji"/>
    <w:basedOn w:val="708"/>
    <w:next w:val="1030"/>
    <w:link w:val="706"/>
    <w:qFormat/>
    <w:pPr>
      <w:jc w:val="center"/>
      <w:spacing w:line="360" w:lineRule="auto"/>
    </w:pPr>
    <w:rPr>
      <w:rFonts w:eastAsia="宋体"/>
      <w:bCs/>
      <w:sz w:val="36"/>
      <w:szCs w:val="24"/>
    </w:rPr>
  </w:style>
  <w:style w:type="paragraph" w:styleId="1031">
    <w:name w:val="空半行"/>
    <w:basedOn w:val="706"/>
    <w:next w:val="1031"/>
    <w:link w:val="706"/>
    <w:qFormat/>
    <w:pPr>
      <w:spacing w:line="120" w:lineRule="exact"/>
    </w:pPr>
    <w:rPr>
      <w:rFonts w:eastAsia="仿宋_GB2312"/>
      <w:color w:val="ffffff"/>
      <w:sz w:val="30"/>
    </w:rPr>
  </w:style>
  <w:style w:type="paragraph" w:styleId="1032">
    <w:name w:val="正文_3"/>
    <w:next w:val="1032"/>
    <w:link w:val="706"/>
    <w:qFormat/>
    <w:pPr>
      <w:jc w:val="both"/>
      <w:widowControl w:val="off"/>
    </w:pPr>
    <w:rPr>
      <w:rFonts w:ascii="Calibri" w:hAnsi="Calibri"/>
      <w:sz w:val="21"/>
      <w:szCs w:val="22"/>
      <w:lang w:val="en-US" w:eastAsia="zh-CN" w:bidi="ar-SA"/>
    </w:rPr>
  </w:style>
  <w:style w:type="paragraph" w:styleId="1033">
    <w:name w:val="样式 标题 1 + 黑体 三号 非加粗 居中 段前: 6 磅 段后: 6 磅 行距: 固定值 20 磅"/>
    <w:basedOn w:val="707"/>
    <w:next w:val="1033"/>
    <w:link w:val="706"/>
    <w:qFormat/>
    <w:pPr>
      <w:spacing w:line="400" w:lineRule="exact"/>
    </w:pPr>
    <w:rPr>
      <w:rFonts w:hAnsi="黑体" w:eastAsia="宋体" w:cs="宋体"/>
      <w:b w:val="0"/>
      <w:bCs/>
      <w:sz w:val="32"/>
    </w:rPr>
  </w:style>
  <w:style w:type="paragraph" w:styleId="1034">
    <w:name w:val="默认段落字体 Para Char Char Char Char Char Char Char"/>
    <w:basedOn w:val="706"/>
    <w:next w:val="1034"/>
    <w:link w:val="706"/>
    <w:qFormat/>
    <w:rPr>
      <w:rFonts w:ascii="Tahoma" w:hAnsi="Tahoma" w:eastAsia="宋体"/>
      <w:sz w:val="24"/>
    </w:rPr>
  </w:style>
  <w:style w:type="paragraph" w:styleId="1035">
    <w:name w:val="H1"/>
    <w:basedOn w:val="706"/>
    <w:next w:val="706"/>
    <w:link w:val="706"/>
    <w:qFormat/>
    <w:pPr>
      <w:jc w:val="left"/>
      <w:keepNext/>
      <w:spacing w:before="100" w:after="100"/>
      <w:outlineLvl w:val="1"/>
    </w:pPr>
    <w:rPr>
      <w:rFonts w:ascii="Calibri" w:hAnsi="Calibri" w:eastAsia="宋体"/>
      <w:b/>
      <w:sz w:val="48"/>
    </w:rPr>
  </w:style>
  <w:style w:type="paragraph" w:styleId="1036">
    <w:name w:val="H4"/>
    <w:basedOn w:val="706"/>
    <w:next w:val="706"/>
    <w:link w:val="706"/>
    <w:qFormat/>
    <w:pPr>
      <w:jc w:val="left"/>
      <w:keepNext/>
      <w:spacing w:before="100" w:after="100"/>
      <w:outlineLvl w:val="4"/>
    </w:pPr>
    <w:rPr>
      <w:rFonts w:ascii="Calibri" w:hAnsi="Calibri" w:eastAsia="宋体"/>
      <w:b/>
      <w:sz w:val="24"/>
    </w:rPr>
  </w:style>
  <w:style w:type="paragraph" w:styleId="1037">
    <w:name w:val="H5"/>
    <w:basedOn w:val="706"/>
    <w:next w:val="706"/>
    <w:link w:val="706"/>
    <w:qFormat/>
    <w:pPr>
      <w:jc w:val="left"/>
      <w:keepNext/>
      <w:spacing w:before="100" w:after="100"/>
      <w:outlineLvl w:val="5"/>
    </w:pPr>
    <w:rPr>
      <w:rFonts w:ascii="Calibri" w:hAnsi="Calibri" w:eastAsia="宋体"/>
      <w:b/>
      <w:sz w:val="20"/>
    </w:rPr>
  </w:style>
  <w:style w:type="paragraph" w:styleId="1038">
    <w:name w:val="Address"/>
    <w:basedOn w:val="706"/>
    <w:next w:val="706"/>
    <w:link w:val="706"/>
    <w:qFormat/>
    <w:pPr>
      <w:jc w:val="left"/>
    </w:pPr>
    <w:rPr>
      <w:rFonts w:ascii="Calibri" w:hAnsi="Calibri" w:eastAsia="宋体"/>
      <w:i/>
      <w:sz w:val="24"/>
    </w:rPr>
  </w:style>
  <w:style w:type="paragraph" w:styleId="1039">
    <w:name w:val="Preformatted"/>
    <w:basedOn w:val="706"/>
    <w:next w:val="1039"/>
    <w:link w:val="706"/>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sz w:val="20"/>
    </w:rPr>
  </w:style>
  <w:style w:type="paragraph" w:styleId="1040">
    <w:name w:val="z-Bottom of Form"/>
    <w:next w:val="706"/>
    <w:link w:val="706"/>
    <w:qFormat/>
    <w:pPr>
      <w:jc w:val="center"/>
      <w:widowControl w:val="off"/>
      <w:pBdr>
        <w:top w:val="single" w:color="000000" w:sz="2" w:space="0"/>
      </w:pBdr>
    </w:pPr>
    <w:rPr>
      <w:rFonts w:ascii="Arial" w:hAnsi="Arial"/>
      <w:vanish/>
      <w:sz w:val="16"/>
      <w:lang w:val="en-US" w:eastAsia="zh-CN" w:bidi="ar-SA"/>
    </w:rPr>
  </w:style>
  <w:style w:type="paragraph" w:styleId="1041">
    <w:name w:val="_Style 325"/>
    <w:next w:val="1041"/>
    <w:link w:val="706"/>
    <w:uiPriority w:val="99"/>
    <w:unhideWhenUsed/>
    <w:qFormat/>
    <w:pPr>
      <w:jc w:val="both"/>
      <w:widowControl w:val="off"/>
    </w:pPr>
    <w:rPr>
      <w:rFonts w:eastAsia="楷体_GB2312"/>
      <w:sz w:val="26"/>
      <w:lang w:val="en-US" w:eastAsia="zh-CN" w:bidi="ar-SA"/>
    </w:rPr>
  </w:style>
  <w:style w:type="paragraph" w:styleId="1042">
    <w:name w:val="正文(其它)"/>
    <w:basedOn w:val="706"/>
    <w:next w:val="1042"/>
    <w:link w:val="706"/>
    <w:qFormat/>
    <w:pPr>
      <w:jc w:val="center"/>
      <w:spacing w:line="312" w:lineRule="auto"/>
    </w:pPr>
    <w:rPr>
      <w:rFonts w:ascii="黑体" w:eastAsia="黑体"/>
      <w:sz w:val="32"/>
      <w:szCs w:val="32"/>
    </w:rPr>
  </w:style>
  <w:style w:type="paragraph" w:styleId="1043">
    <w:name w:val="06正文"/>
    <w:basedOn w:val="706"/>
    <w:next w:val="1043"/>
    <w:link w:val="706"/>
    <w:qFormat/>
    <w:pPr>
      <w:ind w:firstLine="420"/>
      <w:spacing w:line="360" w:lineRule="auto"/>
      <w:widowControl/>
    </w:pPr>
    <w:rPr>
      <w:rFonts w:ascii="宋体" w:hAnsi="宋体"/>
      <w:szCs w:val="21"/>
    </w:rPr>
  </w:style>
  <w:style w:type="paragraph" w:styleId="1044">
    <w:name w:val="首行缩进"/>
    <w:basedOn w:val="706"/>
    <w:next w:val="1044"/>
    <w:link w:val="706"/>
    <w:qFormat/>
    <w:pPr>
      <w:ind w:firstLine="480"/>
    </w:pPr>
    <w:rPr>
      <w:rFonts w:ascii="Calibri" w:hAnsi="Calibri"/>
      <w:lang w:val="zh-CN"/>
    </w:rPr>
  </w:style>
  <w:style w:type="paragraph" w:styleId="1045">
    <w:name w:val="列表段落1"/>
    <w:basedOn w:val="706"/>
    <w:next w:val="1045"/>
    <w:link w:val="706"/>
    <w:uiPriority w:val="34"/>
    <w:qFormat/>
    <w:pPr>
      <w:ind w:firstLine="420"/>
    </w:pPr>
  </w:style>
  <w:style w:type="paragraph" w:styleId="1046">
    <w:name w:val="_正文段落"/>
    <w:basedOn w:val="706"/>
    <w:next w:val="1046"/>
    <w:link w:val="706"/>
    <w:qFormat/>
    <w:pPr>
      <w:ind w:firstLine="480"/>
      <w:spacing w:line="360" w:lineRule="auto"/>
    </w:pPr>
    <w:rPr>
      <w:rFonts w:ascii="宋体" w:hAnsi="宋体" w:eastAsia="宋体"/>
      <w:sz w:val="24"/>
      <w:szCs w:val="24"/>
    </w:rPr>
  </w:style>
  <w:style w:type="paragraph" w:styleId="1047">
    <w:name w:val="WPSOffice手动目录 1"/>
    <w:next w:val="1047"/>
    <w:link w:val="706"/>
    <w:rPr>
      <w:lang w:val="en-US" w:eastAsia="zh-CN" w:bidi="ar-SA"/>
    </w:rPr>
  </w:style>
  <w:style w:type="paragraph" w:styleId="1048">
    <w:name w:val="Normal1"/>
    <w:next w:val="1048"/>
    <w:link w:val="706"/>
    <w:qFormat/>
    <w:pPr>
      <w:jc w:val="both"/>
      <w:widowControl w:val="off"/>
    </w:pPr>
    <w:rPr>
      <w:sz w:val="21"/>
      <w:szCs w:val="22"/>
      <w:lang w:val="en-US" w:eastAsia="zh-CN" w:bidi="ar-SA"/>
    </w:rPr>
  </w:style>
  <w:style w:type="paragraph" w:styleId="1049">
    <w:name w:val="Heading 1_0"/>
    <w:next w:val="1049"/>
    <w:link w:val="706"/>
    <w:uiPriority w:val="99"/>
    <w:qFormat/>
    <w:pPr>
      <w:keepLines/>
      <w:keepNext/>
      <w:spacing w:before="340" w:after="330" w:line="576" w:lineRule="auto"/>
      <w:outlineLvl w:val="0"/>
    </w:pPr>
    <w:rPr>
      <w:rFonts w:cs="等线"/>
      <w:b/>
      <w:sz w:val="44"/>
      <w:lang w:val="en-US" w:eastAsia="zh-CN" w:bidi="ar-SA"/>
    </w:rPr>
  </w:style>
  <w:style w:type="paragraph" w:styleId="1050">
    <w:name w:val="Heading 41"/>
    <w:next w:val="1050"/>
    <w:link w:val="706"/>
    <w:uiPriority w:val="99"/>
    <w:qFormat/>
    <w:pPr>
      <w:keepLines/>
      <w:keepNext/>
      <w:spacing w:before="280" w:after="290" w:line="376" w:lineRule="auto"/>
      <w:outlineLvl w:val="3"/>
    </w:pPr>
    <w:rPr>
      <w:rFonts w:ascii="Arial" w:hAnsi="Arial" w:eastAsia="黑体" w:cs="等线"/>
      <w:b/>
      <w:bCs/>
      <w:sz w:val="28"/>
      <w:szCs w:val="28"/>
      <w:lang w:val="en-US" w:eastAsia="zh-CN" w:bidi="ar-SA"/>
    </w:rPr>
  </w:style>
  <w:style w:type="paragraph" w:styleId="1051">
    <w:name w:val="正文3"/>
    <w:next w:val="1051"/>
    <w:link w:val="706"/>
    <w:uiPriority w:val="99"/>
    <w:qFormat/>
    <w:pPr>
      <w:jc w:val="both"/>
      <w:widowControl w:val="off"/>
    </w:pPr>
    <w:rPr>
      <w:sz w:val="21"/>
      <w:szCs w:val="22"/>
      <w:lang w:val="en-US" w:eastAsia="zh-CN" w:bidi="ar-SA"/>
    </w:rPr>
  </w:style>
  <w:style w:type="paragraph" w:styleId="1052">
    <w:name w:val="正文_1_0_0_0"/>
    <w:next w:val="1052"/>
    <w:link w:val="706"/>
    <w:uiPriority w:val="99"/>
    <w:qFormat/>
    <w:pPr>
      <w:jc w:val="both"/>
      <w:widowControl w:val="off"/>
    </w:pPr>
    <w:rPr>
      <w:rFonts w:ascii="宋体"/>
      <w:sz w:val="21"/>
      <w:szCs w:val="24"/>
      <w:lang w:val="en-US" w:eastAsia="zh-CN" w:bidi="ar-SA"/>
    </w:rPr>
  </w:style>
  <w:style w:type="paragraph" w:styleId="1053">
    <w:name w:val="正文_0_0"/>
    <w:next w:val="1053"/>
    <w:link w:val="706"/>
    <w:uiPriority w:val="99"/>
    <w:qFormat/>
    <w:pPr>
      <w:jc w:val="both"/>
      <w:widowControl w:val="off"/>
    </w:pPr>
    <w:rPr>
      <w:sz w:val="21"/>
      <w:szCs w:val="22"/>
      <w:lang w:val="en-US" w:eastAsia="zh-CN" w:bidi="ar-SA"/>
    </w:rPr>
  </w:style>
  <w:style w:type="paragraph" w:styleId="1054">
    <w:name w:val="标题 2_0_0"/>
    <w:basedOn w:val="1055"/>
    <w:next w:val="1053"/>
    <w:link w:val="706"/>
    <w:uiPriority w:val="99"/>
    <w:qFormat/>
    <w:pPr>
      <w:keepLines/>
      <w:keepNext/>
      <w:spacing w:before="120" w:after="120" w:line="360" w:lineRule="auto"/>
      <w:outlineLvl w:val="1"/>
    </w:pPr>
    <w:rPr>
      <w:rFonts w:ascii="黑体" w:hAnsi="宋体" w:eastAsia="黑体" w:cs="等线"/>
      <w:sz w:val="30"/>
      <w:szCs w:val="30"/>
    </w:rPr>
  </w:style>
  <w:style w:type="paragraph" w:styleId="1055">
    <w:name w:val="标题_0_0"/>
    <w:basedOn w:val="1053"/>
    <w:next w:val="1053"/>
    <w:link w:val="706"/>
    <w:qFormat/>
    <w:pPr>
      <w:jc w:val="center"/>
      <w:spacing w:before="240" w:after="60"/>
      <w:outlineLvl w:val="0"/>
    </w:pPr>
    <w:rPr>
      <w:rFonts w:ascii="Cambria" w:hAnsi="Cambria"/>
      <w:b/>
      <w:bCs/>
      <w:sz w:val="32"/>
      <w:szCs w:val="32"/>
    </w:rPr>
  </w:style>
  <w:style w:type="character" w:styleId="10052" w:default="1">
    <w:name w:val="Default Paragraph Font"/>
    <w:uiPriority w:val="1"/>
    <w:semiHidden/>
    <w:unhideWhenUsed/>
  </w:style>
  <w:style w:type="numbering" w:styleId="10053" w:default="1">
    <w:name w:val="No List"/>
    <w:uiPriority w:val="99"/>
    <w:semiHidden/>
    <w:unhideWhenUsed/>
  </w:style>
  <w:style w:type="table" w:styleId="1005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俞莉</cp:lastModifiedBy>
  <cp:revision>2</cp:revision>
  <dcterms:created xsi:type="dcterms:W3CDTF">2024-02-27T08:52:00Z</dcterms:created>
  <dcterms:modified xsi:type="dcterms:W3CDTF">2026-04-09T09:04:49Z</dcterms:modified>
</cp:coreProperties>
</file>