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9"/>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139"/>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pStyle w:val="1139"/>
        <w:jc w:val="center"/>
        <w:spacing w:line="360" w:lineRule="auto"/>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常州市政府采购项目</w:t>
      </w:r>
      <w:r>
        <w:rPr>
          <w:rFonts w:hint="eastAsia" w:ascii="宋体" w:hAnsi="宋体" w:eastAsia="宋体" w:cs="宋体"/>
          <w:b/>
          <w:bCs/>
          <w:sz w:val="60"/>
          <w:szCs w:val="60"/>
          <w:highlight w:val="none"/>
        </w:rPr>
      </w:r>
      <w:r/>
    </w:p>
    <w:p>
      <w:pPr>
        <w:pStyle w:val="1139"/>
        <w:jc w:val="center"/>
        <w:spacing w:line="360" w:lineRule="auto"/>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公开招标文件</w:t>
      </w:r>
      <w:r>
        <w:rPr>
          <w:rFonts w:hint="eastAsia" w:ascii="宋体" w:hAnsi="宋体" w:eastAsia="宋体" w:cs="宋体"/>
          <w:b/>
          <w:bCs/>
          <w:sz w:val="60"/>
          <w:szCs w:val="60"/>
          <w:highlight w:val="none"/>
        </w:rPr>
      </w:r>
      <w:r/>
    </w:p>
    <w:p>
      <w:pPr>
        <w:pStyle w:val="1139"/>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pStyle w:val="1139"/>
        <w:jc w:val="center"/>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pStyle w:val="1139"/>
        <w:ind w:left="2159" w:hanging="180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项目名称：常州大学微纳加工中心气体储存、输运及处理系统采购项目</w:t>
      </w:r>
      <w:r>
        <w:rPr>
          <w:rFonts w:hint="eastAsia" w:ascii="宋体" w:hAnsi="宋体" w:eastAsia="宋体" w:cs="宋体"/>
          <w:bCs/>
          <w:sz w:val="36"/>
          <w:szCs w:val="36"/>
          <w:highlight w:val="none"/>
        </w:rPr>
      </w:r>
      <w:r/>
    </w:p>
    <w:p>
      <w:pPr>
        <w:pStyle w:val="1139"/>
        <w:ind w:firstLine="36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项目编号：JSZC-320400-CZRB-G2026-0010</w:t>
      </w:r>
      <w:r>
        <w:rPr>
          <w:rFonts w:hint="eastAsia" w:ascii="宋体" w:hAnsi="宋体" w:eastAsia="宋体" w:cs="宋体"/>
          <w:bCs/>
          <w:sz w:val="36"/>
          <w:szCs w:val="36"/>
          <w:highlight w:val="none"/>
        </w:rPr>
      </w:r>
      <w:r/>
    </w:p>
    <w:p>
      <w:pPr>
        <w:pStyle w:val="1139"/>
        <w:ind w:firstLine="36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 购 人：常州大学</w:t>
      </w:r>
      <w:r>
        <w:rPr>
          <w:rFonts w:hint="eastAsia" w:ascii="宋体" w:hAnsi="宋体" w:eastAsia="宋体" w:cs="宋体"/>
          <w:bCs/>
          <w:sz w:val="36"/>
          <w:szCs w:val="36"/>
          <w:highlight w:val="none"/>
        </w:rPr>
      </w:r>
      <w:r/>
    </w:p>
    <w:p>
      <w:pPr>
        <w:pStyle w:val="1139"/>
        <w:ind w:firstLine="360"/>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采购代理机构：常州润邦招标代理有限公司</w:t>
      </w:r>
      <w:r>
        <w:rPr>
          <w:rFonts w:hint="eastAsia" w:ascii="宋体" w:hAnsi="宋体" w:eastAsia="宋体" w:cs="宋体"/>
          <w:bCs/>
          <w:sz w:val="36"/>
          <w:szCs w:val="36"/>
          <w:highlight w:val="none"/>
        </w:rPr>
      </w:r>
      <w:r/>
    </w:p>
    <w:p>
      <w:pPr>
        <w:pStyle w:val="1139"/>
        <w:ind w:firstLine="1446"/>
        <w:jc w:val="center"/>
        <w:spacing w:line="500" w:lineRule="exact"/>
        <w:rPr>
          <w:rFonts w:hint="eastAsia" w:ascii="宋体" w:hAnsi="宋体" w:eastAsia="宋体" w:cs="宋体"/>
          <w:b/>
          <w:sz w:val="7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rFonts w:hint="eastAsia" w:ascii="宋体" w:hAnsi="宋体" w:eastAsia="宋体" w:cs="宋体"/>
          <w:b/>
          <w:sz w:val="72"/>
          <w:highlight w:val="none"/>
        </w:rPr>
        <w:br w:type="page" w:clear="all"/>
      </w:r>
      <w:r/>
    </w:p>
    <w:p>
      <w:pPr>
        <w:pStyle w:val="1139"/>
        <w:jc w:val="center"/>
        <w:spacing w:line="360" w:lineRule="auto"/>
        <w:rPr>
          <w:rFonts w:hint="eastAsia" w:ascii="宋体" w:hAnsi="宋体" w:eastAsia="宋体" w:cs="宋体"/>
          <w:b/>
          <w:sz w:val="44"/>
          <w:szCs w:val="44"/>
          <w:highlight w:val="none"/>
        </w:rPr>
        <w:outlineLvl w:val="0"/>
      </w:pPr>
      <w:r/>
      <w:bookmarkStart w:id="0" w:name="_Toc8595"/>
      <w:r/>
      <w:bookmarkStart w:id="1" w:name="_Toc17344"/>
      <w:r/>
      <w:bookmarkStart w:id="2" w:name="_Toc99301418"/>
      <w:r>
        <w:rPr>
          <w:rFonts w:hint="eastAsia" w:ascii="宋体" w:hAnsi="宋体" w:eastAsia="宋体" w:cs="宋体"/>
          <w:b/>
          <w:sz w:val="44"/>
          <w:szCs w:val="44"/>
          <w:highlight w:val="none"/>
        </w:rPr>
        <w:t xml:space="preserve">目  录</w:t>
      </w:r>
      <w:bookmarkEnd w:id="0"/>
      <w:r/>
      <w:bookmarkEnd w:id="1"/>
      <w:r/>
      <w:bookmarkEnd w:id="2"/>
      <w:r>
        <w:rPr>
          <w:rFonts w:hint="eastAsia" w:ascii="宋体" w:hAnsi="宋体" w:eastAsia="宋体" w:cs="宋体"/>
          <w:b/>
          <w:sz w:val="44"/>
          <w:szCs w:val="44"/>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TOC \o "1-1" \h \z \u </w:instrText>
      </w:r>
      <w:r>
        <w:rPr>
          <w:rFonts w:hint="eastAsia" w:ascii="宋体" w:hAnsi="宋体" w:eastAsia="宋体" w:cs="宋体"/>
          <w:b w:val="0"/>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_Toc28208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投标邀请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_Toc28208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_Toc15548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_Toc15548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_Toc6685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资格审查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_Toc6685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_Toc13404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评标程序、评标方法和评标标准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_Toc13404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_Toc26152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第五章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_Toc26152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_Toc4477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第六章   拟签订的合同文本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_Toc4477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right" w:pos="9073"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_Toc10271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第七章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_Toc10271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1193"/>
        <w:spacing w:line="360" w:lineRule="auto"/>
        <w:tabs>
          <w:tab w:val="left" w:pos="1050" w:leader="none"/>
          <w:tab w:val="right" w:pos="8937" w:leader="dot"/>
        </w:tabs>
        <w:rPr>
          <w:rFonts w:hint="eastAsia" w:ascii="宋体" w:hAnsi="宋体" w:eastAsia="宋体" w:cs="宋体"/>
          <w:b w:val="0"/>
          <w:highlight w:val="none"/>
        </w:rPr>
      </w:pPr>
      <w:r>
        <w:rPr>
          <w:rFonts w:hint="eastAsia" w:ascii="宋体" w:hAnsi="宋体" w:eastAsia="宋体" w:cs="宋体"/>
          <w:sz w:val="32"/>
          <w:szCs w:val="32"/>
          <w:highlight w:val="none"/>
        </w:rPr>
        <w:fldChar w:fldCharType="end"/>
      </w:r>
      <w:r>
        <w:rPr>
          <w:rFonts w:hint="eastAsia" w:ascii="宋体" w:hAnsi="宋体" w:eastAsia="宋体" w:cs="宋体"/>
          <w:b w:val="0"/>
          <w:highlight w:val="none"/>
        </w:rPr>
      </w:r>
      <w:r/>
    </w:p>
    <w:p>
      <w:pPr>
        <w:pStyle w:val="1139"/>
        <w:jc w:val="center"/>
        <w:spacing w:line="400" w:lineRule="exact"/>
        <w:rPr>
          <w:rFonts w:hint="eastAsia" w:ascii="宋体" w:hAnsi="宋体" w:eastAsia="宋体" w:cs="宋体"/>
          <w:b/>
          <w:sz w:val="36"/>
          <w:szCs w:val="36"/>
          <w:highlight w:val="none"/>
        </w:rPr>
        <w:outlineLvl w:val="0"/>
      </w:pPr>
      <w:r>
        <w:rPr>
          <w:rFonts w:hint="eastAsia" w:ascii="宋体" w:hAnsi="宋体" w:eastAsia="宋体" w:cs="宋体"/>
          <w:sz w:val="24"/>
          <w:highlight w:val="none"/>
        </w:rPr>
        <w:br w:type="page" w:clear="all"/>
      </w:r>
      <w:bookmarkStart w:id="3" w:name="_Toc28208"/>
      <w:r>
        <w:rPr>
          <w:rFonts w:hint="eastAsia" w:ascii="宋体" w:hAnsi="宋体" w:eastAsia="宋体" w:cs="宋体"/>
          <w:b/>
          <w:sz w:val="36"/>
          <w:szCs w:val="36"/>
          <w:highlight w:val="none"/>
        </w:rPr>
        <w:t xml:space="preserve">第一章   投标邀请</w:t>
      </w:r>
      <w:bookmarkEnd w:id="3"/>
      <w:r>
        <w:rPr>
          <w:rFonts w:hint="eastAsia" w:ascii="宋体" w:hAnsi="宋体" w:eastAsia="宋体" w:cs="宋体"/>
          <w:b/>
          <w:sz w:val="36"/>
          <w:szCs w:val="36"/>
          <w:highlight w:val="none"/>
        </w:rPr>
      </w:r>
      <w:r/>
    </w:p>
    <w:p>
      <w:pPr>
        <w:pStyle w:val="1139"/>
        <w:ind w:firstLine="482"/>
        <w:spacing w:line="400" w:lineRule="exact"/>
        <w:rPr>
          <w:rFonts w:hint="eastAsia" w:ascii="宋体" w:hAnsi="宋体" w:eastAsia="宋体" w:cs="宋体"/>
          <w:b/>
          <w:bCs/>
          <w:sz w:val="24"/>
          <w:highlight w:val="none"/>
        </w:rPr>
      </w:pPr>
      <w:r/>
      <w:bookmarkStart w:id="4" w:name="_Toc35393790"/>
      <w:r/>
      <w:bookmarkStart w:id="5" w:name="_Toc28359079"/>
      <w:r/>
      <w:bookmarkStart w:id="6" w:name="_Toc35393621"/>
      <w:r/>
      <w:bookmarkStart w:id="7" w:name="_Toc28359002"/>
      <w:r/>
      <w:bookmarkStart w:id="8" w:name="_Hlk24379207"/>
      <w:r>
        <w:rPr>
          <w:rFonts w:hint="eastAsia" w:ascii="宋体" w:hAnsi="宋体" w:eastAsia="宋体" w:cs="宋体"/>
          <w:b/>
          <w:bCs/>
          <w:sz w:val="24"/>
          <w:highlight w:val="none"/>
        </w:rPr>
        <w:t xml:space="preserve">一、项目基本情况</w:t>
      </w:r>
      <w:bookmarkEnd w:id="4"/>
      <w:r/>
      <w:bookmarkEnd w:id="5"/>
      <w:r/>
      <w:bookmarkEnd w:id="6"/>
      <w:r/>
      <w:bookmarkEnd w:id="7"/>
      <w:r>
        <w:rPr>
          <w:rFonts w:hint="eastAsia" w:ascii="宋体" w:hAnsi="宋体" w:eastAsia="宋体" w:cs="宋体"/>
          <w:b/>
          <w:bCs/>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1.项目编号/包号：JSZC-320400-CZRB-G2026-0010</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2.项目名称：常州大学微纳加工中心气体储存、输运及处理系统采购</w:t>
      </w:r>
      <w:r>
        <w:rPr>
          <w:rFonts w:hint="eastAsia" w:ascii="宋体" w:hAnsi="宋体" w:eastAsia="宋体" w:cs="宋体"/>
          <w:sz w:val="24"/>
          <w:highlight w:val="none"/>
        </w:rPr>
        <w:t xml:space="preserve">项目</w:t>
      </w:r>
      <w:r/>
    </w:p>
    <w:p>
      <w:pPr>
        <w:pStyle w:val="1139"/>
        <w:ind w:firstLine="480"/>
        <w:spacing w:line="400" w:lineRule="exact"/>
        <w:rPr>
          <w:rFonts w:hint="eastAsia" w:ascii="宋体" w:hAnsi="宋体" w:eastAsia="宋体" w:cs="宋体"/>
          <w:sz w:val="24"/>
          <w:highlight w:val="none"/>
        </w:rPr>
      </w:pPr>
      <w:r/>
      <w:bookmarkEnd w:id="8"/>
      <w:r/>
      <w:bookmarkStart w:id="9" w:name="_Toc28359003"/>
      <w:r/>
      <w:bookmarkStart w:id="10" w:name="_Toc35393622"/>
      <w:r/>
      <w:bookmarkStart w:id="11" w:name="_Toc28359080"/>
      <w:r/>
      <w:bookmarkStart w:id="12" w:name="_Toc35393791"/>
      <w:r>
        <w:rPr>
          <w:rFonts w:hint="eastAsia" w:ascii="宋体" w:hAnsi="宋体" w:eastAsia="宋体" w:cs="宋体"/>
          <w:sz w:val="24"/>
          <w:highlight w:val="none"/>
        </w:rPr>
        <w:t xml:space="preserve">3.项目预算金额：人民币140万元、最高限价：人民币140万元</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本项目采购内容为常州大学微纳加工中心气体储存、输运及处理系统，主要将惰性气体供气模块、特种气体安全存储与输送模块（包括硅烷、氨气等特气柜及气瓶架）以及尾气燃烧与干式吸附处理模块进行系统整合，以实现多种工艺气体的集中管理、自动联锁控制、分级监测与一体化尾气净化，形成覆盖供气、输送、使用及排放全过程的安全闭环体系。</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包括但不限于招标文件及其基本技术要求范围内相应产品供货前的准备（包括现场踏勘、技术核对等）、产品设计、制造、采购、运输、装卸、安装、调试、技术指导培训、检验、质保期及维保服务等全部内容。具体要求详见采购需求。</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5.合同履行期限：合同签订后40日内完成供货、安装、调试验收合格并交付使用。</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6.本项目是否接受联合体：否。</w:t>
      </w:r>
      <w:r>
        <w:rPr>
          <w:rFonts w:hint="eastAsia" w:ascii="宋体" w:hAnsi="宋体" w:eastAsia="宋体" w:cs="宋体"/>
          <w:b/>
          <w:bCs/>
          <w:sz w:val="24"/>
          <w:highlight w:val="none"/>
        </w:rPr>
      </w:r>
      <w:r/>
    </w:p>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7.本项目是否接受进口产品响应：否。</w:t>
      </w:r>
      <w:r>
        <w:rPr>
          <w:rFonts w:hint="eastAsia" w:ascii="宋体" w:hAnsi="宋体" w:eastAsia="宋体" w:cs="宋体"/>
          <w:b/>
          <w:bCs/>
          <w:sz w:val="24"/>
          <w:highlight w:val="none"/>
        </w:rPr>
      </w:r>
      <w:r/>
    </w:p>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二、申请人的资格要求（须同时满足）</w:t>
      </w:r>
      <w:bookmarkEnd w:id="9"/>
      <w:r/>
      <w:bookmarkEnd w:id="10"/>
      <w:r/>
      <w:bookmarkEnd w:id="11"/>
      <w:r/>
      <w:bookmarkEnd w:id="12"/>
      <w:r>
        <w:rPr>
          <w:rFonts w:hint="eastAsia" w:ascii="宋体" w:hAnsi="宋体" w:eastAsia="宋体" w:cs="宋体"/>
          <w:b/>
          <w:bCs/>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1.满足《中华人民共和国政府采购法》第二十二条规定以及下列情形：</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bookmarkStart w:id="13" w:name="_Toc28359081"/>
      <w:r/>
      <w:bookmarkStart w:id="14" w:name="_Toc28359004"/>
      <w:r>
        <w:rPr>
          <w:rFonts w:hint="eastAsia" w:ascii="宋体" w:hAnsi="宋体" w:eastAsia="宋体" w:cs="宋体"/>
          <w:sz w:val="24"/>
          <w:highlight w:val="none"/>
        </w:rPr>
        <w:t xml:space="preserve">2.落实政府采购政策需满足的资格要求：</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 中小企业政策：</w:t>
      </w:r>
      <w:r>
        <w:rPr>
          <w:rFonts w:hint="eastAsia" w:ascii="宋体" w:hAnsi="宋体" w:eastAsia="宋体" w:cs="宋体"/>
          <w:b/>
          <w:bCs/>
          <w:sz w:val="24"/>
          <w:highlight w:val="none"/>
        </w:rPr>
        <w:t xml:space="preserve">本项目不专门面向中小企业采购。</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2.2 </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落实政府采购政策的资格要求（如有）：无。</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3.1本项目是否接受分支机构参与投标：否；</w:t>
      </w:r>
      <w:r>
        <w:rPr>
          <w:rFonts w:hint="eastAsia" w:ascii="宋体" w:hAnsi="宋体" w:eastAsia="宋体" w:cs="宋体"/>
          <w:sz w:val="24"/>
          <w:highlight w:val="none"/>
        </w:rPr>
      </w:r>
      <w:r/>
    </w:p>
    <w:p>
      <w:pPr>
        <w:pStyle w:val="1139"/>
        <w:ind w:firstLine="480"/>
        <w:spacing w:line="400" w:lineRule="exact"/>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3.2其他特定资格要求：</w:t>
      </w:r>
      <w:bookmarkEnd w:id="13"/>
      <w:r/>
      <w:bookmarkEnd w:id="14"/>
      <w:r/>
      <w:bookmarkStart w:id="15" w:name="_Toc35393623"/>
      <w:r/>
      <w:bookmarkStart w:id="16" w:name="_Toc35393792"/>
      <w:r>
        <w:rPr>
          <w:rFonts w:hint="eastAsia" w:ascii="宋体" w:hAnsi="宋体" w:eastAsia="宋体" w:cs="宋体"/>
          <w:sz w:val="24"/>
          <w:highlight w:val="none"/>
        </w:rPr>
        <w:t xml:space="preserve">无</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5"/>
      <w:r/>
      <w:bookmarkEnd w:id="16"/>
      <w:r>
        <w:rPr>
          <w:rFonts w:hint="eastAsia" w:ascii="宋体" w:hAnsi="宋体" w:eastAsia="宋体" w:cs="宋体"/>
          <w:b/>
          <w:bCs/>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1.时间：自招标文件公告发布之日起5个工作日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bookmarkStart w:id="17" w:name="_Toc28359082"/>
      <w:r/>
      <w:bookmarkStart w:id="18" w:name="_Toc28359005"/>
      <w:r/>
      <w:bookmarkStart w:id="19" w:name="_Toc35393624"/>
      <w:r/>
      <w:bookmarkStart w:id="20" w:name="_Toc35393793"/>
      <w:r>
        <w:rPr>
          <w:rFonts w:hint="eastAsia" w:ascii="宋体" w:hAnsi="宋体" w:eastAsia="宋体" w:cs="宋体"/>
          <w:sz w:val="24"/>
          <w:highlight w:val="none"/>
        </w:rPr>
        <w:t xml:space="preserve">2.地点：“苏采云”政府采购一体化平台</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3.方式：在“苏采云”政府采购一体化平台自行免费下载</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4.售价：0元</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w:t>
      </w:r>
      <w:bookmarkEnd w:id="17"/>
      <w:r/>
      <w:bookmarkEnd w:id="18"/>
      <w:r>
        <w:rPr>
          <w:rFonts w:hint="eastAsia" w:ascii="宋体" w:hAnsi="宋体" w:eastAsia="宋体" w:cs="宋体"/>
          <w:b/>
          <w:bCs/>
          <w:sz w:val="24"/>
          <w:highlight w:val="none"/>
        </w:rPr>
        <w:t xml:space="preserve">截止时间、开标时间和地点</w:t>
      </w:r>
      <w:bookmarkEnd w:id="19"/>
      <w:r/>
      <w:bookmarkEnd w:id="20"/>
      <w:r>
        <w:rPr>
          <w:rFonts w:hint="eastAsia" w:ascii="宋体" w:hAnsi="宋体" w:eastAsia="宋体" w:cs="宋体"/>
          <w:b/>
          <w:bCs/>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color w:val="ff0000"/>
          <w:sz w:val="24"/>
          <w:highlight w:val="none"/>
        </w:rPr>
      </w:pPr>
      <w:r>
        <w:rPr>
          <w:rFonts w:hint="eastAsia" w:ascii="宋体" w:hAnsi="宋体" w:eastAsia="宋体" w:cs="宋体"/>
          <w:sz w:val="24"/>
          <w:highlight w:val="none"/>
        </w:rPr>
        <w:t xml:space="preserve">投标截止时间、开标时间：</w:t>
      </w:r>
      <w:r>
        <w:rPr>
          <w:rFonts w:hint="eastAsia" w:ascii="宋体" w:hAnsi="宋体" w:eastAsia="宋体" w:cs="宋体"/>
          <w:sz w:val="24"/>
          <w:highlight w:val="none"/>
          <w:lang w:eastAsia="zh-CN"/>
        </w:rPr>
        <w:t xml:space="preserve">2026年</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14点00分（北京时间）。</w:t>
      </w:r>
      <w:r>
        <w:rPr>
          <w:rFonts w:hint="eastAsia" w:ascii="宋体" w:hAnsi="宋体" w:eastAsia="宋体" w:cs="宋体"/>
          <w:color w:val="ff0000"/>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lang w:val="zh-TW"/>
        </w:rPr>
      </w:pPr>
      <w:r>
        <w:rPr>
          <w:rFonts w:hint="eastAsia" w:ascii="宋体" w:hAnsi="宋体" w:eastAsia="宋体" w:cs="宋体"/>
          <w:sz w:val="24"/>
          <w:highlight w:val="none"/>
        </w:rPr>
        <w:t xml:space="preserve">地点：“苏采云”政府采购一体化平台</w:t>
      </w:r>
      <w:r>
        <w:rPr>
          <w:rFonts w:hint="eastAsia" w:ascii="宋体" w:hAnsi="宋体" w:eastAsia="宋体" w:cs="宋体"/>
          <w:sz w:val="24"/>
          <w:highlight w:val="none"/>
          <w:lang w:val="zh-TW"/>
        </w:rPr>
      </w:r>
      <w:r/>
    </w:p>
    <w:p>
      <w:pPr>
        <w:pStyle w:val="1139"/>
        <w:ind w:firstLine="482"/>
        <w:keepLines w:val="0"/>
        <w:keepNext w:val="0"/>
        <w:pageBreakBefore w:val="0"/>
        <w:spacing w:line="380" w:lineRule="exact"/>
        <w:widowControl w:val="off"/>
        <w:rPr>
          <w:rFonts w:hint="eastAsia" w:ascii="宋体" w:hAnsi="宋体" w:eastAsia="宋体" w:cs="宋体"/>
          <w:b/>
          <w:bCs/>
          <w:sz w:val="24"/>
          <w:highlight w:val="none"/>
        </w:rPr>
      </w:pPr>
      <w:r/>
      <w:bookmarkStart w:id="21" w:name="_Toc35393794"/>
      <w:r/>
      <w:bookmarkStart w:id="22" w:name="_Toc35393625"/>
      <w:r/>
      <w:bookmarkStart w:id="23" w:name="_Toc28359084"/>
      <w:r/>
      <w:bookmarkStart w:id="24" w:name="_Toc28359007"/>
      <w:r>
        <w:rPr>
          <w:rFonts w:hint="eastAsia" w:ascii="宋体" w:hAnsi="宋体" w:eastAsia="宋体" w:cs="宋体"/>
          <w:b/>
          <w:bCs/>
          <w:sz w:val="24"/>
          <w:highlight w:val="none"/>
        </w:rPr>
        <w:t xml:space="preserve">五、公告期限</w:t>
      </w:r>
      <w:bookmarkEnd w:id="21"/>
      <w:r/>
      <w:bookmarkEnd w:id="22"/>
      <w:r/>
      <w:bookmarkEnd w:id="23"/>
      <w:r/>
      <w:bookmarkEnd w:id="24"/>
      <w:r>
        <w:rPr>
          <w:rFonts w:hint="eastAsia" w:ascii="宋体" w:hAnsi="宋体" w:eastAsia="宋体" w:cs="宋体"/>
          <w:b/>
          <w:bCs/>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1139"/>
        <w:ind w:firstLine="482"/>
        <w:keepLines w:val="0"/>
        <w:keepNext w:val="0"/>
        <w:pageBreakBefore w:val="0"/>
        <w:spacing w:line="380" w:lineRule="exact"/>
        <w:widowControl w:val="off"/>
        <w:rPr>
          <w:rFonts w:hint="eastAsia" w:ascii="宋体" w:hAnsi="宋体" w:eastAsia="宋体" w:cs="宋体"/>
          <w:b/>
          <w:bCs/>
          <w:sz w:val="24"/>
          <w:highlight w:val="none"/>
        </w:rPr>
      </w:pPr>
      <w:r/>
      <w:bookmarkStart w:id="25" w:name="_Toc35393626"/>
      <w:r/>
      <w:bookmarkStart w:id="26" w:name="_Toc35393795"/>
      <w:r>
        <w:rPr>
          <w:rFonts w:hint="eastAsia" w:ascii="宋体" w:hAnsi="宋体" w:eastAsia="宋体" w:cs="宋体"/>
          <w:b/>
          <w:bCs/>
          <w:sz w:val="24"/>
          <w:highlight w:val="none"/>
        </w:rPr>
        <w:t xml:space="preserve">六、其他补充事宜</w:t>
      </w:r>
      <w:bookmarkEnd w:id="25"/>
      <w:r/>
      <w:bookmarkEnd w:id="26"/>
      <w:r>
        <w:rPr>
          <w:rFonts w:hint="eastAsia" w:ascii="宋体" w:hAnsi="宋体" w:eastAsia="宋体" w:cs="宋体"/>
          <w:b/>
          <w:bCs/>
          <w:sz w:val="24"/>
          <w:highlight w:val="none"/>
        </w:rPr>
      </w:r>
      <w:r/>
    </w:p>
    <w:p>
      <w:pPr>
        <w:pStyle w:val="1201"/>
        <w:ind w:firstLine="482"/>
        <w:jc w:val="both"/>
        <w:keepLines w:val="0"/>
        <w:keepNext w:val="0"/>
        <w:pageBreakBefore w:val="0"/>
        <w:spacing w:before="0" w:beforeAutospacing="0" w:after="0" w:afterAutospacing="0" w:line="380" w:lineRule="exact"/>
        <w:widowControl w:val="off"/>
        <w:rPr>
          <w:rFonts w:hint="eastAsia" w:ascii="宋体" w:hAnsi="宋体" w:eastAsia="宋体" w:cs="宋体"/>
          <w:b/>
          <w:bCs/>
          <w:color w:val="000000"/>
          <w:sz w:val="24"/>
          <w:highlight w:val="none"/>
          <w:u w:val="none"/>
          <w:lang w:val="en-US" w:eastAsia="zh-CN"/>
        </w:rPr>
      </w:pPr>
      <w:r/>
      <w:bookmarkStart w:id="27" w:name="_Toc35393627"/>
      <w:r/>
      <w:bookmarkStart w:id="28" w:name="_Toc35393796"/>
      <w:r/>
      <w:bookmarkStart w:id="29" w:name="_Toc28359008"/>
      <w:r/>
      <w:bookmarkStart w:id="30" w:name="_Toc28359085"/>
      <w:r>
        <w:rPr>
          <w:rFonts w:hint="eastAsia" w:ascii="宋体" w:hAnsi="宋体" w:eastAsia="宋体" w:cs="宋体"/>
          <w:b/>
          <w:bCs/>
          <w:color w:val="000000"/>
          <w:sz w:val="24"/>
          <w:highlight w:val="none"/>
          <w:u w:val="none"/>
          <w:lang w:val="en-US" w:eastAsia="zh-CN"/>
        </w:rPr>
        <w:t xml:space="preserve">1.本项目不组织统一踏勘，建议投标人自行踏勘现场</w:t>
      </w:r>
      <w:r>
        <w:rPr>
          <w:rFonts w:hint="eastAsia" w:ascii="宋体" w:hAnsi="宋体" w:eastAsia="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lang w:val="en-US" w:eastAsia="zh-CN"/>
        </w:rPr>
        <w:t xml:space="preserve">踏勘现场时须提供</w:t>
      </w:r>
      <w:r>
        <w:rPr>
          <w:rFonts w:hint="eastAsia" w:ascii="宋体" w:hAnsi="宋体" w:eastAsia="宋体" w:cs="宋体"/>
          <w:b/>
          <w:bCs/>
          <w:color w:val="000000"/>
          <w:highlight w:val="none"/>
          <w:u w:val="none"/>
        </w:rPr>
        <w:t xml:space="preserve">填写</w:t>
      </w:r>
      <w:r>
        <w:rPr>
          <w:rFonts w:hint="eastAsia" w:ascii="宋体" w:hAnsi="宋体" w:eastAsia="宋体" w:cs="宋体"/>
          <w:b/>
          <w:bCs/>
          <w:color w:val="000000"/>
          <w:highlight w:val="none"/>
          <w:u w:val="none"/>
          <w:lang w:val="en-US" w:eastAsia="zh-CN"/>
        </w:rPr>
        <w:t xml:space="preserve">好的</w:t>
      </w:r>
      <w:r>
        <w:rPr>
          <w:rFonts w:hint="eastAsia" w:ascii="宋体" w:hAnsi="宋体" w:eastAsia="宋体" w:cs="宋体"/>
          <w:b/>
          <w:bCs/>
          <w:color w:val="000000"/>
          <w:sz w:val="24"/>
          <w:highlight w:val="none"/>
          <w:u w:val="none"/>
          <w:lang w:val="en-US" w:eastAsia="zh-CN"/>
        </w:rPr>
        <w:t xml:space="preserve">《现场踏勘确认书</w:t>
      </w:r>
      <w:r>
        <w:rPr>
          <w:rFonts w:hint="eastAsia" w:ascii="宋体" w:hAnsi="宋体" w:eastAsia="宋体" w:cs="宋体"/>
          <w:b/>
          <w:bCs/>
          <w:color w:val="000000"/>
          <w:highlight w:val="none"/>
          <w:u w:val="none"/>
        </w:rPr>
        <w:t xml:space="preserve">（见</w:t>
      </w:r>
      <w:r>
        <w:rPr>
          <w:rFonts w:hint="eastAsia" w:ascii="宋体" w:hAnsi="宋体" w:eastAsia="宋体" w:cs="宋体"/>
          <w:b/>
          <w:bCs/>
          <w:color w:val="000000"/>
          <w:highlight w:val="none"/>
          <w:u w:val="none"/>
          <w:lang w:val="en-US" w:eastAsia="zh-CN"/>
        </w:rPr>
        <w:t xml:space="preserve">采购</w:t>
      </w:r>
      <w:r>
        <w:rPr>
          <w:rFonts w:hint="eastAsia" w:ascii="宋体" w:hAnsi="宋体" w:eastAsia="宋体" w:cs="宋体"/>
          <w:b/>
          <w:bCs/>
          <w:color w:val="000000"/>
          <w:highlight w:val="none"/>
          <w:u w:val="none"/>
        </w:rPr>
        <w:t xml:space="preserve">文件附件）</w:t>
      </w:r>
      <w:r>
        <w:rPr>
          <w:rFonts w:hint="eastAsia" w:ascii="宋体" w:hAnsi="宋体" w:eastAsia="宋体" w:cs="宋体"/>
          <w:b/>
          <w:bCs/>
          <w:color w:val="000000"/>
          <w:sz w:val="24"/>
          <w:highlight w:val="none"/>
          <w:u w:val="none"/>
          <w:lang w:val="en-US" w:eastAsia="zh-CN"/>
        </w:rPr>
        <w:t xml:space="preserve">》及“苏采云”政府采购交易系统中获取本项目招标文件时签章的“投标供应商确认函”</w:t>
      </w:r>
      <w:r>
        <w:rPr>
          <w:rFonts w:hint="eastAsia" w:ascii="宋体" w:hAnsi="宋体" w:eastAsia="宋体" w:cs="宋体"/>
          <w:b/>
          <w:bCs/>
          <w:color w:val="000000"/>
          <w:highlight w:val="none"/>
          <w:u w:val="none"/>
        </w:rPr>
        <w:t xml:space="preserve">并加盖</w:t>
      </w:r>
      <w:r>
        <w:rPr>
          <w:rFonts w:hint="eastAsia" w:ascii="宋体" w:hAnsi="宋体" w:eastAsia="宋体" w:cs="宋体"/>
          <w:b/>
          <w:bCs/>
          <w:color w:val="000000"/>
          <w:highlight w:val="none"/>
          <w:u w:val="none"/>
          <w:lang w:val="en-US" w:eastAsia="zh-CN"/>
        </w:rPr>
        <w:t xml:space="preserve">投标人</w:t>
      </w:r>
      <w:r>
        <w:rPr>
          <w:rFonts w:hint="eastAsia" w:ascii="宋体" w:hAnsi="宋体" w:eastAsia="宋体" w:cs="宋体"/>
          <w:b/>
          <w:bCs/>
          <w:color w:val="000000"/>
          <w:highlight w:val="none"/>
          <w:u w:val="none"/>
        </w:rPr>
        <w:t xml:space="preserve">公章</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en-US" w:eastAsia="zh-CN"/>
        </w:rPr>
      </w:r>
      <w:r/>
    </w:p>
    <w:p>
      <w:pPr>
        <w:pStyle w:val="1201"/>
        <w:ind w:firstLine="482"/>
        <w:jc w:val="both"/>
        <w:keepLines w:val="0"/>
        <w:keepNext w:val="0"/>
        <w:pageBreakBefore w:val="0"/>
        <w:spacing w:before="0" w:beforeAutospacing="0" w:after="0" w:afterAutospacing="0" w:line="380" w:lineRule="exact"/>
        <w:widowControl w:val="off"/>
        <w:rPr>
          <w:rFonts w:hint="eastAsia" w:ascii="宋体" w:hAnsi="宋体" w:eastAsia="宋体" w:cs="宋体"/>
          <w:b/>
          <w:bCs/>
          <w:color w:val="000000"/>
          <w:highlight w:val="none"/>
          <w:u w:val="none"/>
        </w:rPr>
      </w:pPr>
      <w:r>
        <w:rPr>
          <w:rFonts w:hint="eastAsia" w:ascii="宋体" w:hAnsi="宋体" w:eastAsia="宋体" w:cs="宋体"/>
          <w:b/>
          <w:bCs/>
          <w:color w:val="000000"/>
          <w:sz w:val="24"/>
          <w:highlight w:val="none"/>
          <w:u w:val="none"/>
          <w:lang w:val="en-US" w:eastAsia="zh-CN"/>
        </w:rPr>
        <w:t xml:space="preserve">踏勘联系人：郭老师；联系电话：13861182756</w:t>
      </w:r>
      <w:r>
        <w:rPr>
          <w:rFonts w:hint="eastAsia" w:ascii="宋体" w:hAnsi="宋体" w:eastAsia="宋体" w:cs="宋体"/>
          <w:b/>
          <w:bCs/>
          <w:color w:val="000000"/>
          <w:highlight w:val="none"/>
          <w:u w:val="none"/>
        </w:rPr>
      </w:r>
      <w:r/>
    </w:p>
    <w:p>
      <w:pPr>
        <w:pStyle w:val="1139"/>
        <w:ind w:firstLine="482"/>
        <w:keepLines w:val="0"/>
        <w:keepNext w:val="0"/>
        <w:pageBreakBefore w:val="0"/>
        <w:spacing w:line="380" w:lineRule="exact"/>
        <w:widowControl w:val="off"/>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rPr>
        <w:t xml:space="preserve">未</w:t>
      </w:r>
      <w:r>
        <w:rPr>
          <w:rFonts w:hint="eastAsia" w:ascii="宋体" w:hAnsi="宋体" w:eastAsia="宋体" w:cs="宋体"/>
          <w:b/>
          <w:bCs/>
          <w:color w:val="000000"/>
          <w:sz w:val="24"/>
          <w:highlight w:val="none"/>
          <w:u w:val="none"/>
          <w:lang w:val="en-US" w:eastAsia="zh-CN"/>
        </w:rPr>
        <w:t xml:space="preserve">踏勘</w:t>
      </w:r>
      <w:r>
        <w:rPr>
          <w:rFonts w:hint="eastAsia" w:ascii="宋体" w:hAnsi="宋体" w:eastAsia="宋体" w:cs="宋体"/>
          <w:b/>
          <w:bCs/>
          <w:color w:val="000000"/>
          <w:sz w:val="24"/>
          <w:highlight w:val="none"/>
          <w:u w:val="none"/>
        </w:rPr>
        <w:t xml:space="preserve">现场或</w:t>
      </w:r>
      <w:r>
        <w:rPr>
          <w:rFonts w:hint="eastAsia" w:ascii="宋体" w:hAnsi="宋体" w:eastAsia="宋体" w:cs="宋体"/>
          <w:b/>
          <w:bCs/>
          <w:color w:val="000000"/>
          <w:sz w:val="24"/>
          <w:highlight w:val="none"/>
          <w:u w:val="none"/>
          <w:lang w:val="en-US" w:eastAsia="zh-CN"/>
        </w:rPr>
        <w:t xml:space="preserve">踏勘</w:t>
      </w:r>
      <w:r>
        <w:rPr>
          <w:rFonts w:hint="eastAsia" w:ascii="宋体" w:hAnsi="宋体" w:eastAsia="宋体" w:cs="宋体"/>
          <w:b/>
          <w:bCs/>
          <w:color w:val="000000"/>
          <w:sz w:val="24"/>
          <w:highlight w:val="none"/>
          <w:u w:val="none"/>
        </w:rPr>
        <w:t xml:space="preserve">工作不详细的</w:t>
      </w:r>
      <w:r>
        <w:rPr>
          <w:rFonts w:hint="eastAsia" w:ascii="宋体" w:hAnsi="宋体" w:eastAsia="宋体" w:cs="宋体"/>
          <w:b/>
          <w:bCs/>
          <w:color w:val="000000"/>
          <w:sz w:val="24"/>
          <w:highlight w:val="none"/>
          <w:u w:val="none"/>
          <w:lang w:val="en-US" w:eastAsia="zh-CN"/>
        </w:rPr>
        <w:t xml:space="preserve">投标人</w:t>
      </w:r>
      <w:r>
        <w:rPr>
          <w:rFonts w:hint="eastAsia" w:ascii="宋体" w:hAnsi="宋体" w:eastAsia="宋体" w:cs="宋体"/>
          <w:b/>
          <w:bCs/>
          <w:color w:val="000000"/>
          <w:sz w:val="24"/>
          <w:highlight w:val="none"/>
          <w:u w:val="none"/>
        </w:rPr>
        <w:t xml:space="preserve">中标后，不得以不完全了解现场情况为理由而向采购人提出任何索赔或其他要求，对此采购人不承担任何责任并将不作任何答复。</w:t>
      </w:r>
      <w:r>
        <w:rPr>
          <w:rFonts w:hint="eastAsia" w:ascii="宋体" w:hAnsi="宋体" w:eastAsia="宋体" w:cs="宋体"/>
          <w:b/>
          <w:bCs/>
          <w:color w:val="000000"/>
          <w:sz w:val="24"/>
          <w:highlight w:val="none"/>
          <w:u w:val="none"/>
        </w:rPr>
      </w:r>
      <w:r/>
    </w:p>
    <w:p>
      <w:pPr>
        <w:pStyle w:val="1139"/>
        <w:ind w:firstLine="480"/>
        <w:keepLines w:val="0"/>
        <w:keepNext w:val="0"/>
        <w:pageBreakBefore w:val="0"/>
        <w:spacing w:line="3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lang w:val="en-US" w:eastAsia="zh-CN"/>
        </w:rPr>
        <w:t xml:space="preserve">2.</w:t>
      </w:r>
      <w:r>
        <w:rPr>
          <w:rFonts w:hint="eastAsia" w:ascii="宋体" w:hAnsi="宋体" w:eastAsia="宋体" w:cs="宋体"/>
          <w:color w:val="000000"/>
          <w:sz w:val="24"/>
          <w:highlight w:val="none"/>
          <w:u w:val="none"/>
        </w:rPr>
        <w:t xml:space="preserve">根据省财政厅《关于更换全省政府采购交易系统C A数字证书和电子</w:t>
      </w:r>
      <w:r>
        <w:rPr>
          <w:rFonts w:hint="eastAsia" w:ascii="宋体" w:hAnsi="宋体" w:eastAsia="宋体" w:cs="宋体"/>
          <w:color w:val="000000"/>
          <w:sz w:val="24"/>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http://www.ccgp-jiangsu.gov.cn/jiangsu/zlxz/ee/ee3a4bc5a3454aa2b0d9312230633ce9.html。</w:t>
      </w:r>
      <w:r>
        <w:rPr>
          <w:rFonts w:hint="eastAsia" w:ascii="宋体" w:hAnsi="宋体" w:eastAsia="宋体" w:cs="宋体"/>
          <w:color w:val="000000"/>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1139"/>
        <w:ind w:firstLine="482"/>
        <w:keepLines w:val="0"/>
        <w:keepNext w:val="0"/>
        <w:pageBreakBefore w:val="0"/>
        <w:spacing w:line="38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七、对本次招标提出询问，请按以下方式联系。</w:t>
      </w:r>
      <w:bookmarkEnd w:id="27"/>
      <w:r/>
      <w:bookmarkEnd w:id="28"/>
      <w:r/>
      <w:bookmarkEnd w:id="29"/>
      <w:r/>
      <w:bookmarkEnd w:id="30"/>
      <w:r>
        <w:rPr>
          <w:rFonts w:hint="eastAsia" w:ascii="宋体" w:hAnsi="宋体" w:eastAsia="宋体" w:cs="宋体"/>
          <w:b/>
          <w:bCs/>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bookmarkStart w:id="31" w:name="_Toc28359086"/>
      <w:r/>
      <w:bookmarkStart w:id="32" w:name="_Toc28359009"/>
      <w:r>
        <w:rPr>
          <w:rFonts w:hint="eastAsia" w:ascii="宋体" w:hAnsi="宋体" w:eastAsia="宋体" w:cs="宋体"/>
          <w:sz w:val="24"/>
          <w:highlight w:val="none"/>
        </w:rPr>
        <w:t xml:space="preserve">名称：常州大学</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地址：江苏省常州市新北区嫩江路8号</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联系方式：郭老师 13861182756</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bookmarkEnd w:id="31"/>
      <w:r/>
      <w:bookmarkEnd w:id="32"/>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bookmarkStart w:id="33" w:name="_Toc28359087"/>
      <w:r/>
      <w:bookmarkStart w:id="34" w:name="_Toc28359010"/>
      <w:r>
        <w:rPr>
          <w:rFonts w:hint="eastAsia" w:ascii="宋体" w:hAnsi="宋体" w:eastAsia="宋体" w:cs="宋体"/>
          <w:sz w:val="24"/>
          <w:highlight w:val="none"/>
        </w:rPr>
        <w:t xml:space="preserve">名称：常州润邦招标代理有限公司</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地址：常州市飞龙东路108号-304室（翠园世家商业街三楼）</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联系方式：0519-81882993</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bookmarkEnd w:id="33"/>
      <w:r/>
      <w:bookmarkEnd w:id="34"/>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项目联系人：周叶</w:t>
      </w:r>
      <w:r>
        <w:rPr>
          <w:rFonts w:hint="eastAsia" w:ascii="宋体" w:hAnsi="宋体" w:eastAsia="宋体" w:cs="宋体"/>
          <w:sz w:val="24"/>
          <w:highlight w:val="none"/>
        </w:rPr>
      </w:r>
      <w:r/>
    </w:p>
    <w:p>
      <w:pPr>
        <w:pStyle w:val="1139"/>
        <w:ind w:firstLine="480"/>
        <w:keepLines w:val="0"/>
        <w:keepNext w:val="0"/>
        <w:pageBreakBefore w:val="0"/>
        <w:spacing w:line="3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电话：0519-81882993</w:t>
      </w:r>
      <w:r>
        <w:rPr>
          <w:rFonts w:hint="eastAsia" w:ascii="宋体" w:hAnsi="宋体" w:eastAsia="宋体" w:cs="宋体"/>
          <w:sz w:val="24"/>
          <w:highlight w:val="none"/>
        </w:rPr>
      </w:r>
      <w:r/>
    </w:p>
    <w:p>
      <w:pPr>
        <w:pStyle w:val="1139"/>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sz w:val="24"/>
          <w:highlight w:val="none"/>
        </w:rPr>
        <w:br w:type="page" w:clear="all"/>
      </w:r>
      <w:bookmarkStart w:id="35" w:name="_Toc150774783"/>
      <w:r/>
      <w:bookmarkStart w:id="36" w:name="_Toc15548"/>
      <w:r/>
      <w:bookmarkStart w:id="37" w:name="_Toc265228423"/>
      <w:r/>
      <w:bookmarkStart w:id="38" w:name="_Toc226965856"/>
      <w:r/>
      <w:bookmarkStart w:id="39" w:name="_Toc127161488"/>
      <w:r/>
      <w:bookmarkStart w:id="40" w:name="_Toc195842950"/>
      <w:r/>
      <w:bookmarkStart w:id="41" w:name="_Toc305158854"/>
      <w:r/>
      <w:bookmarkStart w:id="42" w:name="_Toc353873938"/>
      <w:r/>
      <w:bookmarkStart w:id="43" w:name="_Toc127151777"/>
      <w:r/>
      <w:bookmarkStart w:id="44" w:name="_Toc305158928"/>
      <w:r/>
      <w:bookmarkStart w:id="45" w:name="_Toc512937850"/>
      <w:r/>
      <w:bookmarkStart w:id="46" w:name="_Toc264969275"/>
      <w:r/>
      <w:bookmarkStart w:id="47" w:name="_Toc353825548"/>
      <w:r>
        <w:rPr>
          <w:rFonts w:hint="eastAsia" w:ascii="宋体" w:hAnsi="宋体" w:eastAsia="宋体" w:cs="宋体"/>
          <w:b/>
          <w:sz w:val="36"/>
          <w:szCs w:val="36"/>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hAnsi="宋体" w:eastAsia="宋体" w:cs="宋体"/>
          <w:b/>
          <w:sz w:val="32"/>
          <w:szCs w:val="32"/>
          <w:highlight w:val="none"/>
        </w:rPr>
      </w:r>
      <w:r/>
    </w:p>
    <w:p>
      <w:pPr>
        <w:pStyle w:val="1141"/>
        <w:spacing w:before="0" w:line="360" w:lineRule="auto"/>
        <w:tabs>
          <w:tab w:val="center" w:pos="4592" w:leader="none"/>
          <w:tab w:val="left" w:pos="7860" w:leader="none"/>
        </w:tabs>
        <w:rPr>
          <w:rFonts w:hint="eastAsia" w:ascii="宋体" w:hAnsi="宋体" w:eastAsia="宋体" w:cs="宋体"/>
          <w:sz w:val="28"/>
          <w:highlight w:val="none"/>
        </w:rPr>
      </w:pPr>
      <w:r/>
      <w:bookmarkStart w:id="48" w:name="_Toc195842884"/>
      <w:r/>
      <w:bookmarkStart w:id="49" w:name="_Toc150480757"/>
      <w:r/>
      <w:bookmarkStart w:id="50" w:name="_Toc127151720"/>
      <w:r/>
      <w:bookmarkStart w:id="51" w:name="_Toc164229360"/>
      <w:r/>
      <w:bookmarkStart w:id="52" w:name="_Toc164229214"/>
      <w:r/>
      <w:bookmarkStart w:id="53" w:name="_Toc226337215"/>
      <w:r/>
      <w:bookmarkStart w:id="54" w:name="_Toc151193761"/>
      <w:r/>
      <w:bookmarkStart w:id="55" w:name="_Toc150509270"/>
      <w:r/>
      <w:bookmarkStart w:id="56" w:name="_Toc164351613"/>
      <w:r/>
      <w:bookmarkStart w:id="57" w:name="_Toc151193617"/>
      <w:r/>
      <w:bookmarkStart w:id="58" w:name="_Toc151193907"/>
      <w:r/>
      <w:bookmarkStart w:id="59" w:name="_Toc226965709"/>
      <w:r/>
      <w:bookmarkStart w:id="60" w:name="_Toc127151519"/>
      <w:r/>
      <w:bookmarkStart w:id="61" w:name="_Toc149720812"/>
      <w:r/>
      <w:bookmarkStart w:id="62" w:name="_Toc226309763"/>
      <w:r/>
      <w:bookmarkStart w:id="63" w:name="_Toc164608788"/>
      <w:r/>
      <w:bookmarkStart w:id="64" w:name="_Toc226965792"/>
      <w:r/>
      <w:bookmarkStart w:id="65" w:name="_Toc164608633"/>
      <w:r/>
      <w:bookmarkStart w:id="66" w:name="_Toc151193833"/>
      <w:r/>
      <w:bookmarkStart w:id="67" w:name="_Toc127161433"/>
      <w:r/>
      <w:bookmarkStart w:id="68" w:name="_Toc520356144"/>
      <w:r/>
      <w:bookmarkStart w:id="69" w:name="_Toc151193689"/>
      <w:r/>
      <w:bookmarkStart w:id="70" w:name="_Toc150774619"/>
      <w:r/>
      <w:bookmarkStart w:id="71" w:name="_Toc151190146"/>
      <w:r/>
      <w:bookmarkStart w:id="72" w:name="_Toc150774724"/>
      <w:r/>
      <w:bookmarkStart w:id="73" w:name="_Toc142311021"/>
      <w:r>
        <w:rPr>
          <w:rFonts w:hint="eastAsia" w:ascii="宋体" w:hAnsi="宋体" w:eastAsia="宋体" w:cs="宋体"/>
          <w:sz w:val="28"/>
          <w:highlight w:val="none"/>
        </w:rPr>
        <w:t xml:space="preserve">投标人须知资料表</w:t>
      </w:r>
      <w:r>
        <w:rPr>
          <w:rFonts w:hint="eastAsia" w:ascii="宋体" w:hAnsi="宋体" w:eastAsia="宋体" w:cs="宋体"/>
          <w:sz w:val="28"/>
          <w:highlight w:val="none"/>
        </w:rPr>
      </w:r>
      <w:r/>
    </w:p>
    <w:p>
      <w:pPr>
        <w:pStyle w:val="1139"/>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rPr>
          <w:rFonts w:hint="eastAsia" w:ascii="宋体" w:hAnsi="宋体" w:eastAsia="宋体" w:cs="宋体"/>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571"/>
        <w:gridCol w:w="6700"/>
      </w:tblGrid>
      <w:tr>
        <w:trPr>
          <w:trHeight w:val="283"/>
          <w:tblHeader/>
        </w:trPr>
        <w:tc>
          <w:tcPr>
            <w:tcW w:w="546"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rPr>
                <w:rFonts w:hint="eastAsia" w:ascii="宋体" w:hAnsi="宋体" w:eastAsia="宋体" w:cs="宋体"/>
                <w:b/>
                <w:bCs/>
                <w:sz w:val="24"/>
                <w:highlight w:val="none"/>
              </w:rPr>
            </w:r>
            <w:r/>
          </w:p>
        </w:tc>
        <w:tc>
          <w:tcPr>
            <w:tcW w:w="846"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rPr>
                <w:rFonts w:hint="eastAsia" w:ascii="宋体" w:hAnsi="宋体" w:eastAsia="宋体" w:cs="宋体"/>
                <w:b/>
                <w:bCs/>
                <w:sz w:val="24"/>
                <w:highlight w:val="none"/>
              </w:rPr>
            </w:r>
            <w:r/>
          </w:p>
        </w:tc>
        <w:tc>
          <w:tcPr>
            <w:tcW w:w="3607"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rPr>
                <w:rFonts w:hint="eastAsia" w:ascii="宋体" w:hAnsi="宋体" w:eastAsia="宋体" w:cs="宋体"/>
                <w:b/>
                <w:bCs/>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□服务</w:t>
            </w:r>
            <w:r>
              <w:rPr>
                <w:rFonts w:hint="eastAsia" w:ascii="宋体" w:hAnsi="宋体" w:eastAsia="宋体" w:cs="宋体"/>
                <w:sz w:val="24"/>
                <w:highlight w:val="none"/>
              </w:rPr>
            </w:r>
            <w:r/>
          </w:p>
          <w:p>
            <w:pPr>
              <w:pStyle w:val="1139"/>
              <w:rPr>
                <w:rFonts w:hint="eastAsia" w:ascii="宋体" w:hAnsi="宋体" w:eastAsia="宋体" w:cs="宋体"/>
                <w:sz w:val="24"/>
                <w:highlight w:val="none"/>
                <w:u w:val="singl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货物</w:t>
            </w:r>
            <w:r>
              <w:rPr>
                <w:rFonts w:hint="eastAsia" w:ascii="宋体" w:hAnsi="宋体" w:eastAsia="宋体" w:cs="宋体"/>
                <w:sz w:val="24"/>
                <w:highlight w:val="none"/>
                <w:u w:val="singl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科研仪器设备</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是否属于科研仪器设备采购项目：</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是</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□否</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核心产品</w:t>
            </w:r>
            <w:r>
              <w:rPr>
                <w:rFonts w:hint="eastAsia" w:ascii="宋体" w:hAnsi="宋体" w:eastAsia="宋体" w:cs="宋体"/>
                <w:sz w:val="24"/>
                <w:highlight w:val="none"/>
              </w:rPr>
            </w:r>
            <w:r/>
          </w:p>
        </w:tc>
        <w:tc>
          <w:tcPr>
            <w:tcW w:w="3607" w:type="dxa"/>
            <w:vAlign w:val="center"/>
            <w:textDirection w:val="lrTb"/>
            <w:noWrap w:val="false"/>
          </w:tcPr>
          <w:p>
            <w:pPr>
              <w:pStyle w:val="1176"/>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szCs w:val="24"/>
                <w:highlight w:val="none"/>
                <w:lang w:val="en-US" w:eastAsia="zh-CN"/>
              </w:rPr>
              <w:t xml:space="preserve">关于核心产品本项目不适用。</w:t>
            </w:r>
            <w:r>
              <w:rPr>
                <w:rFonts w:hint="eastAsia" w:ascii="宋体" w:hAnsi="宋体" w:eastAsia="宋体" w:cs="宋体"/>
                <w:sz w:val="24"/>
                <w:szCs w:val="24"/>
                <w:highlight w:val="none"/>
                <w:lang w:val="en-US" w:eastAsia="zh-CN"/>
              </w:rPr>
            </w:r>
            <w:r/>
          </w:p>
          <w:p>
            <w:pPr>
              <w:pStyle w:val="1176"/>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szCs w:val="24"/>
                <w:highlight w:val="none"/>
                <w:lang w:val="en-US" w:eastAsia="zh-CN"/>
              </w:rPr>
              <w:t xml:space="preserve">本项目_/_包为单一产品采购项目。</w:t>
            </w:r>
            <w:r>
              <w:rPr>
                <w:rFonts w:hint="eastAsia" w:ascii="宋体" w:hAnsi="宋体" w:eastAsia="宋体" w:cs="宋体"/>
                <w:sz w:val="24"/>
                <w:szCs w:val="24"/>
                <w:highlight w:val="none"/>
                <w:lang w:val="en-US" w:eastAsia="zh-CN"/>
              </w:rPr>
            </w:r>
            <w:r/>
          </w:p>
          <w:p>
            <w:pPr>
              <w:pStyle w:val="1139"/>
              <w:rPr>
                <w:rFonts w:hint="eastAsia" w:ascii="宋体" w:hAnsi="宋体" w:eastAsia="宋体" w:cs="宋体"/>
                <w:sz w:val="24"/>
                <w:highlight w:val="none"/>
                <w:u w:val="single"/>
              </w:rPr>
            </w:pP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rPr>
              <w:t xml:space="preserve">本项目为非单一产品采购项目，核心产品为：气体设备</w:t>
            </w:r>
            <w:r>
              <w:rPr>
                <w:rFonts w:hint="eastAsia" w:ascii="宋体" w:hAnsi="宋体" w:eastAsia="宋体" w:cs="宋体"/>
                <w:sz w:val="24"/>
                <w:highlight w:val="none"/>
                <w:u w:val="single"/>
              </w:rPr>
            </w:r>
            <w:r/>
          </w:p>
        </w:tc>
      </w:tr>
      <w:tr>
        <w:trPr>
          <w:trHeight w:val="2573"/>
        </w:trPr>
        <w:tc>
          <w:tcPr>
            <w:tcW w:w="546" w:type="dxa"/>
            <w:vAlign w:val="center"/>
            <w:vMerge w:val="restart"/>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rPr>
                <w:rFonts w:hint="eastAsia" w:ascii="宋体" w:hAnsi="宋体" w:eastAsia="宋体" w:cs="宋体"/>
                <w:color w:val="000000"/>
                <w:sz w:val="24"/>
                <w:highlight w:val="none"/>
              </w:rPr>
            </w:r>
            <w:r/>
          </w:p>
        </w:tc>
        <w:tc>
          <w:tcPr>
            <w:tcW w:w="3607" w:type="dxa"/>
            <w:vAlign w:val="center"/>
            <w:textDirection w:val="lrTb"/>
            <w:noWrap w:val="false"/>
          </w:tcPr>
          <w:p>
            <w:pPr>
              <w:pStyle w:val="113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组织统一踏勘，建议投标人自行踏勘现场，踏勘现场时须提供填写好的《现场踏勘确认书（见采购文件附件）》及“苏采云”政府采购交易系统中获取本项目招标文件时签章的“投标供应商确认函”并加盖投标人公章。</w:t>
            </w:r>
            <w:r>
              <w:rPr>
                <w:rFonts w:hint="eastAsia" w:ascii="宋体" w:hAnsi="宋体" w:eastAsia="宋体" w:cs="宋体"/>
                <w:color w:val="000000"/>
                <w:sz w:val="24"/>
                <w:highlight w:val="none"/>
              </w:rPr>
            </w:r>
            <w:r/>
          </w:p>
          <w:p>
            <w:pPr>
              <w:pStyle w:val="113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踏勘联系人：郭老师；联系电话：13861182756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3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未踏勘现场或踏勘工作不详细的投标人</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lang w:val="en-US" w:eastAsia="zh-CN"/>
              </w:rPr>
            </w:r>
            <w:r/>
          </w:p>
        </w:tc>
      </w:tr>
      <w:tr>
        <w:trPr>
          <w:trHeight w:val="283"/>
        </w:trPr>
        <w:tc>
          <w:tcPr>
            <w:tcW w:w="546" w:type="dxa"/>
            <w:vAlign w:val="center"/>
            <w:vMerge w:val="continue"/>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不召开</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□召开，召开时间：__年_月_日_</w:t>
            </w:r>
            <w:r>
              <w:rPr>
                <w:rFonts w:hint="eastAsia" w:ascii="宋体" w:hAnsi="宋体" w:eastAsia="宋体" w:cs="宋体"/>
                <w:bCs/>
                <w:sz w:val="24"/>
                <w:highlight w:val="none"/>
              </w:rPr>
              <w:t xml:space="preserve">点</w:t>
            </w:r>
            <w:r>
              <w:rPr>
                <w:rFonts w:hint="eastAsia" w:ascii="宋体" w:hAnsi="宋体" w:eastAsia="宋体" w:cs="宋体"/>
                <w:sz w:val="24"/>
                <w:highlight w:val="none"/>
              </w:rPr>
              <w:t xml:space="preserve">_</w:t>
            </w:r>
            <w:r>
              <w:rPr>
                <w:rFonts w:hint="eastAsia" w:ascii="宋体" w:hAnsi="宋体" w:eastAsia="宋体" w:cs="宋体"/>
                <w:bCs/>
                <w:sz w:val="24"/>
                <w:highlight w:val="none"/>
              </w:rPr>
              <w:t xml:space="preserve">分</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召开地点：____________。</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样品</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不需要</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rPr>
                <w:rFonts w:hint="eastAsia" w:ascii="宋体" w:hAnsi="宋体" w:eastAsia="宋体" w:cs="宋体"/>
                <w:sz w:val="24"/>
                <w:highlight w:val="none"/>
              </w:rPr>
            </w:r>
            <w:r/>
          </w:p>
          <w:p>
            <w:pPr>
              <w:pStyle w:val="1139"/>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rPr>
                <w:rFonts w:hint="eastAsia" w:ascii="宋体" w:hAnsi="宋体" w:eastAsia="宋体" w:cs="宋体"/>
                <w:sz w:val="24"/>
                <w:highlight w:val="none"/>
                <w:u w:val="singl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rPr>
                <w:rFonts w:hint="eastAsia" w:ascii="宋体" w:hAnsi="宋体" w:eastAsia="宋体" w:cs="宋体"/>
                <w:sz w:val="24"/>
                <w:highlight w:val="none"/>
              </w:rPr>
            </w:r>
            <w:r/>
          </w:p>
          <w:p>
            <w:pPr>
              <w:pStyle w:val="1139"/>
              <w:ind w:firstLine="600"/>
              <w:rPr>
                <w:rFonts w:hint="eastAsia" w:ascii="宋体" w:hAnsi="宋体" w:eastAsia="宋体" w:cs="宋体"/>
                <w:sz w:val="24"/>
                <w:highlight w:val="none"/>
              </w:rPr>
            </w:pPr>
            <w:r>
              <w:rPr>
                <w:rFonts w:hint="eastAsia" w:ascii="宋体" w:hAnsi="宋体" w:eastAsia="宋体" w:cs="宋体"/>
                <w:sz w:val="24"/>
                <w:highlight w:val="none"/>
              </w:rPr>
              <w:t xml:space="preserve">□不需要</w:t>
            </w:r>
            <w:r>
              <w:rPr>
                <w:rFonts w:hint="eastAsia" w:ascii="宋体" w:hAnsi="宋体" w:eastAsia="宋体" w:cs="宋体"/>
                <w:sz w:val="24"/>
                <w:highlight w:val="none"/>
              </w:rPr>
            </w:r>
            <w:r/>
          </w:p>
          <w:p>
            <w:pPr>
              <w:pStyle w:val="1139"/>
              <w:ind w:firstLine="600"/>
              <w:rPr>
                <w:rFonts w:hint="eastAsia" w:ascii="宋体" w:hAnsi="宋体" w:eastAsia="宋体" w:cs="宋体"/>
                <w:sz w:val="24"/>
                <w:highlight w:val="none"/>
              </w:rPr>
            </w:pPr>
            <w:r>
              <w:rPr>
                <w:rFonts w:hint="eastAsia" w:ascii="宋体" w:hAnsi="宋体" w:eastAsia="宋体" w:cs="宋体"/>
                <w:sz w:val="24"/>
                <w:highlight w:val="none"/>
              </w:rPr>
              <w:t xml:space="preserve">□需要</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rPr>
                <w:rFonts w:hint="eastAsia" w:ascii="宋体" w:hAnsi="宋体" w:eastAsia="宋体" w:cs="宋体"/>
                <w:sz w:val="24"/>
                <w:highlight w:val="none"/>
              </w:rPr>
            </w:r>
            <w:r/>
          </w:p>
          <w:p>
            <w:pPr>
              <w:pStyle w:val="1139"/>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rPr>
                <w:rFonts w:hint="eastAsia" w:ascii="宋体" w:hAnsi="宋体" w:eastAsia="宋体" w:cs="宋体"/>
                <w:sz w:val="24"/>
                <w:highlight w:val="none"/>
                <w:u w:val="singl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（6）其他要求（如有）：_________。</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5.2.5</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b/>
                <w:bCs/>
                <w:sz w:val="24"/>
                <w:highlight w:val="none"/>
                <w:u w:val="single"/>
              </w:rPr>
              <w:t xml:space="preserve">工业</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投标报价的特殊规定：</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无</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□有，具体情形：_____。</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免收</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自提交投标文件的截止之日起算60日历天。</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25.5</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不允许</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□允许，具体要求：</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（1）可以分包履行的具体内容：_____；</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（2）允许分包的金额或者比例：_____；</w:t>
            </w:r>
            <w:r>
              <w:rPr>
                <w:rFonts w:hint="eastAsia" w:ascii="宋体" w:hAnsi="宋体" w:eastAsia="宋体" w:cs="宋体"/>
                <w:sz w:val="24"/>
                <w:highlight w:val="none"/>
              </w:rPr>
            </w:r>
            <w:r/>
          </w:p>
          <w:p>
            <w:pPr>
              <w:pStyle w:val="1139"/>
              <w:rPr>
                <w:rFonts w:hint="eastAsia" w:ascii="宋体" w:hAnsi="宋体" w:eastAsia="宋体" w:cs="宋体"/>
                <w:sz w:val="24"/>
                <w:highlight w:val="none"/>
                <w:u w:val="single"/>
              </w:rPr>
            </w:pPr>
            <w:r>
              <w:rPr>
                <w:rFonts w:hint="eastAsia" w:ascii="宋体" w:hAnsi="宋体" w:eastAsia="宋体" w:cs="宋体"/>
                <w:sz w:val="24"/>
                <w:highlight w:val="none"/>
              </w:rPr>
              <w:t xml:space="preserve">（3）其他要求：_____。</w:t>
            </w:r>
            <w:r>
              <w:rPr>
                <w:rFonts w:hint="eastAsia" w:ascii="宋体" w:hAnsi="宋体" w:eastAsia="宋体" w:cs="宋体"/>
                <w:sz w:val="24"/>
                <w:highlight w:val="none"/>
                <w:u w:val="singl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26.1.1</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询问送达形式：书面形式并加盖公章</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26.3</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联系部门：常州润邦招标代理有限公司；</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联系电话：0519-81882993；</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通讯地址：常州市飞龙东路108号-304室（翠园世家商业街三楼）</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收费对象：</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sz w:val="24"/>
                <w:highlight w:val="none"/>
              </w:rPr>
              <w:t xml:space="preserve">中标人</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收费标准：以中标金额为基数，收费比例按差额定率累进法计算。服务费取费基数和费率按下表收费标准计算，按下述计算方法不足人民币3000元的，按人民币3000元收取。</w:t>
            </w:r>
            <w:r>
              <w:rPr>
                <w:rFonts w:hint="eastAsia" w:ascii="宋体" w:hAnsi="宋体" w:eastAsia="宋体" w:cs="宋体"/>
                <w:sz w:val="24"/>
                <w:highlight w:val="non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2703"/>
              <w:gridCol w:w="2725"/>
            </w:tblGrid>
            <w:tr>
              <w:trPr>
                <w:trHeight w:val="137"/>
              </w:trPr>
              <w:tc>
                <w:tcPr>
                  <w:tcW w:w="806"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2088"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中标金额（万元）</w:t>
                  </w:r>
                  <w:r>
                    <w:rPr>
                      <w:rFonts w:hint="eastAsia" w:ascii="宋体" w:hAnsi="宋体" w:eastAsia="宋体" w:cs="宋体"/>
                      <w:bCs/>
                      <w:sz w:val="24"/>
                      <w:highlight w:val="none"/>
                    </w:rPr>
                  </w:r>
                  <w:r/>
                </w:p>
              </w:tc>
              <w:tc>
                <w:tcPr>
                  <w:tcW w:w="2105"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货物类（费率）</w:t>
                  </w:r>
                  <w:r>
                    <w:rPr>
                      <w:rFonts w:hint="eastAsia" w:ascii="宋体" w:hAnsi="宋体" w:eastAsia="宋体" w:cs="宋体"/>
                      <w:bCs/>
                      <w:sz w:val="24"/>
                      <w:highlight w:val="none"/>
                    </w:rPr>
                  </w:r>
                  <w:r/>
                </w:p>
              </w:tc>
            </w:tr>
            <w:tr>
              <w:trPr>
                <w:trHeight w:val="255"/>
              </w:trPr>
              <w:tc>
                <w:tcPr>
                  <w:tcW w:w="806" w:type="dxa"/>
                  <w:vAlign w:val="top"/>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2088"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100以下</w:t>
                  </w:r>
                  <w:r>
                    <w:rPr>
                      <w:rFonts w:hint="eastAsia" w:ascii="宋体" w:hAnsi="宋体" w:eastAsia="宋体" w:cs="宋体"/>
                      <w:bCs/>
                      <w:sz w:val="24"/>
                      <w:highlight w:val="none"/>
                    </w:rPr>
                  </w:r>
                  <w:r/>
                </w:p>
              </w:tc>
              <w:tc>
                <w:tcPr>
                  <w:tcW w:w="2105"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0.75%</w:t>
                  </w:r>
                  <w:r>
                    <w:rPr>
                      <w:rFonts w:hint="eastAsia" w:ascii="宋体" w:hAnsi="宋体" w:eastAsia="宋体" w:cs="宋体"/>
                      <w:bCs/>
                      <w:sz w:val="24"/>
                      <w:highlight w:val="none"/>
                    </w:rPr>
                  </w:r>
                  <w:r/>
                </w:p>
              </w:tc>
            </w:tr>
            <w:tr>
              <w:trPr>
                <w:trHeight w:val="135"/>
              </w:trPr>
              <w:tc>
                <w:tcPr>
                  <w:tcW w:w="806" w:type="dxa"/>
                  <w:vAlign w:val="top"/>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2088"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100--500</w:t>
                  </w:r>
                  <w:r>
                    <w:rPr>
                      <w:rFonts w:hint="eastAsia" w:ascii="宋体" w:hAnsi="宋体" w:eastAsia="宋体" w:cs="宋体"/>
                      <w:bCs/>
                      <w:sz w:val="24"/>
                      <w:highlight w:val="none"/>
                    </w:rPr>
                  </w:r>
                  <w:r/>
                </w:p>
              </w:tc>
              <w:tc>
                <w:tcPr>
                  <w:tcW w:w="2105"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0.55%</w:t>
                  </w:r>
                  <w:r>
                    <w:rPr>
                      <w:rFonts w:hint="eastAsia" w:ascii="宋体" w:hAnsi="宋体" w:eastAsia="宋体" w:cs="宋体"/>
                      <w:bCs/>
                      <w:sz w:val="24"/>
                      <w:highlight w:val="none"/>
                    </w:rPr>
                  </w:r>
                  <w:r/>
                </w:p>
              </w:tc>
            </w:tr>
            <w:tr>
              <w:trPr>
                <w:trHeight w:val="240"/>
              </w:trPr>
              <w:tc>
                <w:tcPr>
                  <w:tcW w:w="806" w:type="dxa"/>
                  <w:vAlign w:val="top"/>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2088"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500--1000</w:t>
                  </w:r>
                  <w:r>
                    <w:rPr>
                      <w:rFonts w:hint="eastAsia" w:ascii="宋体" w:hAnsi="宋体" w:eastAsia="宋体" w:cs="宋体"/>
                      <w:bCs/>
                      <w:sz w:val="24"/>
                      <w:highlight w:val="none"/>
                    </w:rPr>
                  </w:r>
                  <w:r/>
                </w:p>
              </w:tc>
              <w:tc>
                <w:tcPr>
                  <w:tcW w:w="2105" w:type="dxa"/>
                  <w:vAlign w:val="center"/>
                  <w:textDirection w:val="lrTb"/>
                  <w:noWrap w:val="false"/>
                </w:tcPr>
                <w:p>
                  <w:pPr>
                    <w:pStyle w:val="11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0.40%</w:t>
                  </w:r>
                  <w:r>
                    <w:rPr>
                      <w:rFonts w:hint="eastAsia" w:ascii="宋体" w:hAnsi="宋体" w:eastAsia="宋体" w:cs="宋体"/>
                      <w:bCs/>
                      <w:sz w:val="24"/>
                      <w:highlight w:val="none"/>
                    </w:rPr>
                  </w:r>
                  <w:r/>
                </w:p>
              </w:tc>
            </w:tr>
          </w:tbl>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缴纳时间：中标人领取中标通知书前须向采购代理机构足额缴纳采购代理服务费。</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费用缴纳账户信息如下（汇款请备注项目名称或编号）</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户名：常州润邦招标代理有限公司</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开户行：招商银行经开区支行 </w:t>
            </w:r>
            <w:r>
              <w:rPr>
                <w:rFonts w:hint="eastAsia" w:ascii="宋体" w:hAnsi="宋体" w:eastAsia="宋体" w:cs="宋体"/>
                <w:sz w:val="24"/>
                <w:highlight w:val="none"/>
              </w:rPr>
            </w:r>
            <w:r/>
          </w:p>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账号：519904296910000 </w:t>
            </w:r>
            <w:r>
              <w:rPr>
                <w:rFonts w:hint="eastAsia" w:ascii="宋体" w:hAnsi="宋体" w:eastAsia="宋体" w:cs="宋体"/>
                <w:sz w:val="24"/>
                <w:highlight w:val="none"/>
              </w:rPr>
            </w:r>
            <w:r/>
          </w:p>
        </w:tc>
      </w:tr>
      <w:tr>
        <w:trPr>
          <w:trHeight w:val="283"/>
        </w:trPr>
        <w:tc>
          <w:tcPr>
            <w:tcW w:w="546" w:type="dxa"/>
            <w:vAlign w:val="center"/>
            <w:textDirection w:val="lrTb"/>
            <w:noWrap w:val="false"/>
          </w:tcPr>
          <w:p>
            <w:pPr>
              <w:pStyle w:val="117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lang w:val="en-US" w:eastAsia="zh-CN"/>
              </w:rPr>
            </w:r>
            <w:r/>
          </w:p>
        </w:tc>
        <w:tc>
          <w:tcPr>
            <w:tcW w:w="84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纸质中标（成交）文件</w:t>
            </w:r>
            <w:r>
              <w:rPr>
                <w:rFonts w:hint="eastAsia" w:ascii="宋体" w:hAnsi="宋体" w:eastAsia="宋体" w:cs="宋体"/>
                <w:sz w:val="24"/>
                <w:highlight w:val="none"/>
              </w:rPr>
            </w:r>
            <w:r/>
          </w:p>
        </w:tc>
        <w:tc>
          <w:tcPr>
            <w:tcW w:w="3607"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中标（成交）单位在签订合同前需递交与电子投标文件内容一致的纸质投标文件三份（需打印清晰，标注目录及页码），作为项目归档使用。（递交方式可采用邮寄或现场送达，采购人贰份，招标代理公司壹份，联系方式见《第一章 投标邀请》）</w:t>
            </w:r>
            <w:r>
              <w:rPr>
                <w:rFonts w:hint="eastAsia" w:ascii="宋体" w:hAnsi="宋体" w:eastAsia="宋体" w:cs="宋体"/>
                <w:sz w:val="24"/>
                <w:highlight w:val="none"/>
              </w:rPr>
            </w:r>
            <w:r/>
          </w:p>
        </w:tc>
      </w:tr>
    </w:tbl>
    <w:p>
      <w:pPr>
        <w:pStyle w:val="1139"/>
        <w:jc w:val="both"/>
        <w:spacing w:line="360" w:lineRule="auto"/>
        <w:tabs>
          <w:tab w:val="left" w:pos="5580" w:leader="none"/>
        </w:tabs>
        <w:rPr>
          <w:rFonts w:hint="eastAsia" w:ascii="宋体" w:hAnsi="宋体" w:eastAsia="宋体" w:cs="宋体"/>
          <w:sz w:val="24"/>
          <w:highlight w:val="none"/>
        </w:rPr>
        <w:sectPr>
          <w:headerReference w:type="first" r:id="rId12"/>
          <w:footerReference w:type="default" r:id="rId17"/>
          <w:footerReference w:type="first" r:id="rId18"/>
          <w:footnotePr/>
          <w:endnotePr/>
          <w:type w:val="nextColumn"/>
          <w:pgSz w:w="11907" w:h="16840" w:orient="portrait"/>
          <w:pgMar w:top="1440" w:right="1417" w:bottom="1440" w:left="1417" w:header="851" w:footer="850" w:gutter="0"/>
          <w:pgNumType w:start="1"/>
          <w:cols w:num="1" w:sep="0" w:space="1701" w:equalWidth="1"/>
          <w:docGrid w:linePitch="360"/>
          <w:titlePg/>
        </w:sectPr>
      </w:pPr>
      <w:r>
        <w:rPr>
          <w:rFonts w:hint="eastAsia" w:ascii="宋体" w:hAnsi="宋体" w:eastAsia="宋体" w:cs="宋体"/>
          <w:sz w:val="24"/>
          <w:highlight w:val="none"/>
        </w:rPr>
        <w:br w:type="page" w:clear="all"/>
      </w:r>
      <w:r/>
    </w:p>
    <w:p>
      <w:pPr>
        <w:pStyle w:val="1139"/>
        <w:jc w:val="center"/>
        <w:spacing w:before="240" w:after="240"/>
        <w:rPr>
          <w:rFonts w:hint="eastAsia" w:ascii="宋体" w:hAnsi="宋体" w:eastAsia="宋体" w:cs="宋体"/>
          <w:b/>
          <w:sz w:val="28"/>
          <w:szCs w:val="28"/>
          <w:highlight w:val="none"/>
        </w:rPr>
      </w:pPr>
      <w:r/>
      <w:bookmarkStart w:id="74" w:name="_Toc226965790"/>
      <w:r/>
      <w:bookmarkStart w:id="75" w:name="_Toc195842882"/>
      <w:r/>
      <w:bookmarkStart w:id="76" w:name="_Toc226337213"/>
      <w:r/>
      <w:bookmarkStart w:id="77" w:name="_Toc265228355"/>
      <w:r/>
      <w:bookmarkStart w:id="78" w:name="_Toc305158785"/>
      <w:r/>
      <w:bookmarkStart w:id="79" w:name="_Toc305158859"/>
      <w:r/>
      <w:bookmarkStart w:id="80" w:name="_Toc264969207"/>
      <w:r/>
      <w:bookmarkStart w:id="81" w:name="_Toc127151517"/>
      <w:r/>
      <w:bookmarkStart w:id="82" w:name="_Toc353873932"/>
      <w:r/>
      <w:bookmarkStart w:id="83" w:name="_Toc150774722"/>
      <w:r/>
      <w:bookmarkStart w:id="84" w:name="_Toc142311019"/>
      <w:r/>
      <w:bookmarkStart w:id="85" w:name="_Toc150480755"/>
      <w:r/>
      <w:bookmarkStart w:id="86" w:name="_Toc353825542"/>
      <w:r/>
      <w:bookmarkStart w:id="87" w:name="_Toc353873662"/>
      <w:r>
        <w:rPr>
          <w:rFonts w:hint="eastAsia" w:ascii="宋体" w:hAnsi="宋体" w:eastAsia="宋体" w:cs="宋体"/>
          <w:b/>
          <w:sz w:val="28"/>
          <w:szCs w:val="28"/>
          <w:highlight w:val="none"/>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
          <w:sz w:val="28"/>
          <w:szCs w:val="28"/>
          <w:highlight w:val="none"/>
        </w:rPr>
      </w:r>
      <w:r/>
    </w:p>
    <w:p>
      <w:pPr>
        <w:pStyle w:val="1141"/>
        <w:spacing w:before="0" w:line="360" w:lineRule="auto"/>
        <w:tabs>
          <w:tab w:val="center" w:pos="4592" w:leader="none"/>
          <w:tab w:val="left" w:pos="7860" w:leader="none"/>
        </w:tabs>
        <w:rPr>
          <w:rFonts w:hint="eastAsia" w:ascii="宋体" w:hAnsi="宋体" w:eastAsia="宋体" w:cs="宋体"/>
          <w:sz w:val="28"/>
          <w:highlight w:val="none"/>
        </w:rPr>
      </w:pPr>
      <w:r/>
      <w:bookmarkStart w:id="88" w:name="_Toc142311020"/>
      <w:r/>
      <w:bookmarkStart w:id="89" w:name="_Toc150774618"/>
      <w:r/>
      <w:bookmarkStart w:id="90" w:name="_Toc226337214"/>
      <w:r/>
      <w:bookmarkStart w:id="91" w:name="_Toc226309762"/>
      <w:r/>
      <w:bookmarkStart w:id="92" w:name="_Toc195842883"/>
      <w:r/>
      <w:bookmarkStart w:id="93" w:name="_Toc151193760"/>
      <w:r/>
      <w:bookmarkStart w:id="94" w:name="_Toc305158786"/>
      <w:r/>
      <w:bookmarkStart w:id="95" w:name="_Toc226965791"/>
      <w:r/>
      <w:bookmarkStart w:id="96" w:name="_Toc226965708"/>
      <w:r/>
      <w:bookmarkStart w:id="97" w:name="_Toc150480756"/>
      <w:r/>
      <w:bookmarkStart w:id="98" w:name="_Toc151193832"/>
      <w:r/>
      <w:bookmarkStart w:id="99" w:name="_Toc265228356"/>
      <w:r/>
      <w:bookmarkStart w:id="100" w:name="_Toc305158860"/>
      <w:r/>
      <w:bookmarkStart w:id="101" w:name="_Toc151193688"/>
      <w:r/>
      <w:bookmarkStart w:id="102" w:name="_Toc151193616"/>
      <w:r/>
      <w:bookmarkStart w:id="103" w:name="_Toc520356143"/>
      <w:r/>
      <w:bookmarkStart w:id="104" w:name="_Toc264969208"/>
      <w:r/>
      <w:bookmarkStart w:id="105" w:name="_Toc151190145"/>
      <w:r/>
      <w:bookmarkStart w:id="106" w:name="_Toc150509269"/>
      <w:r/>
      <w:bookmarkStart w:id="107" w:name="_Toc151193906"/>
      <w:r/>
      <w:bookmarkStart w:id="108" w:name="_Toc150774723"/>
      <w:r/>
      <w:bookmarkStart w:id="109" w:name="_Toc127151518"/>
      <w:r>
        <w:rPr>
          <w:rFonts w:hint="eastAsia" w:ascii="宋体" w:hAnsi="宋体" w:eastAsia="宋体" w:cs="宋体"/>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sz w:val="28"/>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bookmarkStart w:id="110" w:name="_Toc305158787"/>
      <w:r/>
      <w:bookmarkStart w:id="111" w:name="_Toc264969209"/>
      <w:r/>
      <w:bookmarkStart w:id="112" w:name="_Toc305158861"/>
      <w:r/>
      <w:bookmarkStart w:id="113" w:name="_Toc265228357"/>
      <w:r>
        <w:rPr>
          <w:rFonts w:hint="eastAsia" w:ascii="宋体" w:hAnsi="宋体" w:eastAsia="宋体" w:cs="宋体"/>
          <w:sz w:val="24"/>
          <w:highlight w:val="none"/>
        </w:rPr>
        <w:t xml:space="preserve">采购人、采购代理机构、投标人</w:t>
      </w:r>
      <w:bookmarkEnd w:id="110"/>
      <w:r/>
      <w:bookmarkEnd w:id="111"/>
      <w:r/>
      <w:bookmarkEnd w:id="112"/>
      <w:r/>
      <w:bookmarkEnd w:id="113"/>
      <w:r>
        <w:rPr>
          <w:rFonts w:hint="eastAsia" w:ascii="宋体" w:hAnsi="宋体" w:eastAsia="宋体" w:cs="宋体"/>
          <w:sz w:val="24"/>
          <w:highlight w:val="none"/>
        </w:rPr>
        <w:t xml:space="preserve">、联合体</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rPr>
          <w:rFonts w:hint="eastAsia" w:ascii="宋体" w:hAnsi="宋体" w:eastAsia="宋体" w:cs="宋体"/>
          <w:sz w:val="24"/>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bookmarkStart w:id="114" w:name="_Toc151193762"/>
      <w:r/>
      <w:bookmarkStart w:id="115" w:name="_Toc164229215"/>
      <w:r/>
      <w:bookmarkStart w:id="116" w:name="_Toc164608634"/>
      <w:r/>
      <w:bookmarkStart w:id="117" w:name="_Toc150774725"/>
      <w:r/>
      <w:bookmarkStart w:id="118" w:name="_Toc127151721"/>
      <w:r/>
      <w:bookmarkStart w:id="119" w:name="_Toc265228358"/>
      <w:r/>
      <w:bookmarkStart w:id="120" w:name="_Toc226309764"/>
      <w:r/>
      <w:bookmarkStart w:id="121" w:name="_Toc151193834"/>
      <w:r/>
      <w:bookmarkStart w:id="122" w:name="_Toc305158788"/>
      <w:r/>
      <w:bookmarkStart w:id="123" w:name="_Toc150480758"/>
      <w:r/>
      <w:bookmarkStart w:id="124" w:name="_Toc195842885"/>
      <w:r/>
      <w:bookmarkStart w:id="125" w:name="_Toc149720813"/>
      <w:r/>
      <w:bookmarkStart w:id="126" w:name="_Toc226337216"/>
      <w:r/>
      <w:bookmarkStart w:id="127" w:name="_Toc164608789"/>
      <w:r/>
      <w:bookmarkStart w:id="128" w:name="_Toc150509271"/>
      <w:r/>
      <w:bookmarkStart w:id="129" w:name="_Toc142311022"/>
      <w:r/>
      <w:bookmarkStart w:id="130" w:name="_Toc151190147"/>
      <w:r/>
      <w:bookmarkStart w:id="131" w:name="_Toc151193690"/>
      <w:r/>
      <w:bookmarkStart w:id="132" w:name="_Toc127151520"/>
      <w:r/>
      <w:bookmarkStart w:id="133" w:name="_Toc264969210"/>
      <w:r/>
      <w:bookmarkStart w:id="134" w:name="_Toc305158862"/>
      <w:r/>
      <w:bookmarkStart w:id="135" w:name="_Toc150774620"/>
      <w:r/>
      <w:bookmarkStart w:id="136" w:name="_Toc226965710"/>
      <w:r/>
      <w:bookmarkStart w:id="137" w:name="_Toc151193908"/>
      <w:r/>
      <w:bookmarkStart w:id="138" w:name="_Toc127161434"/>
      <w:r/>
      <w:bookmarkStart w:id="139" w:name="_Toc151193618"/>
      <w:r/>
      <w:bookmarkStart w:id="140" w:name="_Toc226965793"/>
      <w:r/>
      <w:bookmarkStart w:id="141" w:name="_Toc164229361"/>
      <w:r/>
      <w:bookmarkStart w:id="142" w:name="_Toc164351614"/>
      <w:r>
        <w:rPr>
          <w:rFonts w:hint="eastAsia" w:ascii="宋体" w:hAnsi="宋体" w:eastAsia="宋体" w:cs="宋体"/>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eastAsia="宋体" w:cs="宋体"/>
          <w:sz w:val="24"/>
          <w:highlight w:val="none"/>
        </w:rPr>
        <w:t xml:space="preserve">、项目属性、科研仪器设备采购、核心产品</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rPr>
          <w:rFonts w:hint="eastAsia" w:ascii="宋体" w:hAnsi="宋体" w:eastAsia="宋体" w:cs="宋体"/>
          <w:sz w:val="24"/>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现场考察、开标前答疑会</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bookmarkStart w:id="143" w:name="_Toc305158864"/>
      <w:r/>
      <w:bookmarkStart w:id="144" w:name="_Toc226965712"/>
      <w:r/>
      <w:bookmarkStart w:id="145" w:name="_Toc195842887"/>
      <w:r/>
      <w:bookmarkStart w:id="146" w:name="_Toc151190149"/>
      <w:r/>
      <w:bookmarkStart w:id="147" w:name="_Toc150774622"/>
      <w:r/>
      <w:bookmarkStart w:id="148" w:name="_Toc142311024"/>
      <w:r/>
      <w:bookmarkStart w:id="149" w:name="_Toc226965795"/>
      <w:r/>
      <w:bookmarkStart w:id="150" w:name="_Toc151193620"/>
      <w:r/>
      <w:bookmarkStart w:id="151" w:name="_Toc150774727"/>
      <w:r/>
      <w:bookmarkStart w:id="152" w:name="_Toc226337218"/>
      <w:r/>
      <w:bookmarkStart w:id="153" w:name="_Toc265228360"/>
      <w:r/>
      <w:bookmarkStart w:id="154" w:name="_Toc151193692"/>
      <w:r/>
      <w:bookmarkStart w:id="155" w:name="_Toc305158790"/>
      <w:r/>
      <w:bookmarkStart w:id="156" w:name="_Toc520356146"/>
      <w:r/>
      <w:bookmarkStart w:id="157" w:name="_Toc150480760"/>
      <w:r/>
      <w:bookmarkStart w:id="158" w:name="_Toc127151522"/>
      <w:r/>
      <w:bookmarkStart w:id="159" w:name="_Toc150509273"/>
      <w:r/>
      <w:bookmarkStart w:id="160" w:name="_Toc151193764"/>
      <w:r/>
      <w:bookmarkStart w:id="161" w:name="_Toc226309766"/>
      <w:r/>
      <w:bookmarkStart w:id="162" w:name="_Toc151193836"/>
      <w:r/>
      <w:bookmarkStart w:id="163" w:name="_Toc151193910"/>
      <w:r/>
      <w:bookmarkStart w:id="164" w:name="_Toc264969212"/>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sz w:val="24"/>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rPr>
          <w:rFonts w:hint="eastAsia" w:ascii="宋体" w:hAnsi="宋体" w:eastAsia="宋体" w:cs="宋体"/>
          <w:sz w:val="24"/>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政府采购政策（包括但不限于下列具体政策要求）</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vanish/>
          <w:color w:val="000000"/>
          <w:sz w:val="24"/>
          <w:highlight w:val="none"/>
        </w:rPr>
      </w:pPr>
      <w:r>
        <w:rPr>
          <w:rFonts w:hint="eastAsia" w:ascii="宋体" w:hAnsi="宋体" w:eastAsia="宋体" w:cs="宋体"/>
          <w:sz w:val="24"/>
          <w:highlight w:val="none"/>
        </w:rPr>
        <w:t xml:space="preserve">中小企业定义：</w:t>
      </w:r>
      <w:r>
        <w:rPr>
          <w:rFonts w:hint="eastAsia" w:ascii="宋体" w:hAnsi="宋体" w:eastAsia="宋体" w:cs="宋体"/>
          <w:vanish/>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5.2.1.1中小企业是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5.2.1.2供应商提供的货物、工程或者服务符合下列情形的，享受中小企业扶持政策：</w:t>
      </w:r>
      <w:r>
        <w:rPr>
          <w:rFonts w:hint="eastAsia" w:ascii="宋体" w:hAnsi="宋体" w:eastAsia="宋体" w:cs="宋体"/>
          <w:color w:val="000000"/>
          <w:sz w:val="24"/>
          <w:highlight w:val="none"/>
        </w:rPr>
      </w:r>
      <w:r/>
    </w:p>
    <w:p>
      <w:pPr>
        <w:pStyle w:val="1139"/>
        <w:ind w:firstLine="480"/>
        <w:spacing w:line="4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1139"/>
        <w:ind w:firstLine="480"/>
        <w:spacing w:line="4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rPr>
          <w:rFonts w:hint="eastAsia" w:ascii="宋体" w:hAnsi="宋体" w:eastAsia="宋体" w:cs="宋体"/>
          <w:color w:val="000000"/>
          <w:sz w:val="24"/>
          <w:highlight w:val="none"/>
        </w:rPr>
      </w:r>
      <w:r/>
    </w:p>
    <w:p>
      <w:pPr>
        <w:pStyle w:val="1139"/>
        <w:ind w:firstLine="480"/>
        <w:spacing w:line="4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5.2.1.3在货物采购项目中，供应商提供的货物既有中小企业制造货物，也有大型企业制造货物的，不享受中小企业扶持政策。</w:t>
      </w:r>
      <w:r>
        <w:rPr>
          <w:rFonts w:hint="eastAsia" w:ascii="宋体" w:hAnsi="宋体" w:eastAsia="宋体" w:cs="宋体"/>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vanish/>
          <w:color w:val="000000"/>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rPr>
          <w:rFonts w:hint="eastAsia" w:ascii="宋体" w:hAnsi="宋体" w:eastAsia="宋体" w:cs="宋体"/>
          <w:vanish/>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w:t>
      </w:r>
      <w:r>
        <w:rPr>
          <w:rFonts w:hint="eastAsia" w:ascii="宋体" w:hAnsi="宋体" w:eastAsia="宋体" w:cs="宋体"/>
          <w:sz w:val="24"/>
          <w:highlight w:val="none"/>
        </w:rPr>
        <w:t xml:space="preserve">2依法与安置的每位残疾人签订了一年以上（含一年）的劳动合同或服务协议；</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w:t>
      </w:r>
      <w:r>
        <w:rPr>
          <w:rFonts w:hint="eastAsia" w:ascii="宋体" w:hAnsi="宋体" w:eastAsia="宋体" w:cs="宋体"/>
          <w:sz w:val="24"/>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w:t>
      </w:r>
      <w:r>
        <w:rPr>
          <w:rFonts w:hint="eastAsia" w:ascii="宋体" w:hAnsi="宋体" w:eastAsia="宋体" w:cs="宋体"/>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w:t>
      </w:r>
      <w:r>
        <w:rPr>
          <w:rFonts w:hint="eastAsia" w:ascii="宋体" w:hAnsi="宋体" w:eastAsia="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1139"/>
        <w:ind w:firstLine="480"/>
        <w:spacing w:line="400" w:lineRule="exact"/>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w:t>
      </w:r>
      <w:r>
        <w:rPr>
          <w:rFonts w:hint="eastAsia" w:ascii="宋体" w:hAnsi="宋体" w:eastAsia="宋体" w:cs="宋体"/>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highlight w:val="none"/>
        </w:rPr>
      </w:r>
      <w:r/>
    </w:p>
    <w:p>
      <w:pPr>
        <w:pStyle w:val="1139"/>
        <w:numPr>
          <w:ilvl w:val="2"/>
          <w:numId w:val="8"/>
        </w:num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绿色采购政策</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绿色数据中心政策 </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推广应用绿色建材</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4"/>
          <w:highlight w:val="none"/>
        </w:rPr>
      </w:r>
      <w:r/>
    </w:p>
    <w:p>
      <w:pPr>
        <w:pStyle w:val="1139"/>
        <w:numPr>
          <w:ilvl w:val="2"/>
          <w:numId w:val="8"/>
        </w:numPr>
        <w:ind w:firstLine="480"/>
        <w:spacing w:line="400" w:lineRule="exact"/>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优先使用低挥发性有机化合物产品</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4"/>
          <w:highlight w:val="none"/>
        </w:rPr>
      </w:r>
      <w:r/>
    </w:p>
    <w:p>
      <w:pPr>
        <w:pStyle w:val="1139"/>
        <w:numPr>
          <w:ilvl w:val="0"/>
          <w:numId w:val="8"/>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投标费用</w:t>
      </w:r>
      <w:r>
        <w:rPr>
          <w:rFonts w:hint="eastAsia" w:ascii="宋体" w:hAnsi="宋体" w:eastAsia="宋体" w:cs="宋体"/>
          <w:sz w:val="24"/>
          <w:highlight w:val="none"/>
        </w:rPr>
      </w:r>
      <w:r/>
    </w:p>
    <w:p>
      <w:pPr>
        <w:pStyle w:val="1139"/>
        <w:numPr>
          <w:ilvl w:val="1"/>
          <w:numId w:val="8"/>
        </w:numPr>
        <w:ind w:firstLine="480"/>
        <w:spacing w:line="400" w:lineRule="exact"/>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sz w:val="24"/>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41"/>
        <w:spacing w:before="0" w:line="400" w:lineRule="exact"/>
        <w:rPr>
          <w:rFonts w:hint="eastAsia" w:ascii="宋体" w:hAnsi="宋体" w:eastAsia="宋体" w:cs="宋体"/>
          <w:sz w:val="28"/>
          <w:highlight w:val="none"/>
        </w:rPr>
      </w:pPr>
      <w:r/>
      <w:bookmarkStart w:id="165" w:name="_1.8_计量单位"/>
      <w:r/>
      <w:bookmarkEnd w:id="165"/>
      <w:r>
        <w:rPr>
          <w:rFonts w:hint="eastAsia" w:ascii="宋体" w:hAnsi="宋体" w:eastAsia="宋体" w:cs="宋体"/>
          <w:sz w:val="28"/>
          <w:highlight w:val="none"/>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 w:val="28"/>
          <w:highlight w:val="none"/>
        </w:rPr>
      </w:r>
      <w:r/>
    </w:p>
    <w:p>
      <w:pPr>
        <w:pStyle w:val="1139"/>
        <w:ind w:firstLine="480"/>
        <w:spacing w:line="400" w:lineRule="exact"/>
        <w:rPr>
          <w:rFonts w:hint="eastAsia" w:ascii="宋体" w:hAnsi="宋体" w:eastAsia="宋体" w:cs="宋体"/>
          <w:sz w:val="24"/>
          <w:highlight w:val="none"/>
        </w:rPr>
      </w:pPr>
      <w:r/>
      <w:bookmarkStart w:id="166" w:name="_Toc151193624"/>
      <w:r/>
      <w:bookmarkStart w:id="167" w:name="_Toc151193768"/>
      <w:r/>
      <w:bookmarkStart w:id="168" w:name="_Toc151193696"/>
      <w:r/>
      <w:bookmarkStart w:id="169" w:name="_Toc151190153"/>
      <w:r/>
      <w:bookmarkStart w:id="170" w:name="_Toc151193840"/>
      <w:r/>
      <w:bookmarkStart w:id="171" w:name="_Toc305158794"/>
      <w:r/>
      <w:bookmarkStart w:id="172" w:name="_Toc264969216"/>
      <w:r/>
      <w:bookmarkStart w:id="173" w:name="_Toc151193914"/>
      <w:r/>
      <w:bookmarkStart w:id="174" w:name="_Toc150480764"/>
      <w:r/>
      <w:bookmarkStart w:id="175" w:name="_Toc265228364"/>
      <w:r/>
      <w:bookmarkStart w:id="176" w:name="_Toc226309770"/>
      <w:r/>
      <w:bookmarkStart w:id="177" w:name="_Toc150774626"/>
      <w:r/>
      <w:bookmarkStart w:id="178" w:name="_Toc150509277"/>
      <w:r/>
      <w:bookmarkStart w:id="179" w:name="_Toc226337222"/>
      <w:r/>
      <w:bookmarkStart w:id="180" w:name="_Toc226965799"/>
      <w:r/>
      <w:bookmarkStart w:id="181" w:name="_Toc195842891"/>
      <w:r/>
      <w:bookmarkStart w:id="182" w:name="_Toc305158868"/>
      <w:r/>
      <w:bookmarkStart w:id="183" w:name="_Toc226965716"/>
      <w:r/>
      <w:bookmarkStart w:id="184" w:name="_Toc142311028"/>
      <w:r/>
      <w:bookmarkStart w:id="185" w:name="_Toc127151526"/>
      <w:r/>
      <w:bookmarkStart w:id="186" w:name="_Toc516367020"/>
      <w:r/>
      <w:bookmarkStart w:id="187" w:name="_Toc520356150"/>
      <w:r/>
      <w:bookmarkStart w:id="188" w:name="_Toc150774731"/>
      <w:r>
        <w:rPr>
          <w:rFonts w:hint="eastAsia" w:ascii="宋体" w:hAnsi="宋体" w:eastAsia="宋体" w:cs="宋体"/>
          <w:sz w:val="24"/>
          <w:highlight w:val="none"/>
        </w:rPr>
        <w:t xml:space="preserve">7招标文件构成</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7.1招标文件包括以下部分：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第一章  投标邀请</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第二章  投标人须知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第三章  资格审查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第四章  评标程序、评标方法和评标标准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第五章  采购需求</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第六章  拟签订的合同文本</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第七章  投标文件格式</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8对招标文件的澄清或修改</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 w:val="24"/>
          <w:highlight w:val="none"/>
        </w:rPr>
      </w:r>
      <w:r/>
    </w:p>
    <w:p>
      <w:pPr>
        <w:pStyle w:val="1139"/>
        <w:ind w:firstLine="560"/>
        <w:spacing w:line="400" w:lineRule="exact"/>
        <w:tabs>
          <w:tab w:val="left" w:pos="1080" w:leader="none"/>
          <w:tab w:val="left" w:pos="1561" w:leader="none"/>
        </w:tabs>
        <w:rPr>
          <w:rFonts w:hint="eastAsia" w:ascii="宋体" w:hAnsi="宋体" w:eastAsia="宋体" w:cs="宋体"/>
          <w:sz w:val="28"/>
          <w:highlight w:val="none"/>
        </w:rPr>
      </w:pPr>
      <w:r>
        <w:rPr>
          <w:rFonts w:hint="eastAsia" w:ascii="宋体" w:hAnsi="宋体" w:eastAsia="宋体" w:cs="宋体"/>
          <w:sz w:val="28"/>
          <w:highlight w:val="none"/>
        </w:rPr>
      </w:r>
      <w:r/>
    </w:p>
    <w:p>
      <w:pPr>
        <w:pStyle w:val="1141"/>
        <w:spacing w:before="0" w:line="400" w:lineRule="exact"/>
        <w:rPr>
          <w:rFonts w:hint="eastAsia" w:ascii="宋体" w:hAnsi="宋体" w:eastAsia="宋体" w:cs="宋体"/>
          <w:sz w:val="28"/>
          <w:highlight w:val="none"/>
        </w:rPr>
      </w:pPr>
      <w:r>
        <w:rPr>
          <w:rFonts w:hint="eastAsia" w:ascii="宋体" w:hAnsi="宋体" w:eastAsia="宋体" w:cs="宋体"/>
          <w:sz w:val="28"/>
          <w:highlight w:val="none"/>
        </w:rPr>
        <w:t xml:space="preserve">三   投标文件</w:t>
      </w:r>
      <w:bookmarkEnd w:id="186"/>
      <w:r>
        <w:rPr>
          <w:rFonts w:hint="eastAsia" w:ascii="宋体" w:hAnsi="宋体" w:eastAsia="宋体" w:cs="宋体"/>
          <w:sz w:val="28"/>
          <w:highlight w:val="none"/>
        </w:rPr>
        <w:t xml:space="preserve">的编制</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7"/>
      <w:r/>
      <w:bookmarkEnd w:id="188"/>
      <w:r>
        <w:rPr>
          <w:rFonts w:hint="eastAsia" w:ascii="宋体" w:hAnsi="宋体" w:eastAsia="宋体" w:cs="宋体"/>
          <w:sz w:val="28"/>
          <w:highlight w:val="none"/>
        </w:rPr>
      </w:r>
      <w:r/>
    </w:p>
    <w:p>
      <w:pPr>
        <w:pStyle w:val="1139"/>
        <w:ind w:firstLine="480"/>
        <w:spacing w:line="400" w:lineRule="exact"/>
        <w:rPr>
          <w:rFonts w:hint="eastAsia" w:ascii="宋体" w:hAnsi="宋体" w:eastAsia="宋体" w:cs="宋体"/>
          <w:sz w:val="24"/>
          <w:highlight w:val="none"/>
        </w:rPr>
      </w:pPr>
      <w:r/>
      <w:bookmarkStart w:id="189" w:name="_Toc151193848"/>
      <w:r/>
      <w:bookmarkStart w:id="190" w:name="_Toc151193632"/>
      <w:r/>
      <w:bookmarkStart w:id="191" w:name="_Toc151193776"/>
      <w:r/>
      <w:bookmarkStart w:id="192" w:name="_Toc305158802"/>
      <w:r/>
      <w:bookmarkStart w:id="193" w:name="_Toc150509285"/>
      <w:r/>
      <w:bookmarkStart w:id="194" w:name="_Toc151193704"/>
      <w:r/>
      <w:bookmarkStart w:id="195" w:name="_Toc151190161"/>
      <w:r/>
      <w:bookmarkStart w:id="196" w:name="_Toc127151534"/>
      <w:r/>
      <w:bookmarkStart w:id="197" w:name="_Toc520356159"/>
      <w:r/>
      <w:bookmarkStart w:id="198" w:name="_Toc150774634"/>
      <w:r/>
      <w:bookmarkStart w:id="199" w:name="_Toc195842899"/>
      <w:r/>
      <w:bookmarkStart w:id="200" w:name="_Toc150774739"/>
      <w:r/>
      <w:bookmarkStart w:id="201" w:name="_Toc305158876"/>
      <w:r/>
      <w:bookmarkStart w:id="202" w:name="_Toc226337230"/>
      <w:r/>
      <w:bookmarkStart w:id="203" w:name="_Toc226965807"/>
      <w:r/>
      <w:bookmarkStart w:id="204" w:name="_Toc265228372"/>
      <w:r/>
      <w:bookmarkStart w:id="205" w:name="_Toc151193922"/>
      <w:r/>
      <w:bookmarkStart w:id="206" w:name="_Toc264969224"/>
      <w:r/>
      <w:bookmarkStart w:id="207" w:name="_Toc150480772"/>
      <w:r/>
      <w:bookmarkStart w:id="208" w:name="_Toc226965724"/>
      <w:r/>
      <w:bookmarkStart w:id="209" w:name="_Toc142311036"/>
      <w:r/>
      <w:bookmarkStart w:id="210" w:name="_Toc226309778"/>
      <w:r>
        <w:rPr>
          <w:rFonts w:hint="eastAsia" w:ascii="宋体" w:hAnsi="宋体" w:eastAsia="宋体" w:cs="宋体"/>
          <w:sz w:val="24"/>
          <w:highlight w:val="none"/>
        </w:rPr>
        <w:t xml:space="preserve">9投标范围、投标文件中计量单位的使用及投标语言</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9.2除招标文件有特殊要求外，本项目投标所使用的计量单位，应采用中华人民共和国法定计量单位。</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10投标文件构成</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10.2对于招标文件中标记了“</w:t>
      </w:r>
      <w:r>
        <w:rPr>
          <w:rFonts w:hint="eastAsia" w:ascii="宋体" w:hAnsi="宋体" w:eastAsia="宋体" w:cs="宋体"/>
          <w:b/>
          <w:bCs/>
          <w:sz w:val="24"/>
          <w:highlight w:val="none"/>
        </w:rPr>
        <w:t xml:space="preserve">实质性格式</w:t>
      </w:r>
      <w:r>
        <w:rPr>
          <w:rFonts w:hint="eastAsia" w:ascii="宋体" w:hAnsi="宋体" w:eastAsia="宋体" w:cs="宋体"/>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10.3第四章《评标程序、评标方法和评标标准》中涉及的证明文件。</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10.5投标人认为应附的其他材料。</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11投标报价</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11.1所有投标均以人民币报价。</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11.2.2按照招标文件要求完成本项目的全部相关服务费用。 </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11.3采购人不得向供应商索要或者接受其给予的赠品、回扣或者与采购无关的其他商品、服务。</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11.4投标人不能提供任何有选择性或可调整的报价，否则其投标无效。</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12投标保证金</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根据江苏省和常州市的相关文件规定，免收投标保证金。</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13投标有效期</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13.1投标文件应在本招标文件《投标人须知资料表》中规定的投标有效期内保持有效，投标有效期少于招标文件规定期限的，其投标无效。</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14投标文件的签署、加盖公章</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14.2招标文件要求加盖公章的内容，一般通过投标文件编制工具加盖电子签章。</w:t>
      </w:r>
      <w:r>
        <w:rPr>
          <w:rFonts w:hint="eastAsia" w:ascii="宋体" w:hAnsi="宋体" w:eastAsia="宋体" w:cs="宋体"/>
          <w:sz w:val="24"/>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41"/>
        <w:spacing w:before="0" w:line="400" w:lineRule="exact"/>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eastAsia="宋体" w:cs="宋体"/>
          <w:sz w:val="28"/>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15投标文件的提交</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15.1本项目使用“苏采云”政府采购一体化平台。投标人根据招标文件及“苏采云”政府采购一体化平台供应商操作手册要求编制、生成并提交电子投标文件。</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15.2采购人及采购代理机构拒绝接受通过“苏采云”政府采购一体化平台以外任何形式提交的投标文件。</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16投标截止时间</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16.1投标人应在招标文件要求提交投标文件截止时间前，将电子投标文件提交至“苏采云”政府采购一体化平台。</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17投标文件的修改与撤回</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17.1投标截止时间前，投标人可以通过“苏采云”政府采购一体化平台对所提交的投标文件进行补充、修改或者撤回。</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17.2投标人对投标文件的补充、修改的内容应当按照招标文件要求签署、加盖公章，作为投标文件的组成部分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41"/>
        <w:spacing w:before="0" w:line="400" w:lineRule="exact"/>
        <w:rPr>
          <w:rFonts w:hint="eastAsia" w:ascii="宋体" w:hAnsi="宋体" w:eastAsia="宋体" w:cs="宋体"/>
          <w:sz w:val="28"/>
          <w:highlight w:val="none"/>
        </w:rPr>
      </w:pPr>
      <w:r/>
      <w:bookmarkStart w:id="211" w:name="_Toc151193636"/>
      <w:r/>
      <w:bookmarkStart w:id="212" w:name="_Toc226965728"/>
      <w:r/>
      <w:bookmarkStart w:id="213" w:name="_Toc150774638"/>
      <w:r/>
      <w:bookmarkStart w:id="214" w:name="_Toc305158806"/>
      <w:r/>
      <w:bookmarkStart w:id="215" w:name="_Toc226337234"/>
      <w:r/>
      <w:bookmarkStart w:id="216" w:name="_Toc150480776"/>
      <w:r/>
      <w:bookmarkStart w:id="217" w:name="_Toc151193852"/>
      <w:r/>
      <w:bookmarkStart w:id="218" w:name="_Toc264969228"/>
      <w:r/>
      <w:bookmarkStart w:id="219" w:name="_Toc226965811"/>
      <w:r/>
      <w:bookmarkStart w:id="220" w:name="_Toc151193708"/>
      <w:r/>
      <w:bookmarkStart w:id="221" w:name="_Toc142311040"/>
      <w:r/>
      <w:bookmarkStart w:id="222" w:name="_Toc195842903"/>
      <w:r/>
      <w:bookmarkStart w:id="223" w:name="_Toc151193780"/>
      <w:r/>
      <w:bookmarkStart w:id="224" w:name="_Toc150509289"/>
      <w:r/>
      <w:bookmarkStart w:id="225" w:name="_Toc151193926"/>
      <w:r/>
      <w:bookmarkStart w:id="226" w:name="_Toc151190165"/>
      <w:r/>
      <w:bookmarkStart w:id="227" w:name="_Toc127151538"/>
      <w:r/>
      <w:bookmarkStart w:id="228" w:name="_Toc150774743"/>
      <w:r/>
      <w:bookmarkStart w:id="229" w:name="_Toc265228376"/>
      <w:r/>
      <w:bookmarkStart w:id="230" w:name="_Toc226309782"/>
      <w:r/>
      <w:bookmarkStart w:id="231" w:name="_Toc305158880"/>
      <w:r/>
      <w:bookmarkStart w:id="232" w:name="_Toc520356163"/>
      <w:r>
        <w:rPr>
          <w:rFonts w:hint="eastAsia" w:ascii="宋体" w:hAnsi="宋体" w:eastAsia="宋体" w:cs="宋体"/>
          <w:sz w:val="28"/>
          <w:highlight w:val="none"/>
        </w:rPr>
        <w:t xml:space="preserve">五   开标、资格审查及评标</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sz w:val="28"/>
          <w:highlight w:val="none"/>
        </w:rPr>
      </w:r>
      <w:r/>
    </w:p>
    <w:p>
      <w:pPr>
        <w:pStyle w:val="1139"/>
        <w:ind w:firstLine="480"/>
        <w:spacing w:line="400" w:lineRule="exact"/>
        <w:rPr>
          <w:rFonts w:hint="eastAsia" w:ascii="宋体" w:hAnsi="宋体" w:eastAsia="宋体" w:cs="宋体"/>
          <w:sz w:val="24"/>
          <w:highlight w:val="none"/>
        </w:rPr>
      </w:pPr>
      <w:r/>
      <w:bookmarkStart w:id="233" w:name="_Toc520356169"/>
      <w:r>
        <w:rPr>
          <w:rFonts w:hint="eastAsia" w:ascii="宋体" w:hAnsi="宋体" w:eastAsia="宋体" w:cs="宋体"/>
          <w:sz w:val="24"/>
          <w:highlight w:val="none"/>
        </w:rPr>
        <w:t xml:space="preserve">18开标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18.1采购人或采购代理机构将按招标文件的规定，在投标截止时间的同一时间和招标文件预先确定的地点组织开标。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18.5投标人不足3家的，不予开标。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1)平台系统发生故障而无法登录访问的；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19资格审查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19.1见第三章《资格审查》。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20评标委员会</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20.1评标委员会根据政府采购有关规定和本次招标采购项目的特点进行组建，并负责具体评标事务，独立履行职责。</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21评标程序、评标方法和评标标准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21.1见第四章《评标程序、评标方法和评标标准》。</w:t>
      </w:r>
      <w:r>
        <w:rPr>
          <w:rFonts w:hint="eastAsia" w:ascii="宋体" w:hAnsi="宋体" w:eastAsia="宋体" w:cs="宋体"/>
          <w:sz w:val="24"/>
          <w:highlight w:val="none"/>
        </w:rPr>
      </w:r>
      <w:r/>
    </w:p>
    <w:p>
      <w:pPr>
        <w:pStyle w:val="1139"/>
        <w:ind w:left="1080"/>
        <w:spacing w:line="400" w:lineRule="exact"/>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141"/>
        <w:spacing w:before="0" w:line="400" w:lineRule="exact"/>
        <w:rPr>
          <w:rFonts w:hint="eastAsia" w:ascii="宋体" w:hAnsi="宋体" w:eastAsia="宋体" w:cs="宋体"/>
          <w:sz w:val="28"/>
          <w:highlight w:val="none"/>
        </w:rPr>
      </w:pPr>
      <w:r/>
      <w:bookmarkStart w:id="234" w:name="_Toc226965818"/>
      <w:r/>
      <w:bookmarkStart w:id="235" w:name="_Toc226337241"/>
      <w:r/>
      <w:bookmarkStart w:id="236" w:name="_Toc151193715"/>
      <w:r/>
      <w:bookmarkStart w:id="237" w:name="_Toc150509296"/>
      <w:r/>
      <w:bookmarkStart w:id="238" w:name="_Toc151190172"/>
      <w:r/>
      <w:bookmarkStart w:id="239" w:name="_Toc150480783"/>
      <w:r/>
      <w:bookmarkStart w:id="240" w:name="_Toc150774750"/>
      <w:r/>
      <w:bookmarkStart w:id="241" w:name="_Toc151193787"/>
      <w:r/>
      <w:bookmarkStart w:id="242" w:name="_Toc226965735"/>
      <w:r/>
      <w:bookmarkStart w:id="243" w:name="_Toc265228383"/>
      <w:r/>
      <w:bookmarkStart w:id="244" w:name="_Toc142311047"/>
      <w:r/>
      <w:bookmarkStart w:id="245" w:name="_Toc305158813"/>
      <w:r/>
      <w:bookmarkStart w:id="246" w:name="_Toc195842910"/>
      <w:r/>
      <w:bookmarkStart w:id="247" w:name="_Toc264969235"/>
      <w:r/>
      <w:bookmarkStart w:id="248" w:name="_Toc151193933"/>
      <w:r/>
      <w:bookmarkStart w:id="249" w:name="_Toc127151545"/>
      <w:r/>
      <w:bookmarkStart w:id="250" w:name="_Toc151193859"/>
      <w:r/>
      <w:bookmarkStart w:id="251" w:name="_Toc151193643"/>
      <w:r/>
      <w:bookmarkStart w:id="252" w:name="_Toc226309789"/>
      <w:r/>
      <w:bookmarkStart w:id="253" w:name="_Toc150774645"/>
      <w:r/>
      <w:bookmarkStart w:id="254" w:name="_Toc305158887"/>
      <w:r>
        <w:rPr>
          <w:rFonts w:hint="eastAsia" w:ascii="宋体" w:hAnsi="宋体" w:eastAsia="宋体" w:cs="宋体"/>
          <w:sz w:val="28"/>
          <w:highlight w:val="none"/>
        </w:rPr>
        <w:t xml:space="preserve">六   </w:t>
      </w:r>
      <w:bookmarkEnd w:id="233"/>
      <w:r>
        <w:rPr>
          <w:rFonts w:hint="eastAsia" w:ascii="宋体" w:hAnsi="宋体" w:eastAsia="宋体" w:cs="宋体"/>
          <w:sz w:val="28"/>
          <w:highlight w:val="none"/>
        </w:rPr>
        <w:t xml:space="preserve">确定中标</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Start w:id="255" w:name="_Toc164608816"/>
      <w:r/>
      <w:bookmarkStart w:id="256" w:name="_Toc151190174"/>
      <w:r/>
      <w:bookmarkStart w:id="257" w:name="_Toc164229242"/>
      <w:r/>
      <w:bookmarkStart w:id="258" w:name="_Toc150774647"/>
      <w:r/>
      <w:bookmarkStart w:id="259" w:name="_Toc150774752"/>
      <w:r/>
      <w:bookmarkStart w:id="260" w:name="_Toc149720840"/>
      <w:r/>
      <w:bookmarkStart w:id="261" w:name="_Toc226965820"/>
      <w:r/>
      <w:bookmarkStart w:id="262" w:name="_Toc226337243"/>
      <w:r/>
      <w:bookmarkStart w:id="263" w:name="_Toc142311049"/>
      <w:r/>
      <w:bookmarkStart w:id="264" w:name="_Toc305158889"/>
      <w:r/>
      <w:bookmarkStart w:id="265" w:name="_Toc226309791"/>
      <w:r/>
      <w:bookmarkStart w:id="266" w:name="_Toc127161461"/>
      <w:r/>
      <w:bookmarkStart w:id="267" w:name="_Toc264969237"/>
      <w:r/>
      <w:bookmarkStart w:id="268" w:name="_Toc265228385"/>
      <w:r/>
      <w:bookmarkStart w:id="269" w:name="_Toc151193935"/>
      <w:r/>
      <w:bookmarkStart w:id="270" w:name="_Toc305158815"/>
      <w:r/>
      <w:bookmarkStart w:id="271" w:name="_Toc226965737"/>
      <w:r/>
      <w:bookmarkStart w:id="272" w:name="_Toc127151547"/>
      <w:r/>
      <w:bookmarkStart w:id="273" w:name="_Toc164351641"/>
      <w:r/>
      <w:bookmarkStart w:id="274" w:name="_Toc195842912"/>
      <w:r/>
      <w:bookmarkStart w:id="275" w:name="_Toc151193717"/>
      <w:r/>
      <w:bookmarkStart w:id="276" w:name="_Toc150509298"/>
      <w:r/>
      <w:bookmarkStart w:id="277" w:name="_Toc151193861"/>
      <w:r/>
      <w:bookmarkStart w:id="278" w:name="_Toc151193789"/>
      <w:r/>
      <w:bookmarkStart w:id="279" w:name="_Toc164608661"/>
      <w:r/>
      <w:bookmarkStart w:id="280" w:name="_Toc150480785"/>
      <w:r/>
      <w:bookmarkStart w:id="281" w:name="_Toc151193645"/>
      <w:r/>
      <w:bookmarkStart w:id="282" w:name="_Toc127151748"/>
      <w:r/>
      <w:bookmarkStart w:id="283" w:name="_Toc164229388"/>
      <w:r>
        <w:rPr>
          <w:rFonts w:hint="eastAsia" w:ascii="宋体" w:hAnsi="宋体" w:eastAsia="宋体" w:cs="宋体"/>
          <w:sz w:val="28"/>
          <w:highlight w:val="none"/>
        </w:rPr>
      </w:r>
      <w:r/>
    </w:p>
    <w:p>
      <w:pPr>
        <w:pStyle w:val="1139"/>
        <w:ind w:firstLine="480"/>
        <w:spacing w:line="400" w:lineRule="exact"/>
        <w:rPr>
          <w:rFonts w:hint="eastAsia" w:ascii="宋体" w:hAnsi="宋体" w:eastAsia="宋体" w:cs="宋体"/>
          <w:sz w:val="24"/>
          <w:highlight w:val="none"/>
        </w:rPr>
      </w:pPr>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eastAsia="宋体" w:cs="宋体"/>
          <w:sz w:val="24"/>
          <w:highlight w:val="none"/>
        </w:rPr>
        <w:t xml:space="preserve">22确定中标人</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22.1采购人将在评标报告确定的中标候选人名单中按顺序确定中标人，中标候选人并列的，由采购人依法确定。</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23中标公告与中标通知书</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24废标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24.1在招标采购中，出现下列情形之一的，应予废标：</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24.1.1符合专业条件的供应商或者对招标文件作实质响应的供应商不足三家的；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24.1.2出现影响采购公正的违法、违规行为的；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24.1.3投标人的报价均超过了采购预算，采购人不能支付的；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24.1.4因重大变故，采购任务取消的。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24.1.5平台系统出现序号18.8的所述情形，情况严重且影响采购活动公平、公正性的。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24.2废标后，采购人将废标理由通知所有投标人。</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25签订合同</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25.1中标人、采购人应当自中标通知书发出之日起50日内，按照招标文件和中标人投标文件的规定签订书面合同。所签订的合同不得对招标文件确定的事项和中标人投标文件作实质性修改。</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25.3联合体中标的，联合体各方应当共同与采购人签订合同，就中标项目向采购人承担连带责任。</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25.4政府采购合同不能转包。</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26询问与质疑</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26.1询问</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26.1.1投标人对政府采购活动事项有疑问的，可依法提出询问，并按《投标人须知资料表》载明的形式送达采购人或采购代理机构。</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26.1.2采购人或采购代理机构对供应商依法提出的询问，在3个工作日内作出答复，但答复的内容不得涉及商业秘密。</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26.2质疑</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26.2.3质疑函须使用财政部制定的范本文件。（下载网址：http://gKs.mof.gov.cn/ztztz/zhengfucaigouguanli/201802/t20180201_2804589.htm）</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26.3接收询问和质疑的联系部门、联系电话和通讯地址见《投标人须知资料表》。</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27代理费</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27.1收费对象、收费标准及缴纳时间见《投标人须知资料表》。由中标人支付的，中标人须一次性向采购代理机构缴纳代理费，投标报价应包含代理费用。</w:t>
      </w:r>
      <w:r>
        <w:rPr>
          <w:rFonts w:hint="eastAsia" w:ascii="宋体" w:hAnsi="宋体" w:eastAsia="宋体" w:cs="宋体"/>
          <w:sz w:val="24"/>
          <w:highlight w:val="none"/>
        </w:rPr>
      </w:r>
      <w:r/>
    </w:p>
    <w:p>
      <w:pPr>
        <w:pStyle w:val="1139"/>
        <w:ind w:left="36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139"/>
        <w:jc w:val="center"/>
        <w:spacing w:line="360" w:lineRule="auto"/>
        <w:rPr>
          <w:rFonts w:hint="eastAsia" w:ascii="宋体" w:hAnsi="宋体" w:eastAsia="宋体" w:cs="宋体"/>
          <w:b/>
          <w:sz w:val="36"/>
          <w:szCs w:val="36"/>
          <w:highlight w:val="none"/>
        </w:rPr>
        <w:outlineLvl w:val="0"/>
      </w:pPr>
      <w:r/>
      <w:bookmarkStart w:id="284" w:name="_Toc150774759"/>
      <w:r/>
      <w:bookmarkStart w:id="285" w:name="_Toc150480792"/>
      <w:r/>
      <w:bookmarkStart w:id="286" w:name="_Toc264969244"/>
      <w:r/>
      <w:bookmarkStart w:id="287" w:name="_Toc265228392"/>
      <w:r/>
      <w:bookmarkStart w:id="288" w:name="_Toc305158822"/>
      <w:r/>
      <w:bookmarkStart w:id="289" w:name="_Toc353873934"/>
      <w:r/>
      <w:bookmarkStart w:id="290" w:name="_Toc226965827"/>
      <w:r/>
      <w:bookmarkStart w:id="291" w:name="_Toc353825544"/>
      <w:r/>
      <w:bookmarkStart w:id="292" w:name="_Toc127151554"/>
      <w:r/>
      <w:bookmarkStart w:id="293" w:name="_Toc305158896"/>
      <w:r/>
      <w:bookmarkStart w:id="294" w:name="_Toc226337250"/>
      <w:r/>
      <w:bookmarkStart w:id="295" w:name="_Toc142311056"/>
      <w:r/>
      <w:bookmarkStart w:id="296" w:name="_Toc353873664"/>
      <w:r>
        <w:rPr>
          <w:rFonts w:hint="eastAsia" w:ascii="宋体" w:hAnsi="宋体" w:eastAsia="宋体" w:cs="宋体"/>
          <w:sz w:val="24"/>
          <w:highlight w:val="none"/>
        </w:rPr>
        <w:br w:type="page" w:clear="all"/>
      </w:r>
      <w:bookmarkStart w:id="297" w:name="_Toc6685"/>
      <w:r>
        <w:rPr>
          <w:rFonts w:hint="eastAsia" w:ascii="宋体" w:hAnsi="宋体" w:eastAsia="宋体" w:cs="宋体"/>
          <w:b/>
          <w:sz w:val="36"/>
          <w:szCs w:val="36"/>
          <w:highlight w:val="none"/>
        </w:rPr>
        <w:t xml:space="preserve">第三章   </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hint="eastAsia" w:ascii="宋体" w:hAnsi="宋体" w:eastAsia="宋体" w:cs="宋体"/>
          <w:b/>
          <w:sz w:val="36"/>
          <w:szCs w:val="36"/>
          <w:highlight w:val="none"/>
        </w:rPr>
        <w:t xml:space="preserve">资格审查</w:t>
      </w:r>
      <w:bookmarkEnd w:id="297"/>
      <w:r/>
      <w:bookmarkStart w:id="298" w:name="_Toc487900382"/>
      <w:r>
        <w:rPr>
          <w:rFonts w:hint="eastAsia" w:ascii="宋体" w:hAnsi="宋体" w:eastAsia="宋体" w:cs="宋体"/>
          <w:b/>
          <w:sz w:val="36"/>
          <w:szCs w:val="36"/>
          <w:highlight w:val="none"/>
        </w:rPr>
      </w:r>
      <w:r/>
    </w:p>
    <w:p>
      <w:pPr>
        <w:pStyle w:val="1139"/>
        <w:jc w:val="center"/>
        <w:spacing w:line="400" w:lineRule="exact"/>
        <w:tabs>
          <w:tab w:val="left" w:pos="360" w:leader="none"/>
          <w:tab w:val="left" w:pos="900" w:leader="none"/>
        </w:tabs>
        <w:rPr>
          <w:rFonts w:hint="eastAsia" w:ascii="宋体" w:hAnsi="宋体" w:eastAsia="宋体" w:cs="宋体"/>
          <w:b/>
          <w:sz w:val="24"/>
          <w:highlight w:val="none"/>
        </w:rPr>
        <w:outlineLvl w:val="1"/>
      </w:pPr>
      <w:r/>
      <w:bookmarkStart w:id="299" w:name="_Toc99301422"/>
      <w:r>
        <w:rPr>
          <w:rFonts w:hint="eastAsia" w:ascii="宋体" w:hAnsi="宋体" w:eastAsia="宋体" w:cs="宋体"/>
          <w:b/>
          <w:sz w:val="24"/>
          <w:highlight w:val="none"/>
        </w:rPr>
        <w:t xml:space="preserve">一、资格审查程序</w:t>
      </w:r>
      <w:bookmarkEnd w:id="299"/>
      <w:r>
        <w:rPr>
          <w:rFonts w:hint="eastAsia" w:ascii="宋体" w:hAnsi="宋体" w:eastAsia="宋体" w:cs="宋体"/>
          <w:b/>
          <w:sz w:val="24"/>
          <w:highlight w:val="none"/>
        </w:rPr>
      </w:r>
      <w:r/>
    </w:p>
    <w:p>
      <w:pPr>
        <w:pStyle w:val="1139"/>
        <w:numPr>
          <w:ilvl w:val="0"/>
          <w:numId w:val="9"/>
        </w:numPr>
        <w:ind w:left="0" w:firstLine="480"/>
        <w:spacing w:line="400" w:lineRule="exact"/>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rPr>
          <w:rFonts w:hint="eastAsia" w:ascii="宋体" w:hAnsi="宋体" w:eastAsia="宋体" w:cs="宋体"/>
          <w:sz w:val="24"/>
          <w:highlight w:val="none"/>
        </w:rPr>
      </w:r>
      <w:r/>
    </w:p>
    <w:p>
      <w:pPr>
        <w:pStyle w:val="1139"/>
        <w:numPr>
          <w:ilvl w:val="0"/>
          <w:numId w:val="9"/>
        </w:numPr>
        <w:ind w:left="0" w:firstLine="480"/>
        <w:spacing w:line="400" w:lineRule="exact"/>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rPr>
          <w:rFonts w:hint="eastAsia" w:ascii="宋体" w:hAnsi="宋体" w:eastAsia="宋体" w:cs="宋体"/>
          <w:sz w:val="24"/>
          <w:highlight w:val="none"/>
        </w:rPr>
      </w:r>
      <w:r/>
    </w:p>
    <w:p>
      <w:pPr>
        <w:pStyle w:val="1139"/>
        <w:numPr>
          <w:ilvl w:val="0"/>
          <w:numId w:val="9"/>
        </w:numPr>
        <w:ind w:left="0" w:firstLine="480"/>
        <w:spacing w:line="400" w:lineRule="exact"/>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0"/>
          <w:numId w:val="9"/>
        </w:numPr>
        <w:ind w:left="0" w:firstLine="480"/>
        <w:spacing w:line="400" w:lineRule="exact"/>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rPr>
          <w:rFonts w:hint="eastAsia" w:ascii="宋体" w:hAnsi="宋体" w:eastAsia="宋体" w:cs="宋体"/>
          <w:sz w:val="24"/>
          <w:highlight w:val="none"/>
        </w:rPr>
      </w:r>
      <w:r/>
    </w:p>
    <w:p>
      <w:pPr>
        <w:pStyle w:val="1139"/>
        <w:jc w:val="center"/>
        <w:spacing w:line="400" w:lineRule="exact"/>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rPr>
          <w:rFonts w:hint="eastAsia" w:ascii="宋体" w:hAnsi="宋体" w:eastAsia="宋体" w:cs="宋体"/>
          <w:b/>
          <w:sz w:val="24"/>
          <w:highlight w:val="none"/>
        </w:rPr>
      </w:r>
      <w:r/>
    </w:p>
    <w:tbl>
      <w:tblPr>
        <w:tblW w:w="52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712"/>
        <w:gridCol w:w="2223"/>
      </w:tblGrid>
      <w:tr>
        <w:trPr>
          <w:trHeight w:val="468"/>
          <w:tblHeader/>
        </w:trPr>
        <w:tc>
          <w:tcPr>
            <w:tcW w:w="433" w:type="dxa"/>
            <w:vAlign w:val="center"/>
            <w:textDirection w:val="lrTb"/>
            <w:noWrap w:val="false"/>
          </w:tcPr>
          <w:p>
            <w:pPr>
              <w:pStyle w:val="1139"/>
              <w:jc w:val="center"/>
              <w:tabs>
                <w:tab w:val="left" w:pos="1080" w:leader="none"/>
              </w:tabs>
              <w:rPr>
                <w:rFonts w:hint="eastAsia" w:ascii="宋体" w:hAnsi="宋体" w:eastAsia="宋体" w:cs="宋体"/>
                <w:b/>
                <w:sz w:val="24"/>
                <w:highlight w:val="none"/>
              </w:rPr>
            </w:pPr>
            <w:r/>
            <w:bookmarkStart w:id="300" w:name="_Hlt487972895"/>
            <w:r/>
            <w:bookmarkEnd w:id="300"/>
            <w:r>
              <w:rPr>
                <w:rFonts w:hint="eastAsia" w:ascii="宋体" w:hAnsi="宋体" w:eastAsia="宋体" w:cs="宋体"/>
                <w:b/>
                <w:sz w:val="24"/>
                <w:highlight w:val="none"/>
              </w:rPr>
              <w:t xml:space="preserve">序号</w:t>
            </w:r>
            <w:r>
              <w:rPr>
                <w:rFonts w:hint="eastAsia" w:ascii="宋体" w:hAnsi="宋体" w:eastAsia="宋体" w:cs="宋体"/>
                <w:b/>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rPr>
                <w:rFonts w:hint="eastAsia" w:ascii="宋体" w:hAnsi="宋体" w:eastAsia="宋体" w:cs="宋体"/>
                <w:b/>
                <w:sz w:val="24"/>
                <w:highlight w:val="none"/>
              </w:rPr>
            </w:r>
            <w:r/>
          </w:p>
        </w:tc>
        <w:tc>
          <w:tcPr>
            <w:tcW w:w="2412" w:type="dxa"/>
            <w:vAlign w:val="center"/>
            <w:textDirection w:val="lrTb"/>
            <w:noWrap w:val="false"/>
          </w:tcPr>
          <w:p>
            <w:pPr>
              <w:pStyle w:val="1139"/>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rPr>
                <w:rFonts w:hint="eastAsia" w:ascii="宋体" w:hAnsi="宋体" w:eastAsia="宋体" w:cs="宋体"/>
                <w:b/>
                <w:sz w:val="24"/>
                <w:highlight w:val="none"/>
              </w:rPr>
            </w:r>
            <w:r/>
          </w:p>
        </w:tc>
        <w:tc>
          <w:tcPr>
            <w:tcW w:w="1138" w:type="dxa"/>
            <w:vAlign w:val="center"/>
            <w:textDirection w:val="lrTb"/>
            <w:noWrap w:val="false"/>
          </w:tcPr>
          <w:p>
            <w:pPr>
              <w:pStyle w:val="1139"/>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rPr>
                <w:rFonts w:hint="eastAsia" w:ascii="宋体" w:hAnsi="宋体" w:eastAsia="宋体" w:cs="宋体"/>
                <w:b/>
                <w:sz w:val="24"/>
                <w:highlight w:val="none"/>
              </w:rPr>
            </w:r>
            <w:r/>
          </w:p>
        </w:tc>
      </w:tr>
      <w:tr>
        <w:trPr>
          <w:trHeight w:val="468"/>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rPr>
                <w:rFonts w:hint="eastAsia" w:ascii="宋体" w:hAnsi="宋体" w:eastAsia="宋体" w:cs="宋体"/>
                <w:sz w:val="24"/>
                <w:highlight w:val="none"/>
              </w:rPr>
            </w:r>
            <w:r/>
          </w:p>
        </w:tc>
        <w:tc>
          <w:tcPr>
            <w:tcW w:w="1138"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8"/>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提供了符合招标文件要求的《投标人资格声明函》。</w:t>
            </w:r>
            <w:r>
              <w:rPr>
                <w:rFonts w:hint="eastAsia" w:ascii="宋体" w:hAnsi="宋体" w:eastAsia="宋体" w:cs="宋体"/>
                <w:sz w:val="24"/>
                <w:highlight w:val="none"/>
              </w:rPr>
            </w:r>
            <w:r/>
          </w:p>
        </w:tc>
        <w:tc>
          <w:tcPr>
            <w:tcW w:w="1138"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rPr>
                <w:rFonts w:hint="eastAsia" w:ascii="宋体" w:hAnsi="宋体" w:eastAsia="宋体" w:cs="宋体"/>
                <w:sz w:val="24"/>
                <w:highlight w:val="none"/>
              </w:rPr>
            </w:r>
            <w:r/>
          </w:p>
        </w:tc>
      </w:tr>
      <w:tr>
        <w:trPr>
          <w:trHeight w:val="468"/>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查询渠道：信用中国网站和中国政府采购网（www.creditchina.gov.cn、</w:t>
            </w:r>
            <w:r>
              <w:rPr>
                <w:rFonts w:hint="eastAsia" w:ascii="宋体" w:hAnsi="宋体" w:eastAsia="宋体" w:cs="宋体"/>
                <w:sz w:val="24"/>
                <w:highlight w:val="none"/>
              </w:rPr>
            </w:r>
            <w:r/>
          </w:p>
          <w:p>
            <w:pPr>
              <w:pStyle w:val="1139"/>
              <w:tabs>
                <w:tab w:val="left" w:pos="1080" w:leader="none"/>
              </w:tabs>
              <w:rPr>
                <w:rFonts w:hint="eastAsia" w:ascii="宋体" w:hAnsi="宋体" w:eastAsia="宋体" w:cs="宋体"/>
                <w:highlight w:val="none"/>
              </w:rPr>
            </w:pPr>
            <w:r>
              <w:rPr>
                <w:rFonts w:hint="eastAsia" w:ascii="宋体" w:hAnsi="宋体" w:eastAsia="宋体" w:cs="宋体"/>
                <w:sz w:val="24"/>
                <w:highlight w:val="none"/>
              </w:rPr>
              <w:t xml:space="preserve">www.ccgp.gov.cn）；</w:t>
            </w:r>
            <w:r>
              <w:rPr>
                <w:rFonts w:hint="eastAsia" w:ascii="宋体" w:hAnsi="宋体" w:eastAsia="宋体" w:cs="宋体"/>
                <w:highlight w:val="none"/>
              </w:rPr>
            </w:r>
            <w:r/>
          </w:p>
          <w:p>
            <w:pPr>
              <w:pStyle w:val="1139"/>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rPr>
                <w:rFonts w:hint="eastAsia" w:ascii="宋体" w:hAnsi="宋体" w:eastAsia="宋体" w:cs="宋体"/>
                <w:sz w:val="24"/>
                <w:highlight w:val="none"/>
              </w:rPr>
            </w:r>
            <w:r/>
          </w:p>
          <w:p>
            <w:pPr>
              <w:pStyle w:val="1139"/>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sz w:val="24"/>
                <w:highlight w:val="none"/>
              </w:rPr>
            </w:r>
            <w:r/>
          </w:p>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rPr>
                <w:rFonts w:hint="eastAsia" w:ascii="宋体" w:hAnsi="宋体" w:eastAsia="宋体" w:cs="宋体"/>
                <w:sz w:val="24"/>
                <w:highlight w:val="none"/>
              </w:rPr>
            </w:r>
            <w:r/>
          </w:p>
        </w:tc>
        <w:tc>
          <w:tcPr>
            <w:tcW w:w="1138"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rPr>
                <w:rFonts w:hint="eastAsia" w:ascii="宋体" w:hAnsi="宋体" w:eastAsia="宋体" w:cs="宋体"/>
                <w:sz w:val="24"/>
                <w:highlight w:val="none"/>
              </w:rPr>
            </w:r>
            <w:r/>
          </w:p>
        </w:tc>
      </w:tr>
      <w:tr>
        <w:trPr>
          <w:trHeight w:val="468"/>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rPr>
                <w:rFonts w:hint="eastAsia" w:ascii="宋体" w:hAnsi="宋体" w:eastAsia="宋体" w:cs="宋体"/>
                <w:sz w:val="24"/>
                <w:highlight w:val="none"/>
              </w:rPr>
            </w:r>
            <w:r/>
          </w:p>
        </w:tc>
        <w:tc>
          <w:tcPr>
            <w:tcW w:w="1138"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8"/>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rPr>
                <w:rFonts w:hint="eastAsia" w:ascii="宋体" w:hAnsi="宋体" w:eastAsia="宋体" w:cs="宋体"/>
                <w:sz w:val="24"/>
                <w:highlight w:val="none"/>
              </w:rPr>
            </w:r>
            <w:r/>
          </w:p>
        </w:tc>
        <w:tc>
          <w:tcPr>
            <w:tcW w:w="1138"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0"/>
        </w:trPr>
        <w:tc>
          <w:tcPr>
            <w:tcW w:w="433"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bookmarkStart w:id="301" w:name="_Toc226965858"/>
            <w:r/>
            <w:bookmarkStart w:id="302" w:name="_Toc353873940"/>
            <w:r/>
            <w:bookmarkStart w:id="303" w:name="_Toc353825550"/>
            <w:r/>
            <w:bookmarkStart w:id="304" w:name="_Toc127151779"/>
            <w:r/>
            <w:bookmarkStart w:id="305" w:name="_Toc127161490"/>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015"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营业执照</w:t>
            </w:r>
            <w:r>
              <w:rPr>
                <w:rFonts w:hint="eastAsia" w:ascii="宋体" w:hAnsi="宋体" w:eastAsia="宋体" w:cs="宋体"/>
                <w:sz w:val="24"/>
                <w:highlight w:val="none"/>
              </w:rPr>
            </w:r>
            <w:r/>
          </w:p>
        </w:tc>
        <w:tc>
          <w:tcPr>
            <w:tcW w:w="2412" w:type="dxa"/>
            <w:vAlign w:val="center"/>
            <w:textDirection w:val="lrTb"/>
            <w:noWrap w:val="false"/>
          </w:tcPr>
          <w:p>
            <w:pPr>
              <w:pStyle w:val="1139"/>
              <w:tabs>
                <w:tab w:val="left" w:pos="10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有效期内的营业执照</w:t>
            </w:r>
            <w:r>
              <w:rPr>
                <w:rFonts w:hint="eastAsia" w:ascii="宋体" w:hAnsi="宋体" w:eastAsia="宋体" w:cs="宋体"/>
                <w:color w:val="000000"/>
                <w:sz w:val="24"/>
                <w:highlight w:val="none"/>
              </w:rPr>
            </w:r>
            <w:r/>
          </w:p>
        </w:tc>
        <w:tc>
          <w:tcPr>
            <w:tcW w:w="1138" w:type="dxa"/>
            <w:vAlign w:val="center"/>
            <w:textDirection w:val="lrTb"/>
            <w:noWrap w:val="false"/>
          </w:tcPr>
          <w:p>
            <w:pPr>
              <w:pStyle w:val="1139"/>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提供证明文件的电子件或电子证照并加盖投标人公章</w:t>
            </w:r>
            <w:r>
              <w:rPr>
                <w:rFonts w:hint="eastAsia" w:ascii="宋体" w:hAnsi="宋体" w:eastAsia="宋体" w:cs="宋体"/>
                <w:sz w:val="24"/>
                <w:highlight w:val="none"/>
              </w:rPr>
            </w:r>
            <w:r/>
          </w:p>
        </w:tc>
      </w:tr>
    </w:tbl>
    <w:p>
      <w:pPr>
        <w:pStyle w:val="1139"/>
        <w:jc w:val="center"/>
        <w:widowControl/>
        <w:rPr>
          <w:rFonts w:hint="eastAsia" w:ascii="宋体" w:hAnsi="宋体" w:eastAsia="宋体" w:cs="宋体"/>
          <w:b/>
          <w:sz w:val="36"/>
          <w:szCs w:val="36"/>
          <w:highlight w:val="none"/>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98"/>
      <w:r>
        <w:rPr>
          <w:rFonts w:hint="eastAsia" w:ascii="宋体" w:hAnsi="宋体" w:eastAsia="宋体" w:cs="宋体"/>
          <w:sz w:val="24"/>
          <w:highlight w:val="none"/>
        </w:rPr>
        <w:br w:type="page" w:clear="all"/>
      </w:r>
      <w:bookmarkStart w:id="306" w:name="_Toc13404"/>
      <w:r>
        <w:rPr>
          <w:rFonts w:hint="eastAsia" w:ascii="宋体" w:hAnsi="宋体" w:eastAsia="宋体" w:cs="宋体"/>
          <w:b/>
          <w:sz w:val="36"/>
          <w:szCs w:val="36"/>
          <w:highlight w:val="none"/>
        </w:rPr>
        <w:t xml:space="preserve">第四章   </w:t>
      </w:r>
      <w:bookmarkEnd w:id="301"/>
      <w:r/>
      <w:bookmarkEnd w:id="302"/>
      <w:r/>
      <w:bookmarkEnd w:id="303"/>
      <w:r/>
      <w:bookmarkEnd w:id="304"/>
      <w:r/>
      <w:bookmarkEnd w:id="305"/>
      <w:r/>
      <w:bookmarkStart w:id="307" w:name="_Hlt164229061"/>
      <w:r/>
      <w:bookmarkEnd w:id="307"/>
      <w:r>
        <w:rPr>
          <w:rFonts w:hint="eastAsia" w:ascii="宋体" w:hAnsi="宋体" w:eastAsia="宋体" w:cs="宋体"/>
          <w:b/>
          <w:sz w:val="36"/>
          <w:szCs w:val="36"/>
          <w:highlight w:val="none"/>
        </w:rPr>
        <w:t xml:space="preserve">评标程序、评标方法和评标标准</w:t>
      </w:r>
      <w:bookmarkEnd w:id="306"/>
      <w:r>
        <w:rPr>
          <w:rFonts w:hint="eastAsia" w:ascii="宋体" w:hAnsi="宋体" w:eastAsia="宋体" w:cs="宋体"/>
          <w:b/>
          <w:sz w:val="36"/>
          <w:szCs w:val="36"/>
          <w:highlight w:val="none"/>
        </w:rPr>
      </w:r>
      <w:r/>
    </w:p>
    <w:p>
      <w:pPr>
        <w:pStyle w:val="1139"/>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rPr>
          <w:rFonts w:hint="eastAsia" w:ascii="宋体" w:hAnsi="宋体" w:eastAsia="宋体" w:cs="宋体"/>
          <w:b/>
          <w:highlight w:val="none"/>
        </w:rPr>
      </w:r>
      <w:r/>
    </w:p>
    <w:p>
      <w:pPr>
        <w:pStyle w:val="1139"/>
        <w:numPr>
          <w:ilvl w:val="0"/>
          <w:numId w:val="10"/>
        </w:numPr>
        <w:ind w:left="0" w:firstLine="480"/>
        <w:spacing w:line="400" w:lineRule="exact"/>
        <w:tabs>
          <w:tab w:val="left" w:pos="360" w:leader="none"/>
          <w:tab w:val="left" w:pos="900" w:leader="none"/>
        </w:tabs>
        <w:rPr>
          <w:rFonts w:hint="eastAsia" w:ascii="宋体" w:hAnsi="宋体" w:eastAsia="宋体" w:cs="宋体"/>
          <w:sz w:val="24"/>
          <w:highlight w:val="none"/>
        </w:rPr>
      </w:pPr>
      <w:r/>
      <w:bookmarkStart w:id="308" w:name="_Toc264969231"/>
      <w:r/>
      <w:bookmarkStart w:id="309" w:name="_Toc149720834"/>
      <w:r/>
      <w:bookmarkStart w:id="310" w:name="_Toc151193855"/>
      <w:r/>
      <w:bookmarkStart w:id="311" w:name="_Toc164608655"/>
      <w:r/>
      <w:bookmarkStart w:id="312" w:name="_Toc305158883"/>
      <w:r/>
      <w:bookmarkStart w:id="313" w:name="_Toc150509292"/>
      <w:r/>
      <w:bookmarkStart w:id="314" w:name="_Toc164229236"/>
      <w:r/>
      <w:bookmarkStart w:id="315" w:name="_Toc150774746"/>
      <w:r/>
      <w:bookmarkStart w:id="316" w:name="_Toc151193929"/>
      <w:r/>
      <w:bookmarkStart w:id="317" w:name="_Toc151193783"/>
      <w:r/>
      <w:bookmarkStart w:id="318" w:name="_Toc150480779"/>
      <w:r/>
      <w:bookmarkStart w:id="319" w:name="_Toc226965731"/>
      <w:r/>
      <w:bookmarkStart w:id="320" w:name="_Toc127151541"/>
      <w:r/>
      <w:bookmarkStart w:id="321" w:name="_Toc195842906"/>
      <w:r/>
      <w:bookmarkStart w:id="322" w:name="_Toc265228379"/>
      <w:r/>
      <w:bookmarkStart w:id="323" w:name="_Toc164351635"/>
      <w:r/>
      <w:bookmarkStart w:id="324" w:name="_Toc151193711"/>
      <w:r/>
      <w:bookmarkStart w:id="325" w:name="_Toc127151742"/>
      <w:r/>
      <w:bookmarkStart w:id="326" w:name="_Toc226337237"/>
      <w:r/>
      <w:bookmarkStart w:id="327" w:name="_Toc150774641"/>
      <w:r/>
      <w:bookmarkStart w:id="328" w:name="_Toc142311043"/>
      <w:r/>
      <w:bookmarkStart w:id="329" w:name="_Toc127161455"/>
      <w:r/>
      <w:bookmarkStart w:id="330" w:name="_Toc151193639"/>
      <w:r/>
      <w:bookmarkStart w:id="331" w:name="_Toc226309785"/>
      <w:r/>
      <w:bookmarkStart w:id="332" w:name="_Toc151190168"/>
      <w:r/>
      <w:bookmarkStart w:id="333" w:name="_Toc164229382"/>
      <w:r/>
      <w:bookmarkStart w:id="334" w:name="_Toc305158809"/>
      <w:r/>
      <w:bookmarkStart w:id="335" w:name="_Toc164608810"/>
      <w:r/>
      <w:bookmarkStart w:id="336" w:name="_Toc226965814"/>
      <w:r/>
      <w:bookmarkStart w:id="337" w:name="_Toc195842920"/>
      <w:r/>
      <w:bookmarkStart w:id="338" w:name="_Toc353873941"/>
      <w:r/>
      <w:bookmarkStart w:id="339" w:name="_Toc353825551"/>
      <w:r/>
      <w:bookmarkStart w:id="340" w:name="_Toc150774760"/>
      <w:r/>
      <w:bookmarkStart w:id="341" w:name="_Toc264969245"/>
      <w:r/>
      <w:bookmarkStart w:id="342" w:name="_Toc305158897"/>
      <w:r/>
      <w:bookmarkStart w:id="343" w:name="_Toc353873935"/>
      <w:r/>
      <w:bookmarkStart w:id="344" w:name="_Toc142311057"/>
      <w:r/>
      <w:bookmarkStart w:id="345" w:name="_Toc353825545"/>
      <w:r/>
      <w:bookmarkStart w:id="346" w:name="_Toc353873665"/>
      <w:r/>
      <w:bookmarkStart w:id="347" w:name="_Toc265228393"/>
      <w:r/>
      <w:bookmarkStart w:id="348" w:name="_Toc150480793"/>
      <w:r/>
      <w:bookmarkStart w:id="349" w:name="_Toc305158823"/>
      <w:r/>
      <w:bookmarkStart w:id="350" w:name="_Toc226965828"/>
      <w:r/>
      <w:bookmarkStart w:id="351" w:name="_Toc127151555"/>
      <w:r/>
      <w:bookmarkStart w:id="352" w:name="_Toc226337251"/>
      <w:r>
        <w:rPr>
          <w:rFonts w:hint="eastAsia" w:ascii="宋体" w:hAnsi="宋体" w:eastAsia="宋体" w:cs="宋体"/>
          <w:sz w:val="24"/>
          <w:highlight w:val="none"/>
        </w:rPr>
        <w:t xml:space="preserve">投标文件的符合性审查</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353" w:name="_Toc520356167"/>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3"/>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rPr>
          <w:rFonts w:hint="eastAsia" w:ascii="宋体" w:hAnsi="宋体" w:eastAsia="宋体" w:cs="宋体"/>
          <w:b/>
          <w:sz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776"/>
        <w:gridCol w:w="6659"/>
      </w:tblGrid>
      <w:tr>
        <w:trPr>
          <w:trHeight w:val="283"/>
          <w:tblHeader/>
        </w:trPr>
        <w:tc>
          <w:tcPr>
            <w:tcW w:w="457" w:type="dxa"/>
            <w:vAlign w:val="center"/>
            <w:textDirection w:val="lrTb"/>
            <w:noWrap w:val="false"/>
          </w:tcPr>
          <w:p>
            <w:pPr>
              <w:pStyle w:val="113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585" w:type="dxa"/>
            <w:vAlign w:val="center"/>
            <w:textDirection w:val="lrTb"/>
            <w:noWrap w:val="false"/>
          </w:tcPr>
          <w:p>
            <w:pPr>
              <w:pStyle w:val="1139"/>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法定代表人资格证明书（或授权委托书）和政府采购供应商信用承诺书</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法定代表人资格证明书（或授权委托书）和政府采购供应商信用承诺书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b/>
                <w:bCs/>
                <w:sz w:val="24"/>
                <w:highlight w:val="none"/>
              </w:rPr>
              <w:t xml:space="preserve">格式见《投标文件格式》</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714"/>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提供《开标一览表》、《投标分项报价表》，</w:t>
            </w:r>
            <w:r>
              <w:rPr>
                <w:rFonts w:hint="eastAsia" w:ascii="宋体" w:hAnsi="宋体" w:eastAsia="宋体" w:cs="宋体"/>
                <w:b/>
                <w:bCs/>
                <w:color w:val="000000"/>
                <w:sz w:val="24"/>
                <w:highlight w:val="none"/>
              </w:rPr>
              <w:t xml:space="preserve">格式见</w:t>
            </w:r>
            <w:r>
              <w:rPr>
                <w:rFonts w:hint="eastAsia" w:ascii="宋体" w:hAnsi="宋体" w:eastAsia="宋体" w:cs="宋体"/>
                <w:b/>
                <w:bCs/>
                <w:sz w:val="24"/>
                <w:highlight w:val="none"/>
              </w:rPr>
              <w:t xml:space="preserve">《投标文件格式》</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628"/>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rPr>
                <w:rFonts w:hint="eastAsia" w:ascii="宋体" w:hAnsi="宋体" w:eastAsia="宋体" w:cs="宋体"/>
                <w:b/>
                <w:bCs/>
                <w:sz w:val="24"/>
                <w:highlight w:val="none"/>
              </w:rPr>
              <w:t xml:space="preserve">（除前面已提供的实质性格式文件以外，还需提供：合同条款偏离表，采购需求偏离表；</w:t>
            </w:r>
            <w:r>
              <w:rPr>
                <w:rFonts w:hint="eastAsia" w:ascii="宋体" w:hAnsi="宋体" w:eastAsia="宋体" w:cs="宋体"/>
                <w:b/>
                <w:bCs/>
                <w:sz w:val="24"/>
                <w:highlight w:val="none"/>
              </w:rPr>
              <w:t xml:space="preserve">格式见《投标文件格式》</w:t>
            </w:r>
            <w:r>
              <w:rPr>
                <w:rFonts w:hint="eastAsia" w:ascii="宋体" w:hAnsi="宋体" w:eastAsia="宋体" w:cs="宋体"/>
                <w:b/>
                <w:bCs/>
                <w:sz w:val="24"/>
                <w:highlight w:val="none"/>
              </w:rPr>
              <w:t xml:space="preserve">）</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b/>
                <w:color w:val="000000"/>
                <w:sz w:val="24"/>
                <w:highlight w:val="none"/>
              </w:rPr>
              <w:t xml:space="preserve">如有的，根据文件列出的★号条款，按照序号逐项提供相关证明材料；</w:t>
            </w:r>
            <w:r>
              <w:rPr>
                <w:rFonts w:hint="eastAsia" w:ascii="宋体" w:hAnsi="宋体" w:eastAsia="宋体" w:cs="宋体"/>
                <w:b/>
                <w:bCs/>
                <w:color w:val="000000"/>
                <w:sz w:val="24"/>
                <w:highlight w:val="none"/>
              </w:rPr>
              <w:t xml:space="preserve">如没有的，则无需投标人提供材料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378"/>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highlight w:val="none"/>
              </w:rPr>
            </w:r>
            <w:r/>
          </w:p>
        </w:tc>
      </w:tr>
      <w:tr>
        <w:trPr>
          <w:trHeight w:val="1252"/>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39"/>
              <w:keepLines w:val="0"/>
              <w:keepNext w:val="0"/>
              <w:pageBreakBefore w:val="0"/>
              <w:spacing w:line="24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根据苏财购〔2026〕36号文件规定，</w:t>
            </w:r>
            <w:r>
              <w:rPr>
                <w:rFonts w:hint="eastAsia" w:ascii="宋体" w:hAnsi="宋体" w:eastAsia="宋体" w:cs="宋体"/>
                <w:b/>
                <w:bCs/>
                <w:color w:val="000000"/>
                <w:sz w:val="24"/>
                <w:highlight w:val="none"/>
              </w:rPr>
              <w:t xml:space="preserve">评审过程中出现下列情形之一的，评审委员会应当启动异常低价投标（响应）审查程序： </w:t>
            </w:r>
            <w:r>
              <w:rPr>
                <w:rFonts w:hint="eastAsia" w:ascii="宋体" w:hAnsi="宋体" w:eastAsia="宋体" w:cs="宋体"/>
                <w:b/>
                <w:bCs/>
                <w:color w:val="000000"/>
                <w:sz w:val="24"/>
                <w:highlight w:val="none"/>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4"/>
                <w:highlight w:val="none"/>
                <w:lang w:val="en-US" w:eastAsia="zh-CN"/>
              </w:rPr>
            </w:r>
            <w:r/>
          </w:p>
          <w:p>
            <w:pPr>
              <w:pStyle w:val="1139"/>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tc>
      </w:tr>
      <w:tr>
        <w:trPr>
          <w:trHeight w:val="285"/>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招标文件不接受进口产品投标</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highlight w:val="none"/>
              </w:rPr>
            </w:r>
            <w:r/>
          </w:p>
        </w:tc>
        <w:tc>
          <w:tcPr>
            <w:tcW w:w="3585" w:type="dxa"/>
            <w:vAlign w:val="center"/>
            <w:textDirection w:val="lrTb"/>
            <w:noWrap w:val="false"/>
          </w:tcPr>
          <w:p>
            <w:pPr>
              <w:pStyle w:val="113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eastAsia="宋体" w:cs="宋体"/>
                <w:b/>
                <w:color w:val="000000"/>
                <w:sz w:val="24"/>
                <w:highlight w:val="none"/>
              </w:rPr>
              <w:t xml:space="preserve">如有下列情形的，投标人的投标产品应符合相应规定或要求，并提供证明文件电子件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139"/>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highlight w:val="none"/>
              </w:rPr>
              <w:t xml:space="preserve">（包含使用同一MAC地址的计算机制作电子响应文件的情形）</w:t>
            </w:r>
            <w:r>
              <w:rPr>
                <w:rFonts w:hint="eastAsia" w:ascii="宋体" w:hAnsi="宋体" w:eastAsia="宋体" w:cs="宋体"/>
                <w:color w:val="000000"/>
                <w:sz w:val="24"/>
                <w:highlight w:val="none"/>
              </w:rPr>
              <w:t xml:space="preserve">；（二）不同投标人委托同一单位或者个人办理投标事宜</w:t>
            </w:r>
            <w:r>
              <w:rPr>
                <w:rFonts w:hint="eastAsia" w:ascii="宋体" w:hAnsi="宋体" w:eastAsia="宋体" w:cs="宋体"/>
                <w:sz w:val="24"/>
                <w:highlight w:val="none"/>
              </w:rPr>
              <w:t xml:space="preserve">（包含使用同一MAC地址的计算机提交或者解密电子响应文件的情形）</w:t>
            </w:r>
            <w:r>
              <w:rPr>
                <w:rFonts w:hint="eastAsia" w:ascii="宋体" w:hAnsi="宋体" w:eastAsia="宋体" w:cs="宋体"/>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5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56"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3585" w:type="dxa"/>
            <w:vAlign w:val="center"/>
            <w:textDirection w:val="lrTb"/>
            <w:noWrap w:val="false"/>
          </w:tcPr>
          <w:p>
            <w:pPr>
              <w:pStyle w:val="1139"/>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eastAsia="宋体" w:cs="宋体"/>
                <w:b/>
                <w:bCs/>
                <w:sz w:val="24"/>
                <w:highlight w:val="none"/>
              </w:rPr>
              <w:t xml:space="preserve">（由评委审查，无需投标人提供材料）</w:t>
            </w:r>
            <w:r>
              <w:rPr>
                <w:rFonts w:hint="eastAsia" w:ascii="宋体" w:hAnsi="宋体" w:eastAsia="宋体" w:cs="宋体"/>
                <w:color w:val="000000"/>
                <w:sz w:val="24"/>
                <w:highlight w:val="none"/>
              </w:rPr>
            </w:r>
            <w:r/>
          </w:p>
        </w:tc>
      </w:tr>
    </w:tbl>
    <w:p>
      <w:pPr>
        <w:pStyle w:val="1139"/>
        <w:numPr>
          <w:ilvl w:val="0"/>
          <w:numId w:val="10"/>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投标文件有关事项的澄清或者说明</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rPr>
          <w:rFonts w:hint="eastAsia" w:ascii="宋体" w:hAnsi="宋体" w:eastAsia="宋体" w:cs="宋体"/>
          <w:sz w:val="24"/>
          <w:highlight w:val="none"/>
        </w:rPr>
      </w:r>
      <w:r/>
    </w:p>
    <w:p>
      <w:pPr>
        <w:pStyle w:val="1139"/>
        <w:ind w:firstLine="48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□有，具体规定为：______________</w:t>
      </w:r>
      <w:r>
        <w:rPr>
          <w:rFonts w:hint="eastAsia" w:ascii="宋体" w:hAnsi="宋体" w:eastAsia="宋体" w:cs="宋体"/>
          <w:sz w:val="24"/>
          <w:highlight w:val="none"/>
          <w:u w:val="single"/>
        </w:rPr>
      </w:r>
      <w:r/>
    </w:p>
    <w:p>
      <w:pPr>
        <w:pStyle w:val="1139"/>
        <w:ind w:firstLine="48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■无，按下述2.4.2-2.4.7项规定修正。</w:t>
      </w:r>
      <w:r>
        <w:rPr>
          <w:rFonts w:hint="eastAsia" w:ascii="宋体" w:hAnsi="宋体" w:eastAsia="宋体" w:cs="宋体"/>
          <w:sz w:val="24"/>
          <w:highlight w:val="none"/>
        </w:rPr>
      </w:r>
      <w:r/>
    </w:p>
    <w:p>
      <w:pPr>
        <w:pStyle w:val="1139"/>
        <w:numPr>
          <w:ilvl w:val="2"/>
          <w:numId w:val="10"/>
        </w:numPr>
        <w:ind w:firstLine="480"/>
        <w:spacing w:line="400" w:lineRule="exact"/>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rPr>
        <w:t xml:space="preserve">10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w:t>
      </w:r>
      <w:r>
        <w:rPr>
          <w:rFonts w:hint="eastAsia" w:ascii="宋体" w:hAnsi="宋体" w:eastAsia="宋体" w:cs="宋体"/>
          <w:sz w:val="24"/>
          <w:highlight w:val="none"/>
        </w:rPr>
        <w:t xml:space="preserve">，用扣除后的价格参加评审。</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采购本国产品的支持政策</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的价格扣除，用扣除后的价格参与评审。</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highlight w:val="none"/>
          <w:u w:val="single"/>
        </w:rPr>
        <w:t xml:space="preserve">80%</w:t>
      </w:r>
      <w:r>
        <w:rPr>
          <w:rFonts w:hint="eastAsia" w:ascii="宋体" w:hAnsi="宋体" w:eastAsia="宋体" w:cs="宋体"/>
          <w:color w:val="000000"/>
          <w:sz w:val="24"/>
          <w:highlight w:val="none"/>
        </w:rPr>
        <w:t xml:space="preserve">以上时（供应商需在“第六章 投标文件格式”的“附件</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highlight w:val="none"/>
          <w:u w:val="single"/>
        </w:rPr>
        <w:t xml:space="preserve">20%</w:t>
      </w:r>
      <w:r>
        <w:rPr>
          <w:rFonts w:hint="eastAsia" w:ascii="宋体" w:hAnsi="宋体" w:eastAsia="宋体" w:cs="宋体"/>
          <w:color w:val="000000"/>
          <w:sz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供应商需在《声明函》中逐一、准确填写产品名称、厂名、生产厂址</w:t>
      </w:r>
      <w:r>
        <w:rPr>
          <w:rFonts w:hint="eastAsia" w:ascii="宋体" w:hAnsi="宋体" w:eastAsia="宋体" w:cs="宋体"/>
          <w:sz w:val="24"/>
          <w:highlight w:val="none"/>
        </w:rPr>
        <w:t xml:space="preserve">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highlight w:val="none"/>
        </w:rPr>
      </w:r>
      <w:r/>
    </w:p>
    <w:p>
      <w:pPr>
        <w:pStyle w:val="1139"/>
        <w:numPr>
          <w:ilvl w:val="0"/>
          <w:numId w:val="10"/>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投标文件的比较和评价</w:t>
      </w:r>
      <w:bookmarkEnd w:id="338"/>
      <w:r/>
      <w:bookmarkEnd w:id="339"/>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rPr>
          <w:rFonts w:hint="eastAsia" w:ascii="宋体" w:hAnsi="宋体" w:eastAsia="宋体" w:cs="宋体"/>
          <w:sz w:val="24"/>
          <w:highlight w:val="none"/>
        </w:rPr>
      </w:r>
      <w:r/>
    </w:p>
    <w:p>
      <w:pPr>
        <w:pStyle w:val="1139"/>
        <w:ind w:firstLine="480"/>
        <w:spacing w:line="400" w:lineRule="exact"/>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 w:val="24"/>
          <w:highlight w:val="none"/>
        </w:rPr>
      </w:r>
      <w:r/>
    </w:p>
    <w:p>
      <w:pPr>
        <w:pStyle w:val="1139"/>
        <w:ind w:firstLine="480"/>
        <w:spacing w:line="400" w:lineRule="exact"/>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□随机抽取</w:t>
      </w:r>
      <w:r>
        <w:rPr>
          <w:rFonts w:hint="eastAsia" w:ascii="宋体" w:hAnsi="宋体" w:eastAsia="宋体" w:cs="宋体"/>
          <w:sz w:val="24"/>
          <w:highlight w:val="none"/>
        </w:rPr>
      </w:r>
      <w:r/>
    </w:p>
    <w:p>
      <w:pPr>
        <w:pStyle w:val="1139"/>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□其他方式，具体要求：__/___</w:t>
      </w:r>
      <w:r>
        <w:rPr>
          <w:rFonts w:hint="eastAsia" w:ascii="宋体" w:hAnsi="宋体" w:eastAsia="宋体" w:cs="宋体"/>
          <w:sz w:val="24"/>
          <w:highlight w:val="none"/>
          <w:u w:val="singl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sz w:val="24"/>
          <w:highlight w:val="none"/>
        </w:rPr>
      </w:r>
      <w:r/>
    </w:p>
    <w:p>
      <w:pPr>
        <w:pStyle w:val="1139"/>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关于无线局域网认证产品政府采购清单中的产品，优先采购的具体规定（如涉及）__/__。</w:t>
      </w:r>
      <w:r>
        <w:rPr>
          <w:rFonts w:hint="eastAsia" w:ascii="宋体" w:hAnsi="宋体" w:eastAsia="宋体" w:cs="宋体"/>
          <w:sz w:val="24"/>
          <w:highlight w:val="none"/>
        </w:rPr>
      </w:r>
      <w:r/>
    </w:p>
    <w:p>
      <w:pPr>
        <w:pStyle w:val="1139"/>
        <w:numPr>
          <w:ilvl w:val="0"/>
          <w:numId w:val="10"/>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确定</w:t>
      </w:r>
      <w:bookmarkStart w:id="354" w:name="_Toc151193860"/>
      <w:r/>
      <w:bookmarkStart w:id="355" w:name="_Toc226337242"/>
      <w:r/>
      <w:bookmarkStart w:id="356" w:name="_Toc151193788"/>
      <w:r/>
      <w:bookmarkStart w:id="357" w:name="_Toc164608660"/>
      <w:r/>
      <w:bookmarkStart w:id="358" w:name="_Toc305158814"/>
      <w:r/>
      <w:bookmarkStart w:id="359" w:name="_Toc226965736"/>
      <w:r/>
      <w:bookmarkStart w:id="360" w:name="_Ref467307010"/>
      <w:r/>
      <w:bookmarkStart w:id="361" w:name="_Toc150774646"/>
      <w:r/>
      <w:bookmarkStart w:id="362" w:name="_Toc150480784"/>
      <w:r/>
      <w:bookmarkStart w:id="363" w:name="_Toc127161460"/>
      <w:r/>
      <w:bookmarkStart w:id="364" w:name="_Toc151193716"/>
      <w:r/>
      <w:bookmarkStart w:id="365" w:name="_Toc264969236"/>
      <w:r/>
      <w:bookmarkStart w:id="366" w:name="_Toc164229241"/>
      <w:r/>
      <w:bookmarkStart w:id="367" w:name="_Toc226309790"/>
      <w:r/>
      <w:bookmarkStart w:id="368" w:name="_Toc142311048"/>
      <w:r/>
      <w:bookmarkStart w:id="369" w:name="_Toc305158888"/>
      <w:r/>
      <w:bookmarkStart w:id="370" w:name="_Toc150509297"/>
      <w:r/>
      <w:bookmarkStart w:id="371" w:name="_Toc149720839"/>
      <w:r/>
      <w:bookmarkStart w:id="372" w:name="_Toc226965819"/>
      <w:r/>
      <w:bookmarkStart w:id="373" w:name="_Toc195842911"/>
      <w:r/>
      <w:bookmarkStart w:id="374" w:name="_Toc164351640"/>
      <w:r/>
      <w:bookmarkStart w:id="375" w:name="_Toc127151546"/>
      <w:r/>
      <w:bookmarkStart w:id="376" w:name="_Toc151193644"/>
      <w:r/>
      <w:bookmarkStart w:id="377" w:name="_Toc164229387"/>
      <w:r/>
      <w:bookmarkStart w:id="378" w:name="_Toc164608815"/>
      <w:r/>
      <w:bookmarkStart w:id="379" w:name="_Toc151190173"/>
      <w:r/>
      <w:bookmarkStart w:id="380" w:name="_Toc265228384"/>
      <w:r/>
      <w:bookmarkStart w:id="381" w:name="_Toc520356170"/>
      <w:r/>
      <w:bookmarkStart w:id="382" w:name="_Toc127151747"/>
      <w:r/>
      <w:bookmarkStart w:id="383" w:name="_Toc151193934"/>
      <w:r/>
      <w:bookmarkStart w:id="384" w:name="_Toc150774751"/>
      <w:r>
        <w:rPr>
          <w:rFonts w:hint="eastAsia" w:ascii="宋体" w:hAnsi="宋体" w:eastAsia="宋体" w:cs="宋体"/>
          <w:sz w:val="24"/>
          <w:highlight w:val="none"/>
        </w:rPr>
        <w:t xml:space="preserve">中标候选人名单</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sz w:val="24"/>
          <w:highlight w:val="none"/>
        </w:rPr>
      </w:r>
      <w:r/>
    </w:p>
    <w:p>
      <w:pPr>
        <w:pStyle w:val="1176"/>
        <w:ind w:firstLine="480"/>
        <w:spacing w:line="400" w:lineRule="exact"/>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■随机抽取</w:t>
      </w:r>
      <w:r>
        <w:rPr>
          <w:rFonts w:hint="eastAsia" w:ascii="宋体" w:hAnsi="宋体" w:eastAsia="宋体" w:cs="宋体"/>
          <w:sz w:val="24"/>
          <w:szCs w:val="24"/>
          <w:highlight w:val="none"/>
        </w:rPr>
      </w:r>
      <w:r/>
    </w:p>
    <w:p>
      <w:pPr>
        <w:pStyle w:val="1176"/>
        <w:ind w:firstLine="480"/>
        <w:spacing w:line="400" w:lineRule="exact"/>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□其他方式，具体要求：_____</w:t>
      </w:r>
      <w:r>
        <w:rPr>
          <w:rFonts w:hint="eastAsia" w:ascii="宋体" w:hAnsi="宋体" w:eastAsia="宋体" w:cs="宋体"/>
          <w:sz w:val="24"/>
          <w:szCs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评标委员会将根据各投标人的评标排序，依次推荐本项目（各采购包）的中标候选人，起草并签署评标报告。本项目（各采购包）评标委员会共（各）推荐1名中标候选人。</w:t>
      </w:r>
      <w:r>
        <w:rPr>
          <w:rFonts w:hint="eastAsia" w:ascii="宋体" w:hAnsi="宋体" w:eastAsia="宋体" w:cs="宋体"/>
          <w:sz w:val="24"/>
          <w:highlight w:val="none"/>
        </w:rPr>
      </w:r>
      <w:r/>
    </w:p>
    <w:p>
      <w:pPr>
        <w:pStyle w:val="1139"/>
        <w:numPr>
          <w:ilvl w:val="0"/>
          <w:numId w:val="10"/>
        </w:numPr>
        <w:ind w:left="0" w:firstLine="480"/>
        <w:spacing w:line="400" w:lineRule="exact"/>
        <w:tabs>
          <w:tab w:val="left" w:pos="36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报告违法行为</w:t>
      </w:r>
      <w:r>
        <w:rPr>
          <w:rFonts w:hint="eastAsia" w:ascii="宋体" w:hAnsi="宋体" w:eastAsia="宋体" w:cs="宋体"/>
          <w:sz w:val="24"/>
          <w:highlight w:val="none"/>
        </w:rPr>
      </w:r>
      <w:r/>
    </w:p>
    <w:p>
      <w:pPr>
        <w:pStyle w:val="1139"/>
        <w:numPr>
          <w:ilvl w:val="1"/>
          <w:numId w:val="10"/>
        </w:numPr>
        <w:ind w:left="0" w:firstLine="480"/>
        <w:spacing w:line="400" w:lineRule="exact"/>
        <w:tabs>
          <w:tab w:val="left" w:pos="1080" w:leader="none"/>
          <w:tab w:val="left"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sz w:val="24"/>
          <w:highlight w:val="none"/>
        </w:rPr>
      </w:r>
      <w:r/>
    </w:p>
    <w:p>
      <w:pPr>
        <w:pStyle w:val="1139"/>
        <w:jc w:val="left"/>
        <w:widowControl/>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r>
      <w:r/>
    </w:p>
    <w:p>
      <w:pPr>
        <w:pStyle w:val="1139"/>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二、评标标准</w:t>
      </w:r>
      <w:r>
        <w:rPr>
          <w:rFonts w:hint="eastAsia" w:ascii="宋体" w:hAnsi="宋体" w:eastAsia="宋体" w:cs="宋体"/>
          <w:b/>
          <w:highlight w:val="none"/>
        </w:rPr>
      </w:r>
      <w:r/>
    </w:p>
    <w:tbl>
      <w:tblPr>
        <w:tblW w:w="0" w:type="auto"/>
        <w:jc w:val="center"/>
        <w:tblInd w:w="-6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009"/>
        <w:gridCol w:w="687"/>
        <w:gridCol w:w="6972"/>
      </w:tblGrid>
      <w:tr>
        <w:trPr>
          <w:trHeight w:val="283"/>
          <w:tblHeader/>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序号</w:t>
            </w:r>
            <w:r>
              <w:rPr>
                <w:rFonts w:hint="eastAsia" w:ascii="宋体" w:hAnsi="宋体" w:eastAsia="宋体" w:cs="宋体"/>
                <w:b/>
                <w:bCs/>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评分</w:t>
            </w:r>
            <w:r>
              <w:rPr>
                <w:rFonts w:hint="eastAsia" w:ascii="宋体" w:hAnsi="宋体" w:eastAsia="宋体" w:cs="宋体"/>
                <w:b/>
                <w:bCs/>
                <w:color w:val="000000"/>
                <w:highlight w:val="none"/>
                <w:lang w:val="en-US" w:eastAsia="zh-CN"/>
              </w:rPr>
            </w:r>
            <w:r/>
          </w:p>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因素</w:t>
            </w:r>
            <w:r>
              <w:rPr>
                <w:rFonts w:hint="eastAsia" w:ascii="宋体" w:hAnsi="宋体" w:eastAsia="宋体" w:cs="宋体"/>
                <w:b/>
                <w:bCs/>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分值</w:t>
            </w:r>
            <w:r>
              <w:rPr>
                <w:rFonts w:hint="eastAsia" w:ascii="宋体" w:hAnsi="宋体" w:eastAsia="宋体" w:cs="宋体"/>
                <w:b/>
                <w:bCs/>
                <w:color w:val="000000"/>
                <w:highlight w:val="none"/>
                <w:lang w:val="en-US" w:eastAsia="zh-CN"/>
              </w:rPr>
            </w:r>
            <w:r/>
          </w:p>
        </w:tc>
        <w:tc>
          <w:tcPr>
            <w:tcW w:w="6972"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评分标准</w:t>
            </w:r>
            <w:r>
              <w:rPr>
                <w:rFonts w:hint="eastAsia" w:ascii="宋体" w:hAnsi="宋体" w:eastAsia="宋体" w:cs="宋体"/>
                <w:b/>
                <w:bCs/>
                <w:color w:val="000000"/>
                <w:highlight w:val="none"/>
                <w:lang w:val="en-US" w:eastAsia="zh-CN"/>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价格分</w:t>
            </w:r>
            <w:r>
              <w:rPr>
                <w:rFonts w:hint="eastAsia" w:ascii="宋体" w:hAnsi="宋体" w:eastAsia="宋体" w:cs="宋体"/>
                <w:b/>
                <w:bCs/>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45</w:t>
            </w:r>
            <w:r>
              <w:rPr>
                <w:rFonts w:hint="eastAsia" w:ascii="宋体" w:hAnsi="宋体" w:eastAsia="宋体" w:cs="宋体"/>
                <w:b/>
                <w:bCs/>
                <w:color w:val="000000"/>
                <w:highlight w:val="none"/>
                <w:lang w:val="en-US" w:eastAsia="zh-CN"/>
              </w:rPr>
            </w:r>
            <w:r/>
          </w:p>
        </w:tc>
        <w:tc>
          <w:tcPr>
            <w:tcW w:w="6972" w:type="dxa"/>
            <w:vAlign w:val="center"/>
            <w:textDirection w:val="lrTb"/>
            <w:noWrap w:val="false"/>
          </w:tcPr>
          <w:p>
            <w:pPr>
              <w:pStyle w:val="1170"/>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用低价优先法，即满足招标文件要求且投标价格最低的投标报价作为评标基准价，其价格分为满分。其他投标人的价格分统一按照下列公式计算：投标报价得分=(评标基准价/投标报价)×45。此处投标报价指经过报价修正，及因落实政府采购政策进行价格调整后的报价，详见第四章《评标方法和评标标准》2.4及2.5。</w:t>
            </w:r>
            <w:r>
              <w:rPr>
                <w:rFonts w:hint="eastAsia" w:ascii="宋体" w:hAnsi="宋体" w:eastAsia="宋体" w:cs="宋体"/>
                <w:color w:val="000000"/>
                <w:highlight w:val="none"/>
                <w:lang w:val="en-US" w:eastAsia="zh-CN"/>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主观分</w:t>
            </w:r>
            <w:r>
              <w:rPr>
                <w:rFonts w:hint="eastAsia" w:ascii="宋体" w:hAnsi="宋体" w:eastAsia="宋体" w:cs="宋体"/>
                <w:b/>
                <w:bCs/>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val="en-US" w:eastAsia="zh-CN"/>
              </w:rPr>
            </w:r>
            <w:r/>
          </w:p>
        </w:tc>
        <w:tc>
          <w:tcPr>
            <w:tcW w:w="6972" w:type="dxa"/>
            <w:vAlign w:val="center"/>
            <w:textDirection w:val="lrTb"/>
            <w:noWrap w:val="false"/>
          </w:tcPr>
          <w:p>
            <w:pPr>
              <w:pStyle w:val="1170"/>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W w:w="687" w:type="dxa"/>
            <w:vAlign w:val="center"/>
            <w:textDirection w:val="lrTb"/>
            <w:noWrap w:val="false"/>
          </w:tcPr>
          <w:p>
            <w:pPr>
              <w:pStyle w:val="113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6972" w:type="dxa"/>
            <w:vAlign w:val="center"/>
            <w:textDirection w:val="lrTb"/>
            <w:noWrap w:val="false"/>
          </w:tcPr>
          <w:p>
            <w:pPr>
              <w:pStyle w:val="113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根据</w:t>
            </w: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提供的项目实施方案，包括但不限于供货运输、布局设计</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提供设计图纸</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、安装调试、进度计划</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项目实施重难点分析、质量安全保障等</w:t>
            </w:r>
            <w:r>
              <w:rPr>
                <w:rFonts w:hint="eastAsia" w:ascii="宋体" w:hAnsi="宋体" w:eastAsia="宋体" w:cs="宋体"/>
                <w:b/>
                <w:bCs/>
                <w:color w:val="000000"/>
                <w:sz w:val="24"/>
                <w:highlight w:val="none"/>
              </w:rPr>
              <w:t xml:space="preserve">进行综合评审：</w:t>
            </w:r>
            <w:r>
              <w:rPr>
                <w:rFonts w:hint="eastAsia" w:ascii="宋体" w:hAnsi="宋体" w:eastAsia="宋体" w:cs="宋体"/>
                <w:b/>
                <w:bCs/>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方案详细具体、针对性强，布局设计合理、流程进度符合项目要求，且供货时间合理、</w:t>
            </w:r>
            <w:r>
              <w:rPr>
                <w:rFonts w:hint="eastAsia" w:ascii="宋体" w:hAnsi="宋体" w:eastAsia="宋体" w:cs="宋体"/>
                <w:b w:val="0"/>
                <w:bCs w:val="0"/>
                <w:color w:val="000000"/>
                <w:sz w:val="24"/>
                <w:highlight w:val="none"/>
                <w:lang w:val="en-US" w:eastAsia="zh-CN"/>
              </w:rPr>
              <w:t xml:space="preserve">重点难点分析准确，质量保障措施</w:t>
            </w:r>
            <w:r>
              <w:rPr>
                <w:rFonts w:hint="eastAsia" w:ascii="宋体" w:hAnsi="宋体" w:eastAsia="宋体" w:cs="宋体"/>
                <w:color w:val="000000"/>
                <w:sz w:val="24"/>
                <w:highlight w:val="none"/>
              </w:rPr>
              <w:t xml:space="preserve">科学详细、完善可行的，得3分；方案较详细具体、针对性较强，布局设计较合理、流程进度符合项目要求，</w:t>
            </w:r>
            <w:r>
              <w:rPr>
                <w:rFonts w:hint="eastAsia" w:ascii="宋体" w:hAnsi="宋体" w:eastAsia="宋体" w:cs="宋体"/>
                <w:b w:val="0"/>
                <w:bCs w:val="0"/>
                <w:color w:val="000000"/>
                <w:sz w:val="24"/>
                <w:highlight w:val="none"/>
                <w:lang w:val="en-US" w:eastAsia="zh-CN"/>
              </w:rPr>
              <w:t xml:space="preserve">重点难点把控较到位，质量保障措施较完善</w:t>
            </w:r>
            <w:r>
              <w:rPr>
                <w:rFonts w:hint="eastAsia" w:ascii="宋体" w:hAnsi="宋体" w:eastAsia="宋体" w:cs="宋体"/>
                <w:color w:val="000000"/>
                <w:sz w:val="24"/>
                <w:highlight w:val="none"/>
              </w:rPr>
              <w:t xml:space="preserve">，得2分；方案内容简单，布局设计基本合理、质量保障措施基本符合项目要求，得1分；未提供方案或方案不符合要求不得分。</w:t>
            </w:r>
            <w:r>
              <w:rPr>
                <w:rFonts w:hint="eastAsia" w:ascii="宋体" w:hAnsi="宋体" w:eastAsia="宋体" w:cs="宋体"/>
                <w:color w:val="000000"/>
                <w:sz w:val="24"/>
                <w:highlight w:val="none"/>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409"/>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售后服务方案</w:t>
            </w:r>
            <w:r>
              <w:rPr>
                <w:rFonts w:hint="eastAsia" w:ascii="宋体" w:hAnsi="宋体" w:eastAsia="宋体" w:cs="宋体"/>
                <w:color w:val="000000"/>
                <w:highlight w:val="none"/>
              </w:rPr>
            </w:r>
            <w:r/>
          </w:p>
        </w:tc>
        <w:tc>
          <w:tcPr>
            <w:tcW w:w="687" w:type="dxa"/>
            <w:vAlign w:val="center"/>
            <w:textDirection w:val="lrTb"/>
            <w:noWrap w:val="false"/>
          </w:tcPr>
          <w:p>
            <w:pPr>
              <w:pStyle w:val="1409"/>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6972" w:type="dxa"/>
            <w:vAlign w:val="center"/>
            <w:textDirection w:val="lrTb"/>
            <w:noWrap w:val="false"/>
          </w:tcPr>
          <w:p>
            <w:pPr>
              <w:pStyle w:val="113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根据</w:t>
            </w: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提供的售后服务方案，包括但不限于售后服务人员、重大故障的</w:t>
            </w:r>
            <w:r>
              <w:rPr>
                <w:rFonts w:hint="eastAsia" w:ascii="宋体" w:hAnsi="宋体" w:eastAsia="宋体" w:cs="宋体"/>
                <w:b/>
                <w:bCs/>
                <w:color w:val="000000"/>
                <w:sz w:val="24"/>
                <w:highlight w:val="none"/>
                <w:lang w:val="en-US" w:eastAsia="zh-CN"/>
              </w:rPr>
              <w:t xml:space="preserve">响应及</w:t>
            </w:r>
            <w:r>
              <w:rPr>
                <w:rFonts w:hint="eastAsia" w:ascii="宋体" w:hAnsi="宋体" w:eastAsia="宋体" w:cs="宋体"/>
                <w:b/>
                <w:bCs/>
                <w:color w:val="000000"/>
                <w:sz w:val="24"/>
                <w:highlight w:val="none"/>
              </w:rPr>
              <w:t xml:space="preserve">应急预案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备品备件的准备、质保及优惠承诺等进行综合评审：</w:t>
            </w:r>
            <w:r>
              <w:rPr>
                <w:rFonts w:hint="eastAsia" w:ascii="宋体" w:hAnsi="宋体" w:eastAsia="宋体" w:cs="宋体"/>
                <w:b/>
                <w:bCs/>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售后服务人员</w:t>
            </w:r>
            <w:r>
              <w:rPr>
                <w:rFonts w:hint="eastAsia" w:ascii="宋体" w:hAnsi="宋体" w:eastAsia="宋体" w:cs="宋体"/>
                <w:b w:val="0"/>
                <w:bCs w:val="0"/>
                <w:color w:val="000000"/>
                <w:sz w:val="24"/>
                <w:highlight w:val="none"/>
                <w:lang w:val="en-US" w:eastAsia="zh-CN"/>
              </w:rPr>
              <w:t xml:space="preserve">清单</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备品备件清单齐全，完整合理，重大故障应急预案和措施方案详细，针对性强，质保期满后维修及备品备件优惠力度大，</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售后服务人员</w:t>
            </w:r>
            <w:r>
              <w:rPr>
                <w:rFonts w:hint="eastAsia" w:ascii="宋体" w:hAnsi="宋体" w:eastAsia="宋体" w:cs="宋体"/>
                <w:b w:val="0"/>
                <w:bCs w:val="0"/>
                <w:color w:val="000000"/>
                <w:sz w:val="24"/>
                <w:highlight w:val="none"/>
                <w:lang w:val="en-US" w:eastAsia="zh-CN"/>
              </w:rPr>
              <w:t xml:space="preserve">清单</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备品备件清单有缺项，但相对合理，重大故障应急预案和措施方案较详细，针对性较强，质保期满后维修及备品备件优惠力度较大，</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售后服务人员</w:t>
            </w:r>
            <w:r>
              <w:rPr>
                <w:rFonts w:hint="eastAsia" w:ascii="宋体" w:hAnsi="宋体" w:eastAsia="宋体" w:cs="宋体"/>
                <w:b w:val="0"/>
                <w:bCs w:val="0"/>
                <w:color w:val="000000"/>
                <w:sz w:val="24"/>
                <w:highlight w:val="none"/>
                <w:lang w:val="en-US" w:eastAsia="zh-CN"/>
              </w:rPr>
              <w:t xml:space="preserve">清单</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备品备件清单缺项较多，重大故障应急预案和措施方案简单，针对性不强，质保期满后维修及备品备件优惠力度不足，</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409"/>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未提供方案或方案不符合要求不得分。</w:t>
            </w:r>
            <w:r>
              <w:rPr>
                <w:rFonts w:hint="eastAsia" w:ascii="宋体" w:hAnsi="宋体" w:eastAsia="宋体" w:cs="宋体"/>
                <w:color w:val="000000"/>
                <w:highlight w:val="none"/>
              </w:rPr>
            </w:r>
            <w:r/>
          </w:p>
        </w:tc>
      </w:tr>
      <w:tr>
        <w:trPr>
          <w:trHeight w:val="90"/>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409"/>
              <w:rPr>
                <w:rFonts w:hint="eastAsia" w:ascii="宋体" w:hAnsi="宋体" w:eastAsia="宋体" w:cs="宋体"/>
                <w:color w:val="000000"/>
                <w:highlight w:val="none"/>
              </w:rPr>
            </w:pPr>
            <w:r>
              <w:rPr>
                <w:rFonts w:hint="eastAsia" w:ascii="宋体" w:hAnsi="宋体" w:eastAsia="宋体" w:cs="宋体"/>
                <w:color w:val="000000"/>
                <w:highlight w:val="none"/>
              </w:rPr>
              <w:t xml:space="preserve">培训方案</w:t>
            </w:r>
            <w:r>
              <w:rPr>
                <w:rFonts w:hint="eastAsia" w:ascii="宋体" w:hAnsi="宋体" w:eastAsia="宋体" w:cs="宋体"/>
                <w:color w:val="000000"/>
                <w:highlight w:val="none"/>
              </w:rPr>
            </w:r>
            <w:r/>
          </w:p>
        </w:tc>
        <w:tc>
          <w:tcPr>
            <w:tcW w:w="687" w:type="dxa"/>
            <w:vAlign w:val="center"/>
            <w:textDirection w:val="lrTb"/>
            <w:noWrap w:val="false"/>
          </w:tcPr>
          <w:p>
            <w:pPr>
              <w:pStyle w:val="1409"/>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6972" w:type="dxa"/>
            <w:vAlign w:val="center"/>
            <w:textDirection w:val="lrTb"/>
            <w:noWrap w:val="false"/>
          </w:tcPr>
          <w:p>
            <w:pPr>
              <w:pStyle w:val="1139"/>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根据</w:t>
            </w: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针对本项目提供的培训方案，包括但不限于仪器设备的基本原理和构造、系统的设计及使用方法、日常维护及故障排除，直至操作人员能掌握有关该仪器设备的使用、维护和管理，达到能独立进行操作、日常测试维护等工作的目的等进行综合评审：</w:t>
            </w:r>
            <w:r>
              <w:rPr>
                <w:rFonts w:hint="eastAsia" w:ascii="宋体" w:hAnsi="宋体" w:eastAsia="宋体" w:cs="宋体"/>
                <w:b/>
                <w:bCs/>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全面合理有效，具有详细的培训计划、培训师资力量、培训内容，得3分；培训方案不够全面，有效性欠缺，培训计划、培训师资力量、培训内容不够详细，得2分；培训方案简单、培训计划、培训内容单一、可操作性差，得1分。</w:t>
            </w:r>
            <w:r>
              <w:rPr>
                <w:rFonts w:hint="eastAsia" w:ascii="宋体" w:hAnsi="宋体" w:eastAsia="宋体" w:cs="宋体"/>
                <w:color w:val="000000"/>
                <w:sz w:val="24"/>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未提供方案或方案不符合要求不得分。</w:t>
            </w:r>
            <w:r>
              <w:rPr>
                <w:rFonts w:hint="eastAsia" w:ascii="宋体" w:hAnsi="宋体" w:eastAsia="宋体" w:cs="宋体"/>
                <w:color w:val="000000"/>
                <w:sz w:val="24"/>
                <w:highlight w:val="none"/>
              </w:rPr>
            </w:r>
            <w:r/>
          </w:p>
        </w:tc>
      </w:tr>
      <w:tr>
        <w:trPr>
          <w:trHeight w:val="90"/>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2.4</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40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演示</w:t>
            </w:r>
            <w:r>
              <w:rPr>
                <w:rFonts w:hint="eastAsia" w:ascii="宋体" w:hAnsi="宋体" w:eastAsia="宋体" w:cs="宋体"/>
                <w:color w:val="000000"/>
                <w:highlight w:val="none"/>
                <w:lang w:val="en-US" w:eastAsia="zh-CN"/>
              </w:rPr>
            </w:r>
            <w:r/>
          </w:p>
        </w:tc>
        <w:tc>
          <w:tcPr>
            <w:tcW w:w="687" w:type="dxa"/>
            <w:vAlign w:val="center"/>
            <w:textDirection w:val="lrTb"/>
            <w:noWrap w:val="false"/>
          </w:tcPr>
          <w:p>
            <w:pPr>
              <w:pStyle w:val="140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6972" w:type="dxa"/>
            <w:vAlign w:val="center"/>
            <w:textDirection w:val="lrTb"/>
            <w:noWrap w:val="false"/>
          </w:tcPr>
          <w:p>
            <w:pPr>
              <w:pStyle w:val="113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投标供应商以PPT讲解视频的方式对</w:t>
            </w:r>
            <w:r>
              <w:rPr>
                <w:rFonts w:hint="eastAsia" w:ascii="宋体" w:hAnsi="宋体" w:eastAsia="宋体" w:cs="宋体"/>
                <w:b/>
                <w:bCs/>
                <w:color w:val="000000"/>
                <w:sz w:val="24"/>
                <w:highlight w:val="none"/>
              </w:rPr>
              <w:t xml:space="preserve">特气输运系统方案、尾气处理工艺路线、危险气体安全输送与泄漏防控能力、系统洁净控制及应急处置措施等</w:t>
            </w:r>
            <w:r>
              <w:rPr>
                <w:rFonts w:hint="eastAsia" w:ascii="宋体" w:hAnsi="宋体" w:eastAsia="宋体" w:cs="宋体"/>
                <w:b/>
                <w:bCs/>
                <w:color w:val="000000"/>
                <w:sz w:val="24"/>
                <w:highlight w:val="none"/>
                <w:lang w:val="en-US" w:eastAsia="zh-CN"/>
              </w:rPr>
              <w:t xml:space="preserve">方面进行演示，评委根据演示情况进行综合评审：</w:t>
            </w:r>
            <w:r>
              <w:rPr>
                <w:rFonts w:hint="eastAsia" w:ascii="宋体" w:hAnsi="宋体" w:eastAsia="宋体" w:cs="宋体"/>
                <w:b/>
                <w:bCs/>
                <w:color w:val="000000"/>
                <w:sz w:val="24"/>
                <w:highlight w:val="none"/>
                <w:lang w:val="en-US" w:eastAsia="zh-CN"/>
              </w:rPr>
            </w:r>
            <w:r/>
          </w:p>
          <w:p>
            <w:pPr>
              <w:pStyle w:val="1139"/>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演示完整，条理清晰，对特气输运、尾气处理、系统洁净控制及安全规范理解深入，应急处置措施科学合理，贴合项目实际，得6分；演示较完整，条理较清晰，对特气输运、尾气处理及相关工艺理解较好，应急处置措施较合理，较贴合项目实际，得4分；演示缺项较多，对特气输运、尾气处理及相关工艺理解一般，应急处置措施可行性一般，得2分；陈述条理较差，对项目工艺及应急处置措施理解不足，表述与项目实际不够贴合，方案针对性较弱，得1分。</w:t>
            </w:r>
            <w:r>
              <w:rPr>
                <w:rFonts w:hint="eastAsia" w:ascii="宋体" w:hAnsi="宋体" w:eastAsia="宋体" w:cs="宋体"/>
                <w:b w:val="0"/>
                <w:bCs w:val="0"/>
                <w:color w:val="000000"/>
                <w:sz w:val="24"/>
                <w:highlight w:val="none"/>
                <w:lang w:val="en-US" w:eastAsia="zh-CN"/>
              </w:rPr>
            </w:r>
            <w:r/>
          </w:p>
          <w:p>
            <w:pPr>
              <w:pStyle w:val="1139"/>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投标供应商在“苏采云”系统中上传</w:t>
            </w:r>
            <w:r>
              <w:rPr>
                <w:rFonts w:hint="eastAsia" w:ascii="宋体" w:hAnsi="宋体" w:eastAsia="宋体" w:cs="宋体"/>
                <w:b/>
                <w:bCs/>
                <w:color w:val="000000"/>
                <w:sz w:val="24"/>
                <w:highlight w:val="none"/>
              </w:rPr>
              <w:t xml:space="preserve">PPT讲解视频资料，</w:t>
            </w:r>
            <w:r>
              <w:rPr>
                <w:rFonts w:hint="eastAsia" w:ascii="宋体" w:hAnsi="宋体" w:eastAsia="宋体" w:cs="宋体"/>
                <w:b/>
                <w:bCs/>
                <w:color w:val="000000"/>
                <w:sz w:val="24"/>
                <w:highlight w:val="none"/>
                <w:lang w:val="en-US" w:eastAsia="zh-CN"/>
              </w:rPr>
              <w:t xml:space="preserve">视频</w:t>
            </w:r>
            <w:r>
              <w:rPr>
                <w:rFonts w:hint="eastAsia" w:ascii="宋体" w:hAnsi="宋体" w:eastAsia="宋体" w:cs="宋体"/>
                <w:b/>
                <w:bCs/>
                <w:color w:val="000000"/>
                <w:sz w:val="24"/>
                <w:highlight w:val="none"/>
              </w:rPr>
              <w:t xml:space="preserve">时长不超过8分钟，</w:t>
            </w:r>
            <w:r>
              <w:rPr>
                <w:rFonts w:hint="eastAsia" w:ascii="宋体" w:hAnsi="宋体" w:eastAsia="宋体" w:cs="宋体"/>
                <w:b/>
                <w:bCs/>
                <w:color w:val="000000"/>
                <w:sz w:val="24"/>
                <w:highlight w:val="none"/>
                <w:lang w:val="en-US" w:eastAsia="zh-CN"/>
              </w:rPr>
              <w:t xml:space="preserve">未提供演示不得分。</w:t>
            </w:r>
            <w:r>
              <w:rPr>
                <w:rFonts w:hint="eastAsia" w:ascii="宋体" w:hAnsi="宋体" w:eastAsia="宋体" w:cs="宋体"/>
                <w:color w:val="000000"/>
                <w:sz w:val="24"/>
                <w:highlight w:val="none"/>
                <w:lang w:val="en-US" w:eastAsia="zh-CN"/>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客观分</w:t>
            </w:r>
            <w:r>
              <w:rPr>
                <w:rFonts w:hint="eastAsia" w:ascii="宋体" w:hAnsi="宋体" w:eastAsia="宋体" w:cs="宋体"/>
                <w:b/>
                <w:bCs/>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40</w:t>
            </w:r>
            <w:r>
              <w:rPr>
                <w:rFonts w:hint="eastAsia" w:ascii="宋体" w:hAnsi="宋体" w:eastAsia="宋体" w:cs="宋体"/>
                <w:b/>
                <w:bCs/>
                <w:color w:val="000000"/>
                <w:highlight w:val="none"/>
                <w:lang w:val="en-US" w:eastAsia="zh-CN"/>
              </w:rPr>
            </w:r>
            <w:r/>
          </w:p>
        </w:tc>
        <w:tc>
          <w:tcPr>
            <w:tcW w:w="6972" w:type="dxa"/>
            <w:vAlign w:val="center"/>
            <w:textDirection w:val="lrTb"/>
            <w:noWrap w:val="false"/>
          </w:tcPr>
          <w:p>
            <w:pPr>
              <w:pStyle w:val="1170"/>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6972" w:type="dxa"/>
            <w:vAlign w:val="center"/>
            <w:textDirection w:val="lrTb"/>
            <w:noWrap w:val="false"/>
          </w:tcPr>
          <w:p>
            <w:pPr>
              <w:pStyle w:val="1218"/>
              <w:rPr>
                <w:rFonts w:hint="eastAsia" w:ascii="宋体" w:hAnsi="宋体" w:eastAsia="宋体" w:cs="宋体"/>
                <w:color w:val="000000"/>
                <w:highlight w:val="none"/>
              </w:rPr>
            </w:pPr>
            <w:r>
              <w:rPr>
                <w:rFonts w:hint="eastAsia" w:ascii="宋体" w:hAnsi="宋体" w:eastAsia="宋体" w:cs="宋体"/>
                <w:color w:val="000000"/>
                <w:highlight w:val="none"/>
              </w:rPr>
              <w:t xml:space="preserve">投标供应商202</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年1月1日（以合同签订时间为准）至本项目招标公告发布之日止，具有本项目类似项目供货安装成功业绩，每提供一份得1分，最高得3分。</w:t>
            </w:r>
            <w:r>
              <w:rPr>
                <w:rFonts w:hint="eastAsia" w:ascii="宋体" w:hAnsi="宋体" w:eastAsia="宋体" w:cs="宋体"/>
                <w:color w:val="000000"/>
                <w:highlight w:val="none"/>
              </w:rPr>
            </w:r>
            <w:r/>
          </w:p>
          <w:p>
            <w:pPr>
              <w:pStyle w:val="113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投标文件中提供完整合同（合同要素至少包含签订时间、合同双方名称、设备名称、合同总价）及验收材料扫描件，未提供证明材料或材料不全的不得分。</w:t>
            </w:r>
            <w:r>
              <w:rPr>
                <w:rFonts w:hint="eastAsia" w:ascii="宋体" w:hAnsi="宋体" w:eastAsia="宋体" w:cs="宋体"/>
                <w:color w:val="000000"/>
                <w:sz w:val="24"/>
                <w:highlight w:val="none"/>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技术参数响应</w:t>
            </w:r>
            <w:r>
              <w:rPr>
                <w:rFonts w:hint="eastAsia" w:ascii="宋体" w:hAnsi="宋体" w:eastAsia="宋体" w:cs="宋体"/>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w:t>
            </w:r>
            <w:r>
              <w:rPr>
                <w:rFonts w:hint="eastAsia" w:ascii="宋体" w:hAnsi="宋体" w:eastAsia="宋体" w:cs="宋体"/>
                <w:color w:val="000000"/>
                <w:highlight w:val="none"/>
                <w:lang w:val="en-US" w:eastAsia="zh-CN"/>
              </w:rPr>
            </w:r>
            <w:r/>
          </w:p>
        </w:tc>
        <w:tc>
          <w:tcPr>
            <w:tcW w:w="6972" w:type="dxa"/>
            <w:vAlign w:val="center"/>
            <w:textDirection w:val="lrTb"/>
            <w:noWrap w:val="false"/>
          </w:tcPr>
          <w:p>
            <w:pPr>
              <w:pStyle w:val="113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所投设备技术指标全部满足采购要求的得</w:t>
            </w: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分。技术参数中打“▲”参数为重要参数，每有一项负偏离的，扣1分；未标示符号的技术参数为一般技术指标，每有一项负偏离的，扣0.5分，扣完为止。</w:t>
            </w:r>
            <w:r>
              <w:rPr>
                <w:rFonts w:hint="eastAsia" w:ascii="宋体" w:hAnsi="宋体" w:eastAsia="宋体" w:cs="宋体"/>
                <w:b/>
                <w:bCs/>
                <w:color w:val="000000"/>
                <w:sz w:val="24"/>
                <w:highlight w:val="none"/>
              </w:rPr>
            </w:r>
            <w:r/>
          </w:p>
          <w:p>
            <w:pPr>
              <w:pStyle w:val="113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113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①招标文件中标有“▲”的技术参数条款，须提供相关证明材料（不限于原厂技术资料或产品彩页或功能截图或检测报告（带CMA或CNAS）等），采购需求中对证明材料有要求的，以需求描述为准；</w:t>
            </w:r>
            <w:r>
              <w:rPr>
                <w:rFonts w:hint="eastAsia" w:ascii="宋体" w:hAnsi="宋体" w:eastAsia="宋体" w:cs="宋体"/>
                <w:b/>
                <w:bCs/>
                <w:color w:val="000000"/>
                <w:sz w:val="24"/>
                <w:highlight w:val="none"/>
              </w:rPr>
              <w:t xml:space="preserve">②未标示符号的参数以《采购需求偏离表》为准；</w:t>
            </w:r>
            <w:r>
              <w:rPr>
                <w:rFonts w:hint="eastAsia" w:ascii="宋体" w:hAnsi="宋体" w:eastAsia="宋体" w:cs="宋体"/>
                <w:b/>
                <w:bCs/>
                <w:color w:val="000000"/>
                <w:sz w:val="24"/>
                <w:highlight w:val="none"/>
              </w:rPr>
            </w:r>
            <w:r/>
          </w:p>
          <w:p>
            <w:pPr>
              <w:pStyle w:val="113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③凡标有最低一级序号的指标项即为一项技术参数，无论是否隶属于上一级编号</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13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④投标供应商须对照技术参数要求逐条响应所有参数并在《采购需求偏离表》中</w:t>
            </w:r>
            <w:r>
              <w:rPr>
                <w:rFonts w:hint="eastAsia" w:ascii="宋体" w:hAnsi="宋体" w:eastAsia="宋体" w:cs="宋体"/>
                <w:b/>
                <w:bCs/>
                <w:color w:val="000000"/>
                <w:sz w:val="24"/>
                <w:highlight w:val="none"/>
                <w:lang w:val="en-US" w:eastAsia="zh-CN"/>
              </w:rPr>
              <w:t xml:space="preserve">一一</w:t>
            </w:r>
            <w:r>
              <w:rPr>
                <w:rFonts w:hint="eastAsia" w:ascii="宋体" w:hAnsi="宋体" w:eastAsia="宋体" w:cs="宋体"/>
                <w:b/>
                <w:bCs/>
                <w:color w:val="000000"/>
                <w:sz w:val="24"/>
                <w:highlight w:val="none"/>
              </w:rPr>
              <w:t xml:space="preserve">列明，要求提供证明材料的必须标注证明材料对应页码。项目验收时采购人将逐条验证技术指标，如发现投标人虚假应标，采购人无条件退货并上报相关主管部门处理。</w:t>
            </w:r>
            <w:r>
              <w:rPr>
                <w:rFonts w:hint="eastAsia" w:ascii="宋体" w:hAnsi="宋体" w:eastAsia="宋体" w:cs="宋体"/>
                <w:color w:val="000000"/>
                <w:sz w:val="24"/>
                <w:highlight w:val="none"/>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免费质保期</w:t>
            </w:r>
            <w:r>
              <w:rPr>
                <w:rFonts w:hint="eastAsia" w:ascii="宋体" w:hAnsi="宋体" w:eastAsia="宋体" w:cs="宋体"/>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6972" w:type="dxa"/>
            <w:vAlign w:val="center"/>
            <w:textDirection w:val="lrTb"/>
            <w:noWrap w:val="false"/>
          </w:tcPr>
          <w:p>
            <w:pPr>
              <w:pStyle w:val="1139"/>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满足采购文件实质性要求的基础上，承诺每增加一年原厂免费质保得1分，本项最高2分。</w:t>
            </w:r>
            <w:r>
              <w:rPr>
                <w:rFonts w:hint="eastAsia" w:ascii="宋体" w:hAnsi="宋体" w:eastAsia="宋体" w:cs="宋体"/>
                <w:b/>
                <w:bCs/>
                <w:color w:val="000000"/>
                <w:sz w:val="24"/>
                <w:highlight w:val="none"/>
              </w:rPr>
              <w:t xml:space="preserve">提供承诺函并加盖投标供应商公章，格式自拟，未按要求提供不得分。</w:t>
            </w:r>
            <w:r>
              <w:rPr>
                <w:rFonts w:hint="eastAsia" w:ascii="宋体" w:hAnsi="宋体" w:eastAsia="宋体" w:cs="宋体"/>
                <w:b/>
                <w:bCs/>
                <w:color w:val="000000"/>
                <w:sz w:val="24"/>
                <w:highlight w:val="none"/>
              </w:rPr>
            </w:r>
            <w:r/>
          </w:p>
        </w:tc>
      </w:tr>
      <w:tr>
        <w:trPr>
          <w:trHeight w:val="283"/>
        </w:trPr>
        <w:tc>
          <w:tcPr>
            <w:tcW w:w="621"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w:t>
            </w:r>
            <w:r>
              <w:rPr>
                <w:rFonts w:hint="eastAsia" w:ascii="宋体" w:hAnsi="宋体" w:eastAsia="宋体" w:cs="宋体"/>
                <w:color w:val="000000"/>
                <w:highlight w:val="none"/>
                <w:lang w:val="en-US" w:eastAsia="zh-CN"/>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政府采购政策功能性得分</w:t>
            </w:r>
            <w:r>
              <w:rPr>
                <w:rFonts w:hint="eastAsia" w:ascii="宋体" w:hAnsi="宋体" w:eastAsia="宋体" w:cs="宋体"/>
                <w:color w:val="000000"/>
                <w:sz w:val="24"/>
                <w:highlight w:val="none"/>
              </w:rPr>
            </w:r>
            <w:r/>
          </w:p>
        </w:tc>
        <w:tc>
          <w:tcPr>
            <w:tcW w:w="687" w:type="dxa"/>
            <w:vAlign w:val="center"/>
            <w:textDirection w:val="lrTb"/>
            <w:noWrap w:val="false"/>
          </w:tcPr>
          <w:p>
            <w:pPr>
              <w:pStyle w:val="1139"/>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6972" w:type="dxa"/>
            <w:vAlign w:val="center"/>
            <w:textDirection w:val="lrTb"/>
            <w:noWrap w:val="false"/>
          </w:tcPr>
          <w:p>
            <w:pPr>
              <w:pStyle w:val="1139"/>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bidi="ar"/>
              </w:rPr>
              <w:t xml:space="preserve">投标产品属于财政部、国家发改委公布的“节能产品品目清单”范围内的，投标人提供国家确定的认证机构出具的、处于有效期之内的该节能产品认证证书复印件的，有1个得0.5分</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投标产品属于财政部、生态环境部公布的“环境标志产品品目清单”范围内的，投标人提供国家确定的认证机构出具的、处于有效期内的该投标产品环境标志产品认证证书复印件的，有1个得0.5分。</w:t>
            </w:r>
            <w:r>
              <w:rPr>
                <w:rFonts w:hint="eastAsia" w:ascii="宋体" w:hAnsi="宋体" w:eastAsia="宋体" w:cs="宋体"/>
                <w:color w:val="000000"/>
                <w:sz w:val="24"/>
                <w:highlight w:val="none"/>
                <w:lang w:val="en-US" w:eastAsia="zh-CN" w:bidi="ar"/>
              </w:rPr>
              <w:t xml:space="preserve">本项最高1分</w:t>
            </w:r>
            <w:r>
              <w:rPr>
                <w:rFonts w:hint="eastAsia" w:ascii="宋体" w:hAnsi="宋体" w:eastAsia="宋体" w:cs="宋体"/>
                <w:color w:val="000000"/>
                <w:sz w:val="24"/>
                <w:highlight w:val="none"/>
                <w:lang w:val="en-US" w:eastAsia="zh-CN"/>
              </w:rPr>
            </w:r>
            <w:r/>
          </w:p>
        </w:tc>
      </w:tr>
      <w:tr>
        <w:trPr>
          <w:trHeight w:val="283"/>
        </w:trPr>
        <w:tc>
          <w:tcPr>
            <w:gridSpan w:val="2"/>
            <w:tcW w:w="1630"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合计</w:t>
            </w:r>
            <w:r>
              <w:rPr>
                <w:rFonts w:hint="eastAsia" w:ascii="宋体" w:hAnsi="宋体" w:eastAsia="宋体" w:cs="宋体"/>
                <w:color w:val="000000"/>
                <w:highlight w:val="none"/>
                <w:lang w:val="en-US" w:eastAsia="zh-CN"/>
              </w:rPr>
            </w:r>
            <w:r/>
          </w:p>
        </w:tc>
        <w:tc>
          <w:tcPr>
            <w:tcW w:w="687" w:type="dxa"/>
            <w:vAlign w:val="center"/>
            <w:textDirection w:val="lrTb"/>
            <w:noWrap w:val="false"/>
          </w:tcPr>
          <w:p>
            <w:pPr>
              <w:pStyle w:val="1170"/>
              <w:jc w:val="center"/>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100</w:t>
            </w:r>
            <w:r>
              <w:rPr>
                <w:rFonts w:hint="eastAsia" w:ascii="宋体" w:hAnsi="宋体" w:eastAsia="宋体" w:cs="宋体"/>
                <w:color w:val="000000"/>
                <w:highlight w:val="none"/>
                <w:lang w:val="en-US" w:eastAsia="zh-CN"/>
              </w:rPr>
            </w:r>
            <w:r/>
          </w:p>
        </w:tc>
        <w:tc>
          <w:tcPr>
            <w:tcW w:w="6972" w:type="dxa"/>
            <w:vAlign w:val="center"/>
            <w:textDirection w:val="lrTb"/>
            <w:noWrap w:val="false"/>
          </w:tcPr>
          <w:p>
            <w:pPr>
              <w:pStyle w:val="1170"/>
              <w:spacing w:before="0" w:line="240" w:lineRule="auto"/>
              <w:tabs>
                <w:tab w:val="left" w:pos="567"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1139"/>
        <w:jc w:val="center"/>
        <w:spacing w:line="360" w:lineRule="auto"/>
        <w:rPr>
          <w:rFonts w:hint="eastAsia" w:ascii="宋体" w:hAnsi="宋体" w:eastAsia="宋体" w:cs="宋体"/>
          <w:sz w:val="24"/>
          <w:highlight w:val="none"/>
        </w:rPr>
        <w:outlineLvl w:val="0"/>
      </w:pPr>
      <w:r>
        <w:rPr>
          <w:rFonts w:hint="eastAsia" w:ascii="宋体" w:hAnsi="宋体" w:eastAsia="宋体" w:cs="宋体"/>
          <w:b/>
          <w:sz w:val="36"/>
          <w:szCs w:val="36"/>
          <w:highlight w:val="none"/>
        </w:rPr>
        <w:br w:type="page" w:clear="all"/>
      </w:r>
      <w:bookmarkStart w:id="385" w:name="_Toc26152"/>
      <w:r>
        <w:rPr>
          <w:rFonts w:hint="eastAsia" w:ascii="宋体" w:hAnsi="宋体" w:eastAsia="宋体" w:cs="宋体"/>
          <w:b/>
          <w:sz w:val="36"/>
          <w:szCs w:val="36"/>
          <w:highlight w:val="none"/>
        </w:rPr>
        <w:t xml:space="preserve">第五章   采购需求</w:t>
      </w:r>
      <w:bookmarkEnd w:id="385"/>
      <w:r>
        <w:rPr>
          <w:rFonts w:hint="eastAsia" w:ascii="宋体" w:hAnsi="宋体" w:eastAsia="宋体" w:cs="宋体"/>
          <w:sz w:val="24"/>
          <w:highlight w:val="none"/>
        </w:rPr>
      </w:r>
      <w:r/>
    </w:p>
    <w:p>
      <w:pPr>
        <w:pStyle w:val="1139"/>
        <w:contextualSpacing/>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一、采购标的</w:t>
      </w:r>
      <w:r>
        <w:rPr>
          <w:rFonts w:hint="eastAsia" w:ascii="宋体" w:hAnsi="宋体" w:eastAsia="宋体" w:cs="宋体"/>
          <w:b/>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1.项目名称：常州大学微纳加工中心气体储存、输运及处理系统采购</w:t>
      </w:r>
      <w:r>
        <w:rPr>
          <w:rFonts w:hint="eastAsia" w:ascii="宋体" w:hAnsi="宋体" w:eastAsia="宋体" w:cs="宋体"/>
          <w:sz w:val="24"/>
          <w:highlight w:val="none"/>
        </w:rPr>
        <w:t xml:space="preserve">项目</w:t>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2.项目预算金额：人民币140万元、最高限价：人民币140万元</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项目概况：本项目采购内容为常州大学微纳加工中心气体储存、输运及处理系统采购，主要将惰性气体供气模块、特种气体安全存储与输送模块（包括硅烷、氨气等特气柜及气瓶架）以及尾气燃烧与干式吸附处理模块进行系统整合，实现多种工艺气体的集中管理、自动联锁控制、分级监测与一体化尾气净化，形成覆盖供气、输送、使用及排放全过程的安全闭环体系。</w:t>
      </w:r>
      <w:r>
        <w:rPr>
          <w:rFonts w:hint="eastAsia" w:ascii="宋体" w:hAnsi="宋体" w:eastAsia="宋体" w:cs="宋体"/>
          <w:sz w:val="24"/>
          <w:highlight w:val="none"/>
        </w:rPr>
      </w:r>
      <w:r/>
    </w:p>
    <w:p>
      <w:pPr>
        <w:pStyle w:val="1139"/>
        <w:ind w:firstLine="480"/>
        <w:spacing w:line="400" w:lineRule="exact"/>
        <w:rPr>
          <w:rFonts w:hint="eastAsia" w:ascii="宋体" w:hAnsi="宋体" w:eastAsia="宋体" w:cs="宋体"/>
          <w:b/>
          <w:color w:val="0000ff"/>
          <w:sz w:val="24"/>
          <w:highlight w:val="none"/>
        </w:rPr>
      </w:pPr>
      <w:r>
        <w:rPr>
          <w:rFonts w:hint="eastAsia" w:ascii="宋体" w:hAnsi="宋体" w:eastAsia="宋体" w:cs="宋体"/>
          <w:sz w:val="24"/>
          <w:highlight w:val="none"/>
        </w:rPr>
        <w:t xml:space="preserve">本项目包括但不限于招标文件及其基本技术要求范围内相应产品供货前的准备（包括现场踏勘、技术核对等）、产品设计、制造、采购、运输、装卸、安装、调试、技术指导培训、检验、质保期及维保服务等全部内容。</w:t>
      </w:r>
      <w:r>
        <w:rPr>
          <w:rFonts w:hint="eastAsia" w:ascii="宋体" w:hAnsi="宋体" w:eastAsia="宋体" w:cs="宋体"/>
          <w:b/>
          <w:color w:val="0000ff"/>
          <w:sz w:val="24"/>
          <w:highlight w:val="none"/>
        </w:rPr>
      </w:r>
      <w:r/>
    </w:p>
    <w:p>
      <w:pPr>
        <w:pStyle w:val="1139"/>
        <w:contextualSpacing/>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二、政府采购中实施本国产品标准及相关政策</w:t>
      </w:r>
      <w:r>
        <w:rPr>
          <w:rFonts w:hint="eastAsia" w:ascii="宋体" w:hAnsi="宋体" w:eastAsia="宋体" w:cs="宋体"/>
          <w:b/>
          <w:color w:val="000000"/>
          <w:sz w:val="24"/>
          <w:highlight w:val="none"/>
        </w:rPr>
      </w:r>
      <w:r/>
    </w:p>
    <w:p>
      <w:pPr>
        <w:pStyle w:val="113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1.本项目对采购本国产品给予政策支持，具体内容见招标文件“第四章 评标方法</w:t>
      </w:r>
      <w:r>
        <w:rPr>
          <w:rFonts w:hint="eastAsia" w:ascii="宋体" w:hAnsi="宋体" w:eastAsia="宋体" w:cs="宋体"/>
          <w:bCs/>
          <w:color w:val="000000"/>
          <w:sz w:val="24"/>
          <w:highlight w:val="none"/>
          <w:lang w:val="en-US" w:eastAsia="zh-CN"/>
        </w:rPr>
        <w:t xml:space="preserve">和</w:t>
      </w:r>
      <w:r>
        <w:rPr>
          <w:rFonts w:hint="eastAsia" w:ascii="宋体" w:hAnsi="宋体" w:eastAsia="宋体" w:cs="宋体"/>
          <w:bCs/>
          <w:color w:val="000000"/>
          <w:sz w:val="24"/>
          <w:highlight w:val="none"/>
        </w:rPr>
        <w:t xml:space="preserve">评标标准”。</w:t>
      </w:r>
      <w:r>
        <w:rPr>
          <w:rFonts w:hint="eastAsia" w:ascii="宋体" w:hAnsi="宋体" w:eastAsia="宋体" w:cs="宋体"/>
          <w:bCs/>
          <w:color w:val="000000"/>
          <w:sz w:val="24"/>
          <w:highlight w:val="none"/>
        </w:rPr>
      </w:r>
      <w:r/>
    </w:p>
    <w:p>
      <w:pPr>
        <w:pStyle w:val="113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highlight w:val="none"/>
        </w:rPr>
      </w:r>
      <w:r/>
    </w:p>
    <w:p>
      <w:pPr>
        <w:pStyle w:val="113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highlight w:val="none"/>
        </w:rPr>
      </w:r>
      <w:r/>
    </w:p>
    <w:p>
      <w:pPr>
        <w:pStyle w:val="1139"/>
        <w:contextualSpacing/>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三、商务要求</w:t>
      </w:r>
      <w:r>
        <w:rPr>
          <w:rFonts w:hint="eastAsia" w:ascii="宋体" w:hAnsi="宋体" w:eastAsia="宋体" w:cs="宋体"/>
          <w:b/>
          <w:sz w:val="24"/>
          <w:highlight w:val="none"/>
        </w:rPr>
      </w:r>
      <w:r/>
    </w:p>
    <w:p>
      <w:pPr>
        <w:pStyle w:val="1139"/>
        <w:contextualSpacing/>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（一）交付（实施）的时间（期限）、地点（范围）和要求</w:t>
      </w:r>
      <w:r>
        <w:rPr>
          <w:rFonts w:hint="eastAsia" w:ascii="宋体" w:hAnsi="宋体" w:eastAsia="宋体" w:cs="宋体"/>
          <w:b/>
          <w:bCs/>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1．交货日期：合同签订后40日内完成供货、安装、调试验收合格并交付使用。</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2．交货地点：采购人指定地点。</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3．交货要求：所提供货物是全新的、未使用过的、原包装未拆封的商品，完全符合采购产品规定的质量、规格和性能的要求，除有特殊要求外，其余均为标准配置要求，否则采购单位有权拒绝验收。 </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人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5．投标人在交付设备的同时向采购人提供货物全套随机资料一套（包括但不限于使用及安装、调试、维护手册等）。根据采购人要求免费提供并安装设备操作及应用软件。</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知识产权：投标人保证所提供货物涉及到的知识产权是合法取得，并享有完整的知识产权，不会因为采购单位的使用而被责令停止使用、追偿或要求赔偿损失，如出现此情况，一切经济和法律责任均由投标人承担。</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8．投标人应保证产品是全新、未使用过的原装合格正品，并完全符合合同规定的质量、规格和性能的要求。投标人应保证其提供的产品在正确安装、正常使用和保养条件下，在其使用寿命内具有良好的性能。产品验收后，在质量保证期内，投标人应对由于设计、工艺或材料的缺陷所发生的任何不足或故障负责，所需费用由投标人承担。</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9．投标人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10．投标人所供产品须为制造商公开发布的量产标准型号，不得为任何形式的定制化、非标准型号（包括但不限于根据项目需求修改硬件配置、软件功能、外观设计等）。</w:t>
      </w:r>
      <w:r>
        <w:rPr>
          <w:rFonts w:hint="eastAsia" w:ascii="宋体" w:hAnsi="宋体" w:eastAsia="宋体" w:cs="宋体"/>
          <w:sz w:val="24"/>
          <w:highlight w:val="none"/>
        </w:rPr>
      </w:r>
      <w:r/>
    </w:p>
    <w:p>
      <w:pPr>
        <w:pStyle w:val="1139"/>
        <w:contextualSpacing/>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（二）付款条件（进度和方式）</w:t>
      </w:r>
      <w:r>
        <w:rPr>
          <w:rFonts w:hint="eastAsia" w:ascii="宋体" w:hAnsi="宋体" w:eastAsia="宋体" w:cs="宋体"/>
          <w:b/>
          <w:bCs/>
          <w:sz w:val="24"/>
          <w:highlight w:val="none"/>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合同签订前，中标供应商以银行基本账户方式支付采购人履约保证金（中标金额的10%），履约保证金在验收合格后正常使用满一年后退还给中标供应商(无息)；如中标供应商不能履约，采购人有权不予退还履约保证金。</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履约保证金汇款信息：</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开户单位：常州大学</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开户行：建行常州市白云支行</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银行账号：32001628036051219286</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备注：“常州大学微纳加工中心气体储存、输运及处理系统采购项目履约保证金” </w:t>
      </w:r>
      <w:r>
        <w:rPr>
          <w:rFonts w:hint="eastAsia" w:ascii="宋体" w:hAnsi="宋体" w:eastAsia="宋体" w:cs="宋体"/>
          <w:color w:val="000000"/>
          <w:sz w:val="24"/>
          <w:highlight w:val="none"/>
          <w:lang w:val="en-US" w:eastAsia="zh-CN"/>
        </w:rPr>
      </w:r>
      <w:r/>
    </w:p>
    <w:p>
      <w:pPr>
        <w:pStyle w:val="1139"/>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2.安装调试验收合格后，中标供应商开具合同总价款100%的增值税专用发票给采购人，采购人凭发票付清设备款项。</w:t>
      </w:r>
      <w:r>
        <w:rPr>
          <w:rFonts w:hint="eastAsia" w:ascii="宋体" w:hAnsi="宋体" w:eastAsia="宋体" w:cs="宋体"/>
          <w:color w:val="000000"/>
          <w:sz w:val="24"/>
          <w:highlight w:val="none"/>
          <w:lang w:val="en-US" w:eastAsia="zh-CN"/>
        </w:rPr>
      </w:r>
      <w:r/>
    </w:p>
    <w:p>
      <w:pPr>
        <w:pStyle w:val="1139"/>
        <w:contextualSpacing/>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（三）包装和运输</w:t>
      </w:r>
      <w:r>
        <w:rPr>
          <w:rFonts w:hint="eastAsia" w:ascii="宋体" w:hAnsi="宋体" w:eastAsia="宋体" w:cs="宋体"/>
          <w:b/>
          <w:bCs/>
          <w:sz w:val="24"/>
          <w:highlight w:val="none"/>
        </w:rPr>
      </w:r>
      <w:r/>
    </w:p>
    <w:p>
      <w:pPr>
        <w:pStyle w:val="1139"/>
        <w:numPr>
          <w:ilvl w:val="0"/>
          <w:numId w:val="0"/>
        </w:numPr>
        <w:contextualSpacing/>
        <w:ind w:left="0" w:firstLine="480"/>
        <w:spacing w:line="400" w:lineRule="exact"/>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必须要求满足《关于印发〈商品包装政府采购需求标准（试行）〉、〈快递包装政府采购需求标准（试行）〉的通知》（财办库﹝2020﹞123号））的规定。</w:t>
      </w:r>
      <w:r>
        <w:rPr>
          <w:rFonts w:hint="eastAsia" w:ascii="宋体" w:hAnsi="宋体" w:eastAsia="宋体" w:cs="宋体"/>
          <w:sz w:val="24"/>
          <w:highlight w:val="none"/>
        </w:rPr>
      </w:r>
      <w:r/>
    </w:p>
    <w:p>
      <w:pPr>
        <w:pStyle w:val="1139"/>
        <w:numPr>
          <w:ilvl w:val="0"/>
          <w:numId w:val="0"/>
        </w:numPr>
        <w:contextualSpacing/>
        <w:ind w:left="0" w:firstLine="480"/>
        <w:spacing w:line="400" w:lineRule="exact"/>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2．</w:t>
      </w:r>
      <w:r>
        <w:rPr>
          <w:rFonts w:hint="eastAsia" w:ascii="宋体" w:hAnsi="宋体" w:eastAsia="宋体" w:cs="宋体"/>
          <w:sz w:val="24"/>
          <w:highlight w:val="none"/>
        </w:rPr>
        <w:t xml:space="preserve">不接受快递物流送货，拒绝拆改。</w:t>
      </w:r>
      <w:r>
        <w:rPr>
          <w:rFonts w:hint="eastAsia" w:ascii="宋体" w:hAnsi="宋体" w:eastAsia="宋体" w:cs="宋体"/>
          <w:sz w:val="24"/>
          <w:highlight w:val="none"/>
        </w:rPr>
      </w:r>
      <w:r/>
    </w:p>
    <w:p>
      <w:pPr>
        <w:pStyle w:val="1139"/>
        <w:numPr>
          <w:ilvl w:val="0"/>
          <w:numId w:val="0"/>
        </w:numPr>
        <w:contextualSpacing/>
        <w:ind w:left="0" w:firstLine="480"/>
        <w:spacing w:line="400" w:lineRule="exact"/>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highlight w:val="none"/>
        </w:rPr>
        <w:t xml:space="preserve">中标供应商提供的全部货物应按国家或专业标准保护措施进行包装，包装应适应于远距离运输、防潮、防震、防锈和防野蛮装卸，以确保货物安全无损运抵指定地点。由于包装不善所引起的货物损失均由中标供应商承担。</w:t>
      </w:r>
      <w:r>
        <w:rPr>
          <w:rFonts w:hint="eastAsia" w:ascii="宋体" w:hAnsi="宋体" w:eastAsia="宋体" w:cs="宋体"/>
          <w:sz w:val="24"/>
          <w:highlight w:val="none"/>
        </w:rPr>
      </w:r>
      <w:r/>
    </w:p>
    <w:p>
      <w:pPr>
        <w:pStyle w:val="1139"/>
        <w:numPr>
          <w:ilvl w:val="0"/>
          <w:numId w:val="0"/>
        </w:numPr>
        <w:contextualSpacing/>
        <w:ind w:left="0" w:firstLine="480"/>
        <w:spacing w:line="400" w:lineRule="exact"/>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4．</w:t>
      </w:r>
      <w:r>
        <w:rPr>
          <w:rFonts w:hint="eastAsia" w:ascii="宋体" w:hAnsi="宋体" w:eastAsia="宋体" w:cs="宋体"/>
          <w:sz w:val="24"/>
          <w:highlight w:val="none"/>
        </w:rPr>
        <w:t xml:space="preserve">每一包装单元内应附详细的装箱单和质量合格凭证。</w:t>
      </w:r>
      <w:r>
        <w:rPr>
          <w:rFonts w:hint="eastAsia" w:ascii="宋体" w:hAnsi="宋体" w:eastAsia="宋体" w:cs="宋体"/>
          <w:sz w:val="24"/>
          <w:highlight w:val="none"/>
        </w:rPr>
      </w:r>
      <w:r/>
    </w:p>
    <w:p>
      <w:pPr>
        <w:pStyle w:val="1139"/>
        <w:numPr>
          <w:ilvl w:val="0"/>
          <w:numId w:val="0"/>
        </w:numPr>
        <w:contextualSpacing/>
        <w:ind w:left="0" w:firstLine="480"/>
        <w:spacing w:line="400" w:lineRule="exact"/>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5．</w:t>
      </w:r>
      <w:r>
        <w:rPr>
          <w:rFonts w:hint="eastAsia" w:ascii="宋体" w:hAnsi="宋体" w:eastAsia="宋体" w:cs="宋体"/>
          <w:sz w:val="24"/>
          <w:highlight w:val="none"/>
        </w:rPr>
        <w:t xml:space="preserve">中标供应商应保证货物不存在危及人身及财产安全的产品缺陷，否则应承担全部法律责任。</w:t>
      </w:r>
      <w:r>
        <w:rPr>
          <w:rFonts w:hint="eastAsia" w:ascii="宋体" w:hAnsi="宋体" w:eastAsia="宋体" w:cs="宋体"/>
          <w:sz w:val="24"/>
          <w:highlight w:val="none"/>
        </w:rPr>
      </w:r>
      <w:r/>
    </w:p>
    <w:p>
      <w:pPr>
        <w:pStyle w:val="1139"/>
        <w:contextualSpacing/>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（四）售后服务（质保期）</w:t>
      </w:r>
      <w:r>
        <w:rPr>
          <w:rFonts w:hint="eastAsia" w:ascii="宋体" w:hAnsi="宋体" w:eastAsia="宋体" w:cs="宋体"/>
          <w:b/>
          <w:bCs/>
          <w:sz w:val="24"/>
          <w:highlight w:val="none"/>
        </w:rPr>
      </w:r>
      <w:r/>
    </w:p>
    <w:p>
      <w:pPr>
        <w:pStyle w:val="1139"/>
        <w:ind w:firstLine="482"/>
        <w:spacing w:line="400" w:lineRule="exact"/>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rPr>
        <w:t xml:space="preserve">★1.免费质保期：所有设备</w:t>
      </w:r>
      <w:r>
        <w:rPr>
          <w:rFonts w:hint="eastAsia" w:ascii="宋体" w:hAnsi="宋体" w:eastAsia="宋体" w:cs="宋体"/>
          <w:b/>
          <w:bCs/>
          <w:color w:val="000000"/>
          <w:sz w:val="24"/>
          <w:highlight w:val="none"/>
          <w:u w:val="single"/>
        </w:rPr>
        <w:t xml:space="preserve">提供不少于3年的原厂免费质保，</w:t>
      </w:r>
      <w:r>
        <w:rPr>
          <w:rFonts w:hint="eastAsia" w:ascii="宋体" w:hAnsi="宋体" w:eastAsia="宋体" w:cs="宋体"/>
          <w:b/>
          <w:bCs/>
          <w:color w:val="000000"/>
          <w:sz w:val="24"/>
          <w:highlight w:val="none"/>
          <w:u w:val="single"/>
          <w:lang w:val="en-US" w:eastAsia="zh-CN"/>
        </w:rPr>
        <w:t xml:space="preserve">质保期内必须免费提供</w:t>
      </w:r>
      <w:r>
        <w:rPr>
          <w:rFonts w:hint="eastAsia" w:ascii="宋体" w:hAnsi="宋体" w:eastAsia="宋体" w:cs="宋体"/>
          <w:b/>
          <w:bCs/>
          <w:color w:val="000000"/>
          <w:sz w:val="24"/>
          <w:highlight w:val="none"/>
          <w:u w:val="single"/>
          <w:lang w:val="en-US" w:eastAsia="zh-CN"/>
        </w:rPr>
        <w:t xml:space="preserve">所有耗材</w:t>
      </w:r>
      <w:r>
        <w:rPr>
          <w:rFonts w:hint="eastAsia" w:ascii="宋体" w:hAnsi="宋体" w:eastAsia="宋体" w:cs="宋体"/>
          <w:b/>
          <w:bCs/>
          <w:color w:val="000000"/>
          <w:sz w:val="24"/>
          <w:highlight w:val="none"/>
          <w:u w:val="single"/>
          <w:lang w:val="en-US" w:eastAsia="zh-CN"/>
        </w:rPr>
        <w:t xml:space="preserve">；</w:t>
      </w:r>
      <w:r>
        <w:rPr>
          <w:rFonts w:hint="eastAsia" w:ascii="宋体" w:hAnsi="宋体" w:eastAsia="宋体" w:cs="宋体"/>
          <w:b/>
          <w:bCs/>
          <w:color w:val="000000"/>
          <w:sz w:val="24"/>
          <w:highlight w:val="none"/>
          <w:u w:val="single"/>
          <w:lang w:val="en-US" w:eastAsia="zh-CN"/>
        </w:rPr>
        <w:t xml:space="preserve">质保期满后，免费提供“气体泄漏侦测及报警系统”所需相关耗材，以满足设备正常运行3年以上；</w:t>
      </w:r>
      <w:r>
        <w:rPr>
          <w:rFonts w:hint="eastAsia" w:ascii="宋体" w:hAnsi="宋体" w:eastAsia="宋体" w:cs="宋体"/>
          <w:b/>
          <w:bCs/>
          <w:color w:val="000000"/>
          <w:sz w:val="24"/>
          <w:highlight w:val="none"/>
          <w:u w:val="single"/>
        </w:rPr>
        <w:t xml:space="preserve">软件终身免费升级。</w:t>
      </w:r>
      <w:r>
        <w:rPr>
          <w:rFonts w:hint="eastAsia" w:ascii="宋体" w:hAnsi="宋体" w:eastAsia="宋体" w:cs="宋体"/>
          <w:b/>
          <w:bCs/>
          <w:color w:val="000000"/>
          <w:sz w:val="24"/>
          <w:highlight w:val="none"/>
          <w:u w:val="single"/>
        </w:rPr>
        <w:t xml:space="preserve">质保期自设备交付并经采购人验收合格后开始计算</w:t>
      </w:r>
      <w:r>
        <w:rPr>
          <w:rFonts w:hint="eastAsia" w:ascii="宋体" w:hAnsi="宋体" w:eastAsia="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rPr>
        <w:t xml:space="preserve">中标供应商应按照国家有关法律法规、“三包”规定以及投标文件中的“售后服务承诺”提供服务。（此项</w:t>
      </w:r>
      <w:r>
        <w:rPr>
          <w:rFonts w:hint="eastAsia" w:ascii="宋体" w:hAnsi="宋体" w:eastAsia="宋体" w:cs="宋体"/>
          <w:b/>
          <w:bCs/>
          <w:color w:val="000000"/>
          <w:sz w:val="24"/>
          <w:highlight w:val="none"/>
          <w:u w:val="single"/>
        </w:rPr>
        <w:t xml:space="preserve">为实质性响应要求，投标供应商须提供承诺函，承诺函格式自拟，并加盖投标供应商公章）</w:t>
      </w:r>
      <w:r>
        <w:rPr>
          <w:rFonts w:hint="eastAsia" w:ascii="宋体" w:hAnsi="宋体" w:eastAsia="宋体" w:cs="宋体"/>
          <w:b/>
          <w:bCs/>
          <w:color w:val="000000"/>
          <w:sz w:val="24"/>
          <w:highlight w:val="none"/>
          <w:u w:val="single"/>
        </w:rPr>
      </w:r>
      <w:r/>
    </w:p>
    <w:p>
      <w:pPr>
        <w:pStyle w:val="1139"/>
        <w:ind w:firstLine="480"/>
        <w:spacing w:line="400" w:lineRule="exact"/>
        <w:rPr>
          <w:rFonts w:hint="eastAsia" w:ascii="宋体" w:hAnsi="宋体" w:eastAsia="宋体" w:cs="宋体"/>
          <w:color w:val="000000"/>
          <w:spacing w:val="2"/>
          <w:sz w:val="24"/>
          <w:highlight w:val="none"/>
        </w:rPr>
      </w:pPr>
      <w:r>
        <w:rPr>
          <w:rFonts w:hint="eastAsia" w:ascii="宋体" w:hAnsi="宋体" w:eastAsia="宋体" w:cs="宋体"/>
          <w:b w:val="0"/>
          <w:bCs w:val="0"/>
          <w:color w:val="000000"/>
          <w:sz w:val="24"/>
          <w:highlight w:val="none"/>
        </w:rPr>
        <w:t xml:space="preserve">2.</w:t>
      </w:r>
      <w:r>
        <w:rPr>
          <w:rFonts w:hint="eastAsia" w:ascii="宋体" w:hAnsi="宋体" w:eastAsia="宋体" w:cs="宋体"/>
          <w:b w:val="0"/>
          <w:bCs w:val="0"/>
          <w:color w:val="000000"/>
          <w:sz w:val="24"/>
          <w:highlight w:val="none"/>
        </w:rPr>
        <w:t xml:space="preserve">质保期</w:t>
      </w:r>
      <w:r>
        <w:rPr>
          <w:rFonts w:hint="eastAsia" w:ascii="宋体" w:hAnsi="宋体" w:eastAsia="宋体" w:cs="宋体"/>
          <w:b w:val="0"/>
          <w:bCs w:val="0"/>
          <w:color w:val="000000"/>
          <w:spacing w:val="2"/>
          <w:sz w:val="24"/>
          <w:highlight w:val="none"/>
        </w:rPr>
        <w:t xml:space="preserve">内，</w:t>
      </w:r>
      <w:r>
        <w:rPr>
          <w:rFonts w:hint="eastAsia" w:ascii="宋体" w:hAnsi="宋体" w:eastAsia="宋体" w:cs="宋体"/>
          <w:b w:val="0"/>
          <w:bCs w:val="0"/>
          <w:color w:val="000000"/>
          <w:sz w:val="24"/>
          <w:highlight w:val="none"/>
        </w:rPr>
        <w:t xml:space="preserve">中标供应商</w:t>
      </w:r>
      <w:r>
        <w:rPr>
          <w:rFonts w:hint="eastAsia" w:ascii="宋体" w:hAnsi="宋体" w:eastAsia="宋体" w:cs="宋体"/>
          <w:b w:val="0"/>
          <w:bCs w:val="0"/>
          <w:color w:val="000000"/>
          <w:spacing w:val="2"/>
          <w:sz w:val="24"/>
          <w:highlight w:val="none"/>
        </w:rPr>
        <w:t xml:space="preserve">应免费提供7×24小时电话服务，在</w:t>
      </w:r>
      <w:r>
        <w:rPr>
          <w:rFonts w:hint="eastAsia" w:ascii="宋体" w:hAnsi="宋体" w:eastAsia="宋体" w:cs="宋体"/>
          <w:color w:val="000000"/>
          <w:spacing w:val="2"/>
          <w:sz w:val="24"/>
          <w:highlight w:val="none"/>
        </w:rPr>
        <w:t xml:space="preserve">质量保证期内，仪器若出现质量问题，在接到用户通知后2小时内响应；一般问题在到达现场后的24小时内解决，重大问题或</w:t>
      </w:r>
      <w:r>
        <w:rPr>
          <w:rFonts w:hint="eastAsia" w:ascii="宋体" w:hAnsi="宋体" w:eastAsia="宋体" w:cs="宋体"/>
          <w:color w:val="000000"/>
          <w:spacing w:val="2"/>
          <w:sz w:val="24"/>
          <w:highlight w:val="none"/>
          <w:lang w:eastAsia="zh-CN"/>
        </w:rPr>
        <w:t xml:space="preserve">其他</w:t>
      </w:r>
      <w:r>
        <w:rPr>
          <w:rFonts w:hint="eastAsia" w:ascii="宋体" w:hAnsi="宋体" w:eastAsia="宋体" w:cs="宋体"/>
          <w:color w:val="000000"/>
          <w:spacing w:val="2"/>
          <w:sz w:val="24"/>
          <w:highlight w:val="none"/>
        </w:rPr>
        <w:t xml:space="preserve">无法迅速解决的问题在一周内解决或提出明确解决方案，不能排除故障的，须提供备用品，不影响采购人正常使用。保修期内技术人员前往采购人所在地进行维修时所产生的一切费用由</w:t>
      </w:r>
      <w:r>
        <w:rPr>
          <w:rFonts w:hint="eastAsia" w:ascii="宋体" w:hAnsi="宋体" w:eastAsia="宋体" w:cs="宋体"/>
          <w:color w:val="000000"/>
          <w:sz w:val="24"/>
          <w:highlight w:val="none"/>
        </w:rPr>
        <w:t xml:space="preserve">中标</w:t>
      </w:r>
      <w:r>
        <w:rPr>
          <w:rFonts w:hint="eastAsia" w:ascii="宋体" w:hAnsi="宋体" w:eastAsia="宋体" w:cs="宋体"/>
          <w:color w:val="000000"/>
          <w:spacing w:val="2"/>
          <w:sz w:val="24"/>
          <w:highlight w:val="none"/>
        </w:rPr>
        <w:t xml:space="preserve">供应商自行负担。</w:t>
      </w:r>
      <w:r>
        <w:rPr>
          <w:rFonts w:hint="eastAsia" w:ascii="宋体" w:hAnsi="宋体" w:eastAsia="宋体" w:cs="宋体"/>
          <w:color w:val="000000"/>
          <w:spacing w:val="2"/>
          <w:sz w:val="24"/>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在使用过程中有权继续对设备质量进行检验和检测，如发现货物有不符合验收标准的情形，中标供应商应免费负责更换或维修，并再次进行免费安装、调试，最终保证设备正常运行。若设备在交货地多次检修后，仍无法达到采购人的正常运行要求，成交供应商需退回该设备的全部款项，并自行组织设备退回厂家，所产生的一切费用和违约责任由中标供应商承担。</w:t>
      </w:r>
      <w:r>
        <w:rPr>
          <w:rFonts w:hint="eastAsia" w:ascii="宋体" w:hAnsi="宋体" w:eastAsia="宋体" w:cs="宋体"/>
          <w:color w:val="000000"/>
          <w:sz w:val="24"/>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4.质保期结束，中标供应商对于设备维修不收取工时费。</w:t>
      </w:r>
      <w:r>
        <w:rPr>
          <w:rFonts w:hint="eastAsia" w:ascii="宋体" w:hAnsi="宋体" w:eastAsia="宋体" w:cs="宋体"/>
          <w:color w:val="000000"/>
          <w:sz w:val="24"/>
          <w:highlight w:val="none"/>
        </w:rPr>
      </w:r>
      <w:r/>
    </w:p>
    <w:p>
      <w:pPr>
        <w:pStyle w:val="1139"/>
        <w:ind w:firstLine="480"/>
        <w:spacing w:line="40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5.质保期结束，不能视为中标供应商对设备中存在的可能引起设备损坏的潜在缺陷所应负责任的解除。潜在缺陷指设备在制造过程中未被发现的隐患，中标供应商对纠正潜在缺陷应负责任，其时间应延续至质保期终止后贰年。当发现这类潜在</w:t>
      </w:r>
      <w:r>
        <w:rPr>
          <w:rFonts w:hint="eastAsia" w:ascii="宋体" w:hAnsi="宋体" w:eastAsia="宋体" w:cs="宋体"/>
          <w:sz w:val="24"/>
          <w:highlight w:val="none"/>
        </w:rPr>
        <w:t xml:space="preserve">缺陷时（经双方确认），中标供应商应立即予以无偿修复或更换。</w:t>
      </w:r>
      <w:r>
        <w:rPr>
          <w:rFonts w:hint="eastAsia" w:ascii="宋体" w:hAnsi="宋体" w:eastAsia="宋体" w:cs="宋体"/>
          <w:sz w:val="24"/>
          <w:highlight w:val="none"/>
        </w:rPr>
      </w:r>
      <w:r/>
    </w:p>
    <w:p>
      <w:pPr>
        <w:pStyle w:val="1139"/>
        <w:ind w:firstLine="480"/>
        <w:spacing w:line="400" w:lineRule="exact"/>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6.因中标供应商所提供的设备造成采购人设备损坏或其他损失，以及其他第三方损失的，一经核实，中标供应商必须赔偿采购人或第三方因此造成的所有损失。</w:t>
      </w:r>
      <w:r>
        <w:rPr>
          <w:rFonts w:hint="eastAsia" w:ascii="宋体" w:hAnsi="宋体" w:eastAsia="宋体" w:cs="宋体"/>
          <w:b/>
          <w:bCs/>
          <w:sz w:val="24"/>
          <w:highlight w:val="none"/>
        </w:rPr>
      </w:r>
      <w:r/>
    </w:p>
    <w:p>
      <w:pPr>
        <w:pStyle w:val="1139"/>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（五）培训要求</w:t>
      </w:r>
      <w:r>
        <w:rPr>
          <w:rFonts w:hint="eastAsia" w:ascii="宋体" w:hAnsi="宋体" w:eastAsia="宋体" w:cs="宋体"/>
          <w:b/>
          <w:sz w:val="24"/>
          <w:highlight w:val="none"/>
        </w:rPr>
      </w:r>
      <w:r/>
    </w:p>
    <w:p>
      <w:pPr>
        <w:pStyle w:val="1139"/>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中标供应商</w:t>
      </w:r>
      <w:r>
        <w:rPr>
          <w:rFonts w:hint="eastAsia" w:ascii="宋体" w:hAnsi="宋体" w:eastAsia="宋体" w:cs="宋体"/>
          <w:sz w:val="24"/>
          <w:highlight w:val="none"/>
        </w:rPr>
        <w:t xml:space="preserve">负责对采购方技术人员进行培训，并派遣具有相应资质和经验的专业技术人员到采购方进行授课讲解。培训内容包括设备的系统组成、运行原理、使用方法、操作流程以及常见故障的检查与排除，使操作人员全面了解设备性能，熟练掌握设备的操作与维护保养要求。培训应结合项目实际情况，在项目现场进行实地讲解与操作实习。如采购方因工作需要或人员变更需增加或更换受训人员，</w:t>
      </w:r>
      <w:r>
        <w:rPr>
          <w:rFonts w:hint="eastAsia" w:ascii="宋体" w:hAnsi="宋体" w:eastAsia="宋体" w:cs="宋体"/>
          <w:sz w:val="24"/>
          <w:highlight w:val="none"/>
        </w:rPr>
        <w:t xml:space="preserve">中标供应商</w:t>
      </w:r>
      <w:r>
        <w:rPr>
          <w:rFonts w:hint="eastAsia" w:ascii="宋体" w:hAnsi="宋体" w:eastAsia="宋体" w:cs="宋体"/>
          <w:sz w:val="24"/>
          <w:highlight w:val="none"/>
        </w:rPr>
        <w:t xml:space="preserve">应配合安排补充培训，确保相关人员能够熟练掌握设备的操作与维护。</w:t>
      </w:r>
      <w:r>
        <w:rPr>
          <w:rFonts w:hint="eastAsia" w:ascii="宋体" w:hAnsi="宋体" w:eastAsia="宋体" w:cs="宋体"/>
          <w:sz w:val="24"/>
          <w:highlight w:val="none"/>
        </w:rPr>
      </w:r>
      <w:r/>
    </w:p>
    <w:p>
      <w:pPr>
        <w:pStyle w:val="1139"/>
        <w:ind w:firstLine="482"/>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（六）安全要求</w:t>
      </w:r>
      <w:r>
        <w:rPr>
          <w:rFonts w:hint="eastAsia" w:ascii="宋体" w:hAnsi="宋体" w:eastAsia="宋体" w:cs="宋体"/>
          <w:b/>
          <w:bCs/>
          <w:sz w:val="24"/>
          <w:highlight w:val="none"/>
        </w:rPr>
      </w:r>
      <w:r/>
    </w:p>
    <w:p>
      <w:pPr>
        <w:pStyle w:val="1139"/>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1.中标供应商应保证设备及系统不存在危及人身及财产安全的产品缺陷，否则应承担全部法律责任。</w:t>
      </w:r>
      <w:r>
        <w:rPr>
          <w:rFonts w:hint="eastAsia" w:ascii="宋体" w:hAnsi="宋体" w:eastAsia="宋体" w:cs="宋体"/>
          <w:sz w:val="24"/>
          <w:highlight w:val="none"/>
        </w:rPr>
      </w:r>
      <w:r/>
    </w:p>
    <w:p>
      <w:pPr>
        <w:pStyle w:val="1139"/>
        <w:ind w:firstLine="480"/>
        <w:keepLines w:val="0"/>
        <w:keepNext w:val="0"/>
        <w:pageBreakBefore w:val="0"/>
        <w:spacing w:line="400" w:lineRule="exact"/>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2.在货物安装、运输过程中产生的一切安全责任事故由中标供应商承担，采购人不承担由此带来的一切经济、法律责任。</w:t>
      </w:r>
      <w:r>
        <w:rPr>
          <w:rFonts w:hint="eastAsia" w:ascii="宋体" w:hAnsi="宋体" w:eastAsia="宋体" w:cs="宋体"/>
          <w:b/>
          <w:sz w:val="24"/>
          <w:highlight w:val="none"/>
        </w:rPr>
      </w:r>
      <w:r/>
    </w:p>
    <w:p>
      <w:pPr>
        <w:pStyle w:val="1139"/>
        <w:ind w:firstLine="482"/>
        <w:keepLines w:val="0"/>
        <w:keepNext w:val="0"/>
        <w:pageBreakBefore w:val="0"/>
        <w:spacing w:line="40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四、技术要求</w:t>
      </w:r>
      <w:r>
        <w:rPr>
          <w:rFonts w:hint="eastAsia" w:ascii="宋体" w:hAnsi="宋体" w:eastAsia="宋体" w:cs="宋体"/>
          <w:b/>
          <w:sz w:val="24"/>
          <w:highlight w:val="none"/>
        </w:rPr>
      </w:r>
      <w:r/>
    </w:p>
    <w:p>
      <w:pPr>
        <w:pStyle w:val="1139"/>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（一）项目清单</w:t>
      </w:r>
      <w:r>
        <w:rPr>
          <w:rFonts w:hint="eastAsia" w:ascii="宋体" w:hAnsi="宋体" w:eastAsia="宋体" w:cs="宋体"/>
          <w:b/>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4407"/>
        <w:gridCol w:w="1607"/>
        <w:gridCol w:w="2326"/>
      </w:tblGrid>
      <w:tr>
        <w:trPr>
          <w:trHeight w:val="283"/>
        </w:trPr>
        <w:tc>
          <w:tcPr>
            <w:tcW w:w="509"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W w:w="2372"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W w:w="865"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tcW w:w="1252"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单位</w:t>
            </w:r>
            <w:r>
              <w:rPr>
                <w:rFonts w:hint="eastAsia" w:ascii="宋体" w:hAnsi="宋体" w:eastAsia="宋体" w:cs="宋体"/>
                <w:b/>
                <w:bCs/>
                <w:sz w:val="24"/>
                <w:highlight w:val="none"/>
              </w:rPr>
            </w:r>
            <w:r/>
          </w:p>
        </w:tc>
      </w:tr>
      <w:tr>
        <w:trPr>
          <w:trHeight w:val="283"/>
        </w:trPr>
        <w:tc>
          <w:tcPr>
            <w:tcW w:w="509"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37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b/>
                <w:bCs/>
                <w:sz w:val="24"/>
                <w:highlight w:val="none"/>
              </w:rPr>
              <w:t xml:space="preserve">气体设备（核心产品）</w:t>
            </w:r>
            <w:r>
              <w:rPr>
                <w:rFonts w:hint="eastAsia" w:ascii="宋体" w:hAnsi="宋体" w:eastAsia="宋体" w:cs="宋体"/>
                <w:sz w:val="24"/>
                <w:highlight w:val="none"/>
              </w:rPr>
            </w:r>
            <w:r/>
          </w:p>
        </w:tc>
        <w:tc>
          <w:tcPr>
            <w:tcW w:w="86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r>
        <w:trPr>
          <w:trHeight w:val="283"/>
        </w:trPr>
        <w:tc>
          <w:tcPr>
            <w:tcW w:w="509"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37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气体管道输运系统</w:t>
            </w:r>
            <w:r>
              <w:rPr>
                <w:rFonts w:hint="eastAsia" w:ascii="宋体" w:hAnsi="宋体" w:eastAsia="宋体" w:cs="宋体"/>
                <w:sz w:val="24"/>
                <w:highlight w:val="none"/>
              </w:rPr>
            </w:r>
            <w:r/>
          </w:p>
        </w:tc>
        <w:tc>
          <w:tcPr>
            <w:tcW w:w="86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r>
        <w:trPr>
          <w:trHeight w:val="283"/>
        </w:trPr>
        <w:tc>
          <w:tcPr>
            <w:tcW w:w="509"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37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尾气输运与处理系统</w:t>
            </w:r>
            <w:r>
              <w:rPr>
                <w:rFonts w:hint="eastAsia" w:ascii="宋体" w:hAnsi="宋体" w:eastAsia="宋体" w:cs="宋体"/>
                <w:sz w:val="24"/>
                <w:highlight w:val="none"/>
              </w:rPr>
            </w:r>
            <w:r/>
          </w:p>
        </w:tc>
        <w:tc>
          <w:tcPr>
            <w:tcW w:w="86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r>
        <w:trPr>
          <w:trHeight w:val="283"/>
        </w:trPr>
        <w:tc>
          <w:tcPr>
            <w:tcW w:w="509"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37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气体泄漏侦测及报警系统</w:t>
            </w:r>
            <w:r>
              <w:rPr>
                <w:rFonts w:hint="eastAsia" w:ascii="宋体" w:hAnsi="宋体" w:eastAsia="宋体" w:cs="宋体"/>
                <w:sz w:val="24"/>
                <w:highlight w:val="none"/>
              </w:rPr>
            </w:r>
            <w:r/>
          </w:p>
        </w:tc>
        <w:tc>
          <w:tcPr>
            <w:tcW w:w="86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bl>
    <w:p>
      <w:pPr>
        <w:pStyle w:val="1139"/>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注：详细的配件清单见附件1，图纸见附件2，除清单与图纸规定气路外，还需要分别预留2路N</w:t>
      </w:r>
      <w:r>
        <w:rPr>
          <w:rFonts w:hint="eastAsia" w:ascii="宋体" w:hAnsi="宋体" w:eastAsia="宋体" w:cs="宋体"/>
          <w:b/>
          <w:bCs/>
          <w:sz w:val="24"/>
          <w:highlight w:val="none"/>
          <w:vertAlign w:val="subscript"/>
        </w:rPr>
        <w:t xml:space="preserve">2</w:t>
      </w:r>
      <w:r>
        <w:rPr>
          <w:rFonts w:hint="eastAsia" w:ascii="宋体" w:hAnsi="宋体" w:eastAsia="宋体" w:cs="宋体"/>
          <w:b/>
          <w:bCs/>
          <w:sz w:val="24"/>
          <w:highlight w:val="none"/>
        </w:rPr>
        <w:t xml:space="preserve">、Ar、O</w:t>
      </w:r>
      <w:r>
        <w:rPr>
          <w:rFonts w:hint="eastAsia" w:ascii="宋体" w:hAnsi="宋体" w:eastAsia="宋体" w:cs="宋体"/>
          <w:b/>
          <w:bCs/>
          <w:sz w:val="24"/>
          <w:highlight w:val="none"/>
          <w:vertAlign w:val="subscript"/>
        </w:rPr>
        <w:t xml:space="preserve">2</w:t>
      </w:r>
      <w:r>
        <w:rPr>
          <w:rFonts w:hint="eastAsia" w:ascii="宋体" w:hAnsi="宋体" w:eastAsia="宋体" w:cs="宋体"/>
          <w:b/>
          <w:bCs/>
          <w:sz w:val="24"/>
          <w:highlight w:val="none"/>
        </w:rPr>
        <w:t xml:space="preserve">（即6个）出气头，视现场安装情况，再行确定位置。</w:t>
      </w:r>
      <w:r>
        <w:rPr>
          <w:rFonts w:hint="eastAsia" w:ascii="宋体" w:hAnsi="宋体" w:eastAsia="宋体" w:cs="宋体"/>
          <w:b/>
          <w:bCs/>
          <w:sz w:val="24"/>
          <w:highlight w:val="none"/>
        </w:rPr>
      </w:r>
      <w:r/>
    </w:p>
    <w:p>
      <w:pPr>
        <w:pStyle w:val="1139"/>
        <w:ind w:firstLine="482"/>
        <w:spacing w:line="400" w:lineRule="exact"/>
        <w:rPr>
          <w:rFonts w:hint="eastAsia" w:ascii="宋体" w:hAnsi="宋体" w:eastAsia="宋体" w:cs="宋体"/>
          <w:b/>
          <w:sz w:val="24"/>
          <w:highlight w:val="none"/>
        </w:rPr>
        <w:outlineLvl w:val="0"/>
      </w:pPr>
      <w:r/>
      <w:bookmarkStart w:id="386" w:name="_Toc18456"/>
      <w:r>
        <w:rPr>
          <w:rFonts w:hint="eastAsia" w:ascii="宋体" w:hAnsi="宋体" w:eastAsia="宋体" w:cs="宋体"/>
          <w:b/>
          <w:sz w:val="24"/>
          <w:highlight w:val="none"/>
        </w:rPr>
        <w:t xml:space="preserve">（二）技术参数及功能要求</w:t>
      </w:r>
      <w:bookmarkEnd w:id="386"/>
      <w:r>
        <w:rPr>
          <w:rFonts w:hint="eastAsia" w:ascii="宋体" w:hAnsi="宋体" w:eastAsia="宋体" w:cs="宋体"/>
          <w:b/>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763"/>
        <w:gridCol w:w="1153"/>
        <w:gridCol w:w="6679"/>
      </w:tblGrid>
      <w:tr>
        <w:trPr>
          <w:trHeight w:val="283"/>
          <w:tblHeader/>
        </w:trPr>
        <w:tc>
          <w:tcPr>
            <w:tcW w:w="370"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41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gridSpan w:val="2"/>
            <w:tcW w:w="7832"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技术参数及功能要求</w:t>
            </w:r>
            <w:r>
              <w:rPr>
                <w:rFonts w:hint="eastAsia" w:ascii="宋体" w:hAnsi="宋体" w:eastAsia="宋体" w:cs="宋体"/>
                <w:b/>
                <w:bCs/>
                <w:color w:val="000000"/>
                <w:sz w:val="21"/>
                <w:szCs w:val="21"/>
                <w:highlight w:val="none"/>
              </w:rPr>
            </w:r>
            <w:r/>
          </w:p>
        </w:tc>
      </w:tr>
      <w:tr>
        <w:trPr>
          <w:trHeight w:val="283"/>
        </w:trPr>
        <w:tc>
          <w:tcPr>
            <w:tcW w:w="370"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r>
            <w:r/>
          </w:p>
        </w:tc>
        <w:tc>
          <w:tcPr>
            <w:tcW w:w="41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气体设备</w:t>
            </w:r>
            <w:r>
              <w:rPr>
                <w:rFonts w:hint="eastAsia" w:ascii="宋体" w:hAnsi="宋体" w:eastAsia="宋体" w:cs="宋体"/>
                <w:b w:val="0"/>
                <w:bCs w:val="0"/>
                <w:color w:val="000000"/>
                <w:sz w:val="21"/>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硅烷（SiH</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）及氨气（NH</w:t>
            </w:r>
            <w:r>
              <w:rPr>
                <w:rFonts w:hint="eastAsia" w:ascii="宋体" w:hAnsi="宋体" w:eastAsia="宋体" w:cs="宋体"/>
                <w:b w:val="0"/>
                <w:bCs w:val="0"/>
                <w:color w:val="000000"/>
                <w:sz w:val="21"/>
                <w:szCs w:val="21"/>
                <w:highlight w:val="none"/>
                <w:vertAlign w:val="subscript"/>
              </w:rPr>
              <w:t xml:space="preserve">3</w:t>
            </w:r>
            <w:r>
              <w:rPr>
                <w:rFonts w:hint="eastAsia" w:ascii="宋体" w:hAnsi="宋体" w:eastAsia="宋体" w:cs="宋体"/>
                <w:b w:val="0"/>
                <w:bCs w:val="0"/>
                <w:color w:val="000000"/>
                <w:sz w:val="21"/>
                <w:szCs w:val="21"/>
                <w:highlight w:val="none"/>
              </w:rPr>
              <w:t xml:space="preserve">）特气柜</w:t>
            </w:r>
            <w:r>
              <w:rPr>
                <w:rFonts w:hint="eastAsia" w:ascii="宋体" w:hAnsi="宋体" w:eastAsia="宋体" w:cs="宋体"/>
                <w:b w:val="0"/>
                <w:bCs w:val="0"/>
                <w:color w:val="000000"/>
                <w:sz w:val="21"/>
                <w:szCs w:val="21"/>
                <w:highlight w:val="none"/>
              </w:rPr>
            </w:r>
            <w:r/>
          </w:p>
        </w:tc>
        <w:tc>
          <w:tcPr>
            <w:tcW w:w="3597" w:type="dxa"/>
            <w:vAlign w:val="center"/>
            <w:textDirection w:val="lrTb"/>
            <w:noWrap w:val="false"/>
          </w:tcPr>
          <w:p>
            <w:pPr>
              <w:pStyle w:val="1139"/>
              <w:numPr>
                <w:ilvl w:val="0"/>
                <w:numId w:val="0"/>
              </w:numPr>
              <w:jc w:val="both"/>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柜体应采用厚度不小于2.5mm的优质钢板制造，表面涂覆耐腐蚀环氧涂层；柜体整体结构及内衬材料均应为难燃或不燃材料。柜体底板应具备防滑、防磨损及足够的机械强度，满足钢瓶更换及长期运行要求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满足单瓶47L要求</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投标文件中提供厂家技术说明书扫描件并加盖投标人公章）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r>
            <w:r/>
          </w:p>
          <w:p>
            <w:pPr>
              <w:pStyle w:val="1139"/>
              <w:numPr>
                <w:ilvl w:val="0"/>
                <w:numId w:val="0"/>
              </w:numPr>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气柜门体、管线路径通道、观察窗及所有穿孔部位均应设置耐化学性能良好的密封结构，确保柜体在正常及异常工况下均可维持微负压运行状态，防止气体外溢。</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（3）气柜进风口应配置可更换式防尘过滤装置，并具备风量或压差异常报警功能；当排风条件不满足设计要求时，系统应联锁限制供气或执行安全保护动作。</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ascii="Times New Roman" w:hAnsi="Times New Roman" w:eastAsia="宋体" w:cs="Times New Roman"/>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（4）气柜外部应清晰标示所供应气体名称、主要危险特性及相应的安全警示标识；柜体内部所有管路、阀件及功能区域应采用统一、清晰的标识方式，明确区分供气、吹扫及排气用途。</w:t>
            </w:r>
            <w:r>
              <w:rPr>
                <w:rFonts w:ascii="Times New Roman" w:hAnsi="Times New Roman" w:eastAsia="宋体" w:cs="Times New Roman"/>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（5）操作观察窗口应采用</w:t>
            </w:r>
            <w:r>
              <w:rPr>
                <w:rFonts w:ascii="Times New Roman" w:hAnsi="Times New Roman" w:cs="Times New Roman"/>
                <w:b/>
                <w:bCs/>
                <w:szCs w:val="21"/>
                <w:highlight w:val="none"/>
              </w:rPr>
              <w:t xml:space="preserve">金属丝加固</w:t>
            </w:r>
            <w:r>
              <w:rPr>
                <w:rFonts w:ascii="Times New Roman" w:hAnsi="Times New Roman" w:cs="Times New Roman"/>
                <w:b/>
                <w:bCs/>
                <w:szCs w:val="21"/>
                <w:highlight w:val="none"/>
                <w:lang w:val="en-US" w:eastAsia="zh-CN"/>
              </w:rPr>
              <w:t xml:space="preserve">的</w:t>
            </w:r>
            <w:r>
              <w:rPr>
                <w:rFonts w:ascii="Times New Roman" w:hAnsi="Times New Roman" w:eastAsia="宋体" w:cs="Times New Roman"/>
                <w:b w:val="0"/>
                <w:bCs w:val="0"/>
                <w:color w:val="000000"/>
                <w:sz w:val="21"/>
                <w:szCs w:val="21"/>
                <w:highlight w:val="none"/>
              </w:rPr>
              <w:t xml:space="preserve">夹胶钢化安全玻璃</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厚度不小于 6 mm</w:t>
            </w:r>
            <w:r>
              <w:rPr>
                <w:rFonts w:ascii="Times New Roman" w:hAnsi="Times New Roman" w:eastAsia="宋体" w:cs="Times New Roman"/>
                <w:b w:val="0"/>
                <w:bCs w:val="0"/>
                <w:color w:val="000000"/>
                <w:sz w:val="21"/>
                <w:szCs w:val="21"/>
                <w:highlight w:val="none"/>
              </w:rPr>
              <w:t xml:space="preserve">或等效耐冲击</w:t>
            </w:r>
            <w:r>
              <w:rPr>
                <w:rFonts w:hint="eastAsia" w:ascii="宋体" w:hAnsi="宋体" w:eastAsia="宋体" w:cs="宋体"/>
                <w:b w:val="0"/>
                <w:bCs w:val="0"/>
                <w:color w:val="000000"/>
                <w:sz w:val="21"/>
                <w:szCs w:val="21"/>
                <w:highlight w:val="none"/>
              </w:rPr>
              <w:t xml:space="preserve">、耐火材料，满足防火、防爆碎裂及长期使用安全要求。</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▲（6）气柜内所有安全装置及与控制系统连接的控制器、触摸屏应具备失效安全（Fail Safe）设计，并通过联锁逻辑确保在断电、通讯异常或系统故障情况下自动进入安全状态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其中控制级响应时间小于 500 ms，阀门到位关闭时间小于1s</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（7）气柜控制系统应设置不少于两级用户权限管理，包括操作权限与参数修改权限，防止未经授权的误操作。</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（8）气柜内钢瓶托架及钢瓶称重系统应具备一定范围内的高度及位置调节能力，以适配不同规格钢瓶的安装与使用。</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（9）气柜盘面在吹扫管路及各终端工艺出口前，应分别设置手动隔离阀门，用于维护、检修及紧急情况下的人工隔离。</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▲（10）液态</w:t>
            </w:r>
            <w:r>
              <w:rPr>
                <w:rFonts w:hint="eastAsia" w:ascii="宋体" w:hAnsi="宋体" w:eastAsia="宋体" w:cs="宋体"/>
                <w:b/>
                <w:bCs/>
                <w:color w:val="000000"/>
                <w:sz w:val="21"/>
                <w:szCs w:val="21"/>
                <w:highlight w:val="none"/>
                <w:lang w:val="en-US" w:eastAsia="zh-CN"/>
              </w:rPr>
              <w:t xml:space="preserve">氨气</w:t>
            </w:r>
            <w:r>
              <w:rPr>
                <w:rFonts w:hint="eastAsia" w:ascii="宋体" w:hAnsi="宋体" w:eastAsia="宋体" w:cs="宋体"/>
                <w:b/>
                <w:bCs/>
                <w:color w:val="000000"/>
                <w:sz w:val="21"/>
                <w:szCs w:val="21"/>
                <w:highlight w:val="none"/>
              </w:rPr>
              <w:t xml:space="preserve">钢瓶应配备钢瓶称重系统及相应的保温、伴热与加热</w:t>
            </w:r>
            <w:r>
              <w:rPr>
                <w:rFonts w:hint="eastAsia" w:ascii="宋体" w:hAnsi="宋体" w:eastAsia="宋体" w:cs="宋体"/>
                <w:b/>
                <w:bCs/>
                <w:color w:val="000000"/>
                <w:sz w:val="21"/>
                <w:szCs w:val="21"/>
                <w:highlight w:val="none"/>
                <w:lang w:val="en-US" w:eastAsia="zh-CN"/>
              </w:rPr>
              <w:t xml:space="preserve">及管道伴热</w:t>
            </w:r>
            <w:r>
              <w:rPr>
                <w:rFonts w:hint="eastAsia" w:ascii="宋体" w:hAnsi="宋体" w:eastAsia="宋体" w:cs="宋体"/>
                <w:b/>
                <w:bCs/>
                <w:color w:val="000000"/>
                <w:sz w:val="21"/>
                <w:szCs w:val="21"/>
                <w:highlight w:val="none"/>
              </w:rPr>
              <w:t xml:space="preserve">功能，并配置独立温度控制、过温保护及故障报警联锁，确保液相供气过程安全可控。</w:t>
            </w:r>
            <w:r>
              <w:rPr>
                <w:rFonts w:hint="eastAsia" w:ascii="宋体" w:hAnsi="宋体" w:eastAsia="宋体" w:cs="宋体"/>
                <w:b/>
                <w:bCs/>
                <w:color w:val="000000"/>
                <w:sz w:val="21"/>
                <w:szCs w:val="21"/>
                <w:highlight w:val="none"/>
                <w:lang w:val="en-US" w:eastAsia="zh-CN"/>
              </w:rPr>
              <w:t xml:space="preserve">氨气钢瓶需要配备雾状水喷淋系统（</w:t>
            </w:r>
            <w:r>
              <w:rPr>
                <w:rFonts w:hint="eastAsia" w:ascii="宋体" w:hAnsi="宋体" w:eastAsia="宋体" w:cs="宋体"/>
                <w:b/>
                <w:bCs/>
                <w:color w:val="000000"/>
                <w:highlight w:val="none"/>
                <w:lang w:val="en-US" w:eastAsia="zh-CN"/>
              </w:rPr>
              <w:t xml:space="preserve">投标文件中提供厂家技术说明书扫描件并加盖投标人公章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（11）气柜内部电气接线应采用端子连接方式，不得采用焊锡直接连接，以保证长期运行的可靠性与可维护性。</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（12）气柜排风接口直径不小于6英寸，并满足系统设计排风量及负压运行要求。</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（13）气柜盘面排气管路应保持微量高纯氮气连续正向吹扫，用于降低残留气体积聚及回扩风险。</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14）硅烷气柜应配置火焰（UV/IR）及烟雾探测装置，相关信号应接入特气柜控制系统；当发生火灾或异常反应时，应联锁执行气源切断、惰性气体吹扫及排风维持等安全动作。配置七氟丙烷灭火系统，其动作逻辑应与上述安全联锁协调</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highlight w:val="none"/>
                <w:lang w:val="en-US" w:eastAsia="zh-CN"/>
              </w:rPr>
              <w:t xml:space="preserve">投标文件中提供厂家技术说明书扫描件并加盖投标人公章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（15）硅烷气柜应具备钢瓶安装完成后的自动气密性测试功能，测试介质应为惰性气体；测试过程应与排风、门禁及下游隔离联锁，异常自动中止并报警。</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（16）气瓶柜或气瓶架中，钢瓶接头附近管线应设置垫片式过滤器，用于去除更换钢瓶过程中可能产生的颗粒；各工艺管线出口处应设置后段过滤器，以保护下游设备。</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（17）气柜应完成完整功能测试，并采用氦质谱检漏方式进行气密性验证，系统整体检漏率不应大于</w:t>
            </w:r>
            <w:r>
              <w:rPr>
                <w:rFonts w:hint="eastAsia" w:ascii="宋体" w:hAnsi="宋体" w:eastAsia="宋体" w:cs="宋体"/>
                <w:b w:val="0"/>
                <w:bCs w:val="0"/>
                <w:color w:val="000000"/>
                <w:sz w:val="21"/>
                <w:szCs w:val="21"/>
                <w:highlight w:val="none"/>
                <w:lang w:val="en-US" w:eastAsia="zh-CN"/>
              </w:rPr>
              <w:t xml:space="preserve">1</w:t>
            </w:r>
            <w:r>
              <w:rPr>
                <w:rFonts w:ascii="Arial" w:hAnsi="Arial" w:eastAsia="宋体" w:cs="Arial"/>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vertAlign w:val="superscript"/>
                <w:lang w:val="en-US" w:eastAsia="zh-CN"/>
              </w:rPr>
              <w:t xml:space="preserve">-9</w:t>
            </w:r>
            <w:r>
              <w:rPr>
                <w:rFonts w:hint="eastAsia" w:ascii="宋体" w:hAnsi="宋体" w:eastAsia="宋体" w:cs="宋体"/>
                <w:b w:val="0"/>
                <w:bCs w:val="0"/>
                <w:color w:val="000000"/>
                <w:szCs w:val="21"/>
                <w:highlight w:val="none"/>
              </w:rPr>
              <w:t xml:space="preserve">标准大气立方厘米每秒。</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（18）触摸屏应能够实时显示钢瓶压力、重量变化、泄漏状态、报警信息及系统运行状态。并提供楼控系统远程采集对接模块便于远程监控。</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（19）柜体应采用微负压通风设计，进风口具备风量调节能力，柜体顶部设置排风口，并与排风系统形成联锁关系。紧急情况时可同时发出声光报警，联动切断气源阀门，联动强启排风系统。</w:t>
            </w:r>
            <w:r>
              <w:rPr>
                <w:rFonts w:hint="eastAsia" w:ascii="宋体" w:hAnsi="宋体" w:eastAsia="宋体" w:cs="宋体"/>
                <w:b w:val="0"/>
                <w:bCs w:val="0"/>
                <w:color w:val="000000"/>
                <w:sz w:val="21"/>
                <w:szCs w:val="21"/>
                <w:highlight w:val="none"/>
              </w:rPr>
            </w:r>
            <w:r/>
          </w:p>
          <w:p>
            <w:pPr>
              <w:pStyle w:val="1139"/>
              <w:ind w:firstLine="0"/>
              <w:jc w:val="both"/>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none"/>
                <w:lang w:val="en-US" w:eastAsia="zh-CN"/>
              </w:rPr>
              <w:t xml:space="preserve">（20）气柜应取得半导体设备安全规范SEMI-S2认证（</w:t>
            </w:r>
            <w:r>
              <w:rPr>
                <w:rFonts w:hint="eastAsia" w:ascii="宋体" w:hAnsi="宋体" w:eastAsia="宋体" w:cs="宋体"/>
                <w:b/>
                <w:bCs/>
                <w:color w:val="000000"/>
                <w:sz w:val="21"/>
                <w:szCs w:val="21"/>
                <w:highlight w:val="none"/>
                <w:u w:val="none"/>
                <w:lang w:val="en-US" w:eastAsia="zh-CN"/>
              </w:rPr>
              <w:t xml:space="preserve">投标文件中提供证书扫描件加盖投标人公章</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bCs/>
                <w:color w:val="000000"/>
                <w:sz w:val="21"/>
                <w:szCs w:val="21"/>
                <w:highlight w:val="none"/>
                <w:u w:val="none"/>
                <w:lang w:val="en-US" w:eastAsia="zh-CN"/>
              </w:rPr>
            </w:r>
            <w:r/>
          </w:p>
          <w:p>
            <w:pPr>
              <w:pStyle w:val="1139"/>
              <w:ind w:firstLine="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rPr>
            </w:pP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none"/>
                <w:lang w:val="en-US" w:eastAsia="zh-CN"/>
              </w:rPr>
              <w:t xml:space="preserve">（21）防爆测试应满足《GB/T 3836.1—2021》《GB/T 3836.2—2021》《GB/T 3836.3—2021》《GB/T 3836.31—2021》《GB/T 3836.5—2021》《GB/T 3836.9—2021》的相关要求，防爆等级不低于IIC级、温度组别不低于T4级（</w:t>
            </w:r>
            <w:r>
              <w:rPr>
                <w:rFonts w:hint="eastAsia" w:ascii="宋体" w:hAnsi="宋体" w:eastAsia="宋体" w:cs="宋体"/>
                <w:b/>
                <w:bCs/>
                <w:color w:val="000000"/>
                <w:sz w:val="21"/>
                <w:szCs w:val="21"/>
                <w:highlight w:val="none"/>
                <w:u w:val="none"/>
                <w:lang w:val="en-US" w:eastAsia="zh-CN"/>
              </w:rPr>
              <w:t xml:space="preserve">投标文件中提供具有计量认证标识的第三方检测机构出具的气柜整体防爆合格证书扫描件加盖投标人公章</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val="0"/>
                <w:bCs w:val="0"/>
                <w:color w:val="000000"/>
                <w:sz w:val="21"/>
                <w:szCs w:val="21"/>
                <w:highlight w:val="none"/>
                <w:lang w:val="en-US"/>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一氧化二氮（N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O）气瓶架</w:t>
            </w:r>
            <w:r>
              <w:rPr>
                <w:rFonts w:hint="eastAsia" w:ascii="宋体" w:hAnsi="宋体" w:eastAsia="宋体" w:cs="宋体"/>
                <w:b w:val="0"/>
                <w:bCs w:val="0"/>
                <w:color w:val="000000"/>
                <w:sz w:val="21"/>
                <w:szCs w:val="21"/>
                <w:highlight w:val="none"/>
              </w:rPr>
            </w:r>
            <w:r/>
          </w:p>
        </w:tc>
        <w:tc>
          <w:tcPr>
            <w:tcW w:w="3597" w:type="dxa"/>
            <w:vAlign w:val="center"/>
            <w:textDirection w:val="lrTb"/>
            <w:noWrap w:val="false"/>
          </w:tcPr>
          <w:p>
            <w:pPr>
              <w:pStyle w:val="1139"/>
              <w:numPr>
                <w:ilvl w:val="0"/>
                <w:numId w:val="0"/>
              </w:numPr>
              <w:jc w:val="both"/>
              <w:keepLines w:val="0"/>
              <w:keepNext w:val="0"/>
              <w:pageBreakBefore w:val="0"/>
              <w:spacing w:line="24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rPr>
              <w:t xml:space="preserve">气瓶架应采用手动操作方式，具备手动切换功能；</w:t>
            </w:r>
            <w:r>
              <w:rPr>
                <w:rFonts w:hint="eastAsia" w:ascii="宋体" w:hAnsi="宋体" w:eastAsia="宋体" w:cs="宋体"/>
                <w:b w:val="0"/>
                <w:bCs w:val="0"/>
                <w:color w:val="000000"/>
                <w:szCs w:val="21"/>
                <w:highlight w:val="none"/>
              </w:rPr>
              <w:t xml:space="preserve">四十七升单瓶工艺钢瓶应分别独立供气</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eastAsia="zh-CN"/>
              </w:rPr>
            </w:r>
            <w:r/>
          </w:p>
          <w:p>
            <w:pPr>
              <w:pStyle w:val="1139"/>
              <w:numPr>
                <w:ilvl w:val="0"/>
                <w:numId w:val="0"/>
              </w:numPr>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O低压单一工艺出口应配置双级过滤装置。</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（3）系统应配置高压氮气接口用于保压，低压氮气接口用于吹扫；</w:t>
            </w:r>
            <w:r>
              <w:rPr>
                <w:rFonts w:hint="eastAsia" w:ascii="宋体" w:hAnsi="宋体" w:eastAsia="宋体" w:cs="宋体"/>
                <w:b w:val="0"/>
                <w:bCs w:val="0"/>
                <w:color w:val="000000"/>
                <w:sz w:val="21"/>
                <w:szCs w:val="21"/>
                <w:highlight w:val="none"/>
                <w:lang w:val="en-US" w:eastAsia="zh-CN"/>
              </w:rPr>
              <w:t xml:space="preserve">氮气</w:t>
            </w:r>
            <w:r>
              <w:rPr>
                <w:rFonts w:hint="eastAsia" w:ascii="宋体" w:hAnsi="宋体" w:eastAsia="宋体" w:cs="宋体"/>
                <w:b w:val="0"/>
                <w:bCs w:val="0"/>
                <w:color w:val="000000"/>
                <w:szCs w:val="21"/>
                <w:highlight w:val="none"/>
              </w:rPr>
              <w:t xml:space="preserve">气瓶面板采用手动供气方式；低压侧支路需配置高压侧压力表+手动膜阀+调压阀+低压侧压力表；高压侧支路需配置高压侧压力表+手动膜阀+调压阀+低压侧压力表；另需配置高压排气阀门；设备管阀件尺寸</w:t>
            </w:r>
            <w:r>
              <w:rPr>
                <w:rFonts w:hint="eastAsia" w:ascii="宋体" w:hAnsi="宋体" w:eastAsia="宋体" w:cs="宋体"/>
                <w:b w:val="0"/>
                <w:bCs w:val="0"/>
                <w:color w:val="000000"/>
                <w:szCs w:val="21"/>
                <w:highlight w:val="none"/>
                <w:lang w:val="en-US" w:eastAsia="zh-CN"/>
              </w:rPr>
              <w:t xml:space="preserve">不小于</w:t>
            </w:r>
            <w:r>
              <w:rPr>
                <w:rFonts w:hint="eastAsia" w:ascii="宋体" w:hAnsi="宋体" w:eastAsia="宋体" w:cs="宋体"/>
                <w:b w:val="0"/>
                <w:bCs w:val="0"/>
                <w:color w:val="000000"/>
                <w:szCs w:val="21"/>
                <w:highlight w:val="none"/>
              </w:rPr>
              <w:t xml:space="preserve">1/4英寸</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）所有气体管线连接方式应采用无缝焊接，并使用金属垫片压缩密封结构，以确保连接处的气密性。</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）气瓶架应完成完整功能测试，并采用氦质谱检漏方式进行气密性验证，系统整体检漏率不应大于</w:t>
            </w:r>
            <w:r>
              <w:rPr>
                <w:rFonts w:hint="eastAsia" w:ascii="宋体" w:hAnsi="宋体" w:eastAsia="宋体" w:cs="宋体"/>
                <w:b w:val="0"/>
                <w:bCs w:val="0"/>
                <w:color w:val="000000"/>
                <w:sz w:val="21"/>
                <w:szCs w:val="21"/>
                <w:highlight w:val="none"/>
                <w:lang w:val="en-US" w:eastAsia="zh-CN"/>
              </w:rPr>
              <w:t xml:space="preserve">1</w:t>
            </w:r>
            <w:r>
              <w:rPr>
                <w:rFonts w:ascii="Arial" w:hAnsi="Arial" w:eastAsia="宋体" w:cs="Arial"/>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vertAlign w:val="superscript"/>
                <w:lang w:val="en-US" w:eastAsia="zh-CN"/>
              </w:rPr>
              <w:t xml:space="preserve">-9</w:t>
            </w:r>
            <w:r>
              <w:rPr>
                <w:rFonts w:hint="eastAsia" w:ascii="宋体" w:hAnsi="宋体" w:eastAsia="宋体" w:cs="宋体"/>
                <w:b w:val="0"/>
                <w:bCs w:val="0"/>
                <w:color w:val="000000"/>
                <w:szCs w:val="21"/>
                <w:highlight w:val="none"/>
              </w:rPr>
              <w:t xml:space="preserve">标准大气立方厘米每秒</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）气架应取得半导体设备安全规范SEMI-S2认证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投标文件中</w:t>
            </w:r>
            <w:r>
              <w:rPr>
                <w:rFonts w:hint="eastAsia" w:ascii="宋体" w:hAnsi="宋体" w:eastAsia="宋体" w:cs="宋体"/>
                <w:b/>
                <w:bCs/>
                <w:color w:val="000000"/>
                <w:sz w:val="21"/>
                <w:szCs w:val="21"/>
                <w:highlight w:val="none"/>
              </w:rPr>
              <w:t xml:space="preserve">提供认证</w:t>
            </w:r>
            <w:r>
              <w:rPr>
                <w:rFonts w:hint="eastAsia" w:ascii="宋体" w:hAnsi="宋体" w:eastAsia="宋体" w:cs="宋体"/>
                <w:b/>
                <w:bCs/>
                <w:color w:val="000000"/>
                <w:sz w:val="21"/>
                <w:szCs w:val="21"/>
                <w:highlight w:val="none"/>
                <w:lang w:val="en-US" w:eastAsia="zh-CN"/>
              </w:rPr>
              <w:t xml:space="preserve">证</w:t>
            </w:r>
            <w:r>
              <w:rPr>
                <w:rFonts w:hint="eastAsia" w:ascii="宋体" w:hAnsi="宋体" w:eastAsia="宋体" w:cs="宋体"/>
                <w:b/>
                <w:bCs/>
                <w:color w:val="000000"/>
                <w:sz w:val="21"/>
                <w:szCs w:val="21"/>
                <w:highlight w:val="none"/>
              </w:rPr>
              <w:t xml:space="preserve">书复印件加盖投标人公章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eastAsia="宋体" w:cs="宋体"/>
                <w:b w:val="0"/>
                <w:bCs w:val="0"/>
                <w:color w:val="000000"/>
                <w:sz w:val="21"/>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气瓶面板（GP）</w:t>
            </w:r>
            <w:r>
              <w:rPr>
                <w:rFonts w:hint="eastAsia" w:ascii="宋体" w:hAnsi="宋体" w:eastAsia="宋体" w:cs="宋体"/>
                <w:b w:val="0"/>
                <w:bCs w:val="0"/>
                <w:color w:val="000000"/>
                <w:sz w:val="21"/>
                <w:szCs w:val="21"/>
                <w:highlight w:val="none"/>
              </w:rPr>
            </w:r>
            <w:r/>
          </w:p>
        </w:tc>
        <w:tc>
          <w:tcPr>
            <w:tcW w:w="3597" w:type="dxa"/>
            <w:vAlign w:val="center"/>
            <w:textDirection w:val="lrTb"/>
            <w:noWrap w:val="false"/>
          </w:tcPr>
          <w:p>
            <w:pPr>
              <w:pStyle w:val="1139"/>
              <w:jc w:val="both"/>
              <w:keepLines w:val="0"/>
              <w:keepNext w:val="0"/>
              <w:pageBreakBefore w:val="0"/>
              <w:spacing w:line="24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（1）适用于氮气（</w:t>
            </w:r>
            <w:r>
              <w:rPr>
                <w:rFonts w:hint="eastAsia" w:ascii="宋体" w:hAnsi="宋体" w:eastAsia="宋体" w:cs="宋体"/>
                <w:b w:val="0"/>
                <w:bCs w:val="0"/>
                <w:color w:val="000000"/>
                <w:sz w:val="21"/>
                <w:szCs w:val="21"/>
                <w:highlight w:val="none"/>
                <w:lang w:val="en-US" w:eastAsia="zh-CN"/>
              </w:rPr>
              <w:t xml:space="preserve">G</w:t>
            </w:r>
            <w:r>
              <w:rPr>
                <w:rFonts w:hint="eastAsia" w:ascii="宋体" w:hAnsi="宋体" w:eastAsia="宋体" w:cs="宋体"/>
                <w:b w:val="0"/>
                <w:bCs w:val="0"/>
                <w:color w:val="000000"/>
                <w:sz w:val="21"/>
                <w:szCs w:val="21"/>
                <w:highlight w:val="none"/>
              </w:rPr>
              <w:t xml:space="preserve">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vertAlign w:val="baseline"/>
                <w:lang w:val="en-US" w:eastAsia="zh-CN"/>
              </w:rPr>
              <w:t xml:space="preserve">与PN</w:t>
            </w:r>
            <w:r>
              <w:rPr>
                <w:rFonts w:hint="eastAsia" w:ascii="宋体" w:hAnsi="宋体" w:eastAsia="宋体" w:cs="宋体"/>
                <w:b w:val="0"/>
                <w:bCs w:val="0"/>
                <w:color w:val="000000"/>
                <w:sz w:val="21"/>
                <w:szCs w:val="21"/>
                <w:highlight w:val="none"/>
                <w:vertAlign w:val="subscript"/>
                <w:lang w:val="en-US" w:eastAsia="zh-CN"/>
              </w:rPr>
              <w:t xml:space="preserve">2</w:t>
            </w:r>
            <w:r>
              <w:rPr>
                <w:rFonts w:hint="eastAsia" w:ascii="宋体" w:hAnsi="宋体" w:eastAsia="宋体" w:cs="宋体"/>
                <w:b w:val="0"/>
                <w:bCs w:val="0"/>
                <w:color w:val="000000"/>
                <w:sz w:val="21"/>
                <w:szCs w:val="21"/>
                <w:highlight w:val="none"/>
              </w:rPr>
              <w:t xml:space="preserve">）、氩气（Ar）、氦气（He）、氧气（O</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）、四氟化碳（CF</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）、六氟化硫（SF</w:t>
            </w:r>
            <w:r>
              <w:rPr>
                <w:rFonts w:hint="eastAsia" w:ascii="宋体" w:hAnsi="宋体" w:eastAsia="宋体" w:cs="宋体"/>
                <w:b w:val="0"/>
                <w:bCs w:val="0"/>
                <w:color w:val="000000"/>
                <w:sz w:val="21"/>
                <w:szCs w:val="21"/>
                <w:highlight w:val="none"/>
                <w:vertAlign w:val="subscript"/>
              </w:rPr>
              <w:t xml:space="preserve">6</w:t>
            </w:r>
            <w:r>
              <w:rPr>
                <w:rFonts w:hint="eastAsia" w:ascii="宋体" w:hAnsi="宋体" w:eastAsia="宋体" w:cs="宋体"/>
                <w:b w:val="0"/>
                <w:bCs w:val="0"/>
                <w:color w:val="000000"/>
                <w:sz w:val="21"/>
                <w:szCs w:val="21"/>
                <w:highlight w:val="none"/>
              </w:rPr>
              <w:t xml:space="preserve">）、氪氟混合气（KRF）、</w:t>
            </w:r>
            <w:r>
              <w:rPr>
                <w:rFonts w:hint="eastAsia" w:ascii="宋体" w:hAnsi="宋体" w:eastAsia="宋体" w:cs="宋体"/>
                <w:b w:val="0"/>
                <w:bCs w:val="0"/>
                <w:color w:val="000000"/>
                <w:sz w:val="21"/>
                <w:szCs w:val="21"/>
                <w:highlight w:val="none"/>
                <w:shd w:val="clear" w:color="auto" w:fill="ffffff"/>
              </w:rPr>
              <w:t xml:space="preserve">八氟环丁烷（</w:t>
            </w:r>
            <w:r>
              <w:rPr>
                <w:rFonts w:hint="eastAsia" w:ascii="宋体" w:hAnsi="宋体" w:eastAsia="宋体" w:cs="宋体"/>
                <w:b w:val="0"/>
                <w:bCs w:val="0"/>
                <w:color w:val="000000"/>
                <w:sz w:val="21"/>
                <w:szCs w:val="21"/>
                <w:highlight w:val="none"/>
              </w:rPr>
              <w:t xml:space="preserve">C</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F</w:t>
            </w:r>
            <w:r>
              <w:rPr>
                <w:rFonts w:hint="eastAsia" w:ascii="宋体" w:hAnsi="宋体" w:eastAsia="宋体" w:cs="宋体"/>
                <w:b w:val="0"/>
                <w:bCs w:val="0"/>
                <w:color w:val="000000"/>
                <w:sz w:val="21"/>
                <w:szCs w:val="21"/>
                <w:highlight w:val="none"/>
                <w:vertAlign w:val="subscript"/>
              </w:rPr>
              <w:t xml:space="preserve">8</w:t>
            </w:r>
            <w:r>
              <w:rPr>
                <w:rFonts w:hint="eastAsia" w:ascii="宋体" w:hAnsi="宋体" w:eastAsia="宋体" w:cs="宋体"/>
                <w:b w:val="0"/>
                <w:bCs w:val="0"/>
                <w:color w:val="000000"/>
                <w:sz w:val="21"/>
                <w:szCs w:val="21"/>
                <w:highlight w:val="none"/>
              </w:rPr>
              <w:t xml:space="preserve">）、三</w:t>
            </w:r>
            <w:r>
              <w:rPr>
                <w:rFonts w:hint="eastAsia" w:ascii="宋体" w:hAnsi="宋体" w:eastAsia="宋体" w:cs="宋体"/>
                <w:b w:val="0"/>
                <w:bCs w:val="0"/>
                <w:color w:val="000000"/>
                <w:sz w:val="21"/>
                <w:szCs w:val="21"/>
                <w:highlight w:val="none"/>
                <w:shd w:val="clear" w:color="auto" w:fill="ffffff"/>
              </w:rPr>
              <w:t xml:space="preserve">氟甲烷（</w:t>
            </w:r>
            <w:r>
              <w:rPr>
                <w:rFonts w:hint="eastAsia" w:ascii="宋体" w:hAnsi="宋体" w:eastAsia="宋体" w:cs="宋体"/>
                <w:b w:val="0"/>
                <w:bCs w:val="0"/>
                <w:color w:val="000000"/>
                <w:sz w:val="21"/>
                <w:szCs w:val="21"/>
                <w:highlight w:val="none"/>
              </w:rPr>
              <w:t xml:space="preserve">CHF</w:t>
            </w:r>
            <w:r>
              <w:rPr>
                <w:rFonts w:hint="eastAsia" w:ascii="宋体" w:hAnsi="宋体" w:eastAsia="宋体" w:cs="宋体"/>
                <w:b w:val="0"/>
                <w:bCs w:val="0"/>
                <w:color w:val="000000"/>
                <w:sz w:val="21"/>
                <w:szCs w:val="21"/>
                <w:highlight w:val="none"/>
                <w:vertAlign w:val="subscript"/>
              </w:rPr>
              <w:t xml:space="preserve">3</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139"/>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Ar</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He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O</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配置为1用1备供气面板，左右切换；左右侧均需配置压力表，另需配置高压排气阀门；设备管阀件尺寸为1/4英寸,出口尺寸为1/2英寸。</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（3）CF</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、SF</w:t>
            </w:r>
            <w:r>
              <w:rPr>
                <w:rFonts w:hint="eastAsia" w:ascii="宋体" w:hAnsi="宋体" w:eastAsia="宋体" w:cs="宋体"/>
                <w:b w:val="0"/>
                <w:bCs w:val="0"/>
                <w:color w:val="000000"/>
                <w:sz w:val="21"/>
                <w:szCs w:val="21"/>
                <w:highlight w:val="none"/>
                <w:vertAlign w:val="subscript"/>
              </w:rPr>
              <w:t xml:space="preserve">6</w:t>
            </w:r>
            <w:r>
              <w:rPr>
                <w:rFonts w:hint="eastAsia" w:ascii="宋体" w:hAnsi="宋体" w:eastAsia="宋体" w:cs="宋体"/>
                <w:b w:val="0"/>
                <w:bCs w:val="0"/>
                <w:color w:val="000000"/>
                <w:sz w:val="21"/>
                <w:szCs w:val="21"/>
                <w:highlight w:val="none"/>
              </w:rPr>
              <w:t xml:space="preserve">、KRF、C</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F</w:t>
            </w:r>
            <w:r>
              <w:rPr>
                <w:rFonts w:hint="eastAsia" w:ascii="宋体" w:hAnsi="宋体" w:eastAsia="宋体" w:cs="宋体"/>
                <w:b w:val="0"/>
                <w:bCs w:val="0"/>
                <w:color w:val="000000"/>
                <w:sz w:val="21"/>
                <w:szCs w:val="21"/>
                <w:highlight w:val="none"/>
                <w:vertAlign w:val="subscript"/>
              </w:rPr>
              <w:t xml:space="preserve">8</w:t>
            </w:r>
            <w:r>
              <w:rPr>
                <w:rFonts w:hint="eastAsia" w:ascii="宋体" w:hAnsi="宋体" w:eastAsia="宋体" w:cs="宋体"/>
                <w:b w:val="0"/>
                <w:bCs w:val="0"/>
                <w:color w:val="000000"/>
                <w:sz w:val="21"/>
                <w:szCs w:val="21"/>
                <w:highlight w:val="none"/>
              </w:rPr>
              <w:t xml:space="preserve">、CHF</w:t>
            </w:r>
            <w:r>
              <w:rPr>
                <w:rFonts w:hint="eastAsia" w:ascii="宋体" w:hAnsi="宋体" w:eastAsia="宋体" w:cs="宋体"/>
                <w:b w:val="0"/>
                <w:bCs w:val="0"/>
                <w:color w:val="000000"/>
                <w:sz w:val="21"/>
                <w:szCs w:val="21"/>
                <w:highlight w:val="none"/>
                <w:vertAlign w:val="subscript"/>
              </w:rPr>
              <w:t xml:space="preserve">3</w:t>
            </w:r>
            <w:r>
              <w:rPr>
                <w:rFonts w:hint="eastAsia" w:ascii="宋体" w:hAnsi="宋体" w:eastAsia="宋体" w:cs="宋体"/>
                <w:b w:val="0"/>
                <w:bCs w:val="0"/>
                <w:color w:val="000000"/>
                <w:sz w:val="21"/>
                <w:szCs w:val="21"/>
                <w:highlight w:val="none"/>
              </w:rPr>
              <w:t xml:space="preserve">配置为单瓶气瓶面板，采用手动供气方式；需配置高压侧压力表，另需配置高压排气阀门；设备管阀件尺寸为1/4英寸。</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（3）设备内所有弯头采用成品弯头。</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（4）具体配件清单及详细参数见附件1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配件清单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与附件2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图纸</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62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尾气处理系统</w:t>
            </w:r>
            <w:r>
              <w:rPr>
                <w:rFonts w:hint="eastAsia" w:ascii="宋体" w:hAnsi="宋体" w:eastAsia="宋体" w:cs="宋体"/>
                <w:b w:val="0"/>
                <w:bCs w:val="0"/>
                <w:color w:val="000000"/>
                <w:sz w:val="21"/>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尾气处理技术要求：</w:t>
            </w:r>
            <w:r>
              <w:rPr>
                <w:rFonts w:hint="eastAsia" w:ascii="宋体" w:hAnsi="宋体" w:eastAsia="宋体" w:cs="宋体"/>
                <w:b/>
                <w:bCs/>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（1）SiH</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特气柜必须配置独立尾气处理系统，并至少设置一台燃烧分解处理装置（燃烧筒），用于处理特气柜排出的工艺尾气及吹扫/置换尾气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（2）硅烷特气柜排出的工艺气体，必须先进入燃烧筒燃烧分解后，再进入后端尾气处理装置，严禁未经处理直接排放。</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（3）尾气处理系统工作范围包括：</w:t>
            </w:r>
            <w:r>
              <w:rPr>
                <w:rFonts w:hint="eastAsia" w:ascii="宋体" w:hAnsi="宋体" w:eastAsia="宋体" w:cs="宋体"/>
                <w:b w:val="0"/>
                <w:bCs w:val="0"/>
                <w:color w:val="000000"/>
                <w:sz w:val="21"/>
                <w:szCs w:val="21"/>
                <w:highlight w:val="none"/>
              </w:rPr>
            </w:r>
            <w:r/>
          </w:p>
          <w:p>
            <w:pPr>
              <w:pStyle w:val="1139"/>
              <w:numPr>
                <w:ilvl w:val="0"/>
                <w:numId w:val="11"/>
              </w:numPr>
              <w:ind w:firstLine="420"/>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硅烷特气柜排气口至燃烧筒入口的全部尾气管道；</w:t>
            </w:r>
            <w:r>
              <w:rPr>
                <w:rFonts w:hint="eastAsia" w:ascii="宋体" w:hAnsi="宋体" w:eastAsia="宋体" w:cs="宋体"/>
                <w:b w:val="0"/>
                <w:bCs w:val="0"/>
                <w:color w:val="000000"/>
                <w:sz w:val="21"/>
                <w:szCs w:val="21"/>
                <w:highlight w:val="none"/>
              </w:rPr>
            </w:r>
            <w:r/>
          </w:p>
          <w:p>
            <w:pPr>
              <w:pStyle w:val="1139"/>
              <w:numPr>
                <w:ilvl w:val="0"/>
                <w:numId w:val="11"/>
              </w:numPr>
              <w:ind w:firstLine="420"/>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燃烧筒本体；</w:t>
            </w:r>
            <w:r>
              <w:rPr>
                <w:rFonts w:hint="eastAsia" w:ascii="宋体" w:hAnsi="宋体" w:eastAsia="宋体" w:cs="宋体"/>
                <w:b w:val="0"/>
                <w:bCs w:val="0"/>
                <w:color w:val="000000"/>
                <w:sz w:val="21"/>
                <w:szCs w:val="21"/>
                <w:highlight w:val="none"/>
              </w:rPr>
            </w:r>
            <w:r/>
          </w:p>
          <w:p>
            <w:pPr>
              <w:pStyle w:val="1139"/>
              <w:numPr>
                <w:ilvl w:val="0"/>
                <w:numId w:val="11"/>
              </w:numPr>
              <w:ind w:firstLine="420"/>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燃烧筒至干式吸附处理器或排放接口的尾气管道；</w:t>
            </w:r>
            <w:r>
              <w:rPr>
                <w:rFonts w:hint="eastAsia" w:ascii="宋体" w:hAnsi="宋体" w:eastAsia="宋体" w:cs="宋体"/>
                <w:b w:val="0"/>
                <w:bCs w:val="0"/>
                <w:color w:val="000000"/>
                <w:sz w:val="21"/>
                <w:szCs w:val="21"/>
                <w:highlight w:val="none"/>
              </w:rPr>
            </w:r>
            <w:r/>
          </w:p>
          <w:p>
            <w:pPr>
              <w:pStyle w:val="1139"/>
              <w:numPr>
                <w:ilvl w:val="0"/>
                <w:numId w:val="11"/>
              </w:numPr>
              <w:ind w:firstLine="420"/>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系统所涉及的管道、阀门、支架及密封件的供货、安装、测试与调试。</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特殊工艺气体（含氟类气体及混合气体）必须经过后端尾气处理，尾气排放必须符合国家及地方环境保护评估要求。</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（5）尾气处理方式应根据介质特性分类确定，并明确处理量范围及边界条件：GN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、PN</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、Ar、He等气体应按惰性/窒息性气体管理，结合排放量及通风条件接入排风系统或经安全评估后排放；O</w:t>
            </w:r>
            <w:r>
              <w:rPr>
                <w:rFonts w:hint="eastAsia" w:ascii="宋体" w:hAnsi="宋体" w:eastAsia="宋体" w:cs="宋体"/>
                <w:b w:val="0"/>
                <w:bCs w:val="0"/>
                <w:color w:val="000000"/>
                <w:sz w:val="21"/>
                <w:szCs w:val="21"/>
                <w:highlight w:val="none"/>
                <w:vertAlign w:val="subscript"/>
              </w:rPr>
              <w:t xml:space="preserve">2</w:t>
            </w:r>
            <w:r>
              <w:rPr>
                <w:rFonts w:hint="eastAsia" w:ascii="宋体" w:hAnsi="宋体" w:eastAsia="宋体" w:cs="宋体"/>
                <w:b w:val="0"/>
                <w:bCs w:val="0"/>
                <w:color w:val="000000"/>
                <w:sz w:val="21"/>
                <w:szCs w:val="21"/>
                <w:highlight w:val="none"/>
              </w:rPr>
              <w:t xml:space="preserve">应按助燃性气体单独排放，不得与可燃性或其他不相容介质混排；CF</w:t>
            </w:r>
            <w:r>
              <w:rPr>
                <w:rFonts w:hint="eastAsia" w:ascii="宋体" w:hAnsi="宋体" w:eastAsia="宋体" w:cs="宋体"/>
                <w:b w:val="0"/>
                <w:bCs w:val="0"/>
                <w:color w:val="000000"/>
                <w:sz w:val="21"/>
                <w:szCs w:val="21"/>
                <w:highlight w:val="none"/>
                <w:vertAlign w:val="subscript"/>
              </w:rPr>
              <w:t xml:space="preserve">4</w:t>
            </w:r>
            <w:r>
              <w:rPr>
                <w:rFonts w:hint="eastAsia" w:ascii="宋体" w:hAnsi="宋体" w:eastAsia="宋体" w:cs="宋体"/>
                <w:b w:val="0"/>
                <w:bCs w:val="0"/>
                <w:color w:val="000000"/>
                <w:sz w:val="21"/>
                <w:szCs w:val="21"/>
                <w:highlight w:val="none"/>
              </w:rPr>
              <w:t xml:space="preserve">、SF</w:t>
            </w:r>
            <w:r>
              <w:rPr>
                <w:rFonts w:hint="eastAsia" w:ascii="宋体" w:hAnsi="宋体" w:eastAsia="宋体" w:cs="宋体"/>
                <w:b w:val="0"/>
                <w:bCs w:val="0"/>
                <w:color w:val="000000"/>
                <w:sz w:val="21"/>
                <w:szCs w:val="21"/>
                <w:highlight w:val="none"/>
                <w:vertAlign w:val="subscript"/>
              </w:rPr>
              <w:t xml:space="preserve">6</w:t>
            </w:r>
            <w:r>
              <w:rPr>
                <w:rFonts w:hint="eastAsia" w:ascii="宋体" w:hAnsi="宋体" w:eastAsia="宋体" w:cs="宋体"/>
                <w:b w:val="0"/>
                <w:bCs w:val="0"/>
                <w:color w:val="000000"/>
                <w:sz w:val="21"/>
                <w:szCs w:val="21"/>
                <w:highlight w:val="none"/>
              </w:rPr>
              <w:t xml:space="preserve">、KRF、C4F</w:t>
            </w:r>
            <w:r>
              <w:rPr>
                <w:rFonts w:hint="eastAsia" w:ascii="宋体" w:hAnsi="宋体" w:eastAsia="宋体" w:cs="宋体"/>
                <w:b w:val="0"/>
                <w:bCs w:val="0"/>
                <w:color w:val="000000"/>
                <w:sz w:val="21"/>
                <w:szCs w:val="21"/>
                <w:highlight w:val="none"/>
                <w:vertAlign w:val="subscript"/>
              </w:rPr>
              <w:t xml:space="preserve">8</w:t>
            </w:r>
            <w:r>
              <w:rPr>
                <w:rFonts w:hint="eastAsia" w:ascii="宋体" w:hAnsi="宋体" w:eastAsia="宋体" w:cs="宋体"/>
                <w:b w:val="0"/>
                <w:bCs w:val="0"/>
                <w:color w:val="000000"/>
                <w:sz w:val="21"/>
                <w:szCs w:val="21"/>
                <w:highlight w:val="none"/>
              </w:rPr>
              <w:t xml:space="preserve">、CHF</w:t>
            </w:r>
            <w:r>
              <w:rPr>
                <w:rFonts w:hint="eastAsia" w:ascii="宋体" w:hAnsi="宋体" w:eastAsia="宋体" w:cs="宋体"/>
                <w:b w:val="0"/>
                <w:bCs w:val="0"/>
                <w:color w:val="000000"/>
                <w:sz w:val="21"/>
                <w:szCs w:val="21"/>
                <w:highlight w:val="none"/>
                <w:vertAlign w:val="subscript"/>
              </w:rPr>
              <w:t xml:space="preserve">3</w:t>
            </w:r>
            <w:r>
              <w:rPr>
                <w:rFonts w:hint="eastAsia" w:ascii="宋体" w:hAnsi="宋体" w:eastAsia="宋体" w:cs="宋体"/>
                <w:b w:val="0"/>
                <w:bCs w:val="0"/>
                <w:color w:val="000000"/>
                <w:sz w:val="21"/>
                <w:szCs w:val="21"/>
                <w:highlight w:val="none"/>
              </w:rPr>
              <w:t xml:space="preserve">等含氟气体应配置相适应的尾气处理设施，宜采用燃烧分解、等离子分解、干式吸附或组合处理工艺。尾气处理系统应明确各处理单元对应的适用气体种类、设计处理流量、浓度范围、连续/间歇工况、吹扫与置换工况、异常放空工况、入口温压条件及副产物控制要求。</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尾气处理系统应整体保持微负压运行；在任何运行、启停或异常工况下，应确保尾气不向室内或环境泄漏。尾气抽排/负压条件不足时，应触发报警并联锁限制高风险排放/供气动作（与特气柜联锁逻辑一致）。</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尾气处理方案可采用相应的处理措施，投标人也可提供其他可行方案，但应确保满足环境评价相关要求。</w:t>
            </w:r>
            <w:r>
              <w:rPr>
                <w:rFonts w:hint="eastAsia" w:ascii="宋体" w:hAnsi="宋体" w:eastAsia="宋体" w:cs="宋体"/>
                <w:b w:val="0"/>
                <w:bCs w:val="0"/>
                <w:color w:val="000000"/>
                <w:sz w:val="21"/>
                <w:szCs w:val="21"/>
                <w:highlight w:val="none"/>
                <w:lang w:val="en-US" w:eastAsia="zh-CN"/>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621" w:type="dxa"/>
            <w:vAlign w:val="center"/>
            <w:vMerge w:val="continue"/>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燃烧筒：</w:t>
            </w:r>
            <w:r>
              <w:rPr>
                <w:rFonts w:hint="eastAsia" w:ascii="宋体" w:hAnsi="宋体" w:eastAsia="宋体" w:cs="宋体"/>
                <w:b/>
                <w:bCs/>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（1）处理方式必须采用</w:t>
            </w:r>
            <w:r>
              <w:rPr>
                <w:rStyle w:val="1211"/>
                <w:rFonts w:hint="eastAsia" w:ascii="宋体" w:hAnsi="宋体" w:eastAsia="宋体" w:cs="宋体"/>
                <w:b w:val="0"/>
                <w:bCs w:val="0"/>
                <w:color w:val="000000"/>
                <w:sz w:val="21"/>
                <w:szCs w:val="21"/>
                <w:highlight w:val="none"/>
              </w:rPr>
              <w:t xml:space="preserve">自然燃烧处理工艺</w:t>
            </w:r>
            <w:r>
              <w:rPr>
                <w:rFonts w:hint="eastAsia" w:ascii="宋体" w:hAnsi="宋体" w:eastAsia="宋体" w:cs="宋体"/>
                <w:b w:val="0"/>
                <w:bCs w:val="0"/>
                <w:color w:val="000000"/>
                <w:sz w:val="21"/>
                <w:szCs w:val="21"/>
                <w:highlight w:val="none"/>
              </w:rPr>
              <w:t xml:space="preserve">，通过高温燃烧方式对可燃性尾气进行无害化处理，燃烧过程应具备火焰维持与熄火检测能力，避免未燃气体直接排出。</w:t>
            </w:r>
            <w:r>
              <w:rPr>
                <w:rFonts w:hint="eastAsia" w:ascii="宋体" w:hAnsi="宋体" w:eastAsia="宋体" w:cs="宋体"/>
                <w:b w:val="0"/>
                <w:bCs w:val="0"/>
                <w:color w:val="000000"/>
                <w:sz w:val="21"/>
                <w:szCs w:val="21"/>
                <w:highlight w:val="none"/>
              </w:rPr>
            </w:r>
            <w:r/>
          </w:p>
          <w:p>
            <w:pPr>
              <w:pStyle w:val="1139"/>
              <w:ind w:firstLine="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（2）材质采用不锈钢材料（如304或更高等级，满足工况腐蚀与温度要求）壁厚≥2.0mm，</w:t>
            </w:r>
            <w:r>
              <w:rPr>
                <w:rFonts w:hint="eastAsia" w:ascii="宋体" w:hAnsi="宋体" w:eastAsia="宋体" w:cs="宋体"/>
                <w:b w:val="0"/>
                <w:bCs w:val="0"/>
                <w:color w:val="000000"/>
                <w:szCs w:val="21"/>
                <w:highlight w:val="none"/>
              </w:rPr>
              <w:t xml:space="preserve">外壁必须机械抛光</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内壁必须机械抛光并进行禁油处理</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b w:val="0"/>
                <w:bCs w:val="0"/>
                <w:color w:val="000000"/>
                <w:sz w:val="21"/>
                <w:szCs w:val="21"/>
                <w:highlight w:val="none"/>
                <w:u w:val="none"/>
                <w:lang w:val="en-US" w:eastAsia="zh-CN"/>
              </w:rPr>
            </w:r>
            <w:r/>
          </w:p>
          <w:p>
            <w:pPr>
              <w:pStyle w:val="1139"/>
              <w:jc w:val="both"/>
              <w:keepLines w:val="0"/>
              <w:keepNext w:val="0"/>
              <w:pageBreakBefore w:val="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（3）外形尺寸不大于</w:t>
            </w:r>
            <w:r>
              <w:rPr>
                <w:rStyle w:val="1211"/>
                <w:rFonts w:hint="eastAsia" w:ascii="宋体" w:hAnsi="宋体" w:eastAsia="宋体" w:cs="宋体"/>
                <w:b w:val="0"/>
                <w:bCs w:val="0"/>
                <w:color w:val="000000"/>
                <w:sz w:val="21"/>
                <w:szCs w:val="21"/>
                <w:highlight w:val="none"/>
              </w:rPr>
              <w:t xml:space="preserve">750mm（宽）×750mm（深）×1800mm（高）</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 w:val="21"/>
                <w:szCs w:val="21"/>
                <w:highlight w:val="none"/>
              </w:rPr>
              <w:t xml:space="preserve">（4）电源条件必须为</w:t>
            </w:r>
            <w:r>
              <w:rPr>
                <w:rStyle w:val="1211"/>
                <w:rFonts w:hint="eastAsia" w:ascii="宋体" w:hAnsi="宋体" w:eastAsia="宋体" w:cs="宋体"/>
                <w:b w:val="0"/>
                <w:bCs w:val="0"/>
                <w:color w:val="000000"/>
                <w:sz w:val="21"/>
                <w:szCs w:val="21"/>
                <w:highlight w:val="none"/>
              </w:rPr>
              <w:t xml:space="preserve">交流220V，单相，50Hz，装机功率不大于1kW</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p>
            <w:pPr>
              <w:pStyle w:val="1139"/>
              <w:ind w:firstLine="0"/>
              <w:jc w:val="both"/>
              <w:keepLines w:val="0"/>
              <w:keepNext w:val="0"/>
              <w:pageBreakBefore w:val="0"/>
              <w:spacing w:line="240" w:lineRule="auto"/>
              <w:widowControl w:val="off"/>
              <w:rPr>
                <w:rFonts w:hint="eastAsia" w:ascii="宋体" w:hAnsi="宋体" w:eastAsia="宋体" w:cs="宋体"/>
                <w:b/>
                <w:bCs/>
                <w:color w:val="000000"/>
                <w:szCs w:val="21"/>
                <w:highlight w:val="none"/>
                <w:u w:val="none"/>
                <w:lang w:val="en-US" w:eastAsia="zh-CN"/>
              </w:rPr>
            </w:pP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none"/>
                <w:lang w:val="en-US" w:eastAsia="zh-CN"/>
              </w:rPr>
              <w:t xml:space="preserve">（5）燃烧处理装置的设计总处理气量不小于每分钟5立方米（以系统设计工况为准），并应说明该处理量对应的入口条件（微正压0～5kPa</w:t>
            </w:r>
            <w:r>
              <w:rPr>
                <w:rFonts w:hint="eastAsia" w:ascii="宋体" w:hAnsi="宋体" w:eastAsia="宋体" w:cs="宋体"/>
                <w:b/>
                <w:bCs/>
                <w:color w:val="000000"/>
                <w:szCs w:val="21"/>
                <w:highlight w:val="none"/>
                <w:u w:val="none"/>
              </w:rPr>
              <w:t xml:space="preserve">、温度0～1200℃）及运行边界</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lang w:val="en-US" w:eastAsia="zh-CN"/>
              </w:rPr>
              <w:t xml:space="preserve">投标文件中提供厂家技术说明书扫描件并加盖投标人公章）</w:t>
            </w:r>
            <w:r>
              <w:rPr>
                <w:rFonts w:hint="eastAsia" w:ascii="宋体" w:hAnsi="宋体" w:eastAsia="宋体" w:cs="宋体"/>
                <w:b/>
                <w:bCs/>
                <w:color w:val="000000"/>
                <w:szCs w:val="21"/>
                <w:highlight w:val="none"/>
                <w:u w:val="none"/>
              </w:rPr>
              <w:t xml:space="preserve">。</w:t>
            </w:r>
            <w:r>
              <w:rPr>
                <w:rFonts w:hint="eastAsia" w:ascii="宋体" w:hAnsi="宋体" w:eastAsia="宋体" w:cs="宋体"/>
                <w:b/>
                <w:bCs/>
                <w:color w:val="000000"/>
                <w:szCs w:val="21"/>
                <w:highlight w:val="none"/>
                <w:u w:val="none"/>
                <w:lang w:val="en-US" w:eastAsia="zh-CN"/>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（6）可燃工艺气体处理能力应满足连续稳定处理要求，并应保证在启停、切换、吹扫等工况下燃烧稳定且无回火风险。</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（7）进气接口规格为KF50法兰接口，出气接口规格为KF100法兰接口（或提供等效接口方案，需与项目尾气管路匹配）。</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（8）压缩空气（CDA）供气压力必须为</w:t>
            </w:r>
            <w:r>
              <w:rPr>
                <w:rStyle w:val="1211"/>
                <w:rFonts w:hint="eastAsia" w:ascii="宋体" w:hAnsi="宋体" w:eastAsia="宋体" w:cs="宋体"/>
                <w:b w:val="0"/>
                <w:bCs w:val="0"/>
                <w:color w:val="000000"/>
                <w:szCs w:val="21"/>
                <w:highlight w:val="none"/>
              </w:rPr>
              <w:t xml:space="preserve">4～7 kg/cm</w:t>
            </w:r>
            <w:r>
              <w:rPr>
                <w:rStyle w:val="1211"/>
                <w:rFonts w:hint="eastAsia" w:ascii="宋体" w:hAnsi="宋体" w:eastAsia="宋体" w:cs="宋体"/>
                <w:b w:val="0"/>
                <w:bCs w:val="0"/>
                <w:color w:val="000000"/>
                <w:szCs w:val="21"/>
                <w:highlight w:val="none"/>
                <w:vertAlign w:val="superscript"/>
                <w:lang w:val="en-US" w:eastAsia="zh-CN"/>
              </w:rPr>
              <w:t xml:space="preserve">2</w:t>
            </w:r>
            <w:r>
              <w:rPr>
                <w:rFonts w:hint="eastAsia" w:ascii="宋体" w:hAnsi="宋体" w:eastAsia="宋体" w:cs="宋体"/>
                <w:b w:val="0"/>
                <w:bCs w:val="0"/>
                <w:color w:val="000000"/>
                <w:szCs w:val="21"/>
                <w:highlight w:val="none"/>
              </w:rPr>
              <w:t xml:space="preserve">，接口规格为</w:t>
            </w:r>
            <w:r>
              <w:rPr>
                <w:rStyle w:val="1211"/>
                <w:rFonts w:hint="eastAsia" w:ascii="宋体" w:hAnsi="宋体" w:eastAsia="宋体" w:cs="宋体"/>
                <w:b w:val="0"/>
                <w:bCs w:val="0"/>
                <w:color w:val="000000"/>
                <w:szCs w:val="21"/>
                <w:highlight w:val="none"/>
              </w:rPr>
              <w:t xml:space="preserve">1/2 英寸</w:t>
            </w:r>
            <w:r>
              <w:rPr>
                <w:rFonts w:hint="eastAsia" w:ascii="宋体" w:hAnsi="宋体" w:eastAsia="宋体" w:cs="宋体"/>
                <w:b w:val="0"/>
                <w:bCs w:val="0"/>
                <w:color w:val="000000"/>
                <w:szCs w:val="21"/>
                <w:highlight w:val="none"/>
              </w:rPr>
              <w:t xml:space="preserve">，数量不少于</w:t>
            </w:r>
            <w:r>
              <w:rPr>
                <w:rStyle w:val="1211"/>
                <w:rFonts w:hint="eastAsia" w:ascii="宋体" w:hAnsi="宋体" w:eastAsia="宋体" w:cs="宋体"/>
                <w:b w:val="0"/>
                <w:bCs w:val="0"/>
                <w:color w:val="000000"/>
                <w:szCs w:val="21"/>
                <w:highlight w:val="none"/>
              </w:rPr>
              <w:t xml:space="preserve">2个</w:t>
            </w:r>
            <w:r>
              <w:rPr>
                <w:rFonts w:hint="eastAsia" w:ascii="宋体" w:hAnsi="宋体" w:eastAsia="宋体" w:cs="宋体"/>
                <w:b w:val="0"/>
                <w:bCs w:val="0"/>
                <w:color w:val="000000"/>
                <w:szCs w:val="21"/>
                <w:highlight w:val="none"/>
              </w:rPr>
              <w:t xml:space="preserve">，供气流量范围</w:t>
            </w:r>
            <w:r>
              <w:rPr>
                <w:rStyle w:val="1211"/>
                <w:rFonts w:hint="eastAsia" w:ascii="宋体" w:hAnsi="宋体" w:eastAsia="宋体" w:cs="宋体"/>
                <w:b w:val="0"/>
                <w:bCs w:val="0"/>
                <w:color w:val="000000"/>
                <w:szCs w:val="21"/>
                <w:highlight w:val="none"/>
              </w:rPr>
              <w:t xml:space="preserve">0～2000 SLPM</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（9）氮气（N</w:t>
            </w:r>
            <w:r>
              <w:rPr>
                <w:rFonts w:hint="eastAsia" w:ascii="宋体" w:hAnsi="宋体" w:eastAsia="宋体" w:cs="宋体"/>
                <w:b w:val="0"/>
                <w:bCs w:val="0"/>
                <w:color w:val="000000"/>
                <w:szCs w:val="21"/>
                <w:highlight w:val="none"/>
                <w:vertAlign w:val="subscript"/>
                <w:lang w:val="en-US" w:eastAsia="zh-CN"/>
              </w:rPr>
              <w:t xml:space="preserve">2</w:t>
            </w:r>
            <w:r>
              <w:rPr>
                <w:rFonts w:hint="eastAsia" w:ascii="宋体" w:hAnsi="宋体" w:eastAsia="宋体" w:cs="宋体"/>
                <w:b w:val="0"/>
                <w:bCs w:val="0"/>
                <w:color w:val="000000"/>
                <w:szCs w:val="21"/>
                <w:highlight w:val="none"/>
              </w:rPr>
              <w:t xml:space="preserve">）供气压力必须为</w:t>
            </w:r>
            <w:r>
              <w:rPr>
                <w:rStyle w:val="1211"/>
                <w:rFonts w:hint="eastAsia" w:ascii="宋体" w:hAnsi="宋体" w:eastAsia="宋体" w:cs="宋体"/>
                <w:b w:val="0"/>
                <w:bCs w:val="0"/>
                <w:color w:val="000000"/>
                <w:szCs w:val="21"/>
                <w:highlight w:val="none"/>
              </w:rPr>
              <w:t xml:space="preserve">4～7 kg/cm</w:t>
            </w:r>
            <w:r>
              <w:rPr>
                <w:rStyle w:val="1211"/>
                <w:rFonts w:hint="eastAsia" w:ascii="宋体" w:hAnsi="宋体" w:eastAsia="宋体" w:cs="宋体"/>
                <w:b w:val="0"/>
                <w:bCs w:val="0"/>
                <w:color w:val="000000"/>
                <w:szCs w:val="21"/>
                <w:highlight w:val="none"/>
                <w:vertAlign w:val="superscript"/>
                <w:lang w:val="en-US" w:eastAsia="zh-CN"/>
              </w:rPr>
              <w:t xml:space="preserve">2</w:t>
            </w:r>
            <w:r>
              <w:rPr>
                <w:rFonts w:hint="eastAsia" w:ascii="宋体" w:hAnsi="宋体" w:eastAsia="宋体" w:cs="宋体"/>
                <w:b w:val="0"/>
                <w:bCs w:val="0"/>
                <w:color w:val="000000"/>
                <w:szCs w:val="21"/>
                <w:highlight w:val="none"/>
              </w:rPr>
              <w:t xml:space="preserve">，接口规格为</w:t>
            </w:r>
            <w:r>
              <w:rPr>
                <w:rStyle w:val="1211"/>
                <w:rFonts w:hint="eastAsia" w:ascii="宋体" w:hAnsi="宋体" w:eastAsia="宋体" w:cs="宋体"/>
                <w:b w:val="0"/>
                <w:bCs w:val="0"/>
                <w:color w:val="000000"/>
                <w:szCs w:val="21"/>
                <w:highlight w:val="none"/>
              </w:rPr>
              <w:t xml:space="preserve">1/4英寸</w:t>
            </w:r>
            <w:r>
              <w:rPr>
                <w:rFonts w:hint="eastAsia" w:ascii="宋体" w:hAnsi="宋体" w:eastAsia="宋体" w:cs="宋体"/>
                <w:b w:val="0"/>
                <w:bCs w:val="0"/>
                <w:color w:val="000000"/>
                <w:szCs w:val="21"/>
                <w:highlight w:val="none"/>
              </w:rPr>
              <w:t xml:space="preserve">，数量</w:t>
            </w:r>
            <w:r>
              <w:rPr>
                <w:rStyle w:val="1211"/>
                <w:rFonts w:hint="eastAsia" w:ascii="宋体" w:hAnsi="宋体" w:eastAsia="宋体" w:cs="宋体"/>
                <w:b w:val="0"/>
                <w:bCs w:val="0"/>
                <w:color w:val="000000"/>
                <w:szCs w:val="21"/>
                <w:highlight w:val="none"/>
              </w:rPr>
              <w:t xml:space="preserve">1个</w:t>
            </w:r>
            <w:r>
              <w:rPr>
                <w:rFonts w:hint="eastAsia" w:ascii="宋体" w:hAnsi="宋体" w:eastAsia="宋体" w:cs="宋体"/>
                <w:b w:val="0"/>
                <w:bCs w:val="0"/>
                <w:color w:val="000000"/>
                <w:szCs w:val="21"/>
                <w:highlight w:val="none"/>
              </w:rPr>
              <w:t xml:space="preserve">，供气流量范围 </w:t>
            </w:r>
            <w:r>
              <w:rPr>
                <w:rStyle w:val="1211"/>
                <w:rFonts w:hint="eastAsia" w:ascii="宋体" w:hAnsi="宋体" w:eastAsia="宋体" w:cs="宋体"/>
                <w:b w:val="0"/>
                <w:bCs w:val="0"/>
                <w:color w:val="000000"/>
                <w:szCs w:val="21"/>
                <w:highlight w:val="none"/>
              </w:rPr>
              <w:t xml:space="preserve">0～300 SLPM，</w:t>
            </w:r>
            <w:r>
              <w:rPr>
                <w:rFonts w:hint="eastAsia" w:ascii="宋体" w:hAnsi="宋体" w:eastAsia="宋体" w:cs="宋体"/>
                <w:b w:val="0"/>
                <w:bCs w:val="0"/>
                <w:color w:val="000000"/>
                <w:szCs w:val="21"/>
                <w:highlight w:val="none"/>
              </w:rPr>
              <w:t xml:space="preserve">用于吹扫/惰化/保护等用途。</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（10）设备必须配置</w:t>
            </w:r>
            <w:r>
              <w:rPr>
                <w:rStyle w:val="1211"/>
                <w:rFonts w:hint="eastAsia" w:ascii="宋体" w:hAnsi="宋体" w:eastAsia="宋体" w:cs="宋体"/>
                <w:b w:val="0"/>
                <w:bCs w:val="0"/>
                <w:color w:val="000000"/>
                <w:szCs w:val="21"/>
                <w:highlight w:val="none"/>
              </w:rPr>
              <w:t xml:space="preserve">防爆型机械式压差监测装置</w:t>
            </w:r>
            <w:r>
              <w:rPr>
                <w:rFonts w:hint="eastAsia" w:ascii="宋体" w:hAnsi="宋体" w:eastAsia="宋体" w:cs="宋体"/>
                <w:b w:val="0"/>
                <w:bCs w:val="0"/>
                <w:color w:val="000000"/>
                <w:szCs w:val="21"/>
                <w:highlight w:val="none"/>
              </w:rPr>
              <w:t xml:space="preserve">，信号输出为</w:t>
            </w:r>
            <w:r>
              <w:rPr>
                <w:rStyle w:val="1211"/>
                <w:rFonts w:hint="eastAsia" w:ascii="宋体" w:hAnsi="宋体" w:eastAsia="宋体" w:cs="宋体"/>
                <w:b w:val="0"/>
                <w:bCs w:val="0"/>
                <w:color w:val="000000"/>
                <w:szCs w:val="21"/>
                <w:highlight w:val="none"/>
              </w:rPr>
              <w:t xml:space="preserve">4～20 mA</w:t>
            </w:r>
            <w:r>
              <w:rPr>
                <w:rFonts w:hint="eastAsia" w:ascii="宋体" w:hAnsi="宋体" w:eastAsia="宋体" w:cs="宋体"/>
                <w:b w:val="0"/>
                <w:bCs w:val="0"/>
                <w:color w:val="000000"/>
                <w:szCs w:val="21"/>
                <w:highlight w:val="none"/>
              </w:rPr>
              <w:t xml:space="preserve">，用于实时监控系统运行状态，并可接入上位监控/联锁系统。</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（11）燃烧处理器必须在</w:t>
            </w:r>
            <w:r>
              <w:rPr>
                <w:rStyle w:val="1211"/>
                <w:rFonts w:hint="eastAsia" w:ascii="宋体" w:hAnsi="宋体" w:eastAsia="宋体" w:cs="宋体"/>
                <w:b w:val="0"/>
                <w:bCs w:val="0"/>
                <w:color w:val="000000"/>
                <w:szCs w:val="21"/>
                <w:highlight w:val="none"/>
              </w:rPr>
              <w:t xml:space="preserve">微负压状态下运行</w:t>
            </w:r>
            <w:r>
              <w:rPr>
                <w:rFonts w:hint="eastAsia" w:ascii="宋体" w:hAnsi="宋体" w:eastAsia="宋体" w:cs="宋体"/>
                <w:b w:val="0"/>
                <w:bCs w:val="0"/>
                <w:color w:val="000000"/>
                <w:szCs w:val="21"/>
                <w:highlight w:val="none"/>
              </w:rPr>
              <w:t xml:space="preserve">，并预留负压风机安装条件，确保处理过程中尾气不外逸。</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bCs/>
                <w:color w:val="000000"/>
                <w:szCs w:val="21"/>
                <w:highlight w:val="none"/>
                <w:u w:val="none"/>
              </w:rPr>
            </w:pPr>
            <w:r>
              <w:rPr>
                <w:rFonts w:hint="eastAsia" w:ascii="宋体" w:hAnsi="宋体" w:eastAsia="宋体" w:cs="宋体"/>
                <w:b/>
                <w:bCs/>
                <w:color w:val="000000"/>
                <w:szCs w:val="21"/>
                <w:highlight w:val="none"/>
                <w:u w:val="none"/>
              </w:rPr>
              <w:t xml:space="preserve">▲</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lang w:val="en-US" w:eastAsia="zh-CN"/>
              </w:rPr>
              <w:t xml:space="preserve">12</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rPr>
              <w:t xml:space="preserve">配套负压风机功率不小于</w:t>
            </w:r>
            <w:r>
              <w:rPr>
                <w:rStyle w:val="1211"/>
                <w:rFonts w:hint="eastAsia" w:ascii="宋体" w:hAnsi="宋体" w:eastAsia="宋体" w:cs="宋体"/>
                <w:b/>
                <w:bCs/>
                <w:color w:val="000000"/>
                <w:szCs w:val="21"/>
                <w:highlight w:val="none"/>
                <w:u w:val="none"/>
              </w:rPr>
              <w:t xml:space="preserve">0.37kW</w:t>
            </w:r>
            <w:r>
              <w:rPr>
                <w:rFonts w:hint="eastAsia" w:ascii="宋体" w:hAnsi="宋体" w:eastAsia="宋体" w:cs="宋体"/>
                <w:b/>
                <w:bCs/>
                <w:color w:val="000000"/>
                <w:szCs w:val="21"/>
                <w:highlight w:val="none"/>
                <w:u w:val="none"/>
              </w:rPr>
              <w:t xml:space="preserve">，全压不小于</w:t>
            </w:r>
            <w:r>
              <w:rPr>
                <w:rStyle w:val="1211"/>
                <w:rFonts w:hint="eastAsia" w:ascii="宋体" w:hAnsi="宋体" w:eastAsia="宋体" w:cs="宋体"/>
                <w:b/>
                <w:bCs/>
                <w:color w:val="000000"/>
                <w:szCs w:val="21"/>
                <w:highlight w:val="none"/>
                <w:u w:val="none"/>
              </w:rPr>
              <w:t xml:space="preserve">600 Pa</w:t>
            </w:r>
            <w:r>
              <w:rPr>
                <w:rFonts w:hint="eastAsia" w:ascii="宋体" w:hAnsi="宋体" w:eastAsia="宋体" w:cs="宋体"/>
                <w:b/>
                <w:bCs/>
                <w:color w:val="000000"/>
                <w:szCs w:val="21"/>
                <w:highlight w:val="none"/>
                <w:u w:val="none"/>
              </w:rPr>
              <w:t xml:space="preserve">，满足系统稳定抽排要求</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bCs/>
                <w:color w:val="000000"/>
                <w:highlight w:val="none"/>
                <w:u w:val="none"/>
                <w:lang w:val="en-US" w:eastAsia="zh-CN"/>
              </w:rPr>
              <w:t xml:space="preserve">投标文件中提供厂家技术说明书扫描件并加盖投标人公章</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bCs/>
                <w:color w:val="000000"/>
                <w:szCs w:val="21"/>
                <w:highlight w:val="none"/>
                <w:u w:val="none"/>
              </w:rPr>
              <w:t xml:space="preserve">。</w:t>
            </w:r>
            <w:r>
              <w:rPr>
                <w:rFonts w:hint="eastAsia" w:ascii="宋体" w:hAnsi="宋体" w:eastAsia="宋体" w:cs="宋体"/>
                <w:b/>
                <w:bCs/>
                <w:color w:val="000000"/>
                <w:szCs w:val="21"/>
                <w:highlight w:val="none"/>
                <w:u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13</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燃烧筒本体结构及燃烧区域设计应确保燃烧充分、稳定，避免未完全燃烧气体排出；应具备必要的运行状态监测（如火焰状态/点火状态/关键温度或等效参数），并与安全联锁逻辑协调。</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（14）设备必须具备清晰、明确的</w:t>
            </w:r>
            <w:r>
              <w:rPr>
                <w:rStyle w:val="1211"/>
                <w:rFonts w:hint="eastAsia" w:ascii="宋体" w:hAnsi="宋体" w:eastAsia="宋体" w:cs="宋体"/>
                <w:b w:val="0"/>
                <w:bCs w:val="0"/>
                <w:color w:val="000000"/>
                <w:szCs w:val="21"/>
                <w:highlight w:val="none"/>
              </w:rPr>
              <w:t xml:space="preserve">进气方向、出气方向及安全警示标识</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（15）燃烧筒维护、检修及更换作业应安全可控，维护过程不应造成二次污染或新增安全隐患，并应提供维护周期与耗材更换指导。</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（16）电气系统必须具备</w:t>
            </w:r>
            <w:r>
              <w:rPr>
                <w:rStyle w:val="1211"/>
                <w:rFonts w:hint="eastAsia" w:ascii="宋体" w:hAnsi="宋体" w:eastAsia="宋体" w:cs="宋体"/>
                <w:b w:val="0"/>
                <w:bCs w:val="0"/>
                <w:color w:val="000000"/>
                <w:szCs w:val="21"/>
                <w:highlight w:val="none"/>
              </w:rPr>
              <w:t xml:space="preserve">过载、短路及异常工况自动停机保护功能</w:t>
            </w:r>
            <w:r>
              <w:rPr>
                <w:rFonts w:hint="eastAsia" w:ascii="宋体" w:hAnsi="宋体" w:eastAsia="宋体" w:cs="宋体"/>
                <w:b w:val="0"/>
                <w:bCs w:val="0"/>
                <w:color w:val="000000"/>
                <w:szCs w:val="21"/>
                <w:highlight w:val="none"/>
              </w:rPr>
              <w:t xml:space="preserve">，确保设备及人员安全。</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vMerge w:val="continue"/>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干式吸附处理器</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u w:val="none"/>
              </w:rPr>
            </w:pPr>
            <w:r>
              <w:rPr>
                <w:rFonts w:hint="eastAsia" w:ascii="宋体" w:hAnsi="宋体" w:eastAsia="宋体" w:cs="宋体"/>
                <w:b/>
                <w:bCs/>
                <w:color w:val="000000"/>
                <w:sz w:val="21"/>
                <w:szCs w:val="21"/>
                <w:highlight w:val="none"/>
                <w:u w:val="none"/>
              </w:rPr>
              <w:t xml:space="preserve">▲（1）处理方式必须采用干法吸附反应工艺，用于燃烧分解后尾气中残余组分或</w:t>
            </w:r>
            <w:r>
              <w:rPr>
                <w:rFonts w:hint="eastAsia" w:ascii="宋体" w:hAnsi="宋体" w:eastAsia="宋体" w:cs="宋体"/>
                <w:b/>
                <w:bCs/>
                <w:color w:val="000000"/>
                <w:sz w:val="21"/>
                <w:szCs w:val="21"/>
                <w:highlight w:val="none"/>
                <w:u w:val="none"/>
                <w:lang w:eastAsia="zh-CN"/>
              </w:rPr>
              <w:t xml:space="preserve">其他</w:t>
            </w:r>
            <w:r>
              <w:rPr>
                <w:rFonts w:hint="eastAsia" w:ascii="宋体" w:hAnsi="宋体" w:eastAsia="宋体" w:cs="宋体"/>
                <w:b/>
                <w:bCs/>
                <w:color w:val="000000"/>
                <w:sz w:val="21"/>
                <w:szCs w:val="21"/>
                <w:highlight w:val="none"/>
                <w:u w:val="none"/>
              </w:rPr>
              <w:t xml:space="preserve">工艺气体的进一步处理</w:t>
            </w:r>
            <w:r>
              <w:rPr>
                <w:rFonts w:hint="eastAsia" w:ascii="宋体" w:hAnsi="宋体" w:eastAsia="宋体" w:cs="宋体"/>
                <w:b/>
                <w:bCs/>
                <w:color w:val="000000"/>
                <w:sz w:val="21"/>
                <w:szCs w:val="21"/>
                <w:highlight w:val="none"/>
                <w:u w:val="none"/>
                <w:lang w:val="en-US" w:eastAsia="zh-CN"/>
              </w:rPr>
              <w:t xml:space="preserve">（</w:t>
            </w:r>
            <w:r>
              <w:rPr>
                <w:rFonts w:ascii="宋体" w:hAnsi="宋体" w:eastAsia="宋体" w:cs="宋体"/>
                <w:b/>
                <w:bCs/>
                <w:sz w:val="21"/>
                <w:szCs w:val="21"/>
                <w:highlight w:val="none"/>
              </w:rPr>
              <w:t xml:space="preserve">投标文件中须提供针对本次采购设备对本项目所涉及全部气体具备吸附能力的说明材料，以证明该设备能够对采购人提供的相关气体实现有效吸附</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bCs/>
                <w:color w:val="000000"/>
                <w:szCs w:val="21"/>
                <w:highlight w:val="none"/>
                <w:u w:val="none"/>
              </w:rPr>
              <w:t xml:space="preserve">。</w:t>
            </w:r>
            <w:r>
              <w:rPr>
                <w:rFonts w:hint="eastAsia" w:ascii="宋体" w:hAnsi="宋体" w:eastAsia="宋体" w:cs="宋体"/>
                <w:b/>
                <w:bCs/>
                <w:color w:val="000000"/>
                <w:szCs w:val="21"/>
                <w:highlight w:val="none"/>
                <w:u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（2）外形尺寸（±0.5mm）：850mm（宽）×850mm（深）×1760mm（高）。</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（3）电源条件必须为交流220伏，单相，50赫兹，功率不大于1千瓦。</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（4）单个吸附罐容量不小于200L，并应说明吸附材料类型、适用气体范围与更换判据。</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u w:val="none"/>
              </w:rPr>
            </w:pPr>
            <w:r>
              <w:rPr>
                <w:rFonts w:hint="eastAsia" w:ascii="宋体" w:hAnsi="宋体" w:eastAsia="宋体" w:cs="宋体"/>
                <w:b/>
                <w:bCs/>
                <w:color w:val="000000"/>
                <w:szCs w:val="21"/>
                <w:highlight w:val="none"/>
                <w:u w:val="none"/>
              </w:rPr>
              <w:t xml:space="preserve">▲（5）最大气体处理能力不小于200～400</w:t>
            </w:r>
            <w:r>
              <w:rPr>
                <w:rFonts w:hint="eastAsia" w:ascii="宋体" w:hAnsi="宋体" w:eastAsia="宋体" w:cs="宋体"/>
                <w:b/>
                <w:bCs/>
                <w:color w:val="000000"/>
                <w:szCs w:val="21"/>
                <w:highlight w:val="none"/>
                <w:u w:val="none"/>
                <w:lang w:val="en-US" w:eastAsia="zh-CN"/>
              </w:rPr>
              <w:t xml:space="preserve">标准升每分钟</w:t>
            </w:r>
            <w:r>
              <w:rPr>
                <w:rFonts w:hint="eastAsia" w:ascii="宋体" w:hAnsi="宋体" w:eastAsia="宋体" w:cs="宋体"/>
                <w:b/>
                <w:bCs/>
                <w:color w:val="000000"/>
                <w:szCs w:val="21"/>
                <w:highlight w:val="none"/>
                <w:u w:val="none"/>
              </w:rPr>
              <w:t xml:space="preserve">。若系统前端燃烧处理装置设计总流量高于该范围</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rPr>
              <w:t xml:space="preserve">投标文件中提供工况说明与匹配方案（如分流/旁路/并联罐/按排放工况限定进入吸附段的流量），并以验收测试为准</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rPr>
              <w:t xml:space="preserve">。</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lang w:val="en-US" w:eastAsia="zh-CN"/>
              </w:rPr>
              <w:t xml:space="preserve">投标文件中提供厂家技术说明书扫描件并加盖投标人公章）</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（6）进、出气接口规格为KF50法兰（或等效接口，需与项目管路匹配）。</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（7）柜体排风接口公称直径≥DN100（或等效规格，满足负压抽排与安装要求）。</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（8）氮气供气压力4～7 kg/cm</w:t>
            </w:r>
            <w:r>
              <w:rPr>
                <w:rFonts w:hint="eastAsia" w:ascii="宋体" w:hAnsi="宋体" w:eastAsia="宋体" w:cs="宋体"/>
                <w:b w:val="0"/>
                <w:bCs w:val="0"/>
                <w:color w:val="000000"/>
                <w:szCs w:val="21"/>
                <w:highlight w:val="none"/>
                <w:vertAlign w:val="superscript"/>
              </w:rPr>
              <w:t xml:space="preserve">2</w:t>
            </w:r>
            <w:r>
              <w:rPr>
                <w:rFonts w:hint="eastAsia" w:ascii="宋体" w:hAnsi="宋体" w:eastAsia="宋体" w:cs="宋体"/>
                <w:b w:val="0"/>
                <w:bCs w:val="0"/>
                <w:color w:val="000000"/>
                <w:szCs w:val="21"/>
                <w:highlight w:val="none"/>
              </w:rPr>
              <w:t xml:space="preserve">，接口规格1/4英寸（用于吹扫/置换/保护等用途）。</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（9）应配置尾气浓度监测装置或等效监测手段（根据处理介质与接管要求确定监测参数），</w:t>
            </w:r>
            <w:r>
              <w:rPr>
                <w:rFonts w:hint="eastAsia" w:ascii="宋体" w:hAnsi="宋体" w:eastAsia="宋体" w:cs="宋体"/>
                <w:b/>
                <w:bCs/>
                <w:color w:val="000000"/>
                <w:szCs w:val="21"/>
                <w:highlight w:val="none"/>
              </w:rPr>
              <w:t xml:space="preserve">并可接入气体泄漏侦测及报警系统。</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▲（10）应</w:t>
            </w:r>
            <w:r>
              <w:rPr>
                <w:rFonts w:hint="eastAsia" w:ascii="宋体" w:hAnsi="宋体" w:eastAsia="宋体" w:cs="宋体"/>
                <w:b/>
                <w:bCs/>
                <w:color w:val="000000"/>
                <w:szCs w:val="21"/>
                <w:highlight w:val="none"/>
                <w:lang w:val="en-US" w:eastAsia="zh-CN"/>
              </w:rPr>
              <w:t xml:space="preserve">配置</w:t>
            </w:r>
            <w:r>
              <w:rPr>
                <w:rFonts w:hint="eastAsia" w:ascii="宋体" w:hAnsi="宋体" w:eastAsia="宋体" w:cs="宋体"/>
                <w:b/>
                <w:bCs/>
                <w:color w:val="000000"/>
                <w:szCs w:val="21"/>
                <w:highlight w:val="none"/>
              </w:rPr>
              <w:t xml:space="preserve">负压风机或等效抽排条件，风机功率不小于</w:t>
            </w:r>
            <w:r>
              <w:rPr>
                <w:rStyle w:val="1211"/>
                <w:rFonts w:hint="eastAsia" w:ascii="宋体" w:hAnsi="宋体" w:eastAsia="宋体" w:cs="宋体"/>
                <w:b/>
                <w:bCs/>
                <w:color w:val="000000"/>
                <w:szCs w:val="21"/>
                <w:highlight w:val="none"/>
              </w:rPr>
              <w:t xml:space="preserve">0.37kW</w:t>
            </w:r>
            <w:r>
              <w:rPr>
                <w:rStyle w:val="1211"/>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以确保系统维持微负压运行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确保尾气不外逸；负压异常应报警并触发必要的联锁保护</w:t>
            </w:r>
            <w:r>
              <w:rPr>
                <w:rFonts w:hint="eastAsia" w:ascii="宋体" w:hAnsi="宋体" w:eastAsia="宋体" w:cs="宋体"/>
                <w:b/>
                <w:bCs/>
                <w:color w:val="000000"/>
                <w:szCs w:val="21"/>
                <w:highlight w:val="none"/>
                <w:u w:val="none"/>
                <w:lang w:eastAsia="zh-CN"/>
              </w:rPr>
              <w:t xml:space="preserve">（</w:t>
            </w:r>
            <w:r>
              <w:rPr>
                <w:rFonts w:hint="eastAsia" w:ascii="宋体" w:hAnsi="宋体" w:eastAsia="宋体" w:cs="宋体"/>
                <w:b/>
                <w:bCs/>
                <w:color w:val="000000"/>
                <w:szCs w:val="21"/>
                <w:highlight w:val="none"/>
                <w:u w:val="none"/>
                <w:lang w:val="en-US" w:eastAsia="zh-CN"/>
              </w:rPr>
              <w:t xml:space="preserve">投标文件中提供厂家技术说明书扫描件并加盖投标人公章</w:t>
            </w:r>
            <w:r>
              <w:rPr>
                <w:rFonts w:hint="eastAsia" w:ascii="宋体" w:hAnsi="宋体" w:eastAsia="宋体" w:cs="宋体"/>
                <w:b/>
                <w:bCs/>
                <w:color w:val="000000"/>
                <w:szCs w:val="21"/>
                <w:highlight w:val="none"/>
                <w:u w:val="none"/>
                <w:lang w:val="en-US"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rPr>
              <w:t xml:space="preserve">）吸附材料应适用于所处理气体及副产物，吸附/反应性能稳定；应明确更换周期建议、更换判据与废弃物处置要求（符合环保与危废管理规定）</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并免费提供保质期三年的吸附材料</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）设备必须具备清晰的进、出气方向及安全警示标识。</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）吸附罐更换或维护必须安全可控，不得造成二次污染，并应提供维护作业指导与防护要求。</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）电气系统必须具备过载、短路及异常停机保护功能。</w:t>
            </w:r>
            <w:r>
              <w:rPr>
                <w:rFonts w:hint="eastAsia" w:ascii="宋体" w:hAnsi="宋体" w:eastAsia="宋体" w:cs="宋体"/>
                <w:b w:val="0"/>
                <w:bCs w:val="0"/>
                <w:color w:val="000000"/>
                <w:szCs w:val="21"/>
                <w:highlight w:val="none"/>
              </w:rPr>
            </w:r>
            <w:r/>
          </w:p>
        </w:tc>
      </w:tr>
      <w:tr>
        <w:trPr>
          <w:trHeight w:val="283"/>
        </w:trPr>
        <w:tc>
          <w:tcPr>
            <w:tcW w:w="370"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w:t>
            </w:r>
            <w:r>
              <w:rPr>
                <w:rFonts w:hint="eastAsia" w:ascii="宋体" w:hAnsi="宋体" w:eastAsia="宋体" w:cs="宋体"/>
                <w:b w:val="0"/>
                <w:bCs w:val="0"/>
                <w:color w:val="000000"/>
                <w:szCs w:val="21"/>
                <w:highlight w:val="none"/>
              </w:rPr>
            </w:r>
            <w:r/>
          </w:p>
        </w:tc>
        <w:tc>
          <w:tcPr>
            <w:tcW w:w="41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气体管道输运系统</w:t>
            </w: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适用范围与系统边界</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（1）本气体管道输运系统适用于N</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、Ar、He、O</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及各类特种工艺气体的集中输送。</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（2）本项目气体管道工程仅包含主系统工程，系统范围为：</w:t>
            </w:r>
            <w:r>
              <w:rPr>
                <w:rFonts w:hint="eastAsia" w:ascii="宋体" w:hAnsi="宋体" w:eastAsia="宋体" w:cs="宋体"/>
                <w:b w:val="0"/>
                <w:bCs w:val="0"/>
                <w:color w:val="000000"/>
                <w:szCs w:val="21"/>
                <w:highlight w:val="none"/>
              </w:rPr>
            </w:r>
            <w:r/>
          </w:p>
          <w:p>
            <w:pPr>
              <w:pStyle w:val="1139"/>
              <w:numPr>
                <w:ilvl w:val="0"/>
                <w:numId w:val="12"/>
              </w:numPr>
              <w:ind w:firstLine="420"/>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自供气面板出口起；</w:t>
            </w:r>
            <w:r>
              <w:rPr>
                <w:rFonts w:hint="eastAsia" w:ascii="宋体" w:hAnsi="宋体" w:eastAsia="宋体" w:cs="宋体"/>
                <w:b w:val="0"/>
                <w:bCs w:val="0"/>
                <w:color w:val="000000"/>
                <w:szCs w:val="21"/>
                <w:highlight w:val="none"/>
              </w:rPr>
            </w:r>
            <w:r/>
          </w:p>
          <w:p>
            <w:pPr>
              <w:pStyle w:val="1139"/>
              <w:numPr>
                <w:ilvl w:val="0"/>
                <w:numId w:val="12"/>
              </w:numPr>
              <w:ind w:firstLine="420"/>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经各区域新增减压阀站；</w:t>
            </w:r>
            <w:r>
              <w:rPr>
                <w:rFonts w:hint="eastAsia" w:ascii="宋体" w:hAnsi="宋体" w:eastAsia="宋体" w:cs="宋体"/>
                <w:b w:val="0"/>
                <w:bCs w:val="0"/>
                <w:color w:val="000000"/>
                <w:szCs w:val="21"/>
                <w:highlight w:val="none"/>
              </w:rPr>
            </w:r>
            <w:r/>
          </w:p>
          <w:p>
            <w:pPr>
              <w:pStyle w:val="1139"/>
              <w:numPr>
                <w:ilvl w:val="0"/>
                <w:numId w:val="12"/>
              </w:numPr>
              <w:ind w:firstLine="420"/>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至工艺设备附近预留阀门止。</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N</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、Ar、He、O</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输运系统要求</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（1）N</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、Ar、He、O</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系统应自供气面板出口，经新增区域减压阀站后，输送至各工艺设备附近预留阀门位置，满足工艺用气稳定性及安全性要求。</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（2）管道尺寸配置要求如下：</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①主干管公称尺寸为二分之一英寸，壁厚</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0.89mm；</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②支管公称尺寸为四分之一英寸，壁厚</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0.89mm。</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（3）管道材料必须采用不锈钢316L</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EP电解抛光管材</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eastAsia="zh-CN"/>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（4）系统中所有阀门及管阀件必须采用不锈钢316L</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EP电解抛光处理产品。</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（5）管道连接方式必须采用自动焊接或金属密封压缩连接方式，连接方式应满足气密性、可维护性及长期运行可靠性要求。</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（6）管道系统布置应避免形成死角、积液点及颗粒滞留区域，必要时应通过合理坡度、排气/排放点设计予以消除。</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含氟及混合特种气体输运系统要求</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201"/>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特种气体输运要求</w:t>
            </w:r>
            <w:r>
              <w:rPr>
                <w:rFonts w:hint="eastAsia" w:ascii="宋体" w:hAnsi="宋体" w:eastAsia="宋体" w:cs="宋体"/>
                <w:b/>
                <w:bCs/>
                <w:color w:val="000000"/>
                <w:sz w:val="21"/>
                <w:szCs w:val="21"/>
                <w:highlight w:val="none"/>
                <w:lang w:val="en-US" w:eastAsia="zh-CN"/>
              </w:rPr>
            </w:r>
            <w:r/>
          </w:p>
          <w:p>
            <w:pPr>
              <w:pStyle w:val="1139"/>
              <w:jc w:val="both"/>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（1）SiH</w:t>
            </w:r>
            <w:r>
              <w:rPr>
                <w:rFonts w:hint="eastAsia" w:ascii="宋体" w:hAnsi="宋体" w:eastAsia="宋体" w:cs="宋体"/>
                <w:b w:val="0"/>
                <w:bCs w:val="0"/>
                <w:color w:val="000000"/>
                <w:sz w:val="21"/>
                <w:szCs w:val="21"/>
                <w:highlight w:val="none"/>
                <w:vertAlign w:val="subscript"/>
                <w:lang w:val="en-US" w:eastAsia="zh-CN"/>
              </w:rPr>
              <w:t xml:space="preserve">4</w:t>
            </w:r>
            <w:r>
              <w:rPr>
                <w:rFonts w:hint="eastAsia" w:ascii="宋体" w:hAnsi="宋体" w:eastAsia="宋体" w:cs="宋体"/>
                <w:b w:val="0"/>
                <w:bCs w:val="0"/>
                <w:color w:val="000000"/>
                <w:szCs w:val="21"/>
                <w:highlight w:val="none"/>
              </w:rPr>
              <w:t xml:space="preserve">、NH</w:t>
            </w:r>
            <w:r>
              <w:rPr>
                <w:rFonts w:hint="eastAsia" w:ascii="宋体" w:hAnsi="宋体" w:eastAsia="宋体" w:cs="宋体"/>
                <w:b w:val="0"/>
                <w:bCs w:val="0"/>
                <w:color w:val="000000"/>
                <w:szCs w:val="21"/>
                <w:highlight w:val="none"/>
                <w:vertAlign w:val="subscript"/>
              </w:rPr>
              <w:t xml:space="preserve">3</w:t>
            </w:r>
            <w:r>
              <w:rPr>
                <w:rFonts w:hint="eastAsia" w:ascii="宋体" w:hAnsi="宋体" w:eastAsia="宋体" w:cs="宋体"/>
                <w:b w:val="0"/>
                <w:bCs w:val="0"/>
                <w:color w:val="000000"/>
                <w:szCs w:val="21"/>
                <w:highlight w:val="none"/>
              </w:rPr>
              <w:t xml:space="preserve">、N</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O系统，应自</w:t>
            </w:r>
            <w:r>
              <w:rPr>
                <w:rFonts w:hint="eastAsia" w:ascii="宋体" w:hAnsi="宋体" w:eastAsia="宋体" w:cs="宋体"/>
                <w:b w:val="0"/>
                <w:bCs w:val="0"/>
                <w:color w:val="000000"/>
                <w:szCs w:val="21"/>
                <w:highlight w:val="none"/>
                <w:lang w:val="en-US" w:eastAsia="zh-CN"/>
              </w:rPr>
              <w:t xml:space="preserve">气柜</w:t>
            </w:r>
            <w:r>
              <w:rPr>
                <w:rFonts w:hint="eastAsia" w:ascii="宋体" w:hAnsi="宋体" w:eastAsia="宋体" w:cs="宋体"/>
                <w:b w:val="0"/>
                <w:bCs w:val="0"/>
                <w:color w:val="000000"/>
                <w:szCs w:val="21"/>
                <w:highlight w:val="none"/>
              </w:rPr>
              <w:t xml:space="preserve">出口直接输送至工艺设备附近预留阀门位置。</w:t>
            </w:r>
            <w:r>
              <w:rPr>
                <w:rFonts w:hint="eastAsia" w:ascii="宋体" w:hAnsi="宋体" w:eastAsia="宋体" w:cs="宋体"/>
                <w:b w:val="0"/>
                <w:bCs w:val="0"/>
                <w:color w:val="000000"/>
                <w:sz w:val="21"/>
                <w:szCs w:val="21"/>
                <w:highlight w:val="none"/>
                <w:lang w:val="en-US" w:eastAsia="zh-CN"/>
              </w:rPr>
            </w:r>
            <w:r/>
          </w:p>
          <w:p>
            <w:pPr>
              <w:pStyle w:val="1139"/>
              <w:numPr>
                <w:ilvl w:val="0"/>
                <w:numId w:val="0"/>
              </w:numPr>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SiH</w:t>
            </w:r>
            <w:r>
              <w:rPr>
                <w:rFonts w:hint="eastAsia" w:ascii="宋体" w:hAnsi="宋体" w:eastAsia="宋体" w:cs="宋体"/>
                <w:b w:val="0"/>
                <w:bCs w:val="0"/>
                <w:color w:val="000000"/>
                <w:szCs w:val="21"/>
                <w:highlight w:val="none"/>
                <w:vertAlign w:val="subscript"/>
              </w:rPr>
              <w:t xml:space="preserve">4</w:t>
            </w:r>
            <w:r>
              <w:rPr>
                <w:rFonts w:hint="eastAsia" w:ascii="宋体" w:hAnsi="宋体" w:eastAsia="宋体" w:cs="宋体"/>
                <w:b w:val="0"/>
                <w:bCs w:val="0"/>
                <w:color w:val="000000"/>
                <w:szCs w:val="21"/>
                <w:highlight w:val="none"/>
              </w:rPr>
              <w:t xml:space="preserve">气体管道采用双套管，配备负压监控装置。双套管内管选用</w:t>
            </w:r>
            <w:bookmarkStart w:id="387" w:name="OLE_LINK1"/>
            <w:r>
              <w:rPr>
                <w:rFonts w:hint="eastAsia" w:ascii="宋体" w:hAnsi="宋体" w:eastAsia="宋体" w:cs="宋体"/>
                <w:b w:val="0"/>
                <w:bCs w:val="0"/>
                <w:color w:val="000000"/>
                <w:szCs w:val="21"/>
                <w:highlight w:val="none"/>
              </w:rPr>
              <w:t xml:space="preserve">316L EP</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超净管</w:t>
            </w:r>
            <w:bookmarkEnd w:id="387"/>
            <w:r>
              <w:rPr>
                <w:rFonts w:hint="eastAsia" w:ascii="宋体" w:hAnsi="宋体" w:eastAsia="宋体" w:cs="宋体"/>
                <w:b w:val="0"/>
                <w:bCs w:val="0"/>
                <w:color w:val="000000"/>
                <w:szCs w:val="21"/>
                <w:highlight w:val="none"/>
              </w:rPr>
              <w:t xml:space="preserve">，管径为1/4英寸</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rPr>
              <w:t xml:space="preserve">壁厚</w:t>
            </w:r>
            <w:r>
              <w:rPr>
                <w:rFonts w:hint="eastAsia" w:ascii="宋体" w:hAnsi="宋体" w:eastAsia="宋体" w:cs="宋体"/>
                <w:b w:val="0"/>
                <w:bCs w:val="0"/>
                <w:color w:val="000000"/>
                <w:sz w:val="21"/>
                <w:szCs w:val="21"/>
                <w:highlight w:val="none"/>
                <w:lang w:val="en-US" w:eastAsia="zh-CN"/>
              </w:rPr>
              <w:t xml:space="preserve">≥</w:t>
            </w:r>
            <w:r>
              <w:rPr>
                <w:rStyle w:val="1211"/>
                <w:rFonts w:hint="eastAsia" w:ascii="宋体" w:hAnsi="宋体" w:eastAsia="宋体" w:cs="宋体"/>
                <w:b w:val="0"/>
                <w:bCs w:val="0"/>
                <w:color w:val="000000"/>
                <w:sz w:val="21"/>
                <w:szCs w:val="21"/>
                <w:highlight w:val="none"/>
              </w:rPr>
              <w:t xml:space="preserve">0.89mm</w:t>
            </w:r>
            <w:r>
              <w:rPr>
                <w:rFonts w:hint="eastAsia" w:ascii="宋体" w:hAnsi="宋体" w:eastAsia="宋体" w:cs="宋体"/>
                <w:b w:val="0"/>
                <w:bCs w:val="0"/>
                <w:color w:val="000000"/>
                <w:szCs w:val="21"/>
                <w:highlight w:val="none"/>
              </w:rPr>
              <w:t xml:space="preserve">；外管选用316L BA</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管，管径为1/2英寸，双套管间隙采用压力表监测。其余管材、阀门与组件均采用</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316L EP，阀门与管道连接采用VCR连接方式。</w:t>
            </w:r>
            <w:r>
              <w:rPr>
                <w:rFonts w:hint="eastAsia" w:ascii="宋体" w:hAnsi="宋体" w:eastAsia="宋体" w:cs="宋体"/>
                <w:b w:val="0"/>
                <w:bCs w:val="0"/>
                <w:color w:val="000000"/>
                <w:szCs w:val="21"/>
                <w:highlight w:val="none"/>
              </w:rPr>
            </w:r>
            <w:r/>
          </w:p>
          <w:p>
            <w:pPr>
              <w:pStyle w:val="1139"/>
              <w:numPr>
                <w:ilvl w:val="0"/>
                <w:numId w:val="0"/>
              </w:numPr>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NH</w:t>
            </w:r>
            <w:r>
              <w:rPr>
                <w:rFonts w:hint="eastAsia" w:ascii="宋体" w:hAnsi="宋体" w:eastAsia="宋体" w:cs="宋体"/>
                <w:b w:val="0"/>
                <w:bCs w:val="0"/>
                <w:color w:val="000000"/>
                <w:szCs w:val="21"/>
                <w:highlight w:val="none"/>
                <w:vertAlign w:val="subscript"/>
              </w:rPr>
              <w:t xml:space="preserve">3</w:t>
            </w:r>
            <w:r>
              <w:rPr>
                <w:rFonts w:hint="eastAsia" w:ascii="宋体" w:hAnsi="宋体" w:eastAsia="宋体" w:cs="宋体"/>
                <w:b w:val="0"/>
                <w:bCs w:val="0"/>
                <w:color w:val="000000"/>
                <w:szCs w:val="21"/>
                <w:highlight w:val="none"/>
              </w:rPr>
              <w:t xml:space="preserve">气体管道采用316L EP</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超净管，管径为1/4英寸</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rPr>
              <w:t xml:space="preserve">壁厚</w:t>
            </w:r>
            <w:r>
              <w:rPr>
                <w:rFonts w:hint="eastAsia" w:ascii="宋体" w:hAnsi="宋体" w:eastAsia="宋体" w:cs="宋体"/>
                <w:b w:val="0"/>
                <w:bCs w:val="0"/>
                <w:color w:val="000000"/>
                <w:sz w:val="21"/>
                <w:szCs w:val="21"/>
                <w:highlight w:val="none"/>
                <w:lang w:val="en-US" w:eastAsia="zh-CN"/>
              </w:rPr>
              <w:t xml:space="preserve">≥</w:t>
            </w:r>
            <w:r>
              <w:rPr>
                <w:rStyle w:val="1211"/>
                <w:rFonts w:hint="eastAsia" w:ascii="宋体" w:hAnsi="宋体" w:eastAsia="宋体" w:cs="宋体"/>
                <w:b w:val="0"/>
                <w:bCs w:val="0"/>
                <w:color w:val="000000"/>
                <w:sz w:val="21"/>
                <w:szCs w:val="21"/>
                <w:highlight w:val="none"/>
              </w:rPr>
              <w:t xml:space="preserve">0.89mm</w:t>
            </w:r>
            <w:r>
              <w:rPr>
                <w:rFonts w:hint="eastAsia" w:ascii="宋体" w:hAnsi="宋体" w:eastAsia="宋体" w:cs="宋体"/>
                <w:b w:val="0"/>
                <w:bCs w:val="0"/>
                <w:color w:val="000000"/>
                <w:szCs w:val="21"/>
                <w:highlight w:val="none"/>
              </w:rPr>
              <w:t xml:space="preserve">，管道须配备伴热装置，伴热装置采用自限温型，加热带功率采用30W/M，阀门与组件均采用</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316L EP，阀门与管道连接采用VCR连接方式。</w:t>
            </w:r>
            <w:r>
              <w:rPr>
                <w:rFonts w:hint="eastAsia" w:ascii="宋体" w:hAnsi="宋体" w:eastAsia="宋体" w:cs="宋体"/>
                <w:b w:val="0"/>
                <w:bCs w:val="0"/>
                <w:color w:val="000000"/>
                <w:szCs w:val="21"/>
                <w:highlight w:val="none"/>
              </w:rPr>
            </w:r>
            <w:r/>
          </w:p>
          <w:p>
            <w:pPr>
              <w:pStyle w:val="1139"/>
              <w:numPr>
                <w:ilvl w:val="0"/>
                <w:numId w:val="0"/>
              </w:numPr>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N</w:t>
            </w:r>
            <w:r>
              <w:rPr>
                <w:rFonts w:hint="eastAsia" w:ascii="宋体" w:hAnsi="宋体" w:eastAsia="宋体" w:cs="宋体"/>
                <w:b w:val="0"/>
                <w:bCs w:val="0"/>
                <w:color w:val="000000"/>
                <w:szCs w:val="21"/>
                <w:highlight w:val="none"/>
                <w:vertAlign w:val="subscript"/>
              </w:rPr>
              <w:t xml:space="preserve">2</w:t>
            </w:r>
            <w:r>
              <w:rPr>
                <w:rFonts w:hint="eastAsia" w:ascii="宋体" w:hAnsi="宋体" w:eastAsia="宋体" w:cs="宋体"/>
                <w:b w:val="0"/>
                <w:bCs w:val="0"/>
                <w:color w:val="000000"/>
                <w:szCs w:val="21"/>
                <w:highlight w:val="none"/>
              </w:rPr>
              <w:t xml:space="preserve">O气体管道采用</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316L EP超净管，管径为1/4英寸，</w:t>
            </w:r>
            <w:r>
              <w:rPr>
                <w:rFonts w:hint="eastAsia" w:ascii="宋体" w:hAnsi="宋体" w:eastAsia="宋体" w:cs="宋体"/>
                <w:b w:val="0"/>
                <w:bCs w:val="0"/>
                <w:color w:val="000000"/>
                <w:sz w:val="21"/>
                <w:szCs w:val="21"/>
                <w:highlight w:val="none"/>
              </w:rPr>
              <w:t xml:space="preserve">壁厚</w:t>
            </w:r>
            <w:r>
              <w:rPr>
                <w:rFonts w:hint="eastAsia" w:ascii="宋体" w:hAnsi="宋体" w:eastAsia="宋体" w:cs="宋体"/>
                <w:b w:val="0"/>
                <w:bCs w:val="0"/>
                <w:color w:val="000000"/>
                <w:sz w:val="21"/>
                <w:szCs w:val="21"/>
                <w:highlight w:val="none"/>
                <w:lang w:val="en-US" w:eastAsia="zh-CN"/>
              </w:rPr>
              <w:t xml:space="preserve">≥</w:t>
            </w:r>
            <w:r>
              <w:rPr>
                <w:rStyle w:val="1211"/>
                <w:rFonts w:hint="eastAsia" w:ascii="宋体" w:hAnsi="宋体" w:eastAsia="宋体" w:cs="宋体"/>
                <w:b w:val="0"/>
                <w:bCs w:val="0"/>
                <w:color w:val="000000"/>
                <w:sz w:val="21"/>
                <w:szCs w:val="21"/>
                <w:highlight w:val="none"/>
              </w:rPr>
              <w:t xml:space="preserve">0.89 mm</w:t>
            </w:r>
            <w:r>
              <w:rPr>
                <w:rStyle w:val="1211"/>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Cs w:val="21"/>
                <w:highlight w:val="none"/>
              </w:rPr>
              <w:t xml:space="preserve">阀门与组件均采用</w:t>
            </w:r>
            <w:r>
              <w:rPr>
                <w:rFonts w:hint="eastAsia" w:ascii="宋体" w:hAnsi="宋体" w:eastAsia="宋体" w:cs="宋体"/>
                <w:b w:val="0"/>
                <w:bCs w:val="0"/>
                <w:color w:val="000000"/>
                <w:szCs w:val="21"/>
                <w:highlight w:val="none"/>
                <w:lang w:val="en-US" w:eastAsia="zh-CN"/>
              </w:rPr>
              <w:t xml:space="preserve">不锈钢</w:t>
            </w:r>
            <w:r>
              <w:rPr>
                <w:rFonts w:hint="eastAsia" w:ascii="宋体" w:hAnsi="宋体" w:eastAsia="宋体" w:cs="宋体"/>
                <w:b w:val="0"/>
                <w:bCs w:val="0"/>
                <w:color w:val="000000"/>
                <w:szCs w:val="21"/>
                <w:highlight w:val="none"/>
              </w:rPr>
              <w:t xml:space="preserve">316L EP，阀门与管道连接采用VCR连接方式。</w:t>
            </w:r>
            <w:r>
              <w:rPr>
                <w:rFonts w:hint="eastAsia" w:ascii="宋体" w:hAnsi="宋体" w:eastAsia="宋体" w:cs="宋体"/>
                <w:b w:val="0"/>
                <w:bCs w:val="0"/>
                <w:color w:val="000000"/>
                <w:szCs w:val="21"/>
                <w:highlight w:val="none"/>
              </w:rPr>
            </w:r>
            <w:r/>
          </w:p>
          <w:p>
            <w:pPr>
              <w:pStyle w:val="1139"/>
              <w:numPr>
                <w:ilvl w:val="0"/>
                <w:numId w:val="0"/>
              </w:numPr>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）系统应配置与气体工况相匹配的调压、连接、密封、监测及安全附件，满足安全输送、稳定供气及后期运行维护要求。</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）管路布置应尽量遵循“短、直、少弯头、少阀门”的原则，减少死角和滞留。</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）系统设计应结合不同气体特性，综合考虑易燃、腐蚀、冷凝、分解及泄漏等风险，并采取相应的伴热保温、泄漏检测、吹扫置换、联锁切断及安全防护措施。</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）管道系统施工完成、检修后及每次换瓶后，均应进行检漏；系统运行区域应设置与介质特性相匹配的安全标识、报警装置及必要的应急处置设施。</w:t>
            </w:r>
            <w:r>
              <w:rPr>
                <w:rFonts w:hint="eastAsia" w:ascii="宋体" w:hAnsi="宋体" w:eastAsia="宋体" w:cs="宋体"/>
                <w:b w:val="0"/>
                <w:bCs w:val="0"/>
                <w:color w:val="000000"/>
                <w:sz w:val="21"/>
                <w:szCs w:val="21"/>
                <w:highlight w:val="none"/>
              </w:rPr>
            </w:r>
            <w:r/>
          </w:p>
          <w:p>
            <w:pPr>
              <w:pStyle w:val="1201"/>
              <w:numPr>
                <w:ilvl w:val="0"/>
                <w:numId w:val="0"/>
              </w:numPr>
              <w:ind w:right="0"/>
              <w:jc w:val="both"/>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含氟及混合特种气体输运</w:t>
            </w:r>
            <w:r>
              <w:rPr>
                <w:rFonts w:hint="eastAsia" w:ascii="宋体" w:hAnsi="宋体" w:eastAsia="宋体" w:cs="宋体"/>
                <w:b/>
                <w:bCs/>
                <w:color w:val="000000"/>
                <w:sz w:val="21"/>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（1）CF</w:t>
            </w:r>
            <w:r>
              <w:rPr>
                <w:rFonts w:hint="eastAsia" w:ascii="宋体" w:hAnsi="宋体" w:eastAsia="宋体" w:cs="宋体"/>
                <w:b w:val="0"/>
                <w:bCs w:val="0"/>
                <w:color w:val="000000"/>
                <w:szCs w:val="21"/>
                <w:highlight w:val="none"/>
                <w:vertAlign w:val="subscript"/>
              </w:rPr>
              <w:t xml:space="preserve">4</w:t>
            </w:r>
            <w:r>
              <w:rPr>
                <w:rFonts w:hint="eastAsia" w:ascii="宋体" w:hAnsi="宋体" w:eastAsia="宋体" w:cs="宋体"/>
                <w:b w:val="0"/>
                <w:bCs w:val="0"/>
                <w:color w:val="000000"/>
                <w:szCs w:val="21"/>
                <w:highlight w:val="none"/>
              </w:rPr>
              <w:t xml:space="preserve">、SF</w:t>
            </w:r>
            <w:r>
              <w:rPr>
                <w:rFonts w:hint="eastAsia" w:ascii="宋体" w:hAnsi="宋体" w:eastAsia="宋体" w:cs="宋体"/>
                <w:b w:val="0"/>
                <w:bCs w:val="0"/>
                <w:color w:val="000000"/>
                <w:szCs w:val="21"/>
                <w:highlight w:val="none"/>
                <w:vertAlign w:val="subscript"/>
              </w:rPr>
              <w:t xml:space="preserve">6</w:t>
            </w:r>
            <w:r>
              <w:rPr>
                <w:rFonts w:hint="eastAsia" w:ascii="宋体" w:hAnsi="宋体" w:eastAsia="宋体" w:cs="宋体"/>
                <w:b w:val="0"/>
                <w:bCs w:val="0"/>
                <w:color w:val="000000"/>
                <w:szCs w:val="21"/>
                <w:highlight w:val="none"/>
              </w:rPr>
              <w:t xml:space="preserve">、KrF、C</w:t>
            </w:r>
            <w:r>
              <w:rPr>
                <w:rFonts w:hint="eastAsia" w:ascii="宋体" w:hAnsi="宋体" w:eastAsia="宋体" w:cs="宋体"/>
                <w:b w:val="0"/>
                <w:bCs w:val="0"/>
                <w:color w:val="000000"/>
                <w:szCs w:val="21"/>
                <w:highlight w:val="none"/>
                <w:vertAlign w:val="subscript"/>
              </w:rPr>
              <w:t xml:space="preserve">4</w:t>
            </w:r>
            <w:r>
              <w:rPr>
                <w:rFonts w:hint="eastAsia" w:ascii="宋体" w:hAnsi="宋体" w:eastAsia="宋体" w:cs="宋体"/>
                <w:b w:val="0"/>
                <w:bCs w:val="0"/>
                <w:color w:val="000000"/>
                <w:szCs w:val="21"/>
                <w:highlight w:val="none"/>
              </w:rPr>
              <w:t xml:space="preserve">F</w:t>
            </w:r>
            <w:r>
              <w:rPr>
                <w:rFonts w:hint="eastAsia" w:ascii="宋体" w:hAnsi="宋体" w:eastAsia="宋体" w:cs="宋体"/>
                <w:b w:val="0"/>
                <w:bCs w:val="0"/>
                <w:color w:val="000000"/>
                <w:szCs w:val="21"/>
                <w:highlight w:val="none"/>
                <w:vertAlign w:val="subscript"/>
              </w:rPr>
              <w:t xml:space="preserve">8</w:t>
            </w:r>
            <w:r>
              <w:rPr>
                <w:rFonts w:hint="eastAsia" w:ascii="宋体" w:hAnsi="宋体" w:eastAsia="宋体" w:cs="宋体"/>
                <w:b w:val="0"/>
                <w:bCs w:val="0"/>
                <w:color w:val="000000"/>
                <w:szCs w:val="21"/>
                <w:highlight w:val="none"/>
              </w:rPr>
              <w:t xml:space="preserve">、CHF</w:t>
            </w:r>
            <w:r>
              <w:rPr>
                <w:rFonts w:hint="eastAsia" w:ascii="宋体" w:hAnsi="宋体" w:eastAsia="宋体" w:cs="宋体"/>
                <w:b w:val="0"/>
                <w:bCs w:val="0"/>
                <w:color w:val="000000"/>
                <w:szCs w:val="21"/>
                <w:highlight w:val="none"/>
                <w:vertAlign w:val="subscript"/>
              </w:rPr>
              <w:t xml:space="preserve">3</w:t>
            </w:r>
            <w:r>
              <w:rPr>
                <w:rFonts w:hint="eastAsia" w:ascii="宋体" w:hAnsi="宋体" w:eastAsia="宋体" w:cs="宋体"/>
                <w:b w:val="0"/>
                <w:bCs w:val="0"/>
                <w:color w:val="000000"/>
                <w:szCs w:val="21"/>
                <w:highlight w:val="none"/>
              </w:rPr>
              <w:t xml:space="preserve">系统，应自供气面板出口直接输送至工艺设备附近预留阀门位置。</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（2）管道尺寸配置要求：主干管及支管公称尺寸均为四分之一英寸。</w:t>
            </w:r>
            <w:r>
              <w:rPr>
                <w:rFonts w:hint="eastAsia" w:ascii="宋体" w:hAnsi="宋体" w:eastAsia="宋体" w:cs="宋体"/>
                <w:b w:val="0"/>
                <w:bCs w:val="0"/>
                <w:color w:val="000000"/>
                <w:szCs w:val="21"/>
                <w:highlight w:val="none"/>
              </w:rPr>
            </w:r>
            <w:r/>
          </w:p>
          <w:p>
            <w:pPr>
              <w:pStyle w:val="1201"/>
              <w:jc w:val="both"/>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1"/>
                <w:szCs w:val="21"/>
                <w:highlight w:val="none"/>
              </w:rPr>
              <w:suppressLineNumbers w:val="0"/>
            </w:pPr>
            <w:r>
              <w:rPr>
                <w:rStyle w:val="1211"/>
                <w:rFonts w:hint="eastAsia" w:ascii="宋体" w:hAnsi="宋体" w:eastAsia="宋体" w:cs="宋体"/>
                <w:b w:val="0"/>
                <w:bCs w:val="0"/>
                <w:i w:val="0"/>
                <w:iCs w:val="0"/>
                <w:color w:val="000000"/>
                <w:sz w:val="21"/>
                <w:szCs w:val="21"/>
                <w:highlight w:val="none"/>
              </w:rPr>
              <w:t xml:space="preserve">（3）管道及密封材料</w:t>
            </w:r>
            <w:r>
              <w:rPr>
                <w:rStyle w:val="1211"/>
                <w:rFonts w:hint="eastAsia" w:ascii="宋体" w:hAnsi="宋体" w:eastAsia="宋体" w:cs="宋体"/>
                <w:b w:val="0"/>
                <w:bCs w:val="0"/>
                <w:i w:val="0"/>
                <w:iCs w:val="0"/>
                <w:color w:val="000000"/>
                <w:sz w:val="21"/>
                <w:szCs w:val="21"/>
                <w:highlight w:val="none"/>
                <w:lang w:eastAsia="zh-CN"/>
              </w:rPr>
              <w:t xml:space="preserve">：</w:t>
            </w:r>
            <w:r>
              <w:rPr>
                <w:rFonts w:hint="eastAsia" w:ascii="宋体" w:hAnsi="宋体" w:eastAsia="宋体" w:cs="宋体"/>
                <w:b w:val="0"/>
                <w:bCs w:val="0"/>
                <w:i w:val="0"/>
                <w:iCs w:val="0"/>
                <w:color w:val="000000"/>
                <w:sz w:val="21"/>
                <w:szCs w:val="21"/>
                <w:highlight w:val="none"/>
              </w:rPr>
              <w:t xml:space="preserve">管道材料应采用</w:t>
            </w:r>
            <w:r>
              <w:rPr>
                <w:rStyle w:val="1211"/>
                <w:rFonts w:hint="eastAsia" w:ascii="宋体" w:hAnsi="宋体" w:eastAsia="宋体" w:cs="宋体"/>
                <w:b w:val="0"/>
                <w:bCs w:val="0"/>
                <w:i w:val="0"/>
                <w:iCs w:val="0"/>
                <w:color w:val="000000"/>
                <w:sz w:val="21"/>
                <w:szCs w:val="21"/>
                <w:highlight w:val="none"/>
              </w:rPr>
              <w:t xml:space="preserve">316L EP不锈钢电解抛光管材</w:t>
            </w:r>
            <w:r>
              <w:rPr>
                <w:rFonts w:hint="eastAsia" w:ascii="宋体" w:hAnsi="宋体" w:eastAsia="宋体" w:cs="宋体"/>
                <w:b w:val="0"/>
                <w:bCs w:val="0"/>
                <w:i w:val="0"/>
                <w:iCs w:val="0"/>
                <w:color w:val="000000"/>
                <w:sz w:val="21"/>
                <w:szCs w:val="21"/>
                <w:highlight w:val="none"/>
              </w:rPr>
              <w:t xml:space="preserve">，壁厚</w:t>
            </w:r>
            <w:r>
              <w:rPr>
                <w:rFonts w:hint="eastAsia" w:eastAsia="宋体" w:cs="宋体"/>
                <w:b w:val="0"/>
                <w:bCs w:val="0"/>
                <w:i w:val="0"/>
                <w:iCs w:val="0"/>
                <w:color w:val="000000"/>
                <w:sz w:val="21"/>
                <w:szCs w:val="21"/>
                <w:highlight w:val="none"/>
                <w:lang w:val="en-US" w:eastAsia="zh-CN"/>
              </w:rPr>
              <w:t xml:space="preserve">≥</w:t>
            </w:r>
            <w:r>
              <w:rPr>
                <w:rStyle w:val="1211"/>
                <w:rFonts w:hint="eastAsia" w:ascii="宋体" w:hAnsi="宋体" w:eastAsia="宋体" w:cs="宋体"/>
                <w:b w:val="0"/>
                <w:bCs w:val="0"/>
                <w:i w:val="0"/>
                <w:iCs w:val="0"/>
                <w:color w:val="000000"/>
                <w:sz w:val="21"/>
                <w:szCs w:val="21"/>
                <w:highlight w:val="none"/>
              </w:rPr>
              <w:t xml:space="preserve">0.89 mm</w:t>
            </w:r>
            <w:r>
              <w:rPr>
                <w:rFonts w:hint="eastAsia" w:ascii="宋体" w:hAnsi="宋体" w:eastAsia="宋体" w:cs="宋体"/>
                <w:b w:val="0"/>
                <w:bCs w:val="0"/>
                <w:i w:val="0"/>
                <w:iCs w:val="0"/>
                <w:color w:val="000000"/>
                <w:sz w:val="21"/>
                <w:szCs w:val="21"/>
                <w:highlight w:val="none"/>
              </w:rPr>
              <w:t xml:space="preserve">，内壁粗糙度应满足</w:t>
            </w:r>
            <w:r>
              <w:rPr>
                <w:rStyle w:val="1211"/>
                <w:rFonts w:hint="eastAsia" w:ascii="宋体" w:hAnsi="宋体" w:eastAsia="宋体" w:cs="宋体"/>
                <w:b w:val="0"/>
                <w:bCs w:val="0"/>
                <w:i w:val="0"/>
                <w:iCs w:val="0"/>
                <w:color w:val="000000"/>
                <w:sz w:val="21"/>
                <w:szCs w:val="21"/>
                <w:highlight w:val="none"/>
              </w:rPr>
              <w:t xml:space="preserve">Ra≤0.375 μm</w:t>
            </w:r>
            <w:r>
              <w:rPr>
                <w:rFonts w:hint="eastAsia" w:ascii="宋体" w:hAnsi="宋体" w:eastAsia="宋体" w:cs="宋体"/>
                <w:b w:val="0"/>
                <w:bCs w:val="0"/>
                <w:i w:val="0"/>
                <w:iCs w:val="0"/>
                <w:color w:val="000000"/>
                <w:sz w:val="21"/>
                <w:szCs w:val="21"/>
                <w:highlight w:val="none"/>
              </w:rPr>
              <w:t xml:space="preserve">，具备内壁光洁、无死角、低吸附和耐腐蚀等特点。对于高腐蚀性氟化物工况或高温分解风险区段，可选用</w:t>
            </w:r>
            <w:r>
              <w:rPr>
                <w:rStyle w:val="1211"/>
                <w:rFonts w:hint="eastAsia" w:ascii="宋体" w:hAnsi="宋体" w:eastAsia="宋体" w:cs="宋体"/>
                <w:b w:val="0"/>
                <w:bCs w:val="0"/>
                <w:i w:val="0"/>
                <w:iCs w:val="0"/>
                <w:color w:val="000000"/>
                <w:sz w:val="21"/>
                <w:szCs w:val="21"/>
                <w:highlight w:val="none"/>
              </w:rPr>
              <w:t xml:space="preserve">哈氏合金 Hastelloy C276</w:t>
            </w:r>
            <w:r>
              <w:rPr>
                <w:rFonts w:hint="eastAsia" w:ascii="宋体" w:hAnsi="宋体" w:eastAsia="宋体" w:cs="宋体"/>
                <w:b w:val="0"/>
                <w:bCs w:val="0"/>
                <w:i w:val="0"/>
                <w:iCs w:val="0"/>
                <w:color w:val="000000"/>
                <w:sz w:val="21"/>
                <w:szCs w:val="21"/>
                <w:highlight w:val="none"/>
              </w:rPr>
              <w:t xml:space="preserve">；对于高纯氟系统，可选用</w:t>
            </w:r>
            <w:r>
              <w:rPr>
                <w:rStyle w:val="1211"/>
                <w:rFonts w:hint="eastAsia" w:ascii="宋体" w:hAnsi="宋体" w:eastAsia="宋体" w:cs="宋体"/>
                <w:b w:val="0"/>
                <w:bCs w:val="0"/>
                <w:i w:val="0"/>
                <w:iCs w:val="0"/>
                <w:color w:val="000000"/>
                <w:sz w:val="21"/>
                <w:szCs w:val="21"/>
                <w:highlight w:val="none"/>
              </w:rPr>
              <w:t xml:space="preserve">蒙乃尔合金 Monel 400</w:t>
            </w:r>
            <w:r>
              <w:rPr>
                <w:rFonts w:hint="eastAsia" w:ascii="宋体" w:hAnsi="宋体" w:eastAsia="宋体" w:cs="宋体"/>
                <w:b w:val="0"/>
                <w:bCs w:val="0"/>
                <w:i w:val="0"/>
                <w:iCs w:val="0"/>
                <w:color w:val="000000"/>
                <w:sz w:val="21"/>
                <w:szCs w:val="21"/>
                <w:highlight w:val="none"/>
              </w:rPr>
              <w:t xml:space="preserve">。密封及阀座材料应选用耐氟、耐温、低析出材料，金属面密封宜采用</w:t>
            </w:r>
            <w:r>
              <w:rPr>
                <w:rStyle w:val="1211"/>
                <w:rFonts w:hint="eastAsia" w:ascii="宋体" w:hAnsi="宋体" w:eastAsia="宋体" w:cs="宋体"/>
                <w:b w:val="0"/>
                <w:bCs w:val="0"/>
                <w:i w:val="0"/>
                <w:iCs w:val="0"/>
                <w:color w:val="000000"/>
                <w:sz w:val="21"/>
                <w:szCs w:val="21"/>
                <w:highlight w:val="none"/>
              </w:rPr>
              <w:t xml:space="preserve">镍垫片、铜垫片或316L不锈钢金属垫片</w:t>
            </w:r>
            <w:r>
              <w:rPr>
                <w:rFonts w:hint="eastAsia" w:ascii="宋体" w:hAnsi="宋体" w:eastAsia="宋体" w:cs="宋体"/>
                <w:b w:val="0"/>
                <w:bCs w:val="0"/>
                <w:i w:val="0"/>
                <w:iCs w:val="0"/>
                <w:color w:val="000000"/>
                <w:sz w:val="21"/>
                <w:szCs w:val="21"/>
                <w:highlight w:val="none"/>
              </w:rPr>
              <w:t xml:space="preserve">，非金属密封宜采用</w:t>
            </w:r>
            <w:r>
              <w:rPr>
                <w:rStyle w:val="1211"/>
                <w:rFonts w:hint="eastAsia" w:ascii="宋体" w:hAnsi="宋体" w:eastAsia="宋体" w:cs="宋体"/>
                <w:b w:val="0"/>
                <w:bCs w:val="0"/>
                <w:i w:val="0"/>
                <w:iCs w:val="0"/>
                <w:color w:val="000000"/>
                <w:sz w:val="21"/>
                <w:szCs w:val="21"/>
                <w:highlight w:val="none"/>
              </w:rPr>
              <w:t xml:space="preserve">Kalrez</w:t>
            </w:r>
            <w:r>
              <w:rPr>
                <w:rFonts w:hint="eastAsia" w:ascii="宋体" w:hAnsi="宋体" w:eastAsia="宋体" w:cs="宋体"/>
                <w:b w:val="0"/>
                <w:bCs w:val="0"/>
                <w:i w:val="0"/>
                <w:iCs w:val="0"/>
                <w:color w:val="000000"/>
                <w:sz w:val="21"/>
                <w:szCs w:val="21"/>
                <w:highlight w:val="none"/>
              </w:rPr>
              <w:t xml:space="preserve">或</w:t>
            </w:r>
            <w:r>
              <w:rPr>
                <w:rStyle w:val="1211"/>
                <w:rFonts w:hint="eastAsia" w:ascii="宋体" w:hAnsi="宋体" w:eastAsia="宋体" w:cs="宋体"/>
                <w:b w:val="0"/>
                <w:bCs w:val="0"/>
                <w:i w:val="0"/>
                <w:iCs w:val="0"/>
                <w:color w:val="000000"/>
                <w:sz w:val="21"/>
                <w:szCs w:val="21"/>
                <w:highlight w:val="none"/>
              </w:rPr>
              <w:t xml:space="preserve">FFKM</w:t>
            </w:r>
            <w:r>
              <w:rPr>
                <w:rFonts w:hint="eastAsia" w:ascii="宋体" w:hAnsi="宋体" w:eastAsia="宋体" w:cs="宋体"/>
                <w:b w:val="0"/>
                <w:bCs w:val="0"/>
                <w:i w:val="0"/>
                <w:iCs w:val="0"/>
                <w:color w:val="000000"/>
                <w:sz w:val="21"/>
                <w:szCs w:val="21"/>
                <w:highlight w:val="none"/>
              </w:rPr>
              <w:t xml:space="preserve">。严禁使用在含氟环境下易发生腐蚀、老化或失效的材料。</w:t>
            </w:r>
            <w:r>
              <w:rPr>
                <w:rFonts w:hint="eastAsia" w:ascii="宋体" w:hAnsi="宋体" w:eastAsia="宋体" w:cs="宋体"/>
                <w:b w:val="0"/>
                <w:bCs w:val="0"/>
                <w:i w:val="0"/>
                <w:iCs w:val="0"/>
                <w:color w:val="000000"/>
                <w:sz w:val="21"/>
                <w:szCs w:val="21"/>
                <w:highlight w:val="none"/>
              </w:rPr>
            </w:r>
            <w:r/>
          </w:p>
          <w:p>
            <w:pPr>
              <w:pStyle w:val="1201"/>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Style w:val="1211"/>
                <w:rFonts w:hint="eastAsia" w:ascii="宋体" w:hAnsi="宋体" w:eastAsia="宋体" w:cs="宋体"/>
                <w:b w:val="0"/>
                <w:bCs w:val="0"/>
                <w:color w:val="000000"/>
                <w:sz w:val="21"/>
                <w:szCs w:val="21"/>
                <w:highlight w:val="none"/>
              </w:rPr>
              <w:t xml:space="preserve">（4）阀门及管阀件要求</w:t>
            </w:r>
            <w:r>
              <w:rPr>
                <w:rStyle w:val="1211"/>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系统中所有阀门及管阀件均应采用 </w:t>
            </w:r>
            <w:r>
              <w:rPr>
                <w:rStyle w:val="1211"/>
                <w:rFonts w:hint="eastAsia" w:ascii="宋体" w:hAnsi="宋体" w:eastAsia="宋体" w:cs="宋体"/>
                <w:b w:val="0"/>
                <w:bCs w:val="0"/>
                <w:color w:val="000000"/>
                <w:sz w:val="21"/>
                <w:szCs w:val="21"/>
                <w:highlight w:val="none"/>
              </w:rPr>
              <w:t xml:space="preserve">316L EP 不锈钢电解抛光产品</w:t>
            </w:r>
            <w:r>
              <w:rPr>
                <w:rFonts w:hint="eastAsia" w:ascii="宋体" w:hAnsi="宋体" w:eastAsia="宋体" w:cs="宋体"/>
                <w:b w:val="0"/>
                <w:bCs w:val="0"/>
                <w:color w:val="000000"/>
                <w:sz w:val="21"/>
                <w:szCs w:val="21"/>
                <w:highlight w:val="none"/>
              </w:rPr>
              <w:t xml:space="preserve">，并适用于含氟及反应性气体工况。阀门宜选用</w:t>
            </w:r>
            <w:r>
              <w:rPr>
                <w:rStyle w:val="1211"/>
                <w:rFonts w:hint="eastAsia" w:ascii="宋体" w:hAnsi="宋体" w:eastAsia="宋体" w:cs="宋体"/>
                <w:b w:val="0"/>
                <w:bCs w:val="0"/>
                <w:color w:val="000000"/>
                <w:sz w:val="21"/>
                <w:szCs w:val="21"/>
                <w:highlight w:val="none"/>
              </w:rPr>
              <w:t xml:space="preserve">全金属结构或全氟密封结构</w:t>
            </w:r>
            <w:r>
              <w:rPr>
                <w:rFonts w:hint="eastAsia" w:ascii="宋体" w:hAnsi="宋体" w:eastAsia="宋体" w:cs="宋体"/>
                <w:b w:val="0"/>
                <w:bCs w:val="0"/>
                <w:color w:val="000000"/>
                <w:sz w:val="21"/>
                <w:szCs w:val="21"/>
                <w:highlight w:val="none"/>
              </w:rPr>
              <w:t xml:space="preserve">，滤芯应采用</w:t>
            </w:r>
            <w:r>
              <w:rPr>
                <w:rStyle w:val="1211"/>
                <w:rFonts w:hint="eastAsia" w:ascii="宋体" w:hAnsi="宋体" w:eastAsia="宋体" w:cs="宋体"/>
                <w:b w:val="0"/>
                <w:bCs w:val="0"/>
                <w:color w:val="000000"/>
                <w:sz w:val="21"/>
                <w:szCs w:val="21"/>
                <w:highlight w:val="none"/>
              </w:rPr>
              <w:t xml:space="preserve">金属烧结材质或PFA材质</w:t>
            </w:r>
            <w:r>
              <w:rPr>
                <w:rFonts w:hint="eastAsia" w:ascii="宋体" w:hAnsi="宋体" w:eastAsia="宋体" w:cs="宋体"/>
                <w:b w:val="0"/>
                <w:bCs w:val="0"/>
                <w:color w:val="000000"/>
                <w:sz w:val="21"/>
                <w:szCs w:val="21"/>
                <w:highlight w:val="none"/>
              </w:rPr>
              <w:t xml:space="preserve">。所有过流部件严禁使用铜、锌及低熔点合金材料，以避免与含氟气体发生反应。</w:t>
            </w:r>
            <w:r>
              <w:rPr>
                <w:rFonts w:hint="eastAsia" w:ascii="宋体" w:hAnsi="宋体" w:eastAsia="宋体" w:cs="宋体"/>
                <w:b w:val="0"/>
                <w:bCs w:val="0"/>
                <w:color w:val="000000"/>
                <w:sz w:val="21"/>
                <w:szCs w:val="21"/>
                <w:highlight w:val="none"/>
              </w:rPr>
            </w:r>
            <w:r/>
          </w:p>
          <w:p>
            <w:pPr>
              <w:pStyle w:val="1201"/>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Style w:val="1211"/>
                <w:rFonts w:hint="eastAsia" w:ascii="宋体" w:hAnsi="宋体" w:eastAsia="宋体" w:cs="宋体"/>
                <w:b w:val="0"/>
                <w:bCs w:val="0"/>
                <w:color w:val="000000"/>
                <w:sz w:val="21"/>
                <w:szCs w:val="21"/>
                <w:highlight w:val="none"/>
              </w:rPr>
              <w:t xml:space="preserve">（5）连接方式要求</w:t>
            </w:r>
            <w:r>
              <w:rPr>
                <w:rStyle w:val="1211"/>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管道连接方式必须采用</w:t>
            </w:r>
            <w:r>
              <w:rPr>
                <w:rStyle w:val="1211"/>
                <w:rFonts w:hint="eastAsia" w:ascii="宋体" w:hAnsi="宋体" w:eastAsia="宋体" w:cs="宋体"/>
                <w:b w:val="0"/>
                <w:bCs w:val="0"/>
                <w:color w:val="000000"/>
                <w:sz w:val="21"/>
                <w:szCs w:val="21"/>
                <w:highlight w:val="none"/>
              </w:rPr>
              <w:t xml:space="preserve">自动焊接或金属密封压缩连接方式</w:t>
            </w:r>
            <w:r>
              <w:rPr>
                <w:rFonts w:hint="eastAsia" w:ascii="宋体" w:hAnsi="宋体" w:eastAsia="宋体" w:cs="宋体"/>
                <w:b w:val="0"/>
                <w:bCs w:val="0"/>
                <w:color w:val="000000"/>
                <w:sz w:val="21"/>
                <w:szCs w:val="21"/>
                <w:highlight w:val="none"/>
              </w:rPr>
              <w:t xml:space="preserve">，采用</w:t>
            </w:r>
            <w:r>
              <w:rPr>
                <w:rStyle w:val="1211"/>
                <w:rFonts w:hint="eastAsia" w:ascii="宋体" w:hAnsi="宋体" w:eastAsia="宋体" w:cs="宋体"/>
                <w:b w:val="0"/>
                <w:bCs w:val="0"/>
                <w:color w:val="000000"/>
                <w:sz w:val="21"/>
                <w:szCs w:val="21"/>
                <w:highlight w:val="none"/>
              </w:rPr>
              <w:t xml:space="preserve">VCR</w:t>
            </w:r>
            <w:r>
              <w:rPr>
                <w:rFonts w:hint="eastAsia" w:ascii="宋体" w:hAnsi="宋体" w:eastAsia="宋体" w:cs="宋体"/>
                <w:b w:val="0"/>
                <w:bCs w:val="0"/>
                <w:color w:val="000000"/>
                <w:sz w:val="21"/>
                <w:szCs w:val="21"/>
                <w:highlight w:val="none"/>
              </w:rPr>
              <w:t xml:space="preserve">连接</w:t>
            </w:r>
            <w:r>
              <w:rPr>
                <w:rFonts w:hint="eastAsia" w:ascii="宋体" w:hAnsi="宋体" w:eastAsia="宋体" w:cs="宋体"/>
                <w:b w:val="0"/>
                <w:bCs w:val="0"/>
                <w:color w:val="000000"/>
                <w:sz w:val="21"/>
                <w:szCs w:val="21"/>
                <w:highlight w:val="none"/>
                <w:lang w:val="en-US" w:eastAsia="zh-CN"/>
              </w:rPr>
              <w:t xml:space="preserve">与密封</w:t>
            </w:r>
            <w:r>
              <w:rPr>
                <w:rFonts w:hint="eastAsia" w:ascii="宋体" w:hAnsi="宋体" w:eastAsia="宋体" w:cs="宋体"/>
                <w:b w:val="0"/>
                <w:bCs w:val="0"/>
                <w:color w:val="000000"/>
                <w:sz w:val="21"/>
                <w:szCs w:val="21"/>
                <w:highlight w:val="none"/>
              </w:rPr>
              <w:t xml:space="preserve">。长距离主管路宜采用</w:t>
            </w:r>
            <w:r>
              <w:rPr>
                <w:rStyle w:val="1211"/>
                <w:rFonts w:hint="eastAsia" w:ascii="宋体" w:hAnsi="宋体" w:eastAsia="宋体" w:cs="宋体"/>
                <w:b w:val="0"/>
                <w:bCs w:val="0"/>
                <w:color w:val="000000"/>
                <w:sz w:val="21"/>
                <w:szCs w:val="21"/>
                <w:highlight w:val="none"/>
              </w:rPr>
              <w:t xml:space="preserve">轨道自动焊接（Orbital Welding）</w:t>
            </w:r>
            <w:r>
              <w:rPr>
                <w:rFonts w:hint="eastAsia" w:ascii="宋体" w:hAnsi="宋体" w:eastAsia="宋体" w:cs="宋体"/>
                <w:b w:val="0"/>
                <w:bCs w:val="0"/>
                <w:color w:val="000000"/>
                <w:sz w:val="21"/>
                <w:szCs w:val="21"/>
                <w:highlight w:val="none"/>
              </w:rPr>
              <w:t xml:space="preserve">，焊接过程应充入高纯氩气保护，焊后必须进行</w:t>
            </w:r>
            <w:r>
              <w:rPr>
                <w:rStyle w:val="1211"/>
                <w:rFonts w:hint="eastAsia" w:ascii="宋体" w:hAnsi="宋体" w:eastAsia="宋体" w:cs="宋体"/>
                <w:b w:val="0"/>
                <w:bCs w:val="0"/>
                <w:color w:val="000000"/>
                <w:sz w:val="21"/>
                <w:szCs w:val="21"/>
                <w:highlight w:val="none"/>
              </w:rPr>
              <w:t xml:space="preserve">内窥镜检查和氦质谱检漏</w:t>
            </w:r>
            <w:r>
              <w:rPr>
                <w:rFonts w:hint="eastAsia" w:ascii="宋体" w:hAnsi="宋体" w:eastAsia="宋体" w:cs="宋体"/>
                <w:b w:val="0"/>
                <w:bCs w:val="0"/>
                <w:color w:val="000000"/>
                <w:sz w:val="21"/>
                <w:szCs w:val="21"/>
                <w:highlight w:val="none"/>
              </w:rPr>
              <w:t xml:space="preserve">。严禁采用普通螺纹连接、生料带密封、粘接连接及普通卡套式接头。管路布置中应尽量减少三通、弯头、盲管及死腿（dead leg）结构，防止气体滞留、分解及腐蚀。</w:t>
            </w:r>
            <w:r>
              <w:rPr>
                <w:rFonts w:hint="eastAsia" w:ascii="宋体" w:hAnsi="宋体" w:eastAsia="宋体" w:cs="宋体"/>
                <w:b w:val="0"/>
                <w:bCs w:val="0"/>
                <w:color w:val="000000"/>
                <w:sz w:val="21"/>
                <w:szCs w:val="21"/>
                <w:highlight w:val="none"/>
              </w:rPr>
            </w:r>
            <w:r/>
          </w:p>
          <w:p>
            <w:pPr>
              <w:pStyle w:val="1201"/>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zCs w:val="21"/>
                <w:highlight w:val="none"/>
                <w:lang w:val="en-US" w:eastAsia="zh-CN"/>
              </w:rPr>
              <w:suppressLineNumbers w:val="0"/>
            </w:pPr>
            <w:r>
              <w:rPr>
                <w:rStyle w:val="1211"/>
                <w:rFonts w:hint="eastAsia" w:ascii="宋体" w:hAnsi="宋体" w:eastAsia="宋体" w:cs="宋体"/>
                <w:b w:val="0"/>
                <w:bCs w:val="0"/>
                <w:color w:val="000000"/>
                <w:sz w:val="21"/>
                <w:szCs w:val="21"/>
                <w:highlight w:val="none"/>
              </w:rPr>
              <w:t xml:space="preserve">（6）管道系统设计要求</w:t>
            </w:r>
            <w:r>
              <w:rPr>
                <w:rStyle w:val="1211"/>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管道系统设计应充分考虑含氟气体的腐蚀性、反应性及潜在分解风险。系统布置应遵循“</w:t>
            </w:r>
            <w:r>
              <w:rPr>
                <w:rStyle w:val="1211"/>
                <w:rFonts w:hint="eastAsia" w:ascii="宋体" w:hAnsi="宋体" w:eastAsia="宋体" w:cs="宋体"/>
                <w:b w:val="0"/>
                <w:bCs w:val="0"/>
                <w:color w:val="000000"/>
                <w:sz w:val="21"/>
                <w:szCs w:val="21"/>
                <w:highlight w:val="none"/>
              </w:rPr>
              <w:t xml:space="preserve">短、直、少弯头、少阀门</w:t>
            </w:r>
            <w:r>
              <w:rPr>
                <w:rFonts w:hint="eastAsia" w:ascii="宋体" w:hAnsi="宋体" w:eastAsia="宋体" w:cs="宋体"/>
                <w:b w:val="0"/>
                <w:bCs w:val="0"/>
                <w:color w:val="000000"/>
                <w:sz w:val="21"/>
                <w:szCs w:val="21"/>
                <w:highlight w:val="none"/>
              </w:rPr>
              <w:t xml:space="preserve">”原则，以减少压降和局部滞留；管道应设置合理坡度，坡向工艺设备或尾气处理端，防止冷凝液积聚。不同含氟气体应采用</w:t>
            </w:r>
            <w:r>
              <w:rPr>
                <w:rStyle w:val="1211"/>
                <w:rFonts w:hint="eastAsia" w:ascii="宋体" w:hAnsi="宋体" w:eastAsia="宋体" w:cs="宋体"/>
                <w:b w:val="0"/>
                <w:bCs w:val="0"/>
                <w:color w:val="000000"/>
                <w:sz w:val="21"/>
                <w:szCs w:val="21"/>
                <w:highlight w:val="none"/>
              </w:rPr>
              <w:t xml:space="preserve">独立供气管路</w:t>
            </w:r>
            <w:r>
              <w:rPr>
                <w:rFonts w:hint="eastAsia" w:ascii="宋体" w:hAnsi="宋体" w:eastAsia="宋体" w:cs="宋体"/>
                <w:b w:val="0"/>
                <w:bCs w:val="0"/>
                <w:color w:val="000000"/>
                <w:sz w:val="21"/>
                <w:szCs w:val="21"/>
                <w:highlight w:val="none"/>
              </w:rPr>
              <w:t xml:space="preserve">，不得共用总管、过滤器和减压阀。含氟气体，其管道系统严禁靠近高温、电弧及明火区域，并应避免强电干扰和静电积聚，确保全程金属连续导通并可靠接地。系统应严格控制水分、油污和氧含量，防止生成 HF 等腐蚀性分解产物。管路材料应尽量保持一致，避免异种金属接触引发电偶腐蚀；支架和管卡应采用</w:t>
            </w:r>
            <w:r>
              <w:rPr>
                <w:rStyle w:val="1211"/>
                <w:rFonts w:hint="eastAsia" w:ascii="宋体" w:hAnsi="宋体" w:eastAsia="宋体" w:cs="宋体"/>
                <w:b w:val="0"/>
                <w:bCs w:val="0"/>
                <w:color w:val="000000"/>
                <w:sz w:val="21"/>
                <w:szCs w:val="21"/>
                <w:highlight w:val="none"/>
              </w:rPr>
              <w:t xml:space="preserve">316不锈钢</w:t>
            </w:r>
            <w:r>
              <w:rPr>
                <w:rFonts w:hint="eastAsia" w:ascii="宋体" w:hAnsi="宋体" w:eastAsia="宋体" w:cs="宋体"/>
                <w:b w:val="0"/>
                <w:bCs w:val="0"/>
                <w:color w:val="000000"/>
                <w:sz w:val="21"/>
                <w:szCs w:val="21"/>
                <w:highlight w:val="none"/>
                <w:lang w:val="en-US" w:eastAsia="zh-CN"/>
              </w:rPr>
              <w:t xml:space="preserve">并</w:t>
            </w:r>
            <w:r>
              <w:rPr>
                <w:rFonts w:hint="eastAsia" w:ascii="宋体" w:hAnsi="宋体" w:eastAsia="宋体" w:cs="宋体"/>
                <w:b w:val="0"/>
                <w:bCs w:val="0"/>
                <w:color w:val="000000"/>
                <w:sz w:val="21"/>
                <w:szCs w:val="21"/>
                <w:highlight w:val="none"/>
              </w:rPr>
              <w:t xml:space="preserve">经防腐处理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Cs w:val="21"/>
                <w:highlight w:val="none"/>
                <w:lang w:val="en-US" w:eastAsia="zh-CN"/>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其他</w:t>
            </w:r>
            <w:r>
              <w:rPr>
                <w:rFonts w:hint="eastAsia" w:ascii="宋体" w:hAnsi="宋体" w:eastAsia="宋体" w:cs="宋体"/>
                <w:b w:val="0"/>
                <w:bCs w:val="0"/>
                <w:color w:val="000000"/>
                <w:szCs w:val="21"/>
                <w:highlight w:val="none"/>
              </w:rPr>
              <w:t xml:space="preserve">要求</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具体管材、阀门、管阀件及相关配件清单与详细技术参数，详见</w:t>
            </w:r>
            <w:r>
              <w:rPr>
                <w:rFonts w:hint="eastAsia" w:ascii="宋体" w:hAnsi="宋体" w:eastAsia="宋体" w:cs="宋体"/>
                <w:b w:val="0"/>
                <w:bCs w:val="0"/>
                <w:color w:val="000000"/>
                <w:sz w:val="21"/>
                <w:szCs w:val="21"/>
                <w:highlight w:val="none"/>
              </w:rPr>
              <w:t xml:space="preserve">附件1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配件清单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与附件2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图纸</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tc>
      </w:tr>
      <w:tr>
        <w:trPr>
          <w:trHeight w:val="283"/>
        </w:trPr>
        <w:tc>
          <w:tcPr>
            <w:tcW w:w="370"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w:t>
            </w:r>
            <w:r>
              <w:rPr>
                <w:rFonts w:hint="eastAsia" w:ascii="宋体" w:hAnsi="宋体" w:eastAsia="宋体" w:cs="宋体"/>
                <w:b w:val="0"/>
                <w:bCs w:val="0"/>
                <w:color w:val="000000"/>
                <w:szCs w:val="21"/>
                <w:highlight w:val="none"/>
              </w:rPr>
            </w:r>
            <w:r/>
          </w:p>
        </w:tc>
        <w:tc>
          <w:tcPr>
            <w:tcW w:w="41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尾气输运与处理系统</w:t>
            </w: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总体要求</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（1）本项目特气设备辅助系统用于配合特种气体系统的安全运行，主要包括尾气输送、抽真空、惰性气体辅助、排风排气、防爆隔离及洁净气源等功能系统。</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（2）辅助系统应与特气柜、气瓶架、气瓶面板及尾气处理设备形成完整的安全运行体系，在正常、启停及异常工况下均应满足安全、稳定及连续运行要求。</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尾气与废气输送系统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（1）尾气输送系统用于连接特气柜、尾气处理设备（如燃烧筒、干式吸附处理器）及工艺设备排气接口，构成完整的尾气排放通道。</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rPr>
              <w:t xml:space="preserve">（2）尾气管道应采用</w:t>
            </w:r>
            <w:r>
              <w:rPr>
                <w:rFonts w:hint="eastAsia" w:ascii="宋体" w:hAnsi="宋体" w:eastAsia="宋体" w:cs="宋体"/>
                <w:b w:val="0"/>
                <w:bCs w:val="0"/>
                <w:color w:val="000000"/>
                <w:szCs w:val="21"/>
                <w:highlight w:val="none"/>
                <w:u w:val="none"/>
                <w:lang w:val="en-US" w:eastAsia="zh-CN"/>
              </w:rPr>
              <w:t xml:space="preserve">316L BA</w:t>
            </w:r>
            <w:r>
              <w:rPr>
                <w:rFonts w:hint="eastAsia" w:ascii="宋体" w:hAnsi="宋体" w:eastAsia="宋体" w:cs="宋体"/>
                <w:b w:val="0"/>
                <w:bCs w:val="0"/>
                <w:color w:val="000000"/>
                <w:szCs w:val="21"/>
                <w:highlight w:val="none"/>
                <w:u w:val="none"/>
              </w:rPr>
              <w:t xml:space="preserve">不锈钢无缝管或等效耐腐蚀材料，满足尾气长期运行工况要求。</w:t>
            </w:r>
            <w:r>
              <w:rPr>
                <w:rFonts w:hint="eastAsia" w:ascii="宋体" w:hAnsi="宋体" w:eastAsia="宋体" w:cs="宋体"/>
                <w:b w:val="0"/>
                <w:bCs w:val="0"/>
                <w:color w:val="000000"/>
                <w:szCs w:val="21"/>
                <w:highlight w:val="none"/>
                <w:u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rPr>
              <w:t xml:space="preserve">（3）管道规格应覆盖 1 英寸</w:t>
            </w: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 w:val="0"/>
                <w:bCs w:val="0"/>
                <w:color w:val="000000"/>
                <w:szCs w:val="21"/>
                <w:highlight w:val="none"/>
                <w:u w:val="none"/>
                <w:lang w:val="en-US" w:eastAsia="zh-CN"/>
              </w:rPr>
              <w:t xml:space="preserve">壁厚≥</w:t>
            </w:r>
            <w:r>
              <w:rPr>
                <w:rFonts w:hint="eastAsia" w:ascii="宋体" w:hAnsi="宋体" w:eastAsia="宋体" w:cs="宋体"/>
                <w:b w:val="0"/>
                <w:bCs w:val="0"/>
                <w:color w:val="000000"/>
                <w:szCs w:val="21"/>
                <w:highlight w:val="none"/>
                <w:u w:val="none"/>
                <w:lang w:eastAsia="zh-CN"/>
              </w:rPr>
              <w:t xml:space="preserve">1.25mm）</w:t>
            </w:r>
            <w:r>
              <w:rPr>
                <w:rFonts w:hint="eastAsia" w:ascii="宋体" w:hAnsi="宋体" w:eastAsia="宋体" w:cs="宋体"/>
                <w:b w:val="0"/>
                <w:bCs w:val="0"/>
                <w:color w:val="000000"/>
                <w:szCs w:val="21"/>
                <w:highlight w:val="none"/>
                <w:u w:val="none"/>
              </w:rPr>
              <w:t xml:space="preserve">、3/4 英寸</w:t>
            </w: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 w:val="0"/>
                <w:bCs w:val="0"/>
                <w:color w:val="000000"/>
                <w:szCs w:val="21"/>
                <w:highlight w:val="none"/>
                <w:u w:val="none"/>
                <w:lang w:val="en-US" w:eastAsia="zh-CN"/>
              </w:rPr>
              <w:t xml:space="preserve">壁厚≥</w:t>
            </w:r>
            <w:r>
              <w:rPr>
                <w:rFonts w:hint="eastAsia" w:ascii="宋体" w:hAnsi="宋体" w:eastAsia="宋体" w:cs="宋体"/>
                <w:b w:val="0"/>
                <w:bCs w:val="0"/>
                <w:color w:val="000000"/>
                <w:szCs w:val="21"/>
                <w:highlight w:val="none"/>
                <w:u w:val="none"/>
                <w:lang w:eastAsia="zh-CN"/>
              </w:rPr>
              <w:t xml:space="preserve">1.25mm）</w:t>
            </w:r>
            <w:r>
              <w:rPr>
                <w:rFonts w:hint="eastAsia" w:ascii="宋体" w:hAnsi="宋体" w:eastAsia="宋体" w:cs="宋体"/>
                <w:b w:val="0"/>
                <w:bCs w:val="0"/>
                <w:color w:val="000000"/>
                <w:szCs w:val="21"/>
                <w:highlight w:val="none"/>
                <w:u w:val="none"/>
              </w:rPr>
              <w:t xml:space="preserve">及 1/2 英寸</w:t>
            </w:r>
            <w:r>
              <w:rPr>
                <w:rFonts w:hint="eastAsia" w:ascii="宋体" w:hAnsi="宋体" w:eastAsia="宋体" w:cs="宋体"/>
                <w:b w:val="0"/>
                <w:bCs w:val="0"/>
                <w:color w:val="000000"/>
                <w:szCs w:val="21"/>
                <w:highlight w:val="none"/>
                <w:u w:val="none"/>
                <w:lang w:val="en-US" w:eastAsia="zh-CN"/>
              </w:rPr>
              <w:t xml:space="preserve">(壁厚≥0.89mm）</w:t>
            </w:r>
            <w:r>
              <w:rPr>
                <w:rFonts w:hint="eastAsia" w:ascii="宋体" w:hAnsi="宋体" w:eastAsia="宋体" w:cs="宋体"/>
                <w:b w:val="0"/>
                <w:bCs w:val="0"/>
                <w:color w:val="000000"/>
                <w:szCs w:val="21"/>
                <w:highlight w:val="none"/>
                <w:u w:val="none"/>
              </w:rPr>
              <w:t xml:space="preserve"> 等等级，具体规格应根据尾气流量、压损及系统布局合理选型。</w:t>
            </w:r>
            <w:r>
              <w:rPr>
                <w:rFonts w:hint="eastAsia" w:ascii="宋体" w:hAnsi="宋体" w:eastAsia="宋体" w:cs="宋体"/>
                <w:b w:val="0"/>
                <w:bCs w:val="0"/>
                <w:color w:val="000000"/>
                <w:szCs w:val="21"/>
                <w:highlight w:val="none"/>
                <w:u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（4）系统应配置弯头、等径三通、变径三通、变径接头及法兰等标准管件，确保管路布置合理、维护便利。</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（5）系统应在必要位置配置单向阀、隔离阀（如球阀或等效阀型）等控制阀件，用于系统隔离、检修及运行维护；阀件选型应适用于尾气工况并满足气密性要求。</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高低压惰性气体吹扫与抽真空系统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rPr>
              <w:t xml:space="preserve">（1）本系统用于特气管路及相关设备的吹扫、置换、惰化及保压操作，是特</w:t>
            </w:r>
            <w:r>
              <w:rPr>
                <w:rFonts w:hint="eastAsia" w:ascii="宋体" w:hAnsi="宋体" w:eastAsia="宋体" w:cs="宋体"/>
                <w:b w:val="0"/>
                <w:bCs w:val="0"/>
                <w:color w:val="000000"/>
                <w:szCs w:val="21"/>
                <w:highlight w:val="none"/>
                <w:u w:val="none"/>
              </w:rPr>
              <w:t xml:space="preserve">气系统安全运行的重要保障。</w:t>
            </w:r>
            <w:r>
              <w:rPr>
                <w:rFonts w:hint="eastAsia" w:ascii="宋体" w:hAnsi="宋体" w:eastAsia="宋体" w:cs="宋体"/>
                <w:b w:val="0"/>
                <w:bCs w:val="0"/>
                <w:color w:val="000000"/>
                <w:szCs w:val="21"/>
                <w:highlight w:val="none"/>
                <w:u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rPr>
              <w:t xml:space="preserve">（2）管道采用</w:t>
            </w:r>
            <w:r>
              <w:rPr>
                <w:rFonts w:hint="eastAsia" w:ascii="宋体" w:hAnsi="宋体" w:eastAsia="宋体" w:cs="宋体"/>
                <w:b w:val="0"/>
                <w:bCs w:val="0"/>
                <w:color w:val="000000"/>
                <w:szCs w:val="21"/>
                <w:highlight w:val="none"/>
                <w:u w:val="none"/>
                <w:lang w:val="en-US" w:eastAsia="zh-CN"/>
              </w:rPr>
              <w:t xml:space="preserve">316L EP</w:t>
            </w:r>
            <w:r>
              <w:rPr>
                <w:rFonts w:hint="eastAsia" w:ascii="宋体" w:hAnsi="宋体" w:eastAsia="宋体" w:cs="宋体"/>
                <w:b w:val="0"/>
                <w:bCs w:val="0"/>
                <w:color w:val="000000"/>
                <w:szCs w:val="21"/>
                <w:highlight w:val="none"/>
                <w:u w:val="none"/>
              </w:rPr>
              <w:t xml:space="preserve">电解抛光不锈钢管材，</w:t>
            </w:r>
            <w:r>
              <w:rPr>
                <w:rFonts w:hint="eastAsia" w:ascii="宋体" w:hAnsi="宋体" w:eastAsia="宋体" w:cs="宋体"/>
                <w:b w:val="0"/>
                <w:bCs w:val="0"/>
                <w:color w:val="000000"/>
                <w:szCs w:val="21"/>
                <w:highlight w:val="none"/>
                <w:u w:val="none"/>
                <w:lang w:val="en-US" w:eastAsia="zh-CN"/>
              </w:rPr>
              <w:t xml:space="preserve">壁厚≥0.89mm，</w:t>
            </w:r>
            <w:r>
              <w:rPr>
                <w:rFonts w:hint="eastAsia" w:ascii="宋体" w:hAnsi="宋体" w:eastAsia="宋体" w:cs="宋体"/>
                <w:b w:val="0"/>
                <w:bCs w:val="0"/>
                <w:color w:val="000000"/>
                <w:szCs w:val="21"/>
                <w:highlight w:val="none"/>
                <w:u w:val="none"/>
              </w:rPr>
              <w:t xml:space="preserve">满足高纯惰性气体输送及洁净度要求。</w:t>
            </w:r>
            <w:r>
              <w:rPr>
                <w:rFonts w:hint="eastAsia" w:ascii="宋体" w:hAnsi="宋体" w:eastAsia="宋体" w:cs="宋体"/>
                <w:b w:val="0"/>
                <w:bCs w:val="0"/>
                <w:color w:val="000000"/>
                <w:szCs w:val="21"/>
                <w:highlight w:val="none"/>
                <w:u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u w:val="none"/>
              </w:rPr>
              <w:t xml:space="preserve">（3）系统应配置隔膜阀、高压阀、金属密封接头、封帽等组</w:t>
            </w:r>
            <w:r>
              <w:rPr>
                <w:rFonts w:hint="eastAsia" w:ascii="宋体" w:hAnsi="宋体" w:eastAsia="宋体" w:cs="宋体"/>
                <w:b w:val="0"/>
                <w:bCs w:val="0"/>
                <w:color w:val="000000"/>
                <w:szCs w:val="21"/>
                <w:highlight w:val="none"/>
              </w:rPr>
              <w:t xml:space="preserve">件，确保吹扫与置换过程的气密性和可靠性。</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（4）系统应具备高压与低压工况切换能力，并与相关设备及安全联锁逻辑协调，避免误操作。</w:t>
            </w:r>
            <w:r>
              <w:rPr>
                <w:rFonts w:hint="eastAsia" w:ascii="宋体" w:hAnsi="宋体" w:eastAsia="宋体" w:cs="宋体"/>
                <w:b w:val="0"/>
                <w:bCs w:val="0"/>
                <w:color w:val="000000"/>
                <w:szCs w:val="21"/>
                <w:highlight w:val="none"/>
              </w:rPr>
            </w:r>
            <w:r/>
          </w:p>
        </w:tc>
      </w:tr>
      <w:tr>
        <w:trPr>
          <w:trHeight w:val="2176"/>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排风与排气系统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PP风机</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t xml:space="preserve">（1）风机选型应满足系统在正常及异常工况下维持尾气管路与相关设备微负压运行的要求。</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t xml:space="preserve">（2）电机功率：</w:t>
            </w:r>
            <w:r>
              <w:rPr>
                <w:rFonts w:hint="eastAsia" w:ascii="宋体" w:hAnsi="宋体" w:eastAsia="宋体" w:cs="宋体"/>
                <w:b/>
                <w:bCs/>
                <w:color w:val="000000"/>
                <w:szCs w:val="21"/>
                <w:highlight w:val="none"/>
                <w:lang w:val="en-US" w:eastAsia="zh-CN"/>
              </w:rPr>
              <w:t xml:space="preserve">不低于</w:t>
            </w:r>
            <w:r>
              <w:rPr>
                <w:rFonts w:hint="eastAsia" w:ascii="宋体" w:hAnsi="宋体" w:eastAsia="宋体" w:cs="宋体"/>
                <w:b/>
                <w:bCs/>
                <w:color w:val="000000"/>
                <w:szCs w:val="21"/>
                <w:highlight w:val="none"/>
              </w:rPr>
              <w:t xml:space="preserve">4 kW ；</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t xml:space="preserve">（3）额定风量：</w:t>
            </w:r>
            <w:r>
              <w:rPr>
                <w:rFonts w:hint="eastAsia" w:ascii="宋体" w:hAnsi="宋体" w:eastAsia="宋体" w:cs="宋体"/>
                <w:b/>
                <w:bCs/>
                <w:color w:val="000000"/>
                <w:szCs w:val="21"/>
                <w:highlight w:val="none"/>
                <w:lang w:val="en-US" w:eastAsia="zh-CN"/>
              </w:rPr>
              <w:t xml:space="preserve">不低于</w:t>
            </w:r>
            <w:r>
              <w:rPr>
                <w:rFonts w:hint="eastAsia" w:ascii="宋体" w:hAnsi="宋体" w:eastAsia="宋体" w:cs="宋体"/>
                <w:b/>
                <w:bCs/>
                <w:color w:val="000000"/>
                <w:szCs w:val="21"/>
                <w:highlight w:val="none"/>
              </w:rPr>
              <w:t xml:space="preserve">6677-13353 m</w:t>
            </w:r>
            <w:r>
              <w:rPr>
                <w:rFonts w:hint="eastAsia" w:ascii="宋体" w:hAnsi="宋体" w:eastAsia="宋体" w:cs="宋体"/>
                <w:b/>
                <w:bCs/>
                <w:color w:val="000000"/>
                <w:szCs w:val="21"/>
                <w:highlight w:val="none"/>
                <w:vertAlign w:val="superscript"/>
              </w:rPr>
              <w:t xml:space="preserve">3</w:t>
            </w:r>
            <w:r>
              <w:rPr>
                <w:rFonts w:hint="eastAsia" w:ascii="宋体" w:hAnsi="宋体" w:eastAsia="宋体" w:cs="宋体"/>
                <w:b/>
                <w:bCs/>
                <w:color w:val="000000"/>
                <w:szCs w:val="21"/>
                <w:highlight w:val="none"/>
              </w:rPr>
              <w:t xml:space="preserve">/h；</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t xml:space="preserve">（4）全压范围：</w:t>
            </w:r>
            <w:r>
              <w:rPr>
                <w:rFonts w:hint="eastAsia" w:ascii="宋体" w:hAnsi="宋体" w:eastAsia="宋体" w:cs="宋体"/>
                <w:b/>
                <w:bCs/>
                <w:color w:val="000000"/>
                <w:szCs w:val="21"/>
                <w:highlight w:val="none"/>
                <w:lang w:val="en-US" w:eastAsia="zh-CN"/>
              </w:rPr>
              <w:t xml:space="preserve">不低于</w:t>
            </w:r>
            <w:r>
              <w:rPr>
                <w:rFonts w:hint="eastAsia" w:ascii="宋体" w:hAnsi="宋体" w:eastAsia="宋体" w:cs="宋体"/>
                <w:b/>
                <w:bCs/>
                <w:color w:val="000000"/>
                <w:szCs w:val="21"/>
                <w:highlight w:val="none"/>
              </w:rPr>
              <w:t xml:space="preserve">724-1139 Pa。</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bCs/>
                <w:color w:val="000000"/>
                <w:szCs w:val="21"/>
                <w:highlight w:val="none"/>
                <w:lang w:val="en-US" w:eastAsia="zh-CN"/>
              </w:rPr>
              <w:t xml:space="preserve">上述（1）-（4）条，</w:t>
            </w:r>
            <w:r>
              <w:rPr>
                <w:rFonts w:hint="eastAsia" w:ascii="宋体" w:hAnsi="宋体" w:eastAsia="宋体" w:cs="宋体"/>
                <w:b/>
                <w:bCs/>
                <w:color w:val="000000"/>
                <w:highlight w:val="none"/>
                <w:u w:val="none"/>
                <w:lang w:val="en-US" w:eastAsia="zh-CN"/>
              </w:rPr>
              <w:t xml:space="preserve">投标文件中提供厂家技术说明书扫描件并加盖投标人公章。</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PP风管</w:t>
            </w:r>
            <w:r>
              <w:rPr>
                <w:rFonts w:hint="eastAsia" w:ascii="宋体" w:hAnsi="宋体" w:eastAsia="宋体" w:cs="宋体"/>
                <w:b/>
                <w:bCs/>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（1）核心材质：以聚丙烯（PP）树脂为基材，可添加抗紫外线、抗老化等改性剂，适用于酸碱废气、化工介质输送等场景。</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（2）密度：0.90~0.91g/cm³。</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（3）工作温度：-10℃~80℃（常规型），特殊改性款可耐-20℃~100℃。</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（4）压力等级：常规0.1~0.6MPa（根据管径和壁厚调整，适配通风/低压输送）。</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（5）耐腐蚀性：耐酸（盐酸、硫酸等）、耐碱（氢氧化钠等）、耐盐溶液。</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（6）管材规格：管径φ20~φ1600mm，壁厚3~20mm（按需定制）。</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（7）连接方式：热熔焊接、法兰连接、承插式连接（密封性能好，无泄漏风险）。</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（8）阻燃等级：可选V0级（UL94标准），氧指数≥28%。</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（9）表面粗糙度：Ra≤0.01mm，降低流动阻力并减少结垢风险。</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widowControl/>
              <w:rPr>
                <w:rFonts w:hint="eastAsia" w:ascii="宋体" w:hAnsi="宋体" w:eastAsia="宋体" w:cs="宋体"/>
                <w:b w:val="0"/>
                <w:bCs w:val="0"/>
                <w:color w:val="000000"/>
                <w:szCs w:val="21"/>
                <w:highlight w:val="none"/>
              </w:rPr>
            </w:pPr>
            <w:r>
              <w:rPr>
                <w:rFonts w:hint="eastAsia" w:ascii="宋体" w:hAnsi="宋体" w:eastAsia="宋体" w:cs="宋体"/>
                <w:b/>
                <w:bCs/>
                <w:color w:val="000000"/>
                <w:szCs w:val="21"/>
                <w:highlight w:val="none"/>
              </w:rPr>
              <w:t xml:space="preserve">▲（10）如涉及腐蚀性气体，输送风管必须更换为防腐金属风管或更优耐腐蚀材质风管</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投标文件中提供承诺加盖投标人公章</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val="0"/>
                <w:bCs w:val="0"/>
                <w:color w:val="000000"/>
                <w:szCs w:val="21"/>
                <w:highlight w:val="none"/>
              </w:rPr>
            </w:r>
            <w:r/>
          </w:p>
        </w:tc>
      </w:tr>
      <w:tr>
        <w:trPr>
          <w:trHeight w:val="90"/>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防爆隔离系统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（1）防爆隔离系统用于特气设备区域的安全防护，降低异常工况对周边区域的影响。</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（2）系统应配置防爆墙、防爆门及防爆窗，形成独立隔离空间。</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（3）气瓶间防爆控制材料与结构要求</w:t>
            </w:r>
            <w:r>
              <w:rPr>
                <w:rFonts w:hint="eastAsia" w:ascii="宋体" w:hAnsi="宋体" w:eastAsia="宋体" w:cs="宋体"/>
                <w:b w:val="0"/>
                <w:bCs w:val="0"/>
                <w:color w:val="000000"/>
                <w:szCs w:val="21"/>
                <w:highlight w:val="none"/>
              </w:rPr>
            </w:r>
            <w:r/>
          </w:p>
          <w:p>
            <w:pPr>
              <w:pStyle w:val="1139"/>
              <w:numPr>
                <w:ilvl w:val="0"/>
                <w:numId w:val="13"/>
              </w:numPr>
              <w:ind w:firstLine="420"/>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抗爆墙应由钢龙骨、纤维水泥复合钢板及岩棉等材料组成，整体结构应具备良好的抗爆与防火性能；</w:t>
            </w:r>
            <w:r>
              <w:rPr>
                <w:rFonts w:hint="eastAsia" w:ascii="宋体" w:hAnsi="宋体" w:eastAsia="宋体" w:cs="宋体"/>
                <w:b w:val="0"/>
                <w:bCs w:val="0"/>
                <w:color w:val="000000"/>
                <w:szCs w:val="21"/>
                <w:highlight w:val="none"/>
              </w:rPr>
            </w:r>
            <w:r/>
          </w:p>
          <w:p>
            <w:pPr>
              <w:pStyle w:val="1139"/>
              <w:numPr>
                <w:ilvl w:val="0"/>
                <w:numId w:val="13"/>
              </w:numPr>
              <w:ind w:firstLine="420"/>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纤维水泥复合钢板由上下两层厚度不低于0.5 mm 的冲孔镀锌钢板组成；</w:t>
            </w:r>
            <w:r>
              <w:rPr>
                <w:rFonts w:hint="eastAsia" w:ascii="宋体" w:hAnsi="宋体" w:eastAsia="宋体" w:cs="宋体"/>
                <w:b w:val="0"/>
                <w:bCs w:val="0"/>
                <w:color w:val="000000"/>
                <w:szCs w:val="21"/>
                <w:highlight w:val="none"/>
              </w:rPr>
            </w:r>
            <w:r/>
          </w:p>
          <w:p>
            <w:pPr>
              <w:pStyle w:val="1139"/>
              <w:numPr>
                <w:ilvl w:val="0"/>
                <w:numId w:val="13"/>
              </w:numPr>
              <w:ind w:firstLine="420"/>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两层镀锌钢板通过高强度压制方式与厚度不低于8.5 mm 的纤维水泥层复合形成防火板材，其中夹设的纤维水泥层具备良好的能量吸收与缓冲作用。</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▲（4）纤维水泥复合钢板的技术性能指标：</w:t>
            </w:r>
            <w:r>
              <w:rPr>
                <w:rFonts w:hint="eastAsia" w:ascii="宋体" w:hAnsi="宋体" w:eastAsia="宋体" w:cs="宋体"/>
                <w:b/>
                <w:bCs/>
                <w:color w:val="000000"/>
                <w:szCs w:val="21"/>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07"/>
              <w:gridCol w:w="1127"/>
              <w:gridCol w:w="1205"/>
              <w:gridCol w:w="1059"/>
              <w:gridCol w:w="829"/>
            </w:tblGrid>
            <w:tr>
              <w:trPr/>
              <w:tc>
                <w:tcPr>
                  <w:tcW w:w="562"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项目</w:t>
                  </w:r>
                  <w:r>
                    <w:rPr>
                      <w:rFonts w:hint="eastAsia" w:ascii="宋体" w:hAnsi="宋体" w:eastAsia="宋体" w:cs="宋体"/>
                      <w:b/>
                      <w:bCs/>
                      <w:color w:val="000000"/>
                      <w:szCs w:val="21"/>
                      <w:highlight w:val="none"/>
                    </w:rPr>
                  </w:r>
                  <w:r/>
                </w:p>
              </w:tc>
              <w:tc>
                <w:tcPr>
                  <w:tcW w:w="1167"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重量(Kg/m</w:t>
                  </w:r>
                  <w:r>
                    <w:rPr>
                      <w:rFonts w:hint="eastAsia" w:ascii="宋体" w:hAnsi="宋体" w:eastAsia="宋体" w:cs="宋体"/>
                      <w:b/>
                      <w:bCs/>
                      <w:color w:val="000000"/>
                      <w:szCs w:val="21"/>
                      <w:highlight w:val="none"/>
                      <w:vertAlign w:val="superscript"/>
                    </w:rPr>
                    <w:t xml:space="preserve">2</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tc>
              <w:tc>
                <w:tcPr>
                  <w:tcW w:w="873"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抗弯强度</w:t>
                  </w:r>
                  <w:r>
                    <w:rPr>
                      <w:rFonts w:hint="eastAsia" w:ascii="宋体" w:hAnsi="宋体" w:eastAsia="宋体" w:cs="宋体"/>
                      <w:b/>
                      <w:bCs/>
                      <w:color w:val="000000"/>
                      <w:szCs w:val="21"/>
                      <w:highlight w:val="none"/>
                    </w:rPr>
                  </w:r>
                  <w:r/>
                </w:p>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(MPa)</w:t>
                  </w:r>
                  <w:r>
                    <w:rPr>
                      <w:rFonts w:hint="eastAsia" w:ascii="宋体" w:hAnsi="宋体" w:eastAsia="宋体" w:cs="宋体"/>
                      <w:b/>
                      <w:bCs/>
                      <w:color w:val="000000"/>
                      <w:szCs w:val="21"/>
                      <w:highlight w:val="none"/>
                    </w:rPr>
                  </w:r>
                  <w:r/>
                </w:p>
              </w:tc>
              <w:tc>
                <w:tcPr>
                  <w:tcW w:w="933"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弹性模量</w:t>
                  </w:r>
                  <w:r>
                    <w:rPr>
                      <w:rFonts w:hint="eastAsia" w:ascii="宋体" w:hAnsi="宋体" w:eastAsia="宋体" w:cs="宋体"/>
                      <w:b/>
                      <w:bCs/>
                      <w:color w:val="000000"/>
                      <w:szCs w:val="21"/>
                      <w:highlight w:val="none"/>
                    </w:rPr>
                  </w:r>
                  <w:r/>
                </w:p>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(Gpa)</w:t>
                  </w:r>
                  <w:r>
                    <w:rPr>
                      <w:rFonts w:hint="eastAsia" w:ascii="宋体" w:hAnsi="宋体" w:eastAsia="宋体" w:cs="宋体"/>
                      <w:b/>
                      <w:bCs/>
                      <w:color w:val="000000"/>
                      <w:szCs w:val="21"/>
                      <w:highlight w:val="none"/>
                    </w:rPr>
                  </w:r>
                  <w:r/>
                </w:p>
              </w:tc>
              <w:tc>
                <w:tcPr>
                  <w:tcW w:w="820"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含水率</w:t>
                  </w:r>
                  <w:r>
                    <w:rPr>
                      <w:rFonts w:hint="eastAsia" w:ascii="宋体" w:hAnsi="宋体" w:eastAsia="宋体" w:cs="宋体"/>
                      <w:b/>
                      <w:bCs/>
                      <w:color w:val="000000"/>
                      <w:szCs w:val="21"/>
                      <w:highlight w:val="none"/>
                    </w:rPr>
                  </w:r>
                  <w:r/>
                </w:p>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tc>
              <w:tc>
                <w:tcPr>
                  <w:tcW w:w="642"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燃烧性能</w:t>
                  </w:r>
                  <w:r>
                    <w:rPr>
                      <w:rFonts w:hint="eastAsia" w:ascii="宋体" w:hAnsi="宋体" w:eastAsia="宋体" w:cs="宋体"/>
                      <w:b/>
                      <w:bCs/>
                      <w:color w:val="000000"/>
                      <w:szCs w:val="21"/>
                      <w:highlight w:val="none"/>
                    </w:rPr>
                  </w:r>
                  <w:r/>
                </w:p>
              </w:tc>
            </w:tr>
            <w:tr>
              <w:trPr/>
              <w:tc>
                <w:tcPr>
                  <w:tcW w:w="562"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w:t>
                  </w:r>
                  <w:r>
                    <w:rPr>
                      <w:rFonts w:hint="eastAsia" w:ascii="宋体" w:hAnsi="宋体" w:eastAsia="宋体" w:cs="宋体"/>
                      <w:b/>
                      <w:bCs/>
                      <w:color w:val="000000"/>
                      <w:szCs w:val="21"/>
                      <w:highlight w:val="none"/>
                    </w:rPr>
                  </w:r>
                  <w:r/>
                </w:p>
              </w:tc>
              <w:tc>
                <w:tcPr>
                  <w:tcW w:w="1167"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小于等于25</w:t>
                  </w:r>
                  <w:r>
                    <w:rPr>
                      <w:rFonts w:hint="eastAsia" w:ascii="宋体" w:hAnsi="宋体" w:eastAsia="宋体" w:cs="宋体"/>
                      <w:b/>
                      <w:bCs/>
                      <w:color w:val="000000"/>
                      <w:szCs w:val="21"/>
                      <w:highlight w:val="none"/>
                    </w:rPr>
                  </w:r>
                  <w:r/>
                </w:p>
              </w:tc>
              <w:tc>
                <w:tcPr>
                  <w:tcW w:w="873"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大于185</w:t>
                  </w:r>
                  <w:r>
                    <w:rPr>
                      <w:rFonts w:hint="eastAsia" w:ascii="宋体" w:hAnsi="宋体" w:eastAsia="宋体" w:cs="宋体"/>
                      <w:b/>
                      <w:bCs/>
                      <w:color w:val="000000"/>
                      <w:szCs w:val="21"/>
                      <w:highlight w:val="none"/>
                    </w:rPr>
                  </w:r>
                  <w:r/>
                </w:p>
              </w:tc>
              <w:tc>
                <w:tcPr>
                  <w:tcW w:w="933"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大于72</w:t>
                  </w:r>
                  <w:r>
                    <w:rPr>
                      <w:rFonts w:hint="eastAsia" w:ascii="宋体" w:hAnsi="宋体" w:eastAsia="宋体" w:cs="宋体"/>
                      <w:b/>
                      <w:bCs/>
                      <w:color w:val="000000"/>
                      <w:szCs w:val="21"/>
                      <w:highlight w:val="none"/>
                    </w:rPr>
                  </w:r>
                  <w:r/>
                </w:p>
              </w:tc>
              <w:tc>
                <w:tcPr>
                  <w:tcW w:w="820"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小于10</w:t>
                  </w:r>
                  <w:r>
                    <w:rPr>
                      <w:rFonts w:hint="eastAsia" w:ascii="宋体" w:hAnsi="宋体" w:eastAsia="宋体" w:cs="宋体"/>
                      <w:b/>
                      <w:bCs/>
                      <w:color w:val="000000"/>
                      <w:szCs w:val="21"/>
                      <w:highlight w:val="none"/>
                    </w:rPr>
                  </w:r>
                  <w:r/>
                </w:p>
              </w:tc>
              <w:tc>
                <w:tcPr>
                  <w:tcW w:w="642" w:type="dxa"/>
                  <w:vAlign w:val="center"/>
                  <w:textDirection w:val="lrTb"/>
                  <w:noWrap w:val="false"/>
                </w:tcPr>
                <w:p>
                  <w:pPr>
                    <w:pStyle w:val="1139"/>
                    <w:jc w:val="center"/>
                    <w:keepLines w:val="0"/>
                    <w:keepNext w:val="0"/>
                    <w:pageBreakBefore w:val="0"/>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A1</w:t>
                  </w:r>
                  <w:r>
                    <w:rPr>
                      <w:rFonts w:hint="eastAsia" w:ascii="宋体" w:hAnsi="宋体" w:eastAsia="宋体" w:cs="宋体"/>
                      <w:b/>
                      <w:bCs/>
                      <w:color w:val="000000"/>
                      <w:szCs w:val="21"/>
                      <w:highlight w:val="none"/>
                    </w:rPr>
                  </w:r>
                  <w:r/>
                </w:p>
              </w:tc>
            </w:tr>
          </w:tbl>
          <w:p>
            <w:pPr>
              <w:pStyle w:val="1139"/>
              <w:jc w:val="both"/>
              <w:keepLines w:val="0"/>
              <w:keepNext w:val="0"/>
              <w:pageBreakBefore w:val="0"/>
              <w:spacing w:line="240" w:lineRule="auto"/>
              <w:rPr>
                <w:rFonts w:hint="eastAsia"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rPr>
              <w:t xml:space="preserve">（5）纤维水泥复合钢板的规格</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不小于</w:t>
            </w:r>
            <w:r>
              <w:rPr>
                <w:rFonts w:hint="eastAsia" w:ascii="宋体" w:hAnsi="宋体" w:eastAsia="宋体" w:cs="宋体"/>
                <w:b w:val="0"/>
                <w:bCs w:val="0"/>
                <w:color w:val="000000"/>
                <w:szCs w:val="21"/>
                <w:highlight w:val="none"/>
              </w:rPr>
              <w:t xml:space="preserve">2400mm*1200mm*9.5mm或2440mm*1220mm*9.5mm</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施工时可以根据实际需要进行切割</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val="0"/>
                <w:bCs w:val="0"/>
                <w:color w:val="000000"/>
                <w:szCs w:val="21"/>
                <w:highlight w:val="none"/>
                <w:lang w:val="en-US"/>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洁净压缩空气系统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（1）系统用于阀门驱动及辅助控制用途。</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（2）管道采用</w:t>
            </w:r>
            <w:r>
              <w:rPr>
                <w:rFonts w:hint="eastAsia" w:ascii="宋体" w:hAnsi="宋体" w:eastAsia="宋体" w:cs="宋体"/>
                <w:b w:val="0"/>
                <w:bCs w:val="0"/>
                <w:color w:val="000000"/>
                <w:szCs w:val="21"/>
                <w:highlight w:val="none"/>
                <w:lang w:val="en-US" w:eastAsia="zh-CN"/>
              </w:rPr>
              <w:t xml:space="preserve">316</w:t>
            </w:r>
            <w:r>
              <w:rPr>
                <w:rFonts w:hint="eastAsia" w:ascii="宋体" w:hAnsi="宋体" w:eastAsia="宋体" w:cs="宋体"/>
                <w:b w:val="0"/>
                <w:bCs w:val="0"/>
                <w:color w:val="000000"/>
                <w:szCs w:val="21"/>
                <w:highlight w:val="none"/>
              </w:rPr>
              <w:t xml:space="preserve">不锈钢无缝管</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壁厚≥1mm</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eastAsia="zh-CN"/>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（3）系统应配置过滤减压组件、流量计及球阀</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配置数量应满足图纸中所有设备要求</w:t>
            </w:r>
            <w:r>
              <w:rPr>
                <w:rFonts w:hint="eastAsia" w:ascii="宋体" w:hAnsi="宋体" w:eastAsia="宋体" w:cs="宋体"/>
                <w:b/>
                <w:bCs/>
                <w:color w:val="000000"/>
                <w:szCs w:val="21"/>
                <w:highlight w:val="none"/>
              </w:rPr>
              <w:t xml:space="preserve">。</w:t>
            </w:r>
            <w:r>
              <w:rPr>
                <w:rFonts w:hint="eastAsia" w:ascii="宋体" w:hAnsi="宋体" w:eastAsia="宋体" w:cs="宋体"/>
                <w:b w:val="0"/>
                <w:bCs w:val="0"/>
                <w:color w:val="000000"/>
                <w:szCs w:val="21"/>
                <w:highlight w:val="none"/>
              </w:rPr>
            </w:r>
            <w:r/>
          </w:p>
        </w:tc>
      </w:tr>
      <w:tr>
        <w:trPr>
          <w:trHeight w:val="283"/>
        </w:trPr>
        <w:tc>
          <w:tcPr>
            <w:tcW w:w="370"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w:t>
            </w:r>
            <w:r>
              <w:rPr>
                <w:rFonts w:hint="eastAsia" w:ascii="宋体" w:hAnsi="宋体" w:eastAsia="宋体" w:cs="宋体"/>
                <w:b w:val="0"/>
                <w:bCs w:val="0"/>
                <w:color w:val="000000"/>
                <w:szCs w:val="21"/>
                <w:highlight w:val="none"/>
              </w:rPr>
            </w:r>
            <w:r/>
          </w:p>
        </w:tc>
        <w:tc>
          <w:tcPr>
            <w:tcW w:w="411" w:type="dxa"/>
            <w:vAlign w:val="center"/>
            <w:vMerge w:val="restart"/>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气体泄漏侦测及报警系统</w:t>
            </w: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气体泄漏侦测系统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系统应具备对所有特种气体相关区域的泄漏侦测与监测功能。侦测气体种类应覆盖所有易燃易爆、有毒、腐蚀性及助燃性气体。侦测范围应至少包括：特气柜及气瓶架区域；用气设备及工艺接口附近；机台抽风或尾气管路关键位置；各区域环境侦测点（根据不同气体特性及侦测器有效覆盖范围合理配置数量）；局部排气装置及紧急切断装置附近等重点区域。</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（2）当发生气体泄漏时，系统应在对应侦测点发出现场声光报警信号，并同时将报警信号上传至特气集中监控系统或中控系统，实现集中显示、记录与处置。</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（3）中控室应设置远程紧急关断（ESD）按钮，用于紧急情况下对相关气源实施集中切断，并与特气系统的联锁逻辑协调。</w:t>
            </w:r>
            <w:r>
              <w:rPr>
                <w:rFonts w:hint="eastAsia" w:ascii="宋体" w:hAnsi="宋体" w:eastAsia="宋体" w:cs="宋体"/>
                <w:b w:val="0"/>
                <w:bCs w:val="0"/>
                <w:color w:val="000000"/>
                <w:szCs w:val="21"/>
                <w:highlight w:val="none"/>
              </w:rPr>
            </w:r>
            <w:r/>
          </w:p>
        </w:tc>
      </w:tr>
      <w:tr>
        <w:trPr>
          <w:trHeight w:val="283"/>
        </w:trPr>
        <w:tc>
          <w:tcPr>
            <w:tcW w:w="370"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411" w:type="dxa"/>
            <w:vAlign w:val="center"/>
            <w:vMerge w:val="continue"/>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21" w:type="dxa"/>
            <w:vAlign w:val="center"/>
            <w:textDirection w:val="lrTb"/>
            <w:noWrap w:val="false"/>
          </w:tcPr>
          <w:p>
            <w:pPr>
              <w:pStyle w:val="1139"/>
              <w:jc w:val="center"/>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报警系统</w:t>
            </w:r>
            <w:r>
              <w:rPr>
                <w:rFonts w:hint="eastAsia" w:ascii="宋体" w:hAnsi="宋体" w:eastAsia="宋体" w:cs="宋体"/>
                <w:b w:val="0"/>
                <w:bCs w:val="0"/>
                <w:color w:val="000000"/>
                <w:szCs w:val="21"/>
                <w:highlight w:val="none"/>
              </w:rPr>
            </w:r>
            <w:r/>
          </w:p>
        </w:tc>
        <w:tc>
          <w:tcPr>
            <w:tcW w:w="3597" w:type="dxa"/>
            <w:vAlign w:val="center"/>
            <w:textDirection w:val="lrTb"/>
            <w:noWrap w:val="false"/>
          </w:tcPr>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报警系统应提供两阶段报警设定。气体侦测器的检测原理应根据气体性质合理选型（如电化学、可燃气体侦测、氧含量侦测或等效技术），满足对应气体的灵敏度、稳定性及安全要求。气体侦测器应选用成熟可靠的工业级产品，并符合相关国家或行业标准要求。</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（2）侦测系统主要设备应包括但不限于：气体侦测器组件、现场显示器或传讯器、抽取式取样管路（如适用）等；所有侦测信号应接入特气集中控制系统，实现统一监控与管理。</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（3）系统应采用以微处理器为基础的可编程序控制器（PLC 或等效系统），用于数据采集、逻辑判断、联锁控制及事件记录。</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（4）报警系统应配置现场警笛、闪光灯、确认开关及复位开关。当发生任何气体泄漏报警时，系统应能在图控或监控界面上清晰显示报警位置，并触发对应区域的声光报警装置。</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（5）报警系统应至少分为两级：</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①一级报警：当气体泄漏浓度达到设定的一级报警阈值时，系统发出警告信号，局部报警单元黄灯闪烁并蜂鸣，用于提示运行人员关注，不执行自动停机或气源切断动作；</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②二级报警：当气体泄漏浓度达到设定的二级报警阈值时，系统发出紧急报警信号，局部报警单元红灯闪烁并蜂鸣，同时联锁执行相关安全措施，包括但不限于切断气源、启动疏散广播、触发相关设备停机指令等。</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报警声响及指示应遵循分区动作原则（区分环境区域与机台区域），避免全区域同时报警引发不必要的人员恐慌。</w:t>
            </w:r>
            <w:r>
              <w:rPr>
                <w:rFonts w:hint="eastAsia" w:ascii="宋体" w:hAnsi="宋体" w:eastAsia="宋体" w:cs="宋体"/>
                <w:b w:val="0"/>
                <w:bCs w:val="0"/>
                <w:color w:val="000000"/>
                <w:szCs w:val="21"/>
                <w:highlight w:val="none"/>
              </w:rPr>
            </w:r>
            <w:r/>
          </w:p>
          <w:p>
            <w:pPr>
              <w:pStyle w:val="1139"/>
              <w:jc w:val="both"/>
              <w:keepLines w:val="0"/>
              <w:keepNext w:val="0"/>
              <w:pageBreakBefore w:val="0"/>
              <w:spacing w:line="24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rPr>
              <w:t xml:space="preserve">系统应具备分级用户管理权限，并对报警事件、操作记录及联锁动作进行自动记录，满足运行管理及事故追溯要求。</w:t>
            </w:r>
            <w:r>
              <w:rPr>
                <w:rFonts w:hint="eastAsia" w:ascii="宋体" w:hAnsi="宋体" w:eastAsia="宋体" w:cs="宋体"/>
                <w:b w:val="0"/>
                <w:bCs w:val="0"/>
                <w:color w:val="000000"/>
                <w:szCs w:val="21"/>
                <w:highlight w:val="none"/>
                <w:lang w:val="en-US" w:eastAsia="zh-CN"/>
              </w:rPr>
            </w:r>
            <w:r/>
          </w:p>
        </w:tc>
      </w:tr>
    </w:tbl>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（三）附件</w:t>
      </w:r>
      <w:r>
        <w:rPr>
          <w:rFonts w:hint="eastAsia" w:ascii="宋体" w:hAnsi="宋体" w:eastAsia="宋体" w:cs="宋体"/>
          <w:b/>
          <w:bCs/>
          <w:sz w:val="24"/>
          <w:highlight w:val="none"/>
        </w:rPr>
      </w:r>
      <w:r/>
    </w:p>
    <w:p>
      <w:pPr>
        <w:pStyle w:val="1139"/>
        <w:contextualSpacing/>
        <w:ind w:firstLine="482"/>
        <w:jc w:val="left"/>
        <w:spacing w:line="40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附件1：配件清单</w:t>
      </w:r>
      <w:r>
        <w:rPr>
          <w:rFonts w:hint="eastAsia" w:ascii="宋体" w:hAnsi="宋体" w:eastAsia="宋体" w:cs="宋体"/>
          <w:b/>
          <w:bCs/>
          <w:sz w:val="24"/>
          <w:highlight w:val="none"/>
          <w:lang w:val="en-US" w:eastAsia="zh-CN"/>
        </w:rPr>
      </w:r>
      <w:r/>
    </w:p>
    <w:tbl>
      <w:tblPr>
        <w:tblStyle w:val="1209"/>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2746"/>
        <w:gridCol w:w="4177"/>
        <w:gridCol w:w="705"/>
        <w:gridCol w:w="723"/>
      </w:tblGrid>
      <w:tr>
        <w:trPr>
          <w:trHeight w:val="283"/>
        </w:trPr>
        <w:tc>
          <w:tcPr>
            <w:gridSpan w:val="3"/>
            <w:shd w:val="clear" w:color="auto" w:fill="c7daf1"/>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Part </w:t>
            </w:r>
            <w:r>
              <w:rPr>
                <w:rFonts w:hint="eastAsia" w:ascii="宋体" w:hAnsi="宋体" w:eastAsia="宋体" w:cs="宋体"/>
                <w:b/>
                <w:bCs/>
                <w:sz w:val="21"/>
                <w:szCs w:val="21"/>
                <w:highlight w:val="none"/>
                <w:lang w:val="en-US" w:eastAsia="zh-CN"/>
              </w:rPr>
              <w:t xml:space="preserve">A</w:t>
            </w:r>
            <w:r>
              <w:rPr>
                <w:rFonts w:hint="eastAsia" w:ascii="宋体" w:hAnsi="宋体" w:eastAsia="宋体" w:cs="宋体"/>
                <w:b/>
                <w:bCs/>
                <w:sz w:val="21"/>
                <w:szCs w:val="21"/>
                <w:highlight w:val="none"/>
              </w:rPr>
              <w:t xml:space="preserve">:  气体设备</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核心产品</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tc>
        <w:tc>
          <w:tcPr>
            <w:shd w:val="clear" w:color="auto" w:fill="c7daf1"/>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lang w:val="en-US"/>
              </w:rPr>
            </w:r>
            <w:r/>
          </w:p>
        </w:tc>
        <w:tc>
          <w:tcPr>
            <w:tcW w:w="1478"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rPr>
              <w:t xml:space="preserve">说明</w:t>
            </w:r>
            <w:r>
              <w:rPr>
                <w:rFonts w:hint="eastAsia" w:ascii="宋体" w:hAnsi="宋体" w:eastAsia="宋体" w:cs="宋体"/>
                <w:b/>
                <w:bCs/>
                <w:sz w:val="21"/>
                <w:szCs w:val="21"/>
                <w:highlight w:val="none"/>
                <w:lang w:val="en-US"/>
              </w:rPr>
            </w:r>
            <w:r/>
          </w:p>
        </w:tc>
        <w:tc>
          <w:tcPr>
            <w:tcW w:w="2248"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规格</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color w:val="000000"/>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A</w:t>
            </w: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特气柜/架</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硅烷特气柜</w:t>
            </w:r>
            <w:r>
              <w:rPr>
                <w:rFonts w:hint="eastAsia" w:ascii="宋体" w:hAnsi="宋体" w:eastAsia="宋体" w:cs="宋体"/>
                <w:sz w:val="21"/>
                <w:szCs w:val="21"/>
                <w:highlight w:val="none"/>
                <w:lang w:val="en-US" w:eastAsia="zh-CN"/>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1.全自动操作(自动切换、吹扫、抽真空、高压保压等)；</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单钢瓶供应，单工艺出口；</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3.终端过滤 ，盘面1/4",出口阀1/4"；</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4.配置EFS，一键强供、驱动压力报警；</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5.PLC控制、彩色触摸屏人机界面；</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6.配置以太网通讯接口、UV/IR、温感、烟感、七氟丙烷</w:t>
            </w:r>
            <w:r>
              <w:rPr>
                <w:rFonts w:hint="eastAsia" w:ascii="宋体" w:hAnsi="宋体" w:eastAsia="宋体" w:cs="宋体"/>
                <w:sz w:val="21"/>
                <w:szCs w:val="21"/>
                <w:highlight w:val="none"/>
                <w:lang w:val="en-US" w:eastAsia="zh-CN"/>
              </w:rPr>
              <w:t xml:space="preserve">灭火系统</w:t>
            </w:r>
            <w:r>
              <w:rPr>
                <w:rFonts w:hint="eastAsia" w:ascii="宋体" w:hAnsi="宋体" w:eastAsia="宋体" w:cs="宋体"/>
                <w:sz w:val="21"/>
                <w:szCs w:val="21"/>
                <w:highlight w:val="none"/>
              </w:rPr>
              <w:t xml:space="preserve">、三色报警灯、负压表、氦检漏口、含防呆；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7.所有非焊接头加贴易碎贴等，五项测试；</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符合国际安全规范的玻璃观察窗、自动关闭门、抽风外壳；</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A-1.2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氨气特气柜</w:t>
            </w:r>
            <w:r>
              <w:rPr>
                <w:rFonts w:hint="eastAsia" w:ascii="宋体" w:hAnsi="宋体" w:eastAsia="宋体" w:cs="宋体"/>
                <w:sz w:val="21"/>
                <w:szCs w:val="21"/>
                <w:highlight w:val="none"/>
                <w:lang w:eastAsia="zh-CN"/>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1.全自动操作(自动切换、吹扫、抽真空、紧急切断等)；</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单钢瓶供应，单工艺出口；</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3.终端过滤 ，盘面1/4",出口阀1/4"；</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4.配置电子秤、钢瓶加热、盘面加热，</w:t>
            </w:r>
            <w:r>
              <w:rPr>
                <w:rFonts w:hint="eastAsia" w:ascii="宋体" w:hAnsi="宋体" w:eastAsia="宋体" w:cs="宋体"/>
                <w:sz w:val="21"/>
                <w:szCs w:val="21"/>
                <w:highlight w:val="none"/>
                <w:lang w:val="en-US" w:eastAsia="zh-CN"/>
              </w:rPr>
              <w:t xml:space="preserve">管道伴热，</w:t>
            </w:r>
            <w:r>
              <w:rPr>
                <w:rFonts w:hint="eastAsia" w:ascii="宋体" w:hAnsi="宋体" w:eastAsia="宋体" w:cs="宋体"/>
                <w:sz w:val="21"/>
                <w:szCs w:val="21"/>
                <w:highlight w:val="none"/>
              </w:rPr>
              <w:t xml:space="preserve">一键强供、驱动压力报警；</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5.PLC控制、彩色触摸屏人机界面，可控制监测管道温度；</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6.配置以太网通讯接口、温感、消防喷淋头、三色报警灯、负压表、氦检漏口、含防呆；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7.所有非焊接头加贴易碎贴等，五项测试；</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符合国际安全规范的玻璃观察窗、自动关闭门、抽风外壳；</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笑气+氮气混合气瓶供气架</w:t>
            </w:r>
            <w:r>
              <w:rPr>
                <w:rFonts w:hint="eastAsia" w:ascii="宋体" w:hAnsi="宋体" w:eastAsia="宋体" w:cs="宋体"/>
                <w:sz w:val="21"/>
                <w:szCs w:val="21"/>
                <w:highlight w:val="none"/>
                <w:lang w:val="en-US" w:eastAsia="zh-CN"/>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1.手动操作(手动切换)，47L单瓶工艺供应；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O低压单工艺出口，配置终端过滤；</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2.H/LPN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高压出口，用于GC高压保压，低压出口：用于低压吹扫；</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A-</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汇流排/高压盘面</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 机械式半自动切换汇流排</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1.机械式半自动操作；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2.47L+47L 1+1钢瓶供应；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He 机械式半自动切换汇流排</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1.机械式半自动操作；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2.47L+47L 1+1钢瓶供应；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Ar 机械式半自动切换汇流排</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1.机械式半自动操作；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2.47L+47L 1+1钢瓶供应；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O</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 机械式半自动切换汇流排</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1.机械式半自动操作；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2.47L+47L 1+1钢瓶供应；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机械式半自动切换汇流排</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1.机械式半自动操作；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2.47L+47L 1+1钢瓶供应；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CF</w:t>
            </w:r>
            <w:r>
              <w:rPr>
                <w:rFonts w:hint="eastAsia" w:ascii="宋体" w:hAnsi="宋体" w:eastAsia="宋体" w:cs="宋体"/>
                <w:sz w:val="21"/>
                <w:szCs w:val="21"/>
                <w:highlight w:val="none"/>
                <w:vertAlign w:val="subscript"/>
              </w:rPr>
              <w:t xml:space="preserve">4</w:t>
            </w:r>
            <w:r>
              <w:rPr>
                <w:rFonts w:hint="eastAsia" w:ascii="宋体" w:hAnsi="宋体" w:eastAsia="宋体" w:cs="宋体"/>
                <w:sz w:val="21"/>
                <w:szCs w:val="21"/>
                <w:highlight w:val="none"/>
              </w:rPr>
              <w:t xml:space="preserve"> 高压盘面</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KRF 高压盘面</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SF</w:t>
            </w:r>
            <w:r>
              <w:rPr>
                <w:rFonts w:hint="eastAsia" w:ascii="宋体" w:hAnsi="宋体" w:eastAsia="宋体" w:cs="宋体"/>
                <w:sz w:val="21"/>
                <w:szCs w:val="21"/>
                <w:highlight w:val="none"/>
                <w:vertAlign w:val="subscript"/>
              </w:rPr>
              <w:t xml:space="preserve">6</w:t>
            </w:r>
            <w:r>
              <w:rPr>
                <w:rFonts w:hint="eastAsia" w:ascii="宋体" w:hAnsi="宋体" w:eastAsia="宋体" w:cs="宋体"/>
                <w:sz w:val="21"/>
                <w:szCs w:val="21"/>
                <w:highlight w:val="none"/>
              </w:rPr>
              <w:t xml:space="preserve"> 高压盘面</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单钢瓶供应,配置电子称；</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CHF</w:t>
            </w:r>
            <w:r>
              <w:rPr>
                <w:rFonts w:hint="eastAsia" w:ascii="宋体" w:hAnsi="宋体" w:eastAsia="宋体" w:cs="宋体"/>
                <w:sz w:val="21"/>
                <w:szCs w:val="21"/>
                <w:highlight w:val="none"/>
                <w:vertAlign w:val="subscript"/>
              </w:rPr>
              <w:t xml:space="preserve">3</w:t>
            </w:r>
            <w:r>
              <w:rPr>
                <w:rFonts w:hint="eastAsia" w:ascii="宋体" w:hAnsi="宋体" w:eastAsia="宋体" w:cs="宋体"/>
                <w:sz w:val="21"/>
                <w:szCs w:val="21"/>
                <w:highlight w:val="none"/>
              </w:rPr>
              <w:t xml:space="preserve"> 高压盘面</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单钢瓶供应,配置电子称；</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C4F</w:t>
            </w:r>
            <w:r>
              <w:rPr>
                <w:rFonts w:hint="eastAsia" w:ascii="宋体" w:hAnsi="宋体" w:eastAsia="宋体" w:cs="宋体"/>
                <w:sz w:val="21"/>
                <w:szCs w:val="21"/>
                <w:highlight w:val="none"/>
                <w:vertAlign w:val="subscript"/>
              </w:rPr>
              <w:t xml:space="preserve">8</w:t>
            </w:r>
            <w:r>
              <w:rPr>
                <w:rFonts w:hint="eastAsia" w:ascii="宋体" w:hAnsi="宋体" w:eastAsia="宋体" w:cs="宋体"/>
                <w:sz w:val="21"/>
                <w:szCs w:val="21"/>
                <w:highlight w:val="none"/>
              </w:rPr>
              <w:t xml:space="preserve"> 高压盘面</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1.手动操作；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2.47L 单钢瓶供应,配置电子称；</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详见图纸</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A-</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尾气处理器</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干式吸附尾气处理</w:t>
            </w:r>
            <w:r>
              <w:rPr>
                <w:rFonts w:hint="eastAsia" w:ascii="宋体" w:hAnsi="宋体" w:eastAsia="宋体" w:cs="宋体"/>
                <w:sz w:val="21"/>
                <w:szCs w:val="21"/>
                <w:highlight w:val="none"/>
                <w:lang w:val="en-US" w:eastAsia="zh-CN"/>
              </w:rPr>
              <w:t xml:space="preserve">装置</w:t>
            </w:r>
            <w:r>
              <w:rPr>
                <w:rFonts w:hint="eastAsia" w:ascii="宋体" w:hAnsi="宋体" w:eastAsia="宋体" w:cs="宋体"/>
                <w:sz w:val="21"/>
                <w:szCs w:val="21"/>
                <w:highlight w:val="none"/>
                <w:lang w:eastAsia="zh-CN"/>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处理气体：</w:t>
            </w:r>
            <w:r>
              <w:rPr>
                <w:rFonts w:hint="eastAsia" w:ascii="宋体" w:hAnsi="宋体" w:eastAsia="宋体" w:cs="宋体"/>
                <w:sz w:val="21"/>
                <w:szCs w:val="21"/>
                <w:highlight w:val="none"/>
                <w:lang w:val="en-US" w:eastAsia="zh-CN"/>
              </w:rPr>
              <w:t xml:space="preserve">燃烧后的尾气与本项目其它气体</w:t>
            </w:r>
            <w:r>
              <w:rPr>
                <w:rFonts w:hint="eastAsia" w:ascii="宋体" w:hAnsi="宋体" w:eastAsia="宋体" w:cs="宋体"/>
                <w:sz w:val="21"/>
                <w:szCs w:val="21"/>
                <w:highlight w:val="none"/>
                <w:lang w:val="en-US" w:eastAsia="zh-CN"/>
              </w:rPr>
            </w:r>
            <w:r/>
          </w:p>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主要参数：</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处理方式 干法吸附反应</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尺寸规格 850(W) </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 850D)</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 1760(H) mm</w:t>
            </w:r>
            <w:r>
              <w:rPr>
                <w:rFonts w:hint="eastAsia" w:ascii="宋体" w:hAnsi="宋体" w:eastAsia="宋体" w:cs="宋体"/>
                <w:sz w:val="21"/>
                <w:szCs w:val="21"/>
                <w:highlight w:val="none"/>
                <w:vertAlign w:val="superscript"/>
              </w:rPr>
              <w:t xml:space="preserve">3</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电源 220VAC., 1Phase 50 Hz, 1KW罐子用量 200L</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处理能力200-400SLM (Maximum) </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进气口 KF50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出气口 KF50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柜体排风 DN100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氮气N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 4~7kg/cm</w:t>
            </w:r>
            <w:r>
              <w:rPr>
                <w:rFonts w:hint="eastAsia" w:ascii="宋体" w:hAnsi="宋体" w:eastAsia="宋体" w:cs="宋体"/>
                <w:sz w:val="21"/>
                <w:szCs w:val="21"/>
                <w:highlight w:val="none"/>
                <w:vertAlign w:val="superscript"/>
              </w:rPr>
              <w:t xml:space="preserve">2</w:t>
            </w:r>
            <w:r>
              <w:rPr>
                <w:rFonts w:hint="eastAsia" w:ascii="宋体" w:hAnsi="宋体" w:eastAsia="宋体" w:cs="宋体"/>
                <w:sz w:val="21"/>
                <w:szCs w:val="21"/>
                <w:highlight w:val="none"/>
              </w:rPr>
              <w:t xml:space="preserve">, 1/4”</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尾排浓度侦测 </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负压风机 </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0.3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KW</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r>
      <w:tr>
        <w:trPr>
          <w:trHeight w:val="283"/>
        </w:trPr>
        <w:tc>
          <w:tcPr>
            <w:tcW w:w="504"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A-</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燃烧</w:t>
            </w:r>
            <w:r>
              <w:rPr>
                <w:rFonts w:hint="eastAsia" w:ascii="宋体" w:hAnsi="宋体" w:eastAsia="宋体" w:cs="宋体"/>
                <w:sz w:val="21"/>
                <w:szCs w:val="21"/>
                <w:highlight w:val="none"/>
                <w:lang w:val="en-US"/>
              </w:rPr>
              <w:t xml:space="preserve">桶</w:t>
            </w:r>
            <w:r>
              <w:rPr>
                <w:rFonts w:hint="eastAsia" w:ascii="宋体" w:hAnsi="宋体" w:eastAsia="宋体" w:cs="宋体"/>
                <w:sz w:val="21"/>
                <w:szCs w:val="21"/>
                <w:highlight w:val="none"/>
                <w:lang w:eastAsia="zh-CN"/>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vertAlign w:val="subscript"/>
                <w:lang w:val="en-US" w:eastAsia="zh-CN"/>
              </w:rPr>
            </w:pPr>
            <w:r>
              <w:rPr>
                <w:rFonts w:hint="eastAsia" w:ascii="宋体" w:hAnsi="宋体" w:eastAsia="宋体" w:cs="宋体"/>
                <w:sz w:val="21"/>
                <w:szCs w:val="21"/>
                <w:highlight w:val="none"/>
              </w:rPr>
              <w:t xml:space="preserve">处理气体：SiH</w:t>
            </w:r>
            <w:r>
              <w:rPr>
                <w:rFonts w:hint="eastAsia" w:ascii="宋体" w:hAnsi="宋体" w:eastAsia="宋体" w:cs="宋体"/>
                <w:sz w:val="21"/>
                <w:szCs w:val="21"/>
                <w:highlight w:val="none"/>
                <w:vertAlign w:val="subscript"/>
              </w:rPr>
              <w:t xml:space="preserve">4</w:t>
            </w:r>
            <w:r>
              <w:rPr>
                <w:rFonts w:hint="eastAsia" w:ascii="宋体" w:hAnsi="宋体" w:eastAsia="宋体" w:cs="宋体"/>
                <w:sz w:val="21"/>
                <w:szCs w:val="21"/>
                <w:highlight w:val="none"/>
                <w:vertAlign w:val="baseline"/>
                <w:lang w:val="en-US" w:eastAsia="zh-CN"/>
              </w:rPr>
              <w:t xml:space="preserve">其他可燃性气体</w:t>
            </w:r>
            <w:r>
              <w:rPr>
                <w:rFonts w:hint="eastAsia" w:ascii="宋体" w:hAnsi="宋体" w:eastAsia="宋体" w:cs="宋体"/>
                <w:sz w:val="21"/>
                <w:szCs w:val="21"/>
                <w:highlight w:val="none"/>
                <w:vertAlign w:val="subscript"/>
                <w:lang w:val="en-US" w:eastAsia="zh-CN"/>
              </w:rPr>
            </w:r>
            <w:r/>
          </w:p>
          <w:p>
            <w:pPr>
              <w:pStyle w:val="1139"/>
              <w:jc w:val="both"/>
              <w:keepLines w:val="0"/>
              <w:keepNext w:val="0"/>
              <w:pageBreakBefore w:val="0"/>
              <w:spacing w:after="0" w:line="240" w:lineRule="auto"/>
              <w:rPr>
                <w:rFonts w:hint="eastAsia" w:ascii="宋体" w:hAnsi="宋体" w:eastAsia="宋体" w:cs="宋体"/>
                <w:sz w:val="21"/>
                <w:szCs w:val="21"/>
                <w:highlight w:val="none"/>
              </w:rPr>
            </w:pPr>
            <w:r>
              <w:rPr>
                <w:rStyle w:val="1211"/>
                <w:rFonts w:hint="eastAsia" w:ascii="宋体" w:hAnsi="宋体" w:eastAsia="宋体" w:cs="宋体"/>
                <w:b w:val="0"/>
                <w:bCs w:val="0"/>
                <w:sz w:val="21"/>
                <w:szCs w:val="21"/>
                <w:highlight w:val="none"/>
              </w:rPr>
              <w:t xml:space="preserve">材质</w:t>
            </w:r>
            <w:r>
              <w:rPr>
                <w:rFonts w:hint="eastAsia" w:ascii="宋体" w:hAnsi="宋体" w:eastAsia="宋体" w:cs="宋体"/>
                <w:b w:val="0"/>
                <w:bCs w:val="0"/>
                <w:sz w:val="21"/>
                <w:szCs w:val="21"/>
                <w:highlight w:val="none"/>
              </w:rPr>
              <w:t xml:space="preserve">：SUS304或以上，壁厚≥2.0mm，内外壁机械抛光，内壁禁油处理</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尺寸规格</w:t>
            </w:r>
            <w:r>
              <w:rPr>
                <w:rFonts w:hint="eastAsia" w:ascii="宋体" w:hAnsi="宋体" w:eastAsia="宋体" w:cs="宋体"/>
                <w:b w:val="0"/>
                <w:bCs w:val="0"/>
                <w:sz w:val="21"/>
                <w:szCs w:val="21"/>
                <w:highlight w:val="none"/>
              </w:rPr>
              <w:t xml:space="preserve">：≤750(W) × 750(D) × 1800(H) mm</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电源</w:t>
            </w:r>
            <w:r>
              <w:rPr>
                <w:rFonts w:hint="eastAsia" w:ascii="宋体" w:hAnsi="宋体" w:eastAsia="宋体" w:cs="宋体"/>
                <w:b w:val="0"/>
                <w:bCs w:val="0"/>
                <w:sz w:val="21"/>
                <w:szCs w:val="21"/>
                <w:highlight w:val="none"/>
              </w:rPr>
              <w:t xml:space="preserve">：220VAC, 1Phase, 50Hz, ≤1kW</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处理能力</w:t>
            </w:r>
            <w:r>
              <w:rPr>
                <w:rFonts w:hint="eastAsia" w:ascii="宋体" w:hAnsi="宋体" w:eastAsia="宋体" w:cs="宋体"/>
                <w:b w:val="0"/>
                <w:bCs w:val="0"/>
                <w:sz w:val="21"/>
                <w:szCs w:val="21"/>
                <w:highlight w:val="none"/>
              </w:rPr>
              <w:t xml:space="preserve">：≥5m</w:t>
            </w:r>
            <w:r>
              <w:rPr>
                <w:rFonts w:hint="eastAsia" w:ascii="宋体" w:hAnsi="宋体" w:eastAsia="宋体" w:cs="宋体"/>
                <w:b w:val="0"/>
                <w:bCs w:val="0"/>
                <w:sz w:val="21"/>
                <w:szCs w:val="21"/>
                <w:highlight w:val="none"/>
                <w:vertAlign w:val="superscript"/>
              </w:rPr>
              <w:t xml:space="preserve">3</w:t>
            </w:r>
            <w:r>
              <w:rPr>
                <w:rFonts w:hint="eastAsia" w:ascii="宋体" w:hAnsi="宋体" w:eastAsia="宋体" w:cs="宋体"/>
                <w:b w:val="0"/>
                <w:bCs w:val="0"/>
                <w:sz w:val="21"/>
                <w:szCs w:val="21"/>
                <w:highlight w:val="none"/>
              </w:rPr>
              <w:t xml:space="preserve">/min</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入口条件</w:t>
            </w:r>
            <w:r>
              <w:rPr>
                <w:rFonts w:hint="eastAsia" w:ascii="宋体" w:hAnsi="宋体" w:eastAsia="宋体" w:cs="宋体"/>
                <w:b w:val="0"/>
                <w:bCs w:val="0"/>
                <w:sz w:val="21"/>
                <w:szCs w:val="21"/>
                <w:highlight w:val="none"/>
              </w:rPr>
              <w:t xml:space="preserve">：微正压0～5kPa，0～1200℃</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进气口</w:t>
            </w:r>
            <w:r>
              <w:rPr>
                <w:rFonts w:hint="eastAsia" w:ascii="宋体" w:hAnsi="宋体" w:eastAsia="宋体" w:cs="宋体"/>
                <w:b w:val="0"/>
                <w:bCs w:val="0"/>
                <w:sz w:val="21"/>
                <w:szCs w:val="21"/>
                <w:highlight w:val="none"/>
              </w:rPr>
              <w:t xml:space="preserve">：KF50</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出气口</w:t>
            </w:r>
            <w:r>
              <w:rPr>
                <w:rFonts w:hint="eastAsia" w:ascii="宋体" w:hAnsi="宋体" w:eastAsia="宋体" w:cs="宋体"/>
                <w:b w:val="0"/>
                <w:bCs w:val="0"/>
                <w:sz w:val="21"/>
                <w:szCs w:val="21"/>
                <w:highlight w:val="none"/>
              </w:rPr>
              <w:t xml:space="preserve">：KF100</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压缩空气CDA</w:t>
            </w:r>
            <w:r>
              <w:rPr>
                <w:rFonts w:hint="eastAsia" w:ascii="宋体" w:hAnsi="宋体" w:eastAsia="宋体" w:cs="宋体"/>
                <w:b w:val="0"/>
                <w:bCs w:val="0"/>
                <w:sz w:val="21"/>
                <w:szCs w:val="21"/>
                <w:highlight w:val="none"/>
              </w:rPr>
              <w:t xml:space="preserve">：4～7kg/cm2, 1/2”, ≥2个接口, 0～2000SLPM</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氮气N</w:t>
            </w:r>
            <w:r>
              <w:rPr>
                <w:rStyle w:val="1211"/>
                <w:rFonts w:hint="eastAsia" w:ascii="宋体" w:hAnsi="宋体" w:eastAsia="宋体" w:cs="宋体"/>
                <w:b w:val="0"/>
                <w:bCs w:val="0"/>
                <w:sz w:val="21"/>
                <w:szCs w:val="21"/>
                <w:highlight w:val="none"/>
                <w:vertAlign w:val="subscript"/>
              </w:rPr>
              <w:t xml:space="preserve">2</w:t>
            </w:r>
            <w:r>
              <w:rPr>
                <w:rFonts w:hint="eastAsia" w:ascii="宋体" w:hAnsi="宋体" w:eastAsia="宋体" w:cs="宋体"/>
                <w:b w:val="0"/>
                <w:bCs w:val="0"/>
                <w:sz w:val="21"/>
                <w:szCs w:val="21"/>
                <w:highlight w:val="none"/>
              </w:rPr>
              <w:t xml:space="preserve">：4～7kg/cm2, 1/4”, 1个接口, 0～300SLPM</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压差监测</w:t>
            </w:r>
            <w:r>
              <w:rPr>
                <w:rFonts w:hint="eastAsia" w:ascii="宋体" w:hAnsi="宋体" w:eastAsia="宋体" w:cs="宋体"/>
                <w:b w:val="0"/>
                <w:bCs w:val="0"/>
                <w:sz w:val="21"/>
                <w:szCs w:val="21"/>
                <w:highlight w:val="none"/>
              </w:rPr>
              <w:t xml:space="preserve">：防爆型机械式压差监测，4～20mA输出</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火焰控制</w:t>
            </w:r>
            <w:r>
              <w:rPr>
                <w:rFonts w:hint="eastAsia" w:ascii="宋体" w:hAnsi="宋体" w:eastAsia="宋体" w:cs="宋体"/>
                <w:b w:val="0"/>
                <w:bCs w:val="0"/>
                <w:sz w:val="21"/>
                <w:szCs w:val="21"/>
                <w:highlight w:val="none"/>
              </w:rPr>
              <w:t xml:space="preserve">：自动点火、火焰维持、熄火检测</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运行方式</w:t>
            </w:r>
            <w:r>
              <w:rPr>
                <w:rFonts w:hint="eastAsia" w:ascii="宋体" w:hAnsi="宋体" w:eastAsia="宋体" w:cs="宋体"/>
                <w:b w:val="0"/>
                <w:bCs w:val="0"/>
                <w:sz w:val="21"/>
                <w:szCs w:val="21"/>
                <w:highlight w:val="none"/>
              </w:rPr>
              <w:t xml:space="preserve">：微负压运行，预留负压风机安装条件</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负压风机</w:t>
            </w:r>
            <w:r>
              <w:rPr>
                <w:rFonts w:hint="eastAsia" w:ascii="宋体" w:hAnsi="宋体" w:eastAsia="宋体" w:cs="宋体"/>
                <w:b w:val="0"/>
                <w:bCs w:val="0"/>
                <w:sz w:val="21"/>
                <w:szCs w:val="21"/>
                <w:highlight w:val="none"/>
              </w:rPr>
              <w:t xml:space="preserve">：≥0.3</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kW，≥600Pa</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状态监测</w:t>
            </w:r>
            <w:r>
              <w:rPr>
                <w:rFonts w:hint="eastAsia" w:ascii="宋体" w:hAnsi="宋体" w:eastAsia="宋体" w:cs="宋体"/>
                <w:b w:val="0"/>
                <w:bCs w:val="0"/>
                <w:sz w:val="21"/>
                <w:szCs w:val="21"/>
                <w:highlight w:val="none"/>
              </w:rPr>
              <w:t xml:space="preserve">：火焰状态、点火状态、关键温度或等效参数监测</w:t>
            </w:r>
            <w:r>
              <w:rPr>
                <w:rFonts w:hint="eastAsia" w:ascii="宋体" w:hAnsi="宋体" w:eastAsia="宋体" w:cs="宋体"/>
                <w:b w:val="0"/>
                <w:bCs w:val="0"/>
                <w:sz w:val="21"/>
                <w:szCs w:val="21"/>
                <w:highlight w:val="none"/>
              </w:rPr>
              <w:br w:type="textWrapping" w:clear="all"/>
            </w:r>
            <w:r>
              <w:rPr>
                <w:rStyle w:val="1211"/>
                <w:rFonts w:hint="eastAsia" w:ascii="宋体" w:hAnsi="宋体" w:eastAsia="宋体" w:cs="宋体"/>
                <w:b w:val="0"/>
                <w:bCs w:val="0"/>
                <w:sz w:val="21"/>
                <w:szCs w:val="21"/>
                <w:highlight w:val="none"/>
              </w:rPr>
              <w:t xml:space="preserve">安全保护</w:t>
            </w:r>
            <w:r>
              <w:rPr>
                <w:rFonts w:hint="eastAsia" w:ascii="宋体" w:hAnsi="宋体" w:eastAsia="宋体" w:cs="宋体"/>
                <w:b w:val="0"/>
                <w:bCs w:val="0"/>
                <w:sz w:val="21"/>
                <w:szCs w:val="21"/>
                <w:highlight w:val="none"/>
              </w:rPr>
              <w:t xml:space="preserve">：无回火设计，过载/短路/异常自动停机保护</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A-3.3</w:t>
            </w:r>
            <w:r>
              <w:rPr>
                <w:rFonts w:hint="eastAsia" w:ascii="宋体" w:hAnsi="宋体" w:eastAsia="宋体" w:cs="宋体"/>
                <w:sz w:val="21"/>
                <w:szCs w:val="21"/>
                <w:highlight w:val="none"/>
                <w:lang w:val="en-US" w:eastAsia="zh-CN"/>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包装、运输、安装、调试</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gridSpan w:val="3"/>
            <w:shd w:val="clear" w:color="auto" w:fill="c7daf1"/>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Part </w:t>
            </w: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气体管道输运系统  </w:t>
            </w:r>
            <w:r>
              <w:rPr>
                <w:rFonts w:hint="eastAsia" w:ascii="宋体" w:hAnsi="宋体" w:eastAsia="宋体" w:cs="宋体"/>
                <w:b/>
                <w:bCs/>
                <w:sz w:val="21"/>
                <w:szCs w:val="21"/>
                <w:highlight w:val="none"/>
                <w:lang w:eastAsia="zh-CN"/>
              </w:rPr>
            </w:r>
            <w:r/>
          </w:p>
        </w:tc>
        <w:tc>
          <w:tcPr>
            <w:shd w:val="clear" w:color="auto" w:fill="c7daf1"/>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shd w:val="clear" w:color="auto" w:fill="c7daf1"/>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rPr>
            </w:r>
            <w:r/>
          </w:p>
        </w:tc>
        <w:tc>
          <w:tcPr>
            <w:tcW w:w="147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rPr>
            </w:r>
            <w:r/>
          </w:p>
        </w:tc>
        <w:tc>
          <w:tcPr>
            <w:tcW w:w="224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rFonts w:hint="eastAsia" w:ascii="宋体" w:hAnsi="宋体" w:eastAsia="宋体" w:cs="宋体"/>
                <w:b/>
                <w:bCs/>
                <w:color w:val="000000"/>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SiH4 System</w:t>
            </w:r>
            <w:r>
              <w:rPr>
                <w:rFonts w:hint="eastAsia" w:ascii="宋体" w:hAnsi="宋体" w:eastAsia="宋体" w:cs="宋体"/>
                <w:b/>
                <w:bCs/>
                <w:sz w:val="21"/>
                <w:szCs w:val="21"/>
                <w:highlight w:val="none"/>
                <w:lang w:val="en-US" w:eastAsia="zh-CN"/>
              </w:rPr>
              <w:t xml:space="preserve">硅烷特气系统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 管道 1/4"(1/2")</w:t>
            </w:r>
            <w:r>
              <w:rPr>
                <w:rFonts w:hint="eastAsia" w:ascii="宋体" w:hAnsi="宋体" w:eastAsia="宋体" w:cs="宋体"/>
                <w:sz w:val="21"/>
                <w:szCs w:val="21"/>
                <w:highlight w:val="none"/>
                <w:lang w:val="en-US" w:eastAsia="zh-CN"/>
              </w:rPr>
              <w:t xml:space="preserve">套管</w:t>
            </w:r>
            <w:r>
              <w:rPr>
                <w:rFonts w:hint="eastAsia" w:ascii="宋体" w:hAnsi="宋体" w:eastAsia="宋体" w:cs="宋体"/>
                <w:sz w:val="21"/>
                <w:szCs w:val="21"/>
                <w:highlight w:val="none"/>
                <w:lang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EP+1/2" </w:t>
            </w: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16L</w:t>
            </w:r>
            <w:r>
              <w:rPr>
                <w:rFonts w:hint="eastAsia" w:ascii="宋体" w:hAnsi="宋体" w:eastAsia="宋体" w:cs="宋体"/>
                <w:sz w:val="21"/>
                <w:szCs w:val="21"/>
                <w:highlight w:val="none"/>
              </w:rPr>
              <w:t xml:space="preserve"> BA（内管无缝Ra≤0.25µm、外管有缝Ra≤0.5）</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负压监控</w:t>
            </w:r>
            <w:r>
              <w:rPr>
                <w:rFonts w:hint="eastAsia" w:ascii="宋体" w:hAnsi="宋体" w:eastAsia="宋体" w:cs="宋体"/>
                <w:sz w:val="21"/>
                <w:szCs w:val="21"/>
                <w:highlight w:val="none"/>
                <w:lang w:val="en-US" w:eastAsia="zh-CN"/>
              </w:rPr>
              <w:t xml:space="preserve">组件</w:t>
            </w:r>
            <w:r>
              <w:rPr>
                <w:rFonts w:hint="eastAsia" w:ascii="宋体" w:hAnsi="宋体" w:eastAsia="宋体" w:cs="宋体"/>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负压检测传感器及仪表接头</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密封导向</w:t>
            </w:r>
            <w:r>
              <w:rPr>
                <w:rFonts w:hint="eastAsia" w:ascii="宋体" w:hAnsi="宋体" w:eastAsia="宋体" w:cs="宋体"/>
                <w:sz w:val="21"/>
                <w:szCs w:val="21"/>
                <w:highlight w:val="none"/>
              </w:rPr>
              <w:t xml:space="preserve">滑套1/2"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lang w:val="en-US" w:eastAsia="zh-CN"/>
              </w:rPr>
              <w:t xml:space="preserve">滑套</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收尾环  1/4"(1/2")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lang w:val="en-US" w:eastAsia="zh-CN"/>
              </w:rPr>
              <w:t xml:space="preserve">收尾环</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套管专用</w:t>
            </w:r>
            <w:r>
              <w:rPr>
                <w:rFonts w:hint="eastAsia" w:ascii="宋体" w:hAnsi="宋体" w:eastAsia="宋体" w:cs="宋体"/>
                <w:sz w:val="21"/>
                <w:szCs w:val="21"/>
                <w:highlight w:val="none"/>
              </w:rPr>
              <w:t xml:space="preserve">弹簧  1/4"(1/2")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B-1.6</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sz w:val="21"/>
                <w:szCs w:val="21"/>
                <w:highlight w:val="none"/>
                <w:u w:val="none"/>
                <w:lang w:val="en-US" w:eastAsia="zh-CN" w:bidi="ar"/>
              </w:rPr>
              <w:t xml:space="preserve">单表调压阀组    </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eastAsia="zh-CN"/>
              </w:rPr>
              <w:t xml:space="preserve">1/4”VCR</w:t>
            </w:r>
            <w:r>
              <w:rPr>
                <w:rFonts w:hint="eastAsia" w:ascii="宋体" w:hAnsi="宋体" w:eastAsia="宋体" w:cs="宋体"/>
                <w:sz w:val="21"/>
                <w:szCs w:val="21"/>
                <w:highlight w:val="none"/>
                <w:lang w:val="en-US" w:eastAsia="zh-CN"/>
              </w:rPr>
              <w:t xml:space="preserve">单表调压阀组</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1/4”VCR内螺纹转接头</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NH</w:t>
            </w:r>
            <w:r>
              <w:rPr>
                <w:rFonts w:hint="eastAsia" w:ascii="宋体" w:hAnsi="宋体" w:eastAsia="宋体" w:cs="宋体"/>
                <w:b/>
                <w:bCs/>
                <w:sz w:val="21"/>
                <w:szCs w:val="21"/>
                <w:highlight w:val="none"/>
                <w:vertAlign w:val="subscript"/>
              </w:rPr>
              <w:t xml:space="preserve">3</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氨气系统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w:t>
            </w:r>
            <w:r>
              <w:rPr>
                <w:rFonts w:hint="eastAsia" w:ascii="宋体" w:hAnsi="宋体" w:eastAsia="宋体" w:cs="宋体"/>
                <w:sz w:val="21"/>
                <w:szCs w:val="21"/>
                <w:highlight w:val="none"/>
                <w:lang w:val="en-US" w:eastAsia="zh-CN"/>
              </w:rPr>
              <w:t xml:space="preserve">内螺纹</w:t>
            </w:r>
            <w:r>
              <w:rPr>
                <w:rFonts w:hint="eastAsia" w:ascii="宋体" w:hAnsi="宋体" w:eastAsia="宋体" w:cs="宋体"/>
                <w:sz w:val="21"/>
                <w:szCs w:val="21"/>
                <w:highlight w:val="none"/>
                <w:lang w:eastAsia="zh-CN"/>
              </w:rPr>
              <w:t xml:space="preserve">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电伴热带</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30W/M，自限温型</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温度传感器</w:t>
            </w:r>
            <w:r>
              <w:rPr>
                <w:rFonts w:hint="eastAsia" w:ascii="宋体" w:hAnsi="宋体" w:eastAsia="宋体" w:cs="宋体"/>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WZP-035，A级，3米，精度0.1</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B</w:t>
            </w:r>
            <w:r>
              <w:rPr>
                <w:rFonts w:hint="eastAsia" w:ascii="宋体" w:hAnsi="宋体" w:eastAsia="宋体" w:cs="宋体"/>
                <w:b w:val="0"/>
                <w:bCs w:val="0"/>
                <w:sz w:val="21"/>
                <w:szCs w:val="21"/>
                <w:highlight w:val="none"/>
              </w:rPr>
              <w:t xml:space="preserve">-2.5</w:t>
            </w:r>
            <w:r>
              <w:rPr>
                <w:rFonts w:hint="eastAsia" w:ascii="宋体" w:hAnsi="宋体" w:eastAsia="宋体" w:cs="宋体"/>
                <w:b w:val="0"/>
                <w:bCs w:val="0"/>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缠绕带</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B-2.6</w:t>
            </w:r>
            <w:r>
              <w:rPr>
                <w:rFonts w:hint="eastAsia" w:ascii="宋体" w:hAnsi="宋体" w:eastAsia="宋体" w:cs="宋体"/>
                <w:b w:val="0"/>
                <w:bCs w:val="0"/>
                <w:sz w:val="21"/>
                <w:szCs w:val="21"/>
                <w:highlight w:val="none"/>
                <w:lang w:val="en-US"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阀组</w:t>
            </w:r>
            <w:r>
              <w:rPr>
                <w:rFonts w:hint="eastAsia" w:ascii="宋体" w:hAnsi="宋体" w:eastAsia="宋体" w:cs="宋体"/>
                <w:b w:val="0"/>
                <w:bCs w:val="0"/>
                <w:sz w:val="21"/>
                <w:szCs w:val="21"/>
                <w:highlight w:val="none"/>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单表调压隔膜阀组</w:t>
            </w:r>
            <w:r>
              <w:rPr>
                <w:rFonts w:hint="eastAsia" w:ascii="宋体" w:hAnsi="宋体" w:eastAsia="宋体" w:cs="宋体"/>
                <w:b w:val="0"/>
                <w:bCs w:val="0"/>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套</w:t>
            </w:r>
            <w:r>
              <w:rPr>
                <w:rFonts w:hint="eastAsia" w:ascii="宋体" w:hAnsi="宋体" w:eastAsia="宋体" w:cs="宋体"/>
                <w:b w:val="0"/>
                <w:bCs w:val="0"/>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PN</w:t>
            </w:r>
            <w:r>
              <w:rPr>
                <w:rFonts w:hint="eastAsia" w:ascii="宋体" w:hAnsi="宋体" w:eastAsia="宋体" w:cs="宋体"/>
                <w:b/>
                <w:bCs/>
                <w:sz w:val="21"/>
                <w:szCs w:val="21"/>
                <w:highlight w:val="none"/>
                <w:vertAlign w:val="subscript"/>
              </w:rPr>
              <w:t xml:space="preserve">2</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高纯氮气系统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不锈钢管道</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不锈钢管</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不锈钢等径三通</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1/2" X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不锈钢变径三通</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变径大小头1/2"x1/4"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不锈钢大小头</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B-3.6</w:t>
            </w:r>
            <w:r>
              <w:rPr>
                <w:rFonts w:hint="eastAsia" w:ascii="宋体" w:hAnsi="宋体" w:eastAsia="宋体" w:cs="宋体"/>
                <w:sz w:val="21"/>
                <w:szCs w:val="21"/>
                <w:highlight w:val="none"/>
                <w:lang w:val="en-US" w:eastAsia="zh-CN"/>
              </w:rPr>
            </w:r>
            <w:r/>
          </w:p>
        </w:tc>
        <w:tc>
          <w:tcPr>
            <w:shd w:val="clear" w:color="auto" w:fill="ffffff"/>
            <w:tcW w:w="1478" w:type="dxa"/>
            <w:vAlign w:val="center"/>
            <w:textDirection w:val="lrTb"/>
            <w:noWrap/>
          </w:tcPr>
          <w:p>
            <w:pPr>
              <w:pStyle w:val="1139"/>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410"/>
                <w:rFonts w:hint="eastAsia" w:ascii="宋体" w:hAnsi="宋体" w:eastAsia="宋体" w:cs="宋体"/>
                <w:sz w:val="21"/>
                <w:szCs w:val="21"/>
                <w:highlight w:val="none"/>
                <w:lang w:val="en-US" w:eastAsia="zh-CN" w:bidi="ar"/>
              </w:rPr>
              <w:t xml:space="preserve">二级减压阀</w:t>
            </w:r>
            <w:r>
              <w:rPr>
                <w:rFonts w:hint="eastAsia" w:ascii="宋体" w:hAnsi="宋体" w:eastAsia="宋体" w:cs="宋体"/>
                <w:i w:val="0"/>
                <w:iCs w:val="0"/>
                <w:color w:val="000000"/>
                <w:sz w:val="21"/>
                <w:szCs w:val="21"/>
                <w:highlight w:val="none"/>
                <w:u w:val="none"/>
                <w:lang w:val="en-US" w:eastAsia="zh-CN" w:bidi="ar-SA"/>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i w:val="0"/>
                <w:iCs w:val="0"/>
                <w:color w:val="000000"/>
                <w:sz w:val="21"/>
                <w:szCs w:val="21"/>
                <w:highlight w:val="none"/>
                <w:u w:val="none"/>
                <w:lang w:val="en-US" w:eastAsia="zh-CN" w:bidi="ar-SA"/>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309"/>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隔膜阀组</w:t>
            </w:r>
            <w:r>
              <w:rPr>
                <w:rFonts w:hint="eastAsia" w:ascii="宋体" w:hAnsi="宋体" w:eastAsia="宋体" w:cs="宋体"/>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N</w:t>
            </w:r>
            <w:r>
              <w:rPr>
                <w:rFonts w:hint="eastAsia" w:ascii="宋体" w:hAnsi="宋体" w:eastAsia="宋体" w:cs="宋体"/>
                <w:b/>
                <w:bCs/>
                <w:sz w:val="21"/>
                <w:szCs w:val="21"/>
                <w:highlight w:val="none"/>
                <w:vertAlign w:val="subscript"/>
              </w:rPr>
              <w:t xml:space="preserve">2</w:t>
            </w:r>
            <w:r>
              <w:rPr>
                <w:rFonts w:hint="eastAsia" w:ascii="宋体" w:hAnsi="宋体" w:eastAsia="宋体" w:cs="宋体"/>
                <w:b/>
                <w:bCs/>
                <w:sz w:val="21"/>
                <w:szCs w:val="21"/>
                <w:highlight w:val="none"/>
              </w:rPr>
              <w:t xml:space="preserve">O System</w:t>
            </w:r>
            <w:r>
              <w:rPr>
                <w:rFonts w:hint="eastAsia" w:ascii="宋体" w:hAnsi="宋体" w:eastAsia="宋体" w:cs="宋体"/>
                <w:b/>
                <w:bCs/>
                <w:sz w:val="21"/>
                <w:szCs w:val="21"/>
                <w:highlight w:val="none"/>
                <w:lang w:val="en-US" w:eastAsia="zh-CN"/>
              </w:rPr>
              <w:t xml:space="preserve">笑气系统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-4.1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-4.2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   </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-4.3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CF</w:t>
            </w:r>
            <w:r>
              <w:rPr>
                <w:rFonts w:hint="eastAsia" w:ascii="宋体" w:hAnsi="宋体" w:eastAsia="宋体" w:cs="宋体"/>
                <w:b/>
                <w:bCs/>
                <w:sz w:val="21"/>
                <w:szCs w:val="21"/>
                <w:highlight w:val="none"/>
                <w:vertAlign w:val="subscript"/>
                <w:lang w:val="en-US" w:eastAsia="zh-CN"/>
              </w:rPr>
              <w:t xml:space="preserve">4</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氟化碳气系统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-5.1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-5.2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B-5.3</w:t>
            </w:r>
            <w:r>
              <w:rPr>
                <w:rFonts w:hint="eastAsia" w:ascii="宋体" w:hAnsi="宋体" w:eastAsia="宋体" w:cs="宋体"/>
                <w:sz w:val="21"/>
                <w:szCs w:val="21"/>
                <w:highlight w:val="none"/>
                <w:lang w:val="en-US" w:eastAsia="zh-CN"/>
              </w:rPr>
            </w:r>
            <w:r/>
          </w:p>
        </w:tc>
        <w:tc>
          <w:tcPr>
            <w:shd w:val="clear" w:color="auto" w:fill="ffffff"/>
            <w:tcW w:w="1478" w:type="dxa"/>
            <w:vAlign w:val="center"/>
            <w:textDirection w:val="lrTb"/>
            <w:noWrap/>
          </w:tcPr>
          <w:p>
            <w:pPr>
              <w:pStyle w:val="1139"/>
              <w:jc w:val="both"/>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i w:val="0"/>
                <w:iCs w:val="0"/>
                <w:color w:val="000000"/>
                <w:sz w:val="21"/>
                <w:szCs w:val="21"/>
                <w:highlight w:val="none"/>
                <w:u w:val="none"/>
                <w:lang w:val="en-US" w:eastAsia="zh-CN" w:bidi="ar-SA"/>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i w:val="0"/>
                <w:iCs w:val="0"/>
                <w:color w:val="000000"/>
                <w:sz w:val="21"/>
                <w:szCs w:val="21"/>
                <w:highlight w:val="none"/>
                <w:u w:val="none"/>
                <w:lang w:val="en-US" w:eastAsia="zh-CN" w:bidi="ar-SA"/>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 </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-6</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He System</w:t>
            </w:r>
            <w:r>
              <w:rPr>
                <w:rFonts w:hint="eastAsia" w:ascii="宋体" w:hAnsi="宋体" w:eastAsia="宋体" w:cs="宋体"/>
                <w:b/>
                <w:bCs/>
                <w:sz w:val="21"/>
                <w:szCs w:val="21"/>
                <w:highlight w:val="none"/>
                <w:lang w:val="en-US" w:eastAsia="zh-CN"/>
              </w:rPr>
              <w:t xml:space="preserve">氦气系统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-6.1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Tube 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-6.2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 </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510"/>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B-6.3</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-7</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KRF System</w:t>
            </w:r>
            <w:r>
              <w:rPr>
                <w:rFonts w:hint="eastAsia" w:ascii="宋体" w:hAnsi="宋体" w:eastAsia="宋体" w:cs="宋体"/>
                <w:b/>
                <w:bCs/>
                <w:sz w:val="21"/>
                <w:szCs w:val="21"/>
                <w:highlight w:val="none"/>
                <w:lang w:val="en-US" w:eastAsia="zh-CN"/>
              </w:rPr>
              <w:t xml:space="preserve">氟化氪气系统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-7.1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B-7.2</w:t>
            </w:r>
            <w:r>
              <w:rPr>
                <w:rFonts w:hint="eastAsia" w:ascii="宋体" w:hAnsi="宋体" w:eastAsia="宋体" w:cs="宋体"/>
                <w:sz w:val="21"/>
                <w:szCs w:val="21"/>
                <w:highlight w:val="none"/>
                <w:lang w:val="en-US"/>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  </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-8</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Ar System</w:t>
            </w:r>
            <w:r>
              <w:rPr>
                <w:rFonts w:hint="eastAsia" w:ascii="宋体" w:hAnsi="宋体" w:eastAsia="宋体" w:cs="宋体"/>
                <w:b/>
                <w:bCs/>
                <w:sz w:val="21"/>
                <w:szCs w:val="21"/>
                <w:highlight w:val="none"/>
                <w:lang w:val="en-US" w:eastAsia="zh-CN"/>
              </w:rPr>
              <w:t xml:space="preserve">氩气系统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B-8.4</w:t>
            </w:r>
            <w:r>
              <w:rPr>
                <w:rFonts w:hint="eastAsia" w:ascii="宋体" w:hAnsi="宋体" w:eastAsia="宋体" w:cs="宋体"/>
                <w:sz w:val="21"/>
                <w:szCs w:val="21"/>
                <w:highlight w:val="none"/>
                <w:lang w:val="en-US"/>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1/2" X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变径大小头1/2"x1/4"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 </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SF</w:t>
            </w:r>
            <w:r>
              <w:rPr>
                <w:rFonts w:hint="eastAsia" w:ascii="宋体" w:hAnsi="宋体" w:eastAsia="宋体" w:cs="宋体"/>
                <w:b/>
                <w:bCs/>
                <w:sz w:val="21"/>
                <w:szCs w:val="21"/>
                <w:highlight w:val="none"/>
                <w:vertAlign w:val="subscript"/>
              </w:rPr>
              <w:t xml:space="preserve">6</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氟化硫气系统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-9.1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B-9.2</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VS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-10</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O</w:t>
            </w:r>
            <w:r>
              <w:rPr>
                <w:rFonts w:hint="eastAsia" w:ascii="宋体" w:hAnsi="宋体" w:eastAsia="宋体" w:cs="宋体"/>
                <w:b/>
                <w:bCs/>
                <w:sz w:val="21"/>
                <w:szCs w:val="21"/>
                <w:highlight w:val="none"/>
                <w:vertAlign w:val="subscript"/>
              </w:rPr>
              <w:t xml:space="preserve">2</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氧气系统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1/2" X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变径大小头1/2"x1/4"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B-10.6</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二级减压阀</w:t>
            </w:r>
            <w:r>
              <w:rPr>
                <w:rFonts w:hint="eastAsia" w:ascii="宋体" w:hAnsi="宋体" w:eastAsia="宋体" w:cs="宋体"/>
                <w:sz w:val="21"/>
                <w:szCs w:val="21"/>
                <w:highlight w:val="none"/>
              </w:rPr>
            </w:r>
            <w:r/>
          </w:p>
        </w:tc>
        <w:tc>
          <w:tcPr>
            <w:tcW w:w="2248" w:type="dxa"/>
            <w:vAlign w:val="center"/>
            <w:textDirection w:val="lrTb"/>
            <w:noWrap/>
          </w:tcPr>
          <w:p>
            <w:pPr>
              <w:pStyle w:val="1139"/>
              <w:jc w:val="left"/>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w:t>
            </w:r>
            <w:r>
              <w:rPr>
                <w:rFonts w:hint="eastAsia" w:ascii="宋体" w:hAnsi="宋体" w:eastAsia="宋体" w:cs="宋体"/>
                <w:sz w:val="21"/>
                <w:szCs w:val="21"/>
                <w:highlight w:val="none"/>
              </w:rPr>
              <w:t xml:space="preserve">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39"/>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7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-11</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GN</w:t>
            </w:r>
            <w:r>
              <w:rPr>
                <w:rFonts w:hint="eastAsia" w:ascii="宋体" w:hAnsi="宋体" w:eastAsia="宋体" w:cs="宋体"/>
                <w:b/>
                <w:bCs/>
                <w:sz w:val="21"/>
                <w:szCs w:val="21"/>
                <w:highlight w:val="none"/>
                <w:vertAlign w:val="subscript"/>
              </w:rPr>
              <w:t xml:space="preserve">2</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氮气系统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EP </w:t>
            </w:r>
            <w:r>
              <w:rPr>
                <w:rFonts w:hint="eastAsia" w:ascii="宋体" w:hAnsi="宋体" w:eastAsia="宋体" w:cs="宋体"/>
                <w:sz w:val="21"/>
                <w:szCs w:val="21"/>
                <w:highlight w:val="none"/>
              </w:rPr>
              <w:t xml:space="preserve">Ra≤0.25µm</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EP </w:t>
            </w:r>
            <w:r>
              <w:rPr>
                <w:rFonts w:hint="eastAsia" w:ascii="宋体" w:hAnsi="宋体" w:eastAsia="宋体" w:cs="宋体"/>
                <w:sz w:val="21"/>
                <w:szCs w:val="21"/>
                <w:highlight w:val="none"/>
              </w:rPr>
              <w:t xml:space="preserve">Ra≤0.25µm</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1/2" X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变径大小头1/2"x1/4"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-11.6</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二级减压阀</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-11.7</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球阀</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-11.8</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不锈钢底板</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-11.9</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NPT</w:t>
            </w:r>
            <w:r>
              <w:rPr>
                <w:rFonts w:hint="eastAsia" w:ascii="宋体" w:hAnsi="宋体" w:eastAsia="宋体" w:cs="宋体"/>
                <w:sz w:val="21"/>
                <w:szCs w:val="21"/>
                <w:highlight w:val="none"/>
                <w:lang w:val="en-US" w:eastAsia="zh-CN"/>
              </w:rPr>
              <w:t xml:space="preserve">转</w:t>
            </w:r>
            <w:r>
              <w:rPr>
                <w:rFonts w:hint="eastAsia" w:ascii="宋体" w:hAnsi="宋体" w:eastAsia="宋体" w:cs="宋体"/>
                <w:sz w:val="21"/>
                <w:szCs w:val="21"/>
                <w:highlight w:val="none"/>
              </w:rPr>
              <w:t xml:space="preserve">接头</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1/4外螺纹转1/4卡套</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-12</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CHF</w:t>
            </w:r>
            <w:r>
              <w:rPr>
                <w:rFonts w:hint="eastAsia" w:ascii="宋体" w:hAnsi="宋体" w:eastAsia="宋体" w:cs="宋体"/>
                <w:b/>
                <w:bCs/>
                <w:sz w:val="21"/>
                <w:szCs w:val="21"/>
                <w:highlight w:val="none"/>
                <w:vertAlign w:val="subscript"/>
              </w:rPr>
              <w:t xml:space="preserve">3</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氟甲烷系统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-12.1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en-US"/>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B-12.2</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EP三通</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B-12.3</w:t>
            </w:r>
            <w:r>
              <w:rPr>
                <w:rFonts w:hint="eastAsia" w:ascii="宋体" w:hAnsi="宋体" w:eastAsia="宋体" w:cs="宋体"/>
                <w:sz w:val="21"/>
                <w:szCs w:val="21"/>
                <w:highlight w:val="none"/>
                <w:lang w:val="en-US"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二级减压阀</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w:t>
            </w:r>
            <w:r>
              <w:rPr>
                <w:rFonts w:hint="eastAsia" w:ascii="宋体" w:hAnsi="宋体" w:eastAsia="宋体" w:cs="宋体"/>
                <w:sz w:val="21"/>
                <w:szCs w:val="21"/>
                <w:highlight w:val="none"/>
              </w:rPr>
              <w:t xml:space="preserve">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单表调压隔膜阀组</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1/4”VCR转接头</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-13</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C4F</w:t>
            </w:r>
            <w:r>
              <w:rPr>
                <w:rFonts w:hint="eastAsia" w:ascii="宋体" w:hAnsi="宋体" w:eastAsia="宋体" w:cs="宋体"/>
                <w:b/>
                <w:bCs/>
                <w:sz w:val="21"/>
                <w:szCs w:val="21"/>
                <w:highlight w:val="none"/>
                <w:vertAlign w:val="subscript"/>
              </w:rPr>
              <w:t xml:space="preserve">8</w:t>
            </w:r>
            <w:r>
              <w:rPr>
                <w:rFonts w:hint="eastAsia" w:ascii="宋体" w:hAnsi="宋体" w:eastAsia="宋体" w:cs="宋体"/>
                <w:b/>
                <w:bCs/>
                <w:sz w:val="21"/>
                <w:szCs w:val="21"/>
                <w:highlight w:val="none"/>
              </w:rPr>
              <w:t xml:space="preserve"> System</w:t>
            </w:r>
            <w:r>
              <w:rPr>
                <w:rFonts w:hint="eastAsia" w:ascii="宋体" w:hAnsi="宋体" w:eastAsia="宋体" w:cs="宋体"/>
                <w:b/>
                <w:bCs/>
                <w:sz w:val="21"/>
                <w:szCs w:val="21"/>
                <w:highlight w:val="none"/>
                <w:lang w:val="en-US" w:eastAsia="zh-CN"/>
              </w:rPr>
              <w:t xml:space="preserve">氟丁烷系统</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 EP Ra≤0.25µm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B-13.2</w:t>
            </w:r>
            <w:r>
              <w:rPr>
                <w:rFonts w:hint="eastAsia" w:ascii="宋体" w:hAnsi="宋体" w:eastAsia="宋体" w:cs="宋体"/>
                <w:sz w:val="21"/>
                <w:szCs w:val="21"/>
                <w:highlight w:val="none"/>
                <w:lang w:val="en-US"/>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316L</w:t>
            </w:r>
            <w:r>
              <w:rPr>
                <w:rFonts w:hint="eastAsia" w:ascii="宋体" w:hAnsi="宋体" w:eastAsia="宋体" w:cs="宋体"/>
                <w:sz w:val="21"/>
                <w:szCs w:val="21"/>
                <w:highlight w:val="none"/>
                <w:lang w:val="en-US" w:eastAsia="zh-CN"/>
              </w:rPr>
              <w:t xml:space="preserve"> EP三通</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B-13.3</w:t>
            </w:r>
            <w:r>
              <w:rPr>
                <w:rFonts w:hint="eastAsia" w:ascii="宋体" w:hAnsi="宋体" w:eastAsia="宋体" w:cs="宋体"/>
                <w:sz w:val="21"/>
                <w:szCs w:val="21"/>
                <w:highlight w:val="none"/>
                <w:lang w:val="en-US"/>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二级减压阀</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不锈钢单表减压器，进气压力20Bar,输出0-10Bar可调，接口1/4”NPT</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w:t>
            </w:r>
            <w:r>
              <w:rPr>
                <w:rFonts w:hint="eastAsia" w:ascii="宋体" w:hAnsi="宋体" w:eastAsia="宋体" w:cs="宋体"/>
                <w:sz w:val="21"/>
                <w:szCs w:val="21"/>
                <w:highlight w:val="none"/>
              </w:rPr>
              <w:t xml:space="preserve">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单表调压隔膜阀组  </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1/4”VCR转接头</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B-14</w:t>
            </w:r>
            <w:r>
              <w:rPr>
                <w:rFonts w:hint="eastAsia" w:ascii="宋体" w:hAnsi="宋体" w:eastAsia="宋体" w:cs="宋体"/>
                <w:b/>
                <w:bCs/>
                <w:sz w:val="21"/>
                <w:szCs w:val="21"/>
                <w:highlight w:val="none"/>
              </w:rPr>
              <w:t xml:space="preserve"> 辅材部分</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B-14.</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Support &amp; Hardware </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管道支架与五金零件</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B-15</w:t>
            </w:r>
            <w:r>
              <w:rPr>
                <w:rFonts w:hint="eastAsia" w:ascii="宋体" w:hAnsi="宋体" w:eastAsia="宋体" w:cs="宋体"/>
                <w:b/>
                <w:bCs/>
                <w:sz w:val="21"/>
                <w:szCs w:val="21"/>
                <w:highlight w:val="none"/>
              </w:rPr>
              <w:t xml:space="preserve"> 测试及认证</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Set-up 测试系统设置</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Pre</w:t>
            </w:r>
            <w:r>
              <w:rPr>
                <w:rFonts w:hint="eastAsia" w:ascii="宋体" w:hAnsi="宋体" w:eastAsia="宋体" w:cs="宋体"/>
                <w:sz w:val="21"/>
                <w:szCs w:val="21"/>
                <w:highlight w:val="none"/>
                <w:lang w:eastAsia="zh-CN"/>
              </w:rPr>
              <w:t xml:space="preserve">不锈钢</w:t>
            </w:r>
            <w:r>
              <w:rPr>
                <w:rFonts w:hint="eastAsia" w:ascii="宋体" w:hAnsi="宋体" w:eastAsia="宋体" w:cs="宋体"/>
                <w:sz w:val="21"/>
                <w:szCs w:val="21"/>
                <w:highlight w:val="none"/>
              </w:rPr>
              <w:t xml:space="preserve">ure Test 压力试验</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 Spec refer to Tech Proposal</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Helium Leak Test 氦检漏测试</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 Spec refer to Tech Proposal</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B-15.4</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Trace O</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 微量氧</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Trace H</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O 微量水</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B-15.</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Particle 颗粒测试</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B-16 </w:t>
            </w:r>
            <w:r>
              <w:rPr>
                <w:rFonts w:hint="eastAsia" w:ascii="宋体" w:hAnsi="宋体" w:eastAsia="宋体" w:cs="宋体"/>
                <w:b/>
                <w:bCs/>
                <w:sz w:val="21"/>
                <w:szCs w:val="21"/>
                <w:highlight w:val="none"/>
              </w:rPr>
              <w:t xml:space="preserve">现场施工安装</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B-16.</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Mechanical Installation 机械安装</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gridSpan w:val="3"/>
            <w:shd w:val="clear" w:color="auto" w:fill="c7daf1"/>
            <w:tcW w:w="7861"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Part C</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尾气输运与处理系统</w:t>
            </w:r>
            <w:r>
              <w:rPr>
                <w:rFonts w:hint="eastAsia" w:ascii="宋体" w:hAnsi="宋体" w:eastAsia="宋体" w:cs="宋体"/>
                <w:b/>
                <w:bCs/>
                <w:sz w:val="21"/>
                <w:szCs w:val="21"/>
                <w:highlight w:val="none"/>
                <w:lang w:val="en-US" w:eastAsia="zh-CN"/>
              </w:rPr>
            </w:r>
            <w:r/>
          </w:p>
        </w:tc>
        <w:tc>
          <w:tcPr>
            <w:shd w:val="clear" w:color="auto" w:fill="c7daf1"/>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shd w:val="clear" w:color="auto" w:fill="c7daf1"/>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lang w:val="en-US" w:eastAsia="zh-CN"/>
              </w:rPr>
            </w:r>
            <w:r/>
          </w:p>
        </w:tc>
        <w:tc>
          <w:tcPr>
            <w:tcW w:w="147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w:t>
            </w:r>
            <w:r>
              <w:rPr>
                <w:rFonts w:hint="eastAsia" w:ascii="宋体" w:hAnsi="宋体" w:eastAsia="宋体" w:cs="宋体"/>
                <w:b/>
                <w:bCs/>
                <w:sz w:val="21"/>
                <w:szCs w:val="21"/>
                <w:highlight w:val="none"/>
              </w:rPr>
            </w:r>
            <w:r/>
          </w:p>
        </w:tc>
        <w:tc>
          <w:tcPr>
            <w:tcW w:w="224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规格</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gridSpan w:val="2"/>
            <w:tcW w:w="6923"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Vent  尾气管道(GC//尾气处理器/高压盘面/汇流排/GR)</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BA，无缝，壁厚5S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BA，无缝，壁厚5S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BA，无缝，壁厚5S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弯头 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弯头 1"</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3/4" X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变径大小头 3/4"x1/2"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316L不锈钢</w:t>
            </w:r>
            <w:r>
              <w:rPr>
                <w:rFonts w:hint="eastAsia" w:ascii="宋体" w:hAnsi="宋体" w:eastAsia="宋体" w:cs="宋体"/>
                <w:sz w:val="21"/>
                <w:szCs w:val="21"/>
                <w:highlight w:val="none"/>
              </w:rPr>
              <w:t xml:space="preserve">BA，壁厚5S</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法兰 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-1.10</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法兰 1"</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单向阀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单向阀 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球阀 3/4"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3/4”低压隔膜阀 </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-1.14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球阀 1"</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1”低压隔膜阀 </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H/LPN</w:t>
            </w:r>
            <w:r>
              <w:rPr>
                <w:rFonts w:hint="eastAsia" w:ascii="宋体" w:hAnsi="宋体" w:eastAsia="宋体" w:cs="宋体"/>
                <w:b/>
                <w:bCs/>
                <w:sz w:val="21"/>
                <w:szCs w:val="21"/>
                <w:highlight w:val="none"/>
                <w:vertAlign w:val="subscript"/>
                <w:lang w:val="en-US" w:eastAsia="zh-CN"/>
              </w:rPr>
              <w:t xml:space="preserve">2</w:t>
            </w:r>
            <w:r>
              <w:rPr>
                <w:rFonts w:hint="eastAsia" w:ascii="宋体" w:hAnsi="宋体" w:eastAsia="宋体" w:cs="宋体"/>
                <w:b/>
                <w:bCs/>
                <w:sz w:val="21"/>
                <w:szCs w:val="21"/>
                <w:highlight w:val="none"/>
                <w:vertAlign w:val="subscript"/>
              </w:rPr>
              <w:t xml:space="preserve"> </w:t>
            </w:r>
            <w:r>
              <w:rPr>
                <w:rFonts w:hint="eastAsia" w:ascii="宋体" w:hAnsi="宋体" w:eastAsia="宋体" w:cs="宋体"/>
                <w:b/>
                <w:bCs/>
                <w:sz w:val="21"/>
                <w:szCs w:val="21"/>
                <w:highlight w:val="none"/>
              </w:rPr>
              <w:t xml:space="preserve">Purge(GC )</w:t>
            </w:r>
            <w:r>
              <w:rPr>
                <w:rFonts w:hint="eastAsia" w:ascii="宋体" w:hAnsi="宋体" w:eastAsia="宋体" w:cs="宋体"/>
                <w:b/>
                <w:bCs/>
                <w:sz w:val="21"/>
                <w:szCs w:val="21"/>
                <w:highlight w:val="none"/>
                <w:lang w:val="en-US" w:eastAsia="zh-CN"/>
              </w:rPr>
              <w:t xml:space="preserve">氮气吹扫</w:t>
            </w:r>
            <w:r>
              <w:rPr>
                <w:rFonts w:hint="eastAsia" w:ascii="宋体" w:hAnsi="宋体" w:eastAsia="宋体" w:cs="宋体"/>
                <w:b/>
                <w:bCs/>
                <w:sz w:val="21"/>
                <w:szCs w:val="21"/>
                <w:highlight w:val="none"/>
                <w:lang w:val="en-US" w:eastAsia="zh-CN"/>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 </w:t>
            </w:r>
            <w:r>
              <w:rPr>
                <w:rFonts w:hint="eastAsia" w:ascii="宋体" w:hAnsi="宋体" w:eastAsia="宋体" w:cs="宋体"/>
                <w:sz w:val="21"/>
                <w:szCs w:val="21"/>
                <w:highlight w:val="none"/>
              </w:rPr>
              <w:t xml:space="preserve">EP，无缝，壁厚5S，Ra≤0.25μm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316L </w:t>
            </w:r>
            <w:r>
              <w:rPr>
                <w:rFonts w:hint="eastAsia" w:ascii="宋体" w:hAnsi="宋体" w:eastAsia="宋体" w:cs="宋体"/>
                <w:sz w:val="21"/>
                <w:szCs w:val="21"/>
                <w:highlight w:val="none"/>
              </w:rPr>
              <w:t xml:space="preserve">EP，壁厚5S，Ra≤0.25μm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Di</w:t>
            </w:r>
            <w:r>
              <w:rPr>
                <w:rFonts w:hint="eastAsia" w:ascii="宋体" w:hAnsi="宋体" w:eastAsia="宋体" w:cs="宋体"/>
                <w:sz w:val="21"/>
                <w:szCs w:val="21"/>
                <w:highlight w:val="none"/>
                <w:lang w:val="en-US" w:eastAsia="zh-CN"/>
              </w:rPr>
              <w:t xml:space="preserve">ap</w:t>
            </w:r>
            <w:r>
              <w:rPr>
                <w:rFonts w:hint="eastAsia" w:ascii="宋体" w:hAnsi="宋体" w:eastAsia="宋体" w:cs="宋体"/>
                <w:sz w:val="21"/>
                <w:szCs w:val="21"/>
                <w:highlight w:val="none"/>
              </w:rPr>
              <w:t xml:space="preserve">hragm Velve 高压隔膜阀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1/4”高压隔膜阀  </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Diaphragm Velve 低压隔膜阀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1/4”低压隔膜阀   </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转</w:t>
            </w:r>
            <w:r>
              <w:rPr>
                <w:rFonts w:hint="eastAsia" w:ascii="宋体" w:hAnsi="宋体" w:eastAsia="宋体" w:cs="宋体"/>
                <w:sz w:val="21"/>
                <w:szCs w:val="21"/>
                <w:highlight w:val="none"/>
              </w:rPr>
              <w:t xml:space="preserve">接头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EP,</w:t>
            </w:r>
            <w:r>
              <w:rPr>
                <w:rFonts w:hint="eastAsia" w:ascii="宋体" w:hAnsi="宋体" w:eastAsia="宋体" w:cs="宋体"/>
                <w:sz w:val="21"/>
                <w:szCs w:val="21"/>
                <w:highlight w:val="none"/>
                <w:lang w:val="en-US" w:eastAsia="zh-CN"/>
              </w:rPr>
              <w:t xml:space="preserve"> 1/4”VCR转接头</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CAP 堵头 VCR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管帽垫片堵头</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GN</w:t>
            </w:r>
            <w:r>
              <w:rPr>
                <w:rFonts w:hint="eastAsia" w:ascii="宋体" w:hAnsi="宋体" w:eastAsia="宋体" w:cs="宋体"/>
                <w:b/>
                <w:bCs/>
                <w:sz w:val="21"/>
                <w:szCs w:val="21"/>
                <w:highlight w:val="none"/>
                <w:vertAlign w:val="subscript"/>
              </w:rPr>
              <w:t xml:space="preserve">2</w:t>
            </w:r>
            <w:r>
              <w:rPr>
                <w:rFonts w:hint="eastAsia" w:ascii="宋体" w:hAnsi="宋体" w:eastAsia="宋体" w:cs="宋体"/>
                <w:b/>
                <w:bCs/>
                <w:sz w:val="21"/>
                <w:szCs w:val="21"/>
                <w:highlight w:val="none"/>
              </w:rPr>
              <w:t xml:space="preserve"> System气动和抽真空</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BA，无缝，壁厚5S，Ra≤0.5μm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BA，无缝，壁厚5S，Ra≤0.5μm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单向阀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4"/>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流量计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球阀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低压球阀 </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-3.6</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球阀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低压球阀</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90"/>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阀组</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单表调压阀+球阀阀组     </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-3.8</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等径三通1/2"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BA，壁厚5S，Ra≤0.5μm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-3.9</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变径三通 1/2" X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BA</w:t>
            </w:r>
            <w:r>
              <w:rPr>
                <w:rFonts w:hint="eastAsia" w:ascii="宋体" w:hAnsi="宋体" w:eastAsia="宋体" w:cs="宋体"/>
                <w:sz w:val="21"/>
                <w:szCs w:val="21"/>
                <w:highlight w:val="none"/>
                <w:lang w:val="en-US" w:eastAsia="zh-CN"/>
              </w:rPr>
              <w:t xml:space="preserve">变径三通</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-3.10</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CBA 堵头 SWG 1/2"</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1/2”焊接堵头</w:t>
            </w:r>
            <w:r>
              <w:rPr>
                <w:rFonts w:hint="eastAsia" w:ascii="宋体" w:hAnsi="宋体" w:eastAsia="宋体" w:cs="宋体"/>
                <w:sz w:val="21"/>
                <w:szCs w:val="21"/>
                <w:highlight w:val="none"/>
                <w:lang w:val="en-US"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风管系统</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风机设备</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与排风管匹配</w:t>
            </w:r>
            <w:r>
              <w:rPr>
                <w:rFonts w:hint="eastAsia" w:ascii="宋体" w:hAnsi="宋体" w:eastAsia="宋体" w:cs="宋体"/>
                <w:sz w:val="21"/>
                <w:szCs w:val="21"/>
                <w:highlight w:val="none"/>
              </w:rPr>
            </w:r>
            <w:r/>
          </w:p>
        </w:tc>
        <w:tc>
          <w:tcPr>
            <w:tcW w:w="37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-4.2</w:t>
            </w:r>
            <w:r>
              <w:rPr>
                <w:rFonts w:hint="eastAsia" w:ascii="宋体" w:hAnsi="宋体" w:eastAsia="宋体" w:cs="宋体"/>
                <w:sz w:val="21"/>
                <w:szCs w:val="21"/>
                <w:highlight w:val="none"/>
              </w:rPr>
            </w:r>
            <w:r/>
          </w:p>
        </w:tc>
        <w:tc>
          <w:tcPr>
            <w:tcW w:w="1478" w:type="dxa"/>
            <w:vAlign w:val="center"/>
            <w:vMerge w:val="restart"/>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PP排风管道</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PP成品圆管Φ315</w:t>
            </w:r>
            <w:r>
              <w:rPr>
                <w:rFonts w:hint="eastAsia" w:ascii="宋体" w:hAnsi="宋体" w:eastAsia="宋体" w:cs="宋体"/>
                <w:sz w:val="21"/>
                <w:szCs w:val="21"/>
                <w:highlight w:val="none"/>
              </w:rPr>
            </w:r>
            <w:r/>
          </w:p>
        </w:tc>
        <w:tc>
          <w:tcPr>
            <w:tcW w:w="37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-4.3</w:t>
            </w:r>
            <w:r>
              <w:rPr>
                <w:rFonts w:hint="eastAsia" w:ascii="宋体" w:hAnsi="宋体" w:eastAsia="宋体" w:cs="宋体"/>
                <w:sz w:val="21"/>
                <w:szCs w:val="21"/>
                <w:highlight w:val="none"/>
              </w:rPr>
            </w:r>
            <w:r/>
          </w:p>
        </w:tc>
        <w:tc>
          <w:tcPr>
            <w:tcW w:w="1478" w:type="dxa"/>
            <w:vAlign w:val="center"/>
            <w:vMerge w:val="continue"/>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PP成品圆管Φ200</w:t>
            </w:r>
            <w:r>
              <w:rPr>
                <w:rFonts w:hint="eastAsia" w:ascii="宋体" w:hAnsi="宋体" w:eastAsia="宋体" w:cs="宋体"/>
                <w:sz w:val="21"/>
                <w:szCs w:val="21"/>
                <w:highlight w:val="none"/>
              </w:rPr>
            </w:r>
            <w:r/>
          </w:p>
        </w:tc>
        <w:tc>
          <w:tcPr>
            <w:tcW w:w="37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-4.4</w:t>
            </w:r>
            <w:r>
              <w:rPr>
                <w:rFonts w:hint="eastAsia" w:ascii="宋体" w:hAnsi="宋体" w:eastAsia="宋体" w:cs="宋体"/>
                <w:sz w:val="21"/>
                <w:szCs w:val="21"/>
                <w:highlight w:val="none"/>
              </w:rPr>
            </w:r>
            <w:r/>
          </w:p>
        </w:tc>
        <w:tc>
          <w:tcPr>
            <w:tcW w:w="1478" w:type="dxa"/>
            <w:vAlign w:val="center"/>
            <w:vMerge w:val="continue"/>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PP成品圆管Φ110</w:t>
            </w:r>
            <w:r>
              <w:rPr>
                <w:rFonts w:hint="eastAsia" w:ascii="宋体" w:hAnsi="宋体" w:eastAsia="宋体" w:cs="宋体"/>
                <w:sz w:val="21"/>
                <w:szCs w:val="21"/>
                <w:highlight w:val="none"/>
              </w:rPr>
            </w:r>
            <w:r/>
          </w:p>
        </w:tc>
        <w:tc>
          <w:tcPr>
            <w:tcW w:w="37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-4.5</w:t>
            </w:r>
            <w:r>
              <w:rPr>
                <w:rFonts w:hint="eastAsia" w:ascii="宋体" w:hAnsi="宋体" w:eastAsia="宋体" w:cs="宋体"/>
                <w:sz w:val="21"/>
                <w:szCs w:val="21"/>
                <w:highlight w:val="none"/>
              </w:rPr>
            </w:r>
            <w:r/>
          </w:p>
        </w:tc>
        <w:tc>
          <w:tcPr>
            <w:tcW w:w="1478" w:type="dxa"/>
            <w:vAlign w:val="center"/>
            <w:vMerge w:val="continue"/>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PP成品圆管Φ50</w:t>
            </w:r>
            <w:r>
              <w:rPr>
                <w:rFonts w:hint="eastAsia" w:ascii="宋体" w:hAnsi="宋体" w:eastAsia="宋体" w:cs="宋体"/>
                <w:sz w:val="21"/>
                <w:szCs w:val="21"/>
                <w:highlight w:val="none"/>
              </w:rPr>
            </w:r>
            <w:r/>
          </w:p>
        </w:tc>
        <w:tc>
          <w:tcPr>
            <w:tcW w:w="37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三通、弯头、变径</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PP材质</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-4.7</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手动开关阀</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PP材质</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-4.8</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末端接头</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-4.9</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管支架</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90"/>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-4.10</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风机电缆线</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含穿线管</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-4.11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辅材</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焊条、卡箍</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widowControl/>
              <w:rPr>
                <w:rFonts w:hint="eastAsia" w:ascii="宋体" w:hAnsi="宋体" w:eastAsia="宋体" w:cs="宋体"/>
                <w:b w:val="0"/>
                <w:bCs w:val="0"/>
                <w:sz w:val="21"/>
                <w:szCs w:val="21"/>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C-4.12</w:t>
            </w:r>
            <w:r>
              <w:rPr>
                <w:rFonts w:hint="eastAsia" w:ascii="宋体" w:hAnsi="宋体" w:eastAsia="宋体" w:cs="宋体"/>
                <w:b w:val="0"/>
                <w:bCs w:val="0"/>
                <w:sz w:val="21"/>
                <w:szCs w:val="21"/>
                <w:highlight w:val="none"/>
                <w:lang w:val="en-US"/>
              </w:rPr>
            </w:r>
            <w:r/>
          </w:p>
        </w:tc>
        <w:tc>
          <w:tcPr>
            <w:tcW w:w="1478" w:type="dxa"/>
            <w:vAlign w:val="center"/>
            <w:textDirection w:val="lrTb"/>
            <w:noWrap w:val="false"/>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开墙洞</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widowControl/>
              <w:rPr>
                <w:rFonts w:hint="eastAsia" w:ascii="宋体" w:hAnsi="宋体" w:eastAsia="宋体" w:cs="宋体"/>
                <w:b w:val="0"/>
                <w:bCs w:val="0"/>
                <w:sz w:val="21"/>
                <w:szCs w:val="21"/>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C-4.13</w:t>
            </w:r>
            <w:r>
              <w:rPr>
                <w:rFonts w:hint="eastAsia" w:ascii="宋体" w:hAnsi="宋体" w:eastAsia="宋体" w:cs="宋体"/>
                <w:b w:val="0"/>
                <w:bCs w:val="0"/>
                <w:sz w:val="21"/>
                <w:szCs w:val="21"/>
                <w:highlight w:val="none"/>
                <w:lang w:val="en-US"/>
              </w:rPr>
            </w:r>
            <w:r/>
          </w:p>
        </w:tc>
        <w:tc>
          <w:tcPr>
            <w:tcW w:w="1478" w:type="dxa"/>
            <w:vAlign w:val="center"/>
            <w:textDirection w:val="lrTb"/>
            <w:noWrap w:val="false"/>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外墙金属壳拆卸</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widowControl/>
              <w:rPr>
                <w:rFonts w:hint="eastAsia" w:ascii="宋体" w:hAnsi="宋体" w:eastAsia="宋体" w:cs="宋体"/>
                <w:b w:val="0"/>
                <w:bCs w:val="0"/>
                <w:sz w:val="21"/>
                <w:szCs w:val="21"/>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C-4.14</w:t>
            </w:r>
            <w:r>
              <w:rPr>
                <w:rFonts w:hint="eastAsia" w:ascii="宋体" w:hAnsi="宋体" w:eastAsia="宋体" w:cs="宋体"/>
                <w:b w:val="0"/>
                <w:bCs w:val="0"/>
                <w:sz w:val="21"/>
                <w:szCs w:val="21"/>
                <w:highlight w:val="none"/>
                <w:lang w:val="en-US"/>
              </w:rPr>
            </w:r>
            <w:r/>
          </w:p>
        </w:tc>
        <w:tc>
          <w:tcPr>
            <w:tcW w:w="1478" w:type="dxa"/>
            <w:vAlign w:val="center"/>
            <w:textDirection w:val="lrTb"/>
            <w:noWrap w:val="false"/>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吊车费</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widowControl/>
              <w:rPr>
                <w:rFonts w:hint="eastAsia" w:ascii="宋体" w:hAnsi="宋体" w:eastAsia="宋体" w:cs="宋体"/>
                <w:b w:val="0"/>
                <w:bCs w:val="0"/>
                <w:sz w:val="21"/>
                <w:szCs w:val="21"/>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C-4.15</w:t>
            </w:r>
            <w:r>
              <w:rPr>
                <w:rFonts w:hint="eastAsia" w:ascii="宋体" w:hAnsi="宋体" w:eastAsia="宋体" w:cs="宋体"/>
                <w:b w:val="0"/>
                <w:bCs w:val="0"/>
                <w:sz w:val="21"/>
                <w:szCs w:val="21"/>
                <w:highlight w:val="none"/>
                <w:lang w:val="en-US"/>
              </w:rPr>
            </w:r>
            <w:r/>
          </w:p>
        </w:tc>
        <w:tc>
          <w:tcPr>
            <w:tcW w:w="1478" w:type="dxa"/>
            <w:vAlign w:val="center"/>
            <w:textDirection w:val="lrTb"/>
            <w:noWrap w:val="false"/>
          </w:tcPr>
          <w:p>
            <w:pPr>
              <w:pStyle w:val="1139"/>
              <w:jc w:val="both"/>
              <w:keepLines w:val="0"/>
              <w:keepNext w:val="0"/>
              <w:pageBreakBefore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管道运输与安装费</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val="false"/>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防爆板系统</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-5.1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防爆墙</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平米</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-5.2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防爆门</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扇</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-5.3</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防爆窗</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扇</w:t>
            </w:r>
            <w:r>
              <w:rPr>
                <w:rFonts w:hint="eastAsia" w:ascii="宋体" w:hAnsi="宋体" w:eastAsia="宋体" w:cs="宋体"/>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-6</w:t>
            </w:r>
            <w:r>
              <w:rPr>
                <w:rFonts w:hint="eastAsia" w:ascii="宋体" w:hAnsi="宋体" w:eastAsia="宋体" w:cs="宋体"/>
                <w:b/>
                <w:bCs/>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CDA(燃烧桶)</w:t>
            </w:r>
            <w:r>
              <w:rPr>
                <w:rFonts w:hint="eastAsia" w:ascii="宋体" w:hAnsi="宋体" w:eastAsia="宋体" w:cs="宋体"/>
                <w:b/>
                <w:bCs/>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-6.1</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Tube 管道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BA，无缝，壁厚5S，Ra≤0.5μm</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-6.2</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双联键调压阀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卡套式，调压阀＋过滤器</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套</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-6.3</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流量计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卡套式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rPr>
              <w:t xml:space="preserve">-6.4</w:t>
            </w:r>
            <w:r>
              <w:rPr>
                <w:rFonts w:hint="eastAsia" w:ascii="宋体" w:hAnsi="宋体" w:eastAsia="宋体" w:cs="宋体"/>
                <w:sz w:val="21"/>
                <w:szCs w:val="21"/>
                <w:highlight w:val="none"/>
              </w:rPr>
            </w:r>
            <w:r/>
          </w:p>
        </w:tc>
        <w:tc>
          <w:tcPr>
            <w:tcW w:w="1478"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Ball Valve 球阀 1/4"</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承插焊低压球阀          </w:t>
            </w:r>
            <w:r>
              <w:rPr>
                <w:rFonts w:hint="eastAsia" w:ascii="宋体" w:hAnsi="宋体" w:eastAsia="宋体" w:cs="宋体"/>
                <w:sz w:val="21"/>
                <w:szCs w:val="21"/>
                <w:highlight w:val="none"/>
                <w:lang w:eastAsia="zh-CN"/>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gridSpan w:val="3"/>
            <w:tcW w:w="7861"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C-7</w:t>
            </w:r>
            <w:r>
              <w:rPr>
                <w:rFonts w:hint="eastAsia" w:ascii="宋体" w:hAnsi="宋体" w:eastAsia="宋体" w:cs="宋体"/>
                <w:b/>
                <w:bCs/>
                <w:sz w:val="21"/>
                <w:szCs w:val="21"/>
                <w:highlight w:val="none"/>
              </w:rPr>
              <w:t xml:space="preserve">现场施工安装</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i/>
                <w:iCs/>
                <w:sz w:val="21"/>
                <w:szCs w:val="21"/>
                <w:highlight w:val="none"/>
              </w:rPr>
            </w:pPr>
            <w:r>
              <w:rPr>
                <w:rFonts w:hint="eastAsia" w:ascii="宋体" w:hAnsi="宋体" w:eastAsia="宋体" w:cs="宋体"/>
                <w:b/>
                <w:bCs/>
                <w:i/>
                <w:i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C-7.</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Mechanical Installation</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机械安装</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r>
        <w:trPr>
          <w:trHeight w:val="283"/>
        </w:trPr>
        <w:tc>
          <w:tcPr>
            <w:gridSpan w:val="3"/>
            <w:shd w:val="clear" w:color="auto" w:fill="c7daf1"/>
            <w:tcW w:w="7861"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Part</w:t>
            </w:r>
            <w:r>
              <w:rPr>
                <w:rFonts w:hint="eastAsia" w:ascii="宋体" w:hAnsi="宋体" w:eastAsia="宋体" w:cs="宋体"/>
                <w:b/>
                <w:bCs/>
                <w:sz w:val="21"/>
                <w:szCs w:val="21"/>
                <w:highlight w:val="none"/>
                <w:lang w:val="en-US" w:eastAsia="zh-CN"/>
              </w:rPr>
              <w:t xml:space="preserve"> D：气体泄漏侦测及报警系统 </w:t>
            </w:r>
            <w:r>
              <w:rPr>
                <w:rFonts w:hint="eastAsia" w:ascii="宋体" w:hAnsi="宋体" w:eastAsia="宋体" w:cs="宋体"/>
                <w:b/>
                <w:bCs/>
                <w:sz w:val="21"/>
                <w:szCs w:val="21"/>
                <w:highlight w:val="none"/>
              </w:rPr>
            </w:r>
            <w:r/>
          </w:p>
        </w:tc>
        <w:tc>
          <w:tcPr>
            <w:shd w:val="clear" w:color="auto" w:fill="c7daf1"/>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shd w:val="clear" w:color="auto" w:fill="c7daf1"/>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lang w:val="en-US" w:eastAsia="zh-CN" w:bidi="ar-SA"/>
              </w:rPr>
            </w:r>
            <w:r/>
          </w:p>
        </w:tc>
        <w:tc>
          <w:tcPr>
            <w:tcW w:w="147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说明</w:t>
            </w:r>
            <w:r>
              <w:rPr>
                <w:rFonts w:hint="eastAsia" w:ascii="宋体" w:hAnsi="宋体" w:eastAsia="宋体" w:cs="宋体"/>
                <w:b/>
                <w:bCs/>
                <w:sz w:val="21"/>
                <w:szCs w:val="21"/>
                <w:highlight w:val="none"/>
                <w:lang w:eastAsia="zh-CN"/>
              </w:rPr>
            </w:r>
            <w:r/>
          </w:p>
        </w:tc>
        <w:tc>
          <w:tcPr>
            <w:tcW w:w="2248" w:type="dxa"/>
            <w:vAlign w:val="top"/>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规格</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数量</w:t>
            </w:r>
            <w:r>
              <w:rPr>
                <w:rFonts w:hint="eastAsia" w:ascii="宋体" w:hAnsi="宋体" w:eastAsia="宋体" w:cs="宋体"/>
                <w:b/>
                <w:bCs/>
                <w:sz w:val="21"/>
                <w:szCs w:val="21"/>
                <w:highlight w:val="none"/>
                <w:lang w:val="en-US" w:eastAsia="zh-CN" w:bidi="ar-SA"/>
              </w:rPr>
            </w:r>
            <w:r/>
          </w:p>
        </w:tc>
        <w:tc>
          <w:tcPr>
            <w:tcW w:w="389" w:type="dxa"/>
            <w:vAlign w:val="center"/>
            <w:textDirection w:val="lrTb"/>
            <w:noWrap/>
          </w:tcPr>
          <w:p>
            <w:pPr>
              <w:pStyle w:val="1139"/>
              <w:jc w:val="center"/>
              <w:keepLines w:val="0"/>
              <w:keepNext w:val="0"/>
              <w:pageBreakBefore w:val="0"/>
              <w:spacing w:after="0"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单位</w:t>
            </w:r>
            <w:r>
              <w:rPr>
                <w:rFonts w:hint="eastAsia" w:ascii="宋体" w:hAnsi="宋体" w:eastAsia="宋体" w:cs="宋体"/>
                <w:b/>
                <w:bCs/>
                <w:sz w:val="21"/>
                <w:szCs w:val="21"/>
                <w:highlight w:val="none"/>
                <w:lang w:val="en-US" w:eastAsia="zh-CN" w:bidi="ar-SA"/>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D</w:t>
            </w:r>
            <w:r>
              <w:rPr>
                <w:rFonts w:hint="eastAsia" w:ascii="宋体" w:hAnsi="宋体" w:eastAsia="宋体" w:cs="宋体"/>
                <w:b/>
                <w:bCs/>
                <w:sz w:val="21"/>
                <w:szCs w:val="21"/>
                <w:highlight w:val="none"/>
              </w:rPr>
              <w:t xml:space="preserve">-1 Gas Detection 气体侦测</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Detector 侦测器--非防爆型</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非防爆：Sensor: S</w:t>
            </w:r>
            <w:r>
              <w:rPr>
                <w:rFonts w:hint="eastAsia" w:ascii="宋体" w:hAnsi="宋体" w:eastAsia="宋体" w:cs="宋体"/>
                <w:sz w:val="21"/>
                <w:szCs w:val="21"/>
                <w:highlight w:val="none"/>
                <w:lang w:val="en-US" w:eastAsia="zh-CN"/>
              </w:rPr>
              <w:t xml:space="preserve">i</w:t>
            </w:r>
            <w:r>
              <w:rPr>
                <w:rFonts w:hint="eastAsia" w:ascii="宋体" w:hAnsi="宋体" w:eastAsia="宋体" w:cs="宋体"/>
                <w:sz w:val="21"/>
                <w:szCs w:val="21"/>
                <w:highlight w:val="none"/>
              </w:rPr>
              <w:t xml:space="preserve">H</w:t>
            </w:r>
            <w:r>
              <w:rPr>
                <w:rFonts w:hint="eastAsia" w:ascii="宋体" w:hAnsi="宋体" w:eastAsia="宋体" w:cs="宋体"/>
                <w:sz w:val="21"/>
                <w:szCs w:val="21"/>
                <w:highlight w:val="none"/>
                <w:vertAlign w:val="subscript"/>
              </w:rPr>
              <w:t xml:space="preserve">4</w:t>
            </w:r>
            <w:r>
              <w:rPr>
                <w:rFonts w:hint="eastAsia" w:ascii="宋体" w:hAnsi="宋体" w:eastAsia="宋体" w:cs="宋体"/>
                <w:sz w:val="21"/>
                <w:szCs w:val="21"/>
                <w:highlight w:val="none"/>
              </w:rPr>
              <w:t xml:space="preserve">+本体 电化学原理，泵吸工作方式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Detector 侦测器--非防爆型</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非防爆：Sensor: O</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+本体 电化学原理，泵吸式工作方式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Detector 侦测器--非防爆型</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非防爆：Sensor: NH</w:t>
            </w:r>
            <w:r>
              <w:rPr>
                <w:rFonts w:hint="eastAsia" w:ascii="宋体" w:hAnsi="宋体" w:eastAsia="宋体" w:cs="宋体"/>
                <w:sz w:val="21"/>
                <w:szCs w:val="21"/>
                <w:highlight w:val="none"/>
                <w:vertAlign w:val="subscript"/>
              </w:rPr>
              <w:t xml:space="preserve">3</w:t>
            </w:r>
            <w:r>
              <w:rPr>
                <w:rFonts w:hint="eastAsia" w:ascii="宋体" w:hAnsi="宋体" w:eastAsia="宋体" w:cs="宋体"/>
                <w:sz w:val="21"/>
                <w:szCs w:val="21"/>
                <w:highlight w:val="none"/>
              </w:rPr>
              <w:t xml:space="preserve">+本体 电化学原理，泵吸工作方式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Detector 侦测器--非防爆型</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非防爆：Sensor: N</w:t>
            </w:r>
            <w:r>
              <w:rPr>
                <w:rFonts w:hint="eastAsia" w:ascii="宋体" w:hAnsi="宋体" w:eastAsia="宋体" w:cs="宋体"/>
                <w:sz w:val="21"/>
                <w:szCs w:val="21"/>
                <w:highlight w:val="none"/>
                <w:vertAlign w:val="subscript"/>
              </w:rPr>
              <w:t xml:space="preserve">2</w:t>
            </w:r>
            <w:r>
              <w:rPr>
                <w:rFonts w:hint="eastAsia" w:ascii="宋体" w:hAnsi="宋体" w:eastAsia="宋体" w:cs="宋体"/>
                <w:sz w:val="21"/>
                <w:szCs w:val="21"/>
                <w:highlight w:val="none"/>
              </w:rPr>
              <w:t xml:space="preserve">O+本体 电化学原理，泵吸工作方式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D-1.5</w:t>
            </w:r>
            <w:r>
              <w:rPr>
                <w:rFonts w:hint="eastAsia" w:ascii="宋体" w:hAnsi="宋体" w:eastAsia="宋体" w:cs="宋体"/>
                <w:sz w:val="21"/>
                <w:szCs w:val="21"/>
                <w:highlight w:val="none"/>
                <w:lang w:val="en-US" w:eastAsia="zh-CN"/>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Detector 侦测器--非防爆型</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非防爆：Sensor: </w:t>
            </w:r>
            <w:r>
              <w:rPr>
                <w:rFonts w:hint="eastAsia" w:ascii="宋体" w:hAnsi="宋体" w:eastAsia="宋体" w:cs="宋体"/>
                <w:sz w:val="21"/>
                <w:szCs w:val="21"/>
                <w:highlight w:val="none"/>
                <w:lang w:val="en-US" w:eastAsia="zh-CN"/>
              </w:rPr>
              <w:t xml:space="preserve">含氟类气体+本体</w:t>
            </w:r>
            <w:r>
              <w:rPr>
                <w:rFonts w:hint="eastAsia" w:ascii="宋体" w:hAnsi="宋体" w:eastAsia="宋体" w:cs="宋体"/>
                <w:sz w:val="21"/>
                <w:szCs w:val="21"/>
                <w:highlight w:val="none"/>
              </w:rPr>
              <w:t xml:space="preserve"> 电化学原理，泵吸工作方式</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D</w:t>
            </w:r>
            <w:r>
              <w:rPr>
                <w:rFonts w:hint="eastAsia" w:ascii="宋体" w:hAnsi="宋体" w:eastAsia="宋体" w:cs="宋体"/>
                <w:b/>
                <w:bCs/>
                <w:sz w:val="21"/>
                <w:szCs w:val="21"/>
                <w:highlight w:val="none"/>
              </w:rPr>
              <w:t xml:space="preserve">-2  仪表电气与控制</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PLC控制柜</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Alarm 声光报警</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三色</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785"/>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Emergency-Off  Pushbutton without Key Switch 紧急开关</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FEP软管</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侦测器用</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FE软管</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侦测器用</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tcW w:w="504" w:type="dxa"/>
            <w:vAlign w:val="center"/>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1478" w:type="dxa"/>
            <w:vAlign w:val="center"/>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信号线</w:t>
            </w:r>
            <w:r>
              <w:rPr>
                <w:rFonts w:hint="eastAsia" w:ascii="宋体" w:hAnsi="宋体" w:eastAsia="宋体" w:cs="宋体"/>
                <w:sz w:val="21"/>
                <w:szCs w:val="21"/>
                <w:highlight w:val="none"/>
              </w:rPr>
            </w:r>
            <w:r/>
          </w:p>
        </w:tc>
        <w:tc>
          <w:tcPr>
            <w:tcW w:w="224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RVVP 3*0.5 mm</w:t>
            </w:r>
            <w:r>
              <w:rPr>
                <w:rFonts w:hint="eastAsia" w:ascii="宋体" w:hAnsi="宋体" w:eastAsia="宋体" w:cs="宋体"/>
                <w:sz w:val="21"/>
                <w:szCs w:val="21"/>
                <w:highlight w:val="none"/>
                <w:vertAlign w:val="superscript"/>
              </w:rPr>
              <w:t xml:space="preserve">3</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r>
      <w:tr>
        <w:trPr>
          <w:trHeight w:val="283"/>
        </w:trPr>
        <w:tc>
          <w:tcPr>
            <w:gridSpan w:val="3"/>
            <w:tcW w:w="7861"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D-3 </w:t>
            </w:r>
            <w:r>
              <w:rPr>
                <w:rFonts w:hint="eastAsia" w:ascii="宋体" w:hAnsi="宋体" w:eastAsia="宋体" w:cs="宋体"/>
                <w:b/>
                <w:bCs/>
                <w:sz w:val="21"/>
                <w:szCs w:val="21"/>
                <w:highlight w:val="none"/>
              </w:rPr>
              <w:t xml:space="preserve">现场施工安装</w:t>
            </w:r>
            <w:r>
              <w:rPr>
                <w:rFonts w:hint="eastAsia" w:ascii="宋体" w:hAnsi="宋体" w:eastAsia="宋体" w:cs="宋体"/>
                <w:b/>
                <w:bCs/>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83"/>
        </w:trPr>
        <w:tc>
          <w:tcPr>
            <w:tcW w:w="504"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D-3.1</w:t>
            </w:r>
            <w:r>
              <w:rPr>
                <w:rFonts w:hint="eastAsia" w:ascii="宋体" w:hAnsi="宋体" w:eastAsia="宋体" w:cs="宋体"/>
                <w:sz w:val="21"/>
                <w:szCs w:val="21"/>
                <w:highlight w:val="none"/>
                <w:lang w:eastAsia="zh-CN"/>
              </w:rPr>
            </w:r>
            <w:r/>
          </w:p>
        </w:tc>
        <w:tc>
          <w:tcPr>
            <w:tcW w:w="1478" w:type="dxa"/>
            <w:vAlign w:val="top"/>
            <w:textDirection w:val="lrTb"/>
            <w:noWrap w:val="false"/>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辅材</w:t>
            </w:r>
            <w:r>
              <w:rPr>
                <w:rFonts w:hint="eastAsia" w:ascii="宋体" w:hAnsi="宋体" w:eastAsia="宋体" w:cs="宋体"/>
                <w:sz w:val="21"/>
                <w:szCs w:val="21"/>
                <w:highlight w:val="none"/>
              </w:rPr>
            </w:r>
            <w:r/>
          </w:p>
        </w:tc>
        <w:tc>
          <w:tcPr>
            <w:tcW w:w="2248" w:type="dxa"/>
            <w:vAlign w:val="top"/>
            <w:textDirection w:val="lrTb"/>
            <w:noWrap/>
          </w:tcPr>
          <w:p>
            <w:pPr>
              <w:pStyle w:val="1139"/>
              <w:jc w:val="both"/>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信号线，线管安装</w:t>
            </w:r>
            <w:r>
              <w:rPr>
                <w:rFonts w:hint="eastAsia" w:ascii="宋体" w:hAnsi="宋体" w:eastAsia="宋体" w:cs="宋体"/>
                <w:sz w:val="21"/>
                <w:szCs w:val="21"/>
                <w:highlight w:val="none"/>
              </w:rPr>
            </w:r>
            <w:r/>
          </w:p>
        </w:tc>
        <w:tc>
          <w:tcPr>
            <w:tcW w:w="37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9" w:type="dxa"/>
            <w:vAlign w:val="center"/>
            <w:textDirection w:val="lrTb"/>
            <w:noWrap/>
          </w:tcPr>
          <w:p>
            <w:pPr>
              <w:pStyle w:val="1139"/>
              <w:jc w:val="center"/>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项</w:t>
            </w:r>
            <w:r>
              <w:rPr>
                <w:rFonts w:hint="eastAsia" w:ascii="宋体" w:hAnsi="宋体" w:eastAsia="宋体" w:cs="宋体"/>
                <w:sz w:val="21"/>
                <w:szCs w:val="21"/>
                <w:highlight w:val="none"/>
                <w:lang w:eastAsia="zh-CN"/>
              </w:rPr>
            </w:r>
            <w:r/>
          </w:p>
        </w:tc>
      </w:tr>
    </w:tbl>
    <w:p>
      <w:pPr>
        <w:pStyle w:val="1139"/>
        <w:contextualSpacing/>
        <w:jc w:val="left"/>
        <w:spacing w:line="40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4"/>
          <w:highlight w:val="none"/>
        </w:rPr>
        <w:t xml:space="preserve">注：以上配件清单为本项目基础配置要求，实际数量及具体配置由投标人根据项目实际需求自行完善并据实报价。若配件清单与技术要求</w:t>
      </w:r>
      <w:r>
        <w:rPr>
          <w:rFonts w:hint="eastAsia" w:ascii="宋体" w:hAnsi="宋体" w:eastAsia="宋体" w:cs="宋体"/>
          <w:b/>
          <w:bCs/>
          <w:color w:val="000000"/>
          <w:sz w:val="24"/>
          <w:szCs w:val="24"/>
          <w:highlight w:val="none"/>
          <w:lang w:val="en-US" w:eastAsia="zh-CN"/>
        </w:rPr>
        <w:t xml:space="preserve">有偏差</w:t>
      </w:r>
      <w:r>
        <w:rPr>
          <w:rFonts w:hint="eastAsia" w:ascii="宋体" w:hAnsi="宋体" w:eastAsia="宋体" w:cs="宋体"/>
          <w:b/>
          <w:bCs/>
          <w:color w:val="000000"/>
          <w:sz w:val="24"/>
          <w:szCs w:val="24"/>
          <w:highlight w:val="none"/>
        </w:rPr>
        <w:t xml:space="preserve">，以标准较高者为准。与此相关的</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rPr>
        <w:t xml:space="preserve">费用均已包含在投标总价中，采购人不再另行支付任何费用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highlight w:val="none"/>
          <w:lang w:eastAsia="zh-CN"/>
        </w:rPr>
      </w:r>
      <w:r/>
    </w:p>
    <w:p>
      <w:pPr>
        <w:pStyle w:val="1139"/>
        <w:contextualSpacing/>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139"/>
        <w:contextualSpacing/>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附件2</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图纸</w:t>
      </w:r>
      <w:r>
        <w:rPr>
          <w:rFonts w:hint="eastAsia" w:ascii="宋体" w:hAnsi="宋体" w:eastAsia="宋体" w:cs="宋体"/>
          <w:b/>
          <w:bCs/>
          <w:sz w:val="24"/>
          <w:highlight w:val="none"/>
        </w:rPr>
      </w:r>
      <w:r/>
    </w:p>
    <w:p>
      <w:pPr>
        <w:pStyle w:val="1139"/>
        <w:contextualSpacing/>
        <w:jc w:val="left"/>
        <w:spacing w:line="400" w:lineRule="exact"/>
        <w:rPr>
          <w:rFonts w:hint="eastAsia" w:ascii="宋体" w:hAnsi="宋体" w:eastAsia="宋体" w:cs="宋体"/>
          <w:b/>
          <w:bCs/>
          <w:sz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295910</wp:posOffset>
                </wp:positionH>
                <wp:positionV relativeFrom="page">
                  <wp:posOffset>1334770</wp:posOffset>
                </wp:positionV>
                <wp:extent cx="5144770" cy="802005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44769" cy="802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2;o:allowoverlap:true;o:allowincell:true;mso-position-horizontal-relative:text;margin-left:23.3pt;mso-position-horizontal:absolute;mso-position-vertical-relative:page;margin-top:105.1pt;mso-position-vertical:absolute;width:405.1pt;height:631.5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eastAsia="宋体" w:cs="宋体"/>
          <w:b/>
          <w:bCs/>
          <w:sz w:val="24"/>
          <w:highlight w:val="none"/>
        </w:rPr>
      </w:r>
      <w:r/>
    </w:p>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五、其他要求</w:t>
      </w:r>
      <w:r>
        <w:rPr>
          <w:rFonts w:hint="eastAsia" w:ascii="宋体" w:hAnsi="宋体" w:eastAsia="宋体" w:cs="宋体"/>
          <w:b/>
          <w:bCs/>
          <w:sz w:val="24"/>
          <w:highlight w:val="none"/>
        </w:rPr>
      </w:r>
      <w:r/>
    </w:p>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（一）报价要求</w:t>
      </w:r>
      <w:r>
        <w:rPr>
          <w:rFonts w:hint="eastAsia" w:ascii="宋体" w:hAnsi="宋体" w:eastAsia="宋体" w:cs="宋体"/>
          <w:b/>
          <w:bCs/>
          <w:sz w:val="24"/>
          <w:highlight w:val="none"/>
        </w:rPr>
      </w:r>
      <w:r/>
    </w:p>
    <w:p>
      <w:pPr>
        <w:pStyle w:val="1139"/>
        <w:contextualSpacing/>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sz w:val="24"/>
          <w:highlight w:val="none"/>
        </w:rPr>
        <w:t xml:space="preserve">本项目采用固定</w:t>
      </w:r>
      <w:r>
        <w:rPr>
          <w:rFonts w:hint="eastAsia" w:ascii="宋体" w:hAnsi="宋体" w:eastAsia="宋体" w:cs="宋体"/>
          <w:b/>
          <w:bCs/>
          <w:sz w:val="24"/>
          <w:highlight w:val="none"/>
          <w:lang w:val="en-US" w:eastAsia="zh-CN"/>
        </w:rPr>
        <w:t xml:space="preserve">综</w:t>
      </w:r>
      <w:r>
        <w:rPr>
          <w:rFonts w:hint="eastAsia" w:ascii="宋体" w:hAnsi="宋体" w:eastAsia="宋体" w:cs="宋体"/>
          <w:b/>
          <w:bCs/>
          <w:color w:val="000000"/>
          <w:sz w:val="24"/>
          <w:highlight w:val="none"/>
          <w:lang w:val="en-US" w:eastAsia="zh-CN"/>
        </w:rPr>
        <w:t xml:space="preserve">合</w:t>
      </w:r>
      <w:r>
        <w:rPr>
          <w:rFonts w:hint="eastAsia" w:ascii="宋体" w:hAnsi="宋体" w:eastAsia="宋体" w:cs="宋体"/>
          <w:b/>
          <w:bCs/>
          <w:color w:val="000000"/>
          <w:sz w:val="24"/>
          <w:highlight w:val="none"/>
        </w:rPr>
        <w:t xml:space="preserve">总价，</w:t>
      </w:r>
      <w:r>
        <w:rPr>
          <w:rFonts w:hint="eastAsia" w:ascii="宋体" w:hAnsi="宋体" w:eastAsia="宋体" w:cs="宋体"/>
          <w:color w:val="000000"/>
          <w:sz w:val="24"/>
          <w:highlight w:val="none"/>
        </w:rPr>
        <w:t xml:space="preserve">报价应包括但不限于采购文件及技术要求范围内相应设备制造前的准备（包括现场踏勘、技术核对等）、产品（包括材料、</w:t>
      </w:r>
      <w:r>
        <w:rPr>
          <w:rFonts w:hint="eastAsia" w:ascii="宋体" w:hAnsi="宋体" w:eastAsia="宋体" w:cs="宋体"/>
          <w:color w:val="000000"/>
          <w:sz w:val="24"/>
          <w:highlight w:val="none"/>
          <w:lang w:val="en-US" w:eastAsia="zh-CN"/>
        </w:rPr>
        <w:t xml:space="preserve">所有耗材</w:t>
      </w:r>
      <w:r>
        <w:rPr>
          <w:rFonts w:hint="eastAsia" w:ascii="宋体" w:hAnsi="宋体" w:eastAsia="宋体" w:cs="宋体"/>
          <w:b/>
          <w:bCs/>
          <w:color w:val="000000"/>
          <w:sz w:val="24"/>
          <w:highlight w:val="none"/>
          <w:lang w:val="en-US" w:eastAsia="zh-CN"/>
        </w:rPr>
        <w:t xml:space="preserve">（如螺丝、支架、密封圈等）</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附件、备品备件、专用工具等）、设计、制造、加工、检验、包装、技术资料、发货、运输、保险、检测验收、装卸、安装、设备自身调试、技术指导培训、售后服务、质保期及维保服务等。政策性文件规定及合同包含的所有风险、责任和采购文件所要求的相关服务等全部内容。安装、调试、验收过程中，如发现有漏项、缺件，成交供应商应无条件、无偿补齐，所发生的一切费用，视为已包含在供应商的报价之中，且并不因此而影响交付实际使用人的时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139"/>
        <w:contextualSpacing/>
        <w:ind w:firstLine="482"/>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（二）安装调试要求</w:t>
      </w:r>
      <w:r>
        <w:rPr>
          <w:rFonts w:hint="eastAsia" w:ascii="宋体" w:hAnsi="宋体" w:eastAsia="宋体" w:cs="宋体"/>
          <w:b/>
          <w:bCs/>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1．本招标内容包含辅助系统相关设备与材料的供货，以及系统的安装、调试与现场施工；不包含工艺设备内部结构及设备内部配管。</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2.中标供应商应遵守现场的一切规章制度，文明施工，并根据采购单位的需要，在规定的时间内，保证质量完成报价所提供设备的安装、调试及运行</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3．安装前应对采购单位现场进行详细考察，确保安装过程的成功。施工过程应严格执行相关的强弱电施工规范，并保证施工安全。</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4．设备安装、调试所需的工具、仪表及安装材料由中标供应商自行解决。</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5．安装调试过程中，中标供应商负责保管、看护进场的设备及附配件等；中标供应商要负责为设备、安装设备等提供适当的保护、包装或覆盖等处理，以免受损；直至完成安装调试后交付采购单位。</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．中标供应商派出的安装人员应具备相关的专业知识、技术水平、相应资质和能力，熟悉所供货物的规格、技术指标等。所有安全责任由中标供应商自行承担。</w:t>
      </w:r>
      <w:r>
        <w:rPr>
          <w:rFonts w:hint="eastAsia" w:ascii="宋体" w:hAnsi="宋体" w:eastAsia="宋体" w:cs="宋体"/>
          <w:color w:val="000000"/>
          <w:sz w:val="24"/>
          <w:highlight w:val="none"/>
        </w:rPr>
      </w:r>
      <w:r/>
    </w:p>
    <w:p>
      <w:pPr>
        <w:pStyle w:val="1139"/>
        <w:contextualSpacing/>
        <w:ind w:firstLine="480"/>
        <w:jc w:val="left"/>
        <w:spacing w:line="400" w:lineRule="exact"/>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b/>
          <w:bCs/>
          <w:color w:val="000000"/>
          <w:sz w:val="24"/>
          <w:highlight w:val="none"/>
          <w:lang w:val="en-US" w:eastAsia="zh-CN"/>
        </w:rPr>
        <w:t xml:space="preserve">所有气体</w:t>
      </w:r>
      <w:r>
        <w:rPr>
          <w:rFonts w:hint="eastAsia" w:ascii="宋体" w:hAnsi="宋体" w:eastAsia="宋体" w:cs="宋体"/>
          <w:b/>
          <w:bCs/>
          <w:color w:val="000000"/>
          <w:sz w:val="24"/>
          <w:highlight w:val="none"/>
        </w:rPr>
        <w:t xml:space="preserve">泄漏侦测及报警系统</w:t>
      </w:r>
      <w:r>
        <w:rPr>
          <w:rFonts w:hint="eastAsia" w:ascii="宋体" w:hAnsi="宋体" w:eastAsia="宋体" w:cs="宋体"/>
          <w:b/>
          <w:bCs/>
          <w:color w:val="000000"/>
          <w:sz w:val="24"/>
          <w:highlight w:val="none"/>
          <w:lang w:val="en-US" w:eastAsia="zh-CN"/>
        </w:rPr>
        <w:t xml:space="preserve">均需要接入网络，并完成现场演示、验收；涉及费用均由</w:t>
      </w:r>
      <w:r>
        <w:rPr>
          <w:rFonts w:hint="eastAsia" w:ascii="宋体" w:hAnsi="宋体" w:eastAsia="宋体" w:cs="宋体"/>
          <w:b/>
          <w:bCs/>
          <w:color w:val="000000"/>
          <w:sz w:val="24"/>
          <w:highlight w:val="none"/>
        </w:rPr>
        <w:t xml:space="preserve">中标供应商</w:t>
      </w:r>
      <w:r>
        <w:rPr>
          <w:rFonts w:hint="eastAsia" w:ascii="宋体" w:hAnsi="宋体" w:eastAsia="宋体" w:cs="宋体"/>
          <w:b/>
          <w:bCs/>
          <w:color w:val="000000"/>
          <w:sz w:val="24"/>
          <w:highlight w:val="none"/>
          <w:lang w:val="en-US" w:eastAsia="zh-CN"/>
        </w:rPr>
        <w:t xml:space="preserve">承担。</w:t>
      </w:r>
      <w:r>
        <w:rPr>
          <w:rFonts w:hint="eastAsia" w:ascii="宋体" w:hAnsi="宋体" w:eastAsia="宋体" w:cs="宋体"/>
          <w:b/>
          <w:bCs/>
          <w:color w:val="000000"/>
          <w:sz w:val="24"/>
          <w:highlight w:val="none"/>
          <w:lang w:val="en-US" w:eastAsia="zh-CN"/>
        </w:rPr>
      </w:r>
      <w:r/>
    </w:p>
    <w:p>
      <w:pPr>
        <w:pStyle w:val="1139"/>
        <w:contextualSpacing/>
        <w:ind w:firstLine="480"/>
        <w:jc w:val="left"/>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szCs w:val="24"/>
          <w:highlight w:val="none"/>
        </w:rPr>
        <w:t xml:space="preserve">特气项目需与超净工程项目进行整体协同推进，在系统设计、施工实施及运行管理等阶段加强统筹协调，确保特种气体供应系统与洁净环境控制系统在工艺布局、施工组织和运行条件等方面实现有效匹配与协同优化。</w:t>
      </w:r>
      <w:r>
        <w:rPr>
          <w:rFonts w:hint="eastAsia" w:ascii="宋体" w:hAnsi="宋体" w:eastAsia="宋体" w:cs="宋体"/>
          <w:color w:val="000000"/>
          <w:sz w:val="24"/>
          <w:highlight w:val="none"/>
          <w:lang w:val="en-US" w:eastAsia="zh-CN"/>
        </w:rPr>
      </w:r>
      <w:r/>
    </w:p>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三</w:t>
      </w:r>
      <w:r>
        <w:rPr>
          <w:rFonts w:hint="eastAsia" w:ascii="宋体" w:hAnsi="宋体" w:eastAsia="宋体" w:cs="宋体"/>
          <w:b/>
          <w:bCs/>
          <w:sz w:val="24"/>
          <w:highlight w:val="none"/>
        </w:rPr>
        <w:t xml:space="preserve">）验收标准</w:t>
      </w:r>
      <w:r>
        <w:rPr>
          <w:rFonts w:hint="eastAsia" w:ascii="宋体" w:hAnsi="宋体" w:eastAsia="宋体" w:cs="宋体"/>
          <w:b/>
          <w:bCs/>
          <w:sz w:val="24"/>
          <w:highlight w:val="none"/>
        </w:rPr>
      </w:r>
      <w:r/>
    </w:p>
    <w:p>
      <w:pPr>
        <w:pStyle w:val="1139"/>
        <w:contextualSpacing/>
        <w:ind w:firstLine="480"/>
        <w:jc w:val="left"/>
        <w:spacing w:line="400" w:lineRule="exac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由采购人组建验收小组，</w:t>
      </w:r>
      <w:r>
        <w:rPr>
          <w:rFonts w:hint="eastAsia" w:ascii="宋体" w:hAnsi="宋体" w:eastAsia="宋体" w:cs="宋体"/>
          <w:b/>
          <w:bCs/>
          <w:color w:val="000000"/>
          <w:sz w:val="24"/>
          <w:highlight w:val="none"/>
          <w:lang w:val="en-US" w:eastAsia="zh-CN"/>
        </w:rPr>
        <w:t xml:space="preserve">验收小组包括校院领导、安评公司、环评公司以及第三方特气公司，验收相关费用不包括在此次招标范围内。</w:t>
      </w:r>
      <w:r>
        <w:rPr>
          <w:rFonts w:hint="eastAsia" w:ascii="宋体" w:hAnsi="宋体" w:eastAsia="宋体" w:cs="宋体"/>
          <w:sz w:val="24"/>
          <w:highlight w:val="none"/>
        </w:rPr>
        <w:t xml:space="preserve">依据采购合同、技术规格书、安装调试报告、出厂检测报告及用户需求说明书等文件进行验收。验收工作分为到货初检和安装调试功能验收两个阶段。中标供应商</w:t>
      </w:r>
      <w:r>
        <w:rPr>
          <w:rFonts w:hint="eastAsia" w:ascii="宋体" w:hAnsi="宋体" w:eastAsia="宋体" w:cs="宋体"/>
          <w:sz w:val="24"/>
          <w:highlight w:val="none"/>
          <w:lang w:val="en-US" w:eastAsia="zh-CN"/>
        </w:rPr>
        <w:t xml:space="preserve">须</w:t>
      </w:r>
      <w:r>
        <w:rPr>
          <w:rFonts w:hint="eastAsia" w:ascii="宋体" w:hAnsi="宋体" w:eastAsia="宋体" w:cs="宋体"/>
          <w:sz w:val="24"/>
          <w:highlight w:val="none"/>
        </w:rPr>
        <w:t xml:space="preserve">配合</w:t>
      </w:r>
      <w:r>
        <w:rPr>
          <w:rFonts w:hint="eastAsia" w:ascii="宋体" w:hAnsi="宋体" w:eastAsia="宋体" w:cs="宋体"/>
          <w:sz w:val="24"/>
          <w:highlight w:val="none"/>
          <w:lang w:val="en-US" w:eastAsia="zh-CN"/>
        </w:rPr>
        <w:t xml:space="preserve">验收工作并</w:t>
      </w:r>
      <w:r>
        <w:rPr>
          <w:rFonts w:hint="eastAsia" w:ascii="宋体" w:hAnsi="宋体" w:eastAsia="宋体" w:cs="宋体"/>
          <w:sz w:val="24"/>
          <w:highlight w:val="none"/>
        </w:rPr>
        <w:t xml:space="preserve">提供</w:t>
      </w:r>
      <w:r>
        <w:rPr>
          <w:rFonts w:hint="eastAsia" w:ascii="宋体" w:hAnsi="宋体" w:eastAsia="宋体" w:cs="宋体"/>
          <w:sz w:val="24"/>
          <w:highlight w:val="none"/>
          <w:lang w:val="en-US" w:eastAsia="zh-CN"/>
        </w:rPr>
        <w:t xml:space="preserve">必要</w:t>
      </w:r>
      <w:r>
        <w:rPr>
          <w:rFonts w:hint="eastAsia" w:ascii="宋体" w:hAnsi="宋体" w:eastAsia="宋体" w:cs="宋体"/>
          <w:sz w:val="24"/>
          <w:highlight w:val="none"/>
        </w:rPr>
        <w:t xml:space="preserve">的技术支持与资料说明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（1）到货初检</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对照设备装箱单及合同清单，对到货设备进行核查，确认主机、控制系统、阀门、管路系统、软件等部件齐全。检查设备外观应无明显损伤，配件完好，铭牌清晰，设备编号与合同内容一致。核查设备随附技术资料是否完整，包括但不限于：操作手册、维护手册、电气原理图、出厂检验报告、产品合格证等。</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（2）原厂出厂证明：交货时需提供原厂出厂序列号和原厂资质文件，开箱时需检验设备外观、铭牌、部件标签，工程师验收核对原厂参数一致性。</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（3）开箱验收标准：约定开箱时需核验设备外观、铭牌、部件标签与原厂参数的一致性，拒绝接受无原厂标识的部件。</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（4）安装调试功能验收</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系统完成安装并通电、通气、抽真空后，应确认设备可安全启动，运行过程中不得出现漏气、漏水、漏电等异常情况。检验系统各项技术指标是否满足合同及技术规格书要求。软件界面应能够正常显示压力、温度、阀门状态等实时运行数据，并具备配方保存、配方编辑、运行日志记录及安全联锁等功能。</w:t>
      </w:r>
      <w:r>
        <w:rPr>
          <w:rFonts w:hint="eastAsia" w:ascii="宋体" w:hAnsi="宋体" w:eastAsia="宋体" w:cs="宋体"/>
          <w:sz w:val="24"/>
          <w:highlight w:val="none"/>
        </w:rPr>
      </w:r>
      <w:r/>
    </w:p>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（5）系统测试要求</w:t>
      </w:r>
      <w:r>
        <w:rPr>
          <w:rFonts w:hint="eastAsia" w:ascii="宋体" w:hAnsi="宋体" w:eastAsia="宋体" w:cs="宋体"/>
          <w:b/>
          <w:bCs/>
          <w:sz w:val="24"/>
          <w:highlight w:val="none"/>
        </w:rPr>
      </w:r>
      <w:r/>
    </w:p>
    <w:p>
      <w:pPr>
        <w:pStyle w:val="1139"/>
        <w:contextualSpacing/>
        <w:ind w:firstLine="482"/>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特种气体输运管道必须进行保压、氦检、颗粒度、水份、氧份检测，指标必须达到国家标准，其中压降与氦检具体指标要求如下：</w:t>
      </w:r>
      <w:r>
        <w:rPr>
          <w:rFonts w:hint="eastAsia" w:ascii="宋体" w:hAnsi="宋体" w:eastAsia="宋体" w:cs="宋体"/>
          <w:b/>
          <w:bCs/>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所有管道、管件、阀门、仪表安装前外观检查,表面无毛刺、焊渣、铁锈和污垢等，管道内壁除锈。安装过程中及安装后采取严格措施，防止焊渣、铁锈及可燃物等进入或遗留在管道内。</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管道阀门试验用空气或氮气做试验。</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管道采用焊接，阀门及适当位置采用法兰连接。</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管道穿过墙壁或楼板时，敷设在套管内。管道与套管间，采用不燃材料填塞。</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管道安装结束后进行焊缝表面无损检测。</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管道焊缝表面无损检测合格后进行压力试验。以空气或氮气做强度试验，达到试验压力后保压5min，无变形、无泄漏为合格。</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压力试验合格后进行吹扫：管道吹扫前拆除调节阀、安全阀、仪表等，吹扫介质为无油、干燥的空气和氮气，以不小于20m/s的流速吹扫，直至出口无铁锈、焊渣及其他杂物，目测排气无烟尘时，在排气口设置贴白布或涂白漆木板检验，5min内板上无铁锈、尘土、水分及其他杂物，为合格。</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管道气密性试验：气密性试验达到规定试验压力后</w:t>
      </w:r>
      <w:r>
        <w:rPr>
          <w:rFonts w:hint="eastAsia" w:ascii="宋体" w:hAnsi="宋体" w:eastAsia="宋体" w:cs="宋体"/>
          <w:sz w:val="24"/>
          <w:highlight w:val="none"/>
          <w:lang w:val="en-US" w:eastAsia="zh-CN"/>
        </w:rPr>
        <w:t xml:space="preserve">(至少1.15倍）</w:t>
      </w:r>
      <w:r>
        <w:rPr>
          <w:rFonts w:hint="eastAsia" w:ascii="宋体" w:hAnsi="宋体" w:eastAsia="宋体" w:cs="宋体"/>
          <w:sz w:val="24"/>
          <w:highlight w:val="none"/>
        </w:rPr>
        <w:t xml:space="preserve">，保压10min，后降至设计压力，对焊缝及连接部位进行泄漏检查，无泄漏为合格。</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道泄漏性试验：泄漏性试验介质为干燥、无油的空气或氮气，试验压力为设计压力，泄漏性试验重点检验阀门填料函、法兰或螺纹连接处、放空阀、排气阀、排水阀等。发泡剂检验不泄漏为合格。泄漏量试验时间为24h，</w:t>
      </w:r>
      <w:r>
        <w:rPr>
          <w:rFonts w:hint="eastAsia" w:ascii="宋体" w:hAnsi="宋体" w:eastAsia="宋体" w:cs="宋体"/>
          <w:sz w:val="24"/>
          <w:highlight w:val="none"/>
          <w:lang w:val="en-US" w:eastAsia="zh-CN"/>
        </w:rPr>
        <w:t xml:space="preserve">保持压力24小时无压降</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特气管道应该保持Moisture H</w:t>
      </w:r>
      <w:r>
        <w:rPr>
          <w:rFonts w:hint="eastAsia" w:ascii="宋体" w:hAnsi="宋体" w:eastAsia="宋体" w:cs="宋体"/>
          <w:sz w:val="24"/>
          <w:highlight w:val="none"/>
          <w:vertAlign w:val="subscript"/>
          <w:lang w:val="en-US" w:eastAsia="zh-CN"/>
        </w:rPr>
        <w:t xml:space="preserve">2</w:t>
      </w:r>
      <w:r>
        <w:rPr>
          <w:rFonts w:hint="eastAsia" w:ascii="宋体" w:hAnsi="宋体" w:eastAsia="宋体" w:cs="宋体"/>
          <w:sz w:val="24"/>
          <w:highlight w:val="none"/>
          <w:lang w:val="en-US" w:eastAsia="zh-CN"/>
        </w:rPr>
        <w:t xml:space="preserve">O&lt;20 ppb，O</w:t>
      </w:r>
      <w:r>
        <w:rPr>
          <w:rFonts w:hint="eastAsia" w:ascii="宋体" w:hAnsi="宋体" w:eastAsia="宋体" w:cs="宋体"/>
          <w:sz w:val="24"/>
          <w:highlight w:val="none"/>
          <w:vertAlign w:val="subscript"/>
          <w:lang w:val="en-US" w:eastAsia="zh-CN"/>
        </w:rPr>
        <w:t xml:space="preserve">2</w:t>
      </w:r>
      <w:r>
        <w:rPr>
          <w:rFonts w:hint="eastAsia" w:ascii="宋体" w:hAnsi="宋体" w:eastAsia="宋体" w:cs="宋体"/>
          <w:sz w:val="24"/>
          <w:highlight w:val="none"/>
          <w:lang w:val="en-US" w:eastAsia="zh-CN"/>
        </w:rPr>
        <w:t xml:space="preserve">&lt;20 ppb，Particle &lt;1 pcs @ 0.1um。</w:t>
      </w:r>
      <w:r>
        <w:rPr>
          <w:rFonts w:hint="eastAsia" w:ascii="宋体" w:hAnsi="宋体" w:eastAsia="宋体" w:cs="宋体"/>
          <w:sz w:val="24"/>
          <w:highlight w:val="none"/>
        </w:rPr>
      </w:r>
      <w:r/>
    </w:p>
    <w:p>
      <w:pPr>
        <w:pStyle w:val="1139"/>
        <w:numPr>
          <w:ilvl w:val="0"/>
          <w:numId w:val="14"/>
        </w:numPr>
        <w:contextualSpacing/>
        <w:ind w:left="0" w:firstLine="480"/>
        <w:jc w:val="both"/>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静电接地装置，接地电阻小于等于10欧姆，道线跨接或接地引线采用不锈钢板过渡。厂区管道在管道分岔处、总管每20米处及进车间建筑物处设置接地装置。管道用⌀6mm铜线跨接。</w:t>
      </w:r>
      <w:r>
        <w:rPr>
          <w:rFonts w:hint="eastAsia" w:ascii="宋体" w:hAnsi="宋体" w:eastAsia="宋体" w:cs="宋体"/>
          <w:sz w:val="24"/>
          <w:highlight w:val="none"/>
        </w:rPr>
      </w:r>
      <w:r/>
    </w:p>
    <w:p>
      <w:pPr>
        <w:pStyle w:val="1139"/>
        <w:contextualSpacing/>
        <w:ind w:left="42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（6）尾气要求</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尾气处理及排放标准应符合国家现行环境保护相关法规要求，具体执行标准以本项目环评单位出具的环境影响评价报告为准。如尾气处理及排放达不到标准，中标</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必须免费整改至达标为止。</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（7）气体泄漏侦测及报警系统必须进行系统性现场测试，验证气体探测、声光报警、信号传输及联动控制等功能是否齐全、有效。</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2．中标供应商提供的货物必须符合我国最新颁布的与之相关的技术规范与标准，同时必须满足招标文件中所列规格、具体配置、技术条件及功能要求和承诺的指标。 </w:t>
      </w:r>
      <w:r>
        <w:rPr>
          <w:rFonts w:hint="eastAsia" w:ascii="宋体" w:hAnsi="宋体" w:eastAsia="宋体" w:cs="宋体"/>
          <w:sz w:val="24"/>
          <w:highlight w:val="none"/>
        </w:rPr>
      </w:r>
      <w:r/>
    </w:p>
    <w:p>
      <w:pPr>
        <w:pStyle w:val="1139"/>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根据采购单位验收结果，或者在质量保证期内，如果标的物的数量、质量或规格与合同不符或证实标的物是具有缺陷的，包括潜在缺陷或使用不符合要求的材料等问题时，采购单位应尽快以书面形式通知中标人并提出索赔。 </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4．如中标供应商所供产品与采购要求不符，采购人有权要求中标供应商更换，如更换后产品仍不一致，采购人将不予办理验收程序。</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5.按关于印发《江苏省政府采购履约验收管理办法》的通知（苏财规〔2024〕7号）规定执行。</w:t>
      </w:r>
      <w:r>
        <w:rPr>
          <w:rFonts w:hint="eastAsia" w:ascii="宋体" w:hAnsi="宋体" w:eastAsia="宋体" w:cs="宋体"/>
          <w:sz w:val="24"/>
          <w:highlight w:val="none"/>
        </w:rPr>
      </w:r>
      <w:r/>
    </w:p>
    <w:p>
      <w:pPr>
        <w:pStyle w:val="1139"/>
        <w:contextualSpacing/>
        <w:ind w:left="420"/>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（四）其他</w:t>
      </w:r>
      <w:r>
        <w:rPr>
          <w:rFonts w:hint="eastAsia" w:ascii="宋体" w:hAnsi="宋体" w:eastAsia="宋体" w:cs="宋体"/>
          <w:b/>
          <w:bCs/>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1.本项目涉及的硬件设备及系统由中标供应商负责测试、安装、调试等工作，投标文件中须提供详细的测试、安装、调试方案。</w:t>
      </w:r>
      <w:r>
        <w:rPr>
          <w:rFonts w:hint="eastAsia" w:ascii="宋体" w:hAnsi="宋体" w:eastAsia="宋体" w:cs="宋体"/>
          <w:sz w:val="24"/>
          <w:highlight w:val="none"/>
        </w:rPr>
      </w:r>
      <w:r/>
    </w:p>
    <w:p>
      <w:pPr>
        <w:pStyle w:val="1139"/>
        <w:contextualSpacing/>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供应商应保证本项目设备及系统涉及到的知识产权和软件、技术资料是合法取得，并享有完整的知识产权或合法使用权，不会因为采购人的使用而被责令停止使用、追偿或要求赔偿损失，如出现此情况，一切经济和法律责任均由中标供应商承担。</w:t>
      </w:r>
      <w:r>
        <w:rPr>
          <w:rFonts w:hint="eastAsia" w:ascii="宋体" w:hAnsi="宋体" w:eastAsia="宋体" w:cs="宋体"/>
          <w:sz w:val="24"/>
          <w:highlight w:val="none"/>
        </w:rPr>
      </w:r>
      <w:r/>
    </w:p>
    <w:p>
      <w:pPr>
        <w:pStyle w:val="1139"/>
        <w:contextualSpacing/>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9"/>
        <w:jc w:val="center"/>
        <w:spacing w:line="360" w:lineRule="auto"/>
        <w:rPr>
          <w:rFonts w:hint="eastAsia" w:ascii="宋体" w:hAnsi="宋体" w:eastAsia="宋体" w:cs="宋体"/>
          <w:b/>
          <w:sz w:val="36"/>
          <w:szCs w:val="36"/>
          <w:highlight w:val="none"/>
        </w:rPr>
        <w:outlineLvl w:val="0"/>
      </w:pPr>
      <w:r/>
      <w:bookmarkStart w:id="388" w:name="_Toc4477"/>
      <w:r>
        <w:rPr>
          <w:rFonts w:hint="eastAsia" w:ascii="宋体" w:hAnsi="宋体" w:eastAsia="宋体" w:cs="宋体"/>
          <w:sz w:val="24"/>
          <w:highlight w:val="none"/>
        </w:rPr>
        <w:br w:type="column"/>
      </w:r>
      <w:r>
        <w:rPr>
          <w:rFonts w:hint="eastAsia" w:ascii="宋体" w:hAnsi="宋体" w:eastAsia="宋体" w:cs="宋体"/>
          <w:b/>
          <w:sz w:val="36"/>
          <w:szCs w:val="36"/>
          <w:highlight w:val="none"/>
        </w:rPr>
        <w:t xml:space="preserve">第六章   拟签订的合同文本</w:t>
      </w:r>
      <w:bookmarkEnd w:id="388"/>
      <w:r>
        <w:rPr>
          <w:rFonts w:hint="eastAsia" w:ascii="宋体" w:hAnsi="宋体" w:eastAsia="宋体" w:cs="宋体"/>
          <w:b/>
          <w:sz w:val="36"/>
          <w:szCs w:val="36"/>
          <w:highlight w:val="none"/>
        </w:rPr>
      </w:r>
      <w:r/>
    </w:p>
    <w:p>
      <w:pPr>
        <w:pStyle w:val="1139"/>
        <w:spacing w:line="360" w:lineRule="auto"/>
        <w:tabs>
          <w:tab w:val="left" w:pos="900" w:leader="none"/>
          <w:tab w:val="left" w:pos="1080"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1139"/>
        <w:spacing w:line="520" w:lineRule="exact"/>
        <w:rPr>
          <w:rFonts w:hint="eastAsia" w:ascii="宋体" w:hAnsi="宋体" w:eastAsia="宋体" w:cs="宋体"/>
          <w:sz w:val="24"/>
          <w:highlight w:val="none"/>
        </w:rPr>
      </w:pPr>
      <w:r>
        <w:rPr>
          <w:rFonts w:hint="eastAsia" w:ascii="宋体" w:hAnsi="宋体" w:eastAsia="宋体" w:cs="宋体"/>
          <w:b/>
          <w:sz w:val="24"/>
          <w:highlight w:val="none"/>
        </w:rPr>
        <w:t xml:space="preserve">合同编号：</w:t>
      </w:r>
      <w:r>
        <w:rPr>
          <w:rFonts w:hint="eastAsia" w:ascii="宋体" w:hAnsi="宋体" w:eastAsia="宋体" w:cs="宋体"/>
          <w:sz w:val="24"/>
          <w:highlight w:val="none"/>
          <w:u w:val="single"/>
        </w:rPr>
        <w:t xml:space="preserve">CCZU-CG-HW-      </w:t>
      </w:r>
      <w:r>
        <w:rPr>
          <w:rFonts w:hint="eastAsia" w:ascii="宋体" w:hAnsi="宋体" w:eastAsia="宋体" w:cs="宋体"/>
          <w:sz w:val="24"/>
          <w:highlight w:val="none"/>
        </w:rPr>
        <w:t xml:space="preserve">                           货物类合同</w:t>
      </w:r>
      <w:r>
        <w:rPr>
          <w:rFonts w:hint="eastAsia" w:ascii="宋体" w:hAnsi="宋体" w:eastAsia="宋体" w:cs="宋体"/>
          <w:sz w:val="24"/>
          <w:highlight w:val="none"/>
        </w:rPr>
      </w:r>
      <w:r/>
    </w:p>
    <w:p>
      <w:pPr>
        <w:pStyle w:val="1139"/>
        <w:jc w:val="center"/>
        <w:spacing w:before="120" w:after="12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1139"/>
        <w:jc w:val="center"/>
        <w:spacing w:before="120" w:after="12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常州大学</w:t>
      </w:r>
      <w:r>
        <w:rPr>
          <w:rFonts w:hint="eastAsia" w:ascii="宋体" w:hAnsi="宋体" w:eastAsia="宋体" w:cs="宋体"/>
          <w:b/>
          <w:bCs/>
          <w:sz w:val="30"/>
          <w:szCs w:val="30"/>
          <w:highlight w:val="none"/>
          <w:u w:val="single"/>
        </w:rPr>
        <w:t xml:space="preserve">微纳加工中心气体储存、输运及处理系统采购</w:t>
      </w:r>
      <w:r>
        <w:rPr>
          <w:rFonts w:hint="eastAsia" w:ascii="宋体" w:hAnsi="宋体" w:eastAsia="宋体" w:cs="宋体"/>
          <w:b/>
          <w:sz w:val="30"/>
          <w:szCs w:val="30"/>
          <w:highlight w:val="none"/>
        </w:rPr>
        <w:t xml:space="preserve">合同</w:t>
      </w:r>
      <w:r>
        <w:rPr>
          <w:rFonts w:hint="eastAsia" w:ascii="宋体" w:hAnsi="宋体" w:eastAsia="宋体" w:cs="宋体"/>
          <w:b/>
          <w:sz w:val="30"/>
          <w:szCs w:val="30"/>
          <w:highlight w:val="none"/>
        </w:rPr>
      </w:r>
      <w:r/>
    </w:p>
    <w:p>
      <w:pPr>
        <w:pStyle w:val="1139"/>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常州大学 </w:t>
      </w:r>
      <w:r>
        <w:rPr>
          <w:rFonts w:hint="eastAsia" w:ascii="宋体" w:hAnsi="宋体" w:eastAsia="宋体" w:cs="宋体"/>
          <w:b/>
          <w:sz w:val="24"/>
          <w:highlight w:val="none"/>
          <w:u w:val="single"/>
        </w:rPr>
      </w:r>
      <w:r/>
    </w:p>
    <w:p>
      <w:pPr>
        <w:pStyle w:val="1139"/>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根据《中华人民共和国民法典》等相关法律法规之规定及常州大学</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微纳加工中心气体储存、输运及处理系统采购</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）采购的结果，甲、乙双方签署本合同。</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sz w:val="24"/>
          <w:highlight w:val="none"/>
        </w:rPr>
      </w:pPr>
      <w:r>
        <w:rPr>
          <w:rFonts w:hint="eastAsia" w:ascii="宋体" w:hAnsi="宋体" w:eastAsia="宋体" w:cs="宋体"/>
          <w:b/>
          <w:sz w:val="24"/>
          <w:highlight w:val="none"/>
        </w:rPr>
        <w:t xml:space="preserve">一、货物名称、规格型号、数量及价格</w:t>
      </w:r>
      <w:r>
        <w:rPr>
          <w:rFonts w:hint="eastAsia" w:ascii="宋体" w:hAnsi="宋体" w:eastAsia="宋体" w:cs="宋体"/>
          <w:sz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3144"/>
        <w:gridCol w:w="1051"/>
        <w:gridCol w:w="1473"/>
        <w:gridCol w:w="1365"/>
        <w:gridCol w:w="1493"/>
      </w:tblGrid>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6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货物名称</w:t>
            </w:r>
            <w:r>
              <w:rPr>
                <w:rFonts w:hint="eastAsia" w:ascii="宋体" w:hAnsi="宋体" w:eastAsia="宋体" w:cs="宋体"/>
                <w:sz w:val="24"/>
                <w:highlight w:val="none"/>
              </w:rPr>
            </w:r>
            <w:r/>
          </w:p>
        </w:tc>
        <w:tc>
          <w:tcPr>
            <w:tcW w:w="56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W w:w="7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品牌/型号</w:t>
            </w:r>
            <w:r>
              <w:rPr>
                <w:rFonts w:hint="eastAsia" w:ascii="宋体" w:hAnsi="宋体" w:eastAsia="宋体" w:cs="宋体"/>
                <w:sz w:val="24"/>
                <w:highlight w:val="none"/>
              </w:rPr>
            </w:r>
            <w:r/>
          </w:p>
        </w:tc>
        <w:tc>
          <w:tcPr>
            <w:tcW w:w="73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单价（元）</w:t>
            </w:r>
            <w:r>
              <w:rPr>
                <w:rFonts w:hint="eastAsia" w:ascii="宋体" w:hAnsi="宋体" w:eastAsia="宋体" w:cs="宋体"/>
                <w:sz w:val="24"/>
                <w:highlight w:val="none"/>
              </w:rPr>
            </w:r>
            <w:r/>
          </w:p>
        </w:tc>
        <w:tc>
          <w:tcPr>
            <w:tcW w:w="80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总价（元）</w:t>
            </w:r>
            <w:r>
              <w:rPr>
                <w:rFonts w:hint="eastAsia" w:ascii="宋体" w:hAnsi="宋体" w:eastAsia="宋体" w:cs="宋体"/>
                <w:sz w:val="24"/>
                <w:highlight w:val="none"/>
              </w:rPr>
            </w:r>
            <w:r/>
          </w:p>
        </w:tc>
      </w:tr>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6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6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3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80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6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6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3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80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6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6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3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80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16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66"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93"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3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80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408"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gridSpan w:val="5"/>
            <w:tcW w:w="8526" w:type="dxa"/>
            <w:vAlign w:val="center"/>
            <w:textDirection w:val="lrTb"/>
            <w:noWrap w:val="false"/>
          </w:tcPr>
          <w:p>
            <w:pPr>
              <w:pStyle w:val="1139"/>
              <w:jc w:val="both"/>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元</w:t>
            </w:r>
            <w:r>
              <w:rPr>
                <w:rFonts w:hint="eastAsia" w:ascii="宋体" w:hAnsi="宋体" w:eastAsia="宋体" w:cs="宋体"/>
                <w:sz w:val="24"/>
                <w:highlight w:val="none"/>
              </w:rPr>
            </w:r>
            <w:r/>
          </w:p>
          <w:p>
            <w:pPr>
              <w:pStyle w:val="1139"/>
              <w:jc w:val="both"/>
              <w:rPr>
                <w:rFonts w:hint="eastAsia" w:ascii="宋体" w:hAnsi="宋体" w:eastAsia="宋体" w:cs="宋体"/>
                <w:sz w:val="24"/>
                <w:highlight w:val="none"/>
              </w:rPr>
            </w:pP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人民币     元</w:t>
            </w:r>
            <w:r>
              <w:rPr>
                <w:rFonts w:hint="eastAsia" w:ascii="宋体" w:hAnsi="宋体" w:eastAsia="宋体" w:cs="宋体"/>
                <w:sz w:val="24"/>
                <w:highlight w:val="none"/>
              </w:rPr>
            </w:r>
            <w:r/>
          </w:p>
        </w:tc>
      </w:tr>
    </w:tbl>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价款应包含但不限于采购文件及其基本技术要求范围内产品、设计、制造、加工、检验、包装、技术资料、发货、运输、装卸至现场设备基础上、安装、调试、技术指导培训、质保期及维保服务、乙方交纳的各项税款（增值税及</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税费）、政策性文件规定及合同包含的所有风险、责任和采购文件所要求的相关服务等全部内容。所有设备进场后如需临时周转存放、二次搬运，所发生费用均包含在合同价款中，甲方不再支付其他任何费用。</w:t>
      </w:r>
      <w:r>
        <w:rPr>
          <w:rFonts w:hint="eastAsia" w:ascii="宋体" w:hAnsi="宋体" w:eastAsia="宋体" w:cs="宋体"/>
          <w:sz w:val="24"/>
          <w:highlight w:val="none"/>
        </w:rPr>
      </w:r>
      <w:r/>
    </w:p>
    <w:p>
      <w:pPr>
        <w:pStyle w:val="1139"/>
        <w:numPr>
          <w:ilvl w:val="0"/>
          <w:numId w:val="15"/>
        </w:numPr>
        <w:ind w:firstLine="482"/>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组成本合同的其他文件</w:t>
      </w:r>
      <w:r>
        <w:rPr>
          <w:rFonts w:hint="eastAsia" w:ascii="宋体" w:hAnsi="宋体" w:eastAsia="宋体" w:cs="宋体"/>
          <w:b/>
          <w:bCs/>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下列文件为本合同不可分割的部分，并与本合同具有同等法律效力，这些文件包括但不限于：</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highlight w:val="none"/>
        </w:rPr>
        <w:t xml:space="preserve">招标文件及相关资料（项目编号：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（2）乙方投标文件以及在招投标过程中所作出的其他承诺、声明、书面澄清等； </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（3）中标通知书；</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（4）甲、乙双方商定的其他文件等。</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三、质量要求</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3.乙方必须保证所提供的产品能顺利通过相关部门的检测、检验。</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4.乙方所提供的产品应符合招标采购文件的要求和投标/响应等文件的承诺。</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5.乙方应确保所供产品与已经封存的投标样品一致（如有）。</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rPr>
          <w:rFonts w:hint="eastAsia" w:ascii="宋体" w:hAnsi="宋体" w:eastAsia="宋体" w:cs="宋体"/>
          <w:sz w:val="24"/>
          <w:highlight w:val="none"/>
        </w:rPr>
      </w:r>
      <w:r/>
    </w:p>
    <w:p>
      <w:pPr>
        <w:pStyle w:val="1139"/>
        <w:ind w:firstLine="480"/>
        <w:spacing w:line="520" w:lineRule="exact"/>
        <w:tabs>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7.乙方技术参数响应详见合同附表1</w:t>
      </w:r>
      <w:r>
        <w:rPr>
          <w:rFonts w:hint="eastAsia" w:ascii="宋体" w:hAnsi="宋体" w:eastAsia="宋体" w:cs="宋体"/>
          <w:sz w:val="24"/>
          <w:highlight w:val="none"/>
        </w:rPr>
      </w:r>
      <w:r/>
    </w:p>
    <w:p>
      <w:pPr>
        <w:pStyle w:val="1139"/>
        <w:ind w:firstLine="480"/>
        <w:spacing w:line="520" w:lineRule="exact"/>
        <w:tabs>
          <w:tab w:val="left" w:pos="1155" w:leader="none"/>
        </w:tabs>
        <w:rPr>
          <w:rFonts w:hint="eastAsia" w:ascii="宋体" w:hAnsi="宋体" w:eastAsia="宋体" w:cs="宋体"/>
          <w:i/>
          <w:iCs/>
          <w:sz w:val="24"/>
          <w:highlight w:val="none"/>
        </w:rPr>
      </w:pPr>
      <w:r>
        <w:rPr>
          <w:rFonts w:hint="eastAsia" w:ascii="宋体" w:hAnsi="宋体" w:eastAsia="宋体" w:cs="宋体"/>
          <w:sz w:val="24"/>
          <w:highlight w:val="none"/>
        </w:rPr>
        <w:t xml:space="preserve">8.</w:t>
      </w:r>
      <w:r>
        <w:rPr>
          <w:rFonts w:hint="eastAsia" w:ascii="宋体" w:hAnsi="宋体" w:eastAsia="宋体" w:cs="宋体"/>
          <w:i/>
          <w:iCs/>
          <w:sz w:val="24"/>
          <w:highlight w:val="none"/>
        </w:rPr>
        <w:t xml:space="preserve">（其他要求根据产品具体情况补充）</w:t>
      </w:r>
      <w:r>
        <w:rPr>
          <w:rFonts w:hint="eastAsia" w:ascii="宋体" w:hAnsi="宋体" w:eastAsia="宋体" w:cs="宋体"/>
          <w:i/>
          <w:iCs/>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四、交货时间、地点、方式：</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1.交货时间：</w:t>
      </w:r>
      <w:r>
        <w:rPr>
          <w:rFonts w:hint="eastAsia" w:ascii="宋体" w:hAnsi="宋体" w:eastAsia="宋体" w:cs="宋体"/>
          <w:sz w:val="24"/>
          <w:highlight w:val="none"/>
          <w:u w:val="single"/>
        </w:rPr>
        <w:t xml:space="preserve"> 合同签订，接到甲方供货通知后    日历天内供货到甲方指定地点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2.交货地点：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3.交货方式：乙方按合同/甲方通知，如数按时送货至甲方指定地点，并负责卸货。</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4.风险承担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（1）产品毁损、灭失的风险，在该产品通过甲、乙双方交付验收之前由乙方承担，通过验收交付之后由甲方承担。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（2）因产品质量问题甲方拒收的，风险由乙方承担。</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五、验收</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1.产品送达指定地点后，经安装调试完毕，由甲方负责组织验收，甲方有权邀请国家认可的质量、技术检测机构和社会监督人参与验收。</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2.验收标准：按照、国家或行业相关标准、合同/招标采购文件的要求、投标/响应文件承诺、已封存的样品（如有）逐条验收。</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3.其他验收要求：</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（1）乙方须将产品完整、详细的技术资料和说明文件、产品合格证、质保书随同产品一并送达甲方指定地点，否则甲方有权拒绝收货，由此延误工期而造成的所有损失由乙方全部承担。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（2）按样品（如有）、合同、招标采购文件、投标/响应文件承诺及供货清单对照验收，甲方有权根据供货情况临时抽取部分产品送交有资质的第三方检测机构进行检测。乙方应按合同要求提供相关资料。</w:t>
      </w:r>
      <w:r>
        <w:rPr>
          <w:rFonts w:hint="eastAsia" w:ascii="宋体" w:hAnsi="宋体" w:eastAsia="宋体" w:cs="宋体"/>
          <w:sz w:val="24"/>
          <w:highlight w:val="none"/>
        </w:rPr>
      </w:r>
      <w:r/>
    </w:p>
    <w:p>
      <w:pPr>
        <w:pStyle w:val="1139"/>
        <w:ind w:firstLine="480"/>
        <w:spacing w:line="520" w:lineRule="exact"/>
        <w:tabs>
          <w:tab w:val="left" w:pos="570" w:leader="none"/>
        </w:tabs>
        <w:rPr>
          <w:rFonts w:hint="eastAsia" w:ascii="宋体" w:hAnsi="宋体" w:eastAsia="宋体" w:cs="宋体"/>
          <w:sz w:val="24"/>
          <w:highlight w:val="none"/>
        </w:rPr>
      </w:pPr>
      <w:r>
        <w:rPr>
          <w:rFonts w:hint="eastAsia" w:ascii="宋体" w:hAnsi="宋体" w:eastAsia="宋体" w:cs="宋体"/>
          <w:sz w:val="24"/>
          <w:highlight w:val="none"/>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六、付款方式</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1.货款结算</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（1）按实际供货数量结算货款，结算单价执行合同综合单价。</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（2）当要求供货的数量超过合同数量时，乙方应主动与甲方联系，得到甲方书面确认后方能继续供货。</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2.货款支付方式</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（1）合同签订前，乙方以银行基本账户方式支付甲方履约保证金（合同金额的10%），履约保证金在项目验收合格一年后退还给乙方(无息)； </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如乙方不能履约，甲方有权不予退还履约保证金。</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履约保证金汇款信息：</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开户单位：常州大学</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开户行：建行常州市白云支行</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银行账号：32001628036051219286</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备注：“常州大学微纳加工中心气体储存、输运及处理系统采购项目履约保证金” </w:t>
      </w:r>
      <w:r>
        <w:rPr>
          <w:rFonts w:hint="eastAsia" w:ascii="宋体" w:hAnsi="宋体" w:eastAsia="宋体" w:cs="宋体"/>
          <w:bCs/>
          <w:sz w:val="24"/>
          <w:highlight w:val="none"/>
        </w:rPr>
      </w:r>
      <w:r/>
    </w:p>
    <w:p>
      <w:pPr>
        <w:pStyle w:val="1139"/>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（2）安装调试验收合格后，乙方开据合同总价100%的增值税专用发票给甲方，甲方凭发票支付相应款项。</w:t>
      </w:r>
      <w:r>
        <w:rPr>
          <w:rFonts w:hint="eastAsia" w:ascii="宋体" w:hAnsi="宋体" w:eastAsia="宋体" w:cs="宋体"/>
          <w:bCs/>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七、售后服务</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1.乙方所提供产品的质量保证期限为</w:t>
      </w:r>
      <w:r>
        <w:rPr>
          <w:rFonts w:hint="eastAsia" w:ascii="宋体" w:hAnsi="宋体" w:eastAsia="宋体" w:cs="宋体"/>
          <w:sz w:val="24"/>
          <w:highlight w:val="none"/>
          <w:u w:val="single"/>
        </w:rPr>
        <w:t xml:space="preserve"> </w:t>
      </w:r>
      <w:r>
        <w:rPr>
          <w:rFonts w:hint="eastAsia" w:ascii="宋体" w:hAnsi="宋体" w:eastAsia="宋体" w:cs="宋体"/>
          <w:i/>
          <w:iCs/>
          <w:sz w:val="24"/>
          <w:highlight w:val="none"/>
          <w:u w:val="single"/>
        </w:rPr>
        <w:t xml:space="preserve">（按照乙方响应时间） </w:t>
      </w:r>
      <w:r>
        <w:rPr>
          <w:rFonts w:hint="eastAsia" w:ascii="宋体" w:hAnsi="宋体" w:eastAsia="宋体" w:cs="宋体"/>
          <w:sz w:val="24"/>
          <w:highlight w:val="none"/>
        </w:rPr>
        <w:t xml:space="preserve">年，自本合同产品全部安装完成并验收合格经甲方相关负责人签字之日起计算。</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2.在质量保证期内，若发生因产品设计、生产制造等原因而造成的产品质量问题，乙方承担一切责任。</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3.在质量保证期内乙方应自行处理保修凭证问题，甲方不负责提供产品的保修卡、发票等保修凭证，乙方不得以甲方无法提供保修凭证为由拒绝提供售后服务。</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4.售后跟踪服务：电话和E-MAIL技术支持，疑难问题电话支持。出现新情况，乙方需及时提供预警和解决方案。</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乙方应为甲方提供免费培训服务，并指派专人负责与甲方联系售后服务事宜。主要培训内容为产品的基本结构、性能、主要部件的构造及处理，日常使用操作、保养与管理、常见故障的排除、紧急情况的处理等。</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6.乙方提供技术服务热线，7*24小时响应用户突发事件。</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7.对重大技术问题提供现场技术支持，货物若出现问题4小时内响应，24小时内派技术人员到现场维修，并在72小时内完成用户方提出的维修要求，不得借故推托而不到现场；备品及备件需能及时提供，如不能提供同种规格型号的配件，用其他升级型号配件代替时，需经甲方同意，且不补差价。否则甲方将自行采取必要的措施，由此产生的风险和费用由乙方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8.在质量保证期内，若未能在上述规定时间内修复好产品，则提供免费备机服务。</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9.在质量保证期内更换的任何配件，须为原设备厂家生产的；并且保证替代的零配件是新的未使用过和未经修复的。</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10.提供的产品若有设计缺陷，应主动召回。</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11.在质量保证期内，乙方应提供每年度技术巡检服务，巡检内容包括但不限于对设备使用状况的调查、升级软件、设备养护、设备除尘，故障预防等工作。并向甲方提供书面巡检记录以及巡检报告。</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12.软件免费维护和升级服务的内容，乙方可根据自身情况，提供相应的软件服务方案。</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13.损坏的信息存储介质归甲方所有，乙方不得收回。</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八、违约条款</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1.甲方未按合同约定期限向乙方按时足额支付货款的，视为违约，每逾期一天，甲方应向乙方支付拖欠货款总额的5‰违约金，但累计违约金总额不超过欠款总额的5% 。</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3.甲方无正当理由拒收货物、拒付货款的，甲方应向乙方支付合同总价的5%违约金。</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4.无论乙方因何种原因不能交付货物的，乙方应向甲方支付合同总价５％的违约金。</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5.乙方所交付的货物品种、型号、规格不符合合同约定的，甲方有权拒收，同时有权向乙方主张合同总额5%的违约金。</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7.乙方未按本合同约定的服务承诺提供服务的，视为违约，甲方有权寻找第三方解决，因此产生的所有费用全部由乙方承担，且甲方有权每次向乙方主张合同总价款1%的违约金。</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九、合同的变更和终止</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本合同一经签订，甲、乙双方不得擅自变更、中止或终止合同。</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十、合同的转让</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乙方不得擅自部分或全部转让其应履行的合同义务，否则，甲方有权立即解除合同，并有权要求乙方支付合同总额5%的违约金。</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十一、争议解决</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1.因产品质量问题发生争议的，应当邀请双方认可的第三方质量检测机构对产品质量进行鉴定，鉴定费由乙方承担。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i/>
          <w:sz w:val="24"/>
          <w:highlight w:val="none"/>
        </w:rPr>
      </w:pPr>
      <w:r>
        <w:rPr>
          <w:rFonts w:hint="eastAsia" w:ascii="宋体" w:hAnsi="宋体" w:eastAsia="宋体" w:cs="宋体"/>
          <w:sz w:val="24"/>
          <w:highlight w:val="none"/>
        </w:rPr>
        <w:t xml:space="preserve">2.因履行本合同引起的或与本合同有关的争议，甲、乙双方应当通过友好协商解决，如果协商不能解决争议的，</w:t>
      </w:r>
      <w:r>
        <w:rPr>
          <w:rFonts w:hint="eastAsia" w:ascii="宋体" w:hAnsi="宋体" w:eastAsia="宋体" w:cs="宋体"/>
          <w:iCs/>
          <w:sz w:val="24"/>
          <w:highlight w:val="none"/>
        </w:rPr>
        <w:t xml:space="preserve">则采取以下第</w:t>
      </w:r>
      <w:r>
        <w:rPr>
          <w:rFonts w:hint="eastAsia" w:ascii="宋体" w:hAnsi="宋体" w:eastAsia="宋体" w:cs="宋体"/>
          <w:iCs/>
          <w:sz w:val="24"/>
          <w:highlight w:val="none"/>
          <w:u w:val="single"/>
        </w:rPr>
        <w:t xml:space="preserve">（2）</w:t>
      </w:r>
      <w:r>
        <w:rPr>
          <w:rFonts w:hint="eastAsia" w:ascii="宋体" w:hAnsi="宋体" w:eastAsia="宋体" w:cs="宋体"/>
          <w:iCs/>
          <w:sz w:val="24"/>
          <w:highlight w:val="none"/>
        </w:rPr>
        <w:t xml:space="preserve">种方式解决争议：</w:t>
      </w:r>
      <w:r>
        <w:rPr>
          <w:rFonts w:hint="eastAsia" w:ascii="宋体" w:hAnsi="宋体" w:eastAsia="宋体" w:cs="宋体"/>
          <w:i/>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（1）向甲方所在地有管辖权的地方人民法院提起诉讼；</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（2）向常州仲裁委员会按其仲裁规则申请仲裁。</w:t>
      </w:r>
      <w:r>
        <w:rPr>
          <w:rFonts w:hint="eastAsia" w:ascii="宋体" w:hAnsi="宋体" w:eastAsia="宋体" w:cs="宋体"/>
          <w:sz w:val="24"/>
          <w:highlight w:val="none"/>
        </w:rPr>
      </w:r>
      <w:r/>
    </w:p>
    <w:p>
      <w:pPr>
        <w:pStyle w:val="1139"/>
        <w:ind w:firstLine="482"/>
        <w:spacing w:line="5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十二、合同生效及其他</w:t>
      </w:r>
      <w:r>
        <w:rPr>
          <w:rFonts w:hint="eastAsia" w:ascii="宋体" w:hAnsi="宋体" w:eastAsia="宋体" w:cs="宋体"/>
          <w:b/>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1.本合同经甲、乙双方法定（授权）代表签字和单位盖章后生效</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自双方各自履行完成合同中约定的义务后，本合同自然失效。</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2.合同生效后，不论市场产品原材料价格如何波动，任何一方都不得要求调整合同单价。</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4.知识产权</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4.1 乙方对其所供的产品承担所有权担保责任，并保证其向甲方提供的服务及产品未侵犯任何第三方的专利权、著作权、商标权及其他合法权利。</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i/>
          <w:sz w:val="24"/>
          <w:highlight w:val="none"/>
        </w:rPr>
      </w:pPr>
      <w:r>
        <w:rPr>
          <w:rFonts w:hint="eastAsia" w:ascii="宋体" w:hAnsi="宋体" w:eastAsia="宋体" w:cs="宋体"/>
          <w:sz w:val="24"/>
          <w:highlight w:val="none"/>
        </w:rPr>
        <w:t xml:space="preserve">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宋体" w:hAnsi="宋体" w:eastAsia="宋体" w:cs="宋体"/>
          <w:i/>
          <w:sz w:val="24"/>
          <w:highlight w:val="none"/>
        </w:rPr>
        <w:t xml:space="preserve"> </w:t>
      </w:r>
      <w:r>
        <w:rPr>
          <w:rFonts w:hint="eastAsia" w:ascii="宋体" w:hAnsi="宋体" w:eastAsia="宋体" w:cs="宋体"/>
          <w:i/>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5.本项目的招标采购文件、投标/响应文件等文件作为本合同的附件，如与本合同有矛盾的，则以本合同为准；本合同未约定的，则按照招标采购文件要求和投标/响应文件等承诺执行。</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6.本合同中的未尽事宜，双方协商解决，并按《中华人民共和国民法典》调整。</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7.本合同一式</w:t>
      </w:r>
      <w:r>
        <w:rPr>
          <w:rFonts w:hint="eastAsia" w:ascii="宋体" w:hAnsi="宋体" w:eastAsia="宋体" w:cs="宋体"/>
          <w:sz w:val="24"/>
          <w:highlight w:val="none"/>
          <w:u w:val="single"/>
        </w:rPr>
        <w:t xml:space="preserve">伍</w:t>
      </w:r>
      <w:r>
        <w:rPr>
          <w:rFonts w:hint="eastAsia" w:ascii="宋体" w:hAnsi="宋体" w:eastAsia="宋体" w:cs="宋体"/>
          <w:sz w:val="24"/>
          <w:highlight w:val="none"/>
        </w:rPr>
        <w:t xml:space="preserve">份，甲方执</w:t>
      </w:r>
      <w:r>
        <w:rPr>
          <w:rFonts w:hint="eastAsia" w:ascii="宋体" w:hAnsi="宋体" w:eastAsia="宋体" w:cs="宋体"/>
          <w:sz w:val="24"/>
          <w:highlight w:val="none"/>
          <w:u w:val="single"/>
        </w:rPr>
        <w:t xml:space="preserve">肆</w:t>
      </w:r>
      <w:r>
        <w:rPr>
          <w:rFonts w:hint="eastAsia" w:ascii="宋体" w:hAnsi="宋体" w:eastAsia="宋体" w:cs="宋体"/>
          <w:sz w:val="24"/>
          <w:highlight w:val="none"/>
        </w:rPr>
        <w:t xml:space="preserve">份，乙方执</w:t>
      </w:r>
      <w:r>
        <w:rPr>
          <w:rFonts w:hint="eastAsia" w:ascii="宋体" w:hAnsi="宋体" w:eastAsia="宋体" w:cs="宋体"/>
          <w:sz w:val="24"/>
          <w:highlight w:val="none"/>
          <w:u w:val="single"/>
        </w:rPr>
        <w:t xml:space="preserve">壹</w:t>
      </w:r>
      <w:r>
        <w:rPr>
          <w:rFonts w:hint="eastAsia" w:ascii="宋体" w:hAnsi="宋体" w:eastAsia="宋体" w:cs="宋体"/>
          <w:sz w:val="24"/>
          <w:highlight w:val="none"/>
        </w:rPr>
        <w:t xml:space="preserve">份。具有同等法律效力。</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甲方（盖章）：</w:t>
      </w:r>
      <w:r>
        <w:rPr>
          <w:rFonts w:hint="eastAsia" w:ascii="宋体" w:hAnsi="宋体" w:eastAsia="宋体" w:cs="宋体"/>
          <w:sz w:val="24"/>
          <w:highlight w:val="none"/>
          <w:u w:val="single"/>
        </w:rPr>
        <w:t xml:space="preserve">     常州大学    </w:t>
      </w:r>
      <w:r>
        <w:rPr>
          <w:rFonts w:hint="eastAsia" w:ascii="宋体" w:hAnsi="宋体" w:eastAsia="宋体" w:cs="宋体"/>
          <w:sz w:val="24"/>
          <w:highlight w:val="none"/>
        </w:rPr>
        <w:t xml:space="preserve">    乙方（盖章）：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法定（授权）代表人（签字）：         法定（授权）代表人（签字）：</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开 户 银 行：</w:t>
      </w:r>
      <w:r>
        <w:rPr>
          <w:rFonts w:hint="eastAsia" w:ascii="宋体" w:hAnsi="宋体" w:eastAsia="宋体" w:cs="宋体"/>
          <w:sz w:val="24"/>
          <w:highlight w:val="none"/>
          <w:u w:val="single"/>
        </w:rPr>
        <w:t xml:space="preserve"> 建行常州白云支行 </w:t>
      </w:r>
      <w:r>
        <w:rPr>
          <w:rFonts w:hint="eastAsia" w:ascii="宋体" w:hAnsi="宋体" w:eastAsia="宋体" w:cs="宋体"/>
          <w:sz w:val="24"/>
          <w:highlight w:val="none"/>
        </w:rPr>
        <w:t xml:space="preserve">    开 户 银 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账       号：</w:t>
      </w:r>
      <w:r>
        <w:rPr>
          <w:rFonts w:hint="eastAsia" w:ascii="宋体" w:hAnsi="宋体" w:eastAsia="宋体" w:cs="宋体"/>
          <w:sz w:val="24"/>
          <w:highlight w:val="none"/>
          <w:u w:val="single"/>
        </w:rPr>
        <w:t xml:space="preserve">32001628036051219286</w:t>
      </w:r>
      <w:r>
        <w:rPr>
          <w:rFonts w:hint="eastAsia" w:ascii="宋体" w:hAnsi="宋体" w:eastAsia="宋体" w:cs="宋体"/>
          <w:sz w:val="24"/>
          <w:highlight w:val="none"/>
        </w:rPr>
        <w:t xml:space="preserve">  账       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签 订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sz w:val="24"/>
          <w:highlight w:val="non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签 订 地 点：</w:t>
      </w:r>
      <w:r>
        <w:rPr>
          <w:rFonts w:hint="eastAsia" w:ascii="宋体" w:hAnsi="宋体" w:eastAsia="宋体" w:cs="宋体"/>
          <w:sz w:val="24"/>
          <w:highlight w:val="none"/>
          <w:u w:val="single"/>
        </w:rPr>
        <w:t xml:space="preserve">江苏省常州市</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采购代理机构</w:t>
      </w:r>
      <w:r>
        <w:rPr>
          <w:rFonts w:hint="eastAsia" w:ascii="宋体" w:hAnsi="宋体" w:eastAsia="宋体" w:cs="宋体"/>
          <w:sz w:val="24"/>
          <w:highlight w:val="none"/>
          <w:u w:val="single"/>
        </w:rPr>
      </w:r>
      <w:r/>
    </w:p>
    <w:p>
      <w:pPr>
        <w:pStyle w:val="1139"/>
        <w:ind w:firstLine="480"/>
        <w:spacing w:line="520" w:lineRule="exact"/>
        <w:rPr>
          <w:rFonts w:hint="eastAsia" w:ascii="宋体" w:hAnsi="宋体" w:eastAsia="宋体" w:cs="宋体"/>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附表：</w:t>
      </w:r>
      <w:r>
        <w:rPr>
          <w:rFonts w:hint="eastAsia" w:ascii="宋体" w:hAnsi="宋体" w:eastAsia="宋体" w:cs="宋体"/>
          <w:sz w:val="24"/>
          <w:highlight w:val="none"/>
          <w:u w:val="single"/>
        </w:rPr>
        <w:t xml:space="preserve">技术响应参数表</w:t>
      </w:r>
      <w:r>
        <w:rPr>
          <w:rFonts w:hint="eastAsia" w:ascii="宋体" w:hAnsi="宋体" w:eastAsia="宋体" w:cs="宋体"/>
          <w:highlight w:val="none"/>
        </w:rPr>
      </w:r>
      <w:r/>
    </w:p>
    <w:p>
      <w:pPr>
        <w:pStyle w:val="1139"/>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br w:type="page" w:clear="all"/>
      </w:r>
      <w:bookmarkStart w:id="389" w:name="_Toc10271"/>
      <w:r>
        <w:rPr>
          <w:rFonts w:hint="eastAsia" w:ascii="宋体" w:hAnsi="宋体" w:eastAsia="宋体" w:cs="宋体"/>
          <w:b/>
          <w:sz w:val="36"/>
          <w:szCs w:val="36"/>
          <w:highlight w:val="none"/>
        </w:rPr>
        <w:t xml:space="preserve">第七章   投标文件格式</w:t>
      </w:r>
      <w:bookmarkEnd w:id="389"/>
      <w:r>
        <w:rPr>
          <w:rFonts w:hint="eastAsia" w:ascii="宋体" w:hAnsi="宋体" w:eastAsia="宋体" w:cs="宋体"/>
          <w:b/>
          <w:sz w:val="36"/>
          <w:szCs w:val="36"/>
          <w:highlight w:val="none"/>
        </w:rPr>
      </w:r>
      <w:r/>
    </w:p>
    <w:p>
      <w:pPr>
        <w:pStyle w:val="1139"/>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pStyle w:val="1139"/>
        <w:ind w:left="142"/>
        <w:spacing w:line="400" w:lineRule="exact"/>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rPr>
          <w:rFonts w:hint="eastAsia" w:ascii="宋体" w:hAnsi="宋体" w:eastAsia="宋体" w:cs="宋体"/>
          <w:sz w:val="24"/>
          <w:highlight w:val="none"/>
        </w:rPr>
      </w:r>
      <w:r/>
    </w:p>
    <w:p>
      <w:pPr>
        <w:pStyle w:val="1139"/>
        <w:ind w:left="142"/>
        <w:spacing w:line="400" w:lineRule="exact"/>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sz w:val="24"/>
          <w:highlight w:val="none"/>
        </w:rPr>
      </w:r>
      <w:r/>
    </w:p>
    <w:p>
      <w:pPr>
        <w:pStyle w:val="1139"/>
        <w:ind w:left="142"/>
        <w:spacing w:line="400" w:lineRule="exact"/>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对于招标文件中标记了“实质性格式”文件的，</w:t>
      </w:r>
      <w:r>
        <w:rPr>
          <w:rFonts w:hint="eastAsia" w:ascii="宋体" w:hAnsi="宋体" w:eastAsia="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rPr>
          <w:rFonts w:hint="eastAsia" w:ascii="宋体" w:hAnsi="宋体" w:eastAsia="宋体" w:cs="宋体"/>
          <w:sz w:val="24"/>
          <w:highlight w:val="none"/>
        </w:rPr>
      </w:r>
      <w:r/>
    </w:p>
    <w:p>
      <w:pPr>
        <w:pStyle w:val="1139"/>
        <w:ind w:left="142"/>
        <w:spacing w:line="400" w:lineRule="exact"/>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rPr>
          <w:rFonts w:hint="eastAsia" w:ascii="宋体" w:hAnsi="宋体" w:eastAsia="宋体" w:cs="宋体"/>
          <w:sz w:val="24"/>
          <w:highlight w:val="none"/>
        </w:rPr>
      </w:r>
      <w:r/>
    </w:p>
    <w:p>
      <w:pPr>
        <w:pStyle w:val="1139"/>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1139"/>
        <w:jc w:val="left"/>
        <w:keepLines/>
        <w:keepNext/>
        <w:spacing w:before="120" w:line="300" w:lineRule="auto"/>
        <w:rPr>
          <w:rFonts w:hint="eastAsia" w:ascii="宋体" w:hAnsi="宋体" w:eastAsia="宋体" w:cs="宋体"/>
          <w:b/>
          <w:sz w:val="30"/>
          <w:szCs w:val="20"/>
          <w:highlight w:val="none"/>
        </w:rPr>
        <w:outlineLvl w:val="1"/>
      </w:pPr>
      <w:r/>
      <w:bookmarkEnd w:id="337"/>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eastAsia="宋体" w:cs="宋体"/>
          <w:b/>
          <w:spacing w:val="20"/>
          <w:sz w:val="24"/>
          <w:highlight w:val="none"/>
        </w:rPr>
        <w:t xml:space="preserve">一、资格证明文件格式</w:t>
      </w:r>
      <w:r>
        <w:rPr>
          <w:rFonts w:hint="eastAsia" w:ascii="宋体" w:hAnsi="宋体" w:eastAsia="宋体" w:cs="宋体"/>
          <w:b/>
          <w:sz w:val="30"/>
          <w:szCs w:val="20"/>
          <w:highlight w:val="none"/>
        </w:rPr>
      </w:r>
      <w:r/>
    </w:p>
    <w:p>
      <w:pPr>
        <w:pStyle w:val="1139"/>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pStyle w:val="1139"/>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rPr>
          <w:rFonts w:hint="eastAsia" w:ascii="宋体" w:hAnsi="宋体" w:eastAsia="宋体" w:cs="宋体"/>
          <w:b/>
          <w:sz w:val="24"/>
          <w:highlight w:val="none"/>
        </w:rPr>
      </w:r>
      <w:r/>
    </w:p>
    <w:p>
      <w:pPr>
        <w:pStyle w:val="1139"/>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1139"/>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rPr>
          <w:rFonts w:hint="eastAsia" w:ascii="宋体" w:hAnsi="宋体" w:eastAsia="宋体" w:cs="宋体"/>
          <w:b/>
          <w:spacing w:val="60"/>
          <w:sz w:val="84"/>
          <w:szCs w:val="84"/>
          <w:highlight w:val="none"/>
        </w:rPr>
      </w:r>
      <w:r/>
    </w:p>
    <w:p>
      <w:pPr>
        <w:pStyle w:val="1139"/>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pStyle w:val="1139"/>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pStyle w:val="1139"/>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pStyle w:val="1139"/>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pStyle w:val="1139"/>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rPr>
      </w:r>
      <w:r/>
    </w:p>
    <w:p>
      <w:pPr>
        <w:pStyle w:val="1139"/>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rPr>
      </w:r>
      <w:r/>
    </w:p>
    <w:p>
      <w:pPr>
        <w:pStyle w:val="1139"/>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投标人名称：</w:t>
      </w:r>
      <w:r>
        <w:rPr>
          <w:rFonts w:hint="eastAsia" w:ascii="宋体" w:hAnsi="宋体" w:eastAsia="宋体" w:cs="宋体"/>
          <w:b/>
          <w:sz w:val="36"/>
          <w:highlight w:val="none"/>
        </w:rPr>
      </w:r>
      <w:r/>
    </w:p>
    <w:p>
      <w:pPr>
        <w:pStyle w:val="1139"/>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日       期：</w:t>
      </w:r>
      <w:r>
        <w:rPr>
          <w:rFonts w:hint="eastAsia" w:ascii="宋体" w:hAnsi="宋体" w:eastAsia="宋体" w:cs="宋体"/>
          <w:b/>
          <w:sz w:val="36"/>
          <w:highlight w:val="none"/>
        </w:rPr>
      </w:r>
      <w:r/>
    </w:p>
    <w:p>
      <w:pPr>
        <w:pStyle w:val="1139"/>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39"/>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rPr>
          <w:rFonts w:hint="eastAsia" w:ascii="宋体" w:hAnsi="宋体" w:eastAsia="宋体" w:cs="宋体"/>
          <w:b/>
          <w:sz w:val="36"/>
          <w:szCs w:val="36"/>
          <w:highlight w:val="none"/>
        </w:rPr>
        <w:t xml:space="preserve">一、资格证明文件</w:t>
      </w:r>
      <w:r>
        <w:rPr>
          <w:rFonts w:hint="eastAsia" w:ascii="宋体" w:hAnsi="宋体" w:eastAsia="宋体" w:cs="宋体"/>
          <w:b/>
          <w:sz w:val="32"/>
          <w:szCs w:val="32"/>
          <w:highlight w:val="none"/>
        </w:rPr>
      </w:r>
      <w:r/>
    </w:p>
    <w:p>
      <w:pPr>
        <w:pStyle w:val="1139"/>
        <w:rPr>
          <w:rFonts w:hint="eastAsia" w:ascii="宋体" w:hAnsi="宋体" w:eastAsia="宋体" w:cs="宋体"/>
          <w:b/>
          <w:highlight w:val="none"/>
        </w:rPr>
      </w:pPr>
      <w:r>
        <w:rPr>
          <w:rFonts w:hint="eastAsia" w:ascii="宋体" w:hAnsi="宋体" w:eastAsia="宋体" w:cs="宋体"/>
          <w:b/>
          <w:highlight w:val="none"/>
        </w:rPr>
      </w:r>
      <w:r/>
    </w:p>
    <w:p>
      <w:pPr>
        <w:pStyle w:val="1139"/>
        <w:spacing w:line="400" w:lineRule="exact"/>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sz w:val="24"/>
          <w:highlight w:val="none"/>
        </w:rPr>
        <w:t xml:space="preserve">满足《中华人民共和国政府采购法》第二十二条规定及法律法规的其他规定</w:t>
      </w:r>
      <w:r>
        <w:rPr>
          <w:rFonts w:hint="eastAsia" w:ascii="宋体" w:hAnsi="宋体" w:eastAsia="宋体" w:cs="宋体"/>
          <w:color w:val="000000"/>
          <w:sz w:val="24"/>
          <w:szCs w:val="20"/>
          <w:highlight w:val="none"/>
        </w:rPr>
      </w:r>
      <w:r/>
    </w:p>
    <w:p>
      <w:pPr>
        <w:pStyle w:val="1142"/>
        <w:spacing w:before="0" w:after="0" w:line="400" w:lineRule="exact"/>
        <w:rPr>
          <w:rFonts w:hint="eastAsia" w:ascii="宋体" w:hAnsi="宋体" w:eastAsia="宋体" w:cs="宋体"/>
          <w:b w:val="0"/>
          <w:bCs/>
          <w:color w:val="000000"/>
          <w:highlight w:val="none"/>
          <w:u w:val="none"/>
        </w:rPr>
      </w:pPr>
      <w:r>
        <w:rPr>
          <w:rFonts w:hint="eastAsia" w:ascii="宋体" w:hAnsi="宋体" w:eastAsia="宋体" w:cs="宋体"/>
          <w:b w:val="0"/>
          <w:color w:val="000000"/>
          <w:highlight w:val="none"/>
          <w:u w:val="none"/>
        </w:rPr>
        <w:t xml:space="preserve">1-1 投标人资格声明函（实质性格式）</w:t>
      </w:r>
      <w:r>
        <w:rPr>
          <w:rFonts w:hint="eastAsia" w:ascii="宋体" w:hAnsi="宋体" w:eastAsia="宋体" w:cs="宋体"/>
          <w:b w:val="0"/>
          <w:bCs/>
          <w:color w:val="000000"/>
          <w:highlight w:val="none"/>
          <w:u w:val="none"/>
        </w:rPr>
      </w:r>
      <w:r/>
    </w:p>
    <w:p>
      <w:pPr>
        <w:pStyle w:val="1139"/>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139"/>
        <w:jc w:val="center"/>
        <w:spacing w:before="120" w:line="360" w:lineRule="auto"/>
        <w:widowControl/>
        <w:rPr>
          <w:rFonts w:hint="eastAsia" w:ascii="宋体" w:hAnsi="宋体" w:eastAsia="宋体" w:cs="宋体"/>
          <w:sz w:val="36"/>
          <w:szCs w:val="36"/>
          <w:highlight w:val="none"/>
        </w:rPr>
      </w:pPr>
      <w:r>
        <w:rPr>
          <w:rFonts w:hint="eastAsia" w:ascii="宋体" w:hAnsi="宋体" w:eastAsia="宋体" w:cs="宋体"/>
          <w:b/>
          <w:sz w:val="36"/>
          <w:szCs w:val="36"/>
          <w:highlight w:val="none"/>
        </w:rPr>
        <w:t xml:space="preserve">投标人资格声明函</w:t>
      </w:r>
      <w:r>
        <w:rPr>
          <w:rFonts w:hint="eastAsia" w:ascii="宋体" w:hAnsi="宋体" w:eastAsia="宋体" w:cs="宋体"/>
          <w:sz w:val="36"/>
          <w:szCs w:val="36"/>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t xml:space="preserve">致：常州润邦招标代理有限公司</w:t>
      </w:r>
      <w:r>
        <w:rPr>
          <w:rFonts w:hint="eastAsia" w:ascii="宋体" w:hAnsi="宋体" w:eastAsia="宋体" w:cs="宋体"/>
          <w:highlight w:val="none"/>
        </w:rPr>
      </w:r>
      <w:r/>
    </w:p>
    <w:p>
      <w:pPr>
        <w:pStyle w:val="1161"/>
        <w:ind w:firstLine="960"/>
        <w:spacing w:line="400" w:lineRule="exact"/>
        <w:rPr>
          <w:rFonts w:hint="eastAsia" w:ascii="宋体" w:hAnsi="宋体" w:eastAsia="宋体" w:cs="宋体"/>
          <w:highlight w:val="none"/>
          <w:u w:val="single"/>
        </w:rPr>
      </w:pPr>
      <w:r>
        <w:rPr>
          <w:rFonts w:hint="eastAsia" w:ascii="宋体" w:hAnsi="宋体" w:eastAsia="宋体" w:cs="宋体"/>
          <w:highlight w:val="none"/>
          <w:u w:val="single"/>
        </w:rPr>
        <w:t xml:space="preserve">（采购人名称）</w:t>
      </w:r>
      <w:r>
        <w:rPr>
          <w:rFonts w:hint="eastAsia" w:ascii="宋体" w:hAnsi="宋体" w:eastAsia="宋体" w:cs="宋体"/>
          <w:highlight w:val="none"/>
          <w:u w:val="singl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w:t>
      </w:r>
      <w:r>
        <w:rPr>
          <w:rFonts w:hint="eastAsia" w:ascii="宋体" w:hAnsi="宋体" w:eastAsia="宋体" w:cs="宋体"/>
          <w:b/>
          <w:highlight w:val="none"/>
        </w:rPr>
        <w:t xml:space="preserve">（如属于分公司经总公司授权参与项目，由总公司承担民事责任的，需提供总公司项目授权书）</w:t>
      </w:r>
      <w:r>
        <w:rPr>
          <w:rFonts w:hint="eastAsia" w:ascii="宋体" w:hAnsi="宋体" w:eastAsia="宋体" w:cs="宋体"/>
          <w:highlight w:val="none"/>
        </w:rPr>
        <w:t xml:space="preserve">。</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八、我单位不属于为本项目提供整体设计、规范编制或者项目管理、监理、检测等服务的投标人。</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rPr>
          <w:rFonts w:hint="eastAsia" w:ascii="宋体" w:hAnsi="宋体" w:eastAsia="宋体" w:cs="宋体"/>
          <w:highlight w:val="none"/>
        </w:rPr>
      </w:r>
      <w:r/>
    </w:p>
    <w:p>
      <w:pPr>
        <w:pStyle w:val="1161"/>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rPr>
          <w:rFonts w:hint="eastAsia" w:ascii="宋体" w:hAnsi="宋体" w:eastAsia="宋体" w:cs="宋体"/>
          <w:highlight w:val="none"/>
        </w:rPr>
      </w:r>
      <w:r/>
    </w:p>
    <w:p>
      <w:pPr>
        <w:pStyle w:val="1161"/>
        <w:ind w:firstLine="480"/>
        <w:spacing w:line="40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rPr>
          <w:rFonts w:hint="eastAsia" w:ascii="宋体" w:hAnsi="宋体" w:eastAsia="宋体" w:cs="宋体"/>
          <w:highlight w:val="none"/>
        </w:rPr>
      </w:r>
      <w:r/>
    </w:p>
    <w:p>
      <w:pPr>
        <w:pStyle w:val="1161"/>
        <w:jc w:val="right"/>
        <w:spacing w:line="400" w:lineRule="exact"/>
        <w:rPr>
          <w:rFonts w:hint="eastAsia" w:ascii="宋体" w:hAnsi="宋体" w:eastAsia="宋体" w:cs="宋体"/>
          <w:highlight w:val="none"/>
        </w:rPr>
      </w:pPr>
      <w:r>
        <w:rPr>
          <w:rFonts w:hint="eastAsia" w:ascii="宋体" w:hAnsi="宋体" w:eastAsia="宋体" w:cs="宋体"/>
          <w:highlight w:val="none"/>
        </w:rPr>
        <w:t xml:space="preserve">日期：</w:t>
      </w:r>
      <w:r>
        <w:rPr>
          <w:rFonts w:hint="eastAsia" w:hAnsi="宋体" w:eastAsia="宋体" w:cs="宋体"/>
          <w:highlight w:val="none"/>
          <w:lang w:val="en-US" w:eastAsia="zh-CN"/>
        </w:rPr>
        <w:t xml:space="preserve">   </w:t>
      </w:r>
      <w:r>
        <w:rPr>
          <w:rFonts w:hint="eastAsia" w:ascii="宋体" w:hAnsi="宋体" w:eastAsia="宋体" w:cs="宋体"/>
          <w:highlight w:val="none"/>
        </w:rPr>
        <w:t xml:space="preserve">年</w:t>
      </w:r>
      <w:r>
        <w:rPr>
          <w:rFonts w:hint="eastAsia" w:hAnsi="宋体" w:eastAsia="宋体" w:cs="宋体"/>
          <w:highlight w:val="none"/>
          <w:lang w:val="en-US" w:eastAsia="zh-CN"/>
        </w:rPr>
        <w:t xml:space="preserve">   </w:t>
      </w:r>
      <w:r>
        <w:rPr>
          <w:rFonts w:hint="eastAsia" w:ascii="宋体" w:hAnsi="宋体" w:eastAsia="宋体" w:cs="宋体"/>
          <w:highlight w:val="none"/>
        </w:rPr>
        <w:t xml:space="preserve"> 月 </w:t>
      </w:r>
      <w:r>
        <w:rPr>
          <w:rFonts w:hint="eastAsia" w:hAnsi="宋体" w:eastAsia="宋体" w:cs="宋体"/>
          <w:highlight w:val="none"/>
          <w:lang w:val="en-US" w:eastAsia="zh-CN"/>
        </w:rPr>
        <w:t xml:space="preserve">   </w:t>
      </w:r>
      <w:r>
        <w:rPr>
          <w:rFonts w:hint="eastAsia" w:ascii="宋体" w:hAnsi="宋体" w:eastAsia="宋体" w:cs="宋体"/>
          <w:highlight w:val="none"/>
        </w:rPr>
        <w:t xml:space="preserve">日</w:t>
      </w:r>
      <w:r>
        <w:rPr>
          <w:rFonts w:hint="eastAsia" w:ascii="宋体" w:hAnsi="宋体" w:eastAsia="宋体" w:cs="宋体"/>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rPr>
          <w:rFonts w:hint="eastAsia" w:ascii="宋体" w:hAnsi="宋体" w:eastAsia="宋体" w:cs="宋体"/>
          <w:sz w:val="24"/>
          <w:highlight w:val="none"/>
        </w:rPr>
      </w:r>
      <w:r/>
    </w:p>
    <w:p>
      <w:pPr>
        <w:pStyle w:val="1139"/>
        <w:spacing w:line="400" w:lineRule="exact"/>
        <w:tabs>
          <w:tab w:val="left" w:pos="5580" w:leader="none"/>
        </w:tabs>
        <w:rPr>
          <w:rFonts w:hint="eastAsia" w:ascii="宋体" w:hAnsi="宋体" w:eastAsia="宋体" w:cs="宋体"/>
          <w:sz w:val="24"/>
          <w:highlight w:val="none"/>
        </w:rPr>
        <w:sectPr>
          <w:footnotePr/>
          <w:endnotePr/>
          <w:type w:val="nextPage"/>
          <w:pgSz w:w="11907" w:h="16840" w:orient="portrait"/>
          <w:pgMar w:top="1440" w:right="1417" w:bottom="1440" w:left="1417" w:header="851" w:footer="850" w:gutter="0"/>
          <w:cols w:num="1" w:sep="0" w:space="1701" w:equalWidth="1"/>
          <w:docGrid w:linePitch="360"/>
          <w:titlePg/>
        </w:sectPr>
      </w:pPr>
      <w:r>
        <w:rPr>
          <w:rFonts w:hint="eastAsia" w:ascii="宋体" w:hAnsi="宋体" w:eastAsia="宋体" w:cs="宋体"/>
          <w:sz w:val="24"/>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落实政府采购政策需满足的资格要求：无</w:t>
      </w:r>
      <w:r>
        <w:rPr>
          <w:rFonts w:hint="eastAsia" w:ascii="宋体" w:hAnsi="宋体" w:eastAsia="宋体" w:cs="宋体"/>
          <w:color w:val="000000"/>
          <w:sz w:val="24"/>
          <w:szCs w:val="20"/>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3 其他特定资格要求：无</w:t>
      </w:r>
      <w:r>
        <w:rPr>
          <w:rFonts w:hint="eastAsia" w:ascii="宋体" w:hAnsi="宋体" w:eastAsia="宋体" w:cs="宋体"/>
          <w:color w:val="000000"/>
          <w:sz w:val="24"/>
          <w:szCs w:val="20"/>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营业执照</w:t>
      </w:r>
      <w:r>
        <w:rPr>
          <w:rFonts w:hint="eastAsia" w:ascii="宋体" w:hAnsi="宋体" w:eastAsia="宋体" w:cs="宋体"/>
          <w:color w:val="000000"/>
          <w:sz w:val="24"/>
          <w:szCs w:val="20"/>
          <w:highlight w:val="none"/>
        </w:rPr>
      </w:r>
      <w:r/>
    </w:p>
    <w:p>
      <w:pPr>
        <w:pStyle w:val="113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center"/>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r>
        <w:rPr>
          <w:rFonts w:hint="eastAsia" w:ascii="宋体" w:hAnsi="宋体" w:eastAsia="宋体" w:cs="宋体"/>
          <w:b/>
          <w:sz w:val="36"/>
          <w:szCs w:val="36"/>
          <w:highlight w:val="none"/>
        </w:rPr>
        <w:t xml:space="preserve">二、商务技术文件格式</w:t>
      </w:r>
      <w:bookmarkStart w:id="390" w:name="_Toc226965829"/>
      <w:r/>
      <w:bookmarkStart w:id="391" w:name="_Toc195842921"/>
      <w:r/>
      <w:bookmarkStart w:id="392" w:name="_Ref467988698"/>
      <w:r/>
      <w:bookmarkStart w:id="393" w:name="_Toc520356217"/>
      <w:r/>
      <w:bookmarkStart w:id="394" w:name="_Toc226309800"/>
      <w:r/>
      <w:bookmarkStart w:id="395" w:name="_Toc226965746"/>
      <w:r/>
      <w:bookmarkStart w:id="396" w:name="_Toc127151556"/>
      <w:r/>
      <w:bookmarkStart w:id="397" w:name="_Toc150774761"/>
      <w:r/>
      <w:bookmarkStart w:id="398" w:name="_Toc226337252"/>
      <w:r/>
      <w:bookmarkStart w:id="399" w:name="_Toc142311058"/>
      <w:r/>
      <w:bookmarkStart w:id="400" w:name="_Toc150480794"/>
      <w:r/>
      <w:bookmarkStart w:id="401" w:name="_Toc480942349"/>
      <w:r>
        <w:rPr>
          <w:rFonts w:hint="eastAsia" w:ascii="宋体" w:hAnsi="宋体" w:eastAsia="宋体" w:cs="宋体"/>
          <w:b/>
          <w:sz w:val="32"/>
          <w:szCs w:val="32"/>
          <w:highlight w:val="none"/>
        </w:rPr>
      </w:r>
      <w:r/>
    </w:p>
    <w:p>
      <w:pPr>
        <w:pStyle w:val="1139"/>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1投标</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000000"/>
          <w:sz w:val="24"/>
          <w:highlight w:val="none"/>
        </w:rPr>
        <w:t xml:space="preserve">函</w:t>
      </w:r>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1139"/>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1139"/>
        <w:spacing w:line="400" w:lineRule="exact"/>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1139"/>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ind w:firstLine="408"/>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rPr>
          <w:rFonts w:hint="eastAsia" w:ascii="宋体" w:hAnsi="宋体" w:eastAsia="宋体" w:cs="宋体"/>
          <w:color w:val="000000"/>
          <w:sz w:val="24"/>
          <w:szCs w:val="20"/>
          <w:highlight w:val="none"/>
        </w:rPr>
      </w:r>
      <w:r/>
    </w:p>
    <w:p>
      <w:pPr>
        <w:pStyle w:val="1139"/>
        <w:ind w:firstLine="408"/>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p>
    <w:p>
      <w:pPr>
        <w:pStyle w:val="1139"/>
        <w:ind w:left="360" w:firstLine="72"/>
        <w:spacing w:line="400" w:lineRule="exact"/>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1139"/>
        <w:ind w:left="360" w:firstLine="72"/>
        <w:spacing w:line="400" w:lineRule="exact"/>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p>
    <w:p>
      <w:pPr>
        <w:pStyle w:val="1139"/>
        <w:ind w:firstLine="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1139"/>
        <w:ind w:firstLine="420"/>
        <w:spacing w:line="400" w:lineRule="exact"/>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p>
    <w:p>
      <w:pPr>
        <w:pStyle w:val="1139"/>
        <w:ind w:left="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rPr>
          <w:rFonts w:hint="eastAsia" w:ascii="宋体" w:hAnsi="宋体" w:eastAsia="宋体" w:cs="宋体"/>
          <w:color w:val="000000"/>
          <w:sz w:val="24"/>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rPr>
          <w:rFonts w:hint="eastAsia" w:ascii="宋体" w:hAnsi="宋体" w:eastAsia="宋体" w:cs="宋体"/>
          <w:color w:val="000000"/>
          <w:sz w:val="24"/>
          <w:szCs w:val="20"/>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 ___________</w:t>
      </w:r>
      <w:r>
        <w:rPr>
          <w:rFonts w:hint="eastAsia" w:ascii="宋体" w:hAnsi="宋体" w:eastAsia="宋体" w:cs="宋体"/>
          <w:color w:val="000000"/>
          <w:sz w:val="24"/>
          <w:szCs w:val="20"/>
          <w:highlight w:val="none"/>
        </w:rPr>
      </w:r>
      <w:r/>
    </w:p>
    <w:p>
      <w:pPr>
        <w:pStyle w:val="1139"/>
        <w:ind w:left="420"/>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1139"/>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1139"/>
        <w:jc w:val="left"/>
        <w:widowControl/>
        <w:rPr>
          <w:rFonts w:hint="eastAsia" w:ascii="宋体" w:hAnsi="宋体" w:eastAsia="宋体" w:cs="宋体"/>
          <w:color w:val="000000"/>
          <w:sz w:val="24"/>
          <w:highlight w:val="none"/>
        </w:rPr>
      </w:pPr>
      <w:r/>
      <w:bookmarkStart w:id="402" w:name="_Hlt520355938"/>
      <w:r/>
      <w:bookmarkEnd w:id="402"/>
      <w:r/>
      <w:bookmarkStart w:id="403" w:name="_Hlt520356243"/>
      <w:r/>
      <w:bookmarkEnd w:id="403"/>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113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2法定代表人资格证明书/授权委托书</w:t>
      </w:r>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highlight w:val="none"/>
        </w:rPr>
      </w:r>
      <w:r/>
    </w:p>
    <w:p>
      <w:pPr>
        <w:pStyle w:val="1139"/>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法定代表人（单位负责人）资格证明书</w:t>
      </w:r>
      <w:r>
        <w:rPr>
          <w:rFonts w:hint="eastAsia" w:ascii="宋体" w:hAnsi="宋体" w:eastAsia="宋体" w:cs="宋体"/>
          <w:b/>
          <w:color w:val="000000"/>
          <w:sz w:val="36"/>
          <w:szCs w:val="36"/>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的法定代表人（单位负责人）。为参与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rPr>
          <w:rFonts w:hint="eastAsia" w:ascii="宋体" w:hAnsi="宋体" w:eastAsia="宋体" w:cs="宋体"/>
          <w:sz w:val="24"/>
          <w:highlight w:val="none"/>
        </w:rPr>
      </w:r>
      <w:r/>
    </w:p>
    <w:p>
      <w:pPr>
        <w:pStyle w:val="1139"/>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70"/>
        <w:ind w:right="-46"/>
        <w:spacing w:line="583" w:lineRule="auto"/>
        <w:tabs>
          <w:tab w:val="left" w:pos="567" w:leader="none"/>
        </w:tabs>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rPr>
          <w:rFonts w:hint="eastAsia" w:ascii="宋体" w:hAnsi="宋体" w:eastAsia="宋体" w:cs="宋体"/>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投标人名称：（加盖公章）</w:t>
      </w:r>
      <w:r>
        <w:rPr>
          <w:rFonts w:hint="eastAsia" w:ascii="宋体" w:hAnsi="宋体" w:eastAsia="宋体" w:cs="宋体"/>
          <w:sz w:val="24"/>
          <w:highlight w:val="none"/>
        </w:rPr>
      </w:r>
      <w:r/>
    </w:p>
    <w:p>
      <w:pPr>
        <w:pStyle w:val="1139"/>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firstLine="43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139"/>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sz w:val="24"/>
          <w:szCs w:val="20"/>
          <w:highlight w:val="none"/>
        </w:rPr>
        <w:br w:type="page" w:clear="all"/>
      </w:r>
      <w:r>
        <w:rPr>
          <w:rFonts w:hint="eastAsia" w:ascii="宋体" w:hAnsi="宋体" w:eastAsia="宋体" w:cs="宋体"/>
          <w:b/>
          <w:color w:val="000000"/>
          <w:sz w:val="36"/>
          <w:szCs w:val="36"/>
          <w:highlight w:val="none"/>
        </w:rPr>
        <w:t xml:space="preserve">授权委托书</w:t>
      </w:r>
      <w:r>
        <w:rPr>
          <w:rFonts w:hint="eastAsia" w:ascii="宋体" w:hAnsi="宋体" w:eastAsia="宋体" w:cs="宋体"/>
          <w:b/>
          <w:color w:val="000000"/>
          <w:sz w:val="36"/>
          <w:szCs w:val="36"/>
          <w:highlight w:val="none"/>
        </w:rPr>
      </w:r>
      <w:r/>
    </w:p>
    <w:p>
      <w:pPr>
        <w:pStyle w:val="1139"/>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本人</w:t>
      </w:r>
      <w:r>
        <w:rPr>
          <w:rFonts w:hint="eastAsia" w:ascii="宋体" w:hAnsi="宋体" w:eastAsia="宋体" w:cs="宋体"/>
          <w:color w:val="000000"/>
          <w:sz w:val="24"/>
          <w:highlight w:val="none"/>
          <w:lang w:val="zh-CN"/>
        </w:rPr>
        <w:t xml:space="preserve">_______</w:t>
      </w:r>
      <w:r>
        <w:rPr>
          <w:rFonts w:hint="eastAsia" w:ascii="宋体" w:hAnsi="宋体" w:eastAsia="宋体" w:cs="宋体"/>
          <w:color w:val="000000"/>
          <w:sz w:val="24"/>
          <w:szCs w:val="20"/>
          <w:highlight w:val="none"/>
        </w:rPr>
        <w:t xml:space="preserve">（姓名）系</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szCs w:val="20"/>
          <w:highlight w:val="none"/>
        </w:rPr>
        <w:t xml:space="preserve">（投标单位名称）的法定代表人（单位负责人），现委托</w:t>
      </w:r>
      <w:r>
        <w:rPr>
          <w:rFonts w:hint="eastAsia" w:ascii="宋体" w:hAnsi="宋体" w:eastAsia="宋体" w:cs="宋体"/>
          <w:color w:val="000000"/>
          <w:sz w:val="24"/>
          <w:highlight w:val="none"/>
          <w:lang w:val="zh-CN"/>
        </w:rPr>
        <w:t xml:space="preserve">_______</w:t>
      </w:r>
      <w:r>
        <w:rPr>
          <w:rFonts w:hint="eastAsia" w:ascii="宋体" w:hAnsi="宋体" w:eastAsia="宋体" w:cs="宋体"/>
          <w:color w:val="000000"/>
          <w:sz w:val="24"/>
          <w:szCs w:val="20"/>
          <w:highlight w:val="none"/>
        </w:rPr>
        <w:t xml:space="preserve">（姓名）为我方代理人。代理人根据授权，以我方名义签署、澄清确认、递交、撤回、修改</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szCs w:val="20"/>
          <w:highlight w:val="none"/>
        </w:rPr>
        <w:t xml:space="preserve">（项目名称）响应文件和处理有关事宜，其法律后果由我方承担。</w:t>
      </w:r>
      <w:r>
        <w:rPr>
          <w:rFonts w:hint="eastAsia" w:ascii="宋体" w:hAnsi="宋体" w:eastAsia="宋体" w:cs="宋体"/>
          <w:color w:val="000000"/>
          <w:sz w:val="24"/>
          <w:szCs w:val="20"/>
          <w:highlight w:val="none"/>
        </w:rPr>
      </w:r>
      <w:r/>
    </w:p>
    <w:p>
      <w:pPr>
        <w:pStyle w:val="1139"/>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委托期限：自本授权委托书签署之日起至响应有效期届满之日止。</w:t>
      </w:r>
      <w:r>
        <w:rPr>
          <w:rFonts w:hint="eastAsia" w:ascii="宋体" w:hAnsi="宋体" w:eastAsia="宋体" w:cs="宋体"/>
          <w:color w:val="000000"/>
          <w:sz w:val="24"/>
          <w:szCs w:val="20"/>
          <w:highlight w:val="none"/>
        </w:rPr>
      </w:r>
      <w:r/>
    </w:p>
    <w:p>
      <w:pPr>
        <w:pStyle w:val="1139"/>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代理人无转委托权。</w:t>
      </w:r>
      <w:r>
        <w:rPr>
          <w:rFonts w:hint="eastAsia" w:ascii="宋体" w:hAnsi="宋体" w:eastAsia="宋体" w:cs="宋体"/>
          <w:color w:val="000000"/>
          <w:sz w:val="24"/>
          <w:szCs w:val="20"/>
          <w:highlight w:val="none"/>
        </w:rPr>
      </w:r>
      <w:r/>
    </w:p>
    <w:p>
      <w:pPr>
        <w:pStyle w:val="1139"/>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spacing w:line="360" w:lineRule="auto"/>
        <w:rPr>
          <w:rFonts w:hint="eastAsia" w:ascii="宋体" w:hAnsi="宋体" w:eastAsia="宋体" w:cs="宋体"/>
          <w:color w:val="000000"/>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highlight w:val="none"/>
          <w:lang w:val="zh-CN"/>
        </w:rPr>
      </w:r>
      <w:r/>
    </w:p>
    <w:p>
      <w:pPr>
        <w:pStyle w:val="1139"/>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法定代表人（单位负责人）（签字、签章或印鉴）：</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szCs w:val="20"/>
          <w:highlight w:val="none"/>
        </w:rPr>
      </w:r>
      <w:r/>
    </w:p>
    <w:p>
      <w:pPr>
        <w:pStyle w:val="1139"/>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委托代理人（签字</w:t>
      </w:r>
      <w:r>
        <w:rPr>
          <w:rFonts w:hint="eastAsia" w:ascii="宋体" w:hAnsi="宋体" w:eastAsia="宋体" w:cs="宋体"/>
          <w:color w:val="000000"/>
          <w:sz w:val="24"/>
          <w:szCs w:val="20"/>
          <w:highlight w:val="none"/>
        </w:rPr>
        <w:t xml:space="preserve">/签章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________________</w:t>
      </w:r>
      <w:r>
        <w:rPr>
          <w:rFonts w:hint="eastAsia" w:ascii="宋体" w:hAnsi="宋体" w:eastAsia="宋体" w:cs="宋体"/>
          <w:color w:val="000000"/>
          <w:sz w:val="24"/>
          <w:highlight w:val="none"/>
          <w:lang w:val="zh-CN"/>
        </w:rPr>
      </w:r>
      <w:r/>
    </w:p>
    <w:p>
      <w:pPr>
        <w:pStyle w:val="1139"/>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lang w:val="zh-CN"/>
        </w:rPr>
      </w:r>
      <w:r/>
    </w:p>
    <w:p>
      <w:pPr>
        <w:pStyle w:val="1139"/>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正反面电子件</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正反面电子件</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2.若法定代表人（单位负责人）参与开标的，则可不提供本《授权委托书》，但须提供《法定代表人（单位负责人）身份证明》（实质性格式）。</w:t>
      </w: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3.供应商为自然人的情形，仅提供身份证扫描件并签名，可不提供《法定代表人（单位负责人）身份证明》和《授权委托书》。</w:t>
      </w:r>
      <w:r>
        <w:rPr>
          <w:rFonts w:hint="eastAsia" w:ascii="宋体" w:hAnsi="宋体" w:eastAsia="宋体" w:cs="宋体"/>
          <w:color w:val="000000"/>
          <w:sz w:val="24"/>
          <w:szCs w:val="20"/>
          <w:highlight w:val="none"/>
        </w:rPr>
      </w:r>
      <w:r/>
    </w:p>
    <w:p>
      <w:pPr>
        <w:pStyle w:val="1139"/>
        <w:jc w:val="left"/>
        <w:spacing w:line="400" w:lineRule="exact"/>
        <w:tabs>
          <w:tab w:val="left" w:pos="55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0"/>
          <w:highlight w:val="none"/>
        </w:rPr>
        <w:t xml:space="preserve">★4.如有授权，必须提供投标供应商为被授权人缴纳的近3个月（2025</w:t>
      </w:r>
      <w:r>
        <w:rPr>
          <w:rFonts w:hint="eastAsia" w:ascii="宋体" w:hAnsi="宋体" w:eastAsia="宋体" w:cs="宋体"/>
          <w:b/>
          <w:bCs/>
          <w:color w:val="000000"/>
          <w:sz w:val="24"/>
          <w:szCs w:val="20"/>
          <w:highlight w:val="none"/>
          <w:lang w:val="en-US" w:eastAsia="zh-CN"/>
        </w:rPr>
        <w:t xml:space="preserve">年1</w:t>
      </w:r>
      <w:r>
        <w:rPr>
          <w:rFonts w:hint="eastAsia" w:ascii="宋体" w:hAnsi="宋体" w:eastAsia="宋体" w:cs="宋体"/>
          <w:b/>
          <w:bCs/>
          <w:color w:val="000000"/>
          <w:sz w:val="24"/>
          <w:szCs w:val="20"/>
          <w:highlight w:val="none"/>
          <w:lang w:val="en-US" w:eastAsia="zh-CN"/>
        </w:rPr>
        <w:t xml:space="preserve">2月</w:t>
      </w:r>
      <w:r>
        <w:rPr>
          <w:rFonts w:hint="eastAsia" w:ascii="宋体" w:hAnsi="宋体" w:eastAsia="宋体" w:cs="宋体"/>
          <w:b/>
          <w:bCs/>
          <w:color w:val="000000"/>
          <w:sz w:val="24"/>
          <w:szCs w:val="20"/>
          <w:highlight w:val="none"/>
        </w:rPr>
        <w:t xml:space="preserve">-</w:t>
      </w:r>
      <w:r>
        <w:rPr>
          <w:rFonts w:hint="eastAsia" w:ascii="宋体" w:hAnsi="宋体" w:eastAsia="宋体"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val="en-US" w:eastAsia="zh-CN"/>
        </w:rPr>
        <w:t xml:space="preserve">026年2</w:t>
      </w:r>
      <w:r>
        <w:rPr>
          <w:rFonts w:hint="eastAsia" w:ascii="宋体" w:hAnsi="宋体" w:eastAsia="宋体" w:cs="宋体"/>
          <w:b/>
          <w:bCs/>
          <w:color w:val="000000"/>
          <w:sz w:val="24"/>
          <w:szCs w:val="20"/>
          <w:highlight w:val="none"/>
        </w:rPr>
        <w:t xml:space="preserve">月）社保证明，此项为实质性响应条款，如不满足，投标文件将作为无效投标处理。</w:t>
      </w:r>
      <w:r>
        <w:rPr>
          <w:rFonts w:hint="eastAsia" w:ascii="宋体" w:hAnsi="宋体" w:eastAsia="宋体" w:cs="宋体"/>
          <w:b/>
          <w:bCs/>
          <w:color w:val="000000"/>
          <w:sz w:val="24"/>
          <w:highlight w:val="none"/>
        </w:rPr>
      </w:r>
      <w:r/>
    </w:p>
    <w:p>
      <w:pPr>
        <w:pStyle w:val="113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1139"/>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政府采购供应商信用承诺书</w:t>
      </w:r>
      <w:r>
        <w:rPr>
          <w:rFonts w:hint="eastAsia" w:ascii="宋体" w:hAnsi="宋体" w:eastAsia="宋体" w:cs="宋体"/>
          <w:b/>
          <w:color w:val="000000"/>
          <w:sz w:val="36"/>
          <w:szCs w:val="36"/>
          <w:highlight w:val="none"/>
        </w:rPr>
      </w:r>
      <w:r/>
    </w:p>
    <w:p>
      <w:pPr>
        <w:pStyle w:val="1139"/>
        <w:ind w:firstLine="640"/>
        <w:rPr>
          <w:rFonts w:hint="eastAsia" w:ascii="宋体" w:hAnsi="宋体" w:eastAsia="宋体" w:cs="宋体"/>
          <w:highlight w:val="none"/>
        </w:rPr>
      </w:pPr>
      <w:r>
        <w:rPr>
          <w:rFonts w:hint="eastAsia" w:ascii="宋体" w:hAnsi="宋体" w:eastAsia="宋体" w:cs="宋体"/>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七、承诺本单位在信用中国（江苏）网站中无违法违规、较重或严重失信记录。 </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4"/>
          <w:highlight w:val="none"/>
        </w:rPr>
      </w:r>
      <w:r/>
    </w:p>
    <w:p>
      <w:pPr>
        <w:pStyle w:val="1139"/>
        <w:ind w:firstLine="48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4"/>
          <w:highlight w:val="none"/>
        </w:rPr>
      </w:r>
      <w:r/>
    </w:p>
    <w:p>
      <w:pPr>
        <w:pStyle w:val="1245"/>
        <w:ind w:right="1050" w:firstLine="2880"/>
        <w:jc w:val="both"/>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jc w:val="left"/>
        <w:widowControl/>
        <w:rPr>
          <w:rFonts w:hint="eastAsia" w:ascii="宋体" w:hAnsi="宋体" w:eastAsia="宋体" w:cs="宋体"/>
          <w:color w:val="000000"/>
          <w:sz w:val="24"/>
          <w:szCs w:val="20"/>
          <w:highlight w:val="none"/>
        </w:rPr>
      </w:pPr>
      <w:r/>
      <w:bookmarkStart w:id="404" w:name="_Hlt520343392"/>
      <w:r/>
      <w:bookmarkEnd w:id="404"/>
      <w:r/>
      <w:bookmarkStart w:id="405" w:name="_Hlt520343000"/>
      <w:r/>
      <w:bookmarkEnd w:id="405"/>
      <w:r/>
      <w:bookmarkStart w:id="406" w:name="_Hlt520273711"/>
      <w:r/>
      <w:bookmarkEnd w:id="406"/>
      <w:r/>
      <w:bookmarkStart w:id="407" w:name="_Hlt520355504"/>
      <w:r/>
      <w:bookmarkEnd w:id="407"/>
      <w:r/>
      <w:bookmarkStart w:id="408" w:name="_Hlt520274121"/>
      <w:r/>
      <w:bookmarkEnd w:id="408"/>
      <w:r/>
      <w:bookmarkStart w:id="409" w:name="_Hlt520271212"/>
      <w:r/>
      <w:bookmarkEnd w:id="409"/>
      <w:r/>
      <w:bookmarkStart w:id="410" w:name="_Hlt520274065"/>
      <w:r/>
      <w:bookmarkEnd w:id="410"/>
      <w:r/>
      <w:bookmarkStart w:id="411" w:name="_Hlt520274393"/>
      <w:r/>
      <w:bookmarkEnd w:id="411"/>
      <w:r/>
      <w:bookmarkStart w:id="412" w:name="_Hlt520274407"/>
      <w:r/>
      <w:bookmarkEnd w:id="412"/>
      <w:r/>
      <w:bookmarkStart w:id="413" w:name="_Hlt520350918"/>
      <w:r/>
      <w:bookmarkEnd w:id="413"/>
      <w:r/>
      <w:bookmarkStart w:id="414" w:name="_Toc226337253"/>
      <w:r/>
      <w:bookmarkStart w:id="415" w:name="_Toc265228395"/>
      <w:r/>
      <w:bookmarkStart w:id="416" w:name="_Toc150480795"/>
      <w:r/>
      <w:bookmarkStart w:id="417" w:name="_Toc305158899"/>
      <w:r/>
      <w:bookmarkStart w:id="418" w:name="_Toc305158825"/>
      <w:r/>
      <w:bookmarkStart w:id="419" w:name="_Toc226309801"/>
      <w:r/>
      <w:bookmarkStart w:id="420" w:name="_Toc195842922"/>
      <w:r/>
      <w:bookmarkStart w:id="421" w:name="_Toc226965747"/>
      <w:r/>
      <w:bookmarkStart w:id="422" w:name="_Toc226965830"/>
      <w:r/>
      <w:bookmarkStart w:id="423" w:name="_Toc480942350"/>
      <w:r/>
      <w:bookmarkStart w:id="424" w:name="_Toc142311059"/>
      <w:r/>
      <w:bookmarkStart w:id="425" w:name="_Ref467988705"/>
      <w:r/>
      <w:bookmarkStart w:id="426" w:name="_Toc127151557"/>
      <w:r/>
      <w:bookmarkStart w:id="427" w:name="_Toc520356218"/>
      <w:r/>
      <w:bookmarkStart w:id="428" w:name="_Toc264969247"/>
      <w:r/>
      <w:bookmarkStart w:id="429" w:name="_Toc150774762"/>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r>
      <w:r/>
    </w:p>
    <w:p>
      <w:pPr>
        <w:pStyle w:val="1139"/>
        <w:jc w:val="left"/>
        <w:widowControl/>
        <w:rPr>
          <w:rFonts w:hint="eastAsia" w:ascii="宋体" w:hAnsi="宋体" w:eastAsia="宋体" w:cs="宋体"/>
          <w:b/>
          <w:bCs/>
          <w:sz w:val="24"/>
          <w:highlight w:val="none"/>
        </w:rPr>
      </w:pPr>
      <w:r>
        <w:rPr>
          <w:rFonts w:hint="eastAsia" w:ascii="宋体" w:hAnsi="宋体" w:eastAsia="宋体" w:cs="宋体"/>
          <w:color w:val="000000"/>
          <w:sz w:val="24"/>
          <w:szCs w:val="20"/>
          <w:highlight w:val="none"/>
        </w:rPr>
        <w:t xml:space="preserve">4</w:t>
      </w:r>
      <w:r>
        <w:rPr>
          <w:rFonts w:hint="eastAsia" w:ascii="宋体" w:hAnsi="宋体" w:eastAsia="宋体" w:cs="宋体"/>
          <w:b/>
          <w:bCs/>
          <w:sz w:val="24"/>
          <w:highlight w:val="none"/>
        </w:rPr>
        <w:t xml:space="preserve">  供应商管理关系或控股关系信息情况表（实质性格式）</w:t>
      </w:r>
      <w:r>
        <w:rPr>
          <w:rFonts w:hint="eastAsia" w:ascii="宋体" w:hAnsi="宋体" w:eastAsia="宋体" w:cs="宋体"/>
          <w:b/>
          <w:bCs/>
          <w:sz w:val="24"/>
          <w:highlight w:val="none"/>
        </w:rPr>
      </w:r>
      <w:r/>
    </w:p>
    <w:p>
      <w:pPr>
        <w:pStyle w:val="1139"/>
        <w:jc w:val="center"/>
        <w:spacing w:before="120"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供应商管理关系或控股关系信息情况表</w:t>
      </w:r>
      <w:r>
        <w:rPr>
          <w:rFonts w:hint="eastAsia" w:ascii="宋体" w:hAnsi="宋体" w:eastAsia="宋体" w:cs="宋体"/>
          <w:b/>
          <w:sz w:val="36"/>
          <w:szCs w:val="36"/>
          <w:highlight w:val="none"/>
        </w:rPr>
      </w:r>
      <w:r/>
    </w:p>
    <w:p>
      <w:pPr>
        <w:pStyle w:val="1139"/>
        <w:ind w:firstLine="480"/>
        <w:spacing w:before="12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tc>
        <w:tc>
          <w:tcPr>
            <w:tcW w:w="1994"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53"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成立日期</w:t>
            </w:r>
            <w:r>
              <w:rPr>
                <w:rFonts w:hint="eastAsia" w:ascii="宋体" w:hAnsi="宋体" w:eastAsia="宋体" w:cs="宋体"/>
                <w:sz w:val="24"/>
                <w:highlight w:val="none"/>
              </w:rPr>
            </w:r>
            <w:r/>
          </w:p>
        </w:tc>
        <w:tc>
          <w:tcPr>
            <w:tcW w:w="2808"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12"/>
        </w:trPr>
        <w:tc>
          <w:tcPr>
            <w:tcW w:w="2496"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企业地址</w:t>
            </w:r>
            <w:r>
              <w:rPr>
                <w:rFonts w:hint="eastAsia" w:ascii="宋体" w:hAnsi="宋体" w:eastAsia="宋体" w:cs="宋体"/>
                <w:sz w:val="24"/>
                <w:highlight w:val="none"/>
              </w:rPr>
            </w:r>
            <w:r/>
          </w:p>
        </w:tc>
        <w:tc>
          <w:tcPr>
            <w:tcW w:w="1994"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53"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注册资本</w:t>
            </w:r>
            <w:r>
              <w:rPr>
                <w:rFonts w:hint="eastAsia" w:ascii="宋体" w:hAnsi="宋体" w:eastAsia="宋体" w:cs="宋体"/>
                <w:sz w:val="24"/>
                <w:highlight w:val="none"/>
              </w:rPr>
            </w:r>
            <w:r/>
          </w:p>
        </w:tc>
        <w:tc>
          <w:tcPr>
            <w:tcW w:w="2808"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万元</w:t>
            </w:r>
            <w:r>
              <w:rPr>
                <w:rFonts w:hint="eastAsia" w:ascii="宋体" w:hAnsi="宋体" w:eastAsia="宋体" w:cs="宋体"/>
                <w:sz w:val="24"/>
                <w:highlight w:val="none"/>
              </w:rPr>
            </w:r>
            <w:r/>
          </w:p>
        </w:tc>
      </w:tr>
      <w:tr>
        <w:trPr>
          <w:cantSplit/>
          <w:trHeight w:val="412"/>
        </w:trPr>
        <w:tc>
          <w:tcPr>
            <w:tcW w:w="2496"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tc>
        <w:tc>
          <w:tcPr>
            <w:gridSpan w:val="3"/>
            <w:tcW w:w="6255"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164"/>
        </w:trPr>
        <w:tc>
          <w:tcPr>
            <w:tcW w:w="2496" w:type="dxa"/>
            <w:vAlign w:val="center"/>
            <w:textDirection w:val="lrTb"/>
            <w:noWrap w:val="false"/>
          </w:tcPr>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股东信息</w:t>
            </w:r>
            <w:r>
              <w:rPr>
                <w:rFonts w:hint="eastAsia" w:ascii="宋体" w:hAnsi="宋体" w:eastAsia="宋体" w:cs="宋体"/>
                <w:sz w:val="24"/>
                <w:highlight w:val="none"/>
              </w:rPr>
            </w:r>
            <w:r/>
          </w:p>
        </w:tc>
        <w:tc>
          <w:tcPr>
            <w:gridSpan w:val="3"/>
            <w:tcW w:w="6255"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股东1（姓名或单位名称）：</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股东1持股比例：</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股东2（姓名或单位名称）：</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股东2持股比例：</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（不够的可自行增加）</w:t>
            </w:r>
            <w:r>
              <w:rPr>
                <w:rFonts w:hint="eastAsia" w:ascii="宋体" w:hAnsi="宋体" w:eastAsia="宋体" w:cs="宋体"/>
                <w:sz w:val="24"/>
                <w:highlight w:val="none"/>
              </w:rPr>
            </w:r>
            <w:r/>
          </w:p>
        </w:tc>
      </w:tr>
      <w:tr>
        <w:trPr>
          <w:cantSplit/>
          <w:trHeight w:val="964"/>
        </w:trPr>
        <w:tc>
          <w:tcPr>
            <w:tcW w:w="2496"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中进行勾选）</w:t>
            </w:r>
            <w:r>
              <w:rPr>
                <w:rFonts w:hint="eastAsia" w:ascii="宋体" w:hAnsi="宋体" w:eastAsia="宋体" w:cs="宋体"/>
                <w:sz w:val="24"/>
                <w:highlight w:val="none"/>
              </w:rPr>
            </w:r>
            <w:r/>
          </w:p>
        </w:tc>
        <w:tc>
          <w:tcPr>
            <w:gridSpan w:val="3"/>
            <w:tcW w:w="6255" w:type="dxa"/>
            <w:vAlign w:val="center"/>
            <w:textDirection w:val="lrTb"/>
            <w:noWrap w:val="false"/>
          </w:tcPr>
          <w:p>
            <w:pPr>
              <w:pStyle w:val="1139"/>
              <w:jc w:val="left"/>
              <w:spacing w:line="420" w:lineRule="exact"/>
              <w:rPr>
                <w:rFonts w:hint="eastAsia" w:ascii="宋体" w:hAnsi="宋体" w:eastAsia="宋体" w:cs="宋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无直接控股、管理关系的关联企业</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有直接控股、管理关系的关联企业，关联信息如下：</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企业1名称：</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企业2名称：</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9"/>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（不够的可自行增加或以附件形式提交）</w:t>
            </w:r>
            <w:r>
              <w:rPr>
                <w:rFonts w:hint="eastAsia" w:ascii="宋体" w:hAnsi="宋体" w:eastAsia="宋体" w:cs="宋体"/>
                <w:sz w:val="24"/>
                <w:highlight w:val="none"/>
              </w:rPr>
            </w:r>
            <w:r/>
          </w:p>
        </w:tc>
      </w:tr>
      <w:tr>
        <w:trPr>
          <w:cantSplit/>
          <w:trHeight w:val="2502"/>
        </w:trPr>
        <w:tc>
          <w:tcPr>
            <w:gridSpan w:val="4"/>
            <w:tcW w:w="8751" w:type="dxa"/>
            <w:vAlign w:val="center"/>
            <w:textDirection w:val="lrTb"/>
            <w:noWrap w:val="false"/>
          </w:tcPr>
          <w:p>
            <w:pPr>
              <w:pStyle w:val="1139"/>
              <w:ind w:firstLine="561"/>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本单位承诺：</w:t>
            </w:r>
            <w:r>
              <w:rPr>
                <w:rFonts w:hint="eastAsia" w:ascii="宋体" w:hAnsi="宋体" w:eastAsia="宋体" w:cs="宋体"/>
                <w:sz w:val="24"/>
                <w:highlight w:val="none"/>
              </w:rPr>
            </w:r>
            <w:r/>
          </w:p>
          <w:p>
            <w:pPr>
              <w:pStyle w:val="1139"/>
              <w:numPr>
                <w:ilvl w:val="0"/>
                <w:numId w:val="16"/>
              </w:numPr>
              <w:ind w:firstLine="561"/>
              <w:jc w:val="left"/>
              <w:spacing w:line="420" w:lineRule="exact"/>
              <w:tabs>
                <w:tab w:val="left" w:pos="312" w:leader="none"/>
              </w:tabs>
              <w:rPr>
                <w:rFonts w:hint="eastAsia" w:ascii="宋体" w:hAnsi="宋体" w:eastAsia="宋体" w:cs="宋体"/>
                <w:sz w:val="24"/>
                <w:highlight w:val="none"/>
              </w:rPr>
            </w:pPr>
            <w:r>
              <w:rPr>
                <w:rFonts w:hint="eastAsia" w:ascii="宋体" w:hAnsi="宋体" w:eastAsia="宋体" w:cs="宋体"/>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eastAsia="宋体" w:cs="宋体"/>
                <w:sz w:val="24"/>
                <w:highlight w:val="none"/>
                <w:lang w:eastAsia="zh-CN"/>
              </w:rPr>
              <w:t xml:space="preserve">虚假成分</w:t>
            </w:r>
            <w:r>
              <w:rPr>
                <w:rFonts w:hint="eastAsia" w:ascii="宋体" w:hAnsi="宋体" w:eastAsia="宋体" w:cs="宋体"/>
                <w:sz w:val="24"/>
                <w:highlight w:val="none"/>
              </w:rPr>
              <w:t xml:space="preserve">，对所提供信息的真实性、完整性、准确性负责。</w:t>
            </w:r>
            <w:r>
              <w:rPr>
                <w:rFonts w:hint="eastAsia" w:ascii="宋体" w:hAnsi="宋体" w:eastAsia="宋体" w:cs="宋体"/>
                <w:sz w:val="24"/>
                <w:highlight w:val="none"/>
              </w:rPr>
            </w:r>
            <w:r/>
          </w:p>
          <w:p>
            <w:pPr>
              <w:pStyle w:val="1139"/>
              <w:numPr>
                <w:ilvl w:val="0"/>
                <w:numId w:val="16"/>
              </w:numPr>
              <w:ind w:firstLine="561"/>
              <w:jc w:val="left"/>
              <w:spacing w:line="420" w:lineRule="exact"/>
              <w:tabs>
                <w:tab w:val="left" w:pos="312" w:leader="none"/>
              </w:tabs>
              <w:rPr>
                <w:rFonts w:hint="eastAsia" w:ascii="宋体" w:hAnsi="宋体" w:eastAsia="宋体" w:cs="宋体"/>
                <w:sz w:val="24"/>
                <w:highlight w:val="none"/>
              </w:rPr>
            </w:pPr>
            <w:r>
              <w:rPr>
                <w:rFonts w:hint="eastAsia" w:ascii="宋体" w:hAnsi="宋体" w:eastAsia="宋体" w:cs="宋体"/>
                <w:sz w:val="24"/>
                <w:highlight w:val="none"/>
              </w:rPr>
              <w:t xml:space="preserve">自觉接受行政管理、监督部门、行业组织、社会公众的监督。</w:t>
            </w:r>
            <w:r>
              <w:rPr>
                <w:rFonts w:hint="eastAsia" w:ascii="宋体" w:hAnsi="宋体" w:eastAsia="宋体" w:cs="宋体"/>
                <w:sz w:val="24"/>
                <w:highlight w:val="none"/>
              </w:rPr>
            </w:r>
            <w:r/>
          </w:p>
          <w:p>
            <w:pPr>
              <w:pStyle w:val="1139"/>
              <w:ind w:firstLine="561"/>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3.若违背承诺约定，经查实，愿意接受相关部门、采购人的处理，承担违约责任，并依法承担相应的法律责任。</w:t>
            </w:r>
            <w:r>
              <w:rPr>
                <w:rFonts w:hint="eastAsia" w:ascii="宋体" w:hAnsi="宋体" w:eastAsia="宋体" w:cs="宋体"/>
                <w:sz w:val="24"/>
                <w:highlight w:val="none"/>
              </w:rPr>
            </w:r>
            <w:r/>
          </w:p>
          <w:p>
            <w:pPr>
              <w:pStyle w:val="1139"/>
              <w:ind w:firstLine="561"/>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供应商（盖章）：</w:t>
            </w:r>
            <w:r>
              <w:rPr>
                <w:rFonts w:hint="eastAsia" w:ascii="宋体" w:hAnsi="宋体" w:eastAsia="宋体" w:cs="宋体"/>
                <w:sz w:val="24"/>
                <w:highlight w:val="none"/>
              </w:rPr>
            </w:r>
            <w:r/>
          </w:p>
          <w:p>
            <w:pPr>
              <w:pStyle w:val="1139"/>
              <w:ind w:firstLine="561"/>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法定代表人（签字盖章）：</w:t>
            </w:r>
            <w:r>
              <w:rPr>
                <w:rFonts w:hint="eastAsia" w:ascii="宋体" w:hAnsi="宋体" w:eastAsia="宋体" w:cs="宋体"/>
                <w:sz w:val="24"/>
                <w:highlight w:val="none"/>
              </w:rPr>
            </w:r>
            <w:r/>
          </w:p>
          <w:p>
            <w:pPr>
              <w:pStyle w:val="1139"/>
              <w:ind w:firstLine="56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rPr>
                <w:rFonts w:hint="eastAsia" w:ascii="宋体" w:hAnsi="宋体" w:eastAsia="宋体" w:cs="宋体"/>
                <w:sz w:val="24"/>
                <w:highlight w:val="none"/>
              </w:rPr>
            </w:r>
            <w:r/>
          </w:p>
        </w:tc>
      </w:tr>
    </w:tbl>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rPr>
        <w:t xml:space="preserve">5  </w:t>
      </w:r>
      <w:r>
        <w:rPr>
          <w:rFonts w:hint="eastAsia" w:ascii="宋体" w:hAnsi="宋体" w:eastAsia="宋体" w:cs="宋体"/>
          <w:color w:val="000000"/>
          <w:sz w:val="24"/>
          <w:szCs w:val="20"/>
          <w:highlight w:val="none"/>
        </w:rPr>
        <w:t xml:space="preserve">开标一览表</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1139"/>
        <w:jc w:val="center"/>
        <w:spacing w:line="360" w:lineRule="exact"/>
        <w:rPr>
          <w:rFonts w:hint="eastAsia" w:ascii="宋体" w:hAnsi="宋体" w:eastAsia="宋体" w:cs="宋体"/>
          <w:b/>
          <w:color w:val="000000"/>
          <w:sz w:val="36"/>
          <w:szCs w:val="36"/>
          <w:highlight w:val="none"/>
        </w:rPr>
      </w:pPr>
      <w:r/>
      <w:bookmarkStart w:id="430" w:name="_Toc305158826"/>
      <w:r/>
      <w:bookmarkStart w:id="431" w:name="_Toc164608827"/>
      <w:r/>
      <w:bookmarkStart w:id="432" w:name="_Toc195842923"/>
      <w:r/>
      <w:bookmarkStart w:id="433" w:name="_Toc226337254"/>
      <w:r/>
      <w:bookmarkStart w:id="434" w:name="_Toc226965748"/>
      <w:r/>
      <w:bookmarkStart w:id="435" w:name="_Toc164608672"/>
      <w:r/>
      <w:bookmarkStart w:id="436" w:name="_Toc305158900"/>
      <w:r/>
      <w:bookmarkStart w:id="437" w:name="_Toc265228396"/>
      <w:r/>
      <w:bookmarkStart w:id="438" w:name="_Toc226309802"/>
      <w:r/>
      <w:bookmarkStart w:id="439" w:name="_Toc264969248"/>
      <w:r/>
      <w:bookmarkStart w:id="440" w:name="_Toc226965831"/>
      <w:r>
        <w:rPr>
          <w:rFonts w:hint="eastAsia" w:ascii="宋体" w:hAnsi="宋体" w:eastAsia="宋体" w:cs="宋体"/>
          <w:b/>
          <w:color w:val="000000"/>
          <w:sz w:val="36"/>
          <w:szCs w:val="36"/>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bookmarkEnd w:id="430"/>
      <w:r/>
      <w:bookmarkEnd w:id="431"/>
      <w:r/>
      <w:bookmarkEnd w:id="432"/>
      <w:r/>
      <w:bookmarkEnd w:id="433"/>
      <w:r/>
      <w:bookmarkEnd w:id="434"/>
      <w:r/>
      <w:bookmarkEnd w:id="435"/>
      <w:r/>
      <w:bookmarkEnd w:id="436"/>
      <w:r/>
      <w:bookmarkEnd w:id="437"/>
      <w:r/>
      <w:bookmarkEnd w:id="438"/>
      <w:r/>
      <w:bookmarkEnd w:id="439"/>
      <w:r/>
      <w:bookmarkEnd w:id="440"/>
      <w:r>
        <w:rPr>
          <w:rFonts w:hint="eastAsia" w:ascii="宋体" w:hAnsi="宋体" w:eastAsia="宋体" w:cs="宋体"/>
          <w:b/>
          <w:color w:val="000000"/>
          <w:sz w:val="36"/>
          <w:szCs w:val="36"/>
          <w:highlight w:val="none"/>
        </w:rPr>
      </w:r>
      <w:r/>
    </w:p>
    <w:p>
      <w:pPr>
        <w:pStyle w:val="1139"/>
        <w:jc w:val="left"/>
        <w:spacing w:line="360" w:lineRule="auto"/>
        <w:tabs>
          <w:tab w:val="left" w:pos="1800" w:leader="none"/>
          <w:tab w:val="left" w:pos="5580" w:leader="none"/>
        </w:tabs>
        <w:rPr>
          <w:rFonts w:hint="eastAsia" w:ascii="宋体" w:hAnsi="宋体" w:eastAsia="宋体" w:cs="宋体"/>
          <w:i/>
          <w:color w:val="ff0000"/>
          <w:sz w:val="24"/>
          <w:highlight w:val="none"/>
        </w:rPr>
      </w:pPr>
      <w:r>
        <w:rPr>
          <w:rFonts w:hint="eastAsia" w:ascii="宋体" w:hAnsi="宋体" w:eastAsia="宋体" w:cs="宋体"/>
          <w:i/>
          <w:color w:val="ff0000"/>
          <w:sz w:val="24"/>
          <w:highlight w:val="none"/>
        </w:rPr>
      </w:r>
      <w:r/>
    </w:p>
    <w:p>
      <w:pPr>
        <w:pStyle w:val="1139"/>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w:t>
      </w:r>
      <w:r>
        <w:rPr>
          <w:rFonts w:hint="eastAsia" w:ascii="宋体" w:hAnsi="宋体" w:eastAsia="宋体" w:cs="宋体"/>
          <w:color w:val="000000"/>
          <w:sz w:val="24"/>
          <w:highlight w:val="none"/>
        </w:rPr>
      </w:r>
      <w:r/>
    </w:p>
    <w:p>
      <w:pPr>
        <w:pStyle w:val="1139"/>
        <w:ind w:firstLine="6240"/>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报价单位：人民币元</w:t>
      </w:r>
      <w:r>
        <w:rPr>
          <w:rFonts w:hint="eastAsia" w:ascii="宋体" w:hAnsi="宋体" w:eastAsia="宋体" w:cs="宋体"/>
          <w:color w:val="000000"/>
          <w:sz w:val="24"/>
          <w:highlight w:val="none"/>
          <w:u w:val="singl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6362"/>
      </w:tblGrid>
      <w:tr>
        <w:trPr>
          <w:trHeight w:val="1130"/>
        </w:trPr>
        <w:tc>
          <w:tcPr>
            <w:tcW w:w="2012"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投标报价</w:t>
            </w:r>
            <w:r>
              <w:rPr>
                <w:rFonts w:hint="eastAsia" w:ascii="宋体" w:hAnsi="宋体" w:eastAsia="宋体" w:cs="宋体"/>
                <w:b/>
                <w:bCs/>
                <w:sz w:val="24"/>
                <w:highlight w:val="none"/>
              </w:rPr>
            </w:r>
            <w:r/>
          </w:p>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（人民币：元）</w:t>
            </w:r>
            <w:r>
              <w:rPr>
                <w:rFonts w:hint="eastAsia" w:ascii="宋体" w:hAnsi="宋体" w:eastAsia="宋体" w:cs="宋体"/>
                <w:b/>
                <w:bCs/>
                <w:sz w:val="24"/>
                <w:highlight w:val="none"/>
              </w:rPr>
            </w:r>
            <w:r/>
          </w:p>
        </w:tc>
        <w:tc>
          <w:tcPr>
            <w:tcW w:w="6362" w:type="dxa"/>
            <w:vAlign w:val="center"/>
            <w:textDirection w:val="lrTb"/>
            <w:noWrap w:val="false"/>
          </w:tcPr>
          <w:p>
            <w:pPr>
              <w:pStyle w:val="113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大写：人民币</w:t>
            </w:r>
            <w:r>
              <w:rPr>
                <w:rFonts w:hint="eastAsia" w:ascii="宋体" w:hAnsi="宋体" w:eastAsia="宋体" w:cs="宋体"/>
                <w:sz w:val="24"/>
                <w:highlight w:val="none"/>
              </w:rPr>
            </w:r>
            <w:r/>
          </w:p>
          <w:p>
            <w:pPr>
              <w:pStyle w:val="113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rPr>
            </w:r>
            <w:r/>
          </w:p>
        </w:tc>
      </w:tr>
      <w:tr>
        <w:trPr>
          <w:trHeight w:val="1303"/>
        </w:trPr>
        <w:tc>
          <w:tcPr>
            <w:tcW w:w="2012" w:type="dxa"/>
            <w:vAlign w:val="center"/>
            <w:textDirection w:val="lrTb"/>
            <w:noWrap w:val="false"/>
          </w:tcPr>
          <w:p>
            <w:pPr>
              <w:pStyle w:val="113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供货期</w:t>
            </w:r>
            <w:r>
              <w:rPr>
                <w:rFonts w:hint="eastAsia" w:ascii="宋体" w:hAnsi="宋体" w:eastAsia="宋体" w:cs="宋体"/>
                <w:b/>
                <w:bCs/>
                <w:sz w:val="24"/>
                <w:highlight w:val="none"/>
              </w:rPr>
            </w:r>
            <w:r/>
          </w:p>
          <w:p>
            <w:pPr>
              <w:pStyle w:val="1139"/>
              <w:jc w:val="center"/>
              <w:spacing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（日历天）</w:t>
            </w:r>
            <w:r>
              <w:rPr>
                <w:rFonts w:hint="eastAsia" w:ascii="宋体" w:hAnsi="宋体" w:eastAsia="宋体" w:cs="宋体"/>
                <w:sz w:val="24"/>
                <w:highlight w:val="none"/>
              </w:rPr>
            </w:r>
            <w:r/>
          </w:p>
        </w:tc>
        <w:tc>
          <w:tcPr>
            <w:tcW w:w="636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026"/>
        </w:trPr>
        <w:tc>
          <w:tcPr>
            <w:tcW w:w="2012" w:type="dxa"/>
            <w:vAlign w:val="center"/>
            <w:textDirection w:val="lrTb"/>
            <w:noWrap w:val="false"/>
          </w:tcPr>
          <w:p>
            <w:pPr>
              <w:pStyle w:val="1207"/>
              <w:ind w:left="0" w:firstLine="0"/>
              <w:jc w:val="center"/>
              <w:spacing w:after="0" w:line="400" w:lineRule="exact"/>
              <w:rPr>
                <w:rFonts w:hint="eastAsia" w:ascii="宋体" w:hAnsi="宋体" w:eastAsia="宋体" w:cs="宋体"/>
                <w:highlight w:val="none"/>
              </w:rPr>
            </w:pPr>
            <w:r>
              <w:rPr>
                <w:rFonts w:hint="eastAsia" w:ascii="宋体" w:hAnsi="宋体" w:eastAsia="宋体" w:cs="宋体"/>
                <w:b/>
                <w:bCs/>
                <w:highlight w:val="none"/>
              </w:rPr>
              <w:t xml:space="preserve">免费质保期</w:t>
            </w:r>
            <w:r>
              <w:rPr>
                <w:rFonts w:hint="eastAsia" w:ascii="宋体" w:hAnsi="宋体" w:eastAsia="宋体" w:cs="宋体"/>
                <w:highlight w:val="none"/>
              </w:rPr>
            </w:r>
            <w:r/>
          </w:p>
        </w:tc>
        <w:tc>
          <w:tcPr>
            <w:tcW w:w="6362"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13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left"/>
        <w:spacing w:line="400" w:lineRule="exact"/>
        <w:rPr>
          <w:rFonts w:hint="eastAsia" w:ascii="宋体" w:hAnsi="宋体" w:eastAsia="宋体" w:cs="宋体"/>
          <w:sz w:val="24"/>
          <w:szCs w:val="20"/>
          <w:highlight w:val="none"/>
        </w:rPr>
      </w:pPr>
      <w:r>
        <w:rPr>
          <w:rFonts w:hint="eastAsia" w:ascii="宋体" w:hAnsi="宋体" w:eastAsia="宋体" w:cs="宋体"/>
          <w:sz w:val="24"/>
          <w:highlight w:val="none"/>
        </w:rPr>
        <w:t xml:space="preserve">注：1</w:t>
      </w:r>
      <w:r>
        <w:rPr>
          <w:rFonts w:hint="eastAsia" w:ascii="宋体" w:hAnsi="宋体" w:eastAsia="宋体" w:cs="宋体"/>
          <w:sz w:val="24"/>
          <w:szCs w:val="20"/>
          <w:highlight w:val="none"/>
        </w:rPr>
        <w:t xml:space="preserve">.此表中，每包的投标报价应和《投标分项报价表》中的总价相一致。</w:t>
      </w:r>
      <w:r>
        <w:rPr>
          <w:rFonts w:hint="eastAsia" w:ascii="宋体" w:hAnsi="宋体" w:eastAsia="宋体" w:cs="宋体"/>
          <w:sz w:val="24"/>
          <w:szCs w:val="20"/>
          <w:highlight w:val="none"/>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spacing w:line="360" w:lineRule="auto"/>
        <w:rPr>
          <w:rFonts w:hint="eastAsia" w:ascii="宋体" w:hAnsi="宋体" w:eastAsia="宋体" w:cs="宋体"/>
          <w:sz w:val="24"/>
          <w:szCs w:val="20"/>
          <w:highlight w:val="none"/>
        </w:rPr>
        <w:outlineLvl w:val="2"/>
      </w:pPr>
      <w:r/>
      <w:bookmarkStart w:id="441" w:name="_Toc226965832"/>
      <w:r/>
      <w:bookmarkStart w:id="442" w:name="_Toc265228397"/>
      <w:r/>
      <w:bookmarkStart w:id="443" w:name="_Toc150480796"/>
      <w:r/>
      <w:bookmarkStart w:id="444" w:name="_Toc142311060"/>
      <w:r/>
      <w:bookmarkStart w:id="445" w:name="_Toc127151558"/>
      <w:r/>
      <w:bookmarkStart w:id="446" w:name="_Toc226965749"/>
      <w:r/>
      <w:bookmarkStart w:id="447" w:name="_Toc264969249"/>
      <w:r/>
      <w:bookmarkStart w:id="448" w:name="_Toc305158901"/>
      <w:r/>
      <w:bookmarkStart w:id="449" w:name="_Toc226309803"/>
      <w:r/>
      <w:bookmarkStart w:id="450" w:name="_Toc226337255"/>
      <w:r/>
      <w:bookmarkStart w:id="451" w:name="_Toc150774763"/>
      <w:r/>
      <w:bookmarkStart w:id="452" w:name="_Toc195842924"/>
      <w:r/>
      <w:bookmarkStart w:id="453" w:name="_Toc305158827"/>
      <w:r>
        <w:rPr>
          <w:rFonts w:hint="eastAsia" w:ascii="宋体" w:hAnsi="宋体" w:eastAsia="宋体" w:cs="宋体"/>
          <w:color w:val="000000"/>
          <w:sz w:val="24"/>
          <w:szCs w:val="20"/>
          <w:highlight w:val="none"/>
        </w:rPr>
        <w:br w:type="page" w:clear="all"/>
      </w:r>
      <w:r>
        <w:rPr>
          <w:rFonts w:hint="eastAsia" w:ascii="宋体" w:hAnsi="宋体" w:eastAsia="宋体" w:cs="宋体"/>
          <w:sz w:val="24"/>
          <w:szCs w:val="20"/>
          <w:highlight w:val="none"/>
        </w:rPr>
        <w:t xml:space="preserve">6  投标分项报价表</w:t>
      </w:r>
      <w:r>
        <w:rPr>
          <w:rFonts w:hint="eastAsia" w:ascii="宋体" w:hAnsi="宋体" w:eastAsia="宋体" w:cs="宋体"/>
          <w:b/>
          <w:bCs/>
          <w:sz w:val="24"/>
          <w:szCs w:val="20"/>
          <w:highlight w:val="none"/>
        </w:rPr>
        <w:t xml:space="preserve">（实质性格式）</w:t>
      </w:r>
      <w:r>
        <w:rPr>
          <w:rFonts w:hint="eastAsia" w:ascii="宋体" w:hAnsi="宋体" w:eastAsia="宋体" w:cs="宋体"/>
          <w:sz w:val="24"/>
          <w:szCs w:val="20"/>
          <w:highlight w:val="none"/>
        </w:rPr>
      </w:r>
      <w:r/>
    </w:p>
    <w:p>
      <w:pPr>
        <w:pStyle w:val="1139"/>
        <w:jc w:val="center"/>
        <w:spacing w:line="36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139"/>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投标分项报价表</w:t>
      </w:r>
      <w:r>
        <w:rPr>
          <w:rFonts w:hint="eastAsia" w:ascii="宋体" w:hAnsi="宋体" w:eastAsia="宋体" w:cs="宋体"/>
          <w:b/>
          <w:sz w:val="36"/>
          <w:szCs w:val="36"/>
          <w:highlight w:val="none"/>
        </w:rPr>
      </w:r>
      <w:r/>
    </w:p>
    <w:p>
      <w:pPr>
        <w:pStyle w:val="1139"/>
        <w:jc w:val="center"/>
        <w:spacing w:line="26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139"/>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 项目名称：__________报价单位：人民币元</w:t>
      </w:r>
      <w:r>
        <w:rPr>
          <w:rFonts w:hint="eastAsia" w:ascii="宋体" w:hAnsi="宋体" w:eastAsia="宋体" w:cs="宋体"/>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952"/>
        <w:gridCol w:w="1021"/>
        <w:gridCol w:w="975"/>
        <w:gridCol w:w="975"/>
        <w:gridCol w:w="975"/>
        <w:gridCol w:w="507"/>
        <w:gridCol w:w="511"/>
        <w:gridCol w:w="769"/>
        <w:gridCol w:w="1110"/>
      </w:tblGrid>
      <w:tr>
        <w:trPr>
          <w:cantSplit/>
          <w:trHeight w:val="283"/>
          <w:tblHeader/>
        </w:trPr>
        <w:tc>
          <w:tcPr>
            <w:tcW w:w="263"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052"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分项名称</w:t>
            </w:r>
            <w:r>
              <w:rPr>
                <w:rFonts w:hint="eastAsia" w:ascii="宋体" w:hAnsi="宋体" w:eastAsia="宋体" w:cs="宋体"/>
                <w:sz w:val="24"/>
                <w:highlight w:val="none"/>
              </w:rPr>
            </w:r>
            <w:r/>
          </w:p>
        </w:tc>
        <w:tc>
          <w:tcPr>
            <w:tcW w:w="550"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品牌型号</w:t>
            </w:r>
            <w:r>
              <w:rPr>
                <w:rFonts w:hint="eastAsia" w:ascii="宋体" w:hAnsi="宋体" w:eastAsia="宋体" w:cs="宋体"/>
                <w:sz w:val="24"/>
                <w:highlight w:val="none"/>
              </w:rPr>
            </w:r>
            <w:r/>
          </w:p>
        </w:tc>
        <w:tc>
          <w:tcPr>
            <w:tcW w:w="525"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制造商名称</w:t>
            </w:r>
            <w:r>
              <w:rPr>
                <w:rFonts w:hint="eastAsia" w:ascii="宋体" w:hAnsi="宋体" w:eastAsia="宋体" w:cs="宋体"/>
                <w:sz w:val="24"/>
                <w:highlight w:val="none"/>
              </w:rPr>
            </w:r>
            <w:r/>
          </w:p>
        </w:tc>
        <w:tc>
          <w:tcPr>
            <w:tcW w:w="525"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产地</w:t>
            </w:r>
            <w:r>
              <w:rPr>
                <w:rFonts w:hint="eastAsia" w:ascii="宋体" w:hAnsi="宋体" w:eastAsia="宋体" w:cs="宋体"/>
                <w:sz w:val="24"/>
                <w:highlight w:val="none"/>
              </w:rPr>
            </w:r>
            <w:r/>
          </w:p>
        </w:tc>
        <w:tc>
          <w:tcPr>
            <w:tcW w:w="525"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技术参数</w:t>
            </w:r>
            <w:r>
              <w:rPr>
                <w:rFonts w:hint="eastAsia" w:ascii="宋体" w:hAnsi="宋体" w:eastAsia="宋体" w:cs="宋体"/>
                <w:sz w:val="24"/>
                <w:highlight w:val="none"/>
              </w:rPr>
            </w:r>
            <w:r/>
          </w:p>
        </w:tc>
        <w:tc>
          <w:tcPr>
            <w:tcW w:w="273"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W w:w="275" w:type="dxa"/>
            <w:vAlign w:val="center"/>
            <w:vMerge w:val="restart"/>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gridSpan w:val="2"/>
            <w:tcW w:w="1879"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投标价格（元）</w:t>
            </w:r>
            <w:r>
              <w:rPr>
                <w:rFonts w:hint="eastAsia" w:ascii="宋体" w:hAnsi="宋体" w:eastAsia="宋体" w:cs="宋体"/>
                <w:sz w:val="24"/>
                <w:highlight w:val="none"/>
              </w:rPr>
            </w:r>
            <w:r/>
          </w:p>
        </w:tc>
      </w:tr>
      <w:tr>
        <w:trPr>
          <w:cantSplit/>
          <w:trHeight w:val="283"/>
          <w:tblHeader/>
        </w:trPr>
        <w:tc>
          <w:tcPr>
            <w:tcW w:w="263"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052"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50"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273"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275" w:type="dxa"/>
            <w:vAlign w:val="center"/>
            <w:vMerge w:val="continue"/>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414"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单价</w:t>
            </w:r>
            <w:r>
              <w:rPr>
                <w:rFonts w:hint="eastAsia" w:ascii="宋体" w:hAnsi="宋体" w:eastAsia="宋体" w:cs="宋体"/>
                <w:sz w:val="24"/>
                <w:highlight w:val="none"/>
              </w:rPr>
            </w:r>
            <w:r/>
          </w:p>
        </w:tc>
        <w:tc>
          <w:tcPr>
            <w:tcW w:w="595"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合价</w:t>
            </w:r>
            <w:r>
              <w:rPr>
                <w:rFonts w:hint="eastAsia" w:ascii="宋体" w:hAnsi="宋体" w:eastAsia="宋体" w:cs="宋体"/>
                <w:sz w:val="24"/>
                <w:highlight w:val="none"/>
              </w:rPr>
            </w:r>
            <w:r/>
          </w:p>
        </w:tc>
      </w:tr>
      <w:tr>
        <w:trPr>
          <w:trHeight w:val="283"/>
        </w:trPr>
        <w:tc>
          <w:tcPr>
            <w:tcW w:w="263" w:type="dxa"/>
            <w:vAlign w:val="center"/>
            <w:textDirection w:val="lrTb"/>
            <w:noWrap w:val="false"/>
          </w:tcPr>
          <w:p>
            <w:pPr>
              <w:pStyle w:val="113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en-US" w:eastAsia="zh-CN"/>
              </w:rPr>
            </w:r>
            <w:r/>
          </w:p>
        </w:tc>
        <w:tc>
          <w:tcPr>
            <w:tcW w:w="1052"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highlight w:val="none"/>
              </w:rPr>
              <w:t xml:space="preserve">气体设备（核心产品）</w:t>
            </w:r>
            <w:r>
              <w:rPr>
                <w:rFonts w:hint="eastAsia" w:ascii="宋体" w:hAnsi="宋体" w:eastAsia="宋体" w:cs="宋体"/>
                <w:sz w:val="24"/>
                <w:szCs w:val="24"/>
                <w:highlight w:val="none"/>
                <w:lang w:val="en-US" w:eastAsia="zh-CN" w:bidi="ar-SA"/>
              </w:rPr>
            </w:r>
            <w:r/>
          </w:p>
        </w:tc>
        <w:tc>
          <w:tcPr>
            <w:tcW w:w="550"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73"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1</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套</w:t>
            </w:r>
            <w:r>
              <w:rPr>
                <w:rFonts w:hint="eastAsia" w:ascii="宋体" w:hAnsi="宋体" w:eastAsia="宋体" w:cs="宋体"/>
                <w:sz w:val="24"/>
                <w:szCs w:val="24"/>
                <w:highlight w:val="none"/>
                <w:lang w:val="en-US" w:eastAsia="zh-CN" w:bidi="ar-SA"/>
              </w:rPr>
            </w:r>
            <w:r/>
          </w:p>
        </w:tc>
        <w:tc>
          <w:tcPr>
            <w:tcW w:w="414"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95"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3"/>
        </w:trPr>
        <w:tc>
          <w:tcPr>
            <w:tcW w:w="263" w:type="dxa"/>
            <w:vAlign w:val="center"/>
            <w:textDirection w:val="lrTb"/>
            <w:noWrap w:val="false"/>
          </w:tcPr>
          <w:p>
            <w:pPr>
              <w:pStyle w:val="1139"/>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r>
            <w:r/>
          </w:p>
        </w:tc>
        <w:tc>
          <w:tcPr>
            <w:tcW w:w="1052"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气体管道输运系统</w:t>
            </w:r>
            <w:r>
              <w:rPr>
                <w:rFonts w:hint="eastAsia" w:ascii="宋体" w:hAnsi="宋体" w:eastAsia="宋体" w:cs="宋体"/>
                <w:sz w:val="24"/>
                <w:szCs w:val="24"/>
                <w:highlight w:val="none"/>
                <w:lang w:val="en-US" w:eastAsia="zh-CN" w:bidi="ar-SA"/>
              </w:rPr>
            </w:r>
            <w:r/>
          </w:p>
        </w:tc>
        <w:tc>
          <w:tcPr>
            <w:tcW w:w="550"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73"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1</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套</w:t>
            </w:r>
            <w:r>
              <w:rPr>
                <w:rFonts w:hint="eastAsia" w:ascii="宋体" w:hAnsi="宋体" w:eastAsia="宋体" w:cs="宋体"/>
                <w:sz w:val="24"/>
                <w:szCs w:val="24"/>
                <w:highlight w:val="none"/>
                <w:lang w:val="en-US" w:eastAsia="zh-CN" w:bidi="ar-SA"/>
              </w:rPr>
            </w:r>
            <w:r/>
          </w:p>
        </w:tc>
        <w:tc>
          <w:tcPr>
            <w:tcW w:w="414"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95"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3"/>
        </w:trPr>
        <w:tc>
          <w:tcPr>
            <w:tcW w:w="263" w:type="dxa"/>
            <w:vAlign w:val="center"/>
            <w:textDirection w:val="lrTb"/>
            <w:noWrap w:val="false"/>
          </w:tcPr>
          <w:p>
            <w:pPr>
              <w:pStyle w:val="1139"/>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val="en-US" w:eastAsia="zh-CN"/>
              </w:rPr>
            </w:r>
            <w:r/>
          </w:p>
        </w:tc>
        <w:tc>
          <w:tcPr>
            <w:tcW w:w="1052"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尾气输运与处理系统</w:t>
            </w:r>
            <w:r>
              <w:rPr>
                <w:rFonts w:hint="eastAsia" w:ascii="宋体" w:hAnsi="宋体" w:eastAsia="宋体" w:cs="宋体"/>
                <w:sz w:val="24"/>
                <w:szCs w:val="24"/>
                <w:highlight w:val="none"/>
                <w:lang w:val="en-US" w:eastAsia="zh-CN" w:bidi="ar-SA"/>
              </w:rPr>
            </w:r>
            <w:r/>
          </w:p>
        </w:tc>
        <w:tc>
          <w:tcPr>
            <w:tcW w:w="550"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73"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1</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套</w:t>
            </w:r>
            <w:r>
              <w:rPr>
                <w:rFonts w:hint="eastAsia" w:ascii="宋体" w:hAnsi="宋体" w:eastAsia="宋体" w:cs="宋体"/>
                <w:sz w:val="24"/>
                <w:szCs w:val="24"/>
                <w:highlight w:val="none"/>
                <w:lang w:val="en-US" w:eastAsia="zh-CN" w:bidi="ar-SA"/>
              </w:rPr>
            </w:r>
            <w:r/>
          </w:p>
        </w:tc>
        <w:tc>
          <w:tcPr>
            <w:tcW w:w="414"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95"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3"/>
        </w:trPr>
        <w:tc>
          <w:tcPr>
            <w:tcW w:w="263" w:type="dxa"/>
            <w:vAlign w:val="center"/>
            <w:textDirection w:val="lrTb"/>
            <w:noWrap w:val="false"/>
          </w:tcPr>
          <w:p>
            <w:pPr>
              <w:pStyle w:val="1139"/>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1052"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气体泄漏侦测及报警系统</w:t>
            </w:r>
            <w:r>
              <w:rPr>
                <w:rFonts w:hint="eastAsia" w:ascii="宋体" w:hAnsi="宋体" w:eastAsia="宋体" w:cs="宋体"/>
                <w:sz w:val="24"/>
                <w:szCs w:val="24"/>
                <w:highlight w:val="none"/>
                <w:lang w:val="en-US" w:eastAsia="zh-CN" w:bidi="ar-SA"/>
              </w:rPr>
            </w:r>
            <w:r/>
          </w:p>
        </w:tc>
        <w:tc>
          <w:tcPr>
            <w:tcW w:w="550"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525" w:type="dxa"/>
            <w:vAlign w:val="center"/>
            <w:textDirection w:val="lrTb"/>
            <w:noWrap w:val="false"/>
          </w:tcPr>
          <w:p>
            <w:pPr>
              <w:pStyle w:val="1139"/>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73"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1</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113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套</w:t>
            </w:r>
            <w:r>
              <w:rPr>
                <w:rFonts w:hint="eastAsia" w:ascii="宋体" w:hAnsi="宋体" w:eastAsia="宋体" w:cs="宋体"/>
                <w:sz w:val="24"/>
                <w:szCs w:val="24"/>
                <w:highlight w:val="none"/>
                <w:lang w:val="en-US" w:eastAsia="zh-CN" w:bidi="ar-SA"/>
              </w:rPr>
            </w:r>
            <w:r/>
          </w:p>
        </w:tc>
        <w:tc>
          <w:tcPr>
            <w:tcW w:w="414"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95"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3"/>
        </w:trPr>
        <w:tc>
          <w:tcPr>
            <w:gridSpan w:val="2"/>
            <w:tcW w:w="2439" w:type="dxa"/>
            <w:vAlign w:val="center"/>
            <w:textDirection w:val="lrTb"/>
            <w:noWrap w:val="false"/>
          </w:tcPr>
          <w:p>
            <w:pPr>
              <w:pStyle w:val="113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gridSpan w:val="8"/>
            <w:tcW w:w="6843" w:type="dxa"/>
            <w:vAlign w:val="center"/>
            <w:textDirection w:val="lrTb"/>
            <w:noWrap w:val="false"/>
          </w:tcPr>
          <w:p>
            <w:pPr>
              <w:pStyle w:val="1139"/>
              <w:rPr>
                <w:rFonts w:hint="eastAsia" w:ascii="宋体" w:hAnsi="宋体" w:eastAsia="宋体" w:cs="宋体"/>
                <w:sz w:val="24"/>
                <w:highlight w:val="none"/>
              </w:rPr>
            </w:pPr>
            <w:r>
              <w:rPr>
                <w:rFonts w:hint="eastAsia" w:ascii="宋体" w:hAnsi="宋体" w:eastAsia="宋体" w:cs="宋体"/>
                <w:sz w:val="24"/>
                <w:highlight w:val="none"/>
              </w:rPr>
              <w:t xml:space="preserve">大写：               人民币</w:t>
            </w:r>
            <w:r>
              <w:rPr>
                <w:rFonts w:hint="eastAsia" w:ascii="宋体" w:hAnsi="宋体" w:eastAsia="宋体" w:cs="宋体"/>
                <w:sz w:val="24"/>
                <w:highlight w:val="none"/>
              </w:rPr>
            </w:r>
            <w:r/>
          </w:p>
          <w:p>
            <w:pPr>
              <w:pStyle w:val="1139"/>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rPr>
            </w:r>
            <w:r/>
          </w:p>
        </w:tc>
      </w:tr>
      <w:tr>
        <w:trPr>
          <w:trHeight w:val="1060"/>
        </w:trPr>
        <w:tc>
          <w:tcPr>
            <w:gridSpan w:val="10"/>
            <w:tcW w:w="9282" w:type="dxa"/>
            <w:vAlign w:val="center"/>
            <w:textDirection w:val="lrTb"/>
            <w:noWrap w:val="false"/>
          </w:tcPr>
          <w:p>
            <w:pPr>
              <w:pStyle w:val="1139"/>
              <w:jc w:val="both"/>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tc>
      </w:tr>
    </w:tbl>
    <w:p>
      <w:pPr>
        <w:pStyle w:val="1139"/>
        <w:jc w:val="left"/>
        <w:tabs>
          <w:tab w:val="left" w:pos="1800" w:leader="none"/>
          <w:tab w:val="left" w:pos="55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139"/>
        <w:jc w:val="left"/>
        <w:tabs>
          <w:tab w:val="left" w:pos="1800" w:leader="none"/>
          <w:tab w:val="left" w:pos="55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139"/>
        <w:jc w:val="left"/>
        <w:spacing w:line="400" w:lineRule="exact"/>
        <w:tabs>
          <w:tab w:val="left" w:pos="1800" w:leader="none"/>
          <w:tab w:val="left" w:pos="55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rPr>
        <w:t xml:space="preserve">注</w:t>
      </w:r>
      <w:r>
        <w:rPr>
          <w:rFonts w:hint="eastAsia" w:ascii="宋体" w:hAnsi="宋体" w:eastAsia="宋体" w:cs="宋体"/>
          <w:b w:val="0"/>
          <w:bCs w:val="0"/>
          <w:color w:val="000000"/>
          <w:sz w:val="24"/>
          <w:highlight w:val="none"/>
          <w:u w:val="none"/>
        </w:rPr>
        <w:t xml:space="preserve">：1.</w:t>
      </w:r>
      <w:r>
        <w:rPr>
          <w:rFonts w:hint="eastAsia" w:ascii="宋体" w:hAnsi="宋体" w:eastAsia="宋体" w:cs="宋体"/>
          <w:b w:val="0"/>
          <w:bCs w:val="0"/>
          <w:color w:val="000000"/>
          <w:sz w:val="24"/>
          <w:highlight w:val="none"/>
          <w:u w:val="none"/>
          <w:lang w:val="en-US" w:eastAsia="zh-CN"/>
        </w:rPr>
        <w:t xml:space="preserve">如有分包，</w:t>
      </w:r>
      <w:r>
        <w:rPr>
          <w:rFonts w:hint="eastAsia" w:ascii="宋体" w:hAnsi="宋体" w:eastAsia="宋体" w:cs="宋体"/>
          <w:b w:val="0"/>
          <w:bCs w:val="0"/>
          <w:color w:val="000000"/>
          <w:sz w:val="24"/>
          <w:highlight w:val="none"/>
          <w:u w:val="none"/>
        </w:rPr>
        <w:t xml:space="preserve">本表应按包分别填写。</w:t>
      </w:r>
      <w:r>
        <w:rPr>
          <w:rFonts w:hint="eastAsia" w:ascii="宋体" w:hAnsi="宋体" w:eastAsia="宋体" w:cs="宋体"/>
          <w:b w:val="0"/>
          <w:bCs w:val="0"/>
          <w:color w:val="000000"/>
          <w:sz w:val="24"/>
          <w:highlight w:val="none"/>
          <w:u w:val="none"/>
        </w:rPr>
      </w:r>
      <w:r/>
    </w:p>
    <w:p>
      <w:pPr>
        <w:pStyle w:val="1139"/>
        <w:ind w:firstLine="480"/>
        <w:jc w:val="left"/>
        <w:spacing w:line="400" w:lineRule="exact"/>
        <w:tabs>
          <w:tab w:val="left" w:pos="1800" w:leader="none"/>
          <w:tab w:val="left" w:pos="55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rPr>
        <w:t xml:space="preserve">2.如果不提供分项报价将视为没有实质性响应招标文件。</w:t>
      </w:r>
      <w:r>
        <w:rPr>
          <w:rFonts w:hint="eastAsia" w:ascii="宋体" w:hAnsi="宋体" w:eastAsia="宋体" w:cs="宋体"/>
          <w:b w:val="0"/>
          <w:bCs w:val="0"/>
          <w:color w:val="000000"/>
          <w:sz w:val="24"/>
          <w:highlight w:val="none"/>
          <w:u w:val="none"/>
        </w:rPr>
      </w:r>
      <w:r/>
    </w:p>
    <w:p>
      <w:pPr>
        <w:pStyle w:val="1139"/>
        <w:ind w:firstLine="480"/>
        <w:jc w:val="left"/>
        <w:spacing w:line="400" w:lineRule="exact"/>
        <w:tabs>
          <w:tab w:val="left" w:pos="1800" w:leader="none"/>
          <w:tab w:val="left" w:pos="55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rPr>
        <w:t xml:space="preserve">3.本表可以按照项目配置情况增加分项内容</w:t>
      </w:r>
      <w:r>
        <w:rPr>
          <w:rFonts w:hint="eastAsia" w:ascii="宋体" w:hAnsi="宋体" w:eastAsia="宋体" w:cs="宋体"/>
          <w:b w:val="0"/>
          <w:bCs w:val="0"/>
          <w:color w:val="000000"/>
          <w:sz w:val="24"/>
          <w:highlight w:val="none"/>
          <w:u w:val="none"/>
          <w:lang w:val="en-US" w:eastAsia="zh-CN"/>
        </w:rPr>
        <w:t xml:space="preserve">但不得删减表中内容</w:t>
      </w:r>
      <w:r>
        <w:rPr>
          <w:rFonts w:hint="eastAsia" w:ascii="宋体" w:hAnsi="宋体" w:eastAsia="宋体" w:cs="宋体"/>
          <w:b w:val="0"/>
          <w:bCs w:val="0"/>
          <w:color w:val="000000"/>
          <w:sz w:val="24"/>
          <w:highlight w:val="none"/>
          <w:u w:val="none"/>
        </w:rPr>
        <w:t xml:space="preserve">。</w:t>
      </w:r>
      <w:r>
        <w:rPr>
          <w:rFonts w:hint="eastAsia" w:ascii="宋体" w:hAnsi="宋体" w:eastAsia="宋体" w:cs="宋体"/>
          <w:b w:val="0"/>
          <w:bCs w:val="0"/>
          <w:color w:val="000000"/>
          <w:sz w:val="24"/>
          <w:highlight w:val="none"/>
          <w:u w:val="none"/>
        </w:rPr>
      </w:r>
      <w:r/>
    </w:p>
    <w:p>
      <w:pPr>
        <w:pStyle w:val="1139"/>
        <w:ind w:firstLine="480"/>
        <w:jc w:val="left"/>
        <w:spacing w:line="400" w:lineRule="exact"/>
        <w:tabs>
          <w:tab w:val="left" w:pos="1800" w:leader="none"/>
          <w:tab w:val="left" w:pos="55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4.上述各项的详细规格、技术参数如表格中填写不下的，可以逐项另页描述。</w:t>
      </w:r>
      <w:r>
        <w:rPr>
          <w:rFonts w:hint="eastAsia" w:ascii="宋体" w:hAnsi="宋体" w:eastAsia="宋体" w:cs="宋体"/>
          <w:b w:val="0"/>
          <w:bCs w:val="0"/>
          <w:color w:val="000000"/>
          <w:sz w:val="24"/>
          <w:highlight w:val="none"/>
        </w:rPr>
      </w:r>
      <w:r/>
    </w:p>
    <w:p>
      <w:pPr>
        <w:pStyle w:val="1139"/>
        <w:ind w:firstLine="480"/>
        <w:jc w:val="left"/>
        <w:spacing w:line="400" w:lineRule="exact"/>
        <w:tabs>
          <w:tab w:val="left" w:pos="1800" w:leader="none"/>
          <w:tab w:val="left" w:pos="55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000000"/>
          <w:sz w:val="24"/>
          <w:highlight w:val="none"/>
        </w:rPr>
      </w:r>
      <w:r/>
    </w:p>
    <w:p>
      <w:pPr>
        <w:pStyle w:val="1139"/>
        <w:spacing w:line="400" w:lineRule="exact"/>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t xml:space="preserve">                  </w:t>
      </w:r>
      <w:r>
        <w:rPr>
          <w:rFonts w:hint="eastAsia" w:ascii="宋体" w:hAnsi="宋体" w:eastAsia="宋体" w:cs="宋体"/>
          <w:b/>
          <w:bCs/>
          <w:sz w:val="24"/>
          <w:highlight w:val="none"/>
          <w:lang w:val="zh-CN"/>
        </w:rPr>
      </w:r>
      <w:r/>
    </w:p>
    <w:p>
      <w:pPr>
        <w:pStyle w:val="1139"/>
        <w:spacing w:line="400" w:lineRule="exact"/>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rPr>
          <w:rFonts w:hint="eastAsia" w:ascii="宋体" w:hAnsi="宋体" w:eastAsia="宋体" w:cs="宋体"/>
          <w:sz w:val="24"/>
          <w:highlight w:val="none"/>
          <w:lang w:val="zh-CN"/>
        </w:rPr>
      </w:r>
      <w:r/>
    </w:p>
    <w:p>
      <w:pPr>
        <w:pStyle w:val="1139"/>
        <w:spacing w:line="400" w:lineRule="exact"/>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hint="eastAsia" w:ascii="宋体" w:hAnsi="宋体" w:eastAsia="宋体" w:cs="宋体"/>
          <w:sz w:val="24"/>
          <w:highlight w:val="none"/>
          <w:lang w:val="zh-CN"/>
        </w:rPr>
      </w:r>
      <w:r/>
    </w:p>
    <w:p>
      <w:pPr>
        <w:pStyle w:val="1139"/>
        <w:jc w:val="left"/>
        <w:widowControl/>
        <w:rPr>
          <w:rFonts w:hint="eastAsia" w:ascii="宋体" w:hAnsi="宋体" w:eastAsia="宋体" w:cs="宋体"/>
          <w:color w:val="000000"/>
          <w:sz w:val="24"/>
          <w:szCs w:val="20"/>
          <w:highlight w:val="none"/>
        </w:rPr>
      </w:pPr>
      <w:r>
        <w:rPr>
          <w:rFonts w:hint="eastAsia" w:ascii="宋体" w:hAnsi="宋体" w:eastAsia="宋体" w:cs="宋体"/>
          <w:sz w:val="24"/>
          <w:szCs w:val="20"/>
          <w:highlight w:val="none"/>
        </w:rPr>
        <w:br w:type="page" w:clear="all"/>
      </w:r>
      <w:r>
        <w:rPr>
          <w:rFonts w:hint="eastAsia" w:ascii="宋体" w:hAnsi="宋体" w:eastAsia="宋体" w:cs="宋体"/>
          <w:color w:val="000000"/>
          <w:sz w:val="24"/>
          <w:szCs w:val="20"/>
          <w:highlight w:val="none"/>
        </w:rPr>
      </w:r>
      <w:r/>
    </w:p>
    <w:p>
      <w:pPr>
        <w:pStyle w:val="1139"/>
        <w:spacing w:line="360" w:lineRule="auto"/>
        <w:rPr>
          <w:rFonts w:hint="eastAsia" w:ascii="宋体" w:hAnsi="宋体" w:eastAsia="宋体" w:cs="宋体"/>
          <w:color w:val="000000"/>
          <w:sz w:val="24"/>
          <w:szCs w:val="20"/>
          <w:highlight w:val="none"/>
        </w:rPr>
        <w:outlineLvl w:val="2"/>
      </w:pPr>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Start w:id="454" w:name="_Toc226309806"/>
      <w:r/>
      <w:bookmarkStart w:id="455" w:name="_Toc305158904"/>
      <w:r/>
      <w:bookmarkStart w:id="456" w:name="_Toc195842927"/>
      <w:r/>
      <w:bookmarkStart w:id="457" w:name="_Toc265228400"/>
      <w:r/>
      <w:bookmarkStart w:id="458" w:name="_Toc127151562"/>
      <w:r/>
      <w:bookmarkStart w:id="459" w:name="_Toc142311062"/>
      <w:r/>
      <w:bookmarkStart w:id="460" w:name="_Toc150480798"/>
      <w:r/>
      <w:bookmarkStart w:id="461" w:name="_Toc226337258"/>
      <w:r/>
      <w:bookmarkStart w:id="462" w:name="_Toc150774765"/>
      <w:r/>
      <w:bookmarkStart w:id="463" w:name="_Toc226965835"/>
      <w:r/>
      <w:bookmarkStart w:id="464" w:name="_Toc305158830"/>
      <w:r/>
      <w:bookmarkStart w:id="465" w:name="_Toc226965752"/>
      <w:r/>
      <w:bookmarkStart w:id="466" w:name="_Toc264969252"/>
      <w:r/>
      <w:bookmarkStart w:id="467" w:name="_Toc226309805"/>
      <w:r/>
      <w:bookmarkStart w:id="468" w:name="_Toc305158829"/>
      <w:r/>
      <w:bookmarkStart w:id="469" w:name="_Toc150480797"/>
      <w:r/>
      <w:bookmarkStart w:id="470" w:name="_Toc127151561"/>
      <w:r/>
      <w:bookmarkStart w:id="471" w:name="_Toc264969251"/>
      <w:r/>
      <w:bookmarkStart w:id="472" w:name="_Toc265228399"/>
      <w:r/>
      <w:bookmarkStart w:id="473" w:name="_Toc142311061"/>
      <w:r/>
      <w:bookmarkStart w:id="474" w:name="_Toc226337257"/>
      <w:r/>
      <w:bookmarkStart w:id="475" w:name="_Toc226965834"/>
      <w:r/>
      <w:bookmarkStart w:id="476" w:name="_Toc150774764"/>
      <w:r/>
      <w:bookmarkStart w:id="477" w:name="_Toc305158903"/>
      <w:r/>
      <w:bookmarkStart w:id="478" w:name="_Toc195842926"/>
      <w:r/>
      <w:bookmarkStart w:id="479" w:name="_Toc226965751"/>
      <w:r>
        <w:rPr>
          <w:rFonts w:hint="eastAsia" w:ascii="宋体" w:hAnsi="宋体" w:eastAsia="宋体" w:cs="宋体"/>
          <w:color w:val="000000"/>
          <w:sz w:val="24"/>
          <w:szCs w:val="20"/>
          <w:highlight w:val="none"/>
        </w:rPr>
        <w:t xml:space="preserve">7 合同条款偏离表</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1139"/>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rPr>
          <w:rFonts w:hint="eastAsia" w:ascii="宋体" w:hAnsi="宋体" w:eastAsia="宋体" w:cs="宋体"/>
          <w:b/>
          <w:color w:val="000000"/>
          <w:sz w:val="36"/>
          <w:szCs w:val="36"/>
          <w:highlight w:val="none"/>
        </w:rPr>
      </w:r>
      <w:r/>
    </w:p>
    <w:p>
      <w:pPr>
        <w:pStyle w:val="1139"/>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139"/>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rPr>
                <w:rFonts w:hint="eastAsia" w:ascii="宋体" w:hAnsi="宋体" w:eastAsia="宋体" w:cs="宋体"/>
                <w:b/>
                <w:color w:val="000000"/>
                <w:sz w:val="24"/>
                <w:highlight w:val="none"/>
              </w:rPr>
            </w:r>
            <w:r/>
          </w:p>
          <w:p>
            <w:pPr>
              <w:pStyle w:val="1139"/>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1139"/>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301"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rPr>
                <w:rFonts w:hint="eastAsia" w:ascii="宋体" w:hAnsi="宋体" w:eastAsia="宋体" w:cs="宋体"/>
                <w:color w:val="000000"/>
                <w:sz w:val="24"/>
                <w:highlight w:val="none"/>
              </w:rPr>
            </w:r>
            <w:r/>
          </w:p>
        </w:tc>
        <w:tc>
          <w:tcPr>
            <w:tcW w:w="2007"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00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rPr>
                <w:rFonts w:hint="eastAsia" w:ascii="宋体" w:hAnsi="宋体" w:eastAsia="宋体" w:cs="宋体"/>
                <w:color w:val="000000"/>
                <w:sz w:val="24"/>
                <w:highlight w:val="none"/>
              </w:rPr>
            </w:r>
            <w:r/>
          </w:p>
        </w:tc>
        <w:tc>
          <w:tcPr>
            <w:tcW w:w="245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78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301"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39"/>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left"/>
        <w:spacing w:line="400" w:lineRule="exac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139"/>
        <w:jc w:val="left"/>
        <w:spacing w:line="400" w:lineRule="exac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对合同条款中的所有要求，除本表所列明的所有偏离外，均视作供应商已对之理解和响应。</w:t>
      </w:r>
      <w:r>
        <w:rPr>
          <w:rFonts w:hint="eastAsia" w:ascii="宋体" w:hAnsi="宋体" w:eastAsia="宋体" w:cs="宋体"/>
          <w:sz w:val="24"/>
          <w:highlight w:val="none"/>
        </w:rPr>
      </w:r>
      <w:r/>
    </w:p>
    <w:p>
      <w:pPr>
        <w:pStyle w:val="1139"/>
        <w:jc w:val="left"/>
        <w:spacing w:line="400" w:lineRule="exac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 “偏离情况”列应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填写“正偏离”、“负偏离”或“无偏离”。</w:t>
      </w:r>
      <w:r>
        <w:rPr>
          <w:rFonts w:hint="eastAsia" w:ascii="宋体" w:hAnsi="宋体" w:eastAsia="宋体" w:cs="宋体"/>
          <w:color w:val="000000"/>
          <w:sz w:val="24"/>
          <w:highlight w:val="none"/>
        </w:rPr>
      </w:r>
      <w:r/>
    </w:p>
    <w:p>
      <w:pPr>
        <w:pStyle w:val="1139"/>
        <w:spacing w:line="4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color w:val="000000"/>
          <w:sz w:val="24"/>
          <w:szCs w:val="20"/>
          <w:highlight w:val="none"/>
        </w:rPr>
        <w:t xml:space="preserve">8 采购需求偏离表（实质性格式）</w:t>
      </w:r>
      <w:r>
        <w:rPr>
          <w:rFonts w:hint="eastAsia" w:ascii="宋体" w:hAnsi="宋体" w:eastAsia="宋体" w:cs="宋体"/>
          <w:color w:val="000000"/>
          <w:sz w:val="24"/>
          <w:szCs w:val="20"/>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39"/>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1139"/>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rPr>
          <w:rFonts w:hint="eastAsia" w:ascii="宋体" w:hAnsi="宋体" w:eastAsia="宋体" w:cs="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113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39"/>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139"/>
        <w:jc w:val="left"/>
        <w:spacing w:line="400" w:lineRule="exac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139"/>
        <w:jc w:val="left"/>
        <w:spacing w:line="400" w:lineRule="exac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对招标文件中的所有商务、技术要求，除本表所列明的所有偏离外，均视作供应商已对之理解和响应。</w:t>
      </w:r>
      <w:r>
        <w:rPr>
          <w:rFonts w:hint="eastAsia" w:ascii="宋体" w:hAnsi="宋体" w:eastAsia="宋体" w:cs="宋体"/>
          <w:sz w:val="24"/>
          <w:highlight w:val="none"/>
        </w:rPr>
      </w:r>
      <w:r/>
    </w:p>
    <w:p>
      <w:pPr>
        <w:pStyle w:val="1139"/>
        <w:jc w:val="left"/>
        <w:spacing w:line="400" w:lineRule="exac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填写“正偏离”、“负偏离”或“无偏离”。</w:t>
      </w:r>
      <w:r>
        <w:rPr>
          <w:rFonts w:hint="eastAsia" w:ascii="宋体" w:hAnsi="宋体" w:eastAsia="宋体" w:cs="宋体"/>
          <w:color w:val="000000"/>
          <w:sz w:val="24"/>
          <w:highlight w:val="none"/>
        </w:rPr>
      </w:r>
      <w:r/>
    </w:p>
    <w:p>
      <w:pPr>
        <w:pStyle w:val="1139"/>
        <w:jc w:val="left"/>
        <w:spacing w:line="400" w:lineRule="exac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139"/>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9 中小企业声明函</w:t>
      </w:r>
      <w:r>
        <w:rPr>
          <w:rFonts w:hint="eastAsia" w:ascii="宋体" w:hAnsi="宋体" w:eastAsia="宋体" w:cs="宋体"/>
          <w:color w:val="000000"/>
          <w:sz w:val="24"/>
          <w:szCs w:val="20"/>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3）对于多标的的采购项目，投标人应充分、准确地了解所投产品制造企业信息。对相关情况了解不清楚的，不建议填报本声明函。</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4）中小企业认定标准以《关于印发中小企业划型标准规定的通知》（工信部联企业〔2011〕300号）文件规定为准。</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ascii="宋体" w:hAnsi="宋体" w:eastAsia="宋体" w:cs="宋体"/>
          <w:sz w:val="24"/>
          <w:highlight w:val="none"/>
        </w:rPr>
      </w:r>
      <w:r/>
    </w:p>
    <w:p>
      <w:pPr>
        <w:pStyle w:val="1139"/>
        <w:spacing w:line="360" w:lineRule="auto"/>
        <w:tabs>
          <w:tab w:val="left" w:pos="5580" w:leader="none"/>
        </w:tabs>
        <w:rPr>
          <w:rFonts w:hint="eastAsia" w:ascii="宋体" w:hAnsi="宋体" w:eastAsia="宋体" w:cs="宋体"/>
          <w:b/>
          <w:sz w:val="24"/>
          <w:highlight w:val="none"/>
        </w:rPr>
      </w:pPr>
      <w:r>
        <w:rPr>
          <w:rFonts w:hint="eastAsia" w:ascii="宋体" w:hAnsi="宋体" w:eastAsia="宋体" w:cs="宋体"/>
          <w:sz w:val="24"/>
          <w:highlight w:val="none"/>
        </w:rPr>
        <w:t xml:space="preserve">6）</w:t>
      </w:r>
      <w:r>
        <w:rPr>
          <w:rFonts w:hint="eastAsia" w:ascii="宋体" w:hAnsi="宋体" w:eastAsia="宋体" w:cs="宋体"/>
          <w:b/>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 w:val="24"/>
          <w:highlight w:val="none"/>
        </w:rPr>
      </w:r>
      <w:r/>
    </w:p>
    <w:p>
      <w:pPr>
        <w:pStyle w:val="1139"/>
        <w:spacing w:line="360" w:lineRule="auto"/>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7）小微企业未提供声明函的，价格分评审将不予价格扣除。</w:t>
      </w:r>
      <w:r>
        <w:rPr>
          <w:rFonts w:hint="eastAsia" w:ascii="宋体" w:hAnsi="宋体" w:eastAsia="宋体" w:cs="宋体"/>
          <w:b/>
          <w:sz w:val="24"/>
          <w:highlight w:val="none"/>
        </w:rPr>
      </w:r>
      <w:r/>
    </w:p>
    <w:p>
      <w:pPr>
        <w:pStyle w:val="1139"/>
        <w:jc w:val="left"/>
        <w:spacing w:line="360" w:lineRule="auto"/>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8）填写请参考“常州市政府采购中心关于规范填写《中小企业声明函》的温馨提示”（网址：http://zfcg.changzhou.gov.cn/html/ns/tzgg/980332060316367.html）</w:t>
      </w:r>
      <w:r>
        <w:rPr>
          <w:rFonts w:hint="eastAsia" w:ascii="宋体" w:hAnsi="宋体" w:eastAsia="宋体" w:cs="宋体"/>
          <w:b/>
          <w:sz w:val="24"/>
          <w:highlight w:val="none"/>
        </w:rPr>
      </w:r>
      <w:r/>
    </w:p>
    <w:p>
      <w:pPr>
        <w:pStyle w:val="113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r>
      <w:r/>
    </w:p>
    <w:p>
      <w:pPr>
        <w:pStyle w:val="1139"/>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中小企业声明函（货物）格式</w:t>
      </w:r>
      <w:r>
        <w:rPr>
          <w:rFonts w:hint="eastAsia" w:ascii="宋体" w:hAnsi="宋体" w:eastAsia="宋体" w:cs="宋体"/>
          <w:b/>
          <w:color w:val="000000"/>
          <w:sz w:val="36"/>
          <w:szCs w:val="36"/>
          <w:highlight w:val="none"/>
        </w:rPr>
      </w:r>
      <w:r/>
    </w:p>
    <w:p>
      <w:pPr>
        <w:pStyle w:val="1139"/>
        <w:ind w:left="220" w:right="415" w:firstLine="64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i/>
          <w:sz w:val="24"/>
          <w:highlight w:val="none"/>
          <w:u w:val="single"/>
        </w:rPr>
        <w:t xml:space="preserve">（项目名称）</w:t>
      </w:r>
      <w:r>
        <w:rPr>
          <w:rFonts w:hint="eastAsia" w:ascii="宋体" w:hAnsi="宋体" w:eastAsia="宋体" w:cs="宋体"/>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4"/>
          <w:highlight w:val="none"/>
        </w:rPr>
      </w:r>
      <w:r/>
    </w:p>
    <w:p>
      <w:pPr>
        <w:pStyle w:val="1139"/>
        <w:numPr>
          <w:ilvl w:val="0"/>
          <w:numId w:val="17"/>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sz w:val="24"/>
          <w:highlight w:val="none"/>
        </w:rPr>
      </w:pPr>
      <w:r>
        <w:rPr>
          <w:rFonts w:hint="eastAsia" w:ascii="宋体" w:hAnsi="宋体" w:eastAsia="宋体" w:cs="宋体"/>
          <w:i/>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i/>
          <w:sz w:val="24"/>
          <w:highlight w:val="none"/>
        </w:rPr>
        <w:t xml:space="preserve">（</w:t>
      </w:r>
      <w:r>
        <w:rPr>
          <w:rFonts w:hint="eastAsia" w:ascii="宋体" w:hAnsi="宋体" w:eastAsia="宋体" w:cs="宋体"/>
          <w:i/>
          <w:sz w:val="24"/>
          <w:highlight w:val="none"/>
          <w:u w:val="single"/>
        </w:rPr>
        <w:t xml:space="preserve">采购文件中明确的所属行业）行业</w:t>
      </w:r>
      <w:r>
        <w:rPr>
          <w:rFonts w:hint="eastAsia" w:ascii="宋体" w:hAnsi="宋体" w:eastAsia="宋体" w:cs="宋体"/>
          <w:sz w:val="24"/>
          <w:highlight w:val="none"/>
        </w:rPr>
        <w:t xml:space="preserve">；制造商为</w:t>
      </w:r>
      <w:r>
        <w:rPr>
          <w:rFonts w:hint="eastAsia" w:ascii="宋体" w:hAnsi="宋体" w:eastAsia="宋体" w:cs="宋体"/>
          <w:i/>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万元，属于</w:t>
      </w:r>
      <w:r>
        <w:rPr>
          <w:rFonts w:hint="eastAsia" w:ascii="宋体" w:hAnsi="宋体" w:eastAsia="宋体" w:cs="宋体"/>
          <w:i/>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numPr>
          <w:ilvl w:val="0"/>
          <w:numId w:val="17"/>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sz w:val="24"/>
          <w:highlight w:val="none"/>
        </w:rPr>
      </w:pPr>
      <w:r>
        <w:rPr>
          <w:rFonts w:hint="eastAsia" w:ascii="宋体" w:hAnsi="宋体" w:eastAsia="宋体" w:cs="宋体"/>
          <w:i/>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i/>
          <w:sz w:val="24"/>
          <w:highlight w:val="none"/>
        </w:rPr>
        <w:t xml:space="preserve">（</w:t>
      </w:r>
      <w:r>
        <w:rPr>
          <w:rFonts w:hint="eastAsia" w:ascii="宋体" w:hAnsi="宋体" w:eastAsia="宋体" w:cs="宋体"/>
          <w:i/>
          <w:sz w:val="24"/>
          <w:highlight w:val="none"/>
          <w:u w:val="single"/>
        </w:rPr>
        <w:t xml:space="preserve">采购文件中明确的所属行业）行业</w:t>
      </w:r>
      <w:r>
        <w:rPr>
          <w:rFonts w:hint="eastAsia" w:ascii="宋体" w:hAnsi="宋体" w:eastAsia="宋体" w:cs="宋体"/>
          <w:sz w:val="24"/>
          <w:highlight w:val="none"/>
        </w:rPr>
        <w:t xml:space="preserve">；制造商为</w:t>
      </w:r>
      <w:r>
        <w:rPr>
          <w:rFonts w:hint="eastAsia" w:ascii="宋体" w:hAnsi="宋体" w:eastAsia="宋体" w:cs="宋体"/>
          <w:i/>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万元，属于</w:t>
      </w:r>
      <w:r>
        <w:rPr>
          <w:rFonts w:hint="eastAsia" w:ascii="宋体" w:hAnsi="宋体" w:eastAsia="宋体" w:cs="宋体"/>
          <w:i/>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left="86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39"/>
        <w:ind w:left="220" w:right="417" w:firstLine="64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highlight w:val="none"/>
        </w:rPr>
      </w:r>
      <w:r/>
    </w:p>
    <w:p>
      <w:pPr>
        <w:pStyle w:val="1139"/>
        <w:ind w:left="220" w:right="372" w:firstLine="645"/>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1139"/>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113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113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39"/>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1139"/>
        <w:ind w:firstLine="420"/>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b/>
          <w:color w:val="000000"/>
          <w:sz w:val="36"/>
          <w:szCs w:val="36"/>
          <w:highlight w:val="none"/>
        </w:rPr>
      </w:r>
      <w:r/>
    </w:p>
    <w:p>
      <w:pPr>
        <w:pStyle w:val="1139"/>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rPr>
      </w:r>
      <w:r/>
    </w:p>
    <w:p>
      <w:pPr>
        <w:pStyle w:val="1139"/>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rPr>
          <w:rFonts w:hint="eastAsia" w:ascii="宋体" w:hAnsi="宋体" w:eastAsia="宋体" w:cs="宋体"/>
          <w:b/>
          <w:spacing w:val="6"/>
          <w:sz w:val="24"/>
          <w:highlight w:val="none"/>
        </w:rPr>
      </w:r>
      <w:r/>
    </w:p>
    <w:p>
      <w:pPr>
        <w:pStyle w:val="1139"/>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139"/>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139"/>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rPr>
          <w:rFonts w:hint="eastAsia" w:ascii="宋体" w:hAnsi="宋体" w:eastAsia="宋体" w:cs="宋体"/>
          <w:spacing w:val="6"/>
          <w:sz w:val="24"/>
          <w:highlight w:val="none"/>
        </w:rPr>
      </w:r>
      <w:r/>
    </w:p>
    <w:p>
      <w:pPr>
        <w:pStyle w:val="1139"/>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pacing w:val="6"/>
          <w:sz w:val="24"/>
          <w:highlight w:val="none"/>
        </w:rPr>
      </w:r>
      <w:r/>
    </w:p>
    <w:p>
      <w:pPr>
        <w:pStyle w:val="1139"/>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39"/>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24"/>
          <w:highlight w:val="none"/>
        </w:rPr>
        <w:t xml:space="preserve">10 关于符合本国产品标准的声明函</w:t>
      </w:r>
      <w:r>
        <w:rPr>
          <w:rFonts w:hint="eastAsia" w:ascii="宋体" w:hAnsi="宋体" w:eastAsia="宋体" w:cs="宋体"/>
          <w:color w:val="000000"/>
          <w:sz w:val="24"/>
          <w:highlight w:val="none"/>
        </w:rPr>
      </w:r>
      <w:r/>
    </w:p>
    <w:p>
      <w:pPr>
        <w:pStyle w:val="1201"/>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1"/>
        <w:ind w:firstLine="420"/>
        <w:jc w:val="center"/>
        <w:spacing w:before="0" w:beforeAutospacing="0" w:after="0" w:afterAutospacing="0" w:line="0" w:lineRule="atLeas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关于符合本国产品标准的声明函</w:t>
      </w:r>
      <w:r>
        <w:rPr>
          <w:rFonts w:hint="eastAsia" w:ascii="宋体" w:hAnsi="宋体" w:eastAsia="宋体" w:cs="宋体"/>
          <w:b/>
          <w:bCs/>
          <w:color w:val="000000"/>
          <w:sz w:val="36"/>
          <w:szCs w:val="36"/>
          <w:highlight w:val="none"/>
        </w:rPr>
      </w:r>
      <w:r/>
    </w:p>
    <w:p>
      <w:pPr>
        <w:pStyle w:val="1201"/>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1"/>
        <w:ind w:firstLine="420"/>
        <w:spacing w:before="0" w:beforeAutospacing="0" w:after="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20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1214"/>
          <w:rFonts w:hint="eastAsia" w:ascii="宋体" w:hAnsi="宋体" w:eastAsia="宋体" w:cs="宋体"/>
          <w:color w:val="000000"/>
          <w:highlight w:val="none"/>
          <w:u w:val="single"/>
          <w:shd w:val="clear" w:color="auto" w:fill="ffffff"/>
        </w:rPr>
        <w:t xml:space="preserve">（产品名称1）</w:t>
      </w:r>
      <w:r>
        <w:rPr>
          <w:rStyle w:val="1214"/>
          <w:rFonts w:hint="eastAsia" w:ascii="宋体" w:hAnsi="宋体" w:eastAsia="宋体" w:cs="宋体"/>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214"/>
          <w:rFonts w:hint="eastAsia" w:ascii="宋体" w:hAnsi="宋体" w:eastAsia="宋体" w:cs="宋体"/>
          <w:color w:val="000000"/>
          <w:highlight w:val="none"/>
          <w:u w:val="single"/>
          <w:shd w:val="clear" w:color="auto" w:fill="ffffff"/>
        </w:rPr>
        <w:t xml:space="preserve">（厂名）</w:t>
      </w:r>
      <w:r>
        <w:rPr>
          <w:rStyle w:val="1214"/>
          <w:rFonts w:hint="eastAsia" w:ascii="宋体" w:hAnsi="宋体" w:eastAsia="宋体" w:cs="宋体"/>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214"/>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214"/>
          <w:rFonts w:hint="eastAsia" w:ascii="宋体" w:hAnsi="宋体" w:eastAsia="宋体" w:cs="宋体"/>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214"/>
          <w:rFonts w:hint="eastAsia" w:ascii="宋体" w:hAnsi="宋体" w:eastAsia="宋体" w:cs="宋体"/>
          <w:color w:val="000000"/>
          <w:highlight w:val="none"/>
          <w:u w:val="single"/>
          <w:shd w:val="clear" w:color="auto" w:fill="ffffff"/>
        </w:rPr>
        <w:t xml:space="preserve">（规定比例）</w:t>
      </w:r>
      <w:r>
        <w:rPr>
          <w:rStyle w:val="1214"/>
          <w:rFonts w:hint="eastAsia" w:ascii="宋体" w:hAnsi="宋体" w:eastAsia="宋体" w:cs="宋体"/>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214"/>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14"/>
          <w:rFonts w:hint="eastAsia" w:ascii="宋体" w:hAnsi="宋体" w:eastAsia="宋体" w:cs="宋体"/>
          <w:color w:val="000000"/>
          <w:highlight w:val="none"/>
          <w:u w:val="single"/>
          <w:shd w:val="clear" w:color="auto" w:fill="ffffff"/>
        </w:rPr>
        <w:t xml:space="preserve">（关键组件）</w:t>
      </w:r>
      <w:r>
        <w:rPr>
          <w:rStyle w:val="1214"/>
          <w:rFonts w:hint="eastAsia" w:ascii="宋体" w:hAnsi="宋体" w:eastAsia="宋体" w:cs="宋体"/>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214"/>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14"/>
          <w:rFonts w:hint="eastAsia" w:ascii="宋体" w:hAnsi="宋体" w:eastAsia="宋体" w:cs="宋体"/>
          <w:color w:val="000000"/>
          <w:highlight w:val="none"/>
          <w:u w:val="single"/>
          <w:shd w:val="clear" w:color="auto" w:fill="ffffff"/>
        </w:rPr>
        <w:t xml:space="preserve">（关键工序）</w:t>
      </w:r>
      <w:r>
        <w:rPr>
          <w:rStyle w:val="1214"/>
          <w:rFonts w:hint="eastAsia" w:ascii="宋体" w:hAnsi="宋体" w:eastAsia="宋体" w:cs="宋体"/>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20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1214"/>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214"/>
          <w:rFonts w:hint="eastAsia" w:ascii="宋体" w:hAnsi="宋体" w:eastAsia="宋体" w:cs="宋体"/>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214"/>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214"/>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214"/>
          <w:rFonts w:hint="eastAsia" w:ascii="宋体" w:hAnsi="宋体" w:eastAsia="宋体" w:cs="宋体"/>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214"/>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214"/>
          <w:rFonts w:hint="eastAsia" w:ascii="宋体" w:hAnsi="宋体" w:eastAsia="宋体" w:cs="宋体"/>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214"/>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14"/>
          <w:rFonts w:hint="eastAsia" w:ascii="宋体" w:hAnsi="宋体" w:eastAsia="宋体" w:cs="宋体"/>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20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120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1201"/>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1"/>
        <w:ind w:right="480" w:firstLine="37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1201"/>
        <w:jc w:val="center"/>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1201"/>
        <w:spacing w:before="30" w:beforeAutospacing="0" w:after="30" w:afterAutospacing="0" w:line="0" w:lineRule="atLeast"/>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p>
    <w:p>
      <w:pPr>
        <w:pStyle w:val="1201"/>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120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120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120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120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1201"/>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1201"/>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  参加本项目人员一览表</w:t>
      </w:r>
      <w:r>
        <w:rPr>
          <w:rFonts w:hint="eastAsia" w:ascii="宋体" w:hAnsi="宋体" w:eastAsia="宋体" w:cs="宋体"/>
          <w:color w:val="000000"/>
          <w:sz w:val="24"/>
          <w:szCs w:val="20"/>
          <w:highlight w:val="none"/>
        </w:rPr>
      </w:r>
      <w:r/>
    </w:p>
    <w:p>
      <w:pPr>
        <w:pStyle w:val="1139"/>
        <w:jc w:val="center"/>
        <w:spacing w:line="24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39"/>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参加本项目人员一览表</w:t>
      </w:r>
      <w:r>
        <w:rPr>
          <w:rFonts w:hint="eastAsia" w:ascii="宋体" w:hAnsi="宋体" w:eastAsia="宋体" w:cs="宋体"/>
          <w:b/>
          <w:sz w:val="36"/>
          <w:szCs w:val="36"/>
          <w:highlight w:val="none"/>
        </w:rPr>
      </w:r>
      <w:r/>
    </w:p>
    <w:p>
      <w:pPr>
        <w:pStyle w:val="1139"/>
        <w:spacing w:line="360" w:lineRule="auto"/>
        <w:rPr>
          <w:rFonts w:hint="eastAsia" w:ascii="宋体" w:hAnsi="宋体" w:eastAsia="宋体" w:cs="宋体"/>
          <w:sz w:val="22"/>
          <w:highlight w:val="none"/>
        </w:rPr>
      </w:pPr>
      <w:r>
        <w:rPr>
          <w:rFonts w:hint="eastAsia" w:ascii="宋体" w:hAnsi="宋体" w:eastAsia="宋体" w:cs="宋体"/>
          <w:sz w:val="22"/>
          <w:highlight w:val="none"/>
        </w:rPr>
      </w:r>
      <w:r/>
    </w:p>
    <w:p>
      <w:pPr>
        <w:pStyle w:val="113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性别</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年龄</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毕业学校和学历</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职称</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专业培训及证书</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责任</w:t>
            </w:r>
            <w:r>
              <w:rPr>
                <w:rFonts w:hint="eastAsia" w:ascii="宋体" w:hAnsi="宋体" w:eastAsia="宋体" w:cs="宋体"/>
                <w:sz w:val="24"/>
                <w:highlight w:val="none"/>
              </w:rPr>
            </w:r>
            <w:r/>
          </w:p>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或分工</w:t>
            </w:r>
            <w:r>
              <w:rPr>
                <w:rFonts w:hint="eastAsia" w:ascii="宋体" w:hAnsi="宋体" w:eastAsia="宋体" w:cs="宋体"/>
                <w:sz w:val="24"/>
                <w:highlight w:val="none"/>
              </w:rPr>
            </w:r>
            <w:r/>
          </w:p>
        </w:tc>
        <w:tc>
          <w:tcPr>
            <w:tcW w:w="945" w:type="dxa"/>
            <w:vAlign w:val="center"/>
            <w:textDirection w:val="lrTb"/>
            <w:noWrap w:val="false"/>
          </w:tcPr>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项目经历或主要工作</w:t>
            </w:r>
            <w:r>
              <w:rPr>
                <w:rFonts w:hint="eastAsia" w:ascii="宋体" w:hAnsi="宋体" w:eastAsia="宋体" w:cs="宋体"/>
                <w:sz w:val="24"/>
                <w:highlight w:val="none"/>
              </w:rPr>
            </w:r>
            <w:r/>
          </w:p>
          <w:p>
            <w:pPr>
              <w:pStyle w:val="1139"/>
              <w:jc w:val="center"/>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97"/>
        </w:trPr>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W w:w="945" w:type="dxa"/>
            <w:vAlign w:val="top"/>
            <w:textDirection w:val="lrTb"/>
            <w:noWrap w:val="false"/>
          </w:tcPr>
          <w:p>
            <w:pPr>
              <w:pStyle w:val="1139"/>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1139"/>
        <w:tabs>
          <w:tab w:val="left" w:pos="9765" w:leader="none"/>
        </w:tabs>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113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rPr>
          <w:rFonts w:hint="eastAsia" w:ascii="宋体" w:hAnsi="宋体" w:eastAsia="宋体" w:cs="宋体"/>
          <w:color w:val="000000"/>
          <w:sz w:val="24"/>
          <w:highlight w:val="none"/>
          <w:lang w:val="zh-CN"/>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rPr>
          <w:rFonts w:hint="eastAsia" w:ascii="宋体" w:hAnsi="宋体" w:eastAsia="宋体" w:cs="宋体"/>
          <w:sz w:val="22"/>
          <w:highlight w:val="none"/>
        </w:rPr>
      </w:pPr>
      <w:r>
        <w:rPr>
          <w:rFonts w:hint="eastAsia" w:ascii="宋体" w:hAnsi="宋体" w:eastAsia="宋体" w:cs="宋体"/>
          <w:sz w:val="22"/>
          <w:highlight w:val="none"/>
        </w:rPr>
        <w:br w:type="page" w:clear="all"/>
      </w:r>
      <w:bookmarkStart w:id="480" w:name="_Toc288738397"/>
      <w:r/>
      <w:bookmarkStart w:id="481" w:name="_Toc288738839"/>
      <w:r>
        <w:rPr>
          <w:rFonts w:hint="eastAsia" w:ascii="宋体" w:hAnsi="宋体" w:eastAsia="宋体" w:cs="宋体"/>
          <w:sz w:val="22"/>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相关业绩案例一览表</w:t>
      </w:r>
      <w:r>
        <w:rPr>
          <w:rFonts w:hint="eastAsia" w:ascii="宋体" w:hAnsi="宋体" w:eastAsia="宋体" w:cs="宋体"/>
          <w:color w:val="000000"/>
          <w:sz w:val="24"/>
          <w:szCs w:val="20"/>
          <w:highlight w:val="none"/>
        </w:rPr>
      </w:r>
      <w:r/>
    </w:p>
    <w:p>
      <w:pPr>
        <w:pStyle w:val="1139"/>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139"/>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相关业绩案例一览表</w:t>
      </w:r>
      <w:bookmarkEnd w:id="480"/>
      <w:r/>
      <w:bookmarkEnd w:id="481"/>
      <w:r>
        <w:rPr>
          <w:rFonts w:hint="eastAsia" w:ascii="宋体" w:hAnsi="宋体" w:eastAsia="宋体" w:cs="宋体"/>
          <w:b/>
          <w:sz w:val="36"/>
          <w:szCs w:val="36"/>
          <w:highlight w:val="none"/>
        </w:rPr>
      </w:r>
      <w:r/>
    </w:p>
    <w:p>
      <w:pPr>
        <w:pStyle w:val="1139"/>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pStyle w:val="113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rPr>
                <w:rFonts w:hint="eastAsia" w:ascii="宋体" w:hAnsi="宋体" w:eastAsia="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9"/>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139"/>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113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rPr>
          <w:rFonts w:hint="eastAsia" w:ascii="宋体" w:hAnsi="宋体" w:eastAsia="宋体" w:cs="宋体"/>
          <w:color w:val="000000"/>
          <w:sz w:val="24"/>
          <w:highlight w:val="none"/>
          <w:lang w:val="zh-CN"/>
        </w:rPr>
      </w:r>
      <w:r/>
    </w:p>
    <w:p>
      <w:pPr>
        <w:pStyle w:val="1139"/>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1139"/>
        <w:spacing w:line="360" w:lineRule="auto"/>
        <w:rPr>
          <w:rFonts w:hint="eastAsia" w:ascii="宋体" w:hAnsi="宋体" w:eastAsia="宋体" w:cs="宋体"/>
          <w:color w:val="000000"/>
          <w:highlight w:val="none"/>
          <w:lang w:val="en-US" w:eastAsia="zh-CN"/>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13 </w:t>
      </w:r>
      <w:r>
        <w:rPr>
          <w:rFonts w:hint="eastAsia" w:ascii="宋体" w:hAnsi="宋体" w:eastAsia="宋体" w:cs="宋体"/>
          <w:color w:val="000000"/>
          <w:sz w:val="24"/>
          <w:szCs w:val="20"/>
          <w:highlight w:val="none"/>
        </w:rPr>
        <w:t xml:space="preserve">现场踏勘确认书</w:t>
      </w:r>
      <w:r>
        <w:rPr>
          <w:rFonts w:hint="eastAsia" w:ascii="宋体" w:hAnsi="宋体" w:eastAsia="宋体" w:cs="宋体"/>
          <w:color w:val="000000"/>
          <w:highlight w:val="none"/>
          <w:lang w:val="en-US" w:eastAsia="zh-CN"/>
        </w:rPr>
      </w:r>
      <w:r/>
    </w:p>
    <w:p>
      <w:pPr>
        <w:pStyle w:val="1139"/>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现场踏勘确认书</w:t>
      </w:r>
      <w:r>
        <w:rPr>
          <w:rFonts w:hint="eastAsia" w:ascii="宋体" w:hAnsi="宋体" w:eastAsia="宋体" w:cs="宋体"/>
          <w:b/>
          <w:bCs/>
          <w:color w:val="000000"/>
          <w:sz w:val="36"/>
          <w:szCs w:val="36"/>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13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78"/>
        <w:gridCol w:w="5907"/>
      </w:tblGrid>
      <w:tr>
        <w:trPr>
          <w:trHeight w:val="1058"/>
        </w:trPr>
        <w:tc>
          <w:tcPr>
            <w:tcW w:w="1819" w:type="dxa"/>
            <w:vAlign w:val="center"/>
            <w:textDirection w:val="lrTb"/>
            <w:noWrap w:val="false"/>
          </w:tcPr>
          <w:p>
            <w:pPr>
              <w:pStyle w:val="1139"/>
              <w:jc w:val="center"/>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3180" w:type="dxa"/>
            <w:vAlign w:val="center"/>
            <w:textDirection w:val="lrTb"/>
            <w:noWrap w:val="false"/>
          </w:tcPr>
          <w:p>
            <w:pPr>
              <w:pStyle w:val="113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970"/>
        </w:trPr>
        <w:tc>
          <w:tcPr>
            <w:tcW w:w="1819" w:type="dxa"/>
            <w:vAlign w:val="center"/>
            <w:textDirection w:val="lrTb"/>
            <w:noWrap w:val="false"/>
          </w:tcPr>
          <w:p>
            <w:pPr>
              <w:pStyle w:val="1139"/>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现场踏勘人姓名</w:t>
            </w:r>
            <w:r>
              <w:rPr>
                <w:rFonts w:hint="eastAsia" w:ascii="宋体" w:hAnsi="宋体" w:eastAsia="宋体" w:cs="宋体"/>
                <w:color w:val="000000"/>
                <w:sz w:val="24"/>
                <w:highlight w:val="none"/>
              </w:rPr>
            </w:r>
            <w:r/>
          </w:p>
        </w:tc>
        <w:tc>
          <w:tcPr>
            <w:tcW w:w="3180" w:type="dxa"/>
            <w:vAlign w:val="center"/>
            <w:textDirection w:val="lrTb"/>
            <w:noWrap w:val="false"/>
          </w:tcPr>
          <w:p>
            <w:pPr>
              <w:pStyle w:val="1139"/>
              <w:jc w:val="center"/>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r>
      <w:tr>
        <w:trPr>
          <w:trHeight w:val="953"/>
        </w:trPr>
        <w:tc>
          <w:tcPr>
            <w:tcW w:w="1819" w:type="dxa"/>
            <w:vAlign w:val="center"/>
            <w:textDirection w:val="lrTb"/>
            <w:noWrap w:val="false"/>
          </w:tcPr>
          <w:p>
            <w:pPr>
              <w:pStyle w:val="1139"/>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3180" w:type="dxa"/>
            <w:vAlign w:val="center"/>
            <w:textDirection w:val="lrTb"/>
            <w:noWrap w:val="false"/>
          </w:tcPr>
          <w:p>
            <w:pPr>
              <w:pStyle w:val="113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966"/>
        </w:trPr>
        <w:tc>
          <w:tcPr>
            <w:tcW w:w="1819" w:type="dxa"/>
            <w:vAlign w:val="center"/>
            <w:textDirection w:val="lrTb"/>
            <w:noWrap w:val="false"/>
          </w:tcPr>
          <w:p>
            <w:pPr>
              <w:pStyle w:val="1139"/>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踏勘时间</w:t>
            </w:r>
            <w:r>
              <w:rPr>
                <w:rFonts w:hint="eastAsia" w:ascii="宋体" w:hAnsi="宋体" w:eastAsia="宋体" w:cs="宋体"/>
                <w:color w:val="000000"/>
                <w:sz w:val="24"/>
                <w:highlight w:val="none"/>
              </w:rPr>
            </w:r>
            <w:r/>
          </w:p>
        </w:tc>
        <w:tc>
          <w:tcPr>
            <w:tcW w:w="3180" w:type="dxa"/>
            <w:vAlign w:val="center"/>
            <w:textDirection w:val="lrTb"/>
            <w:noWrap w:val="false"/>
          </w:tcPr>
          <w:p>
            <w:pPr>
              <w:pStyle w:val="113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1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 项目实施方案等，按照采购需求和评分标准编制。</w:t>
      </w:r>
      <w:r>
        <w:rPr>
          <w:rFonts w:hint="eastAsia" w:ascii="宋体" w:hAnsi="宋体" w:eastAsia="宋体" w:cs="宋体"/>
          <w:color w:val="000000"/>
          <w:sz w:val="24"/>
          <w:szCs w:val="20"/>
          <w:highlight w:val="none"/>
        </w:rPr>
      </w:r>
      <w:r/>
    </w:p>
    <w:p>
      <w:pPr>
        <w:pStyle w:val="1139"/>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5 </w:t>
      </w:r>
      <w:r>
        <w:rPr>
          <w:rFonts w:hint="eastAsia" w:ascii="宋体" w:hAnsi="宋体" w:eastAsia="宋体" w:cs="宋体"/>
          <w:color w:val="000000"/>
          <w:sz w:val="24"/>
          <w:szCs w:val="20"/>
          <w:highlight w:val="none"/>
        </w:rPr>
        <w:t xml:space="preserve">招标文件要求提供或投标人认为应附的其他材料</w:t>
      </w:r>
      <w:r>
        <w:rPr>
          <w:rFonts w:hint="eastAsia" w:ascii="宋体" w:hAnsi="宋体" w:eastAsia="宋体" w:cs="宋体"/>
          <w:color w:val="000000"/>
          <w:sz w:val="24"/>
          <w:szCs w:val="20"/>
          <w:highlight w:val="none"/>
        </w:rPr>
      </w:r>
      <w:r/>
    </w:p>
    <w:p>
      <w:pPr>
        <w:pStyle w:val="1139"/>
        <w:jc w:val="left"/>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sectPr>
      <w:headerReference w:type="even" r:id="rId13"/>
      <w:footerReference w:type="default" r:id="rId19"/>
      <w:footerReference w:type="even" r:id="rId20"/>
      <w:footnotePr/>
      <w:endnotePr/>
      <w:type w:val="nextPage"/>
      <w:pgSz w:w="11907" w:h="16840" w:orient="portrait"/>
      <w:pgMar w:top="1440" w:right="1417" w:bottom="1440" w:left="141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tabs>
        <w:tab w:val="center" w:pos="4153" w:leader="none"/>
        <w:tab w:val="right" w:pos="8306" w:leader="none"/>
      </w:tabs>
      <w:rPr>
        <w:rStyle w:val="1212"/>
      </w:rPr>
      <w:framePr w:wrap="around" w:vAnchor="text" w:hAnchor="margin" w:y="1"/>
    </w:pPr>
    <w:r>
      <w:rPr>
        <w:rStyle w:val="1212"/>
      </w:rPr>
    </w:r>
    <w:r/>
  </w:p>
  <w:p>
    <w:pPr>
      <w:pStyle w:val="118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Style w:val="1212"/>
      </w:rPr>
      <w:framePr w:wrap="around" w:vAnchor="text" w:hAnchor="margin" w:xAlign="center" w:y="1"/>
    </w:pPr>
    <w:r>
      <w:fldChar w:fldCharType="begin"/>
    </w:r>
    <w:r>
      <w:rPr>
        <w:rStyle w:val="1212"/>
      </w:rPr>
      <w:instrText xml:space="preserve">PAGE  </w:instrText>
    </w:r>
    <w:r>
      <w:fldChar w:fldCharType="end"/>
    </w:r>
    <w:r>
      <w:rPr>
        <w:rStyle w:val="1212"/>
      </w:rPr>
    </w:r>
    <w:r/>
  </w:p>
  <w:p>
    <w:pPr>
      <w:pStyle w:val="118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Style w:val="1212"/>
      </w:rPr>
      <w:framePr w:wrap="around" w:vAnchor="text" w:hAnchor="margin" w:xAlign="right" w:y="1"/>
    </w:pPr>
    <w:r>
      <w:rPr>
        <w:rStyle w:val="1212"/>
      </w:rPr>
    </w:r>
    <w:r/>
  </w:p>
  <w:p>
    <w:pPr>
      <w:pStyle w:val="118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2823210</wp:posOffset>
              </wp:positionH>
              <wp:positionV relativeFrom="paragraph">
                <wp:posOffset>0</wp:posOffset>
              </wp:positionV>
              <wp:extent cx="238125"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38125"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9"/>
                          </w:pPr>
                          <w:r/>
                          <w:r/>
                        </w:p>
                      </w:txbxContent>
                    </wps:txbx>
                    <wps:bodyPr wrap="squar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argin-left:222.3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139"/>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13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pPr>
                            <w:pStyle w:val="1139"/>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pPr>
                      <w:pStyle w:val="113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rPr>
        <w:rStyle w:val="1212"/>
      </w:rPr>
      <w:framePr w:wrap="around" w:vAnchor="text" w:hAnchor="margin" w:xAlign="right" w:y="1"/>
    </w:pPr>
    <w:r>
      <w:fldChar w:fldCharType="begin"/>
    </w:r>
    <w:r>
      <w:rPr>
        <w:rStyle w:val="1212"/>
      </w:rPr>
      <w:instrText xml:space="preserve">PAGE  </w:instrText>
    </w:r>
    <w:r>
      <w:fldChar w:fldCharType="end"/>
    </w:r>
    <w:r>
      <w:rPr>
        <w:rStyle w:val="1212"/>
      </w:rPr>
    </w:r>
    <w:r/>
  </w:p>
  <w:p>
    <w:pPr>
      <w:pStyle w:val="1189"/>
      <w:ind w:right="360"/>
      <w:tabs>
        <w:tab w:val="center" w:pos="4153" w:leader="none"/>
        <w:tab w:val="right" w:pos="8306" w:leader="none"/>
      </w:tabs>
    </w:pPr>
    <w:r/>
    <w:r/>
  </w:p>
  <w:p>
    <w:pPr>
      <w:pStyle w:val="11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128905</wp:posOffset>
              </wp:positionH>
              <wp:positionV relativeFrom="margin">
                <wp:posOffset>2520950</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w:r/>
  </w:p>
  <w:p>
    <w:pPr>
      <w:pStyle w:val="11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113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39"/>
        <w:ind w:left="900" w:hanging="900"/>
        <w:tabs>
          <w:tab w:val="num" w:pos="900" w:leader="none"/>
        </w:tabs>
      </w:pPr>
      <w:rPr>
        <w:rFonts w:hint="eastAsia"/>
      </w:rPr>
    </w:lvl>
    <w:lvl w:ilvl="1">
      <w:start w:val="1"/>
      <w:numFmt w:val="decimal"/>
      <w:isLgl w:val="false"/>
      <w:suff w:val="tab"/>
      <w:lvlText w:val="%1.%2"/>
      <w:lvlJc w:val="left"/>
      <w:pPr>
        <w:pStyle w:val="1139"/>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39"/>
        <w:ind w:left="0" w:firstLine="0"/>
      </w:pPr>
      <w:rPr>
        <w:rFonts w:hint="eastAsia"/>
      </w:rPr>
    </w:lvl>
    <w:lvl w:ilvl="3">
      <w:start w:val="1"/>
      <w:numFmt w:val="decimal"/>
      <w:isLgl w:val="false"/>
      <w:suff w:val="tab"/>
      <w:lvlText w:val="%1.%2.%3.%4"/>
      <w:lvlJc w:val="left"/>
      <w:pPr>
        <w:pStyle w:val="1139"/>
        <w:ind w:left="900" w:hanging="900"/>
        <w:tabs>
          <w:tab w:val="num" w:pos="900" w:leader="none"/>
        </w:tabs>
      </w:pPr>
      <w:rPr>
        <w:rFonts w:hint="eastAsia"/>
      </w:rPr>
    </w:lvl>
    <w:lvl w:ilvl="4">
      <w:start w:val="1"/>
      <w:numFmt w:val="decimal"/>
      <w:isLgl w:val="false"/>
      <w:suff w:val="tab"/>
      <w:lvlText w:val="%1.%2.%3.%4.%5"/>
      <w:lvlJc w:val="left"/>
      <w:pPr>
        <w:pStyle w:val="1139"/>
        <w:ind w:left="900" w:hanging="900"/>
        <w:tabs>
          <w:tab w:val="num" w:pos="900" w:leader="none"/>
        </w:tabs>
      </w:pPr>
      <w:rPr>
        <w:rFonts w:hint="eastAsia"/>
      </w:rPr>
    </w:lvl>
    <w:lvl w:ilvl="5">
      <w:start w:val="1"/>
      <w:numFmt w:val="decimal"/>
      <w:isLgl w:val="false"/>
      <w:suff w:val="tab"/>
      <w:lvlText w:val="%1.%2.%3.%4.%5.%6"/>
      <w:lvlJc w:val="left"/>
      <w:pPr>
        <w:pStyle w:val="1139"/>
        <w:ind w:left="900" w:hanging="900"/>
        <w:tabs>
          <w:tab w:val="num" w:pos="900" w:leader="none"/>
        </w:tabs>
      </w:pPr>
      <w:rPr>
        <w:rFonts w:hint="eastAsia"/>
      </w:rPr>
    </w:lvl>
    <w:lvl w:ilvl="6">
      <w:start w:val="1"/>
      <w:numFmt w:val="decimal"/>
      <w:isLgl w:val="false"/>
      <w:suff w:val="tab"/>
      <w:lvlText w:val="%1.%2.%3.%4.%5.%6.%7"/>
      <w:lvlJc w:val="left"/>
      <w:pPr>
        <w:pStyle w:val="1139"/>
        <w:ind w:left="900" w:hanging="900"/>
        <w:tabs>
          <w:tab w:val="num" w:pos="900" w:leader="none"/>
        </w:tabs>
      </w:pPr>
      <w:rPr>
        <w:rFonts w:hint="eastAsia"/>
      </w:rPr>
    </w:lvl>
    <w:lvl w:ilvl="7">
      <w:start w:val="1"/>
      <w:numFmt w:val="decimal"/>
      <w:isLgl w:val="false"/>
      <w:suff w:val="tab"/>
      <w:lvlText w:val="%1.%2.%3.%4.%5.%6.%7.%8"/>
      <w:lvlJc w:val="left"/>
      <w:pPr>
        <w:pStyle w:val="1139"/>
        <w:ind w:left="900" w:hanging="900"/>
        <w:tabs>
          <w:tab w:val="num" w:pos="900" w:leader="none"/>
        </w:tabs>
      </w:pPr>
      <w:rPr>
        <w:rFonts w:hint="eastAsia"/>
      </w:rPr>
    </w:lvl>
    <w:lvl w:ilvl="8">
      <w:start w:val="1"/>
      <w:numFmt w:val="decimal"/>
      <w:isLgl w:val="false"/>
      <w:suff w:val="tab"/>
      <w:lvlText w:val="%1.%2.%3.%4.%5.%6.%7.%8.%9"/>
      <w:lvlJc w:val="left"/>
      <w:pPr>
        <w:pStyle w:val="1139"/>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1139"/>
        <w:ind w:left="900" w:hanging="900"/>
        <w:tabs>
          <w:tab w:val="num" w:pos="900" w:leader="none"/>
        </w:tabs>
      </w:pPr>
      <w:rPr>
        <w:rFonts w:ascii="Times New Roman" w:hAnsi="Times New Roman" w:eastAsia="宋体" w:cs="Times New Roman"/>
        <w:sz w:val="24"/>
        <w:szCs w:val="24"/>
      </w:rPr>
    </w:lvl>
    <w:lvl w:ilvl="1">
      <w:start w:val="1"/>
      <w:numFmt w:val="decimal"/>
      <w:isLgl w:val="false"/>
      <w:suff w:val="nothing"/>
      <w:lvlText w:val="%1.%2"/>
      <w:lvlJc w:val="left"/>
      <w:pPr>
        <w:pStyle w:val="1139"/>
        <w:ind w:left="0" w:firstLine="0"/>
      </w:pPr>
      <w:rPr>
        <w:rFonts w:ascii="Times New Roman" w:hAnsi="Times New Roman" w:eastAsia="宋体" w:cs="Times New Roman"/>
        <w:sz w:val="24"/>
        <w:szCs w:val="24"/>
      </w:rPr>
    </w:lvl>
    <w:lvl w:ilvl="2">
      <w:start w:val="1"/>
      <w:numFmt w:val="decimal"/>
      <w:isLgl w:val="false"/>
      <w:suff w:val="nothing"/>
      <w:lvlText w:val="%1.%2.%3"/>
      <w:lvlJc w:val="left"/>
      <w:pPr>
        <w:pStyle w:val="1139"/>
        <w:ind w:left="0" w:firstLine="0"/>
      </w:pPr>
      <w:rPr>
        <w:rFonts w:ascii="Times New Roman" w:hAnsi="Times New Roman" w:eastAsia="宋体" w:cs="Times New Roman"/>
      </w:rPr>
    </w:lvl>
    <w:lvl w:ilvl="3">
      <w:start w:val="1"/>
      <w:numFmt w:val="decimal"/>
      <w:isLgl w:val="false"/>
      <w:suff w:val="tab"/>
      <w:lvlText w:val="%1.%2.%3.%4"/>
      <w:lvlJc w:val="left"/>
      <w:pPr>
        <w:pStyle w:val="1139"/>
        <w:ind w:left="900" w:hanging="900"/>
        <w:tabs>
          <w:tab w:val="num" w:pos="900" w:leader="none"/>
        </w:tabs>
      </w:pPr>
      <w:rPr>
        <w:rFonts w:hint="eastAsia"/>
      </w:rPr>
    </w:lvl>
    <w:lvl w:ilvl="4">
      <w:start w:val="1"/>
      <w:numFmt w:val="decimal"/>
      <w:isLgl w:val="false"/>
      <w:suff w:val="tab"/>
      <w:lvlText w:val="%1.%2.%3.%4.%5"/>
      <w:lvlJc w:val="left"/>
      <w:pPr>
        <w:pStyle w:val="1139"/>
        <w:ind w:left="900" w:hanging="900"/>
        <w:tabs>
          <w:tab w:val="num" w:pos="900" w:leader="none"/>
        </w:tabs>
      </w:pPr>
      <w:rPr>
        <w:rFonts w:hint="eastAsia"/>
      </w:rPr>
    </w:lvl>
    <w:lvl w:ilvl="5">
      <w:start w:val="1"/>
      <w:numFmt w:val="decimal"/>
      <w:isLgl w:val="false"/>
      <w:suff w:val="tab"/>
      <w:lvlText w:val="%1.%2.%3.%4.%5.%6"/>
      <w:lvlJc w:val="left"/>
      <w:pPr>
        <w:pStyle w:val="1139"/>
        <w:ind w:left="900" w:hanging="900"/>
        <w:tabs>
          <w:tab w:val="num" w:pos="900" w:leader="none"/>
        </w:tabs>
      </w:pPr>
      <w:rPr>
        <w:rFonts w:hint="eastAsia"/>
      </w:rPr>
    </w:lvl>
    <w:lvl w:ilvl="6">
      <w:start w:val="1"/>
      <w:numFmt w:val="decimal"/>
      <w:isLgl w:val="false"/>
      <w:suff w:val="tab"/>
      <w:lvlText w:val="%1.%2.%3.%4.%5.%6.%7"/>
      <w:lvlJc w:val="left"/>
      <w:pPr>
        <w:pStyle w:val="1139"/>
        <w:ind w:left="900" w:hanging="900"/>
        <w:tabs>
          <w:tab w:val="num" w:pos="900" w:leader="none"/>
        </w:tabs>
      </w:pPr>
      <w:rPr>
        <w:rFonts w:hint="eastAsia"/>
      </w:rPr>
    </w:lvl>
    <w:lvl w:ilvl="7">
      <w:start w:val="1"/>
      <w:numFmt w:val="decimal"/>
      <w:isLgl w:val="false"/>
      <w:suff w:val="tab"/>
      <w:lvlText w:val="%1.%2.%3.%4.%5.%6.%7.%8"/>
      <w:lvlJc w:val="left"/>
      <w:pPr>
        <w:pStyle w:val="1139"/>
        <w:ind w:left="900" w:hanging="900"/>
        <w:tabs>
          <w:tab w:val="num" w:pos="900" w:leader="none"/>
        </w:tabs>
      </w:pPr>
      <w:rPr>
        <w:rFonts w:hint="eastAsia"/>
      </w:rPr>
    </w:lvl>
    <w:lvl w:ilvl="8">
      <w:start w:val="1"/>
      <w:numFmt w:val="decimal"/>
      <w:isLgl w:val="false"/>
      <w:suff w:val="tab"/>
      <w:lvlText w:val="%1.%2.%3.%4.%5.%6.%7.%8.%9"/>
      <w:lvlJc w:val="left"/>
      <w:pPr>
        <w:pStyle w:val="1139"/>
        <w:ind w:left="900" w:hanging="900"/>
        <w:tabs>
          <w:tab w:val="num" w:pos="900" w:leader="none"/>
        </w:tabs>
      </w:pPr>
      <w:rPr>
        <w:rFonts w:hint="eastAsia"/>
      </w:rPr>
    </w:lvl>
  </w:abstractNum>
  <w:abstractNum w:abstractNumId="4">
    <w:multiLevelType w:val="hybridMultilevel"/>
    <w:lvl w:ilvl="0">
      <w:start w:val="1"/>
      <w:numFmt w:val="decimalEnclosedCircleChinese"/>
      <w:isLgl w:val="false"/>
      <w:suff w:val="nothing"/>
      <w:lvlText w:val="%1　"/>
      <w:lvlJc w:val="left"/>
      <w:pPr>
        <w:pStyle w:val="1139"/>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4"/>
      <w:isLgl w:val="false"/>
      <w:suff w:val="tab"/>
      <w:lvlText w:val="%1."/>
      <w:lvlJc w:val="left"/>
      <w:pPr>
        <w:pStyle w:val="1139"/>
        <w:ind w:left="420" w:hanging="420"/>
      </w:pPr>
    </w:lvl>
    <w:lvl w:ilvl="1">
      <w:start w:val="1"/>
      <w:numFmt w:val="decimal"/>
      <w:isLgl w:val="false"/>
      <w:suff w:val="tab"/>
      <w:lvlText w:val="（%2）"/>
      <w:lvlJc w:val="left"/>
      <w:pPr>
        <w:pStyle w:val="1139"/>
        <w:ind w:left="1140" w:hanging="720"/>
        <w:tabs>
          <w:tab w:val="num" w:pos="1140" w:leader="none"/>
        </w:tabs>
      </w:pPr>
      <w:rPr>
        <w:rFonts w:hint="eastAsia"/>
      </w:rPr>
    </w:lvl>
    <w:lvl w:ilvl="2">
      <w:start w:val="1"/>
      <w:numFmt w:val="lowerRoman"/>
      <w:isLgl w:val="false"/>
      <w:suff w:val="tab"/>
      <w:lvlText w:val="%3."/>
      <w:lvlJc w:val="right"/>
      <w:pPr>
        <w:pStyle w:val="1139"/>
        <w:ind w:left="1260" w:hanging="420"/>
      </w:pPr>
    </w:lvl>
    <w:lvl w:ilvl="3">
      <w:start w:val="1"/>
      <w:numFmt w:val="decimal"/>
      <w:isLgl w:val="false"/>
      <w:suff w:val="tab"/>
      <w:lvlText w:val="%4."/>
      <w:lvlJc w:val="left"/>
      <w:pPr>
        <w:pStyle w:val="1139"/>
        <w:ind w:left="1680" w:hanging="420"/>
      </w:pPr>
    </w:lvl>
    <w:lvl w:ilvl="4">
      <w:start w:val="1"/>
      <w:numFmt w:val="lowerLetter"/>
      <w:isLgl w:val="false"/>
      <w:suff w:val="tab"/>
      <w:lvlText w:val="%5)"/>
      <w:lvlJc w:val="left"/>
      <w:pPr>
        <w:pStyle w:val="1139"/>
        <w:ind w:left="2100" w:hanging="420"/>
      </w:pPr>
    </w:lvl>
    <w:lvl w:ilvl="5">
      <w:start w:val="1"/>
      <w:numFmt w:val="lowerRoman"/>
      <w:isLgl w:val="false"/>
      <w:suff w:val="tab"/>
      <w:lvlText w:val="%6."/>
      <w:lvlJc w:val="right"/>
      <w:pPr>
        <w:pStyle w:val="1139"/>
        <w:ind w:left="2520" w:hanging="420"/>
      </w:pPr>
    </w:lvl>
    <w:lvl w:ilvl="6">
      <w:start w:val="1"/>
      <w:numFmt w:val="decimal"/>
      <w:isLgl w:val="false"/>
      <w:suff w:val="tab"/>
      <w:lvlText w:val="%7."/>
      <w:lvlJc w:val="left"/>
      <w:pPr>
        <w:pStyle w:val="1139"/>
        <w:ind w:left="2940" w:hanging="420"/>
      </w:pPr>
    </w:lvl>
    <w:lvl w:ilvl="7">
      <w:start w:val="1"/>
      <w:numFmt w:val="lowerLetter"/>
      <w:isLgl w:val="false"/>
      <w:suff w:val="tab"/>
      <w:lvlText w:val="%8)"/>
      <w:lvlJc w:val="left"/>
      <w:pPr>
        <w:pStyle w:val="1139"/>
        <w:ind w:left="3360" w:hanging="420"/>
      </w:pPr>
    </w:lvl>
    <w:lvl w:ilvl="8">
      <w:start w:val="1"/>
      <w:numFmt w:val="lowerRoman"/>
      <w:isLgl w:val="false"/>
      <w:suff w:val="tab"/>
      <w:lvlText w:val="%9."/>
      <w:lvlJc w:val="right"/>
      <w:pPr>
        <w:pStyle w:val="1139"/>
        <w:ind w:left="3780" w:hanging="420"/>
      </w:pPr>
    </w:lvl>
  </w:abstractNum>
  <w:abstractNum w:abstractNumId="6">
    <w:multiLevelType w:val="hybridMultilevel"/>
    <w:lvl w:ilvl="0">
      <w:start w:val="1"/>
      <w:numFmt w:val="lowerLetter"/>
      <w:pStyle w:val="1308"/>
      <w:isLgl w:val="false"/>
      <w:suff w:val="tab"/>
      <w:lvlText w:val="%1)"/>
      <w:lvlJc w:val="left"/>
      <w:pPr>
        <w:pStyle w:val="1139"/>
        <w:ind w:left="902" w:hanging="420"/>
      </w:pPr>
      <w:rPr>
        <w:color w:val="000000"/>
      </w:rPr>
    </w:lvl>
    <w:lvl w:ilvl="1">
      <w:start w:val="1"/>
      <w:numFmt w:val="lowerLetter"/>
      <w:isLgl w:val="false"/>
      <w:suff w:val="tab"/>
      <w:lvlText w:val="%2)"/>
      <w:lvlJc w:val="left"/>
      <w:pPr>
        <w:pStyle w:val="1139"/>
        <w:ind w:left="1322" w:hanging="420"/>
      </w:pPr>
    </w:lvl>
    <w:lvl w:ilvl="2">
      <w:start w:val="1"/>
      <w:numFmt w:val="lowerRoman"/>
      <w:isLgl w:val="false"/>
      <w:suff w:val="tab"/>
      <w:lvlText w:val="%3."/>
      <w:lvlJc w:val="right"/>
      <w:pPr>
        <w:pStyle w:val="1139"/>
        <w:ind w:left="1742" w:hanging="420"/>
      </w:pPr>
    </w:lvl>
    <w:lvl w:ilvl="3">
      <w:start w:val="1"/>
      <w:numFmt w:val="decimal"/>
      <w:isLgl w:val="false"/>
      <w:suff w:val="tab"/>
      <w:lvlText w:val="%4."/>
      <w:lvlJc w:val="left"/>
      <w:pPr>
        <w:pStyle w:val="1139"/>
        <w:ind w:left="2162" w:hanging="420"/>
      </w:pPr>
    </w:lvl>
    <w:lvl w:ilvl="4">
      <w:start w:val="1"/>
      <w:numFmt w:val="lowerLetter"/>
      <w:isLgl w:val="false"/>
      <w:suff w:val="tab"/>
      <w:lvlText w:val="%5)"/>
      <w:lvlJc w:val="left"/>
      <w:pPr>
        <w:pStyle w:val="1139"/>
        <w:ind w:left="2582" w:hanging="420"/>
      </w:pPr>
    </w:lvl>
    <w:lvl w:ilvl="5">
      <w:start w:val="1"/>
      <w:numFmt w:val="lowerRoman"/>
      <w:isLgl w:val="false"/>
      <w:suff w:val="tab"/>
      <w:lvlText w:val="%6."/>
      <w:lvlJc w:val="right"/>
      <w:pPr>
        <w:pStyle w:val="1139"/>
        <w:ind w:left="3002" w:hanging="420"/>
      </w:pPr>
    </w:lvl>
    <w:lvl w:ilvl="6">
      <w:start w:val="1"/>
      <w:numFmt w:val="decimal"/>
      <w:isLgl w:val="false"/>
      <w:suff w:val="tab"/>
      <w:lvlText w:val="%7."/>
      <w:lvlJc w:val="left"/>
      <w:pPr>
        <w:pStyle w:val="1139"/>
        <w:ind w:left="3422" w:hanging="420"/>
      </w:pPr>
    </w:lvl>
    <w:lvl w:ilvl="7">
      <w:start w:val="1"/>
      <w:numFmt w:val="lowerLetter"/>
      <w:isLgl w:val="false"/>
      <w:suff w:val="tab"/>
      <w:lvlText w:val="%8)"/>
      <w:lvlJc w:val="left"/>
      <w:pPr>
        <w:pStyle w:val="1139"/>
        <w:ind w:left="3842" w:hanging="420"/>
      </w:pPr>
    </w:lvl>
    <w:lvl w:ilvl="8">
      <w:start w:val="1"/>
      <w:numFmt w:val="lowerRoman"/>
      <w:isLgl w:val="false"/>
      <w:suff w:val="tab"/>
      <w:lvlText w:val="%9."/>
      <w:lvlJc w:val="right"/>
      <w:pPr>
        <w:pStyle w:val="1139"/>
        <w:ind w:left="4262" w:hanging="420"/>
      </w:pPr>
    </w:lvl>
  </w:abstractNum>
  <w:abstractNum w:abstractNumId="7">
    <w:multiLevelType w:val="hybridMultilevel"/>
    <w:lvl w:ilvl="0">
      <w:start w:val="1"/>
      <w:numFmt w:val="decimal"/>
      <w:pStyle w:val="1271"/>
      <w:isLgl w:val="false"/>
      <w:suff w:val="tab"/>
      <w:lvlText w:val="%1."/>
      <w:lvlJc w:val="left"/>
      <w:pPr>
        <w:pStyle w:val="113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07"/>
      <w:isLgl w:val="false"/>
      <w:suff w:val="nothing"/>
      <w:lvlText w:val="%1　"/>
      <w:lvlJc w:val="left"/>
      <w:pPr>
        <w:pStyle w:val="113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3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39"/>
        <w:ind w:left="-25" w:firstLine="0"/>
      </w:pPr>
      <w:rPr>
        <w:rFonts w:ascii="Times New Roman" w:hAnsi="Times New Roman" w:eastAsia="黑体"/>
        <w:b/>
        <w:i w:val="0"/>
        <w:sz w:val="28"/>
      </w:rPr>
    </w:lvl>
    <w:lvl w:ilvl="3">
      <w:start w:val="1"/>
      <w:numFmt w:val="decimal"/>
      <w:pStyle w:val="1334"/>
      <w:isLgl w:val="false"/>
      <w:suff w:val="nothing"/>
      <w:lvlText w:val="%1.%2.%3.%4　"/>
      <w:lvlJc w:val="left"/>
      <w:pPr>
        <w:pStyle w:val="113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3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39"/>
        <w:ind w:left="-25" w:firstLine="0"/>
      </w:pPr>
      <w:rPr>
        <w:rFonts w:ascii="Times New Roman" w:hAnsi="Times New Roman" w:eastAsia="宋体"/>
        <w:b/>
        <w:i w:val="0"/>
        <w:sz w:val="28"/>
      </w:rPr>
    </w:lvl>
    <w:lvl w:ilvl="6">
      <w:start w:val="1"/>
      <w:numFmt w:val="lowerLetter"/>
      <w:pStyle w:val="1301"/>
      <w:isLgl w:val="false"/>
      <w:suff w:val="tab"/>
      <w:lvlText w:val="%7) "/>
      <w:lvlJc w:val="left"/>
      <w:pPr>
        <w:pStyle w:val="1139"/>
        <w:ind w:left="-125" w:firstLine="400"/>
        <w:tabs>
          <w:tab w:val="num" w:pos="635" w:leader="none"/>
        </w:tabs>
      </w:pPr>
      <w:rPr>
        <w:rFonts w:ascii="Times New Roman" w:hAnsi="Times New Roman" w:eastAsia="宋体"/>
        <w:b/>
        <w:i w:val="0"/>
        <w:color w:val="000000"/>
        <w:sz w:val="28"/>
        <w:u w:val="none"/>
      </w:rPr>
    </w:lvl>
    <w:lvl w:ilvl="7">
      <w:start w:val="1"/>
      <w:numFmt w:val="decimal"/>
      <w:pStyle w:val="1342"/>
      <w:isLgl w:val="false"/>
      <w:suff w:val="tab"/>
      <w:lvlText w:val="%8) "/>
      <w:lvlJc w:val="left"/>
      <w:pPr>
        <w:pStyle w:val="113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39"/>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1139"/>
        <w:ind w:left="768" w:hanging="360"/>
        <w:tabs>
          <w:tab w:val="num" w:pos="768" w:leader="none"/>
        </w:tabs>
      </w:pPr>
      <w:rPr>
        <w:rFonts w:hint="eastAsia"/>
      </w:rPr>
    </w:lvl>
    <w:lvl w:ilvl="1">
      <w:start w:val="1"/>
      <w:numFmt w:val="decimal"/>
      <w:pStyle w:val="1350"/>
      <w:isLgl w:val="false"/>
      <w:suff w:val="tab"/>
      <w:lvlText w:val="%2、"/>
      <w:lvlJc w:val="left"/>
      <w:pPr>
        <w:pStyle w:val="1139"/>
        <w:ind w:left="1188" w:hanging="360"/>
        <w:tabs>
          <w:tab w:val="num" w:pos="1188" w:leader="none"/>
        </w:tabs>
      </w:pPr>
      <w:rPr>
        <w:rFonts w:hint="eastAsia"/>
      </w:rPr>
    </w:lvl>
    <w:lvl w:ilvl="2">
      <w:start w:val="1"/>
      <w:numFmt w:val="decimal"/>
      <w:isLgl w:val="false"/>
      <w:suff w:val="tab"/>
      <w:lvlText w:val="（%3）"/>
      <w:lvlJc w:val="left"/>
      <w:pPr>
        <w:pStyle w:val="1139"/>
        <w:ind w:left="1968" w:hanging="720"/>
        <w:tabs>
          <w:tab w:val="num" w:pos="1968" w:leader="none"/>
        </w:tabs>
      </w:pPr>
      <w:rPr>
        <w:rFonts w:hint="eastAsia"/>
        <w:u w:val="none"/>
      </w:rPr>
    </w:lvl>
    <w:lvl w:ilvl="3">
      <w:start w:val="1"/>
      <w:numFmt w:val="decimal"/>
      <w:isLgl w:val="false"/>
      <w:suff w:val="tab"/>
      <w:lvlText w:val="%4."/>
      <w:lvlJc w:val="left"/>
      <w:pPr>
        <w:pStyle w:val="1139"/>
        <w:ind w:left="2088" w:hanging="420"/>
        <w:tabs>
          <w:tab w:val="num" w:pos="2088" w:leader="none"/>
        </w:tabs>
      </w:pPr>
    </w:lvl>
    <w:lvl w:ilvl="4">
      <w:start w:val="1"/>
      <w:numFmt w:val="lowerLetter"/>
      <w:isLgl w:val="false"/>
      <w:suff w:val="tab"/>
      <w:lvlText w:val="%5)"/>
      <w:lvlJc w:val="left"/>
      <w:pPr>
        <w:pStyle w:val="1139"/>
        <w:ind w:left="2508" w:hanging="420"/>
        <w:tabs>
          <w:tab w:val="num" w:pos="2508" w:leader="none"/>
        </w:tabs>
      </w:pPr>
    </w:lvl>
    <w:lvl w:ilvl="5">
      <w:start w:val="1"/>
      <w:numFmt w:val="lowerRoman"/>
      <w:isLgl w:val="false"/>
      <w:suff w:val="tab"/>
      <w:lvlText w:val="%6."/>
      <w:lvlJc w:val="right"/>
      <w:pPr>
        <w:pStyle w:val="1139"/>
        <w:ind w:left="2928" w:hanging="420"/>
        <w:tabs>
          <w:tab w:val="num" w:pos="2928" w:leader="none"/>
        </w:tabs>
      </w:pPr>
    </w:lvl>
    <w:lvl w:ilvl="6">
      <w:start w:val="1"/>
      <w:numFmt w:val="decimal"/>
      <w:isLgl w:val="false"/>
      <w:suff w:val="tab"/>
      <w:lvlText w:val="%7."/>
      <w:lvlJc w:val="left"/>
      <w:pPr>
        <w:pStyle w:val="1139"/>
        <w:ind w:left="3348" w:hanging="420"/>
        <w:tabs>
          <w:tab w:val="num" w:pos="3348" w:leader="none"/>
        </w:tabs>
      </w:pPr>
    </w:lvl>
    <w:lvl w:ilvl="7">
      <w:start w:val="1"/>
      <w:numFmt w:val="lowerLetter"/>
      <w:isLgl w:val="false"/>
      <w:suff w:val="tab"/>
      <w:lvlText w:val="%8)"/>
      <w:lvlJc w:val="left"/>
      <w:pPr>
        <w:pStyle w:val="1139"/>
        <w:ind w:left="3768" w:hanging="420"/>
        <w:tabs>
          <w:tab w:val="num" w:pos="3768" w:leader="none"/>
        </w:tabs>
      </w:pPr>
    </w:lvl>
    <w:lvl w:ilvl="8">
      <w:start w:val="1"/>
      <w:numFmt w:val="lowerRoman"/>
      <w:isLgl w:val="false"/>
      <w:suff w:val="tab"/>
      <w:lvlText w:val="%9."/>
      <w:lvlJc w:val="right"/>
      <w:pPr>
        <w:pStyle w:val="1139"/>
        <w:ind w:left="4188" w:hanging="420"/>
        <w:tabs>
          <w:tab w:val="num" w:pos="4188" w:leader="none"/>
        </w:tabs>
      </w:pPr>
    </w:lvl>
  </w:abstractNum>
  <w:abstractNum w:abstractNumId="10">
    <w:multiLevelType w:val="hybridMultilevel"/>
    <w:lvl w:ilvl="0">
      <w:start w:val="1"/>
      <w:numFmt w:val="decimal"/>
      <w:pStyle w:val="1293"/>
      <w:isLgl w:val="false"/>
      <w:suff w:val="tab"/>
      <w:lvlText w:val="%1)"/>
      <w:lvlJc w:val="left"/>
      <w:pPr>
        <w:pStyle w:val="1139"/>
        <w:ind w:left="420" w:hanging="420"/>
      </w:pPr>
    </w:lvl>
    <w:lvl w:ilvl="1">
      <w:start w:val="1"/>
      <w:numFmt w:val="lowerLetter"/>
      <w:isLgl w:val="false"/>
      <w:suff w:val="tab"/>
      <w:lvlText w:val="%2)"/>
      <w:lvlJc w:val="left"/>
      <w:pPr>
        <w:pStyle w:val="1139"/>
        <w:ind w:left="840" w:hanging="420"/>
      </w:pPr>
    </w:lvl>
    <w:lvl w:ilvl="2">
      <w:start w:val="1"/>
      <w:numFmt w:val="lowerRoman"/>
      <w:isLgl w:val="false"/>
      <w:suff w:val="tab"/>
      <w:lvlText w:val="%3."/>
      <w:lvlJc w:val="right"/>
      <w:pPr>
        <w:pStyle w:val="1139"/>
        <w:ind w:left="1260" w:hanging="420"/>
      </w:pPr>
    </w:lvl>
    <w:lvl w:ilvl="3">
      <w:start w:val="1"/>
      <w:numFmt w:val="decimal"/>
      <w:isLgl w:val="false"/>
      <w:suff w:val="tab"/>
      <w:lvlText w:val="%4."/>
      <w:lvlJc w:val="left"/>
      <w:pPr>
        <w:pStyle w:val="1139"/>
        <w:ind w:left="1680" w:hanging="420"/>
      </w:pPr>
    </w:lvl>
    <w:lvl w:ilvl="4">
      <w:start w:val="1"/>
      <w:numFmt w:val="lowerLetter"/>
      <w:isLgl w:val="false"/>
      <w:suff w:val="tab"/>
      <w:lvlText w:val="%5)"/>
      <w:lvlJc w:val="left"/>
      <w:pPr>
        <w:pStyle w:val="1139"/>
        <w:ind w:left="2100" w:hanging="420"/>
      </w:pPr>
    </w:lvl>
    <w:lvl w:ilvl="5">
      <w:start w:val="1"/>
      <w:numFmt w:val="lowerRoman"/>
      <w:isLgl w:val="false"/>
      <w:suff w:val="tab"/>
      <w:lvlText w:val="%6."/>
      <w:lvlJc w:val="right"/>
      <w:pPr>
        <w:pStyle w:val="1139"/>
        <w:ind w:left="2520" w:hanging="420"/>
      </w:pPr>
    </w:lvl>
    <w:lvl w:ilvl="6">
      <w:start w:val="1"/>
      <w:numFmt w:val="decimal"/>
      <w:isLgl w:val="false"/>
      <w:suff w:val="tab"/>
      <w:lvlText w:val="%7."/>
      <w:lvlJc w:val="left"/>
      <w:pPr>
        <w:pStyle w:val="1139"/>
        <w:ind w:left="2940" w:hanging="420"/>
      </w:pPr>
    </w:lvl>
    <w:lvl w:ilvl="7">
      <w:start w:val="1"/>
      <w:numFmt w:val="lowerLetter"/>
      <w:isLgl w:val="false"/>
      <w:suff w:val="tab"/>
      <w:lvlText w:val="%8)"/>
      <w:lvlJc w:val="left"/>
      <w:pPr>
        <w:pStyle w:val="1139"/>
        <w:ind w:left="3360" w:hanging="420"/>
      </w:pPr>
    </w:lvl>
    <w:lvl w:ilvl="8">
      <w:start w:val="1"/>
      <w:numFmt w:val="lowerRoman"/>
      <w:isLgl w:val="false"/>
      <w:suff w:val="tab"/>
      <w:lvlText w:val="%9."/>
      <w:lvlJc w:val="right"/>
      <w:pPr>
        <w:pStyle w:val="1139"/>
        <w:ind w:left="3780" w:hanging="420"/>
      </w:pPr>
    </w:lvl>
  </w:abstractNum>
  <w:abstractNum w:abstractNumId="11">
    <w:multiLevelType w:val="hybridMultilevel"/>
    <w:lvl w:ilvl="0">
      <w:start w:val="1"/>
      <w:numFmt w:val="decimalEnclosedCircleChinese"/>
      <w:isLgl w:val="false"/>
      <w:suff w:val="nothing"/>
      <w:lvlText w:val="%1　"/>
      <w:lvlJc w:val="left"/>
      <w:pPr>
        <w:pStyle w:val="113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27"/>
      <w:isLgl w:val="false"/>
      <w:suff w:val="tab"/>
      <w:lvlText w:val="%1"/>
      <w:lvlJc w:val="left"/>
      <w:pPr>
        <w:pStyle w:val="1139"/>
        <w:ind w:left="680" w:hanging="680"/>
      </w:pPr>
      <w:rPr>
        <w:rFonts w:hint="eastAsia" w:ascii="宋体" w:hAnsi="宋体" w:eastAsia="宋体"/>
      </w:rPr>
    </w:lvl>
    <w:lvl w:ilvl="1">
      <w:start w:val="1"/>
      <w:numFmt w:val="decimal"/>
      <w:pStyle w:val="1320"/>
      <w:isLgl w:val="false"/>
      <w:suff w:val="tab"/>
      <w:lvlText w:val="%1.%2"/>
      <w:lvlJc w:val="left"/>
      <w:pPr>
        <w:pStyle w:val="1139"/>
        <w:ind w:left="851" w:hanging="851"/>
      </w:pPr>
      <w:rPr>
        <w:rFonts w:hint="eastAsia" w:ascii="宋体" w:hAnsi="宋体" w:eastAsia="宋体"/>
        <w:color w:val="000000"/>
      </w:rPr>
    </w:lvl>
    <w:lvl w:ilvl="2">
      <w:start w:val="1"/>
      <w:numFmt w:val="decimal"/>
      <w:pStyle w:val="1324"/>
      <w:isLgl w:val="false"/>
      <w:suff w:val="tab"/>
      <w:lvlText w:val="%1.%2.%3"/>
      <w:lvlJc w:val="left"/>
      <w:pPr>
        <w:pStyle w:val="1139"/>
        <w:ind w:left="851" w:hanging="851"/>
      </w:pPr>
      <w:rPr>
        <w:rFonts w:hint="eastAsia"/>
      </w:rPr>
    </w:lvl>
    <w:lvl w:ilvl="3">
      <w:start w:val="1"/>
      <w:numFmt w:val="decimal"/>
      <w:isLgl w:val="false"/>
      <w:suff w:val="tab"/>
      <w:lvlText w:val="%1.%2.%3.%4"/>
      <w:lvlJc w:val="left"/>
      <w:pPr>
        <w:pStyle w:val="1139"/>
        <w:ind w:left="680" w:hanging="680"/>
      </w:pPr>
      <w:rPr>
        <w:rFonts w:hint="eastAsia"/>
      </w:rPr>
    </w:lvl>
    <w:lvl w:ilvl="4">
      <w:start w:val="1"/>
      <w:numFmt w:val="decimal"/>
      <w:isLgl w:val="false"/>
      <w:suff w:val="tab"/>
      <w:lvlText w:val="%1.%2.%3.%4.%5"/>
      <w:lvlJc w:val="left"/>
      <w:pPr>
        <w:pStyle w:val="1139"/>
        <w:ind w:left="680" w:hanging="680"/>
      </w:pPr>
      <w:rPr>
        <w:rFonts w:hint="eastAsia"/>
      </w:rPr>
    </w:lvl>
    <w:lvl w:ilvl="5">
      <w:start w:val="1"/>
      <w:numFmt w:val="decimal"/>
      <w:isLgl w:val="false"/>
      <w:suff w:val="tab"/>
      <w:lvlText w:val="%1.%2.%3.%4.%5.%6"/>
      <w:lvlJc w:val="left"/>
      <w:pPr>
        <w:pStyle w:val="1139"/>
        <w:ind w:left="680" w:hanging="680"/>
      </w:pPr>
      <w:rPr>
        <w:rFonts w:hint="eastAsia"/>
      </w:rPr>
    </w:lvl>
    <w:lvl w:ilvl="6">
      <w:start w:val="1"/>
      <w:numFmt w:val="decimal"/>
      <w:isLgl w:val="false"/>
      <w:suff w:val="tab"/>
      <w:lvlText w:val="%1.%2.%3.%4.%5.%6.%7"/>
      <w:lvlJc w:val="left"/>
      <w:pPr>
        <w:pStyle w:val="1139"/>
        <w:ind w:left="680" w:hanging="680"/>
      </w:pPr>
      <w:rPr>
        <w:rFonts w:hint="eastAsia"/>
      </w:rPr>
    </w:lvl>
    <w:lvl w:ilvl="7">
      <w:start w:val="1"/>
      <w:numFmt w:val="decimal"/>
      <w:isLgl w:val="false"/>
      <w:suff w:val="tab"/>
      <w:lvlText w:val="%1.%2.%3.%4.%5.%6.%7.%8"/>
      <w:lvlJc w:val="left"/>
      <w:pPr>
        <w:pStyle w:val="1139"/>
        <w:ind w:left="680" w:hanging="680"/>
      </w:pPr>
      <w:rPr>
        <w:rFonts w:hint="eastAsia"/>
      </w:rPr>
    </w:lvl>
    <w:lvl w:ilvl="8">
      <w:start w:val="1"/>
      <w:numFmt w:val="decimal"/>
      <w:isLgl w:val="false"/>
      <w:suff w:val="tab"/>
      <w:lvlText w:val="%1.%2.%3.%4.%5.%6.%7.%8.%9"/>
      <w:lvlJc w:val="left"/>
      <w:pPr>
        <w:pStyle w:val="1139"/>
        <w:ind w:left="680" w:hanging="680"/>
      </w:pPr>
      <w:rPr>
        <w:rFonts w:hint="eastAsia"/>
      </w:rPr>
    </w:lvl>
  </w:abstractNum>
  <w:abstractNum w:abstractNumId="13">
    <w:multiLevelType w:val="hybridMultilevel"/>
    <w:lvl w:ilvl="0">
      <w:start w:val="1"/>
      <w:numFmt w:val="decimalEnclosedCircleChinese"/>
      <w:isLgl w:val="false"/>
      <w:suff w:val="nothing"/>
      <w:lvlText w:val="%1　"/>
      <w:lvlJc w:val="left"/>
      <w:pPr>
        <w:pStyle w:val="113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11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39"/>
        <w:ind w:left="900" w:hanging="900"/>
        <w:tabs>
          <w:tab w:val="num" w:pos="900" w:leader="none"/>
        </w:tabs>
      </w:pPr>
      <w:rPr>
        <w:rFonts w:hint="eastAsia"/>
      </w:rPr>
    </w:lvl>
    <w:lvl w:ilvl="1">
      <w:start w:val="1"/>
      <w:numFmt w:val="decimal"/>
      <w:isLgl w:val="false"/>
      <w:suff w:val="tab"/>
      <w:lvlText w:val="%1.%2"/>
      <w:lvlJc w:val="left"/>
      <w:pPr>
        <w:pStyle w:val="113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9"/>
        <w:ind w:left="1980" w:hanging="900"/>
        <w:tabs>
          <w:tab w:val="num" w:pos="1980" w:leader="none"/>
        </w:tabs>
      </w:pPr>
      <w:rPr>
        <w:rFonts w:hint="eastAsia"/>
      </w:rPr>
    </w:lvl>
    <w:lvl w:ilvl="3">
      <w:start w:val="1"/>
      <w:numFmt w:val="decimal"/>
      <w:isLgl w:val="false"/>
      <w:suff w:val="tab"/>
      <w:lvlText w:val="%1.%2.%3.%4"/>
      <w:lvlJc w:val="left"/>
      <w:pPr>
        <w:pStyle w:val="1139"/>
        <w:ind w:left="900" w:hanging="900"/>
        <w:tabs>
          <w:tab w:val="num" w:pos="900" w:leader="none"/>
        </w:tabs>
      </w:pPr>
      <w:rPr>
        <w:rFonts w:hint="eastAsia"/>
      </w:rPr>
    </w:lvl>
    <w:lvl w:ilvl="4">
      <w:start w:val="1"/>
      <w:numFmt w:val="decimal"/>
      <w:isLgl w:val="false"/>
      <w:suff w:val="tab"/>
      <w:lvlText w:val="%1.%2.%3.%4.%5"/>
      <w:lvlJc w:val="left"/>
      <w:pPr>
        <w:pStyle w:val="1139"/>
        <w:ind w:left="900" w:hanging="900"/>
        <w:tabs>
          <w:tab w:val="num" w:pos="900" w:leader="none"/>
        </w:tabs>
      </w:pPr>
      <w:rPr>
        <w:rFonts w:hint="eastAsia"/>
      </w:rPr>
    </w:lvl>
    <w:lvl w:ilvl="5">
      <w:start w:val="1"/>
      <w:numFmt w:val="decimal"/>
      <w:isLgl w:val="false"/>
      <w:suff w:val="tab"/>
      <w:lvlText w:val="%1.%2.%3.%4.%5.%6"/>
      <w:lvlJc w:val="left"/>
      <w:pPr>
        <w:pStyle w:val="1139"/>
        <w:ind w:left="900" w:hanging="900"/>
        <w:tabs>
          <w:tab w:val="num" w:pos="900" w:leader="none"/>
        </w:tabs>
      </w:pPr>
      <w:rPr>
        <w:rFonts w:hint="eastAsia"/>
      </w:rPr>
    </w:lvl>
    <w:lvl w:ilvl="6">
      <w:start w:val="1"/>
      <w:numFmt w:val="decimal"/>
      <w:isLgl w:val="false"/>
      <w:suff w:val="tab"/>
      <w:lvlText w:val="%1.%2.%3.%4.%5.%6.%7"/>
      <w:lvlJc w:val="left"/>
      <w:pPr>
        <w:pStyle w:val="1139"/>
        <w:ind w:left="900" w:hanging="900"/>
        <w:tabs>
          <w:tab w:val="num" w:pos="900" w:leader="none"/>
        </w:tabs>
      </w:pPr>
      <w:rPr>
        <w:rFonts w:hint="eastAsia"/>
      </w:rPr>
    </w:lvl>
    <w:lvl w:ilvl="7">
      <w:start w:val="1"/>
      <w:numFmt w:val="decimal"/>
      <w:isLgl w:val="false"/>
      <w:suff w:val="tab"/>
      <w:lvlText w:val="%1.%2.%3.%4.%5.%6.%7.%8"/>
      <w:lvlJc w:val="left"/>
      <w:pPr>
        <w:pStyle w:val="1139"/>
        <w:ind w:left="900" w:hanging="900"/>
        <w:tabs>
          <w:tab w:val="num" w:pos="900" w:leader="none"/>
        </w:tabs>
      </w:pPr>
      <w:rPr>
        <w:rFonts w:hint="eastAsia"/>
      </w:rPr>
    </w:lvl>
    <w:lvl w:ilvl="8">
      <w:start w:val="1"/>
      <w:numFmt w:val="decimal"/>
      <w:isLgl w:val="false"/>
      <w:suff w:val="tab"/>
      <w:lvlText w:val="%1.%2.%3.%4.%5.%6.%7.%8.%9"/>
      <w:lvlJc w:val="left"/>
      <w:pPr>
        <w:pStyle w:val="1139"/>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1139"/>
        <w:ind w:left="205" w:hanging="322"/>
      </w:pPr>
      <w:rPr>
        <w:rFonts w:ascii="仿宋" w:hAnsi="仿宋" w:eastAsia="仿宋" w:cs="仿宋"/>
        <w:spacing w:val="-46"/>
        <w:sz w:val="30"/>
        <w:szCs w:val="30"/>
      </w:rPr>
    </w:lvl>
    <w:lvl w:ilvl="1">
      <w:start w:val="1"/>
      <w:numFmt w:val="lowerLetter"/>
      <w:isLgl w:val="false"/>
      <w:suff w:val="tab"/>
      <w:lvlText w:val="%2)"/>
      <w:lvlJc w:val="left"/>
      <w:pPr>
        <w:pStyle w:val="1139"/>
        <w:ind w:left="840" w:hanging="420"/>
      </w:pPr>
    </w:lvl>
    <w:lvl w:ilvl="2">
      <w:start w:val="1"/>
      <w:numFmt w:val="lowerRoman"/>
      <w:isLgl w:val="false"/>
      <w:suff w:val="tab"/>
      <w:lvlText w:val="%3."/>
      <w:lvlJc w:val="right"/>
      <w:pPr>
        <w:pStyle w:val="1139"/>
        <w:ind w:left="1260" w:hanging="420"/>
      </w:pPr>
    </w:lvl>
    <w:lvl w:ilvl="3">
      <w:start w:val="1"/>
      <w:numFmt w:val="decimal"/>
      <w:isLgl w:val="false"/>
      <w:suff w:val="tab"/>
      <w:lvlText w:val="%4."/>
      <w:lvlJc w:val="left"/>
      <w:pPr>
        <w:pStyle w:val="1139"/>
        <w:ind w:left="1680" w:hanging="420"/>
      </w:pPr>
    </w:lvl>
    <w:lvl w:ilvl="4">
      <w:start w:val="1"/>
      <w:numFmt w:val="lowerLetter"/>
      <w:isLgl w:val="false"/>
      <w:suff w:val="tab"/>
      <w:lvlText w:val="%5)"/>
      <w:lvlJc w:val="left"/>
      <w:pPr>
        <w:pStyle w:val="1139"/>
        <w:ind w:left="2100" w:hanging="420"/>
      </w:pPr>
    </w:lvl>
    <w:lvl w:ilvl="5">
      <w:start w:val="1"/>
      <w:numFmt w:val="lowerRoman"/>
      <w:isLgl w:val="false"/>
      <w:suff w:val="tab"/>
      <w:lvlText w:val="%6."/>
      <w:lvlJc w:val="right"/>
      <w:pPr>
        <w:pStyle w:val="1139"/>
        <w:ind w:left="2520" w:hanging="420"/>
      </w:pPr>
    </w:lvl>
    <w:lvl w:ilvl="6">
      <w:start w:val="1"/>
      <w:numFmt w:val="decimal"/>
      <w:isLgl w:val="false"/>
      <w:suff w:val="tab"/>
      <w:lvlText w:val="%7."/>
      <w:lvlJc w:val="left"/>
      <w:pPr>
        <w:pStyle w:val="1139"/>
        <w:ind w:left="2940" w:hanging="420"/>
      </w:pPr>
    </w:lvl>
    <w:lvl w:ilvl="7">
      <w:start w:val="1"/>
      <w:numFmt w:val="lowerLetter"/>
      <w:isLgl w:val="false"/>
      <w:suff w:val="tab"/>
      <w:lvlText w:val="%8)"/>
      <w:lvlJc w:val="left"/>
      <w:pPr>
        <w:pStyle w:val="1139"/>
        <w:ind w:left="3360" w:hanging="420"/>
      </w:pPr>
    </w:lvl>
    <w:lvl w:ilvl="8">
      <w:start w:val="1"/>
      <w:numFmt w:val="lowerRoman"/>
      <w:isLgl w:val="false"/>
      <w:suff w:val="tab"/>
      <w:lvlText w:val="%9."/>
      <w:lvlJc w:val="right"/>
      <w:pPr>
        <w:pStyle w:val="1139"/>
        <w:ind w:left="3780" w:hanging="420"/>
      </w:pPr>
    </w:lvl>
  </w:abstractNum>
  <w:num w:numId="1">
    <w:abstractNumId w:val="7"/>
  </w:num>
  <w:num w:numId="2">
    <w:abstractNumId w:val="5"/>
  </w:num>
  <w:num w:numId="3">
    <w:abstractNumId w:val="10"/>
  </w:num>
  <w:num w:numId="4">
    <w:abstractNumId w:val="8"/>
  </w:num>
  <w:num w:numId="5">
    <w:abstractNumId w:val="6"/>
  </w:num>
  <w:num w:numId="6">
    <w:abstractNumId w:val="12"/>
  </w:num>
  <w:num w:numId="7">
    <w:abstractNumId w:val="9"/>
  </w:num>
  <w:num w:numId="8">
    <w:abstractNumId w:val="3"/>
  </w:num>
  <w:num w:numId="9">
    <w:abstractNumId w:val="15"/>
  </w:num>
  <w:num w:numId="10">
    <w:abstractNumId w:val="2"/>
  </w:num>
  <w:num w:numId="11">
    <w:abstractNumId w:val="11"/>
  </w:num>
  <w:num w:numId="12">
    <w:abstractNumId w:val="0"/>
  </w:num>
  <w:num w:numId="13">
    <w:abstractNumId w:val="13"/>
  </w:num>
  <w:num w:numId="14">
    <w:abstractNumId w:val="4"/>
  </w:num>
  <w:num w:numId="15">
    <w:abstractNumId w:val="14"/>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1">
    <w:name w:val="Heading 1"/>
    <w:basedOn w:val="1139"/>
    <w:next w:val="1139"/>
    <w:link w:val="962"/>
    <w:uiPriority w:val="9"/>
    <w:qFormat/>
    <w:pPr>
      <w:keepLines/>
      <w:keepNext/>
      <w:spacing w:before="480" w:after="200"/>
      <w:outlineLvl w:val="0"/>
    </w:pPr>
    <w:rPr>
      <w:rFonts w:ascii="Arial" w:hAnsi="Arial" w:eastAsia="Arial" w:cs="Arial"/>
      <w:sz w:val="40"/>
      <w:szCs w:val="40"/>
    </w:rPr>
  </w:style>
  <w:style w:type="character" w:styleId="962">
    <w:name w:val="Heading 1 Char"/>
    <w:link w:val="961"/>
    <w:uiPriority w:val="9"/>
    <w:rPr>
      <w:rFonts w:ascii="Arial" w:hAnsi="Arial" w:eastAsia="Arial" w:cs="Arial"/>
      <w:sz w:val="40"/>
      <w:szCs w:val="40"/>
    </w:rPr>
  </w:style>
  <w:style w:type="paragraph" w:styleId="963">
    <w:name w:val="Heading 2"/>
    <w:basedOn w:val="1139"/>
    <w:next w:val="1139"/>
    <w:link w:val="964"/>
    <w:uiPriority w:val="9"/>
    <w:unhideWhenUsed/>
    <w:qFormat/>
    <w:pPr>
      <w:keepLines/>
      <w:keepNext/>
      <w:spacing w:before="360" w:after="200"/>
      <w:outlineLvl w:val="1"/>
    </w:pPr>
    <w:rPr>
      <w:rFonts w:ascii="Arial" w:hAnsi="Arial" w:eastAsia="Arial" w:cs="Arial"/>
      <w:sz w:val="34"/>
    </w:rPr>
  </w:style>
  <w:style w:type="character" w:styleId="964">
    <w:name w:val="Heading 2 Char"/>
    <w:link w:val="963"/>
    <w:uiPriority w:val="9"/>
    <w:rPr>
      <w:rFonts w:ascii="Arial" w:hAnsi="Arial" w:eastAsia="Arial" w:cs="Arial"/>
      <w:sz w:val="34"/>
    </w:rPr>
  </w:style>
  <w:style w:type="paragraph" w:styleId="965">
    <w:name w:val="Heading 3"/>
    <w:basedOn w:val="1139"/>
    <w:next w:val="1139"/>
    <w:link w:val="966"/>
    <w:uiPriority w:val="9"/>
    <w:unhideWhenUsed/>
    <w:qFormat/>
    <w:pPr>
      <w:keepLines/>
      <w:keepNext/>
      <w:spacing w:before="320" w:after="200"/>
      <w:outlineLvl w:val="2"/>
    </w:pPr>
    <w:rPr>
      <w:rFonts w:ascii="Arial" w:hAnsi="Arial" w:eastAsia="Arial" w:cs="Arial"/>
      <w:sz w:val="30"/>
      <w:szCs w:val="30"/>
    </w:rPr>
  </w:style>
  <w:style w:type="character" w:styleId="966">
    <w:name w:val="Heading 3 Char"/>
    <w:link w:val="965"/>
    <w:uiPriority w:val="9"/>
    <w:rPr>
      <w:rFonts w:ascii="Arial" w:hAnsi="Arial" w:eastAsia="Arial" w:cs="Arial"/>
      <w:sz w:val="30"/>
      <w:szCs w:val="30"/>
    </w:rPr>
  </w:style>
  <w:style w:type="paragraph" w:styleId="967">
    <w:name w:val="Heading 4"/>
    <w:basedOn w:val="1139"/>
    <w:next w:val="1139"/>
    <w:link w:val="968"/>
    <w:uiPriority w:val="9"/>
    <w:unhideWhenUsed/>
    <w:qFormat/>
    <w:pPr>
      <w:keepLines/>
      <w:keepNext/>
      <w:spacing w:before="320" w:after="200"/>
      <w:outlineLvl w:val="3"/>
    </w:pPr>
    <w:rPr>
      <w:rFonts w:ascii="Arial" w:hAnsi="Arial" w:eastAsia="Arial" w:cs="Arial"/>
      <w:b/>
      <w:bCs/>
      <w:sz w:val="26"/>
      <w:szCs w:val="26"/>
    </w:rPr>
  </w:style>
  <w:style w:type="character" w:styleId="968">
    <w:name w:val="Heading 4 Char"/>
    <w:link w:val="967"/>
    <w:uiPriority w:val="9"/>
    <w:rPr>
      <w:rFonts w:ascii="Arial" w:hAnsi="Arial" w:eastAsia="Arial" w:cs="Arial"/>
      <w:b/>
      <w:bCs/>
      <w:sz w:val="26"/>
      <w:szCs w:val="26"/>
    </w:rPr>
  </w:style>
  <w:style w:type="paragraph" w:styleId="969">
    <w:name w:val="Heading 5"/>
    <w:basedOn w:val="1139"/>
    <w:next w:val="1139"/>
    <w:link w:val="970"/>
    <w:uiPriority w:val="9"/>
    <w:unhideWhenUsed/>
    <w:qFormat/>
    <w:pPr>
      <w:keepLines/>
      <w:keepNext/>
      <w:spacing w:before="320" w:after="200"/>
      <w:outlineLvl w:val="4"/>
    </w:pPr>
    <w:rPr>
      <w:rFonts w:ascii="Arial" w:hAnsi="Arial" w:eastAsia="Arial" w:cs="Arial"/>
      <w:b/>
      <w:bCs/>
      <w:sz w:val="24"/>
      <w:szCs w:val="24"/>
    </w:rPr>
  </w:style>
  <w:style w:type="character" w:styleId="970">
    <w:name w:val="Heading 5 Char"/>
    <w:link w:val="969"/>
    <w:uiPriority w:val="9"/>
    <w:rPr>
      <w:rFonts w:ascii="Arial" w:hAnsi="Arial" w:eastAsia="Arial" w:cs="Arial"/>
      <w:b/>
      <w:bCs/>
      <w:sz w:val="24"/>
      <w:szCs w:val="24"/>
    </w:rPr>
  </w:style>
  <w:style w:type="paragraph" w:styleId="971">
    <w:name w:val="Heading 6"/>
    <w:basedOn w:val="1139"/>
    <w:next w:val="1139"/>
    <w:link w:val="972"/>
    <w:uiPriority w:val="9"/>
    <w:unhideWhenUsed/>
    <w:qFormat/>
    <w:pPr>
      <w:keepLines/>
      <w:keepNext/>
      <w:spacing w:before="320" w:after="200"/>
      <w:outlineLvl w:val="5"/>
    </w:pPr>
    <w:rPr>
      <w:rFonts w:ascii="Arial" w:hAnsi="Arial" w:eastAsia="Arial" w:cs="Arial"/>
      <w:b/>
      <w:bCs/>
      <w:sz w:val="22"/>
      <w:szCs w:val="22"/>
    </w:rPr>
  </w:style>
  <w:style w:type="character" w:styleId="972">
    <w:name w:val="Heading 6 Char"/>
    <w:link w:val="971"/>
    <w:uiPriority w:val="9"/>
    <w:rPr>
      <w:rFonts w:ascii="Arial" w:hAnsi="Arial" w:eastAsia="Arial" w:cs="Arial"/>
      <w:b/>
      <w:bCs/>
      <w:sz w:val="22"/>
      <w:szCs w:val="22"/>
    </w:rPr>
  </w:style>
  <w:style w:type="paragraph" w:styleId="973">
    <w:name w:val="Heading 7"/>
    <w:basedOn w:val="1139"/>
    <w:next w:val="1139"/>
    <w:link w:val="974"/>
    <w:uiPriority w:val="9"/>
    <w:unhideWhenUsed/>
    <w:qFormat/>
    <w:pPr>
      <w:keepLines/>
      <w:keepNext/>
      <w:spacing w:before="320" w:after="200"/>
      <w:outlineLvl w:val="6"/>
    </w:pPr>
    <w:rPr>
      <w:rFonts w:ascii="Arial" w:hAnsi="Arial" w:eastAsia="Arial" w:cs="Arial"/>
      <w:b/>
      <w:bCs/>
      <w:i/>
      <w:iCs/>
      <w:sz w:val="22"/>
      <w:szCs w:val="22"/>
    </w:rPr>
  </w:style>
  <w:style w:type="character" w:styleId="974">
    <w:name w:val="Heading 7 Char"/>
    <w:link w:val="973"/>
    <w:uiPriority w:val="9"/>
    <w:rPr>
      <w:rFonts w:ascii="Arial" w:hAnsi="Arial" w:eastAsia="Arial" w:cs="Arial"/>
      <w:b/>
      <w:bCs/>
      <w:i/>
      <w:iCs/>
      <w:sz w:val="22"/>
      <w:szCs w:val="22"/>
    </w:rPr>
  </w:style>
  <w:style w:type="paragraph" w:styleId="975">
    <w:name w:val="Heading 8"/>
    <w:basedOn w:val="1139"/>
    <w:next w:val="1139"/>
    <w:link w:val="976"/>
    <w:uiPriority w:val="9"/>
    <w:unhideWhenUsed/>
    <w:qFormat/>
    <w:pPr>
      <w:keepLines/>
      <w:keepNext/>
      <w:spacing w:before="320" w:after="200"/>
      <w:outlineLvl w:val="7"/>
    </w:pPr>
    <w:rPr>
      <w:rFonts w:ascii="Arial" w:hAnsi="Arial" w:eastAsia="Arial" w:cs="Arial"/>
      <w:i/>
      <w:iCs/>
      <w:sz w:val="22"/>
      <w:szCs w:val="22"/>
    </w:rPr>
  </w:style>
  <w:style w:type="character" w:styleId="976">
    <w:name w:val="Heading 8 Char"/>
    <w:link w:val="975"/>
    <w:uiPriority w:val="9"/>
    <w:rPr>
      <w:rFonts w:ascii="Arial" w:hAnsi="Arial" w:eastAsia="Arial" w:cs="Arial"/>
      <w:i/>
      <w:iCs/>
      <w:sz w:val="22"/>
      <w:szCs w:val="22"/>
    </w:rPr>
  </w:style>
  <w:style w:type="paragraph" w:styleId="977">
    <w:name w:val="Heading 9"/>
    <w:basedOn w:val="1139"/>
    <w:next w:val="1139"/>
    <w:link w:val="978"/>
    <w:uiPriority w:val="9"/>
    <w:unhideWhenUsed/>
    <w:qFormat/>
    <w:pPr>
      <w:keepLines/>
      <w:keepNext/>
      <w:spacing w:before="320" w:after="200"/>
      <w:outlineLvl w:val="8"/>
    </w:pPr>
    <w:rPr>
      <w:rFonts w:ascii="Arial" w:hAnsi="Arial" w:eastAsia="Arial" w:cs="Arial"/>
      <w:i/>
      <w:iCs/>
      <w:sz w:val="21"/>
      <w:szCs w:val="21"/>
    </w:rPr>
  </w:style>
  <w:style w:type="character" w:styleId="978">
    <w:name w:val="Heading 9 Char"/>
    <w:link w:val="977"/>
    <w:uiPriority w:val="9"/>
    <w:rPr>
      <w:rFonts w:ascii="Arial" w:hAnsi="Arial" w:eastAsia="Arial" w:cs="Arial"/>
      <w:i/>
      <w:iCs/>
      <w:sz w:val="21"/>
      <w:szCs w:val="21"/>
    </w:rPr>
  </w:style>
  <w:style w:type="paragraph" w:styleId="979">
    <w:name w:val="List Paragraph"/>
    <w:basedOn w:val="1139"/>
    <w:uiPriority w:val="34"/>
    <w:qFormat/>
    <w:pPr>
      <w:contextualSpacing/>
      <w:ind w:left="720"/>
    </w:pPr>
  </w:style>
  <w:style w:type="paragraph" w:styleId="980">
    <w:name w:val="No Spacing"/>
    <w:uiPriority w:val="1"/>
    <w:qFormat/>
    <w:pPr>
      <w:spacing w:before="0" w:after="0" w:line="240" w:lineRule="auto"/>
    </w:pPr>
  </w:style>
  <w:style w:type="paragraph" w:styleId="981">
    <w:name w:val="Title"/>
    <w:basedOn w:val="1139"/>
    <w:next w:val="1139"/>
    <w:link w:val="982"/>
    <w:uiPriority w:val="10"/>
    <w:qFormat/>
    <w:pPr>
      <w:contextualSpacing/>
      <w:spacing w:before="300" w:after="200"/>
    </w:pPr>
    <w:rPr>
      <w:sz w:val="48"/>
      <w:szCs w:val="48"/>
    </w:rPr>
  </w:style>
  <w:style w:type="character" w:styleId="982">
    <w:name w:val="Title Char"/>
    <w:link w:val="981"/>
    <w:uiPriority w:val="10"/>
    <w:rPr>
      <w:sz w:val="48"/>
      <w:szCs w:val="48"/>
    </w:rPr>
  </w:style>
  <w:style w:type="paragraph" w:styleId="983">
    <w:name w:val="Subtitle"/>
    <w:basedOn w:val="1139"/>
    <w:next w:val="1139"/>
    <w:link w:val="984"/>
    <w:uiPriority w:val="11"/>
    <w:qFormat/>
    <w:pPr>
      <w:spacing w:before="200" w:after="200"/>
    </w:pPr>
    <w:rPr>
      <w:sz w:val="24"/>
      <w:szCs w:val="24"/>
    </w:rPr>
  </w:style>
  <w:style w:type="character" w:styleId="984">
    <w:name w:val="Subtitle Char"/>
    <w:link w:val="983"/>
    <w:uiPriority w:val="11"/>
    <w:rPr>
      <w:sz w:val="24"/>
      <w:szCs w:val="24"/>
    </w:rPr>
  </w:style>
  <w:style w:type="paragraph" w:styleId="985">
    <w:name w:val="Quote"/>
    <w:basedOn w:val="1139"/>
    <w:next w:val="1139"/>
    <w:link w:val="986"/>
    <w:uiPriority w:val="29"/>
    <w:qFormat/>
    <w:pPr>
      <w:ind w:left="720" w:right="720"/>
    </w:pPr>
    <w:rPr>
      <w:i/>
    </w:rPr>
  </w:style>
  <w:style w:type="character" w:styleId="986">
    <w:name w:val="Quote Char"/>
    <w:link w:val="985"/>
    <w:uiPriority w:val="29"/>
    <w:rPr>
      <w:i/>
    </w:rPr>
  </w:style>
  <w:style w:type="paragraph" w:styleId="987">
    <w:name w:val="Intense Quote"/>
    <w:basedOn w:val="1139"/>
    <w:next w:val="1139"/>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9"/>
    <w:link w:val="990"/>
    <w:uiPriority w:val="99"/>
    <w:unhideWhenUsed/>
    <w:pPr>
      <w:spacing w:after="0" w:line="240" w:lineRule="auto"/>
      <w:tabs>
        <w:tab w:val="center" w:pos="7143" w:leader="none"/>
        <w:tab w:val="right" w:pos="14287" w:leader="none"/>
      </w:tabs>
    </w:pPr>
  </w:style>
  <w:style w:type="character" w:styleId="990">
    <w:name w:val="Header Char"/>
    <w:link w:val="989"/>
    <w:uiPriority w:val="99"/>
  </w:style>
  <w:style w:type="paragraph" w:styleId="991">
    <w:name w:val="Footer"/>
    <w:basedOn w:val="1139"/>
    <w:link w:val="994"/>
    <w:uiPriority w:val="99"/>
    <w:unhideWhenUsed/>
    <w:pPr>
      <w:spacing w:after="0" w:line="240" w:lineRule="auto"/>
      <w:tabs>
        <w:tab w:val="center" w:pos="7143" w:leader="none"/>
        <w:tab w:val="right" w:pos="14287" w:leader="none"/>
      </w:tabs>
    </w:pPr>
  </w:style>
  <w:style w:type="character" w:styleId="992">
    <w:name w:val="Footer Char"/>
    <w:link w:val="991"/>
    <w:uiPriority w:val="99"/>
  </w:style>
  <w:style w:type="paragraph" w:styleId="993">
    <w:name w:val="Caption"/>
    <w:basedOn w:val="1139"/>
    <w:next w:val="1139"/>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1">
    <w:name w:val="Hyperlink"/>
    <w:uiPriority w:val="99"/>
    <w:unhideWhenUsed/>
    <w:rPr>
      <w:color w:val="0000ff" w:themeColor="hyperlink"/>
      <w:u w:val="single"/>
    </w:rPr>
  </w:style>
  <w:style w:type="paragraph" w:styleId="1122">
    <w:name w:val="footnote text"/>
    <w:basedOn w:val="1139"/>
    <w:link w:val="1123"/>
    <w:uiPriority w:val="99"/>
    <w:semiHidden/>
    <w:unhideWhenUsed/>
    <w:pPr>
      <w:spacing w:after="40" w:line="240" w:lineRule="auto"/>
    </w:pPr>
    <w:rPr>
      <w:sz w:val="18"/>
    </w:rPr>
  </w:style>
  <w:style w:type="character" w:styleId="1123">
    <w:name w:val="Footnote Text Char"/>
    <w:link w:val="1122"/>
    <w:uiPriority w:val="99"/>
    <w:rPr>
      <w:sz w:val="18"/>
    </w:rPr>
  </w:style>
  <w:style w:type="character" w:styleId="1124">
    <w:name w:val="footnote reference"/>
    <w:uiPriority w:val="99"/>
    <w:unhideWhenUsed/>
    <w:rPr>
      <w:vertAlign w:val="superscript"/>
    </w:rPr>
  </w:style>
  <w:style w:type="paragraph" w:styleId="1125">
    <w:name w:val="endnote text"/>
    <w:basedOn w:val="1139"/>
    <w:link w:val="1126"/>
    <w:uiPriority w:val="99"/>
    <w:semiHidden/>
    <w:unhideWhenUsed/>
    <w:pPr>
      <w:spacing w:after="0" w:line="240" w:lineRule="auto"/>
    </w:pPr>
    <w:rPr>
      <w:sz w:val="20"/>
    </w:rPr>
  </w:style>
  <w:style w:type="character" w:styleId="1126">
    <w:name w:val="Endnote Text Char"/>
    <w:link w:val="1125"/>
    <w:uiPriority w:val="99"/>
    <w:rPr>
      <w:sz w:val="20"/>
    </w:rPr>
  </w:style>
  <w:style w:type="character" w:styleId="1127">
    <w:name w:val="endnote reference"/>
    <w:uiPriority w:val="99"/>
    <w:semiHidden/>
    <w:unhideWhenUsed/>
    <w:rPr>
      <w:vertAlign w:val="superscript"/>
    </w:rPr>
  </w:style>
  <w:style w:type="paragraph" w:styleId="1128">
    <w:name w:val="toc 1"/>
    <w:basedOn w:val="1139"/>
    <w:next w:val="1139"/>
    <w:uiPriority w:val="39"/>
    <w:unhideWhenUsed/>
    <w:pPr>
      <w:ind w:left="0" w:right="0" w:firstLine="0"/>
      <w:spacing w:after="57"/>
    </w:pPr>
  </w:style>
  <w:style w:type="paragraph" w:styleId="1129">
    <w:name w:val="toc 2"/>
    <w:basedOn w:val="1139"/>
    <w:next w:val="1139"/>
    <w:uiPriority w:val="39"/>
    <w:unhideWhenUsed/>
    <w:pPr>
      <w:ind w:left="283" w:right="0" w:firstLine="0"/>
      <w:spacing w:after="57"/>
    </w:pPr>
  </w:style>
  <w:style w:type="paragraph" w:styleId="1130">
    <w:name w:val="toc 3"/>
    <w:basedOn w:val="1139"/>
    <w:next w:val="1139"/>
    <w:uiPriority w:val="39"/>
    <w:unhideWhenUsed/>
    <w:pPr>
      <w:ind w:left="567" w:right="0" w:firstLine="0"/>
      <w:spacing w:after="57"/>
    </w:pPr>
  </w:style>
  <w:style w:type="paragraph" w:styleId="1131">
    <w:name w:val="toc 4"/>
    <w:basedOn w:val="1139"/>
    <w:next w:val="1139"/>
    <w:uiPriority w:val="39"/>
    <w:unhideWhenUsed/>
    <w:pPr>
      <w:ind w:left="850" w:right="0" w:firstLine="0"/>
      <w:spacing w:after="57"/>
    </w:pPr>
  </w:style>
  <w:style w:type="paragraph" w:styleId="1132">
    <w:name w:val="toc 5"/>
    <w:basedOn w:val="1139"/>
    <w:next w:val="1139"/>
    <w:uiPriority w:val="39"/>
    <w:unhideWhenUsed/>
    <w:pPr>
      <w:ind w:left="1134" w:right="0" w:firstLine="0"/>
      <w:spacing w:after="57"/>
    </w:pPr>
  </w:style>
  <w:style w:type="paragraph" w:styleId="1133">
    <w:name w:val="toc 6"/>
    <w:basedOn w:val="1139"/>
    <w:next w:val="1139"/>
    <w:uiPriority w:val="39"/>
    <w:unhideWhenUsed/>
    <w:pPr>
      <w:ind w:left="1417" w:right="0" w:firstLine="0"/>
      <w:spacing w:after="57"/>
    </w:pPr>
  </w:style>
  <w:style w:type="paragraph" w:styleId="1134">
    <w:name w:val="toc 7"/>
    <w:basedOn w:val="1139"/>
    <w:next w:val="1139"/>
    <w:uiPriority w:val="39"/>
    <w:unhideWhenUsed/>
    <w:pPr>
      <w:ind w:left="1701" w:right="0" w:firstLine="0"/>
      <w:spacing w:after="57"/>
    </w:pPr>
  </w:style>
  <w:style w:type="paragraph" w:styleId="1135">
    <w:name w:val="toc 8"/>
    <w:basedOn w:val="1139"/>
    <w:next w:val="1139"/>
    <w:uiPriority w:val="39"/>
    <w:unhideWhenUsed/>
    <w:pPr>
      <w:ind w:left="1984" w:right="0" w:firstLine="0"/>
      <w:spacing w:after="57"/>
    </w:pPr>
  </w:style>
  <w:style w:type="paragraph" w:styleId="1136">
    <w:name w:val="toc 9"/>
    <w:basedOn w:val="1139"/>
    <w:next w:val="1139"/>
    <w:uiPriority w:val="39"/>
    <w:unhideWhenUsed/>
    <w:pPr>
      <w:ind w:left="2268" w:right="0" w:firstLine="0"/>
      <w:spacing w:after="57"/>
    </w:pPr>
  </w:style>
  <w:style w:type="paragraph" w:styleId="1137">
    <w:name w:val="TOC Heading"/>
    <w:uiPriority w:val="39"/>
    <w:unhideWhenUsed/>
  </w:style>
  <w:style w:type="paragraph" w:styleId="1138">
    <w:name w:val="table of figures"/>
    <w:basedOn w:val="1139"/>
    <w:next w:val="1139"/>
    <w:uiPriority w:val="99"/>
    <w:unhideWhenUsed/>
    <w:pPr>
      <w:spacing w:after="0" w:afterAutospacing="0"/>
    </w:pPr>
  </w:style>
  <w:style w:type="paragraph" w:styleId="1139" w:default="1">
    <w:name w:val="Normal"/>
    <w:next w:val="1139"/>
    <w:link w:val="1139"/>
    <w:qFormat/>
    <w:pPr>
      <w:jc w:val="both"/>
      <w:widowControl w:val="off"/>
    </w:pPr>
    <w:rPr>
      <w:sz w:val="21"/>
      <w:szCs w:val="24"/>
      <w:lang w:val="en-US" w:eastAsia="zh-CN" w:bidi="ar-SA"/>
    </w:rPr>
  </w:style>
  <w:style w:type="paragraph" w:styleId="1140">
    <w:name w:val="标题 1"/>
    <w:basedOn w:val="1139"/>
    <w:next w:val="1139"/>
    <w:link w:val="1151"/>
    <w:qFormat/>
    <w:pPr>
      <w:jc w:val="center"/>
      <w:keepLines/>
      <w:keepNext/>
      <w:spacing w:before="240" w:after="120" w:line="300" w:lineRule="auto"/>
      <w:outlineLvl w:val="0"/>
    </w:pPr>
    <w:rPr>
      <w:rFonts w:ascii="宋体"/>
      <w:b/>
      <w:sz w:val="32"/>
      <w:szCs w:val="20"/>
    </w:rPr>
  </w:style>
  <w:style w:type="paragraph" w:styleId="1141">
    <w:name w:val="标题 2"/>
    <w:basedOn w:val="1139"/>
    <w:next w:val="1139"/>
    <w:link w:val="1152"/>
    <w:qFormat/>
    <w:pPr>
      <w:jc w:val="center"/>
      <w:keepLines/>
      <w:keepNext/>
      <w:spacing w:before="120" w:line="300" w:lineRule="auto"/>
      <w:outlineLvl w:val="1"/>
    </w:pPr>
    <w:rPr>
      <w:rFonts w:ascii="Arial" w:hAnsi="Arial" w:eastAsia="黑体"/>
      <w:b/>
      <w:sz w:val="30"/>
      <w:szCs w:val="20"/>
    </w:rPr>
  </w:style>
  <w:style w:type="paragraph" w:styleId="1142">
    <w:name w:val="标题 3"/>
    <w:basedOn w:val="1139"/>
    <w:next w:val="1139"/>
    <w:link w:val="1153"/>
    <w:qFormat/>
    <w:pPr>
      <w:jc w:val="left"/>
      <w:keepLines/>
      <w:keepNext/>
      <w:spacing w:before="360" w:after="120"/>
      <w:outlineLvl w:val="2"/>
    </w:pPr>
    <w:rPr>
      <w:rFonts w:ascii="宋体"/>
      <w:b/>
      <w:sz w:val="24"/>
      <w:szCs w:val="20"/>
      <w:u w:val="single"/>
    </w:rPr>
  </w:style>
  <w:style w:type="paragraph" w:styleId="1143">
    <w:name w:val="标题 4"/>
    <w:basedOn w:val="1139"/>
    <w:next w:val="1139"/>
    <w:link w:val="1154"/>
    <w:qFormat/>
    <w:pPr>
      <w:keepLines/>
      <w:keepNext/>
      <w:spacing w:before="280" w:after="290" w:line="376" w:lineRule="atLeast"/>
      <w:outlineLvl w:val="3"/>
    </w:pPr>
    <w:rPr>
      <w:rFonts w:ascii="Arial" w:hAnsi="Arial" w:eastAsia="黑体"/>
      <w:b/>
      <w:sz w:val="28"/>
      <w:szCs w:val="20"/>
    </w:rPr>
  </w:style>
  <w:style w:type="paragraph" w:styleId="1144">
    <w:name w:val="标题 5"/>
    <w:basedOn w:val="1139"/>
    <w:next w:val="1139"/>
    <w:link w:val="1155"/>
    <w:qFormat/>
    <w:pPr>
      <w:keepLines/>
      <w:keepNext/>
      <w:spacing w:before="280" w:after="290" w:line="376" w:lineRule="atLeast"/>
      <w:outlineLvl w:val="4"/>
    </w:pPr>
    <w:rPr>
      <w:b/>
      <w:sz w:val="28"/>
      <w:szCs w:val="20"/>
    </w:rPr>
  </w:style>
  <w:style w:type="paragraph" w:styleId="1145">
    <w:name w:val="标题 6"/>
    <w:basedOn w:val="1139"/>
    <w:next w:val="1139"/>
    <w:link w:val="1156"/>
    <w:qFormat/>
    <w:pPr>
      <w:keepLines/>
      <w:keepNext/>
      <w:spacing w:before="240" w:after="64" w:line="320" w:lineRule="atLeast"/>
      <w:outlineLvl w:val="5"/>
    </w:pPr>
    <w:rPr>
      <w:rFonts w:ascii="Arial" w:hAnsi="Arial" w:eastAsia="黑体"/>
      <w:b/>
      <w:sz w:val="24"/>
      <w:szCs w:val="20"/>
    </w:rPr>
  </w:style>
  <w:style w:type="paragraph" w:styleId="1146">
    <w:name w:val="标题 7"/>
    <w:basedOn w:val="1139"/>
    <w:next w:val="1139"/>
    <w:link w:val="1157"/>
    <w:qFormat/>
    <w:pPr>
      <w:keepLines/>
      <w:keepNext/>
      <w:spacing w:before="240" w:after="64" w:line="320" w:lineRule="atLeast"/>
      <w:outlineLvl w:val="6"/>
    </w:pPr>
    <w:rPr>
      <w:b/>
      <w:sz w:val="24"/>
      <w:szCs w:val="20"/>
    </w:rPr>
  </w:style>
  <w:style w:type="paragraph" w:styleId="1147">
    <w:name w:val="标题 8"/>
    <w:basedOn w:val="1139"/>
    <w:next w:val="1139"/>
    <w:link w:val="1158"/>
    <w:qFormat/>
    <w:pPr>
      <w:keepLines/>
      <w:keepNext/>
      <w:spacing w:before="240" w:after="64" w:line="320" w:lineRule="atLeast"/>
      <w:outlineLvl w:val="7"/>
    </w:pPr>
    <w:rPr>
      <w:rFonts w:ascii="Arial" w:hAnsi="Arial" w:eastAsia="黑体"/>
      <w:sz w:val="24"/>
      <w:szCs w:val="20"/>
    </w:rPr>
  </w:style>
  <w:style w:type="paragraph" w:styleId="1148">
    <w:name w:val="标题 9"/>
    <w:basedOn w:val="1139"/>
    <w:next w:val="1139"/>
    <w:link w:val="1159"/>
    <w:qFormat/>
    <w:pPr>
      <w:keepLines/>
      <w:keepNext/>
      <w:spacing w:before="240" w:after="64" w:line="320" w:lineRule="atLeast"/>
      <w:outlineLvl w:val="8"/>
    </w:pPr>
    <w:rPr>
      <w:rFonts w:ascii="Arial" w:hAnsi="Arial" w:eastAsia="黑体"/>
      <w:szCs w:val="20"/>
    </w:rPr>
  </w:style>
  <w:style w:type="character" w:styleId="1149">
    <w:name w:val="默认段落字体"/>
    <w:next w:val="1149"/>
    <w:link w:val="1139"/>
    <w:uiPriority w:val="1"/>
    <w:unhideWhenUsed/>
  </w:style>
  <w:style w:type="table" w:styleId="1150">
    <w:name w:val="普通表格"/>
    <w:next w:val="1150"/>
    <w:link w:val="1139"/>
    <w:uiPriority w:val="99"/>
    <w:unhideWhenUsed/>
    <w:qFormat/>
    <w:tblPr/>
  </w:style>
  <w:style w:type="character" w:styleId="1151">
    <w:name w:val="标题 1 Char"/>
    <w:next w:val="1151"/>
    <w:link w:val="1140"/>
    <w:qFormat/>
    <w:rPr>
      <w:rFonts w:ascii="宋体"/>
      <w:b/>
      <w:sz w:val="32"/>
    </w:rPr>
  </w:style>
  <w:style w:type="character" w:styleId="1152">
    <w:name w:val="标题 2 Char1"/>
    <w:next w:val="1152"/>
    <w:link w:val="1141"/>
    <w:qFormat/>
    <w:rPr>
      <w:rFonts w:ascii="Arial" w:hAnsi="Arial" w:eastAsia="黑体"/>
      <w:b/>
      <w:sz w:val="30"/>
      <w:lang w:val="en-US" w:eastAsia="zh-CN" w:bidi="ar-SA"/>
    </w:rPr>
  </w:style>
  <w:style w:type="character" w:styleId="1153">
    <w:name w:val="标题 3 Char1"/>
    <w:next w:val="1153"/>
    <w:link w:val="1142"/>
    <w:qFormat/>
    <w:rPr>
      <w:rFonts w:ascii="宋体" w:eastAsia="宋体"/>
      <w:b/>
      <w:sz w:val="24"/>
      <w:u w:val="single"/>
      <w:lang w:val="en-US" w:eastAsia="zh-CN" w:bidi="ar-SA"/>
    </w:rPr>
  </w:style>
  <w:style w:type="character" w:styleId="1154">
    <w:name w:val="标题 4 Char"/>
    <w:next w:val="1154"/>
    <w:link w:val="1143"/>
    <w:qFormat/>
    <w:rPr>
      <w:rFonts w:ascii="Arial" w:hAnsi="Arial" w:eastAsia="黑体"/>
      <w:b/>
      <w:sz w:val="28"/>
    </w:rPr>
  </w:style>
  <w:style w:type="character" w:styleId="1155">
    <w:name w:val="标题 5 Char"/>
    <w:next w:val="1155"/>
    <w:link w:val="1144"/>
    <w:qFormat/>
    <w:rPr>
      <w:b/>
      <w:sz w:val="28"/>
    </w:rPr>
  </w:style>
  <w:style w:type="character" w:styleId="1156">
    <w:name w:val="标题 6 Char"/>
    <w:next w:val="1156"/>
    <w:link w:val="1145"/>
    <w:qFormat/>
    <w:rPr>
      <w:rFonts w:ascii="Arial" w:hAnsi="Arial" w:eastAsia="黑体"/>
      <w:b/>
      <w:sz w:val="24"/>
    </w:rPr>
  </w:style>
  <w:style w:type="character" w:styleId="1157">
    <w:name w:val="标题 7 Char"/>
    <w:next w:val="1157"/>
    <w:link w:val="1146"/>
    <w:qFormat/>
    <w:rPr>
      <w:b/>
      <w:sz w:val="24"/>
    </w:rPr>
  </w:style>
  <w:style w:type="character" w:styleId="1158">
    <w:name w:val="标题 8 Char"/>
    <w:next w:val="1158"/>
    <w:link w:val="1147"/>
    <w:qFormat/>
    <w:rPr>
      <w:rFonts w:ascii="Arial" w:hAnsi="Arial" w:eastAsia="黑体"/>
      <w:sz w:val="24"/>
    </w:rPr>
  </w:style>
  <w:style w:type="character" w:styleId="1159">
    <w:name w:val="标题 9 Char"/>
    <w:next w:val="1159"/>
    <w:link w:val="1148"/>
    <w:qFormat/>
    <w:rPr>
      <w:rFonts w:ascii="Arial" w:hAnsi="Arial" w:eastAsia="黑体"/>
      <w:sz w:val="21"/>
    </w:rPr>
  </w:style>
  <w:style w:type="paragraph" w:styleId="1160">
    <w:name w:val="目录 7"/>
    <w:basedOn w:val="1139"/>
    <w:next w:val="1139"/>
    <w:link w:val="1139"/>
    <w:qFormat/>
    <w:pPr>
      <w:ind w:left="2520"/>
    </w:pPr>
  </w:style>
  <w:style w:type="paragraph" w:styleId="1161">
    <w:name w:val="正文缩进"/>
    <w:basedOn w:val="1139"/>
    <w:next w:val="1161"/>
    <w:link w:val="1162"/>
    <w:qFormat/>
    <w:pPr>
      <w:ind w:firstLine="420"/>
      <w:jc w:val="left"/>
    </w:pPr>
    <w:rPr>
      <w:rFonts w:ascii="宋体"/>
      <w:sz w:val="24"/>
    </w:rPr>
  </w:style>
  <w:style w:type="character" w:styleId="1162">
    <w:name w:val="正文缩进 Char1"/>
    <w:next w:val="1162"/>
    <w:link w:val="1161"/>
    <w:qFormat/>
    <w:rPr>
      <w:rFonts w:ascii="宋体" w:eastAsia="宋体"/>
      <w:sz w:val="24"/>
      <w:szCs w:val="24"/>
      <w:lang w:val="en-US" w:eastAsia="zh-CN" w:bidi="ar-SA"/>
    </w:rPr>
  </w:style>
  <w:style w:type="paragraph" w:styleId="1163">
    <w:name w:val="题注"/>
    <w:basedOn w:val="1139"/>
    <w:next w:val="1139"/>
    <w:link w:val="1139"/>
    <w:qFormat/>
    <w:pPr>
      <w:spacing w:line="480" w:lineRule="auto"/>
    </w:pPr>
    <w:rPr>
      <w:rFonts w:ascii="华文中宋" w:hAnsi="华文中宋" w:eastAsia="华文中宋"/>
      <w:sz w:val="36"/>
      <w:szCs w:val="20"/>
    </w:rPr>
  </w:style>
  <w:style w:type="paragraph" w:styleId="1164">
    <w:name w:val="文档结构图"/>
    <w:basedOn w:val="1139"/>
    <w:next w:val="1164"/>
    <w:link w:val="1165"/>
    <w:qFormat/>
    <w:pPr>
      <w:shd w:val="clear" w:color="auto" w:fill="000080"/>
    </w:pPr>
  </w:style>
  <w:style w:type="character" w:styleId="1165">
    <w:name w:val="文档结构图 Char"/>
    <w:next w:val="1165"/>
    <w:link w:val="1164"/>
    <w:qFormat/>
    <w:rPr>
      <w:sz w:val="21"/>
      <w:szCs w:val="24"/>
      <w:shd w:val="clear" w:color="auto" w:fill="000080"/>
    </w:rPr>
  </w:style>
  <w:style w:type="paragraph" w:styleId="1166">
    <w:name w:val="批注文字"/>
    <w:basedOn w:val="1139"/>
    <w:next w:val="1166"/>
    <w:link w:val="1167"/>
    <w:uiPriority w:val="99"/>
    <w:qFormat/>
    <w:pPr>
      <w:jc w:val="left"/>
    </w:pPr>
  </w:style>
  <w:style w:type="character" w:styleId="1167">
    <w:name w:val="批注文字 Char1"/>
    <w:next w:val="1167"/>
    <w:link w:val="1166"/>
    <w:uiPriority w:val="99"/>
    <w:qFormat/>
    <w:rPr>
      <w:sz w:val="21"/>
      <w:szCs w:val="24"/>
    </w:rPr>
  </w:style>
  <w:style w:type="paragraph" w:styleId="1168">
    <w:name w:val="正文文本 3"/>
    <w:basedOn w:val="1139"/>
    <w:next w:val="1168"/>
    <w:link w:val="1169"/>
    <w:qFormat/>
    <w:pPr>
      <w:spacing w:after="120"/>
    </w:pPr>
    <w:rPr>
      <w:sz w:val="16"/>
      <w:szCs w:val="16"/>
    </w:rPr>
  </w:style>
  <w:style w:type="character" w:styleId="1169">
    <w:name w:val="正文文本 3 Char"/>
    <w:next w:val="1169"/>
    <w:link w:val="1168"/>
    <w:qFormat/>
    <w:rPr>
      <w:sz w:val="16"/>
      <w:szCs w:val="16"/>
    </w:rPr>
  </w:style>
  <w:style w:type="paragraph" w:styleId="1170">
    <w:name w:val="正文文本"/>
    <w:basedOn w:val="1139"/>
    <w:next w:val="1139"/>
    <w:link w:val="1171"/>
    <w:qFormat/>
    <w:pPr>
      <w:spacing w:before="120" w:line="22" w:lineRule="atLeast"/>
      <w:tabs>
        <w:tab w:val="left" w:pos="567" w:leader="none"/>
      </w:tabs>
    </w:pPr>
    <w:rPr>
      <w:rFonts w:ascii="宋体" w:hAnsi="宋体"/>
      <w:sz w:val="24"/>
    </w:rPr>
  </w:style>
  <w:style w:type="character" w:styleId="1171">
    <w:name w:val="正文文本 Char"/>
    <w:next w:val="1171"/>
    <w:link w:val="1170"/>
    <w:qFormat/>
    <w:rPr>
      <w:rFonts w:ascii="宋体" w:hAnsi="宋体"/>
      <w:sz w:val="24"/>
      <w:szCs w:val="24"/>
    </w:rPr>
  </w:style>
  <w:style w:type="paragraph" w:styleId="1172">
    <w:name w:val="正文文本缩进"/>
    <w:basedOn w:val="1139"/>
    <w:next w:val="1174"/>
    <w:link w:val="1173"/>
    <w:qFormat/>
    <w:pPr>
      <w:ind w:firstLine="570"/>
      <w:spacing w:line="360" w:lineRule="auto"/>
    </w:pPr>
    <w:rPr>
      <w:sz w:val="24"/>
    </w:rPr>
  </w:style>
  <w:style w:type="character" w:styleId="1173">
    <w:name w:val="正文文本缩进 Char2"/>
    <w:next w:val="1173"/>
    <w:link w:val="1172"/>
    <w:qFormat/>
    <w:rPr>
      <w:rFonts w:eastAsia="宋体"/>
      <w:sz w:val="24"/>
      <w:szCs w:val="24"/>
      <w:lang w:val="en-US" w:eastAsia="zh-CN" w:bidi="ar-SA"/>
    </w:rPr>
  </w:style>
  <w:style w:type="paragraph" w:styleId="1174">
    <w:name w:val="寄信人地址"/>
    <w:basedOn w:val="1139"/>
    <w:next w:val="1174"/>
    <w:link w:val="1139"/>
    <w:uiPriority w:val="99"/>
    <w:unhideWhenUsed/>
    <w:qFormat/>
    <w:rPr>
      <w:rFonts w:ascii="Arial" w:hAnsi="Arial"/>
    </w:rPr>
  </w:style>
  <w:style w:type="paragraph" w:styleId="1175">
    <w:name w:val="列表 2"/>
    <w:basedOn w:val="1139"/>
    <w:next w:val="1176"/>
    <w:link w:val="1139"/>
    <w:qFormat/>
    <w:pPr>
      <w:ind w:left="100" w:hanging="200"/>
    </w:pPr>
  </w:style>
  <w:style w:type="paragraph" w:styleId="1176">
    <w:name w:val="纯文本"/>
    <w:basedOn w:val="1139"/>
    <w:next w:val="1178"/>
    <w:link w:val="1177"/>
    <w:qFormat/>
    <w:rPr>
      <w:rFonts w:hint="eastAsia" w:ascii="宋体" w:hAnsi="Courier New"/>
      <w:szCs w:val="20"/>
    </w:rPr>
  </w:style>
  <w:style w:type="character" w:styleId="1177">
    <w:name w:val="纯文本 Char"/>
    <w:next w:val="1177"/>
    <w:link w:val="1176"/>
    <w:qFormat/>
    <w:rPr>
      <w:rFonts w:hint="eastAsia" w:ascii="宋体" w:hAnsi="Courier New" w:eastAsia="宋体" w:cs="宋体"/>
      <w:sz w:val="21"/>
    </w:rPr>
  </w:style>
  <w:style w:type="paragraph" w:styleId="1178">
    <w:name w:val="目录 4"/>
    <w:basedOn w:val="1139"/>
    <w:next w:val="1139"/>
    <w:link w:val="1139"/>
    <w:qFormat/>
    <w:pPr>
      <w:ind w:left="1260"/>
    </w:pPr>
  </w:style>
  <w:style w:type="paragraph" w:styleId="1179">
    <w:name w:val="文本块"/>
    <w:basedOn w:val="1139"/>
    <w:next w:val="1179"/>
    <w:link w:val="1139"/>
    <w:qFormat/>
    <w:pPr>
      <w:ind w:left="480" w:right="-341" w:firstLine="513"/>
      <w:widowControl/>
    </w:pPr>
    <w:rPr>
      <w:sz w:val="24"/>
      <w:szCs w:val="20"/>
    </w:rPr>
  </w:style>
  <w:style w:type="paragraph" w:styleId="1180">
    <w:name w:val="目录 5"/>
    <w:basedOn w:val="1139"/>
    <w:next w:val="1139"/>
    <w:link w:val="1139"/>
    <w:qFormat/>
    <w:pPr>
      <w:ind w:left="1680"/>
    </w:pPr>
  </w:style>
  <w:style w:type="paragraph" w:styleId="1181">
    <w:name w:val="目录 3"/>
    <w:basedOn w:val="1139"/>
    <w:next w:val="1139"/>
    <w:link w:val="1139"/>
    <w:uiPriority w:val="39"/>
    <w:qFormat/>
    <w:pPr>
      <w:ind w:left="840"/>
    </w:pPr>
  </w:style>
  <w:style w:type="paragraph" w:styleId="1182">
    <w:name w:val="目录 8"/>
    <w:basedOn w:val="1139"/>
    <w:next w:val="1139"/>
    <w:link w:val="1139"/>
    <w:qFormat/>
    <w:pPr>
      <w:ind w:left="2940"/>
    </w:pPr>
  </w:style>
  <w:style w:type="paragraph" w:styleId="1183">
    <w:name w:val="日期"/>
    <w:basedOn w:val="1139"/>
    <w:next w:val="1139"/>
    <w:link w:val="1184"/>
    <w:qFormat/>
    <w:pPr>
      <w:ind w:left="100"/>
    </w:pPr>
    <w:rPr>
      <w:rFonts w:ascii="仿宋_GB2312" w:hAnsi="宋体" w:eastAsia="仿宋_GB2312"/>
      <w:color w:val="000000"/>
      <w:sz w:val="24"/>
    </w:rPr>
  </w:style>
  <w:style w:type="character" w:styleId="1184">
    <w:name w:val="日期 Char"/>
    <w:next w:val="1184"/>
    <w:link w:val="1183"/>
    <w:qFormat/>
    <w:rPr>
      <w:rFonts w:ascii="仿宋_GB2312" w:hAnsi="宋体" w:eastAsia="仿宋_GB2312"/>
      <w:color w:val="000000"/>
      <w:sz w:val="24"/>
      <w:szCs w:val="24"/>
    </w:rPr>
  </w:style>
  <w:style w:type="paragraph" w:styleId="1185">
    <w:name w:val="正文文本缩进 2"/>
    <w:basedOn w:val="1139"/>
    <w:next w:val="1185"/>
    <w:link w:val="1186"/>
    <w:qFormat/>
    <w:pPr>
      <w:ind w:firstLine="480"/>
    </w:pPr>
    <w:rPr>
      <w:rFonts w:ascii="仿宋_GB2312" w:eastAsia="仿宋_GB2312"/>
      <w:sz w:val="24"/>
    </w:rPr>
  </w:style>
  <w:style w:type="character" w:styleId="1186">
    <w:name w:val="正文文本缩进 2 Char"/>
    <w:next w:val="1186"/>
    <w:link w:val="1185"/>
    <w:qFormat/>
    <w:rPr>
      <w:rFonts w:ascii="仿宋_GB2312" w:eastAsia="仿宋_GB2312"/>
      <w:sz w:val="24"/>
      <w:szCs w:val="24"/>
    </w:rPr>
  </w:style>
  <w:style w:type="paragraph" w:styleId="1187">
    <w:name w:val="批注框文本"/>
    <w:basedOn w:val="1139"/>
    <w:next w:val="1187"/>
    <w:link w:val="1188"/>
    <w:qFormat/>
    <w:rPr>
      <w:sz w:val="18"/>
      <w:szCs w:val="18"/>
    </w:rPr>
  </w:style>
  <w:style w:type="character" w:styleId="1188">
    <w:name w:val="批注框文本 Char"/>
    <w:next w:val="1188"/>
    <w:link w:val="1187"/>
    <w:qFormat/>
    <w:rPr>
      <w:sz w:val="18"/>
      <w:szCs w:val="18"/>
    </w:rPr>
  </w:style>
  <w:style w:type="paragraph" w:styleId="1189">
    <w:name w:val="页脚"/>
    <w:basedOn w:val="1139"/>
    <w:next w:val="1189"/>
    <w:link w:val="1190"/>
    <w:uiPriority w:val="99"/>
    <w:qFormat/>
    <w:pPr>
      <w:jc w:val="left"/>
      <w:tabs>
        <w:tab w:val="center" w:pos="4153" w:leader="none"/>
        <w:tab w:val="right" w:pos="8306" w:leader="none"/>
      </w:tabs>
    </w:pPr>
    <w:rPr>
      <w:rFonts w:ascii="宋体"/>
      <w:sz w:val="18"/>
      <w:szCs w:val="20"/>
    </w:rPr>
  </w:style>
  <w:style w:type="character" w:styleId="1190">
    <w:name w:val="页脚 Char1"/>
    <w:next w:val="1190"/>
    <w:link w:val="1189"/>
    <w:uiPriority w:val="99"/>
    <w:qFormat/>
    <w:rPr>
      <w:rFonts w:ascii="宋体" w:eastAsia="宋体"/>
      <w:sz w:val="18"/>
      <w:lang w:val="en-US" w:eastAsia="zh-CN" w:bidi="ar-SA"/>
    </w:rPr>
  </w:style>
  <w:style w:type="paragraph" w:styleId="1191">
    <w:name w:val="页眉"/>
    <w:basedOn w:val="1139"/>
    <w:next w:val="1191"/>
    <w:link w:val="1192"/>
    <w:qFormat/>
    <w:pPr>
      <w:jc w:val="center"/>
      <w:tabs>
        <w:tab w:val="center" w:pos="4153" w:leader="none"/>
        <w:tab w:val="right" w:pos="8306" w:leader="none"/>
      </w:tabs>
      <w:pBdr>
        <w:bottom w:val="single" w:color="000000" w:sz="6" w:space="1"/>
      </w:pBdr>
    </w:pPr>
    <w:rPr>
      <w:sz w:val="18"/>
      <w:szCs w:val="18"/>
    </w:rPr>
  </w:style>
  <w:style w:type="character" w:styleId="1192">
    <w:name w:val="页眉 Char1"/>
    <w:next w:val="1192"/>
    <w:link w:val="1191"/>
    <w:qFormat/>
    <w:rPr>
      <w:rFonts w:eastAsia="宋体"/>
      <w:sz w:val="18"/>
      <w:szCs w:val="18"/>
      <w:lang w:val="en-US" w:eastAsia="zh-CN" w:bidi="ar-SA"/>
    </w:rPr>
  </w:style>
  <w:style w:type="paragraph" w:styleId="1193">
    <w:name w:val="目录 1"/>
    <w:basedOn w:val="1139"/>
    <w:next w:val="1139"/>
    <w:link w:val="1139"/>
    <w:uiPriority w:val="39"/>
    <w:qFormat/>
    <w:pPr>
      <w:spacing w:line="300" w:lineRule="auto"/>
      <w:tabs>
        <w:tab w:val="left" w:pos="1050" w:leader="none"/>
        <w:tab w:val="right" w:pos="8937" w:leader="dot"/>
      </w:tabs>
    </w:pPr>
    <w:rPr>
      <w:rFonts w:ascii="宋体" w:hAnsi="宋体"/>
      <w:b/>
      <w:sz w:val="24"/>
    </w:rPr>
  </w:style>
  <w:style w:type="paragraph" w:styleId="1194">
    <w:name w:val="目录 6"/>
    <w:basedOn w:val="1139"/>
    <w:next w:val="1139"/>
    <w:link w:val="1139"/>
    <w:qFormat/>
    <w:pPr>
      <w:ind w:left="2100"/>
    </w:pPr>
  </w:style>
  <w:style w:type="paragraph" w:styleId="1195">
    <w:name w:val="正文文本缩进 3"/>
    <w:basedOn w:val="1139"/>
    <w:next w:val="1195"/>
    <w:link w:val="1196"/>
    <w:qFormat/>
    <w:pPr>
      <w:ind w:left="720" w:firstLine="480"/>
      <w:jc w:val="left"/>
      <w:spacing w:before="120" w:line="22" w:lineRule="atLeast"/>
    </w:pPr>
    <w:rPr>
      <w:rFonts w:ascii="宋体"/>
      <w:sz w:val="24"/>
      <w:szCs w:val="20"/>
    </w:rPr>
  </w:style>
  <w:style w:type="character" w:styleId="1196">
    <w:name w:val="正文文本缩进 3 Char"/>
    <w:next w:val="1196"/>
    <w:link w:val="1195"/>
    <w:qFormat/>
    <w:rPr>
      <w:rFonts w:ascii="宋体"/>
      <w:sz w:val="24"/>
    </w:rPr>
  </w:style>
  <w:style w:type="paragraph" w:styleId="1197">
    <w:name w:val="目录 2"/>
    <w:basedOn w:val="1139"/>
    <w:next w:val="1139"/>
    <w:link w:val="1139"/>
    <w:uiPriority w:val="39"/>
    <w:qFormat/>
    <w:pPr>
      <w:ind w:left="420"/>
      <w:spacing w:line="312" w:lineRule="auto"/>
      <w:tabs>
        <w:tab w:val="right" w:pos="8937" w:leader="dot"/>
      </w:tabs>
    </w:pPr>
  </w:style>
  <w:style w:type="paragraph" w:styleId="1198">
    <w:name w:val="目录 9"/>
    <w:basedOn w:val="1139"/>
    <w:next w:val="1139"/>
    <w:link w:val="1139"/>
    <w:qFormat/>
    <w:pPr>
      <w:ind w:left="3360"/>
    </w:pPr>
  </w:style>
  <w:style w:type="paragraph" w:styleId="1199">
    <w:name w:val="HTML 预设格式"/>
    <w:basedOn w:val="1139"/>
    <w:next w:val="1199"/>
    <w:link w:val="12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0">
    <w:name w:val="HTML 预设格式 Char"/>
    <w:next w:val="1200"/>
    <w:link w:val="1199"/>
    <w:qFormat/>
    <w:rPr>
      <w:rFonts w:ascii="宋体" w:hAnsi="宋体" w:cs="宋体"/>
      <w:sz w:val="24"/>
      <w:szCs w:val="24"/>
    </w:rPr>
  </w:style>
  <w:style w:type="paragraph" w:styleId="1201">
    <w:name w:val="普通(网站)"/>
    <w:basedOn w:val="1139"/>
    <w:next w:val="1201"/>
    <w:link w:val="1139"/>
    <w:uiPriority w:val="99"/>
    <w:unhideWhenUsed/>
    <w:qFormat/>
    <w:pPr>
      <w:jc w:val="left"/>
      <w:spacing w:before="100" w:beforeAutospacing="1" w:after="100" w:afterAutospacing="1"/>
      <w:widowControl/>
    </w:pPr>
    <w:rPr>
      <w:rFonts w:ascii="宋体" w:hAnsi="宋体" w:cs="宋体"/>
      <w:sz w:val="24"/>
    </w:rPr>
  </w:style>
  <w:style w:type="paragraph" w:styleId="1202">
    <w:name w:val="索引 1"/>
    <w:basedOn w:val="1139"/>
    <w:next w:val="1139"/>
    <w:link w:val="1139"/>
    <w:qFormat/>
    <w:rPr>
      <w:szCs w:val="20"/>
    </w:rPr>
  </w:style>
  <w:style w:type="paragraph" w:styleId="1203">
    <w:name w:val="标题"/>
    <w:basedOn w:val="1175"/>
    <w:next w:val="1139"/>
    <w:link w:val="1204"/>
    <w:qFormat/>
    <w:pPr>
      <w:jc w:val="center"/>
      <w:outlineLvl w:val="0"/>
    </w:pPr>
    <w:rPr>
      <w:b/>
      <w:sz w:val="32"/>
      <w:szCs w:val="20"/>
    </w:rPr>
  </w:style>
  <w:style w:type="character" w:styleId="1204">
    <w:name w:val="标题 Char1"/>
    <w:next w:val="1204"/>
    <w:link w:val="1203"/>
    <w:qFormat/>
    <w:rPr>
      <w:b/>
      <w:sz w:val="32"/>
    </w:rPr>
  </w:style>
  <w:style w:type="paragraph" w:styleId="1205">
    <w:name w:val="批注主题"/>
    <w:basedOn w:val="1166"/>
    <w:next w:val="1166"/>
    <w:link w:val="1206"/>
    <w:qFormat/>
    <w:rPr>
      <w:b/>
      <w:bCs/>
    </w:rPr>
  </w:style>
  <w:style w:type="character" w:styleId="1206">
    <w:name w:val="批注主题 Char"/>
    <w:next w:val="1206"/>
    <w:link w:val="1205"/>
    <w:qFormat/>
    <w:rPr>
      <w:rFonts w:ascii="Times New Roman" w:hAnsi="Times New Roman" w:eastAsia="宋体" w:cs="Times New Roman"/>
      <w:b/>
      <w:bCs/>
      <w:sz w:val="21"/>
      <w:szCs w:val="24"/>
      <w:lang w:val="en-US" w:eastAsia="zh-CN" w:bidi="ar-SA"/>
    </w:rPr>
  </w:style>
  <w:style w:type="paragraph" w:styleId="1207">
    <w:name w:val="正文首行缩进 2"/>
    <w:basedOn w:val="1172"/>
    <w:next w:val="1139"/>
    <w:link w:val="1208"/>
    <w:qFormat/>
    <w:pPr>
      <w:ind w:left="420" w:firstLine="420"/>
      <w:spacing w:after="120" w:line="480" w:lineRule="exact"/>
    </w:pPr>
  </w:style>
  <w:style w:type="character" w:styleId="1208">
    <w:name w:val="正文首行缩进 2 Char"/>
    <w:next w:val="1208"/>
    <w:link w:val="1207"/>
    <w:qFormat/>
    <w:rPr>
      <w:rFonts w:eastAsia="宋体"/>
      <w:sz w:val="24"/>
      <w:szCs w:val="24"/>
      <w:lang w:val="en-US" w:eastAsia="zh-CN" w:bidi="ar-SA"/>
    </w:rPr>
  </w:style>
  <w:style w:type="table" w:styleId="1209">
    <w:name w:val="网格型"/>
    <w:basedOn w:val="1150"/>
    <w:next w:val="1209"/>
    <w:link w:val="1139"/>
    <w:uiPriority w:val="39"/>
    <w:qFormat/>
    <w:tblPr/>
  </w:style>
  <w:style w:type="table" w:styleId="1210">
    <w:name w:val="中等深浅网格 1 - 强调文字颜色 2"/>
    <w:basedOn w:val="1150"/>
    <w:next w:val="1210"/>
    <w:link w:val="1139"/>
    <w:qFormat/>
    <w:rPr>
      <w:sz w:val="21"/>
      <w:szCs w:val="24"/>
    </w:rPr>
    <w:tblPr/>
  </w:style>
  <w:style w:type="character" w:styleId="1211">
    <w:name w:val="要点"/>
    <w:basedOn w:val="1149"/>
    <w:next w:val="1211"/>
    <w:link w:val="1139"/>
    <w:qFormat/>
    <w:rPr>
      <w:b/>
      <w:bCs/>
    </w:rPr>
  </w:style>
  <w:style w:type="character" w:styleId="1212">
    <w:name w:val="页码"/>
    <w:next w:val="1212"/>
    <w:link w:val="1139"/>
    <w:qFormat/>
  </w:style>
  <w:style w:type="character" w:styleId="1213">
    <w:name w:val="已访问的超链接"/>
    <w:next w:val="1213"/>
    <w:link w:val="1139"/>
    <w:qFormat/>
    <w:rPr>
      <w:color w:val="800080"/>
      <w:u w:val="single"/>
    </w:rPr>
  </w:style>
  <w:style w:type="character" w:styleId="1214">
    <w:name w:val="强调"/>
    <w:next w:val="1214"/>
    <w:link w:val="1139"/>
    <w:qFormat/>
    <w:rPr>
      <w:color w:val="cc0033"/>
    </w:rPr>
  </w:style>
  <w:style w:type="character" w:styleId="1215">
    <w:name w:val="超链接"/>
    <w:next w:val="1215"/>
    <w:link w:val="1139"/>
    <w:uiPriority w:val="99"/>
    <w:qFormat/>
    <w:rPr>
      <w:color w:val="0000ff"/>
      <w:u w:val="single"/>
    </w:rPr>
  </w:style>
  <w:style w:type="character" w:styleId="1216">
    <w:name w:val="批注引用"/>
    <w:next w:val="1216"/>
    <w:link w:val="1139"/>
    <w:uiPriority w:val="99"/>
    <w:qFormat/>
    <w:rPr>
      <w:sz w:val="21"/>
      <w:szCs w:val="21"/>
    </w:rPr>
  </w:style>
  <w:style w:type="character" w:styleId="1217">
    <w:name w:val="HTML 引文"/>
    <w:next w:val="1217"/>
    <w:link w:val="1139"/>
    <w:qFormat/>
    <w:rPr>
      <w:i/>
      <w:iCs/>
    </w:rPr>
  </w:style>
  <w:style w:type="paragraph" w:styleId="1218">
    <w:name w:val="Default"/>
    <w:next w:val="1218"/>
    <w:link w:val="1139"/>
    <w:qFormat/>
    <w:pPr>
      <w:widowControl w:val="off"/>
    </w:pPr>
    <w:rPr>
      <w:rFonts w:ascii="Symbol" w:hAnsi="Symbol" w:cs="Symbol"/>
      <w:color w:val="000000"/>
      <w:sz w:val="24"/>
      <w:szCs w:val="24"/>
      <w:lang w:val="en-US" w:eastAsia="zh-CN" w:bidi="ar-SA"/>
    </w:rPr>
  </w:style>
  <w:style w:type="character" w:styleId="1219">
    <w:name w:val="批注文字 字符"/>
    <w:next w:val="1219"/>
    <w:link w:val="1139"/>
    <w:uiPriority w:val="99"/>
    <w:qFormat/>
    <w:rPr>
      <w:rFonts w:ascii="Times New Roman" w:hAnsi="Times New Roman" w:eastAsia="宋体" w:cs="Times New Roman"/>
      <w:sz w:val="24"/>
      <w:lang w:val="en-US" w:eastAsia="zh-CN" w:bidi="ar-SA"/>
    </w:rPr>
  </w:style>
  <w:style w:type="character" w:styleId="1220">
    <w:name w:val="列出段落 Char"/>
    <w:next w:val="1220"/>
    <w:link w:val="1139"/>
    <w:qFormat/>
    <w:rPr>
      <w:rFonts w:ascii="Calibri" w:hAnsi="Calibri" w:eastAsia="宋体"/>
      <w:sz w:val="21"/>
      <w:szCs w:val="22"/>
      <w:lang w:val="en-US" w:eastAsia="zh-CN" w:bidi="ar-SA"/>
    </w:rPr>
  </w:style>
  <w:style w:type="character" w:styleId="1221">
    <w:name w:val="txt"/>
    <w:next w:val="1221"/>
    <w:link w:val="1139"/>
    <w:qFormat/>
  </w:style>
  <w:style w:type="character" w:styleId="1222">
    <w:name w:val="title4"/>
    <w:next w:val="1222"/>
    <w:link w:val="1139"/>
    <w:qFormat/>
    <w:rPr>
      <w:b/>
      <w:bCs/>
      <w:color w:val="1d87b3"/>
      <w:sz w:val="15"/>
      <w:szCs w:val="15"/>
    </w:rPr>
  </w:style>
  <w:style w:type="character" w:styleId="1223">
    <w:name w:val="apple-style-span"/>
    <w:next w:val="1223"/>
    <w:link w:val="1139"/>
    <w:qFormat/>
    <w:rPr>
      <w:rFonts w:cs="Times New Roman"/>
    </w:rPr>
  </w:style>
  <w:style w:type="character" w:styleId="1224">
    <w:name w:val="正文大标题 Char"/>
    <w:next w:val="1224"/>
    <w:link w:val="1225"/>
    <w:qFormat/>
    <w:rPr>
      <w:rFonts w:ascii="宋体" w:hAnsi="宋体"/>
      <w:b/>
      <w:color w:val="000000"/>
      <w:sz w:val="28"/>
      <w:szCs w:val="21"/>
    </w:rPr>
  </w:style>
  <w:style w:type="paragraph" w:styleId="1225">
    <w:name w:val="正文大标题"/>
    <w:basedOn w:val="1226"/>
    <w:next w:val="1161"/>
    <w:link w:val="1224"/>
    <w:qFormat/>
    <w:pPr>
      <w:jc w:val="center"/>
    </w:pPr>
    <w:rPr>
      <w:i w:val="0"/>
      <w:color w:val="000000"/>
      <w:sz w:val="28"/>
      <w:szCs w:val="21"/>
    </w:rPr>
  </w:style>
  <w:style w:type="paragraph" w:styleId="1226">
    <w:name w:val="正文小标题"/>
    <w:basedOn w:val="1139"/>
    <w:next w:val="1161"/>
    <w:link w:val="1227"/>
    <w:qFormat/>
    <w:pPr>
      <w:ind w:firstLine="482"/>
      <w:jc w:val="left"/>
    </w:pPr>
    <w:rPr>
      <w:rFonts w:ascii="宋体" w:hAnsi="宋体"/>
      <w:b/>
      <w:i/>
      <w:color w:val="ff0000"/>
      <w:sz w:val="24"/>
      <w:szCs w:val="20"/>
    </w:rPr>
  </w:style>
  <w:style w:type="character" w:styleId="1227">
    <w:name w:val="正文小标题 Char"/>
    <w:next w:val="1227"/>
    <w:link w:val="1226"/>
    <w:qFormat/>
    <w:rPr>
      <w:rFonts w:ascii="宋体" w:hAnsi="宋体"/>
      <w:b/>
      <w:i/>
      <w:color w:val="ff0000"/>
      <w:sz w:val="24"/>
    </w:rPr>
  </w:style>
  <w:style w:type="character" w:styleId="1228">
    <w:name w:val="中等深浅网格 1 - 强调文字颜色 2 Char"/>
    <w:next w:val="1228"/>
    <w:link w:val="1229"/>
    <w:qFormat/>
    <w:rPr>
      <w:sz w:val="21"/>
      <w:szCs w:val="24"/>
      <w:lang w:val="zh-CN" w:eastAsia="zh-CN" w:bidi="ar-SA"/>
    </w:rPr>
  </w:style>
  <w:style w:type="paragraph" w:styleId="1229">
    <w:name w:val="1"/>
    <w:next w:val="1229"/>
    <w:link w:val="1228"/>
    <w:qFormat/>
    <w:rPr>
      <w:sz w:val="21"/>
      <w:szCs w:val="24"/>
      <w:lang w:val="zh-CN" w:eastAsia="zh-CN" w:bidi="ar-SA"/>
    </w:rPr>
  </w:style>
  <w:style w:type="character" w:styleId="1230">
    <w:name w:val="正文重点 Char"/>
    <w:next w:val="1230"/>
    <w:link w:val="1231"/>
    <w:qFormat/>
    <w:rPr>
      <w:b/>
      <w:sz w:val="24"/>
    </w:rPr>
  </w:style>
  <w:style w:type="paragraph" w:styleId="1231">
    <w:name w:val="正文重点"/>
    <w:basedOn w:val="1139"/>
    <w:next w:val="1231"/>
    <w:link w:val="1230"/>
    <w:qFormat/>
    <w:pPr>
      <w:ind w:firstLine="482"/>
      <w:jc w:val="left"/>
      <w:spacing w:line="360" w:lineRule="auto"/>
    </w:pPr>
    <w:rPr>
      <w:b/>
      <w:sz w:val="24"/>
      <w:szCs w:val="20"/>
    </w:rPr>
  </w:style>
  <w:style w:type="character" w:styleId="1232">
    <w:name w:val="正文缩进 Char"/>
    <w:next w:val="1232"/>
    <w:link w:val="1139"/>
    <w:qFormat/>
    <w:rPr>
      <w:rFonts w:ascii="宋体" w:eastAsia="宋体"/>
      <w:sz w:val="24"/>
      <w:szCs w:val="24"/>
      <w:lang w:val="en-US" w:eastAsia="zh-CN" w:bidi="ar-SA"/>
    </w:rPr>
  </w:style>
  <w:style w:type="character" w:styleId="1233">
    <w:name w:val="标题 3 Char"/>
    <w:next w:val="1233"/>
    <w:link w:val="1139"/>
    <w:qFormat/>
    <w:rPr>
      <w:rFonts w:ascii="宋体" w:eastAsia="宋体"/>
      <w:b/>
      <w:sz w:val="24"/>
      <w:u w:val="single"/>
      <w:lang w:val="en-US" w:eastAsia="zh-CN" w:bidi="ar-SA"/>
    </w:rPr>
  </w:style>
  <w:style w:type="character" w:styleId="1234">
    <w:name w:val="纯文本 字符1"/>
    <w:next w:val="1234"/>
    <w:link w:val="1139"/>
    <w:qFormat/>
    <w:rPr>
      <w:rFonts w:ascii="宋体" w:hAnsi="Courier New"/>
    </w:rPr>
  </w:style>
  <w:style w:type="character" w:styleId="1235">
    <w:name w:val="标题 2 Char Char"/>
    <w:next w:val="1235"/>
    <w:link w:val="1139"/>
    <w:qFormat/>
    <w:rPr>
      <w:rFonts w:ascii="Arial" w:hAnsi="Arial" w:eastAsia="黑体"/>
      <w:b/>
      <w:bCs/>
      <w:sz w:val="32"/>
      <w:szCs w:val="32"/>
      <w:lang w:val="en-US" w:eastAsia="zh-CN" w:bidi="ar-SA"/>
    </w:rPr>
  </w:style>
  <w:style w:type="character" w:styleId="1236">
    <w:name w:val="纯文本 Char1"/>
    <w:next w:val="1236"/>
    <w:link w:val="1139"/>
    <w:qFormat/>
    <w:rPr>
      <w:rFonts w:ascii="宋体" w:hAnsi="Courier New" w:eastAsia="宋体"/>
      <w:sz w:val="21"/>
      <w:lang w:val="en-US" w:eastAsia="zh-CN" w:bidi="ar-SA"/>
    </w:rPr>
  </w:style>
  <w:style w:type="character" w:styleId="1237">
    <w:name w:val="标题 2 Char"/>
    <w:next w:val="1237"/>
    <w:link w:val="1139"/>
    <w:qFormat/>
    <w:rPr>
      <w:rFonts w:ascii="Arial" w:hAnsi="Arial" w:eastAsia="黑体"/>
      <w:b/>
      <w:sz w:val="30"/>
      <w:lang w:val="en-US" w:eastAsia="zh-CN" w:bidi="ar-SA"/>
    </w:rPr>
  </w:style>
  <w:style w:type="character" w:styleId="1238">
    <w:name w:val="Char Char11"/>
    <w:next w:val="1238"/>
    <w:link w:val="1139"/>
    <w:qFormat/>
    <w:rPr>
      <w:rFonts w:ascii="宋体" w:eastAsia="宋体"/>
      <w:b/>
      <w:sz w:val="24"/>
      <w:u w:val="single"/>
      <w:lang w:val="en-US" w:eastAsia="zh-CN" w:bidi="ar-SA"/>
    </w:rPr>
  </w:style>
  <w:style w:type="character" w:styleId="1239">
    <w:name w:val="标题 Char"/>
    <w:next w:val="1239"/>
    <w:link w:val="1139"/>
    <w:qFormat/>
    <w:rPr>
      <w:b/>
      <w:sz w:val="32"/>
    </w:rPr>
  </w:style>
  <w:style w:type="character" w:styleId="1240">
    <w:name w:val="正文文本缩进 Char"/>
    <w:next w:val="1240"/>
    <w:link w:val="1139"/>
    <w:qFormat/>
    <w:rPr>
      <w:rFonts w:eastAsia="宋体"/>
      <w:sz w:val="24"/>
      <w:szCs w:val="24"/>
      <w:lang w:val="en-US" w:eastAsia="zh-CN" w:bidi="ar-SA"/>
    </w:rPr>
  </w:style>
  <w:style w:type="character" w:styleId="1241">
    <w:name w:val="street-address"/>
    <w:next w:val="1241"/>
    <w:link w:val="1139"/>
    <w:qFormat/>
  </w:style>
  <w:style w:type="character" w:styleId="1242">
    <w:name w:val="段1 Char"/>
    <w:next w:val="1242"/>
    <w:link w:val="1139"/>
    <w:qFormat/>
    <w:rPr>
      <w:rFonts w:ascii="宋体" w:eastAsia="宋体"/>
      <w:sz w:val="24"/>
      <w:lang w:val="en-US" w:eastAsia="zh-CN" w:bidi="ar-SA"/>
    </w:rPr>
  </w:style>
  <w:style w:type="character" w:styleId="1243">
    <w:name w:val="Char Char111"/>
    <w:next w:val="1243"/>
    <w:link w:val="1139"/>
    <w:qFormat/>
    <w:rPr>
      <w:rFonts w:ascii="宋体" w:eastAsia="宋体"/>
      <w:b/>
      <w:sz w:val="24"/>
      <w:u w:val="single"/>
      <w:lang w:val="en-US" w:eastAsia="zh-CN" w:bidi="ar-SA"/>
    </w:rPr>
  </w:style>
  <w:style w:type="character" w:styleId="1244">
    <w:name w:val="成文日期 Char"/>
    <w:next w:val="1244"/>
    <w:link w:val="1245"/>
    <w:qFormat/>
    <w:rPr>
      <w:rFonts w:ascii="仿宋_GB2312" w:eastAsia="仿宋_GB2312"/>
      <w:sz w:val="32"/>
    </w:rPr>
  </w:style>
  <w:style w:type="paragraph" w:styleId="1245">
    <w:name w:val="成文日期"/>
    <w:basedOn w:val="1139"/>
    <w:next w:val="1245"/>
    <w:link w:val="1244"/>
    <w:qFormat/>
    <w:pPr>
      <w:ind w:right="400" w:firstLine="200"/>
      <w:jc w:val="right"/>
      <w:spacing w:line="570" w:lineRule="exact"/>
    </w:pPr>
    <w:rPr>
      <w:rFonts w:ascii="仿宋_GB2312" w:eastAsia="仿宋_GB2312"/>
      <w:sz w:val="32"/>
      <w:szCs w:val="20"/>
    </w:rPr>
  </w:style>
  <w:style w:type="character" w:styleId="1246">
    <w:name w:val="locality"/>
    <w:next w:val="1246"/>
    <w:link w:val="1139"/>
    <w:qFormat/>
  </w:style>
  <w:style w:type="character" w:styleId="1247">
    <w:name w:val="页眉 Char"/>
    <w:next w:val="1247"/>
    <w:link w:val="1139"/>
    <w:qFormat/>
    <w:rPr>
      <w:rFonts w:eastAsia="宋体"/>
      <w:sz w:val="18"/>
      <w:szCs w:val="18"/>
      <w:lang w:val="en-US" w:eastAsia="zh-CN" w:bidi="ar-SA"/>
    </w:rPr>
  </w:style>
  <w:style w:type="character" w:styleId="1248">
    <w:name w:val="标题 3 Char Char"/>
    <w:next w:val="1248"/>
    <w:link w:val="1139"/>
    <w:qFormat/>
    <w:rPr>
      <w:rFonts w:eastAsia="宋体"/>
      <w:b/>
      <w:bCs/>
      <w:sz w:val="32"/>
      <w:szCs w:val="32"/>
      <w:lang w:val="en-US" w:eastAsia="zh-CN" w:bidi="ar-SA"/>
    </w:rPr>
  </w:style>
  <w:style w:type="character" w:styleId="1249">
    <w:name w:val="chanpin1"/>
    <w:next w:val="1249"/>
    <w:link w:val="1139"/>
    <w:qFormat/>
    <w:rPr>
      <w:rFonts w:ascii="ˎ̥" w:hAnsi="ˎ̥"/>
      <w:color w:val="000000"/>
      <w:sz w:val="20"/>
      <w:szCs w:val="20"/>
      <w:u w:val="none"/>
    </w:rPr>
  </w:style>
  <w:style w:type="character" w:styleId="1250">
    <w:name w:val="正文文本缩进 Char1"/>
    <w:next w:val="1250"/>
    <w:link w:val="1251"/>
    <w:qFormat/>
    <w:rPr>
      <w:rFonts w:ascii="宋体" w:hAnsi="宋体" w:eastAsia="宋体"/>
      <w:sz w:val="24"/>
      <w:szCs w:val="24"/>
      <w:lang w:bidi="ar-SA"/>
    </w:rPr>
  </w:style>
  <w:style w:type="paragraph" w:styleId="1251">
    <w:name w:val="正文文本缩进1"/>
    <w:basedOn w:val="1139"/>
    <w:next w:val="1251"/>
    <w:link w:val="1250"/>
    <w:qFormat/>
    <w:pPr>
      <w:ind w:firstLine="480"/>
      <w:spacing w:line="480" w:lineRule="exact"/>
    </w:pPr>
    <w:rPr>
      <w:rFonts w:ascii="宋体" w:hAnsi="宋体"/>
      <w:sz w:val="24"/>
    </w:rPr>
  </w:style>
  <w:style w:type="character" w:styleId="1252">
    <w:name w:val="正文缩进 Char Char"/>
    <w:next w:val="1252"/>
    <w:link w:val="1253"/>
    <w:qFormat/>
    <w:rPr>
      <w:rFonts w:ascii="宋体" w:eastAsia="宋体"/>
      <w:color w:val="000000"/>
      <w:sz w:val="28"/>
      <w:lang w:bidi="ar-SA"/>
    </w:rPr>
  </w:style>
  <w:style w:type="paragraph" w:styleId="1253">
    <w:name w:val="正文缩进1"/>
    <w:basedOn w:val="1139"/>
    <w:next w:val="1253"/>
    <w:link w:val="1252"/>
    <w:qFormat/>
    <w:pPr>
      <w:ind w:firstLine="567"/>
      <w:spacing w:line="480" w:lineRule="exact"/>
      <w:widowControl/>
    </w:pPr>
    <w:rPr>
      <w:rFonts w:ascii="宋体"/>
      <w:color w:val="000000"/>
      <w:sz w:val="28"/>
      <w:szCs w:val="20"/>
    </w:rPr>
  </w:style>
  <w:style w:type="character" w:styleId="1254">
    <w:name w:val="正文表格 Char"/>
    <w:next w:val="1254"/>
    <w:link w:val="1255"/>
    <w:qFormat/>
    <w:rPr>
      <w:rFonts w:ascii="宋体" w:hAnsi="宋体"/>
      <w:color w:val="000000"/>
      <w:sz w:val="21"/>
      <w:szCs w:val="21"/>
    </w:rPr>
  </w:style>
  <w:style w:type="paragraph" w:styleId="1255">
    <w:name w:val="正文表格"/>
    <w:basedOn w:val="1139"/>
    <w:next w:val="1255"/>
    <w:link w:val="1254"/>
    <w:qFormat/>
    <w:pPr>
      <w:jc w:val="left"/>
    </w:pPr>
    <w:rPr>
      <w:rFonts w:ascii="宋体" w:hAnsi="宋体"/>
      <w:color w:val="000000"/>
      <w:szCs w:val="21"/>
    </w:rPr>
  </w:style>
  <w:style w:type="character" w:styleId="1256">
    <w:name w:val="普通文字1 Char1"/>
    <w:next w:val="1256"/>
    <w:link w:val="1139"/>
    <w:qFormat/>
    <w:rPr>
      <w:rFonts w:ascii="宋体" w:hAnsi="Courier New" w:eastAsia="宋体"/>
      <w:sz w:val="21"/>
      <w:lang w:val="en-US" w:eastAsia="zh-CN" w:bidi="ar-SA"/>
    </w:rPr>
  </w:style>
  <w:style w:type="character" w:styleId="1257">
    <w:name w:val="c21"/>
    <w:next w:val="1257"/>
    <w:link w:val="1139"/>
    <w:qFormat/>
    <w:rPr>
      <w:rFonts w:ascii="ˎ̥" w:hAnsi="ˎ̥"/>
      <w:color w:val="000000"/>
      <w:sz w:val="20"/>
      <w:szCs w:val="20"/>
      <w:u w:val="none"/>
    </w:rPr>
  </w:style>
  <w:style w:type="character" w:styleId="1258">
    <w:name w:val="页脚 Char"/>
    <w:next w:val="1258"/>
    <w:link w:val="1139"/>
    <w:qFormat/>
    <w:rPr>
      <w:rFonts w:ascii="宋体" w:eastAsia="宋体"/>
      <w:sz w:val="18"/>
      <w:lang w:val="en-US" w:eastAsia="zh-CN" w:bidi="ar-SA"/>
    </w:rPr>
  </w:style>
  <w:style w:type="character" w:styleId="1259">
    <w:name w:val="black1"/>
    <w:next w:val="1259"/>
    <w:link w:val="1139"/>
    <w:qFormat/>
    <w:rPr>
      <w:color w:val="000000"/>
    </w:rPr>
  </w:style>
  <w:style w:type="character" w:styleId="1260">
    <w:name w:val="列出段落 Char1"/>
    <w:next w:val="1260"/>
    <w:link w:val="1261"/>
    <w:uiPriority w:val="34"/>
    <w:qFormat/>
    <w:rPr>
      <w:rFonts w:ascii="Calibri" w:hAnsi="Calibri" w:eastAsia="宋体"/>
      <w:sz w:val="21"/>
      <w:szCs w:val="22"/>
      <w:lang w:val="en-US" w:eastAsia="zh-CN" w:bidi="ar-SA"/>
    </w:rPr>
  </w:style>
  <w:style w:type="paragraph" w:styleId="1261">
    <w:name w:val="列出段落"/>
    <w:basedOn w:val="1139"/>
    <w:next w:val="1261"/>
    <w:link w:val="1260"/>
    <w:uiPriority w:val="34"/>
    <w:qFormat/>
    <w:pPr>
      <w:ind w:firstLine="420"/>
    </w:pPr>
    <w:rPr>
      <w:rFonts w:ascii="Calibri" w:hAnsi="Calibri"/>
      <w:szCs w:val="22"/>
    </w:rPr>
  </w:style>
  <w:style w:type="character" w:styleId="1262">
    <w:name w:val="chanpin拷贝"/>
    <w:next w:val="1262"/>
    <w:link w:val="1139"/>
    <w:qFormat/>
  </w:style>
  <w:style w:type="character" w:styleId="1263">
    <w:name w:val="注释 Char"/>
    <w:next w:val="1263"/>
    <w:link w:val="1264"/>
    <w:qFormat/>
    <w:rPr>
      <w:rFonts w:ascii="宋体" w:hAnsi="宋体"/>
      <w:sz w:val="21"/>
      <w:szCs w:val="21"/>
    </w:rPr>
  </w:style>
  <w:style w:type="paragraph" w:styleId="1264">
    <w:name w:val="注释"/>
    <w:basedOn w:val="1139"/>
    <w:next w:val="1264"/>
    <w:link w:val="1263"/>
    <w:qFormat/>
    <w:pPr>
      <w:ind w:left="420" w:hanging="420"/>
      <w:jc w:val="left"/>
    </w:pPr>
    <w:rPr>
      <w:rFonts w:ascii="宋体" w:hAnsi="宋体"/>
      <w:szCs w:val="21"/>
    </w:rPr>
  </w:style>
  <w:style w:type="character" w:styleId="1265">
    <w:name w:val="纯文本 字符"/>
    <w:next w:val="1265"/>
    <w:link w:val="1139"/>
    <w:uiPriority w:val="99"/>
    <w:qFormat/>
    <w:rPr>
      <w:rFonts w:ascii="宋体" w:hAnsi="Courier New" w:eastAsia="宋体" w:cs="Times New Roman"/>
      <w:sz w:val="21"/>
      <w:szCs w:val="21"/>
      <w:lang w:val="en-US" w:eastAsia="zh-CN" w:bidi="ar-SA"/>
    </w:rPr>
  </w:style>
  <w:style w:type="character" w:styleId="1266">
    <w:name w:val="bjh-p"/>
    <w:next w:val="1266"/>
    <w:link w:val="1139"/>
    <w:qFormat/>
  </w:style>
  <w:style w:type="character" w:styleId="1267">
    <w:name w:val="正文格式 Char"/>
    <w:next w:val="1267"/>
    <w:link w:val="1268"/>
    <w:qFormat/>
    <w:rPr>
      <w:rFonts w:ascii="宋体" w:hAnsi="宋体"/>
      <w:sz w:val="24"/>
      <w:szCs w:val="24"/>
      <w:lang w:val="en-GB"/>
    </w:rPr>
  </w:style>
  <w:style w:type="paragraph" w:styleId="1268">
    <w:name w:val="正文格式"/>
    <w:basedOn w:val="1139"/>
    <w:next w:val="1268"/>
    <w:link w:val="1267"/>
    <w:qFormat/>
    <w:pPr>
      <w:ind w:firstLine="480"/>
      <w:spacing w:line="360" w:lineRule="auto"/>
    </w:pPr>
    <w:rPr>
      <w:rFonts w:ascii="宋体" w:hAnsi="宋体"/>
      <w:sz w:val="24"/>
      <w:lang w:val="en-GB"/>
    </w:rPr>
  </w:style>
  <w:style w:type="character" w:styleId="1269">
    <w:name w:val="批注文字 Char"/>
    <w:next w:val="1269"/>
    <w:link w:val="1139"/>
    <w:uiPriority w:val="99"/>
    <w:qFormat/>
    <w:rPr>
      <w:sz w:val="21"/>
      <w:szCs w:val="24"/>
    </w:rPr>
  </w:style>
  <w:style w:type="paragraph" w:styleId="1270">
    <w:name w:val="字元 字元1"/>
    <w:basedOn w:val="1139"/>
    <w:next w:val="1270"/>
    <w:link w:val="1139"/>
    <w:qFormat/>
    <w:rPr>
      <w:rFonts w:ascii="Tahoma" w:hAnsi="Tahoma"/>
      <w:sz w:val="24"/>
      <w:szCs w:val="20"/>
    </w:rPr>
  </w:style>
  <w:style w:type="paragraph" w:styleId="1271">
    <w:name w:val="1名"/>
    <w:basedOn w:val="1139"/>
    <w:next w:val="1271"/>
    <w:link w:val="1139"/>
    <w:qFormat/>
    <w:pPr>
      <w:numPr>
        <w:ilvl w:val="0"/>
        <w:numId w:val="1"/>
      </w:numPr>
      <w:spacing w:before="120"/>
      <w:tabs>
        <w:tab w:val="left" w:pos="360" w:leader="none"/>
      </w:tabs>
    </w:pPr>
    <w:rPr>
      <w:rFonts w:ascii="宋体"/>
      <w:sz w:val="28"/>
      <w:szCs w:val="20"/>
    </w:rPr>
  </w:style>
  <w:style w:type="paragraph" w:styleId="1272">
    <w:name w:val="Char3 Char Char Char"/>
    <w:basedOn w:val="1139"/>
    <w:next w:val="1272"/>
    <w:link w:val="1139"/>
    <w:qFormat/>
    <w:rPr>
      <w:rFonts w:ascii="Tahoma" w:hAnsi="Tahoma"/>
      <w:sz w:val="24"/>
      <w:szCs w:val="20"/>
    </w:rPr>
  </w:style>
  <w:style w:type="paragraph" w:styleId="1273">
    <w:name w:val="文档正文"/>
    <w:basedOn w:val="1139"/>
    <w:next w:val="1273"/>
    <w:link w:val="1139"/>
    <w:qFormat/>
    <w:pPr>
      <w:spacing w:before="120" w:after="120" w:line="180" w:lineRule="auto"/>
    </w:pPr>
    <w:rPr>
      <w:rFonts w:ascii="Arial" w:hAnsi="Arial"/>
      <w:szCs w:val="20"/>
    </w:rPr>
  </w:style>
  <w:style w:type="paragraph" w:styleId="1274">
    <w:name w:val="Char Char Char Char Char Char Char Char Char Char1"/>
    <w:basedOn w:val="1139"/>
    <w:next w:val="1274"/>
    <w:link w:val="1139"/>
    <w:qFormat/>
    <w:rPr>
      <w:rFonts w:ascii="宋体" w:hAnsi="宋体" w:cs="Courier New"/>
      <w:sz w:val="32"/>
      <w:szCs w:val="32"/>
    </w:rPr>
  </w:style>
  <w:style w:type="paragraph" w:styleId="1275">
    <w:name w:val="Char22"/>
    <w:basedOn w:val="1139"/>
    <w:next w:val="1275"/>
    <w:link w:val="1139"/>
    <w:qFormat/>
    <w:rPr>
      <w:rFonts w:ascii="Tahoma" w:hAnsi="Tahoma"/>
      <w:sz w:val="24"/>
      <w:szCs w:val="20"/>
    </w:rPr>
  </w:style>
  <w:style w:type="paragraph" w:styleId="1276">
    <w:name w:val="Char Char Char1"/>
    <w:basedOn w:val="1139"/>
    <w:next w:val="1276"/>
    <w:link w:val="1139"/>
    <w:qFormat/>
    <w:rPr>
      <w:rFonts w:ascii="Tahoma" w:hAnsi="Tahoma"/>
      <w:sz w:val="24"/>
      <w:szCs w:val="20"/>
    </w:rPr>
  </w:style>
  <w:style w:type="paragraph" w:styleId="1277">
    <w:name w:val="xl43"/>
    <w:basedOn w:val="1139"/>
    <w:next w:val="1277"/>
    <w:link w:val="11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8">
    <w:name w:val="Char Char Char"/>
    <w:basedOn w:val="1139"/>
    <w:next w:val="1278"/>
    <w:link w:val="1139"/>
    <w:qFormat/>
    <w:rPr>
      <w:rFonts w:ascii="Tahoma" w:hAnsi="Tahoma"/>
      <w:sz w:val="24"/>
      <w:szCs w:val="20"/>
    </w:rPr>
  </w:style>
  <w:style w:type="paragraph" w:styleId="1279">
    <w:name w:val="font8"/>
    <w:basedOn w:val="1139"/>
    <w:next w:val="1279"/>
    <w:link w:val="1139"/>
    <w:qFormat/>
    <w:pPr>
      <w:jc w:val="left"/>
      <w:spacing w:before="100" w:beforeAutospacing="1" w:after="100" w:afterAutospacing="1"/>
      <w:widowControl/>
    </w:pPr>
    <w:rPr>
      <w:sz w:val="36"/>
      <w:szCs w:val="36"/>
    </w:rPr>
  </w:style>
  <w:style w:type="paragraph" w:styleId="1280">
    <w:name w:val="default"/>
    <w:basedOn w:val="1139"/>
    <w:next w:val="1280"/>
    <w:link w:val="1139"/>
    <w:qFormat/>
    <w:pPr>
      <w:jc w:val="left"/>
      <w:spacing w:before="100" w:beforeAutospacing="1" w:after="100" w:afterAutospacing="1"/>
      <w:widowControl/>
    </w:pPr>
    <w:rPr>
      <w:rFonts w:ascii="宋体" w:hAnsi="宋体" w:cs="宋体"/>
      <w:sz w:val="24"/>
    </w:rPr>
  </w:style>
  <w:style w:type="paragraph" w:styleId="1281">
    <w:name w:val="样式 宋体 五号 行距: 单倍行距"/>
    <w:basedOn w:val="1139"/>
    <w:next w:val="1281"/>
    <w:link w:val="1139"/>
    <w:qFormat/>
    <w:pPr>
      <w:jc w:val="left"/>
    </w:pPr>
    <w:rPr>
      <w:rFonts w:ascii="宋体" w:hAnsi="宋体"/>
      <w:szCs w:val="20"/>
    </w:rPr>
  </w:style>
  <w:style w:type="paragraph" w:styleId="1282">
    <w:name w:val="xl41"/>
    <w:basedOn w:val="1139"/>
    <w:next w:val="1282"/>
    <w:link w:val="113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3">
    <w:name w:val="缺省文本"/>
    <w:basedOn w:val="1139"/>
    <w:next w:val="1283"/>
    <w:link w:val="1139"/>
    <w:qFormat/>
    <w:pPr>
      <w:jc w:val="left"/>
    </w:pPr>
    <w:rPr>
      <w:sz w:val="24"/>
    </w:rPr>
  </w:style>
  <w:style w:type="paragraph" w:styleId="1284">
    <w:name w:val="Char"/>
    <w:basedOn w:val="1139"/>
    <w:next w:val="1284"/>
    <w:link w:val="1139"/>
    <w:qFormat/>
    <w:pPr>
      <w:tabs>
        <w:tab w:val="left" w:pos="360" w:leader="none"/>
      </w:tabs>
    </w:pPr>
    <w:rPr>
      <w:sz w:val="24"/>
    </w:rPr>
  </w:style>
  <w:style w:type="paragraph" w:styleId="1285">
    <w:name w:val="正文 + 宋体"/>
    <w:basedOn w:val="1139"/>
    <w:next w:val="1285"/>
    <w:link w:val="1139"/>
    <w:qFormat/>
    <w:pPr>
      <w:ind w:left="360" w:hanging="360"/>
      <w:jc w:val="left"/>
      <w:widowControl/>
    </w:pPr>
    <w:rPr>
      <w:rFonts w:ascii="宋体" w:hAnsi="宋体" w:cs="宋体"/>
      <w:b/>
      <w:bCs/>
      <w:color w:val="000000"/>
      <w:sz w:val="18"/>
      <w:szCs w:val="18"/>
    </w:rPr>
  </w:style>
  <w:style w:type="paragraph" w:styleId="1286">
    <w:name w:val="xl52"/>
    <w:basedOn w:val="1139"/>
    <w:next w:val="1286"/>
    <w:link w:val="11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7">
    <w:name w:val="xl36"/>
    <w:basedOn w:val="1139"/>
    <w:next w:val="1287"/>
    <w:link w:val="113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8">
    <w:name w:val="Char Char1 Char Char Char Char Char Char"/>
    <w:basedOn w:val="1139"/>
    <w:next w:val="1288"/>
    <w:link w:val="1139"/>
    <w:qFormat/>
    <w:pPr>
      <w:jc w:val="left"/>
      <w:spacing w:after="160" w:line="240" w:lineRule="exact"/>
      <w:widowControl/>
    </w:pPr>
    <w:rPr>
      <w:rFonts w:ascii="Verdana" w:hAnsi="Verdana" w:eastAsia="仿宋_GB2312"/>
      <w:sz w:val="24"/>
      <w:szCs w:val="20"/>
      <w:lang w:eastAsia="en-US"/>
    </w:rPr>
  </w:style>
  <w:style w:type="paragraph" w:styleId="1289">
    <w:name w:val="xl40"/>
    <w:basedOn w:val="1139"/>
    <w:next w:val="1289"/>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38"/>
    <w:basedOn w:val="1139"/>
    <w:next w:val="1290"/>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1">
    <w:name w:val="xl39"/>
    <w:basedOn w:val="1139"/>
    <w:next w:val="1291"/>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2">
    <w:name w:val="Char Char Char Char Char Char Char Char Char Char Char Char Char Char Char Char"/>
    <w:basedOn w:val="1139"/>
    <w:next w:val="1292"/>
    <w:link w:val="1139"/>
    <w:qFormat/>
    <w:pPr>
      <w:jc w:val="center"/>
      <w:spacing w:after="160" w:line="240" w:lineRule="exact"/>
      <w:widowControl/>
    </w:pPr>
    <w:rPr>
      <w:rFonts w:ascii="宋体" w:hAnsi="宋体"/>
      <w:b/>
      <w:sz w:val="30"/>
      <w:szCs w:val="30"/>
      <w:lang w:eastAsia="en-US"/>
    </w:rPr>
  </w:style>
  <w:style w:type="paragraph" w:styleId="1293">
    <w:name w:val="项目编号2"/>
    <w:basedOn w:val="1294"/>
    <w:next w:val="1293"/>
    <w:link w:val="1139"/>
    <w:qFormat/>
    <w:pPr>
      <w:numPr>
        <w:numId w:val="3"/>
      </w:numPr>
    </w:pPr>
  </w:style>
  <w:style w:type="paragraph" w:styleId="1294">
    <w:name w:val="项目编号1"/>
    <w:basedOn w:val="1139"/>
    <w:next w:val="1294"/>
    <w:link w:val="1139"/>
    <w:qFormat/>
    <w:pPr>
      <w:numPr>
        <w:ilvl w:val="0"/>
        <w:numId w:val="2"/>
      </w:numPr>
      <w:spacing w:before="100" w:beforeAutospacing="1" w:after="100" w:afterAutospacing="1" w:line="360" w:lineRule="auto"/>
    </w:pPr>
    <w:rPr>
      <w:sz w:val="24"/>
    </w:rPr>
  </w:style>
  <w:style w:type="paragraph" w:styleId="1295">
    <w:name w:val="xl50"/>
    <w:basedOn w:val="1139"/>
    <w:next w:val="1295"/>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6">
    <w:name w:val="List Paragraph1"/>
    <w:basedOn w:val="1139"/>
    <w:next w:val="1296"/>
    <w:link w:val="1139"/>
    <w:qFormat/>
    <w:pPr>
      <w:ind w:firstLine="420"/>
    </w:pPr>
    <w:rPr>
      <w:rFonts w:ascii="Calibri" w:hAnsi="Calibri"/>
      <w:szCs w:val="22"/>
    </w:rPr>
  </w:style>
  <w:style w:type="paragraph" w:styleId="1297">
    <w:name w:val="列出段落2"/>
    <w:basedOn w:val="1139"/>
    <w:next w:val="1297"/>
    <w:link w:val="1139"/>
    <w:qFormat/>
    <w:pPr>
      <w:ind w:firstLine="420"/>
    </w:pPr>
    <w:rPr>
      <w:rFonts w:ascii="Calibri" w:hAnsi="Calibri"/>
      <w:szCs w:val="22"/>
    </w:rPr>
  </w:style>
  <w:style w:type="paragraph" w:styleId="1298">
    <w:name w:val="xl45"/>
    <w:basedOn w:val="1139"/>
    <w:next w:val="1298"/>
    <w:link w:val="11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9">
    <w:name w:val="font5"/>
    <w:basedOn w:val="1139"/>
    <w:next w:val="1299"/>
    <w:link w:val="1139"/>
    <w:qFormat/>
    <w:pPr>
      <w:jc w:val="left"/>
      <w:spacing w:before="100" w:beforeAutospacing="1" w:after="100" w:afterAutospacing="1"/>
      <w:widowControl/>
    </w:pPr>
    <w:rPr>
      <w:rFonts w:ascii="宋体" w:hAnsi="宋体" w:cs="宋体"/>
      <w:sz w:val="18"/>
      <w:szCs w:val="18"/>
    </w:rPr>
  </w:style>
  <w:style w:type="paragraph" w:styleId="1300">
    <w:name w:val="字元 字元"/>
    <w:basedOn w:val="1139"/>
    <w:next w:val="1300"/>
    <w:link w:val="1139"/>
    <w:qFormat/>
    <w:rPr>
      <w:rFonts w:ascii="Tahoma" w:hAnsi="Tahoma"/>
      <w:sz w:val="24"/>
      <w:szCs w:val="20"/>
    </w:rPr>
  </w:style>
  <w:style w:type="paragraph" w:styleId="1301">
    <w:name w:val="正文列项_字母"/>
    <w:basedOn w:val="1139"/>
    <w:next w:val="1301"/>
    <w:link w:val="1139"/>
    <w:qFormat/>
    <w:pPr>
      <w:numPr>
        <w:ilvl w:val="6"/>
        <w:numId w:val="4"/>
      </w:numPr>
      <w:ind w:left="480" w:hanging="180"/>
      <w:spacing w:line="460" w:lineRule="exact"/>
      <w:tabs>
        <w:tab w:val="clear" w:pos="635" w:leader="none"/>
      </w:tabs>
      <w:outlineLvl w:val="6"/>
    </w:pPr>
    <w:rPr>
      <w:rFonts w:ascii="宋体"/>
      <w:sz w:val="28"/>
      <w:szCs w:val="20"/>
    </w:rPr>
  </w:style>
  <w:style w:type="paragraph" w:styleId="1302">
    <w:name w:val="font6"/>
    <w:basedOn w:val="1139"/>
    <w:next w:val="1302"/>
    <w:link w:val="1139"/>
    <w:qFormat/>
    <w:pPr>
      <w:jc w:val="left"/>
      <w:spacing w:before="100" w:beforeAutospacing="1" w:after="100" w:afterAutospacing="1"/>
      <w:widowControl/>
    </w:pPr>
    <w:rPr>
      <w:rFonts w:ascii="宋体" w:hAnsi="宋体" w:cs="宋体"/>
      <w:sz w:val="20"/>
      <w:szCs w:val="20"/>
    </w:rPr>
  </w:style>
  <w:style w:type="paragraph" w:styleId="1303">
    <w:name w:val="xl37"/>
    <w:basedOn w:val="1139"/>
    <w:next w:val="1303"/>
    <w:link w:val="11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name w:val="xl26"/>
    <w:basedOn w:val="1139"/>
    <w:next w:val="1304"/>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5">
    <w:name w:val="二级条标题"/>
    <w:basedOn w:val="1306"/>
    <w:next w:val="1139"/>
    <w:link w:val="1139"/>
    <w:qFormat/>
    <w:pPr>
      <w:numPr>
        <w:ilvl w:val="0"/>
        <w:numId w:val="0"/>
      </w:numPr>
      <w:ind w:hanging="840"/>
      <w:tabs>
        <w:tab w:val="left" w:pos="360" w:leader="none"/>
        <w:tab w:val="left" w:pos="840" w:leader="none"/>
      </w:tabs>
      <w:outlineLvl w:val="2"/>
    </w:pPr>
    <w:rPr>
      <w:rFonts w:ascii="宋体" w:eastAsia="宋体"/>
      <w:b w:val="0"/>
    </w:rPr>
  </w:style>
  <w:style w:type="paragraph" w:styleId="1306">
    <w:name w:val="一级条标题"/>
    <w:basedOn w:val="1307"/>
    <w:next w:val="1139"/>
    <w:link w:val="1139"/>
    <w:qFormat/>
    <w:pPr>
      <w:numPr>
        <w:ilvl w:val="1"/>
      </w:numPr>
      <w:ind w:left="0" w:hanging="840"/>
      <w:tabs>
        <w:tab w:val="left" w:pos="360" w:leader="none"/>
        <w:tab w:val="left" w:pos="840" w:leader="none"/>
      </w:tabs>
      <w:outlineLvl w:val="1"/>
    </w:pPr>
  </w:style>
  <w:style w:type="paragraph" w:styleId="1307">
    <w:name w:val="章标题"/>
    <w:next w:val="1139"/>
    <w:link w:val="1139"/>
    <w:qFormat/>
    <w:pPr>
      <w:numPr>
        <w:ilvl w:val="0"/>
        <w:numId w:val="4"/>
      </w:numPr>
      <w:ind w:left="0"/>
      <w:jc w:val="both"/>
      <w:spacing w:line="460" w:lineRule="exact"/>
      <w:outlineLvl w:val="0"/>
    </w:pPr>
    <w:rPr>
      <w:rFonts w:ascii="黑体" w:eastAsia="黑体"/>
      <w:b/>
      <w:sz w:val="28"/>
      <w:lang w:val="en-US" w:eastAsia="zh-CN" w:bidi="ar-SA"/>
    </w:rPr>
  </w:style>
  <w:style w:type="paragraph" w:styleId="1308">
    <w:name w:val="项目编号3"/>
    <w:basedOn w:val="1309"/>
    <w:next w:val="1308"/>
    <w:link w:val="1139"/>
    <w:qFormat/>
    <w:pPr>
      <w:numPr>
        <w:ilvl w:val="0"/>
        <w:numId w:val="5"/>
      </w:numPr>
    </w:pPr>
  </w:style>
  <w:style w:type="paragraph" w:styleId="1309">
    <w:name w:val="正文文本样式"/>
    <w:basedOn w:val="1139"/>
    <w:next w:val="1309"/>
    <w:link w:val="1139"/>
    <w:qFormat/>
    <w:pPr>
      <w:ind w:firstLine="482"/>
      <w:spacing w:line="360" w:lineRule="auto"/>
    </w:pPr>
    <w:rPr>
      <w:rFonts w:cs="宋体"/>
      <w:sz w:val="24"/>
      <w:szCs w:val="20"/>
    </w:rPr>
  </w:style>
  <w:style w:type="paragraph" w:styleId="1310">
    <w:name w:val="Char1 Char Char Char1"/>
    <w:basedOn w:val="1139"/>
    <w:next w:val="1310"/>
    <w:link w:val="1139"/>
    <w:qFormat/>
    <w:rPr>
      <w:rFonts w:ascii="Tahoma" w:hAnsi="Tahoma" w:cs="仿宋_GB2312"/>
      <w:sz w:val="24"/>
      <w:szCs w:val="28"/>
    </w:rPr>
  </w:style>
  <w:style w:type="paragraph" w:styleId="1311">
    <w:name w:val="_Style 172"/>
    <w:next w:val="1311"/>
    <w:link w:val="1139"/>
    <w:uiPriority w:val="99"/>
    <w:unhideWhenUsed/>
    <w:qFormat/>
    <w:rPr>
      <w:sz w:val="21"/>
      <w:szCs w:val="24"/>
      <w:lang w:val="en-US" w:eastAsia="zh-CN" w:bidi="ar-SA"/>
    </w:rPr>
  </w:style>
  <w:style w:type="paragraph" w:styleId="1312">
    <w:name w:val="Char3 Char Char Char2"/>
    <w:basedOn w:val="1139"/>
    <w:next w:val="1312"/>
    <w:link w:val="1139"/>
    <w:qFormat/>
    <w:rPr>
      <w:rFonts w:ascii="Tahoma" w:hAnsi="Tahoma"/>
      <w:sz w:val="24"/>
      <w:szCs w:val="20"/>
    </w:rPr>
  </w:style>
  <w:style w:type="paragraph" w:styleId="1313">
    <w:name w:val="font7"/>
    <w:basedOn w:val="1139"/>
    <w:next w:val="1313"/>
    <w:link w:val="1139"/>
    <w:qFormat/>
    <w:pPr>
      <w:jc w:val="left"/>
      <w:spacing w:before="100" w:beforeAutospacing="1" w:after="100" w:afterAutospacing="1"/>
      <w:widowControl/>
    </w:pPr>
    <w:rPr>
      <w:rFonts w:eastAsia="Arial Unicode MS"/>
      <w:b/>
      <w:bCs/>
      <w:color w:val="000000"/>
      <w:sz w:val="20"/>
      <w:szCs w:val="20"/>
    </w:rPr>
  </w:style>
  <w:style w:type="paragraph" w:styleId="1314">
    <w:name w:val="图中文字"/>
    <w:basedOn w:val="1139"/>
    <w:next w:val="1314"/>
    <w:link w:val="1139"/>
    <w:qFormat/>
    <w:pPr>
      <w:jc w:val="center"/>
      <w:spacing w:line="0" w:lineRule="atLeast"/>
    </w:pPr>
    <w:rPr>
      <w:sz w:val="24"/>
      <w:szCs w:val="20"/>
    </w:rPr>
  </w:style>
  <w:style w:type="paragraph" w:styleId="1315">
    <w:name w:val="列出段落1"/>
    <w:basedOn w:val="1139"/>
    <w:next w:val="1315"/>
    <w:link w:val="1139"/>
    <w:qFormat/>
    <w:pPr>
      <w:ind w:firstLine="420"/>
    </w:pPr>
    <w:rPr>
      <w:rFonts w:ascii="Calibri" w:hAnsi="Calibri"/>
      <w:szCs w:val="22"/>
    </w:rPr>
  </w:style>
  <w:style w:type="paragraph" w:styleId="1316">
    <w:name w:val="xl46"/>
    <w:basedOn w:val="1139"/>
    <w:next w:val="1316"/>
    <w:link w:val="113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7">
    <w:name w:val="Char Char Char Char Char Char Char Char Char Char2"/>
    <w:basedOn w:val="1139"/>
    <w:next w:val="1317"/>
    <w:link w:val="1139"/>
    <w:qFormat/>
    <w:rPr>
      <w:rFonts w:ascii="宋体" w:hAnsi="宋体" w:cs="Courier New"/>
      <w:sz w:val="32"/>
      <w:szCs w:val="32"/>
    </w:rPr>
  </w:style>
  <w:style w:type="paragraph" w:styleId="1318">
    <w:name w:val="xl25"/>
    <w:basedOn w:val="1139"/>
    <w:next w:val="1318"/>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name w:val="表格文字"/>
    <w:basedOn w:val="1172"/>
    <w:next w:val="1170"/>
    <w:link w:val="1139"/>
    <w:qFormat/>
    <w:pPr>
      <w:ind w:firstLine="0"/>
      <w:spacing w:before="20" w:after="20" w:line="240" w:lineRule="auto"/>
    </w:pPr>
    <w:rPr>
      <w:rFonts w:ascii="Century Gothic" w:hAnsi="Century Gothic"/>
      <w:sz w:val="20"/>
      <w:szCs w:val="20"/>
    </w:rPr>
  </w:style>
  <w:style w:type="paragraph" w:styleId="1320">
    <w:name w:val="正文须知-2级"/>
    <w:basedOn w:val="1139"/>
    <w:next w:val="1320"/>
    <w:link w:val="1139"/>
    <w:qFormat/>
    <w:pPr>
      <w:numPr>
        <w:ilvl w:val="1"/>
        <w:numId w:val="6"/>
      </w:numPr>
      <w:spacing w:line="300" w:lineRule="auto"/>
    </w:pPr>
    <w:rPr>
      <w:rFonts w:ascii="宋体" w:hAnsi="Calibri"/>
      <w:sz w:val="24"/>
      <w:szCs w:val="21"/>
    </w:rPr>
  </w:style>
  <w:style w:type="paragraph" w:styleId="1321">
    <w:name w:val="??"/>
    <w:next w:val="1321"/>
    <w:link w:val="1139"/>
    <w:qFormat/>
    <w:pPr>
      <w:jc w:val="both"/>
      <w:widowControl w:val="off"/>
    </w:pPr>
    <w:rPr>
      <w:sz w:val="21"/>
      <w:lang w:val="en-US" w:eastAsia="en-US" w:bidi="ar-SA"/>
    </w:rPr>
  </w:style>
  <w:style w:type="paragraph" w:styleId="1322">
    <w:name w:val="纯文本1"/>
    <w:basedOn w:val="1139"/>
    <w:next w:val="1322"/>
    <w:link w:val="1139"/>
    <w:qFormat/>
    <w:rPr>
      <w:rFonts w:ascii="宋体" w:hAnsi="Courier New" w:cs="Courier New"/>
      <w:sz w:val="24"/>
      <w:szCs w:val="21"/>
    </w:rPr>
  </w:style>
  <w:style w:type="paragraph" w:styleId="1323">
    <w:name w:val="Char2"/>
    <w:basedOn w:val="1139"/>
    <w:next w:val="1323"/>
    <w:link w:val="1139"/>
    <w:qFormat/>
    <w:rPr>
      <w:rFonts w:ascii="Tahoma" w:hAnsi="Tahoma"/>
      <w:sz w:val="24"/>
      <w:szCs w:val="20"/>
    </w:rPr>
  </w:style>
  <w:style w:type="paragraph" w:styleId="1324">
    <w:name w:val="正文须知-3级"/>
    <w:basedOn w:val="1139"/>
    <w:next w:val="1324"/>
    <w:link w:val="1139"/>
    <w:qFormat/>
    <w:pPr>
      <w:numPr>
        <w:ilvl w:val="2"/>
        <w:numId w:val="6"/>
      </w:numPr>
      <w:ind w:hanging="355"/>
      <w:spacing w:line="300" w:lineRule="auto"/>
    </w:pPr>
    <w:rPr>
      <w:rFonts w:ascii="宋体" w:hAnsi="Calibri"/>
      <w:sz w:val="24"/>
      <w:szCs w:val="21"/>
    </w:rPr>
  </w:style>
  <w:style w:type="paragraph" w:styleId="1325">
    <w:name w:val="1 Char Char Char Char"/>
    <w:basedOn w:val="1139"/>
    <w:next w:val="1325"/>
    <w:link w:val="1139"/>
    <w:qFormat/>
    <w:rPr>
      <w:rFonts w:ascii="Tahoma" w:hAnsi="Tahoma"/>
      <w:sz w:val="24"/>
      <w:szCs w:val="20"/>
    </w:rPr>
  </w:style>
  <w:style w:type="paragraph" w:styleId="1326">
    <w:name w:val="xl35"/>
    <w:basedOn w:val="1139"/>
    <w:next w:val="1326"/>
    <w:link w:val="11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7">
    <w:name w:val="正文须知-1级"/>
    <w:basedOn w:val="1139"/>
    <w:next w:val="1139"/>
    <w:link w:val="1139"/>
    <w:qFormat/>
    <w:pPr>
      <w:numPr>
        <w:ilvl w:val="0"/>
        <w:numId w:val="6"/>
      </w:numPr>
      <w:spacing w:line="300" w:lineRule="auto"/>
    </w:pPr>
    <w:rPr>
      <w:rFonts w:ascii="宋体" w:hAnsi="Calibri"/>
      <w:sz w:val="24"/>
      <w:szCs w:val="21"/>
    </w:rPr>
  </w:style>
  <w:style w:type="paragraph" w:styleId="1328">
    <w:name w:val="xl49"/>
    <w:basedOn w:val="1139"/>
    <w:next w:val="1328"/>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9">
    <w:name w:val="Char Char Char2"/>
    <w:basedOn w:val="1139"/>
    <w:next w:val="1329"/>
    <w:link w:val="1139"/>
    <w:qFormat/>
    <w:rPr>
      <w:rFonts w:ascii="Tahoma" w:hAnsi="Tahoma"/>
      <w:sz w:val="24"/>
      <w:szCs w:val="20"/>
    </w:rPr>
  </w:style>
  <w:style w:type="paragraph" w:styleId="1330">
    <w:name w:val="无标题条"/>
    <w:next w:val="1139"/>
    <w:link w:val="1139"/>
    <w:qFormat/>
    <w:pPr>
      <w:jc w:val="both"/>
    </w:pPr>
    <w:rPr>
      <w:sz w:val="21"/>
      <w:lang w:val="en-US" w:eastAsia="zh-CN" w:bidi="ar-SA"/>
    </w:rPr>
  </w:style>
  <w:style w:type="paragraph" w:styleId="1331">
    <w:name w:val="Normal_1"/>
    <w:next w:val="1331"/>
    <w:link w:val="1139"/>
    <w:qFormat/>
    <w:rPr>
      <w:rFonts w:ascii="Calibri" w:hAnsi="Calibri"/>
      <w:sz w:val="24"/>
      <w:szCs w:val="24"/>
      <w:lang w:val="en-US" w:eastAsia="zh-CN" w:bidi="ar-SA"/>
    </w:rPr>
  </w:style>
  <w:style w:type="paragraph" w:styleId="1332">
    <w:name w:val="Char Char Char1 Char"/>
    <w:basedOn w:val="1139"/>
    <w:next w:val="1332"/>
    <w:link w:val="1139"/>
    <w:qFormat/>
    <w:rPr>
      <w:rFonts w:ascii="Tahoma" w:hAnsi="Tahoma"/>
      <w:sz w:val="24"/>
      <w:szCs w:val="20"/>
    </w:rPr>
  </w:style>
  <w:style w:type="paragraph" w:styleId="1333">
    <w:name w:val="四级条标题"/>
    <w:basedOn w:val="1334"/>
    <w:next w:val="1139"/>
    <w:link w:val="1139"/>
    <w:qFormat/>
    <w:pPr>
      <w:numPr>
        <w:ilvl w:val="4"/>
      </w:numPr>
      <w:ind w:left="0" w:hanging="840"/>
      <w:tabs>
        <w:tab w:val="left" w:pos="360" w:leader="none"/>
        <w:tab w:val="left" w:pos="840" w:leader="none"/>
      </w:tabs>
      <w:outlineLvl w:val="4"/>
    </w:pPr>
  </w:style>
  <w:style w:type="paragraph" w:styleId="1334">
    <w:name w:val="三级条标题"/>
    <w:basedOn w:val="1305"/>
    <w:next w:val="1139"/>
    <w:link w:val="1139"/>
    <w:qFormat/>
    <w:pPr>
      <w:numPr>
        <w:ilvl w:val="3"/>
        <w:numId w:val="4"/>
      </w:numPr>
      <w:ind w:left="0" w:hanging="840"/>
      <w:tabs>
        <w:tab w:val="left" w:pos="360" w:leader="none"/>
        <w:tab w:val="left" w:pos="840" w:leader="none"/>
      </w:tabs>
      <w:outlineLvl w:val="3"/>
    </w:pPr>
  </w:style>
  <w:style w:type="paragraph" w:styleId="1335">
    <w:name w:val="默认段落字体 Para Char Char Char Char"/>
    <w:basedOn w:val="1139"/>
    <w:next w:val="1335"/>
    <w:link w:val="1139"/>
    <w:qFormat/>
    <w:rPr>
      <w:rFonts w:ascii="Arial" w:hAnsi="Arial" w:cs="Arial"/>
      <w:szCs w:val="21"/>
    </w:rPr>
  </w:style>
  <w:style w:type="paragraph" w:styleId="1336">
    <w:name w:val="Char Char1 Char Char Char Char Char Char Char Char"/>
    <w:basedOn w:val="1139"/>
    <w:next w:val="1336"/>
    <w:link w:val="1139"/>
    <w:qFormat/>
    <w:pPr>
      <w:jc w:val="left"/>
      <w:spacing w:after="160" w:line="240" w:lineRule="exact"/>
      <w:widowControl/>
    </w:pPr>
    <w:rPr>
      <w:rFonts w:ascii="Verdana" w:hAnsi="Verdana"/>
      <w:sz w:val="20"/>
      <w:szCs w:val="20"/>
      <w:lang w:eastAsia="en-US"/>
    </w:rPr>
  </w:style>
  <w:style w:type="paragraph" w:styleId="1337">
    <w:name w:val="background1"/>
    <w:basedOn w:val="1139"/>
    <w:next w:val="1337"/>
    <w:link w:val="1139"/>
    <w:qFormat/>
    <w:pPr>
      <w:jc w:val="left"/>
      <w:spacing w:before="100" w:beforeAutospacing="1" w:after="100" w:afterAutospacing="1"/>
      <w:widowControl/>
    </w:pPr>
    <w:rPr>
      <w:rFonts w:ascii="宋体" w:hAnsi="宋体" w:cs="宋体"/>
      <w:sz w:val="24"/>
    </w:rPr>
  </w:style>
  <w:style w:type="paragraph" w:styleId="1338">
    <w:name w:val="xl24"/>
    <w:basedOn w:val="1139"/>
    <w:next w:val="1338"/>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9">
    <w:name w:val="Char Char Char Char Char Char Char"/>
    <w:basedOn w:val="1139"/>
    <w:next w:val="1339"/>
    <w:link w:val="1139"/>
    <w:qFormat/>
    <w:pPr>
      <w:ind w:firstLine="200"/>
      <w:spacing w:line="360" w:lineRule="auto"/>
    </w:pPr>
    <w:rPr>
      <w:rFonts w:eastAsia="仿宋_GB2312"/>
      <w:sz w:val="24"/>
    </w:rPr>
  </w:style>
  <w:style w:type="paragraph" w:styleId="1340">
    <w:name w:val="Table Paragraph"/>
    <w:basedOn w:val="1139"/>
    <w:next w:val="1340"/>
    <w:link w:val="1139"/>
    <w:uiPriority w:val="1"/>
    <w:qFormat/>
    <w:pPr>
      <w:jc w:val="left"/>
    </w:pPr>
    <w:rPr>
      <w:rFonts w:ascii="宋体" w:hAnsi="宋体" w:cs="宋体"/>
      <w:sz w:val="22"/>
      <w:szCs w:val="22"/>
      <w:lang w:eastAsia="en-US"/>
    </w:rPr>
  </w:style>
  <w:style w:type="paragraph" w:styleId="1341">
    <w:name w:val="五级条标题"/>
    <w:basedOn w:val="1333"/>
    <w:next w:val="1139"/>
    <w:link w:val="1139"/>
    <w:qFormat/>
    <w:pPr>
      <w:numPr>
        <w:ilvl w:val="5"/>
      </w:numPr>
      <w:ind w:left="0" w:hanging="840"/>
      <w:tabs>
        <w:tab w:val="left" w:pos="360" w:leader="none"/>
        <w:tab w:val="left" w:pos="840" w:leader="none"/>
      </w:tabs>
      <w:outlineLvl w:val="5"/>
    </w:pPr>
  </w:style>
  <w:style w:type="paragraph" w:styleId="1342">
    <w:name w:val="正文列项_数字"/>
    <w:basedOn w:val="1139"/>
    <w:next w:val="1342"/>
    <w:link w:val="1139"/>
    <w:qFormat/>
    <w:pPr>
      <w:numPr>
        <w:ilvl w:val="7"/>
        <w:numId w:val="4"/>
      </w:numPr>
      <w:ind w:left="680" w:hanging="150"/>
      <w:spacing w:line="460" w:lineRule="exact"/>
      <w:tabs>
        <w:tab w:val="clear" w:pos="860" w:leader="none"/>
      </w:tabs>
      <w:outlineLvl w:val="7"/>
    </w:pPr>
    <w:rPr>
      <w:rFonts w:ascii="宋体"/>
      <w:sz w:val="28"/>
      <w:szCs w:val="20"/>
    </w:rPr>
  </w:style>
  <w:style w:type="paragraph" w:styleId="1343">
    <w:name w:val="Char1"/>
    <w:basedOn w:val="1139"/>
    <w:next w:val="1343"/>
    <w:link w:val="1139"/>
    <w:qFormat/>
    <w:pPr>
      <w:tabs>
        <w:tab w:val="left" w:pos="360" w:leader="none"/>
      </w:tabs>
    </w:pPr>
    <w:rPr>
      <w:sz w:val="24"/>
    </w:rPr>
  </w:style>
  <w:style w:type="paragraph" w:styleId="1344">
    <w:name w:val="样式2"/>
    <w:basedOn w:val="1202"/>
    <w:next w:val="1344"/>
    <w:link w:val="1139"/>
    <w:qFormat/>
    <w:pPr>
      <w:jc w:val="center"/>
      <w:spacing w:line="360" w:lineRule="auto"/>
    </w:pPr>
    <w:rPr>
      <w:sz w:val="24"/>
    </w:rPr>
  </w:style>
  <w:style w:type="paragraph" w:styleId="1345">
    <w:name w:val="xl32"/>
    <w:basedOn w:val="1139"/>
    <w:next w:val="1345"/>
    <w:link w:val="11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6">
    <w:name w:val="Char Char1"/>
    <w:basedOn w:val="1164"/>
    <w:next w:val="1346"/>
    <w:link w:val="1139"/>
    <w:qFormat/>
    <w:rPr>
      <w:rFonts w:ascii="Tahoma" w:hAnsi="Tahoma"/>
      <w:sz w:val="24"/>
    </w:rPr>
  </w:style>
  <w:style w:type="paragraph" w:styleId="1347">
    <w:name w:val="xl30"/>
    <w:basedOn w:val="1139"/>
    <w:next w:val="1347"/>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name w:val="正文文本样式 加粗"/>
    <w:basedOn w:val="1309"/>
    <w:next w:val="1348"/>
    <w:link w:val="1139"/>
    <w:qFormat/>
    <w:rPr>
      <w:b/>
    </w:rPr>
  </w:style>
  <w:style w:type="paragraph" w:styleId="1349">
    <w:name w:val="Char Char4"/>
    <w:basedOn w:val="1139"/>
    <w:next w:val="1349"/>
    <w:link w:val="1139"/>
    <w:qFormat/>
    <w:pPr>
      <w:jc w:val="center"/>
      <w:spacing w:line="400" w:lineRule="exact"/>
      <w:widowControl/>
    </w:pPr>
  </w:style>
  <w:style w:type="paragraph" w:styleId="1350">
    <w:name w:val="样式 标题 2 + 宋体 五号 行距: 单倍行距"/>
    <w:basedOn w:val="1141"/>
    <w:next w:val="1350"/>
    <w:link w:val="1139"/>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51">
    <w:name w:val="表格1"/>
    <w:basedOn w:val="1139"/>
    <w:next w:val="1351"/>
    <w:link w:val="1139"/>
    <w:qFormat/>
    <w:pPr>
      <w:ind w:firstLine="480"/>
      <w:jc w:val="center"/>
    </w:pPr>
    <w:rPr>
      <w:sz w:val="24"/>
      <w:szCs w:val="20"/>
    </w:rPr>
  </w:style>
  <w:style w:type="paragraph" w:styleId="1352">
    <w:name w:val="项目符号1"/>
    <w:basedOn w:val="1309"/>
    <w:next w:val="1352"/>
    <w:link w:val="1139"/>
    <w:qFormat/>
    <w:pPr>
      <w:ind w:left="-25" w:firstLine="0"/>
    </w:pPr>
  </w:style>
  <w:style w:type="paragraph" w:styleId="1353">
    <w:name w:val="xl27"/>
    <w:basedOn w:val="1139"/>
    <w:next w:val="1353"/>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4">
    <w:name w:val="字元 字元2"/>
    <w:basedOn w:val="1139"/>
    <w:next w:val="1354"/>
    <w:link w:val="1139"/>
    <w:qFormat/>
    <w:rPr>
      <w:rFonts w:ascii="Tahoma" w:hAnsi="Tahoma"/>
      <w:sz w:val="24"/>
      <w:szCs w:val="20"/>
    </w:rPr>
  </w:style>
  <w:style w:type="paragraph" w:styleId="1355">
    <w:name w:val="图文"/>
    <w:basedOn w:val="1139"/>
    <w:next w:val="1355"/>
    <w:link w:val="1139"/>
    <w:qFormat/>
    <w:pPr>
      <w:spacing w:after="50" w:line="360" w:lineRule="auto"/>
    </w:pPr>
    <w:rPr>
      <w:sz w:val="24"/>
    </w:rPr>
  </w:style>
  <w:style w:type="paragraph" w:styleId="1356">
    <w:name w:val="xl53"/>
    <w:basedOn w:val="1139"/>
    <w:next w:val="1356"/>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name w:val="22222222222222"/>
    <w:basedOn w:val="1139"/>
    <w:next w:val="1357"/>
    <w:link w:val="1139"/>
    <w:qFormat/>
    <w:pPr>
      <w:ind w:firstLine="480"/>
      <w:jc w:val="left"/>
      <w:spacing w:line="360" w:lineRule="auto"/>
      <w:widowControl/>
    </w:pPr>
    <w:rPr>
      <w:color w:val="ff0000"/>
      <w:sz w:val="24"/>
      <w:szCs w:val="20"/>
    </w:rPr>
  </w:style>
  <w:style w:type="paragraph" w:styleId="1358">
    <w:name w:val="正文缩进11"/>
    <w:basedOn w:val="1139"/>
    <w:next w:val="1358"/>
    <w:link w:val="1139"/>
    <w:uiPriority w:val="99"/>
    <w:qFormat/>
    <w:pPr>
      <w:ind w:firstLine="200"/>
    </w:pPr>
    <w:rPr>
      <w:sz w:val="24"/>
    </w:rPr>
  </w:style>
  <w:style w:type="paragraph" w:styleId="1359">
    <w:name w:val="Char3"/>
    <w:basedOn w:val="1139"/>
    <w:next w:val="1359"/>
    <w:link w:val="1139"/>
    <w:qFormat/>
    <w:pPr>
      <w:tabs>
        <w:tab w:val="left" w:pos="360" w:leader="none"/>
      </w:tabs>
    </w:pPr>
    <w:rPr>
      <w:sz w:val="24"/>
    </w:rPr>
  </w:style>
  <w:style w:type="paragraph" w:styleId="1360">
    <w:name w:val="xl33"/>
    <w:basedOn w:val="1139"/>
    <w:next w:val="1360"/>
    <w:link w:val="11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1">
    <w:name w:val="Char21"/>
    <w:basedOn w:val="1139"/>
    <w:next w:val="1361"/>
    <w:link w:val="1139"/>
    <w:qFormat/>
    <w:rPr>
      <w:rFonts w:ascii="Tahoma" w:hAnsi="Tahoma"/>
      <w:sz w:val="24"/>
      <w:szCs w:val="20"/>
    </w:rPr>
  </w:style>
  <w:style w:type="paragraph" w:styleId="1362">
    <w:name w:val="xl42"/>
    <w:basedOn w:val="1139"/>
    <w:next w:val="1362"/>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3">
    <w:name w:val="Char2 Char Char Char Char Char Char1"/>
    <w:basedOn w:val="1139"/>
    <w:next w:val="1363"/>
    <w:link w:val="1139"/>
    <w:qFormat/>
    <w:pPr>
      <w:jc w:val="center"/>
      <w:spacing w:line="400" w:lineRule="exact"/>
      <w:widowControl/>
    </w:pPr>
  </w:style>
  <w:style w:type="paragraph" w:styleId="1364">
    <w:name w:val="xl44"/>
    <w:basedOn w:val="1139"/>
    <w:next w:val="1364"/>
    <w:link w:val="11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5">
    <w:name w:val="xl34"/>
    <w:basedOn w:val="1139"/>
    <w:next w:val="1365"/>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6">
    <w:name w:val="标题1-附件"/>
    <w:basedOn w:val="1140"/>
    <w:next w:val="1366"/>
    <w:link w:val="1139"/>
    <w:qFormat/>
    <w:pPr>
      <w:jc w:val="left"/>
    </w:pPr>
    <w:rPr>
      <w:sz w:val="24"/>
      <w:szCs w:val="24"/>
    </w:rPr>
  </w:style>
  <w:style w:type="paragraph" w:styleId="1367">
    <w:name w:val="xl51"/>
    <w:basedOn w:val="1139"/>
    <w:next w:val="1367"/>
    <w:link w:val="11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8">
    <w:name w:val="xl48"/>
    <w:basedOn w:val="1139"/>
    <w:next w:val="1368"/>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9">
    <w:name w:val="Char Char1 Char Char Char Char Char Char1"/>
    <w:basedOn w:val="1139"/>
    <w:next w:val="1369"/>
    <w:link w:val="1139"/>
    <w:qFormat/>
    <w:pPr>
      <w:jc w:val="left"/>
      <w:spacing w:after="160" w:line="240" w:lineRule="exact"/>
      <w:widowControl/>
    </w:pPr>
    <w:rPr>
      <w:rFonts w:ascii="Verdana" w:hAnsi="Verdana" w:eastAsia="仿宋_GB2312"/>
      <w:sz w:val="24"/>
      <w:szCs w:val="20"/>
      <w:lang w:eastAsia="en-US"/>
    </w:rPr>
  </w:style>
  <w:style w:type="paragraph" w:styleId="1370">
    <w:name w:val="font9"/>
    <w:basedOn w:val="1139"/>
    <w:next w:val="1370"/>
    <w:link w:val="1139"/>
    <w:qFormat/>
    <w:pPr>
      <w:jc w:val="left"/>
      <w:spacing w:before="100" w:beforeAutospacing="1" w:after="100" w:afterAutospacing="1"/>
      <w:widowControl/>
    </w:pPr>
    <w:rPr>
      <w:rFonts w:hint="eastAsia" w:ascii="宋体" w:hAnsi="宋体" w:cs="Arial Unicode MS"/>
      <w:color w:val="000000"/>
      <w:sz w:val="20"/>
      <w:szCs w:val="20"/>
    </w:rPr>
  </w:style>
  <w:style w:type="paragraph" w:styleId="1371">
    <w:name w:val="Char Char41"/>
    <w:basedOn w:val="1139"/>
    <w:next w:val="1371"/>
    <w:link w:val="1139"/>
    <w:qFormat/>
    <w:pPr>
      <w:jc w:val="center"/>
      <w:spacing w:line="400" w:lineRule="exact"/>
      <w:widowControl/>
    </w:pPr>
  </w:style>
  <w:style w:type="paragraph" w:styleId="1372">
    <w:name w:val="Char Char Char1 Char1"/>
    <w:basedOn w:val="1139"/>
    <w:next w:val="1372"/>
    <w:link w:val="1139"/>
    <w:qFormat/>
    <w:rPr>
      <w:rFonts w:ascii="Tahoma" w:hAnsi="Tahoma"/>
      <w:sz w:val="24"/>
      <w:szCs w:val="20"/>
    </w:rPr>
  </w:style>
  <w:style w:type="paragraph" w:styleId="1373">
    <w:name w:val="正文文本缩进2"/>
    <w:basedOn w:val="1139"/>
    <w:next w:val="1373"/>
    <w:link w:val="1139"/>
    <w:qFormat/>
    <w:pPr>
      <w:ind w:firstLine="480"/>
      <w:spacing w:line="480" w:lineRule="exact"/>
    </w:pPr>
    <w:rPr>
      <w:rFonts w:ascii="宋体" w:hAnsi="宋体"/>
      <w:sz w:val="24"/>
      <w:lang w:val="zh-CN"/>
    </w:rPr>
  </w:style>
  <w:style w:type="paragraph" w:styleId="1374">
    <w:name w:val="Char Char Char Char Char Char Char Char Char Char"/>
    <w:basedOn w:val="1139"/>
    <w:next w:val="1374"/>
    <w:link w:val="1139"/>
    <w:qFormat/>
  </w:style>
  <w:style w:type="paragraph" w:styleId="1375">
    <w:name w:val="无间隔"/>
    <w:next w:val="1375"/>
    <w:link w:val="1139"/>
    <w:qFormat/>
    <w:pPr>
      <w:jc w:val="both"/>
      <w:widowControl w:val="off"/>
    </w:pPr>
    <w:rPr>
      <w:sz w:val="21"/>
      <w:szCs w:val="24"/>
      <w:lang w:val="en-US" w:eastAsia="zh-CN" w:bidi="ar-SA"/>
    </w:rPr>
  </w:style>
  <w:style w:type="paragraph" w:styleId="1376">
    <w:name w:val="Char3 Char Char Char1"/>
    <w:basedOn w:val="1139"/>
    <w:next w:val="1376"/>
    <w:link w:val="1139"/>
    <w:qFormat/>
    <w:rPr>
      <w:rFonts w:ascii="Tahoma" w:hAnsi="Tahoma"/>
      <w:sz w:val="24"/>
      <w:szCs w:val="20"/>
    </w:rPr>
  </w:style>
  <w:style w:type="paragraph" w:styleId="1377">
    <w:name w:val="Char Char Char Char Char Char Char2"/>
    <w:basedOn w:val="1139"/>
    <w:next w:val="1377"/>
    <w:link w:val="1139"/>
    <w:qFormat/>
    <w:pPr>
      <w:ind w:firstLine="200"/>
      <w:spacing w:line="360" w:lineRule="auto"/>
    </w:pPr>
    <w:rPr>
      <w:rFonts w:eastAsia="仿宋_GB2312"/>
      <w:sz w:val="24"/>
    </w:rPr>
  </w:style>
  <w:style w:type="paragraph" w:styleId="1378">
    <w:name w:val="xl28"/>
    <w:basedOn w:val="1139"/>
    <w:next w:val="1378"/>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9">
    <w:name w:val="xl47"/>
    <w:basedOn w:val="1139"/>
    <w:next w:val="1379"/>
    <w:link w:val="11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name w:val="xl31"/>
    <w:basedOn w:val="1139"/>
    <w:next w:val="1380"/>
    <w:link w:val="11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1">
    <w:name w:val="xl23"/>
    <w:basedOn w:val="1139"/>
    <w:next w:val="1381"/>
    <w:link w:val="1139"/>
    <w:qFormat/>
    <w:pPr>
      <w:spacing w:before="100" w:beforeAutospacing="1" w:after="100" w:afterAutospacing="1" w:line="360" w:lineRule="auto"/>
      <w:widowControl/>
    </w:pPr>
    <w:rPr>
      <w:sz w:val="24"/>
      <w:szCs w:val="20"/>
    </w:rPr>
  </w:style>
  <w:style w:type="paragraph" w:styleId="1382">
    <w:name w:val="正文 + 楷体_GB2312"/>
    <w:basedOn w:val="1139"/>
    <w:next w:val="1382"/>
    <w:link w:val="1139"/>
    <w:qFormat/>
    <w:pPr>
      <w:jc w:val="left"/>
      <w:widowControl/>
    </w:pPr>
    <w:rPr>
      <w:rFonts w:ascii="楷体_GB2312" w:eastAsia="楷体_GB2312" w:cs="Arial"/>
      <w:sz w:val="24"/>
    </w:rPr>
  </w:style>
  <w:style w:type="paragraph" w:styleId="1383">
    <w:name w:val="Char Char Char Char Char Char Char Char Char Char Char Char Char Char Char Char1"/>
    <w:basedOn w:val="1139"/>
    <w:next w:val="1383"/>
    <w:link w:val="1139"/>
    <w:qFormat/>
    <w:pPr>
      <w:jc w:val="center"/>
      <w:spacing w:after="160" w:line="240" w:lineRule="exact"/>
      <w:widowControl/>
    </w:pPr>
    <w:rPr>
      <w:rFonts w:ascii="宋体" w:hAnsi="宋体"/>
      <w:b/>
      <w:sz w:val="30"/>
      <w:szCs w:val="30"/>
      <w:lang w:eastAsia="en-US"/>
    </w:rPr>
  </w:style>
  <w:style w:type="paragraph" w:styleId="1384">
    <w:name w:val="Char Char Char Char Char Char Char1"/>
    <w:basedOn w:val="1139"/>
    <w:next w:val="1384"/>
    <w:link w:val="1139"/>
    <w:qFormat/>
    <w:pPr>
      <w:ind w:firstLine="200"/>
      <w:spacing w:line="360" w:lineRule="auto"/>
    </w:pPr>
    <w:rPr>
      <w:rFonts w:eastAsia="仿宋_GB2312"/>
      <w:sz w:val="24"/>
    </w:rPr>
  </w:style>
  <w:style w:type="paragraph" w:styleId="1385">
    <w:name w:val="索引 11"/>
    <w:basedOn w:val="1139"/>
    <w:next w:val="1139"/>
    <w:link w:val="1139"/>
    <w:qFormat/>
    <w:pPr>
      <w:spacing w:line="360" w:lineRule="auto"/>
    </w:pPr>
    <w:rPr>
      <w:rFonts w:ascii="仿宋_GB2312" w:eastAsia="仿宋_GB2312"/>
      <w:sz w:val="24"/>
      <w:szCs w:val="20"/>
    </w:rPr>
  </w:style>
  <w:style w:type="paragraph" w:styleId="1386">
    <w:name w:val="Char Char Char1 Char2"/>
    <w:basedOn w:val="1139"/>
    <w:next w:val="1386"/>
    <w:link w:val="1139"/>
    <w:qFormat/>
    <w:rPr>
      <w:rFonts w:ascii="Tahoma" w:hAnsi="Tahoma"/>
      <w:sz w:val="24"/>
      <w:szCs w:val="20"/>
    </w:rPr>
  </w:style>
  <w:style w:type="paragraph" w:styleId="1387">
    <w:name w:val="xl29"/>
    <w:basedOn w:val="1139"/>
    <w:next w:val="1387"/>
    <w:link w:val="11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8">
    <w:name w:val="图例"/>
    <w:basedOn w:val="1139"/>
    <w:next w:val="1388"/>
    <w:link w:val="1139"/>
    <w:qFormat/>
    <w:pPr>
      <w:jc w:val="center"/>
      <w:spacing w:before="120" w:after="120" w:line="360" w:lineRule="auto"/>
    </w:pPr>
    <w:rPr>
      <w:rFonts w:eastAsia="仿宋_GB2312"/>
      <w:b/>
      <w:sz w:val="24"/>
      <w:szCs w:val="20"/>
    </w:rPr>
  </w:style>
  <w:style w:type="paragraph" w:styleId="1389">
    <w:name w:val="_Style 160"/>
    <w:next w:val="1389"/>
    <w:link w:val="1139"/>
    <w:qFormat/>
    <w:rPr>
      <w:sz w:val="21"/>
      <w:szCs w:val="24"/>
      <w:lang w:val="en-US" w:eastAsia="zh-CN" w:bidi="ar-SA"/>
    </w:rPr>
  </w:style>
  <w:style w:type="paragraph" w:styleId="1390">
    <w:name w:val="p0"/>
    <w:basedOn w:val="1139"/>
    <w:next w:val="1390"/>
    <w:link w:val="1139"/>
    <w:qFormat/>
    <w:pPr>
      <w:widowControl/>
    </w:pPr>
    <w:rPr>
      <w:szCs w:val="21"/>
    </w:rPr>
  </w:style>
  <w:style w:type="paragraph" w:styleId="1391">
    <w:name w:val="Char2 Char Char Char Char Char Char"/>
    <w:basedOn w:val="1139"/>
    <w:next w:val="1391"/>
    <w:link w:val="1139"/>
    <w:qFormat/>
    <w:pPr>
      <w:jc w:val="center"/>
      <w:spacing w:line="400" w:lineRule="exact"/>
      <w:widowControl/>
    </w:pPr>
  </w:style>
  <w:style w:type="paragraph" w:styleId="1392">
    <w:name w:val="正文缩进2"/>
    <w:basedOn w:val="1139"/>
    <w:next w:val="1392"/>
    <w:link w:val="1139"/>
    <w:qFormat/>
    <w:pPr>
      <w:ind w:firstLine="567"/>
      <w:spacing w:line="480" w:lineRule="exact"/>
      <w:widowControl/>
    </w:pPr>
    <w:rPr>
      <w:rFonts w:ascii="宋体"/>
      <w:color w:val="000000"/>
      <w:sz w:val="28"/>
      <w:szCs w:val="20"/>
      <w:lang w:val="zh-CN"/>
    </w:rPr>
  </w:style>
  <w:style w:type="paragraph" w:styleId="1393">
    <w:name w:val="修订1"/>
    <w:next w:val="1393"/>
    <w:link w:val="1139"/>
    <w:qFormat/>
    <w:rPr>
      <w:sz w:val="21"/>
      <w:szCs w:val="24"/>
      <w:lang w:val="en-US" w:eastAsia="zh-CN" w:bidi="ar-SA"/>
    </w:rPr>
  </w:style>
  <w:style w:type="table" w:styleId="1394">
    <w:name w:val="Table Normal"/>
    <w:next w:val="1394"/>
    <w:link w:val="1139"/>
    <w:uiPriority w:val="2"/>
    <w:unhideWhenUsed/>
    <w:qFormat/>
    <w:pPr>
      <w:widowControl w:val="off"/>
    </w:pPr>
    <w:rPr>
      <w:rFonts w:ascii="Calibri" w:hAnsi="Calibri"/>
      <w:sz w:val="22"/>
      <w:szCs w:val="22"/>
      <w:lang w:val="en-US" w:eastAsia="en-US" w:bidi="ar-SA"/>
    </w:rPr>
    <w:tblPr/>
  </w:style>
  <w:style w:type="paragraph" w:styleId="1395">
    <w:name w:val="样式1"/>
    <w:basedOn w:val="1141"/>
    <w:next w:val="1395"/>
    <w:link w:val="1139"/>
    <w:qFormat/>
    <w:pPr>
      <w:ind w:right="100"/>
      <w:spacing w:before="100" w:beforeAutospacing="1" w:after="100" w:afterAutospacing="1"/>
    </w:pPr>
    <w:rPr>
      <w:sz w:val="21"/>
    </w:rPr>
  </w:style>
  <w:style w:type="character" w:styleId="1396">
    <w:name w:val="sp"/>
    <w:next w:val="1396"/>
    <w:link w:val="1139"/>
    <w:qFormat/>
    <w:rPr>
      <w:color w:val="ffffff"/>
      <w:shd w:val="clear" w:color="auto" w:fill="dddddd"/>
    </w:rPr>
  </w:style>
  <w:style w:type="character" w:styleId="1397">
    <w:name w:val="disabled"/>
    <w:next w:val="1397"/>
    <w:link w:val="1139"/>
    <w:qFormat/>
    <w:rPr>
      <w:color w:val="38322d"/>
    </w:rPr>
  </w:style>
  <w:style w:type="character" w:styleId="1398">
    <w:name w:val="current"/>
    <w:next w:val="1398"/>
    <w:link w:val="1139"/>
    <w:qFormat/>
    <w:rPr>
      <w:b/>
      <w:bCs/>
      <w:color w:val="ffffff"/>
      <w:shd w:val="clear" w:color="auto" w:fill="38322d"/>
    </w:rPr>
  </w:style>
  <w:style w:type="character" w:styleId="1399">
    <w:name w:val="NormalCharacter1"/>
    <w:next w:val="1399"/>
    <w:link w:val="1139"/>
    <w:qFormat/>
    <w:rPr>
      <w:rFonts w:ascii="Times New Roman" w:hAnsi="Times New Roman" w:eastAsia="宋体" w:cs="Times New Roman"/>
      <w:sz w:val="21"/>
      <w:szCs w:val="24"/>
      <w:lang w:val="en-US" w:eastAsia="zh-CN" w:bidi="ar-SA"/>
    </w:rPr>
  </w:style>
  <w:style w:type="paragraph" w:styleId="1400">
    <w:name w:val="普通(网站)1"/>
    <w:basedOn w:val="1139"/>
    <w:next w:val="1400"/>
    <w:link w:val="1139"/>
    <w:uiPriority w:val="99"/>
    <w:unhideWhenUsed/>
    <w:qFormat/>
    <w:pPr>
      <w:jc w:val="left"/>
      <w:spacing w:before="100" w:beforeAutospacing="1" w:after="100" w:afterAutospacing="1"/>
      <w:widowControl/>
    </w:pPr>
    <w:rPr>
      <w:rFonts w:ascii="宋体" w:hAnsi="宋体" w:cs="宋体"/>
      <w:sz w:val="24"/>
    </w:rPr>
  </w:style>
  <w:style w:type="paragraph" w:styleId="1401">
    <w:name w:val="表 靠左"/>
    <w:basedOn w:val="1402"/>
    <w:next w:val="1401"/>
    <w:link w:val="1139"/>
    <w:qFormat/>
    <w:pPr>
      <w:jc w:val="left"/>
    </w:pPr>
    <w:rPr>
      <w:rFonts w:ascii="宋体" w:hAnsi="宋体" w:eastAsia="宋体"/>
    </w:rPr>
  </w:style>
  <w:style w:type="paragraph" w:styleId="1402">
    <w:name w:val="表"/>
    <w:basedOn w:val="1139"/>
    <w:next w:val="1139"/>
    <w:link w:val="1139"/>
    <w:uiPriority w:val="7"/>
    <w:qFormat/>
    <w:pPr>
      <w:ind w:firstLine="0"/>
      <w:jc w:val="center"/>
      <w:spacing w:line="240" w:lineRule="auto"/>
    </w:pPr>
  </w:style>
  <w:style w:type="paragraph" w:styleId="1403">
    <w:name w:val="列表段落1"/>
    <w:basedOn w:val="1139"/>
    <w:next w:val="1403"/>
    <w:link w:val="1139"/>
    <w:uiPriority w:val="34"/>
    <w:qFormat/>
    <w:pPr>
      <w:ind w:firstLine="420"/>
    </w:pPr>
  </w:style>
  <w:style w:type="paragraph" w:styleId="1404">
    <w:name w:val="首行缩进"/>
    <w:basedOn w:val="1139"/>
    <w:next w:val="1404"/>
    <w:link w:val="1139"/>
    <w:qFormat/>
    <w:pPr>
      <w:ind w:firstLine="480"/>
    </w:pPr>
    <w:rPr>
      <w:rFonts w:ascii="宋体" w:hAnsi="宋体" w:cs="宋体"/>
      <w:szCs w:val="22"/>
    </w:rPr>
  </w:style>
  <w:style w:type="paragraph" w:styleId="1405">
    <w:name w:val="0- 正文"/>
    <w:basedOn w:val="1139"/>
    <w:next w:val="1405"/>
    <w:link w:val="1139"/>
    <w:qFormat/>
    <w:pPr>
      <w:ind w:firstLine="482"/>
      <w:jc w:val="left"/>
      <w:spacing w:line="360" w:lineRule="auto"/>
      <w:widowControl/>
    </w:pPr>
    <w:rPr>
      <w:rFonts w:ascii="Calibri" w:hAnsi="Calibri" w:eastAsia="宋体" w:cs="Times New Roman"/>
      <w:sz w:val="24"/>
      <w:szCs w:val="22"/>
    </w:rPr>
  </w:style>
  <w:style w:type="paragraph" w:styleId="1406">
    <w:name w:val="修订"/>
    <w:next w:val="1406"/>
    <w:link w:val="1139"/>
    <w:uiPriority w:val="99"/>
    <w:unhideWhenUsed/>
    <w:rPr>
      <w:sz w:val="21"/>
      <w:szCs w:val="24"/>
      <w:lang w:val="en-US" w:eastAsia="zh-CN" w:bidi="ar-SA"/>
    </w:rPr>
  </w:style>
  <w:style w:type="paragraph" w:styleId="1407">
    <w:name w:val="表格正文"/>
    <w:basedOn w:val="1139"/>
    <w:next w:val="1407"/>
    <w:link w:val="1139"/>
    <w:qFormat/>
    <w:pPr>
      <w:ind w:firstLine="480"/>
      <w:jc w:val="left"/>
      <w:spacing w:line="400" w:lineRule="exact"/>
    </w:pPr>
    <w:rPr>
      <w:rFonts w:hint="eastAsia" w:ascii="仿宋_GB2312" w:hAnsi="仿宋_GB2312" w:eastAsia="仿宋_GB2312" w:cs="仿宋_GB2312"/>
      <w:bCs/>
      <w:sz w:val="24"/>
    </w:rPr>
  </w:style>
  <w:style w:type="paragraph" w:styleId="1408">
    <w:name w:val="批注文字1"/>
    <w:basedOn w:val="1139"/>
    <w:next w:val="1408"/>
    <w:link w:val="1139"/>
    <w:uiPriority w:val="99"/>
    <w:qFormat/>
    <w:pPr>
      <w:jc w:val="left"/>
    </w:pPr>
  </w:style>
  <w:style w:type="paragraph" w:styleId="1409">
    <w:name w:val="表内文字居中"/>
    <w:next w:val="1409"/>
    <w:link w:val="1139"/>
    <w:qFormat/>
    <w:pPr>
      <w:jc w:val="center"/>
    </w:pPr>
    <w:rPr>
      <w:sz w:val="24"/>
      <w:szCs w:val="24"/>
      <w:lang w:val="en-US" w:eastAsia="zh-CN" w:bidi="ar-SA"/>
    </w:rPr>
  </w:style>
  <w:style w:type="character" w:styleId="1410">
    <w:name w:val="font31"/>
    <w:basedOn w:val="1149"/>
    <w:next w:val="1410"/>
    <w:link w:val="1139"/>
    <w:rPr>
      <w:rFonts w:hint="eastAsia" w:ascii="宋体" w:hAnsi="宋体" w:eastAsia="宋体" w:cs="宋体"/>
      <w:color w:val="000000"/>
      <w:sz w:val="20"/>
      <w:szCs w:val="20"/>
      <w:u w:val="none"/>
    </w:rPr>
  </w:style>
  <w:style w:type="character" w:styleId="1411" w:default="1">
    <w:name w:val="Default Paragraph Font"/>
    <w:uiPriority w:val="1"/>
    <w:semiHidden/>
    <w:unhideWhenUsed/>
  </w:style>
  <w:style w:type="numbering" w:styleId="1412" w:default="1">
    <w:name w:val="No List"/>
    <w:uiPriority w:val="99"/>
    <w:semiHidden/>
    <w:unhideWhenUsed/>
  </w:style>
  <w:style w:type="table" w:styleId="1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周叶</cp:lastModifiedBy>
  <cp:revision>9</cp:revision>
  <dcterms:created xsi:type="dcterms:W3CDTF">2024-05-10T14:52:00Z</dcterms:created>
  <dcterms:modified xsi:type="dcterms:W3CDTF">2026-03-26T08:11:22Z</dcterms:modified>
</cp:coreProperties>
</file>