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58C61">
      <w:pPr>
        <w:jc w:val="center"/>
        <w:rPr>
          <w:rFonts w:hint="eastAsia" w:ascii="宋体" w:hAnsi="宋体" w:cs="宋体"/>
          <w:sz w:val="32"/>
          <w:szCs w:val="32"/>
          <w:lang w:val="en-US" w:eastAsia="zh-CN"/>
        </w:rPr>
      </w:pPr>
      <w:r>
        <w:rPr>
          <w:rFonts w:hint="eastAsia" w:ascii="宋体" w:hAnsi="宋体" w:cs="宋体"/>
          <w:sz w:val="32"/>
          <w:szCs w:val="32"/>
          <w:lang w:val="en-US" w:eastAsia="zh-CN"/>
        </w:rPr>
        <w:t>图书馆(科研楼)4楼GCP改造项目</w:t>
      </w:r>
    </w:p>
    <w:p w14:paraId="0CFC6D9B">
      <w:pPr>
        <w:jc w:val="center"/>
        <w:rPr>
          <w:rFonts w:eastAsia="黑体"/>
          <w:sz w:val="32"/>
          <w:szCs w:val="32"/>
        </w:rPr>
      </w:pPr>
      <w:r>
        <w:rPr>
          <w:rFonts w:hint="eastAsia" w:eastAsia="黑体"/>
          <w:sz w:val="32"/>
          <w:szCs w:val="32"/>
        </w:rPr>
        <w:t>工程量清单及</w:t>
      </w:r>
      <w:r>
        <w:rPr>
          <w:rFonts w:hint="eastAsia" w:eastAsia="黑体"/>
          <w:sz w:val="32"/>
          <w:szCs w:val="32"/>
          <w:lang w:val="en-US" w:eastAsia="zh-CN"/>
        </w:rPr>
        <w:t>最高投标限价</w:t>
      </w:r>
      <w:r>
        <w:rPr>
          <w:rFonts w:hint="eastAsia" w:eastAsia="黑体"/>
          <w:sz w:val="32"/>
          <w:szCs w:val="32"/>
        </w:rPr>
        <w:t>编制说明</w:t>
      </w:r>
    </w:p>
    <w:p w14:paraId="16E10F8C">
      <w:pPr>
        <w:numPr>
          <w:ilvl w:val="0"/>
          <w:numId w:val="0"/>
        </w:numPr>
        <w:spacing w:line="360" w:lineRule="auto"/>
        <w:rPr>
          <w:rFonts w:hint="eastAsia" w:ascii="宋体" w:hAnsi="宋体" w:eastAsia="宋体" w:cs="宋体"/>
          <w:b/>
          <w:bCs w:val="0"/>
          <w:color w:val="000000"/>
          <w:sz w:val="28"/>
          <w:szCs w:val="28"/>
          <w:shd w:val="clear" w:color="auto" w:fill="FFFFFF"/>
        </w:rPr>
      </w:pPr>
      <w:r>
        <w:rPr>
          <w:rFonts w:hint="eastAsia" w:ascii="宋体" w:hAnsi="宋体" w:eastAsia="宋体" w:cs="宋体"/>
          <w:b/>
          <w:bCs w:val="0"/>
          <w:color w:val="000000"/>
          <w:sz w:val="28"/>
          <w:szCs w:val="28"/>
          <w:shd w:val="clear" w:color="auto" w:fill="FFFFFF"/>
          <w:lang w:val="en-US" w:eastAsia="zh-CN"/>
        </w:rPr>
        <w:t>（一）</w:t>
      </w:r>
      <w:r>
        <w:rPr>
          <w:rFonts w:hint="eastAsia" w:ascii="宋体" w:hAnsi="宋体" w:eastAsia="宋体" w:cs="宋体"/>
          <w:b/>
          <w:bCs w:val="0"/>
          <w:color w:val="000000"/>
          <w:sz w:val="28"/>
          <w:szCs w:val="28"/>
          <w:shd w:val="clear" w:color="auto" w:fill="FFFFFF"/>
        </w:rPr>
        <w:t>工程概况</w:t>
      </w:r>
    </w:p>
    <w:p w14:paraId="33D0AAC4">
      <w:pPr>
        <w:spacing w:line="360" w:lineRule="auto"/>
        <w:ind w:firstLine="480"/>
        <w:rPr>
          <w:rFonts w:hint="eastAsia" w:ascii="宋体" w:hAnsi="宋体" w:eastAsia="宋体" w:cs="宋体"/>
          <w:sz w:val="24"/>
          <w:szCs w:val="24"/>
          <w:lang w:val="en-US" w:eastAsia="zh-CN"/>
        </w:rPr>
      </w:pPr>
      <w:r>
        <w:rPr>
          <w:rFonts w:hint="eastAsia" w:ascii="宋体" w:hAnsi="宋体" w:cs="宋体"/>
          <w:sz w:val="24"/>
          <w:szCs w:val="24"/>
          <w:lang w:val="en-US" w:eastAsia="zh-CN"/>
        </w:rPr>
        <w:t>该工程位于</w:t>
      </w:r>
      <w:r>
        <w:rPr>
          <w:rFonts w:hint="eastAsia" w:ascii="宋体" w:hAnsi="宋体" w:eastAsia="宋体" w:cs="宋体"/>
          <w:kern w:val="0"/>
          <w:sz w:val="24"/>
          <w:szCs w:val="24"/>
          <w:lang w:val="en-US" w:eastAsia="zh-CN" w:bidi="ar-SA"/>
        </w:rPr>
        <w:t>镇江市京口区解放路438号</w:t>
      </w:r>
      <w:r>
        <w:rPr>
          <w:rFonts w:hint="eastAsia" w:ascii="宋体" w:hAnsi="宋体" w:cs="宋体"/>
          <w:kern w:val="0"/>
          <w:sz w:val="24"/>
          <w:szCs w:val="24"/>
          <w:lang w:val="en-US" w:eastAsia="zh-CN" w:bidi="ar-SA"/>
        </w:rPr>
        <w:t>，</w:t>
      </w:r>
      <w:r>
        <w:rPr>
          <w:rFonts w:hint="eastAsia" w:ascii="宋体" w:hAnsi="宋体" w:cs="宋体"/>
          <w:sz w:val="24"/>
          <w:szCs w:val="24"/>
          <w:lang w:val="en-US" w:eastAsia="zh-CN"/>
        </w:rPr>
        <w:t>工程概况：</w:t>
      </w:r>
      <w:r>
        <w:rPr>
          <w:rFonts w:hint="eastAsia" w:ascii="宋体" w:hAnsi="宋体" w:eastAsia="宋体" w:cs="宋体"/>
          <w:sz w:val="24"/>
          <w:szCs w:val="24"/>
          <w:lang w:val="en-US" w:eastAsia="zh-CN"/>
        </w:rPr>
        <w:t>建筑面积:1422.76平方米，改造内容:将原图书馆四层分隔为筛选区、试验区及办公区,试验区内设置集中盥洗室、卫生间及淋浴间;试验区病房共60床。</w:t>
      </w:r>
      <w:r>
        <w:rPr>
          <w:rFonts w:hint="eastAsia" w:ascii="宋体" w:hAnsi="宋体" w:cs="宋体"/>
          <w:sz w:val="24"/>
          <w:szCs w:val="24"/>
          <w:lang w:val="en-US" w:eastAsia="zh-CN"/>
        </w:rPr>
        <w:t>1轴~~2轴间楼梯间1~6层墙面、天棚出新。</w:t>
      </w:r>
      <w:r>
        <w:rPr>
          <w:rFonts w:hint="eastAsia" w:ascii="宋体" w:hAnsi="宋体" w:eastAsia="宋体" w:cs="宋体"/>
          <w:sz w:val="24"/>
          <w:szCs w:val="24"/>
          <w:lang w:val="en-US" w:eastAsia="zh-CN"/>
        </w:rPr>
        <w:t>原建筑拆除、</w:t>
      </w:r>
      <w:r>
        <w:rPr>
          <w:rFonts w:hint="eastAsia" w:ascii="宋体" w:hAnsi="宋体" w:cs="宋体"/>
          <w:sz w:val="24"/>
          <w:szCs w:val="24"/>
          <w:lang w:val="en-US" w:eastAsia="zh-CN"/>
        </w:rPr>
        <w:t>改造</w:t>
      </w:r>
      <w:r>
        <w:rPr>
          <w:rFonts w:hint="eastAsia" w:ascii="宋体" w:hAnsi="宋体" w:eastAsia="宋体" w:cs="宋体"/>
          <w:sz w:val="24"/>
          <w:szCs w:val="24"/>
          <w:lang w:val="en-US" w:eastAsia="zh-CN"/>
        </w:rPr>
        <w:t>、电气、给排水等。</w:t>
      </w:r>
    </w:p>
    <w:p w14:paraId="69A84ABB">
      <w:pPr>
        <w:spacing w:line="360" w:lineRule="auto"/>
        <w:ind w:firstLine="480"/>
        <w:rPr>
          <w:rFonts w:hint="default" w:ascii="宋体" w:hAnsi="宋体" w:eastAsia="宋体" w:cs="宋体"/>
          <w:sz w:val="24"/>
          <w:szCs w:val="24"/>
          <w:lang w:val="en-US" w:eastAsia="zh-CN"/>
        </w:rPr>
      </w:pPr>
      <w:r>
        <w:rPr>
          <w:rFonts w:hint="eastAsia" w:hAnsi="宋体" w:cs="宋体"/>
          <w:sz w:val="24"/>
          <w:szCs w:val="24"/>
          <w:lang w:val="en-US" w:eastAsia="zh-CN"/>
        </w:rPr>
        <w:t>原施工单位已施工的部分墙体、吊顶、地面等拆除，强弱电桥架敷设、喷淋管安装等工程量不包括在本次招标工程量清单中。</w:t>
      </w:r>
    </w:p>
    <w:p w14:paraId="2F7E0175">
      <w:pPr>
        <w:numPr>
          <w:ilvl w:val="0"/>
          <w:numId w:val="0"/>
        </w:numPr>
        <w:spacing w:line="360" w:lineRule="auto"/>
        <w:rPr>
          <w:rFonts w:hint="eastAsia" w:ascii="宋体" w:hAnsi="宋体" w:eastAsia="宋体" w:cs="宋体"/>
          <w:sz w:val="28"/>
          <w:szCs w:val="28"/>
        </w:rPr>
      </w:pPr>
      <w:r>
        <w:rPr>
          <w:rFonts w:hint="eastAsia" w:ascii="宋体" w:hAnsi="宋体" w:cs="宋体"/>
          <w:b/>
          <w:bCs w:val="0"/>
          <w:color w:val="000000"/>
          <w:sz w:val="28"/>
          <w:szCs w:val="28"/>
          <w:shd w:val="clear" w:color="auto" w:fill="FFFFFF"/>
          <w:lang w:val="en-US" w:eastAsia="zh-CN"/>
        </w:rPr>
        <w:t>（二）</w:t>
      </w:r>
      <w:r>
        <w:rPr>
          <w:rFonts w:hint="eastAsia" w:ascii="宋体" w:hAnsi="宋体" w:eastAsia="宋体" w:cs="宋体"/>
          <w:b/>
          <w:bCs w:val="0"/>
          <w:color w:val="000000"/>
          <w:sz w:val="28"/>
          <w:szCs w:val="28"/>
          <w:shd w:val="clear" w:color="auto" w:fill="FFFFFF"/>
          <w:lang w:val="en-US" w:eastAsia="zh-CN"/>
        </w:rPr>
        <w:t>编制范围</w:t>
      </w:r>
    </w:p>
    <w:p w14:paraId="2505061F">
      <w:pPr>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1.土建改造：原墙体、吊顶、地面拆除，1轴~~2轴间楼梯间1~6层墙面、天棚出新，新增ALC混凝土条板隔墙隔墙，吊顶，地面、窗帘、隔帘等；</w:t>
      </w:r>
    </w:p>
    <w:p w14:paraId="689B81A7">
      <w:pPr>
        <w:spacing w:line="360" w:lineRule="auto"/>
        <w:ind w:firstLine="480"/>
        <w:rPr>
          <w:rFonts w:hint="eastAsia" w:ascii="宋体" w:hAnsi="宋体" w:eastAsia="宋体" w:cs="宋体"/>
          <w:color w:val="auto"/>
          <w:sz w:val="24"/>
          <w:szCs w:val="24"/>
          <w:lang w:val="en-US" w:eastAsia="zh-CN"/>
        </w:rPr>
      </w:pPr>
      <w:r>
        <w:rPr>
          <w:rFonts w:hint="eastAsia" w:ascii="宋体" w:hAnsi="宋体" w:cs="宋体"/>
          <w:sz w:val="24"/>
          <w:szCs w:val="24"/>
          <w:lang w:val="en-US" w:eastAsia="zh-CN"/>
        </w:rPr>
        <w:t>2.电气范围：强电除四楼图纸范围外，还含二楼到四楼的干线，以及到屋顶空气源机组配电柜进线，以及到四楼机构办公室屋顶的空调电源箱进线及配管，及空调电源箱到空调机组的连接线缆及配管，二楼到四楼干线桥架按平面图上400*200计算，桥架从距离一层3米计算到四楼，GPS电子钟计入清单；弱电仅计算桥架及到各点位的预埋管。强弱电进线未计</w:t>
      </w:r>
      <w:r>
        <w:rPr>
          <w:rFonts w:hint="eastAsia" w:ascii="宋体" w:hAnsi="宋体" w:cs="宋体"/>
          <w:color w:val="auto"/>
          <w:sz w:val="24"/>
          <w:szCs w:val="24"/>
          <w:lang w:val="en-US" w:eastAsia="zh-CN"/>
        </w:rPr>
        <w:t>；</w:t>
      </w:r>
    </w:p>
    <w:p w14:paraId="37130A13">
      <w:pPr>
        <w:pStyle w:val="3"/>
        <w:numPr>
          <w:ilvl w:val="0"/>
          <w:numId w:val="0"/>
        </w:numPr>
        <w:adjustRightInd w:val="0"/>
        <w:snapToGrid w:val="0"/>
        <w:spacing w:line="360" w:lineRule="auto"/>
        <w:ind w:leftChars="0"/>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 xml:space="preserve">    3.</w:t>
      </w:r>
      <w:r>
        <w:rPr>
          <w:rFonts w:hint="eastAsia" w:ascii="宋体" w:hAnsi="宋体" w:eastAsia="宋体" w:cs="宋体"/>
          <w:color w:val="auto"/>
          <w:sz w:val="24"/>
          <w:szCs w:val="24"/>
          <w:lang w:val="en-US" w:eastAsia="zh-CN"/>
        </w:rPr>
        <w:t>给排水范围：排水管道计算到出外墙1.5米，设置一个污水检查井，另外考虑敷设双壁波纹管HDPE300 30米，排水干管其他层预留一个三通。给水管计算到伸出屋面0.3米，J-2给水干管计算到一层3米处，其他楼层各设置一个阀门DN50；1-3/G-F区间不在此次范围；消防水干管计算到伸出屋面0.3米，一层计算到距离地面3米处。喷淋支管系统图上信号蝶阀为DN100,平面图是DN150，暂以平面图为准，其他每层预留一个信号蝶阀，消火栓干管其他每层预留一个三通，水喷淋排水干管其他每层预留一个三通</w:t>
      </w:r>
      <w:r>
        <w:rPr>
          <w:rFonts w:hint="eastAsia" w:hAnsi="宋体" w:cs="宋体"/>
          <w:color w:val="auto"/>
          <w:sz w:val="24"/>
          <w:szCs w:val="24"/>
          <w:lang w:val="en-US" w:eastAsia="zh-CN"/>
        </w:rPr>
        <w:t>；</w:t>
      </w:r>
    </w:p>
    <w:p w14:paraId="4FD4A0AC">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4.空调系统：空调气管干管暂时计算到楼顶面，最终外机位置确定定好后，管道按实调整。</w:t>
      </w:r>
    </w:p>
    <w:p w14:paraId="77C616A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（三）编制依据</w:t>
      </w:r>
    </w:p>
    <w:p w14:paraId="6E155000">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1.本工程量清单根据《建设工程工程量清单计价规范》（GB50500-2013）、《房屋建筑与装饰工程工程量计算规范》（GB50854-2013）、《江苏省建筑与装饰工程计价定额》（2014版）、2009年《江苏省修缮建筑定额》、《江苏省安装工程计价定额》(2014)及配套的《江苏省建设工程费用定额》（2014版）营改增后调整内容以及镇江市截止2026年2月底相关计价规定；</w:t>
      </w:r>
    </w:p>
    <w:p w14:paraId="06AEEA5A">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2.建设单位提供的江苏中森建筑设计有限公司设计的施工图纸（出图日期2026.01）及建设单位编标要求；</w:t>
      </w:r>
    </w:p>
    <w:p w14:paraId="61202882">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3.与建设项目相关的标准、规范等技术资料；</w:t>
      </w:r>
    </w:p>
    <w:p w14:paraId="35329D4E">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ascii="宋体" w:hAnsi="宋体" w:eastAsia="宋体" w:cs="宋体"/>
          <w:sz w:val="24"/>
          <w:szCs w:val="24"/>
          <w:lang w:val="en-US" w:eastAsia="zh-CN"/>
        </w:rPr>
        <w:t>4</w:t>
      </w:r>
      <w:r>
        <w:rPr>
          <w:rFonts w:hint="eastAsia" w:hAnsi="宋体" w:cs="宋体"/>
          <w:sz w:val="24"/>
          <w:szCs w:val="24"/>
          <w:lang w:val="en-US" w:eastAsia="zh-CN"/>
        </w:rPr>
        <w:t>.</w:t>
      </w:r>
      <w:r>
        <w:rPr>
          <w:rFonts w:hint="eastAsia" w:hAnsi="宋体" w:cs="宋体"/>
          <w:color w:val="auto"/>
          <w:sz w:val="24"/>
          <w:szCs w:val="24"/>
          <w:lang w:val="en-US" w:eastAsia="zh-CN"/>
        </w:rPr>
        <w:t>控制价人工工资按照苏建函价[2026]27号文；控制价材料价格参见2026年《镇江工程造价信息》第2期（2月份没有的逐月前推），信息价缺项的按市场询价（除税价）计取。招标控制价严格按照《建设工程工程量清单计价规范》等规定编制；</w:t>
      </w:r>
    </w:p>
    <w:p w14:paraId="68C5ECEA">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5.工程类别按费用定额中规定取定。安全文明施工费计基本费、扬尘污染防治费，结算时按招标文件中相关条款及相关文件执行，各项规费的计取详见控制价；</w:t>
      </w:r>
    </w:p>
    <w:p w14:paraId="5787A85C">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6.投标报价依据招标文件中分部分项工程量清单项目的特征描述和施工图纸及相关计价规定计算（当工程量清单项目特征描述不全时以施工图纸和设计说明及相关规范为准，当工程量清单项目特征描述与施工图纸不一致时以标准要求高的为准）。</w:t>
      </w:r>
    </w:p>
    <w:p w14:paraId="59441A5F">
      <w:pPr>
        <w:spacing w:line="360" w:lineRule="auto"/>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rPr>
        <w:t>四</w:t>
      </w:r>
      <w:r>
        <w:rPr>
          <w:rFonts w:hint="eastAsia" w:ascii="宋体" w:hAnsi="宋体" w:eastAsia="宋体" w:cs="宋体"/>
          <w:b/>
          <w:bCs/>
          <w:sz w:val="24"/>
          <w:lang w:eastAsia="zh-CN"/>
        </w:rPr>
        <w:t>）</w:t>
      </w:r>
      <w:r>
        <w:rPr>
          <w:rFonts w:hint="eastAsia" w:ascii="宋体" w:hAnsi="宋体" w:eastAsia="宋体" w:cs="宋体"/>
          <w:b/>
          <w:bCs/>
          <w:sz w:val="24"/>
        </w:rPr>
        <w:t>工程质量及工期要求</w:t>
      </w:r>
    </w:p>
    <w:p w14:paraId="345DC6AB">
      <w:pPr>
        <w:spacing w:line="360" w:lineRule="auto"/>
        <w:ind w:firstLine="480" w:firstLineChars="200"/>
        <w:rPr>
          <w:rFonts w:hint="eastAsia" w:ascii="宋体" w:hAnsi="宋体" w:eastAsia="宋体" w:cs="宋体"/>
          <w:sz w:val="24"/>
        </w:rPr>
      </w:pPr>
      <w:r>
        <w:rPr>
          <w:rFonts w:hint="eastAsia" w:ascii="宋体" w:hAnsi="宋体" w:eastAsia="宋体" w:cs="宋体"/>
          <w:sz w:val="24"/>
        </w:rPr>
        <w:t>见招标文件。</w:t>
      </w:r>
    </w:p>
    <w:p w14:paraId="105F0656">
      <w:pPr>
        <w:spacing w:line="360" w:lineRule="auto"/>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rPr>
        <w:t>五</w:t>
      </w:r>
      <w:r>
        <w:rPr>
          <w:rFonts w:hint="eastAsia" w:ascii="宋体" w:hAnsi="宋体" w:eastAsia="宋体" w:cs="宋体"/>
          <w:b/>
          <w:bCs/>
          <w:sz w:val="24"/>
          <w:lang w:eastAsia="zh-CN"/>
        </w:rPr>
        <w:t>）</w:t>
      </w:r>
      <w:r>
        <w:rPr>
          <w:rFonts w:hint="eastAsia" w:ascii="宋体" w:hAnsi="宋体" w:eastAsia="宋体" w:cs="宋体"/>
          <w:b/>
          <w:bCs/>
          <w:sz w:val="24"/>
        </w:rPr>
        <w:t xml:space="preserve">工程类别及取费标准 </w:t>
      </w:r>
    </w:p>
    <w:p w14:paraId="37D22C47">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1.改造土建部分：按照建筑工程三类；消防工程工程：按安装工程二类；电气工程、给排水：按安装工程三类；</w:t>
      </w:r>
    </w:p>
    <w:p w14:paraId="5A6D11F6">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2.安全文明措施费费率基本费按2014年《江苏省建设工程费用定额》标准执行；</w:t>
      </w:r>
    </w:p>
    <w:p w14:paraId="3CEA7C2B">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3.规费、税金等按镇江市规定费率计算：</w:t>
      </w:r>
    </w:p>
    <w:p w14:paraId="3B9BF183">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p>
    <w:tbl>
      <w:tblPr>
        <w:tblStyle w:val="7"/>
        <w:tblW w:w="8254" w:type="dxa"/>
        <w:jc w:val="center"/>
        <w:tblLayout w:type="fixed"/>
        <w:tblCellMar>
          <w:top w:w="0" w:type="dxa"/>
          <w:left w:w="108" w:type="dxa"/>
          <w:bottom w:w="0" w:type="dxa"/>
          <w:right w:w="108" w:type="dxa"/>
        </w:tblCellMar>
      </w:tblPr>
      <w:tblGrid>
        <w:gridCol w:w="1878"/>
        <w:gridCol w:w="1138"/>
        <w:gridCol w:w="1687"/>
        <w:gridCol w:w="1271"/>
        <w:gridCol w:w="981"/>
        <w:gridCol w:w="1299"/>
      </w:tblGrid>
      <w:tr w14:paraId="3C1A41E0">
        <w:tblPrEx>
          <w:tblCellMar>
            <w:top w:w="0" w:type="dxa"/>
            <w:left w:w="108" w:type="dxa"/>
            <w:bottom w:w="0" w:type="dxa"/>
            <w:right w:w="108" w:type="dxa"/>
          </w:tblCellMar>
        </w:tblPrEx>
        <w:trPr>
          <w:trHeight w:val="514" w:hRule="atLeast"/>
          <w:jc w:val="center"/>
        </w:trPr>
        <w:tc>
          <w:tcPr>
            <w:tcW w:w="1878" w:type="dxa"/>
            <w:vMerge w:val="restart"/>
            <w:tcBorders>
              <w:top w:val="single" w:color="auto" w:sz="4" w:space="0"/>
              <w:left w:val="single" w:color="auto" w:sz="4" w:space="0"/>
              <w:bottom w:val="single" w:color="auto" w:sz="4" w:space="0"/>
              <w:right w:val="single" w:color="auto" w:sz="4" w:space="0"/>
            </w:tcBorders>
            <w:vAlign w:val="center"/>
          </w:tcPr>
          <w:p w14:paraId="7D7EB701">
            <w:pPr>
              <w:jc w:val="center"/>
              <w:rPr>
                <w:rFonts w:hint="eastAsia" w:ascii="宋体" w:hAnsi="宋体" w:eastAsia="宋体" w:cs="宋体"/>
                <w:sz w:val="24"/>
              </w:rPr>
            </w:pPr>
            <w:r>
              <w:rPr>
                <w:rFonts w:hint="eastAsia" w:ascii="宋体" w:hAnsi="宋体" w:eastAsia="宋体" w:cs="宋体"/>
                <w:sz w:val="24"/>
              </w:rPr>
              <w:t>工程名称</w:t>
            </w:r>
          </w:p>
        </w:tc>
        <w:tc>
          <w:tcPr>
            <w:tcW w:w="2825" w:type="dxa"/>
            <w:gridSpan w:val="2"/>
            <w:tcBorders>
              <w:top w:val="single" w:color="auto" w:sz="4" w:space="0"/>
              <w:left w:val="nil"/>
              <w:bottom w:val="single" w:color="auto" w:sz="4" w:space="0"/>
              <w:right w:val="single" w:color="auto" w:sz="4" w:space="0"/>
            </w:tcBorders>
            <w:vAlign w:val="center"/>
          </w:tcPr>
          <w:p w14:paraId="2DA3BF69">
            <w:pPr>
              <w:jc w:val="center"/>
              <w:rPr>
                <w:rFonts w:hint="eastAsia" w:ascii="宋体" w:hAnsi="宋体" w:eastAsia="宋体" w:cs="宋体"/>
                <w:sz w:val="24"/>
              </w:rPr>
            </w:pPr>
            <w:r>
              <w:rPr>
                <w:rFonts w:hint="eastAsia" w:ascii="宋体" w:hAnsi="宋体" w:eastAsia="宋体" w:cs="宋体"/>
                <w:sz w:val="24"/>
              </w:rPr>
              <w:t>总价措施项目费率</w:t>
            </w:r>
          </w:p>
        </w:tc>
        <w:tc>
          <w:tcPr>
            <w:tcW w:w="1271" w:type="dxa"/>
            <w:vMerge w:val="restart"/>
            <w:tcBorders>
              <w:top w:val="single" w:color="auto" w:sz="4" w:space="0"/>
              <w:left w:val="single" w:color="auto" w:sz="4" w:space="0"/>
              <w:right w:val="single" w:color="auto" w:sz="4" w:space="0"/>
            </w:tcBorders>
            <w:vAlign w:val="center"/>
          </w:tcPr>
          <w:p w14:paraId="605CB336">
            <w:pPr>
              <w:jc w:val="center"/>
              <w:rPr>
                <w:rFonts w:hint="eastAsia" w:ascii="宋体" w:hAnsi="宋体" w:eastAsia="宋体" w:cs="宋体"/>
                <w:sz w:val="24"/>
              </w:rPr>
            </w:pPr>
            <w:r>
              <w:rPr>
                <w:rFonts w:hint="eastAsia" w:ascii="宋体" w:hAnsi="宋体" w:eastAsia="宋体" w:cs="宋体"/>
                <w:sz w:val="24"/>
              </w:rPr>
              <w:t>社会保障费率</w:t>
            </w:r>
          </w:p>
        </w:tc>
        <w:tc>
          <w:tcPr>
            <w:tcW w:w="981" w:type="dxa"/>
            <w:vMerge w:val="restart"/>
            <w:tcBorders>
              <w:top w:val="single" w:color="auto" w:sz="4" w:space="0"/>
              <w:left w:val="single" w:color="auto" w:sz="4" w:space="0"/>
              <w:right w:val="single" w:color="auto" w:sz="4" w:space="0"/>
            </w:tcBorders>
            <w:vAlign w:val="center"/>
          </w:tcPr>
          <w:p w14:paraId="299C45E4">
            <w:pPr>
              <w:jc w:val="center"/>
              <w:rPr>
                <w:rFonts w:hint="eastAsia" w:ascii="宋体" w:hAnsi="宋体" w:eastAsia="宋体" w:cs="宋体"/>
                <w:sz w:val="24"/>
              </w:rPr>
            </w:pPr>
            <w:r>
              <w:rPr>
                <w:rFonts w:hint="eastAsia" w:ascii="宋体" w:hAnsi="宋体" w:eastAsia="宋体" w:cs="宋体"/>
                <w:sz w:val="24"/>
              </w:rPr>
              <w:t>公积金费率</w:t>
            </w:r>
          </w:p>
        </w:tc>
        <w:tc>
          <w:tcPr>
            <w:tcW w:w="1299" w:type="dxa"/>
            <w:vMerge w:val="restart"/>
            <w:tcBorders>
              <w:top w:val="single" w:color="auto" w:sz="4" w:space="0"/>
              <w:left w:val="single" w:color="auto" w:sz="4" w:space="0"/>
              <w:right w:val="single" w:color="auto" w:sz="4" w:space="0"/>
            </w:tcBorders>
            <w:vAlign w:val="center"/>
          </w:tcPr>
          <w:p w14:paraId="2A1BCD96">
            <w:pPr>
              <w:jc w:val="center"/>
              <w:rPr>
                <w:rFonts w:hint="eastAsia" w:ascii="宋体" w:hAnsi="宋体" w:eastAsia="宋体" w:cs="宋体"/>
                <w:sz w:val="24"/>
              </w:rPr>
            </w:pPr>
            <w:r>
              <w:rPr>
                <w:rFonts w:hint="eastAsia" w:ascii="宋体" w:hAnsi="宋体" w:eastAsia="宋体" w:cs="宋体"/>
                <w:sz w:val="24"/>
              </w:rPr>
              <w:t>增值税一般计税</w:t>
            </w:r>
          </w:p>
        </w:tc>
      </w:tr>
      <w:tr w14:paraId="5ED55EE8">
        <w:tblPrEx>
          <w:tblCellMar>
            <w:top w:w="0" w:type="dxa"/>
            <w:left w:w="108" w:type="dxa"/>
            <w:bottom w:w="0" w:type="dxa"/>
            <w:right w:w="108" w:type="dxa"/>
          </w:tblCellMar>
        </w:tblPrEx>
        <w:trPr>
          <w:trHeight w:val="90" w:hRule="atLeast"/>
          <w:jc w:val="center"/>
        </w:trPr>
        <w:tc>
          <w:tcPr>
            <w:tcW w:w="1878" w:type="dxa"/>
            <w:vMerge w:val="continue"/>
            <w:tcBorders>
              <w:top w:val="single" w:color="auto" w:sz="4" w:space="0"/>
              <w:left w:val="single" w:color="auto" w:sz="4" w:space="0"/>
              <w:bottom w:val="single" w:color="auto" w:sz="4" w:space="0"/>
              <w:right w:val="single" w:color="auto" w:sz="4" w:space="0"/>
            </w:tcBorders>
            <w:vAlign w:val="center"/>
          </w:tcPr>
          <w:p w14:paraId="642B7DDB">
            <w:pPr>
              <w:spacing w:line="360" w:lineRule="auto"/>
              <w:jc w:val="center"/>
              <w:rPr>
                <w:rFonts w:hint="eastAsia" w:ascii="宋体" w:hAnsi="宋体" w:eastAsia="宋体" w:cs="宋体"/>
                <w:sz w:val="24"/>
              </w:rPr>
            </w:pPr>
          </w:p>
        </w:tc>
        <w:tc>
          <w:tcPr>
            <w:tcW w:w="1138" w:type="dxa"/>
            <w:tcBorders>
              <w:top w:val="single" w:color="auto" w:sz="4" w:space="0"/>
              <w:left w:val="nil"/>
              <w:bottom w:val="single" w:color="auto" w:sz="4" w:space="0"/>
              <w:right w:val="single" w:color="auto" w:sz="4" w:space="0"/>
            </w:tcBorders>
            <w:vAlign w:val="center"/>
          </w:tcPr>
          <w:p w14:paraId="326DBE3E">
            <w:pPr>
              <w:jc w:val="center"/>
              <w:rPr>
                <w:rFonts w:hint="eastAsia" w:ascii="宋体" w:hAnsi="宋体" w:eastAsia="宋体" w:cs="宋体"/>
                <w:sz w:val="24"/>
              </w:rPr>
            </w:pPr>
            <w:r>
              <w:rPr>
                <w:rFonts w:hint="eastAsia" w:ascii="宋体" w:hAnsi="宋体" w:eastAsia="宋体" w:cs="宋体"/>
                <w:sz w:val="24"/>
              </w:rPr>
              <w:t>基本费率</w:t>
            </w:r>
          </w:p>
        </w:tc>
        <w:tc>
          <w:tcPr>
            <w:tcW w:w="1687" w:type="dxa"/>
            <w:tcBorders>
              <w:top w:val="single" w:color="auto" w:sz="4" w:space="0"/>
              <w:left w:val="single" w:color="auto" w:sz="4" w:space="0"/>
              <w:bottom w:val="single" w:color="auto" w:sz="4" w:space="0"/>
              <w:right w:val="single" w:color="auto" w:sz="4" w:space="0"/>
            </w:tcBorders>
            <w:vAlign w:val="center"/>
          </w:tcPr>
          <w:p w14:paraId="23CF3D8A">
            <w:pPr>
              <w:jc w:val="center"/>
              <w:rPr>
                <w:rFonts w:hint="eastAsia" w:ascii="宋体" w:hAnsi="宋体" w:eastAsia="宋体" w:cs="宋体"/>
                <w:sz w:val="24"/>
              </w:rPr>
            </w:pPr>
            <w:r>
              <w:rPr>
                <w:rFonts w:hint="eastAsia" w:ascii="宋体" w:hAnsi="宋体" w:eastAsia="宋体" w:cs="宋体"/>
                <w:sz w:val="24"/>
              </w:rPr>
              <w:t>扬尘污染防治增加费</w:t>
            </w:r>
          </w:p>
        </w:tc>
        <w:tc>
          <w:tcPr>
            <w:tcW w:w="1271" w:type="dxa"/>
            <w:vMerge w:val="continue"/>
            <w:tcBorders>
              <w:left w:val="single" w:color="auto" w:sz="4" w:space="0"/>
              <w:right w:val="single" w:color="auto" w:sz="4" w:space="0"/>
            </w:tcBorders>
            <w:vAlign w:val="center"/>
          </w:tcPr>
          <w:p w14:paraId="01F2EA95">
            <w:pPr>
              <w:spacing w:line="360" w:lineRule="auto"/>
              <w:jc w:val="center"/>
              <w:rPr>
                <w:rFonts w:hint="eastAsia" w:ascii="宋体" w:hAnsi="宋体" w:eastAsia="宋体" w:cs="宋体"/>
                <w:sz w:val="24"/>
              </w:rPr>
            </w:pPr>
          </w:p>
        </w:tc>
        <w:tc>
          <w:tcPr>
            <w:tcW w:w="981" w:type="dxa"/>
            <w:vMerge w:val="continue"/>
            <w:tcBorders>
              <w:left w:val="single" w:color="auto" w:sz="4" w:space="0"/>
              <w:right w:val="single" w:color="auto" w:sz="4" w:space="0"/>
            </w:tcBorders>
            <w:vAlign w:val="center"/>
          </w:tcPr>
          <w:p w14:paraId="7D5C6BC3">
            <w:pPr>
              <w:spacing w:line="360" w:lineRule="auto"/>
              <w:jc w:val="center"/>
              <w:rPr>
                <w:rFonts w:hint="eastAsia" w:ascii="宋体" w:hAnsi="宋体" w:eastAsia="宋体" w:cs="宋体"/>
                <w:sz w:val="24"/>
              </w:rPr>
            </w:pPr>
          </w:p>
        </w:tc>
        <w:tc>
          <w:tcPr>
            <w:tcW w:w="1299" w:type="dxa"/>
            <w:vMerge w:val="continue"/>
            <w:tcBorders>
              <w:left w:val="single" w:color="auto" w:sz="4" w:space="0"/>
              <w:right w:val="single" w:color="auto" w:sz="4" w:space="0"/>
            </w:tcBorders>
            <w:vAlign w:val="center"/>
          </w:tcPr>
          <w:p w14:paraId="6F51B794">
            <w:pPr>
              <w:spacing w:line="360" w:lineRule="auto"/>
              <w:jc w:val="center"/>
              <w:rPr>
                <w:rFonts w:hint="eastAsia" w:ascii="宋体" w:hAnsi="宋体" w:eastAsia="宋体" w:cs="宋体"/>
                <w:sz w:val="24"/>
              </w:rPr>
            </w:pPr>
          </w:p>
        </w:tc>
      </w:tr>
      <w:tr w14:paraId="3184DC35">
        <w:tblPrEx>
          <w:tblCellMar>
            <w:top w:w="0" w:type="dxa"/>
            <w:left w:w="108" w:type="dxa"/>
            <w:bottom w:w="0" w:type="dxa"/>
            <w:right w:w="108" w:type="dxa"/>
          </w:tblCellMar>
        </w:tblPrEx>
        <w:trPr>
          <w:trHeight w:val="40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14:paraId="53A26B4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建筑工程</w:t>
            </w:r>
          </w:p>
        </w:tc>
        <w:tc>
          <w:tcPr>
            <w:tcW w:w="1138" w:type="dxa"/>
            <w:tcBorders>
              <w:top w:val="single" w:color="auto" w:sz="4" w:space="0"/>
              <w:left w:val="nil"/>
              <w:bottom w:val="single" w:color="auto" w:sz="4" w:space="0"/>
              <w:right w:val="single" w:color="auto" w:sz="4" w:space="0"/>
            </w:tcBorders>
            <w:vAlign w:val="center"/>
          </w:tcPr>
          <w:p w14:paraId="183A1481">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p>
        </w:tc>
        <w:tc>
          <w:tcPr>
            <w:tcW w:w="1687" w:type="dxa"/>
            <w:tcBorders>
              <w:top w:val="single" w:color="auto" w:sz="4" w:space="0"/>
              <w:left w:val="single" w:color="auto" w:sz="4" w:space="0"/>
              <w:bottom w:val="single" w:color="auto" w:sz="4" w:space="0"/>
              <w:right w:val="single" w:color="auto" w:sz="4" w:space="0"/>
            </w:tcBorders>
            <w:vAlign w:val="center"/>
          </w:tcPr>
          <w:p w14:paraId="1649A7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0.31</w:t>
            </w:r>
          </w:p>
        </w:tc>
        <w:tc>
          <w:tcPr>
            <w:tcW w:w="1271" w:type="dxa"/>
            <w:tcBorders>
              <w:top w:val="single" w:color="auto" w:sz="4" w:space="0"/>
              <w:left w:val="single" w:color="auto" w:sz="4" w:space="0"/>
              <w:bottom w:val="single" w:color="auto" w:sz="4" w:space="0"/>
              <w:right w:val="single" w:color="auto" w:sz="4" w:space="0"/>
            </w:tcBorders>
            <w:vAlign w:val="center"/>
          </w:tcPr>
          <w:p w14:paraId="610291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981" w:type="dxa"/>
            <w:tcBorders>
              <w:top w:val="single" w:color="auto" w:sz="4" w:space="0"/>
              <w:left w:val="single" w:color="auto" w:sz="4" w:space="0"/>
              <w:bottom w:val="single" w:color="auto" w:sz="4" w:space="0"/>
              <w:right w:val="single" w:color="auto" w:sz="4" w:space="0"/>
            </w:tcBorders>
            <w:vAlign w:val="center"/>
          </w:tcPr>
          <w:p w14:paraId="2268B7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0.53</w:t>
            </w:r>
          </w:p>
        </w:tc>
        <w:tc>
          <w:tcPr>
            <w:tcW w:w="1299" w:type="dxa"/>
            <w:tcBorders>
              <w:top w:val="single" w:color="auto" w:sz="4" w:space="0"/>
              <w:left w:val="single" w:color="auto" w:sz="4" w:space="0"/>
              <w:bottom w:val="single" w:color="auto" w:sz="4" w:space="0"/>
              <w:right w:val="single" w:color="auto" w:sz="4" w:space="0"/>
            </w:tcBorders>
            <w:vAlign w:val="center"/>
          </w:tcPr>
          <w:p w14:paraId="42C052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r>
      <w:tr w14:paraId="2E6A2FF4">
        <w:tblPrEx>
          <w:tblCellMar>
            <w:top w:w="0" w:type="dxa"/>
            <w:left w:w="108" w:type="dxa"/>
            <w:bottom w:w="0" w:type="dxa"/>
            <w:right w:w="108" w:type="dxa"/>
          </w:tblCellMar>
        </w:tblPrEx>
        <w:trPr>
          <w:trHeight w:val="35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14:paraId="7641421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消防工程</w:t>
            </w:r>
          </w:p>
        </w:tc>
        <w:tc>
          <w:tcPr>
            <w:tcW w:w="1138" w:type="dxa"/>
            <w:tcBorders>
              <w:top w:val="single" w:color="auto" w:sz="4" w:space="0"/>
              <w:left w:val="nil"/>
              <w:bottom w:val="single" w:color="auto" w:sz="4" w:space="0"/>
              <w:right w:val="single" w:color="auto" w:sz="4" w:space="0"/>
            </w:tcBorders>
            <w:vAlign w:val="center"/>
          </w:tcPr>
          <w:p w14:paraId="73B0292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687" w:type="dxa"/>
            <w:tcBorders>
              <w:top w:val="single" w:color="auto" w:sz="4" w:space="0"/>
              <w:left w:val="single" w:color="auto" w:sz="4" w:space="0"/>
              <w:bottom w:val="single" w:color="auto" w:sz="4" w:space="0"/>
              <w:right w:val="single" w:color="auto" w:sz="4" w:space="0"/>
            </w:tcBorders>
            <w:vAlign w:val="center"/>
          </w:tcPr>
          <w:p w14:paraId="4FCECE1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0.21</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0CC21E8C">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2D145CB">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0.42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B66C269">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w:t>
            </w:r>
          </w:p>
        </w:tc>
      </w:tr>
      <w:tr w14:paraId="06C8F23F">
        <w:tblPrEx>
          <w:tblCellMar>
            <w:top w:w="0" w:type="dxa"/>
            <w:left w:w="108" w:type="dxa"/>
            <w:bottom w:w="0" w:type="dxa"/>
            <w:right w:w="108" w:type="dxa"/>
          </w:tblCellMar>
        </w:tblPrEx>
        <w:trPr>
          <w:trHeight w:val="35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14:paraId="0B1FB0D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电气工程</w:t>
            </w:r>
          </w:p>
        </w:tc>
        <w:tc>
          <w:tcPr>
            <w:tcW w:w="1138" w:type="dxa"/>
            <w:tcBorders>
              <w:top w:val="single" w:color="auto" w:sz="4" w:space="0"/>
              <w:left w:val="nil"/>
              <w:bottom w:val="single" w:color="auto" w:sz="4" w:space="0"/>
              <w:right w:val="single" w:color="auto" w:sz="4" w:space="0"/>
            </w:tcBorders>
            <w:shd w:val="clear" w:color="auto" w:fill="auto"/>
            <w:vAlign w:val="center"/>
          </w:tcPr>
          <w:p w14:paraId="58CB379B">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52D204F">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0.21</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63B69224">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AA37010">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0.42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7969B65">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w:t>
            </w:r>
          </w:p>
        </w:tc>
      </w:tr>
      <w:tr w14:paraId="0E186D80">
        <w:tblPrEx>
          <w:tblCellMar>
            <w:top w:w="0" w:type="dxa"/>
            <w:left w:w="108" w:type="dxa"/>
            <w:bottom w:w="0" w:type="dxa"/>
            <w:right w:w="108" w:type="dxa"/>
          </w:tblCellMar>
        </w:tblPrEx>
        <w:trPr>
          <w:trHeight w:val="190"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14:paraId="5B037D9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给排水工程</w:t>
            </w:r>
          </w:p>
        </w:tc>
        <w:tc>
          <w:tcPr>
            <w:tcW w:w="1138" w:type="dxa"/>
            <w:tcBorders>
              <w:top w:val="single" w:color="auto" w:sz="4" w:space="0"/>
              <w:left w:val="nil"/>
              <w:bottom w:val="single" w:color="auto" w:sz="4" w:space="0"/>
              <w:right w:val="single" w:color="auto" w:sz="4" w:space="0"/>
            </w:tcBorders>
            <w:vAlign w:val="center"/>
          </w:tcPr>
          <w:p w14:paraId="5D87A3E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p>
        </w:tc>
        <w:tc>
          <w:tcPr>
            <w:tcW w:w="1687" w:type="dxa"/>
            <w:tcBorders>
              <w:top w:val="single" w:color="auto" w:sz="4" w:space="0"/>
              <w:left w:val="single" w:color="auto" w:sz="4" w:space="0"/>
              <w:bottom w:val="single" w:color="auto" w:sz="4" w:space="0"/>
              <w:right w:val="single" w:color="auto" w:sz="4" w:space="0"/>
            </w:tcBorders>
            <w:vAlign w:val="center"/>
          </w:tcPr>
          <w:p w14:paraId="779ECF8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0.21</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4DE612EA">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A30BF67">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0.42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2E6E518">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9</w:t>
            </w:r>
          </w:p>
        </w:tc>
      </w:tr>
    </w:tbl>
    <w:p w14:paraId="7147DED5">
      <w:pPr>
        <w:rPr>
          <w:rFonts w:hint="eastAsia" w:ascii="宋体" w:hAnsi="宋体" w:eastAsia="宋体" w:cs="宋体"/>
          <w:vanish/>
          <w:sz w:val="24"/>
        </w:rPr>
      </w:pPr>
    </w:p>
    <w:tbl>
      <w:tblPr>
        <w:tblStyle w:val="7"/>
        <w:tblpPr w:leftFromText="180" w:rightFromText="180" w:vertAnchor="text" w:tblpX="10880" w:tblpY="-15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9"/>
      </w:tblGrid>
      <w:tr w14:paraId="0A45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79" w:type="dxa"/>
          </w:tcPr>
          <w:p w14:paraId="23E81A3E">
            <w:pPr>
              <w:spacing w:line="360" w:lineRule="auto"/>
              <w:rPr>
                <w:rFonts w:hint="eastAsia" w:ascii="宋体" w:hAnsi="宋体" w:eastAsia="宋体" w:cs="宋体"/>
                <w:sz w:val="24"/>
              </w:rPr>
            </w:pPr>
          </w:p>
        </w:tc>
      </w:tr>
    </w:tbl>
    <w:p w14:paraId="0567E4AA">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p>
    <w:p w14:paraId="50F3B796">
      <w:pPr>
        <w:pStyle w:val="3"/>
        <w:numPr>
          <w:ilvl w:val="0"/>
          <w:numId w:val="0"/>
        </w:numPr>
        <w:adjustRightInd w:val="0"/>
        <w:snapToGrid w:val="0"/>
        <w:spacing w:line="360" w:lineRule="auto"/>
        <w:ind w:leftChars="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4.控制价中人工费取定按2026【27】号文，各项取费除安全文明施工措施费、规费、税金外，其它均由投标人根据工程具体情况、企业管理水平、并考虑风险因素自主确定。</w:t>
      </w:r>
    </w:p>
    <w:p w14:paraId="3B2C3FC2">
      <w:pPr>
        <w:spacing w:line="360" w:lineRule="auto"/>
        <w:rPr>
          <w:rFonts w:hint="eastAsia" w:ascii="宋体" w:hAnsi="宋体" w:eastAsia="宋体" w:cs="宋体"/>
          <w:b/>
          <w:bCs/>
          <w:sz w:val="24"/>
          <w:lang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四</w:t>
      </w:r>
      <w:r>
        <w:rPr>
          <w:rFonts w:hint="eastAsia" w:ascii="宋体" w:hAnsi="宋体" w:eastAsia="宋体" w:cs="宋体"/>
          <w:b/>
          <w:bCs/>
          <w:sz w:val="24"/>
          <w:lang w:eastAsia="zh-CN"/>
        </w:rPr>
        <w:t>）其他项目</w:t>
      </w:r>
    </w:p>
    <w:p w14:paraId="57072DDD">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由于该工程的部分墙体、吊顶、地面等已拆除，电气桥架、弱电桥架、喷淋管部分已施工，各投标单位应到施工现场踏勘，充分考虑并在投标报价；</w:t>
      </w:r>
    </w:p>
    <w:p w14:paraId="28A0F50B">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本工程中涉及的拆除工程除清单所列项外，施工过程中以及工程结算不再增加其他项以及费用，投标人需勘察</w:t>
      </w:r>
      <w:r>
        <w:rPr>
          <w:rFonts w:hint="eastAsia" w:ascii="宋体" w:hAnsi="宋体" w:cs="宋体"/>
          <w:b w:val="0"/>
          <w:bCs w:val="0"/>
          <w:sz w:val="24"/>
          <w:lang w:val="en-US" w:eastAsia="zh-CN"/>
        </w:rPr>
        <w:t>现</w:t>
      </w:r>
      <w:r>
        <w:rPr>
          <w:rFonts w:hint="eastAsia" w:ascii="宋体" w:hAnsi="宋体" w:eastAsia="宋体" w:cs="宋体"/>
          <w:b w:val="0"/>
          <w:bCs w:val="0"/>
          <w:sz w:val="24"/>
          <w:lang w:val="en-US" w:eastAsia="zh-CN"/>
        </w:rPr>
        <w:t>场，综合考虑完成改造区域的相关全部拆除工作内容，在相关清运清单中充分考虑报价</w:t>
      </w:r>
      <w:r>
        <w:rPr>
          <w:rFonts w:hint="eastAsia" w:ascii="宋体" w:hAnsi="宋体" w:cs="宋体"/>
          <w:b w:val="0"/>
          <w:bCs w:val="0"/>
          <w:sz w:val="24"/>
          <w:lang w:val="en-US" w:eastAsia="zh-CN"/>
        </w:rPr>
        <w:t>；</w:t>
      </w:r>
    </w:p>
    <w:p w14:paraId="2A8121F1">
      <w:pPr>
        <w:numPr>
          <w:ilvl w:val="0"/>
          <w:numId w:val="2"/>
        </w:numPr>
        <w:spacing w:line="360" w:lineRule="auto"/>
        <w:ind w:left="425" w:leftChars="0" w:hanging="425" w:firstLineChars="0"/>
        <w:jc w:val="left"/>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所有门窗、隔断材质、规格、型号等必须征得设计单位建设单位确认，可方施工</w:t>
      </w:r>
      <w:r>
        <w:rPr>
          <w:rFonts w:hint="eastAsia" w:ascii="宋体" w:hAnsi="宋体" w:cs="宋体"/>
          <w:b w:val="0"/>
          <w:bCs w:val="0"/>
          <w:sz w:val="24"/>
          <w:lang w:val="en-US" w:eastAsia="zh-CN"/>
        </w:rPr>
        <w:t>；</w:t>
      </w:r>
    </w:p>
    <w:p w14:paraId="0BD4A44E">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各投标单位应到施工现场踏勘，对施工中可能发生的措施费及其它费用应充分考虑并在投标报价中注明（或视为已包含在相关分项报价中）；</w:t>
      </w:r>
    </w:p>
    <w:p w14:paraId="24F28F74">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招标工程量以招标清单为准，作为各投标单位共同竞争的基础；</w:t>
      </w:r>
    </w:p>
    <w:p w14:paraId="1B7E420D">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投标单位应充分考虑水平垂直运输所需要的费用,后期此部分费用不再另计；</w:t>
      </w:r>
    </w:p>
    <w:p w14:paraId="61167F10">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所有饰面材料（如：墙地砖、涂料、不锈钢、窗帘等）颜色、规格和纹路等在采购前提供样品由业主确认，投标报价时应充分考虑颜色等更换导致的价格风险。投标价格不调整；</w:t>
      </w:r>
    </w:p>
    <w:p w14:paraId="09834B8E">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本工程涉及到的所有桥架、风口、风管、各类管道等洞口修补、防火封堵等均在此次招标范围内。各投标人应按设计和相关施工规范要求计入相应规格投标单价内，结算时不再调整或增加以上费用；</w:t>
      </w:r>
    </w:p>
    <w:p w14:paraId="52FFB89A">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所有管道配件（包含但不限于管综优化需避让其他系统所需的爬弯等）综合考虑计入相应规格管道安装综合单价内，结算时不再调整以上管道配件的含量和单价。同时须采用与管道同品牌配件；</w:t>
      </w:r>
    </w:p>
    <w:p w14:paraId="2FB877E1">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抗震支架无深化设计图纸，由投标人自行深化，其相关的设计费及施工费（共管抗震支架应综合考虑在各种规格抗震支架单价内）在报价中综合考虑，结算时不因深化设计而调整综合单价。各投标人在投标报价时应充分考虑并报价，结算时不再调整抗震支架投标报价；</w:t>
      </w:r>
    </w:p>
    <w:p w14:paraId="64693C30">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所有配电箱（柜）的接地工程量应计入相应清单综合单价内；</w:t>
      </w:r>
    </w:p>
    <w:p w14:paraId="0A72EEA9">
      <w:pPr>
        <w:numPr>
          <w:ilvl w:val="0"/>
          <w:numId w:val="2"/>
        </w:numPr>
        <w:spacing w:line="360" w:lineRule="auto"/>
        <w:ind w:left="425" w:leftChars="0" w:hanging="425" w:firstLineChars="0"/>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甲方保留所有材料设备甲供的权利，中标单位无条件服从，并无条件配合；</w:t>
      </w:r>
    </w:p>
    <w:p w14:paraId="7F95336A">
      <w:pPr>
        <w:numPr>
          <w:ilvl w:val="0"/>
          <w:numId w:val="2"/>
        </w:numPr>
        <w:spacing w:line="360" w:lineRule="auto"/>
        <w:ind w:left="425" w:leftChars="0" w:hanging="425" w:firstLineChars="0"/>
        <w:jc w:val="left"/>
        <w:rPr>
          <w:rFonts w:hint="eastAsia" w:hAnsi="宋体" w:cs="宋体"/>
          <w:color w:val="auto"/>
          <w:sz w:val="24"/>
          <w:szCs w:val="24"/>
          <w:lang w:val="en-US" w:eastAsia="zh-CN"/>
        </w:rPr>
      </w:pPr>
      <w:r>
        <w:rPr>
          <w:rFonts w:hint="eastAsia" w:ascii="宋体" w:hAnsi="宋体" w:eastAsia="宋体" w:cs="宋体"/>
          <w:b w:val="0"/>
          <w:bCs w:val="0"/>
          <w:sz w:val="24"/>
          <w:lang w:val="en-US" w:eastAsia="zh-CN"/>
        </w:rPr>
        <w:t>本工程推荐使用品牌见“类似材料、设备品牌一览表”，投标单位可使用“类似材料、设备品牌一览表”中的优等品或同等档次、质量为优等品的其他品牌，如投标人拟</w:t>
      </w:r>
      <w:r>
        <w:rPr>
          <w:rFonts w:hint="eastAsia" w:hAnsi="宋体" w:cs="宋体"/>
          <w:color w:val="auto"/>
          <w:sz w:val="24"/>
          <w:szCs w:val="24"/>
          <w:lang w:val="en-US" w:eastAsia="zh-CN"/>
        </w:rPr>
        <w:t>在推</w:t>
      </w:r>
      <w:bookmarkStart w:id="0" w:name="_GoBack"/>
      <w:bookmarkEnd w:id="0"/>
      <w:r>
        <w:rPr>
          <w:rFonts w:hint="eastAsia" w:hAnsi="宋体" w:cs="宋体"/>
          <w:color w:val="auto"/>
          <w:sz w:val="24"/>
          <w:szCs w:val="24"/>
          <w:lang w:val="en-US" w:eastAsia="zh-CN"/>
        </w:rPr>
        <w:t>荐所有材料品牌外自行选择品牌，须在投标人要求澄清招标文件的截止时间前提出，招标人将对该品牌的性能、技术指标、技术参数、质量、使用寿命等方面进行审查，如该品牌均不低于可选品牌相应性能、技术指标、技术参数、质量、使用寿命等方面的要求，招标人将补充该品牌至招标文件推荐品牌中，并以招标文件补充文件形式公开发布至所有投标人。投标人在投标时应明确所选的材料品牌，如果投标人在投标文件中未明确材料品牌，中标后由中标人与招标人协商，在招标人提供的“类似材料、设备品牌一览表”中选择材料品牌，且投标报价不作调整；</w:t>
      </w:r>
    </w:p>
    <w:tbl>
      <w:tblPr>
        <w:tblStyle w:val="7"/>
        <w:tblW w:w="9411" w:type="dxa"/>
        <w:jc w:val="center"/>
        <w:tblLayout w:type="fixed"/>
        <w:tblCellMar>
          <w:top w:w="0" w:type="dxa"/>
          <w:left w:w="108" w:type="dxa"/>
          <w:bottom w:w="0" w:type="dxa"/>
          <w:right w:w="108" w:type="dxa"/>
        </w:tblCellMar>
      </w:tblPr>
      <w:tblGrid>
        <w:gridCol w:w="853"/>
        <w:gridCol w:w="2279"/>
        <w:gridCol w:w="3700"/>
        <w:gridCol w:w="2579"/>
      </w:tblGrid>
      <w:tr w14:paraId="42C7B47D">
        <w:trPr>
          <w:trHeight w:val="780" w:hRule="atLeast"/>
          <w:jc w:val="center"/>
        </w:trPr>
        <w:tc>
          <w:tcPr>
            <w:tcW w:w="853" w:type="dxa"/>
            <w:tcBorders>
              <w:top w:val="single" w:color="auto" w:sz="8" w:space="0"/>
              <w:left w:val="single" w:color="auto" w:sz="8" w:space="0"/>
              <w:bottom w:val="single" w:color="auto" w:sz="4" w:space="0"/>
              <w:right w:val="single" w:color="auto" w:sz="4" w:space="0"/>
            </w:tcBorders>
            <w:vAlign w:val="center"/>
          </w:tcPr>
          <w:p w14:paraId="4EA1B2C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79" w:type="dxa"/>
            <w:tcBorders>
              <w:top w:val="single" w:color="auto" w:sz="8" w:space="0"/>
              <w:left w:val="nil"/>
              <w:bottom w:val="single" w:color="auto" w:sz="4" w:space="0"/>
              <w:right w:val="single" w:color="auto" w:sz="4" w:space="0"/>
            </w:tcBorders>
            <w:vAlign w:val="center"/>
          </w:tcPr>
          <w:p w14:paraId="19528D4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材料、设备名称</w:t>
            </w:r>
          </w:p>
        </w:tc>
        <w:tc>
          <w:tcPr>
            <w:tcW w:w="3700" w:type="dxa"/>
            <w:tcBorders>
              <w:top w:val="single" w:color="auto" w:sz="8" w:space="0"/>
              <w:left w:val="nil"/>
              <w:bottom w:val="single" w:color="auto" w:sz="4" w:space="0"/>
              <w:right w:val="single" w:color="auto" w:sz="4" w:space="0"/>
            </w:tcBorders>
            <w:vAlign w:val="center"/>
          </w:tcPr>
          <w:p w14:paraId="02B69760">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供应厂家和产地</w:t>
            </w:r>
          </w:p>
        </w:tc>
        <w:tc>
          <w:tcPr>
            <w:tcW w:w="2579" w:type="dxa"/>
            <w:tcBorders>
              <w:top w:val="single" w:color="auto" w:sz="8" w:space="0"/>
              <w:left w:val="nil"/>
              <w:bottom w:val="single" w:color="auto" w:sz="4" w:space="0"/>
              <w:right w:val="single" w:color="auto" w:sz="8" w:space="0"/>
            </w:tcBorders>
            <w:vAlign w:val="center"/>
          </w:tcPr>
          <w:p w14:paraId="533AEAE2">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14:paraId="0B1F287D">
        <w:tblPrEx>
          <w:tblCellMar>
            <w:top w:w="0" w:type="dxa"/>
            <w:left w:w="108" w:type="dxa"/>
            <w:bottom w:w="0" w:type="dxa"/>
            <w:right w:w="108" w:type="dxa"/>
          </w:tblCellMar>
        </w:tblPrEx>
        <w:trPr>
          <w:trHeight w:val="675" w:hRule="atLeast"/>
          <w:jc w:val="center"/>
        </w:trPr>
        <w:tc>
          <w:tcPr>
            <w:tcW w:w="853" w:type="dxa"/>
            <w:tcBorders>
              <w:top w:val="nil"/>
              <w:left w:val="single" w:color="auto" w:sz="8" w:space="0"/>
              <w:bottom w:val="single" w:color="auto" w:sz="4" w:space="0"/>
              <w:right w:val="single" w:color="auto" w:sz="4" w:space="0"/>
            </w:tcBorders>
            <w:vAlign w:val="center"/>
          </w:tcPr>
          <w:p w14:paraId="225410CB">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2279" w:type="dxa"/>
            <w:tcBorders>
              <w:top w:val="nil"/>
              <w:left w:val="nil"/>
              <w:bottom w:val="single" w:color="auto" w:sz="4" w:space="0"/>
              <w:right w:val="single" w:color="auto" w:sz="4" w:space="0"/>
            </w:tcBorders>
            <w:vAlign w:val="center"/>
          </w:tcPr>
          <w:p w14:paraId="56D3282B">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钢材</w:t>
            </w:r>
          </w:p>
        </w:tc>
        <w:tc>
          <w:tcPr>
            <w:tcW w:w="3700" w:type="dxa"/>
            <w:tcBorders>
              <w:top w:val="nil"/>
              <w:left w:val="nil"/>
              <w:bottom w:val="single" w:color="auto" w:sz="4" w:space="0"/>
              <w:right w:val="single" w:color="auto" w:sz="4" w:space="0"/>
            </w:tcBorders>
            <w:vAlign w:val="center"/>
          </w:tcPr>
          <w:p w14:paraId="3941633F">
            <w:pPr>
              <w:pStyle w:val="6"/>
              <w:spacing w:line="400" w:lineRule="exact"/>
              <w:jc w:val="center"/>
              <w:rPr>
                <w:rFonts w:hint="eastAsia"/>
                <w:kern w:val="0"/>
              </w:rPr>
            </w:pPr>
            <w:r>
              <w:rPr>
                <w:rFonts w:ascii="Times New Roman" w:hAnsi="Times New Roman" w:eastAsia="仿宋" w:cstheme="minorBidi"/>
                <w:kern w:val="2"/>
              </w:rPr>
              <w:t>沙钢、马钢、永钢</w:t>
            </w:r>
            <w:r>
              <w:rPr>
                <w:rFonts w:hint="eastAsia" w:ascii="Times New Roman" w:hAnsi="Times New Roman" w:eastAsia="仿宋" w:cstheme="minorBidi"/>
                <w:kern w:val="2"/>
                <w:lang w:eastAsia="zh-CN"/>
              </w:rPr>
              <w:t>、</w:t>
            </w:r>
            <w:r>
              <w:rPr>
                <w:rFonts w:ascii="Times New Roman" w:hAnsi="Times New Roman" w:eastAsia="仿宋" w:cstheme="minorBidi"/>
                <w:kern w:val="2"/>
              </w:rPr>
              <w:t>鞍钢</w:t>
            </w:r>
          </w:p>
        </w:tc>
        <w:tc>
          <w:tcPr>
            <w:tcW w:w="2579" w:type="dxa"/>
            <w:tcBorders>
              <w:top w:val="nil"/>
              <w:left w:val="nil"/>
              <w:bottom w:val="single" w:color="auto" w:sz="4" w:space="0"/>
              <w:right w:val="single" w:color="auto" w:sz="8" w:space="0"/>
            </w:tcBorders>
            <w:vAlign w:val="center"/>
          </w:tcPr>
          <w:p w14:paraId="40D0AAB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6D5E293B">
        <w:tblPrEx>
          <w:tblCellMar>
            <w:top w:w="0" w:type="dxa"/>
            <w:left w:w="108" w:type="dxa"/>
            <w:bottom w:w="0" w:type="dxa"/>
            <w:right w:w="108" w:type="dxa"/>
          </w:tblCellMar>
        </w:tblPrEx>
        <w:trPr>
          <w:trHeight w:val="675" w:hRule="atLeast"/>
          <w:jc w:val="center"/>
        </w:trPr>
        <w:tc>
          <w:tcPr>
            <w:tcW w:w="853" w:type="dxa"/>
            <w:tcBorders>
              <w:top w:val="nil"/>
              <w:left w:val="single" w:color="auto" w:sz="8" w:space="0"/>
              <w:bottom w:val="single" w:color="auto" w:sz="4" w:space="0"/>
              <w:right w:val="single" w:color="auto" w:sz="4" w:space="0"/>
            </w:tcBorders>
            <w:vAlign w:val="center"/>
          </w:tcPr>
          <w:p w14:paraId="7061EC1B">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2279" w:type="dxa"/>
            <w:tcBorders>
              <w:top w:val="nil"/>
              <w:left w:val="nil"/>
              <w:bottom w:val="single" w:color="auto" w:sz="4" w:space="0"/>
              <w:right w:val="single" w:color="auto" w:sz="4" w:space="0"/>
            </w:tcBorders>
            <w:vAlign w:val="center"/>
          </w:tcPr>
          <w:p w14:paraId="4CD536A8">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涂料</w:t>
            </w:r>
          </w:p>
        </w:tc>
        <w:tc>
          <w:tcPr>
            <w:tcW w:w="3700" w:type="dxa"/>
            <w:tcBorders>
              <w:top w:val="nil"/>
              <w:left w:val="nil"/>
              <w:bottom w:val="single" w:color="auto" w:sz="4" w:space="0"/>
              <w:right w:val="single" w:color="auto" w:sz="4" w:space="0"/>
            </w:tcBorders>
            <w:vAlign w:val="center"/>
          </w:tcPr>
          <w:p w14:paraId="43BA8F8E">
            <w:pPr>
              <w:pStyle w:val="6"/>
              <w:spacing w:line="400" w:lineRule="exact"/>
              <w:jc w:val="center"/>
              <w:rPr>
                <w:rFonts w:hint="eastAsia"/>
                <w:kern w:val="0"/>
              </w:rPr>
            </w:pPr>
            <w:r>
              <w:rPr>
                <w:rFonts w:ascii="Times New Roman" w:hAnsi="Times New Roman" w:eastAsia="仿宋" w:cstheme="minorBidi"/>
                <w:kern w:val="2"/>
              </w:rPr>
              <w:t>立邦、三棵树、晨光、多乐士</w:t>
            </w:r>
          </w:p>
        </w:tc>
        <w:tc>
          <w:tcPr>
            <w:tcW w:w="2579" w:type="dxa"/>
            <w:tcBorders>
              <w:top w:val="nil"/>
              <w:left w:val="nil"/>
              <w:bottom w:val="single" w:color="auto" w:sz="4" w:space="0"/>
              <w:right w:val="single" w:color="auto" w:sz="8" w:space="0"/>
            </w:tcBorders>
            <w:vAlign w:val="center"/>
          </w:tcPr>
          <w:p w14:paraId="718AFF4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3B6F17AB">
        <w:tblPrEx>
          <w:tblCellMar>
            <w:top w:w="0" w:type="dxa"/>
            <w:left w:w="108" w:type="dxa"/>
            <w:bottom w:w="0" w:type="dxa"/>
            <w:right w:w="108" w:type="dxa"/>
          </w:tblCellMar>
        </w:tblPrEx>
        <w:trPr>
          <w:trHeight w:val="675" w:hRule="atLeast"/>
          <w:jc w:val="center"/>
        </w:trPr>
        <w:tc>
          <w:tcPr>
            <w:tcW w:w="853" w:type="dxa"/>
            <w:tcBorders>
              <w:top w:val="nil"/>
              <w:left w:val="single" w:color="auto" w:sz="8" w:space="0"/>
              <w:bottom w:val="single" w:color="auto" w:sz="4" w:space="0"/>
              <w:right w:val="single" w:color="auto" w:sz="4" w:space="0"/>
            </w:tcBorders>
            <w:vAlign w:val="center"/>
          </w:tcPr>
          <w:p w14:paraId="0B725345">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2279" w:type="dxa"/>
            <w:tcBorders>
              <w:top w:val="nil"/>
              <w:left w:val="nil"/>
              <w:bottom w:val="single" w:color="auto" w:sz="4" w:space="0"/>
              <w:right w:val="single" w:color="auto" w:sz="4" w:space="0"/>
            </w:tcBorders>
            <w:vAlign w:val="center"/>
          </w:tcPr>
          <w:p w14:paraId="5A9BC81A">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防水材料</w:t>
            </w:r>
          </w:p>
        </w:tc>
        <w:tc>
          <w:tcPr>
            <w:tcW w:w="3700" w:type="dxa"/>
            <w:tcBorders>
              <w:top w:val="nil"/>
              <w:left w:val="nil"/>
              <w:bottom w:val="single" w:color="auto" w:sz="4" w:space="0"/>
              <w:right w:val="single" w:color="auto" w:sz="4" w:space="0"/>
            </w:tcBorders>
            <w:vAlign w:val="center"/>
          </w:tcPr>
          <w:p w14:paraId="17E02620">
            <w:pPr>
              <w:pStyle w:val="6"/>
              <w:spacing w:line="400" w:lineRule="exact"/>
              <w:jc w:val="center"/>
              <w:rPr>
                <w:rFonts w:hint="eastAsia"/>
                <w:kern w:val="0"/>
              </w:rPr>
            </w:pPr>
            <w:r>
              <w:rPr>
                <w:rFonts w:ascii="Times New Roman" w:hAnsi="Times New Roman" w:eastAsia="仿宋" w:cstheme="minorBidi"/>
                <w:kern w:val="2"/>
              </w:rPr>
              <w:t>东方雨虹、科顺、宏源、西卡</w:t>
            </w:r>
          </w:p>
        </w:tc>
        <w:tc>
          <w:tcPr>
            <w:tcW w:w="2579" w:type="dxa"/>
            <w:tcBorders>
              <w:top w:val="nil"/>
              <w:left w:val="nil"/>
              <w:bottom w:val="single" w:color="auto" w:sz="4" w:space="0"/>
              <w:right w:val="single" w:color="auto" w:sz="8" w:space="0"/>
            </w:tcBorders>
            <w:vAlign w:val="center"/>
          </w:tcPr>
          <w:p w14:paraId="5E4BF0E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0857F684">
        <w:tblPrEx>
          <w:tblCellMar>
            <w:top w:w="0" w:type="dxa"/>
            <w:left w:w="108" w:type="dxa"/>
            <w:bottom w:w="0" w:type="dxa"/>
            <w:right w:w="108" w:type="dxa"/>
          </w:tblCellMar>
        </w:tblPrEx>
        <w:trPr>
          <w:trHeight w:val="675" w:hRule="atLeast"/>
          <w:jc w:val="center"/>
        </w:trPr>
        <w:tc>
          <w:tcPr>
            <w:tcW w:w="853" w:type="dxa"/>
            <w:tcBorders>
              <w:top w:val="nil"/>
              <w:left w:val="single" w:color="auto" w:sz="8" w:space="0"/>
              <w:bottom w:val="single" w:color="auto" w:sz="4" w:space="0"/>
              <w:right w:val="single" w:color="auto" w:sz="4" w:space="0"/>
            </w:tcBorders>
            <w:vAlign w:val="center"/>
          </w:tcPr>
          <w:p w14:paraId="411C9F57">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2279" w:type="dxa"/>
            <w:tcBorders>
              <w:top w:val="nil"/>
              <w:left w:val="nil"/>
              <w:bottom w:val="single" w:color="auto" w:sz="4" w:space="0"/>
              <w:right w:val="single" w:color="auto" w:sz="4" w:space="0"/>
            </w:tcBorders>
            <w:vAlign w:val="center"/>
          </w:tcPr>
          <w:p w14:paraId="49C2982B">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电线电缆（除矿物质绝缘电缆）</w:t>
            </w:r>
          </w:p>
        </w:tc>
        <w:tc>
          <w:tcPr>
            <w:tcW w:w="3700" w:type="dxa"/>
            <w:tcBorders>
              <w:top w:val="nil"/>
              <w:left w:val="nil"/>
              <w:bottom w:val="single" w:color="auto" w:sz="4" w:space="0"/>
              <w:right w:val="single" w:color="auto" w:sz="4" w:space="0"/>
            </w:tcBorders>
            <w:vAlign w:val="center"/>
          </w:tcPr>
          <w:p w14:paraId="40761AD5">
            <w:pPr>
              <w:pStyle w:val="6"/>
              <w:spacing w:line="400" w:lineRule="exact"/>
              <w:jc w:val="center"/>
              <w:rPr>
                <w:rFonts w:hint="eastAsia"/>
                <w:kern w:val="0"/>
              </w:rPr>
            </w:pPr>
            <w:r>
              <w:rPr>
                <w:rFonts w:ascii="Times New Roman" w:hAnsi="Times New Roman" w:eastAsia="仿宋" w:cstheme="minorBidi"/>
                <w:kern w:val="2"/>
              </w:rPr>
              <w:t>宝胜、上上、远东、菊花</w:t>
            </w:r>
          </w:p>
        </w:tc>
        <w:tc>
          <w:tcPr>
            <w:tcW w:w="2579" w:type="dxa"/>
            <w:tcBorders>
              <w:top w:val="nil"/>
              <w:left w:val="nil"/>
              <w:bottom w:val="single" w:color="auto" w:sz="4" w:space="0"/>
              <w:right w:val="single" w:color="auto" w:sz="8" w:space="0"/>
            </w:tcBorders>
            <w:vAlign w:val="center"/>
          </w:tcPr>
          <w:p w14:paraId="1BDD9C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7844E327">
        <w:tblPrEx>
          <w:tblCellMar>
            <w:top w:w="0" w:type="dxa"/>
            <w:left w:w="108" w:type="dxa"/>
            <w:bottom w:w="0" w:type="dxa"/>
            <w:right w:w="108" w:type="dxa"/>
          </w:tblCellMar>
        </w:tblPrEx>
        <w:trPr>
          <w:trHeight w:val="675" w:hRule="atLeast"/>
          <w:jc w:val="center"/>
        </w:trPr>
        <w:tc>
          <w:tcPr>
            <w:tcW w:w="853" w:type="dxa"/>
            <w:tcBorders>
              <w:top w:val="nil"/>
              <w:left w:val="single" w:color="auto" w:sz="8" w:space="0"/>
              <w:bottom w:val="single" w:color="auto" w:sz="4" w:space="0"/>
              <w:right w:val="single" w:color="auto" w:sz="4" w:space="0"/>
            </w:tcBorders>
            <w:vAlign w:val="center"/>
          </w:tcPr>
          <w:p w14:paraId="46732D37">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2279" w:type="dxa"/>
            <w:tcBorders>
              <w:top w:val="nil"/>
              <w:left w:val="nil"/>
              <w:bottom w:val="single" w:color="auto" w:sz="4" w:space="0"/>
              <w:right w:val="single" w:color="auto" w:sz="4" w:space="0"/>
            </w:tcBorders>
            <w:vAlign w:val="center"/>
          </w:tcPr>
          <w:p w14:paraId="0837A676">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矿物质绝缘电缆</w:t>
            </w:r>
          </w:p>
        </w:tc>
        <w:tc>
          <w:tcPr>
            <w:tcW w:w="3700" w:type="dxa"/>
            <w:tcBorders>
              <w:top w:val="nil"/>
              <w:left w:val="nil"/>
              <w:bottom w:val="single" w:color="auto" w:sz="4" w:space="0"/>
              <w:right w:val="single" w:color="auto" w:sz="4" w:space="0"/>
            </w:tcBorders>
            <w:vAlign w:val="center"/>
          </w:tcPr>
          <w:p w14:paraId="251DB817">
            <w:pPr>
              <w:pStyle w:val="6"/>
              <w:spacing w:line="400" w:lineRule="exact"/>
              <w:jc w:val="center"/>
              <w:rPr>
                <w:rFonts w:hint="eastAsia"/>
                <w:kern w:val="0"/>
              </w:rPr>
            </w:pPr>
            <w:r>
              <w:rPr>
                <w:rFonts w:ascii="Times New Roman" w:hAnsi="Times New Roman" w:eastAsia="仿宋" w:cstheme="minorBidi"/>
                <w:kern w:val="2"/>
              </w:rPr>
              <w:t>宝胜、上上、远东、菊花</w:t>
            </w:r>
          </w:p>
        </w:tc>
        <w:tc>
          <w:tcPr>
            <w:tcW w:w="2579" w:type="dxa"/>
            <w:tcBorders>
              <w:top w:val="nil"/>
              <w:left w:val="nil"/>
              <w:bottom w:val="single" w:color="auto" w:sz="4" w:space="0"/>
              <w:right w:val="single" w:color="auto" w:sz="8" w:space="0"/>
            </w:tcBorders>
            <w:vAlign w:val="center"/>
          </w:tcPr>
          <w:p w14:paraId="781C017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3932E507">
        <w:tblPrEx>
          <w:tblCellMar>
            <w:top w:w="0" w:type="dxa"/>
            <w:left w:w="108" w:type="dxa"/>
            <w:bottom w:w="0" w:type="dxa"/>
            <w:right w:w="108" w:type="dxa"/>
          </w:tblCellMar>
        </w:tblPrEx>
        <w:trPr>
          <w:trHeight w:val="675" w:hRule="atLeast"/>
          <w:jc w:val="center"/>
        </w:trPr>
        <w:tc>
          <w:tcPr>
            <w:tcW w:w="853" w:type="dxa"/>
            <w:tcBorders>
              <w:top w:val="nil"/>
              <w:left w:val="single" w:color="auto" w:sz="8" w:space="0"/>
              <w:bottom w:val="single" w:color="auto" w:sz="4" w:space="0"/>
              <w:right w:val="single" w:color="auto" w:sz="4" w:space="0"/>
            </w:tcBorders>
            <w:vAlign w:val="center"/>
          </w:tcPr>
          <w:p w14:paraId="5F4A29C4">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w:t>
            </w:r>
          </w:p>
        </w:tc>
        <w:tc>
          <w:tcPr>
            <w:tcW w:w="2279" w:type="dxa"/>
            <w:tcBorders>
              <w:top w:val="nil"/>
              <w:left w:val="nil"/>
              <w:bottom w:val="single" w:color="auto" w:sz="4" w:space="0"/>
              <w:right w:val="single" w:color="auto" w:sz="4" w:space="0"/>
            </w:tcBorders>
            <w:vAlign w:val="center"/>
          </w:tcPr>
          <w:p w14:paraId="731A1DAF">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配电箱（柜）电气元器件</w:t>
            </w:r>
          </w:p>
        </w:tc>
        <w:tc>
          <w:tcPr>
            <w:tcW w:w="3700" w:type="dxa"/>
            <w:tcBorders>
              <w:top w:val="nil"/>
              <w:left w:val="nil"/>
              <w:bottom w:val="single" w:color="auto" w:sz="4" w:space="0"/>
              <w:right w:val="single" w:color="auto" w:sz="4" w:space="0"/>
            </w:tcBorders>
            <w:vAlign w:val="center"/>
          </w:tcPr>
          <w:p w14:paraId="0E30C941">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西门子</w:t>
            </w:r>
            <w:r>
              <w:rPr>
                <w:rFonts w:hint="eastAsia" w:ascii="Times New Roman" w:hAnsi="Times New Roman" w:eastAsia="仿宋" w:cstheme="minorBidi"/>
                <w:kern w:val="2"/>
                <w:lang w:eastAsia="zh-CN"/>
              </w:rPr>
              <w:t>、</w:t>
            </w:r>
            <w:r>
              <w:rPr>
                <w:rFonts w:ascii="Times New Roman" w:hAnsi="Times New Roman" w:eastAsia="仿宋" w:cstheme="minorBidi"/>
                <w:kern w:val="2"/>
              </w:rPr>
              <w:t>施耐德</w:t>
            </w:r>
            <w:r>
              <w:rPr>
                <w:rFonts w:hint="eastAsia" w:ascii="Times New Roman" w:hAnsi="Times New Roman" w:eastAsia="仿宋" w:cstheme="minorBidi"/>
                <w:kern w:val="2"/>
                <w:lang w:eastAsia="zh-CN"/>
              </w:rPr>
              <w:t>、</w:t>
            </w:r>
            <w:r>
              <w:rPr>
                <w:rFonts w:ascii="Times New Roman" w:hAnsi="Times New Roman" w:eastAsia="仿宋" w:cstheme="minorBidi"/>
                <w:kern w:val="2"/>
              </w:rPr>
              <w:t>ABB</w:t>
            </w:r>
          </w:p>
        </w:tc>
        <w:tc>
          <w:tcPr>
            <w:tcW w:w="2579" w:type="dxa"/>
            <w:tcBorders>
              <w:top w:val="nil"/>
              <w:left w:val="nil"/>
              <w:bottom w:val="single" w:color="auto" w:sz="4" w:space="0"/>
              <w:right w:val="single" w:color="auto" w:sz="8" w:space="0"/>
            </w:tcBorders>
            <w:vAlign w:val="center"/>
          </w:tcPr>
          <w:p w14:paraId="2D6F5F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6ED75A02">
        <w:tblPrEx>
          <w:tblCellMar>
            <w:top w:w="0" w:type="dxa"/>
            <w:left w:w="108" w:type="dxa"/>
            <w:bottom w:w="0" w:type="dxa"/>
            <w:right w:w="108" w:type="dxa"/>
          </w:tblCellMar>
        </w:tblPrEx>
        <w:trPr>
          <w:trHeight w:val="690" w:hRule="atLeast"/>
          <w:jc w:val="center"/>
        </w:trPr>
        <w:tc>
          <w:tcPr>
            <w:tcW w:w="853" w:type="dxa"/>
            <w:tcBorders>
              <w:top w:val="nil"/>
              <w:left w:val="single" w:color="auto" w:sz="8" w:space="0"/>
              <w:bottom w:val="single" w:color="auto" w:sz="4" w:space="0"/>
              <w:right w:val="single" w:color="auto" w:sz="4" w:space="0"/>
            </w:tcBorders>
            <w:vAlign w:val="center"/>
          </w:tcPr>
          <w:p w14:paraId="4E718F80">
            <w:pPr>
              <w:widowControl/>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w:t>
            </w:r>
          </w:p>
        </w:tc>
        <w:tc>
          <w:tcPr>
            <w:tcW w:w="2279" w:type="dxa"/>
            <w:tcBorders>
              <w:top w:val="nil"/>
              <w:left w:val="nil"/>
              <w:bottom w:val="single" w:color="auto" w:sz="4" w:space="0"/>
              <w:right w:val="single" w:color="auto" w:sz="4" w:space="0"/>
            </w:tcBorders>
            <w:vAlign w:val="center"/>
          </w:tcPr>
          <w:p w14:paraId="3417CBE0">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集成吊顶</w:t>
            </w:r>
          </w:p>
        </w:tc>
        <w:tc>
          <w:tcPr>
            <w:tcW w:w="3700" w:type="dxa"/>
            <w:tcBorders>
              <w:top w:val="nil"/>
              <w:left w:val="nil"/>
              <w:bottom w:val="single" w:color="auto" w:sz="4" w:space="0"/>
              <w:right w:val="single" w:color="auto" w:sz="4" w:space="0"/>
            </w:tcBorders>
            <w:vAlign w:val="center"/>
          </w:tcPr>
          <w:p w14:paraId="1B3BDEBD">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奥普、友邦、美尔凯特、欧陆</w:t>
            </w:r>
          </w:p>
        </w:tc>
        <w:tc>
          <w:tcPr>
            <w:tcW w:w="2579" w:type="dxa"/>
            <w:tcBorders>
              <w:top w:val="nil"/>
              <w:left w:val="nil"/>
              <w:bottom w:val="single" w:color="auto" w:sz="4" w:space="0"/>
              <w:right w:val="single" w:color="auto" w:sz="8" w:space="0"/>
            </w:tcBorders>
            <w:vAlign w:val="center"/>
          </w:tcPr>
          <w:p w14:paraId="7185FB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3ED8768A">
        <w:tblPrEx>
          <w:tblCellMar>
            <w:top w:w="0" w:type="dxa"/>
            <w:left w:w="108" w:type="dxa"/>
            <w:bottom w:w="0" w:type="dxa"/>
            <w:right w:w="108" w:type="dxa"/>
          </w:tblCellMar>
        </w:tblPrEx>
        <w:trPr>
          <w:trHeight w:val="108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337F931">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2279" w:type="dxa"/>
            <w:tcBorders>
              <w:top w:val="single" w:color="auto" w:sz="4" w:space="0"/>
              <w:left w:val="single" w:color="auto" w:sz="4" w:space="0"/>
              <w:bottom w:val="single" w:color="auto" w:sz="4" w:space="0"/>
              <w:right w:val="single" w:color="auto" w:sz="4" w:space="0"/>
            </w:tcBorders>
            <w:vAlign w:val="center"/>
          </w:tcPr>
          <w:p w14:paraId="3E7A97A8">
            <w:pPr>
              <w:pStyle w:val="6"/>
              <w:spacing w:line="400" w:lineRule="exact"/>
              <w:jc w:val="center"/>
              <w:rPr>
                <w:rFonts w:hint="eastAsia" w:ascii="宋体" w:hAnsi="宋体" w:eastAsia="宋体" w:cs="宋体"/>
                <w:kern w:val="0"/>
                <w:sz w:val="21"/>
                <w:szCs w:val="21"/>
                <w:lang w:val="en-US" w:eastAsia="zh-CN" w:bidi="ar-SA"/>
              </w:rPr>
            </w:pPr>
            <w:r>
              <w:rPr>
                <w:rFonts w:ascii="Times New Roman" w:hAnsi="Times New Roman" w:eastAsia="仿宋" w:cstheme="minorBidi"/>
                <w:kern w:val="2"/>
              </w:rPr>
              <w:t>线缆</w:t>
            </w:r>
          </w:p>
        </w:tc>
        <w:tc>
          <w:tcPr>
            <w:tcW w:w="3700" w:type="dxa"/>
            <w:tcBorders>
              <w:top w:val="single" w:color="auto" w:sz="4" w:space="0"/>
              <w:left w:val="single" w:color="auto" w:sz="4" w:space="0"/>
              <w:bottom w:val="single" w:color="auto" w:sz="4" w:space="0"/>
              <w:right w:val="single" w:color="auto" w:sz="4" w:space="0"/>
            </w:tcBorders>
            <w:vAlign w:val="center"/>
          </w:tcPr>
          <w:p w14:paraId="7A42A58B">
            <w:pPr>
              <w:pStyle w:val="6"/>
              <w:spacing w:line="400" w:lineRule="exact"/>
              <w:jc w:val="center"/>
              <w:rPr>
                <w:rFonts w:hint="eastAsia" w:ascii="宋体" w:hAnsi="宋体" w:eastAsia="宋体" w:cs="宋体"/>
                <w:kern w:val="0"/>
                <w:sz w:val="21"/>
                <w:szCs w:val="21"/>
                <w:lang w:val="en-US" w:eastAsia="zh-CN" w:bidi="ar-SA"/>
              </w:rPr>
            </w:pPr>
            <w:r>
              <w:rPr>
                <w:rFonts w:ascii="Times New Roman" w:hAnsi="Times New Roman" w:eastAsia="仿宋" w:cstheme="minorBidi"/>
                <w:kern w:val="2"/>
              </w:rPr>
              <w:t>宝胜、远东、上上、菊花</w:t>
            </w:r>
          </w:p>
        </w:tc>
        <w:tc>
          <w:tcPr>
            <w:tcW w:w="2579" w:type="dxa"/>
            <w:tcBorders>
              <w:top w:val="single" w:color="auto" w:sz="4" w:space="0"/>
              <w:left w:val="single" w:color="auto" w:sz="4" w:space="0"/>
              <w:bottom w:val="single" w:color="auto" w:sz="4" w:space="0"/>
              <w:right w:val="single" w:color="auto" w:sz="4" w:space="0"/>
            </w:tcBorders>
            <w:vAlign w:val="center"/>
          </w:tcPr>
          <w:p w14:paraId="5A3CD3C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质量符合设计和规范要求</w:t>
            </w:r>
          </w:p>
        </w:tc>
      </w:tr>
      <w:tr w14:paraId="06F271CE">
        <w:tblPrEx>
          <w:tblCellMar>
            <w:top w:w="0" w:type="dxa"/>
            <w:left w:w="108" w:type="dxa"/>
            <w:bottom w:w="0" w:type="dxa"/>
            <w:right w:w="108" w:type="dxa"/>
          </w:tblCellMar>
        </w:tblPrEx>
        <w:trPr>
          <w:trHeight w:val="108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25280FFD">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2279" w:type="dxa"/>
            <w:tcBorders>
              <w:top w:val="single" w:color="auto" w:sz="4" w:space="0"/>
              <w:left w:val="single" w:color="auto" w:sz="4" w:space="0"/>
              <w:bottom w:val="single" w:color="auto" w:sz="4" w:space="0"/>
              <w:right w:val="single" w:color="auto" w:sz="4" w:space="0"/>
            </w:tcBorders>
            <w:vAlign w:val="center"/>
          </w:tcPr>
          <w:p w14:paraId="739E06C1">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空气开关</w:t>
            </w:r>
          </w:p>
        </w:tc>
        <w:tc>
          <w:tcPr>
            <w:tcW w:w="3700" w:type="dxa"/>
            <w:tcBorders>
              <w:top w:val="single" w:color="auto" w:sz="4" w:space="0"/>
              <w:left w:val="single" w:color="auto" w:sz="4" w:space="0"/>
              <w:bottom w:val="single" w:color="auto" w:sz="4" w:space="0"/>
              <w:right w:val="single" w:color="auto" w:sz="4" w:space="0"/>
            </w:tcBorders>
            <w:vAlign w:val="center"/>
          </w:tcPr>
          <w:p w14:paraId="5ABC3D0F">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施耐德、ABB、西门子</w:t>
            </w:r>
          </w:p>
        </w:tc>
        <w:tc>
          <w:tcPr>
            <w:tcW w:w="2579" w:type="dxa"/>
            <w:tcBorders>
              <w:top w:val="single" w:color="auto" w:sz="4" w:space="0"/>
              <w:left w:val="single" w:color="auto" w:sz="4" w:space="0"/>
              <w:bottom w:val="single" w:color="auto" w:sz="4" w:space="0"/>
              <w:right w:val="single" w:color="auto" w:sz="4" w:space="0"/>
            </w:tcBorders>
            <w:vAlign w:val="center"/>
          </w:tcPr>
          <w:p w14:paraId="12D1A44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4CD9CECF">
        <w:tblPrEx>
          <w:tblCellMar>
            <w:top w:w="0" w:type="dxa"/>
            <w:left w:w="108" w:type="dxa"/>
            <w:bottom w:w="0" w:type="dxa"/>
            <w:right w:w="108" w:type="dxa"/>
          </w:tblCellMar>
        </w:tblPrEx>
        <w:trPr>
          <w:trHeight w:val="108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67C278C">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2279" w:type="dxa"/>
            <w:tcBorders>
              <w:top w:val="single" w:color="auto" w:sz="4" w:space="0"/>
              <w:left w:val="single" w:color="auto" w:sz="4" w:space="0"/>
              <w:bottom w:val="single" w:color="auto" w:sz="4" w:space="0"/>
              <w:right w:val="single" w:color="auto" w:sz="4" w:space="0"/>
            </w:tcBorders>
            <w:vAlign w:val="center"/>
          </w:tcPr>
          <w:p w14:paraId="6EF3C6A3">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开关/插座</w:t>
            </w:r>
          </w:p>
        </w:tc>
        <w:tc>
          <w:tcPr>
            <w:tcW w:w="3700" w:type="dxa"/>
            <w:tcBorders>
              <w:top w:val="single" w:color="auto" w:sz="4" w:space="0"/>
              <w:left w:val="single" w:color="auto" w:sz="4" w:space="0"/>
              <w:bottom w:val="single" w:color="auto" w:sz="4" w:space="0"/>
              <w:right w:val="single" w:color="auto" w:sz="4" w:space="0"/>
            </w:tcBorders>
            <w:vAlign w:val="center"/>
          </w:tcPr>
          <w:p w14:paraId="1389177A">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公牛、德力西、正泰、TCL</w:t>
            </w:r>
          </w:p>
        </w:tc>
        <w:tc>
          <w:tcPr>
            <w:tcW w:w="2579" w:type="dxa"/>
            <w:tcBorders>
              <w:top w:val="single" w:color="auto" w:sz="4" w:space="0"/>
              <w:left w:val="single" w:color="auto" w:sz="4" w:space="0"/>
              <w:bottom w:val="single" w:color="auto" w:sz="4" w:space="0"/>
              <w:right w:val="single" w:color="auto" w:sz="4" w:space="0"/>
            </w:tcBorders>
            <w:vAlign w:val="center"/>
          </w:tcPr>
          <w:p w14:paraId="135A130A">
            <w:pPr>
              <w:widowControl/>
              <w:jc w:val="center"/>
              <w:rPr>
                <w:rFonts w:hint="eastAsia" w:ascii="宋体" w:hAnsi="宋体" w:eastAsia="宋体" w:cs="宋体"/>
                <w:kern w:val="0"/>
                <w:sz w:val="21"/>
                <w:szCs w:val="21"/>
              </w:rPr>
            </w:pPr>
            <w:r>
              <w:rPr>
                <w:rFonts w:hint="eastAsia" w:ascii="宋体" w:hAnsi="宋体" w:eastAsia="宋体" w:cs="宋体"/>
                <w:bCs/>
                <w:sz w:val="21"/>
                <w:szCs w:val="21"/>
              </w:rPr>
              <w:t>质量符合设计和规范要求</w:t>
            </w:r>
          </w:p>
        </w:tc>
      </w:tr>
      <w:tr w14:paraId="214FF8E6">
        <w:tblPrEx>
          <w:tblCellMar>
            <w:top w:w="0" w:type="dxa"/>
            <w:left w:w="108" w:type="dxa"/>
            <w:bottom w:w="0" w:type="dxa"/>
            <w:right w:w="108" w:type="dxa"/>
          </w:tblCellMar>
        </w:tblPrEx>
        <w:trPr>
          <w:trHeight w:val="108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92E3EBE">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11</w:t>
            </w:r>
          </w:p>
        </w:tc>
        <w:tc>
          <w:tcPr>
            <w:tcW w:w="2279" w:type="dxa"/>
            <w:tcBorders>
              <w:top w:val="single" w:color="auto" w:sz="4" w:space="0"/>
              <w:left w:val="single" w:color="auto" w:sz="4" w:space="0"/>
              <w:bottom w:val="single" w:color="auto" w:sz="4" w:space="0"/>
              <w:right w:val="single" w:color="auto" w:sz="4" w:space="0"/>
            </w:tcBorders>
            <w:vAlign w:val="center"/>
          </w:tcPr>
          <w:p w14:paraId="195E420F">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灯具</w:t>
            </w:r>
          </w:p>
        </w:tc>
        <w:tc>
          <w:tcPr>
            <w:tcW w:w="3700" w:type="dxa"/>
            <w:tcBorders>
              <w:top w:val="single" w:color="auto" w:sz="4" w:space="0"/>
              <w:left w:val="single" w:color="auto" w:sz="4" w:space="0"/>
              <w:bottom w:val="single" w:color="auto" w:sz="4" w:space="0"/>
              <w:right w:val="single" w:color="auto" w:sz="4" w:space="0"/>
            </w:tcBorders>
            <w:vAlign w:val="center"/>
          </w:tcPr>
          <w:p w14:paraId="4A0F4AD4">
            <w:pPr>
              <w:pStyle w:val="6"/>
              <w:spacing w:line="400" w:lineRule="exact"/>
              <w:jc w:val="center"/>
              <w:rPr>
                <w:rFonts w:hint="eastAsia" w:ascii="宋体" w:hAnsi="宋体" w:eastAsia="宋体" w:cs="宋体"/>
                <w:kern w:val="0"/>
                <w:sz w:val="21"/>
                <w:szCs w:val="21"/>
              </w:rPr>
            </w:pPr>
            <w:r>
              <w:rPr>
                <w:rFonts w:ascii="Times New Roman" w:hAnsi="Times New Roman" w:eastAsia="仿宋" w:cstheme="minorBidi"/>
                <w:kern w:val="2"/>
              </w:rPr>
              <w:t>欧普、雷士、松下、TCL</w:t>
            </w:r>
          </w:p>
        </w:tc>
        <w:tc>
          <w:tcPr>
            <w:tcW w:w="2579" w:type="dxa"/>
            <w:tcBorders>
              <w:top w:val="single" w:color="auto" w:sz="4" w:space="0"/>
              <w:left w:val="single" w:color="auto" w:sz="4" w:space="0"/>
              <w:bottom w:val="single" w:color="auto" w:sz="4" w:space="0"/>
              <w:right w:val="single" w:color="auto" w:sz="4" w:space="0"/>
            </w:tcBorders>
            <w:vAlign w:val="center"/>
          </w:tcPr>
          <w:p w14:paraId="0A2AEBA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13786A8B">
        <w:tblPrEx>
          <w:tblCellMar>
            <w:top w:w="0" w:type="dxa"/>
            <w:left w:w="108" w:type="dxa"/>
            <w:bottom w:w="0" w:type="dxa"/>
            <w:right w:w="108" w:type="dxa"/>
          </w:tblCellMar>
        </w:tblPrEx>
        <w:trPr>
          <w:trHeight w:val="108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5D64506">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2279" w:type="dxa"/>
            <w:tcBorders>
              <w:top w:val="single" w:color="auto" w:sz="4" w:space="0"/>
              <w:left w:val="single" w:color="auto" w:sz="4" w:space="0"/>
              <w:bottom w:val="single" w:color="auto" w:sz="4" w:space="0"/>
              <w:right w:val="single" w:color="auto" w:sz="4" w:space="0"/>
            </w:tcBorders>
            <w:shd w:val="clear"/>
            <w:vAlign w:val="center"/>
          </w:tcPr>
          <w:p w14:paraId="26424996">
            <w:pPr>
              <w:pStyle w:val="6"/>
              <w:spacing w:line="400" w:lineRule="exact"/>
              <w:jc w:val="center"/>
              <w:rPr>
                <w:rFonts w:hint="eastAsia" w:ascii="Times New Roman" w:hAnsi="Times New Roman" w:eastAsia="仿宋" w:cstheme="minorBidi"/>
                <w:kern w:val="2"/>
                <w:sz w:val="24"/>
                <w:szCs w:val="24"/>
                <w:lang w:val="en-US" w:eastAsia="zh-CN" w:bidi="ar-SA"/>
              </w:rPr>
            </w:pPr>
            <w:r>
              <w:rPr>
                <w:rFonts w:ascii="Times New Roman" w:hAnsi="Times New Roman" w:eastAsia="仿宋" w:cstheme="minorBidi"/>
                <w:kern w:val="2"/>
              </w:rPr>
              <w:t>排气扇</w:t>
            </w:r>
          </w:p>
        </w:tc>
        <w:tc>
          <w:tcPr>
            <w:tcW w:w="3700" w:type="dxa"/>
            <w:tcBorders>
              <w:top w:val="single" w:color="auto" w:sz="4" w:space="0"/>
              <w:left w:val="single" w:color="auto" w:sz="4" w:space="0"/>
              <w:bottom w:val="single" w:color="auto" w:sz="4" w:space="0"/>
              <w:right w:val="single" w:color="auto" w:sz="4" w:space="0"/>
            </w:tcBorders>
            <w:vAlign w:val="center"/>
          </w:tcPr>
          <w:p w14:paraId="6333C57A">
            <w:pPr>
              <w:pStyle w:val="6"/>
              <w:spacing w:line="400" w:lineRule="exact"/>
              <w:jc w:val="center"/>
              <w:rPr>
                <w:rFonts w:hint="eastAsia" w:ascii="宋体" w:hAnsi="宋体" w:eastAsia="宋体" w:cs="宋体"/>
                <w:kern w:val="0"/>
                <w:sz w:val="21"/>
                <w:szCs w:val="21"/>
                <w:lang w:val="en-US" w:eastAsia="zh-CN"/>
              </w:rPr>
            </w:pPr>
            <w:r>
              <w:rPr>
                <w:rFonts w:ascii="Times New Roman" w:hAnsi="Times New Roman" w:eastAsia="仿宋" w:cstheme="minorBidi"/>
                <w:kern w:val="2"/>
              </w:rPr>
              <w:t>艾美特、美的、绿岛风、松下</w:t>
            </w:r>
          </w:p>
        </w:tc>
        <w:tc>
          <w:tcPr>
            <w:tcW w:w="2579" w:type="dxa"/>
            <w:tcBorders>
              <w:top w:val="single" w:color="auto" w:sz="4" w:space="0"/>
              <w:left w:val="single" w:color="auto" w:sz="4" w:space="0"/>
              <w:bottom w:val="single" w:color="auto" w:sz="4" w:space="0"/>
              <w:right w:val="single" w:color="auto" w:sz="4" w:space="0"/>
            </w:tcBorders>
            <w:vAlign w:val="center"/>
          </w:tcPr>
          <w:p w14:paraId="346605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78C1F267">
        <w:tblPrEx>
          <w:tblCellMar>
            <w:top w:w="0" w:type="dxa"/>
            <w:left w:w="108" w:type="dxa"/>
            <w:bottom w:w="0" w:type="dxa"/>
            <w:right w:w="108" w:type="dxa"/>
          </w:tblCellMar>
        </w:tblPrEx>
        <w:trPr>
          <w:trHeight w:val="108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54A9733">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2279" w:type="dxa"/>
            <w:tcBorders>
              <w:top w:val="single" w:color="auto" w:sz="4" w:space="0"/>
              <w:left w:val="single" w:color="auto" w:sz="4" w:space="0"/>
              <w:bottom w:val="single" w:color="auto" w:sz="4" w:space="0"/>
              <w:right w:val="single" w:color="auto" w:sz="4" w:space="0"/>
            </w:tcBorders>
            <w:shd w:val="clear"/>
            <w:vAlign w:val="center"/>
          </w:tcPr>
          <w:p w14:paraId="0889F519">
            <w:pPr>
              <w:pStyle w:val="6"/>
              <w:spacing w:line="400" w:lineRule="exact"/>
              <w:jc w:val="center"/>
              <w:rPr>
                <w:rFonts w:hint="eastAsia" w:ascii="Times New Roman" w:hAnsi="Times New Roman" w:eastAsia="仿宋" w:cstheme="minorBidi"/>
                <w:kern w:val="2"/>
                <w:sz w:val="24"/>
                <w:szCs w:val="24"/>
                <w:lang w:val="en-US" w:eastAsia="zh-CN" w:bidi="ar-SA"/>
              </w:rPr>
            </w:pPr>
            <w:r>
              <w:rPr>
                <w:rFonts w:ascii="Times New Roman" w:hAnsi="Times New Roman" w:eastAsia="仿宋" w:cstheme="minorBidi"/>
                <w:kern w:val="2"/>
              </w:rPr>
              <w:t>网络线</w:t>
            </w:r>
          </w:p>
        </w:tc>
        <w:tc>
          <w:tcPr>
            <w:tcW w:w="3700" w:type="dxa"/>
            <w:tcBorders>
              <w:top w:val="single" w:color="auto" w:sz="4" w:space="0"/>
              <w:left w:val="single" w:color="auto" w:sz="4" w:space="0"/>
              <w:bottom w:val="single" w:color="auto" w:sz="4" w:space="0"/>
              <w:right w:val="single" w:color="auto" w:sz="4" w:space="0"/>
            </w:tcBorders>
            <w:vAlign w:val="center"/>
          </w:tcPr>
          <w:p w14:paraId="1EA69C6D">
            <w:pPr>
              <w:pStyle w:val="6"/>
              <w:spacing w:line="400" w:lineRule="exact"/>
              <w:jc w:val="center"/>
              <w:rPr>
                <w:rFonts w:hint="eastAsia" w:ascii="宋体" w:hAnsi="宋体" w:eastAsia="宋体" w:cs="宋体"/>
                <w:kern w:val="0"/>
                <w:sz w:val="21"/>
                <w:szCs w:val="21"/>
                <w:lang w:val="en-US" w:eastAsia="zh-CN"/>
              </w:rPr>
            </w:pPr>
            <w:r>
              <w:rPr>
                <w:rFonts w:ascii="Times New Roman" w:hAnsi="Times New Roman" w:eastAsia="仿宋" w:cstheme="minorBidi"/>
                <w:kern w:val="2"/>
              </w:rPr>
              <w:t>康普、海康威视、秋叶原、TP-LINK</w:t>
            </w:r>
          </w:p>
        </w:tc>
        <w:tc>
          <w:tcPr>
            <w:tcW w:w="2579" w:type="dxa"/>
            <w:tcBorders>
              <w:top w:val="single" w:color="auto" w:sz="4" w:space="0"/>
              <w:left w:val="single" w:color="auto" w:sz="4" w:space="0"/>
              <w:bottom w:val="single" w:color="auto" w:sz="4" w:space="0"/>
              <w:right w:val="single" w:color="auto" w:sz="4" w:space="0"/>
            </w:tcBorders>
            <w:vAlign w:val="center"/>
          </w:tcPr>
          <w:p w14:paraId="70A90DA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质量符合设计和规范要求</w:t>
            </w:r>
          </w:p>
        </w:tc>
      </w:tr>
      <w:tr w14:paraId="2C1F89A6">
        <w:tblPrEx>
          <w:tblCellMar>
            <w:top w:w="0" w:type="dxa"/>
            <w:left w:w="108" w:type="dxa"/>
            <w:bottom w:w="0" w:type="dxa"/>
            <w:right w:w="108" w:type="dxa"/>
          </w:tblCellMar>
        </w:tblPrEx>
        <w:trPr>
          <w:trHeight w:val="108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210B20EB">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14</w:t>
            </w:r>
          </w:p>
        </w:tc>
        <w:tc>
          <w:tcPr>
            <w:tcW w:w="2279" w:type="dxa"/>
            <w:tcBorders>
              <w:top w:val="single" w:color="auto" w:sz="4" w:space="0"/>
              <w:left w:val="single" w:color="auto" w:sz="4" w:space="0"/>
              <w:bottom w:val="single" w:color="auto" w:sz="4" w:space="0"/>
              <w:right w:val="single" w:color="auto" w:sz="4" w:space="0"/>
            </w:tcBorders>
            <w:shd w:val="clear"/>
            <w:vAlign w:val="center"/>
          </w:tcPr>
          <w:p w14:paraId="48AFAEE2">
            <w:pPr>
              <w:pStyle w:val="6"/>
              <w:spacing w:line="400" w:lineRule="exact"/>
              <w:jc w:val="center"/>
              <w:rPr>
                <w:rFonts w:hint="default" w:ascii="Times New Roman" w:hAnsi="Times New Roman" w:eastAsia="仿宋" w:cstheme="minorBidi"/>
                <w:kern w:val="2"/>
                <w:sz w:val="24"/>
                <w:szCs w:val="24"/>
                <w:lang w:val="en-US" w:eastAsia="zh-CN" w:bidi="ar-SA"/>
              </w:rPr>
            </w:pPr>
            <w:r>
              <w:rPr>
                <w:rFonts w:ascii="Times New Roman" w:hAnsi="Times New Roman" w:eastAsia="仿宋" w:cstheme="minorBidi"/>
                <w:kern w:val="2"/>
              </w:rPr>
              <w:t>母线</w:t>
            </w:r>
          </w:p>
        </w:tc>
        <w:tc>
          <w:tcPr>
            <w:tcW w:w="3700" w:type="dxa"/>
            <w:tcBorders>
              <w:top w:val="single" w:color="auto" w:sz="4" w:space="0"/>
              <w:left w:val="single" w:color="auto" w:sz="4" w:space="0"/>
              <w:bottom w:val="single" w:color="auto" w:sz="4" w:space="0"/>
              <w:right w:val="single" w:color="auto" w:sz="4" w:space="0"/>
            </w:tcBorders>
            <w:vAlign w:val="center"/>
          </w:tcPr>
          <w:p w14:paraId="082582B7">
            <w:pPr>
              <w:pStyle w:val="6"/>
              <w:spacing w:line="400" w:lineRule="exact"/>
              <w:jc w:val="center"/>
              <w:rPr>
                <w:rFonts w:hint="eastAsia" w:ascii="宋体" w:hAnsi="宋体" w:eastAsia="宋体" w:cs="宋体"/>
                <w:kern w:val="0"/>
                <w:sz w:val="21"/>
                <w:szCs w:val="21"/>
                <w:lang w:val="en-US" w:eastAsia="zh-CN" w:bidi="ar-SA"/>
              </w:rPr>
            </w:pPr>
            <w:r>
              <w:rPr>
                <w:rFonts w:ascii="Times New Roman" w:hAnsi="Times New Roman" w:eastAsia="仿宋" w:cstheme="minorBidi"/>
                <w:kern w:val="2"/>
              </w:rPr>
              <w:t>亿能、威腾、雷朋</w:t>
            </w:r>
          </w:p>
        </w:tc>
        <w:tc>
          <w:tcPr>
            <w:tcW w:w="2579" w:type="dxa"/>
            <w:tcBorders>
              <w:top w:val="single" w:color="auto" w:sz="4" w:space="0"/>
              <w:left w:val="single" w:color="auto" w:sz="4" w:space="0"/>
              <w:bottom w:val="single" w:color="auto" w:sz="4" w:space="0"/>
              <w:right w:val="single" w:color="auto" w:sz="4" w:space="0"/>
            </w:tcBorders>
            <w:vAlign w:val="center"/>
          </w:tcPr>
          <w:p w14:paraId="4386AAB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质量符合设计和规范要求</w:t>
            </w:r>
          </w:p>
        </w:tc>
      </w:tr>
    </w:tbl>
    <w:p w14:paraId="7D7A3D59">
      <w:pPr>
        <w:pStyle w:val="3"/>
        <w:numPr>
          <w:ilvl w:val="0"/>
          <w:numId w:val="0"/>
        </w:numPr>
        <w:adjustRightInd w:val="0"/>
        <w:snapToGrid w:val="0"/>
        <w:spacing w:line="360" w:lineRule="auto"/>
        <w:ind w:leftChars="20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13、垂直运输：垂直运输机械费控制价已综合考虑，施工单位根据自己的施工组织设计自行报价；</w:t>
      </w:r>
    </w:p>
    <w:p w14:paraId="60B822C5">
      <w:pPr>
        <w:pStyle w:val="3"/>
        <w:numPr>
          <w:ilvl w:val="0"/>
          <w:numId w:val="0"/>
        </w:numPr>
        <w:adjustRightInd w:val="0"/>
        <w:snapToGrid w:val="0"/>
        <w:spacing w:line="360" w:lineRule="auto"/>
        <w:ind w:leftChars="200" w:firstLine="480" w:firstLineChars="200"/>
        <w:rPr>
          <w:rFonts w:hint="eastAsia" w:hAnsi="宋体" w:cs="宋体"/>
          <w:color w:val="auto"/>
          <w:sz w:val="24"/>
          <w:szCs w:val="24"/>
          <w:lang w:val="en-US" w:eastAsia="zh-CN"/>
        </w:rPr>
      </w:pPr>
      <w:r>
        <w:rPr>
          <w:rFonts w:hint="eastAsia" w:hAnsi="宋体" w:cs="宋体"/>
          <w:color w:val="auto"/>
          <w:sz w:val="24"/>
          <w:szCs w:val="24"/>
          <w:lang w:val="en-US" w:eastAsia="zh-CN"/>
        </w:rPr>
        <w:t>14、对措施项目清单，施工单位投标时自行考虑施工方案及自主报价；</w:t>
      </w:r>
    </w:p>
    <w:p w14:paraId="1D7655B9">
      <w:pPr>
        <w:pStyle w:val="3"/>
        <w:numPr>
          <w:ilvl w:val="0"/>
          <w:numId w:val="0"/>
        </w:numPr>
        <w:adjustRightInd w:val="0"/>
        <w:snapToGrid w:val="0"/>
        <w:spacing w:line="360" w:lineRule="auto"/>
        <w:ind w:leftChars="0" w:firstLine="960" w:firstLineChars="400"/>
        <w:rPr>
          <w:rFonts w:hint="eastAsia" w:hAnsi="宋体" w:cs="宋体"/>
          <w:color w:val="auto"/>
          <w:sz w:val="24"/>
          <w:szCs w:val="24"/>
          <w:lang w:val="en-US" w:eastAsia="zh-CN"/>
        </w:rPr>
      </w:pPr>
      <w:r>
        <w:rPr>
          <w:rFonts w:hint="eastAsia" w:hAnsi="宋体" w:cs="宋体"/>
          <w:color w:val="auto"/>
          <w:sz w:val="24"/>
          <w:szCs w:val="24"/>
          <w:lang w:val="en-US" w:eastAsia="zh-CN"/>
        </w:rPr>
        <w:t>15、暂列金额：无。</w:t>
      </w:r>
    </w:p>
    <w:p w14:paraId="3827A7C7">
      <w:pPr>
        <w:numPr>
          <w:ilvl w:val="0"/>
          <w:numId w:val="0"/>
        </w:numPr>
        <w:autoSpaceDE w:val="0"/>
        <w:autoSpaceDN w:val="0"/>
        <w:adjustRightInd w:val="0"/>
        <w:spacing w:line="440" w:lineRule="exact"/>
        <w:ind w:leftChars="0" w:firstLine="48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w:t>
      </w:r>
    </w:p>
    <w:p w14:paraId="6CC1640A">
      <w:pPr>
        <w:numPr>
          <w:ilvl w:val="0"/>
          <w:numId w:val="0"/>
        </w:numPr>
        <w:autoSpaceDE w:val="0"/>
        <w:autoSpaceDN w:val="0"/>
        <w:adjustRightInd w:val="0"/>
        <w:spacing w:line="440" w:lineRule="exact"/>
        <w:ind w:leftChars="0" w:firstLine="480"/>
        <w:jc w:val="left"/>
        <w:rPr>
          <w:rFonts w:hint="eastAsia" w:ascii="宋体" w:hAnsi="宋体" w:cs="宋体"/>
          <w:color w:val="000000"/>
          <w:sz w:val="24"/>
          <w:szCs w:val="24"/>
          <w:lang w:val="en-US" w:eastAsia="zh-CN"/>
        </w:rPr>
      </w:pPr>
    </w:p>
    <w:p w14:paraId="3BA95FFF">
      <w:pPr>
        <w:numPr>
          <w:ilvl w:val="0"/>
          <w:numId w:val="0"/>
        </w:numPr>
        <w:autoSpaceDE w:val="0"/>
        <w:autoSpaceDN w:val="0"/>
        <w:adjustRightInd w:val="0"/>
        <w:spacing w:line="440" w:lineRule="exact"/>
        <w:ind w:leftChars="0" w:firstLine="480"/>
        <w:jc w:val="left"/>
        <w:rPr>
          <w:rFonts w:hint="eastAsia" w:ascii="宋体" w:hAnsi="宋体" w:cs="宋体"/>
          <w:color w:val="000000"/>
          <w:sz w:val="24"/>
          <w:szCs w:val="24"/>
          <w:lang w:val="en-US" w:eastAsia="zh-CN"/>
        </w:rPr>
      </w:pPr>
    </w:p>
    <w:p w14:paraId="49D7CFCB">
      <w:pPr>
        <w:numPr>
          <w:ilvl w:val="0"/>
          <w:numId w:val="0"/>
        </w:numPr>
        <w:autoSpaceDE w:val="0"/>
        <w:autoSpaceDN w:val="0"/>
        <w:adjustRightInd w:val="0"/>
        <w:spacing w:line="440" w:lineRule="exact"/>
        <w:ind w:leftChars="0" w:firstLine="480"/>
        <w:jc w:val="left"/>
        <w:rPr>
          <w:rFonts w:hint="eastAsia" w:ascii="宋体" w:hAnsi="宋体" w:cs="宋体"/>
          <w:color w:val="000000"/>
          <w:sz w:val="24"/>
          <w:szCs w:val="24"/>
          <w:lang w:val="en-US" w:eastAsia="zh-CN"/>
        </w:rPr>
      </w:pPr>
    </w:p>
    <w:p w14:paraId="5F0CAE23">
      <w:pPr>
        <w:numPr>
          <w:ilvl w:val="0"/>
          <w:numId w:val="0"/>
        </w:numPr>
        <w:autoSpaceDE w:val="0"/>
        <w:autoSpaceDN w:val="0"/>
        <w:adjustRightInd w:val="0"/>
        <w:spacing w:line="440" w:lineRule="exact"/>
        <w:ind w:leftChars="0" w:firstLine="480"/>
        <w:jc w:val="left"/>
        <w:rPr>
          <w:rFonts w:hint="eastAsia" w:ascii="宋体" w:hAnsi="宋体" w:cs="宋体"/>
          <w:color w:val="000000"/>
          <w:sz w:val="24"/>
          <w:szCs w:val="24"/>
          <w:lang w:val="en-US" w:eastAsia="zh-CN"/>
        </w:rPr>
      </w:pPr>
    </w:p>
    <w:p w14:paraId="62593C1E">
      <w:pPr>
        <w:numPr>
          <w:ilvl w:val="0"/>
          <w:numId w:val="0"/>
        </w:numPr>
        <w:autoSpaceDE w:val="0"/>
        <w:autoSpaceDN w:val="0"/>
        <w:adjustRightInd w:val="0"/>
        <w:spacing w:line="440" w:lineRule="exact"/>
        <w:ind w:leftChars="0" w:firstLine="480"/>
        <w:jc w:val="left"/>
        <w:rPr>
          <w:rFonts w:hint="eastAsia" w:ascii="宋体" w:hAnsi="宋体" w:cs="宋体"/>
          <w:color w:val="000000"/>
          <w:sz w:val="24"/>
          <w:szCs w:val="24"/>
          <w:lang w:val="en-US" w:eastAsia="zh-CN"/>
        </w:rPr>
      </w:pPr>
    </w:p>
    <w:p w14:paraId="2394E551">
      <w:pPr>
        <w:ind w:firstLine="480" w:firstLineChars="200"/>
        <w:jc w:val="center"/>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eastAsia="zh-CN"/>
        </w:rPr>
        <w:t>2026年</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eastAsia="zh-CN"/>
        </w:rPr>
        <w:t>月</w:t>
      </w:r>
      <w:r>
        <w:rPr>
          <w:rFonts w:hint="eastAsia" w:ascii="宋体" w:hAnsi="宋体" w:cs="宋体"/>
          <w:b w:val="0"/>
          <w:bCs w:val="0"/>
          <w:sz w:val="24"/>
          <w:szCs w:val="24"/>
          <w:lang w:val="en-US" w:eastAsia="zh-CN"/>
        </w:rPr>
        <w:t>9</w:t>
      </w:r>
      <w:r>
        <w:rPr>
          <w:rFonts w:hint="eastAsia" w:ascii="宋体" w:hAnsi="宋体" w:eastAsia="宋体" w:cs="宋体"/>
          <w:b w:val="0"/>
          <w:bCs w:val="0"/>
          <w:sz w:val="24"/>
          <w:szCs w:val="24"/>
          <w:lang w:eastAsia="zh-CN"/>
        </w:rPr>
        <w:t>日</w:t>
      </w:r>
    </w:p>
    <w:p w14:paraId="2141B227">
      <w:pPr>
        <w:pStyle w:val="3"/>
        <w:adjustRightInd w:val="0"/>
        <w:snapToGrid w:val="0"/>
        <w:spacing w:line="360" w:lineRule="auto"/>
        <w:ind w:firstLine="0"/>
        <w:jc w:val="right"/>
        <w:rPr>
          <w:bCs/>
          <w:szCs w:val="28"/>
        </w:rPr>
      </w:pPr>
    </w:p>
    <w:sectPr>
      <w:pgSz w:w="11906" w:h="16838"/>
      <w:pgMar w:top="1417"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C823F"/>
    <w:multiLevelType w:val="singleLevel"/>
    <w:tmpl w:val="42BC823F"/>
    <w:lvl w:ilvl="0" w:tentative="0">
      <w:start w:val="1"/>
      <w:numFmt w:val="decimal"/>
      <w:lvlText w:val="%1."/>
      <w:lvlJc w:val="left"/>
      <w:pPr>
        <w:ind w:left="425" w:hanging="425"/>
      </w:pPr>
      <w:rPr>
        <w:rFonts w:hint="default"/>
      </w:rPr>
    </w:lvl>
  </w:abstractNum>
  <w:abstractNum w:abstractNumId="1">
    <w:nsid w:val="68543EA2"/>
    <w:multiLevelType w:val="multilevel"/>
    <w:tmpl w:val="68543EA2"/>
    <w:lvl w:ilvl="0" w:tentative="0">
      <w:start w:val="1"/>
      <w:numFmt w:val="japaneseCounting"/>
      <w:pStyle w:val="12"/>
      <w:lvlText w:val="%1、"/>
      <w:lvlJc w:val="left"/>
      <w:pPr>
        <w:tabs>
          <w:tab w:val="left" w:pos="660"/>
        </w:tabs>
        <w:ind w:left="660" w:hanging="480"/>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YzQxZDBhZWVjYjkyOTZiMTI1NDQxZGMxNDVhYzMifQ=="/>
  </w:docVars>
  <w:rsids>
    <w:rsidRoot w:val="00C6410F"/>
    <w:rsid w:val="00005624"/>
    <w:rsid w:val="00064FC5"/>
    <w:rsid w:val="00096835"/>
    <w:rsid w:val="000B0FD3"/>
    <w:rsid w:val="000B78CF"/>
    <w:rsid w:val="000D3280"/>
    <w:rsid w:val="000E2695"/>
    <w:rsid w:val="000F50C7"/>
    <w:rsid w:val="001204C9"/>
    <w:rsid w:val="00124601"/>
    <w:rsid w:val="0018576E"/>
    <w:rsid w:val="00187030"/>
    <w:rsid w:val="001E0617"/>
    <w:rsid w:val="001E3CA7"/>
    <w:rsid w:val="002001FB"/>
    <w:rsid w:val="002173C0"/>
    <w:rsid w:val="00241F54"/>
    <w:rsid w:val="00272342"/>
    <w:rsid w:val="002B5FF2"/>
    <w:rsid w:val="002E511E"/>
    <w:rsid w:val="002F1A54"/>
    <w:rsid w:val="0032755A"/>
    <w:rsid w:val="003E436B"/>
    <w:rsid w:val="0041599F"/>
    <w:rsid w:val="00423653"/>
    <w:rsid w:val="00484737"/>
    <w:rsid w:val="0048665B"/>
    <w:rsid w:val="0049722D"/>
    <w:rsid w:val="004F0FD1"/>
    <w:rsid w:val="004F22AE"/>
    <w:rsid w:val="005012EF"/>
    <w:rsid w:val="00515702"/>
    <w:rsid w:val="00536CB5"/>
    <w:rsid w:val="00572AE0"/>
    <w:rsid w:val="005E7ABB"/>
    <w:rsid w:val="0061603E"/>
    <w:rsid w:val="00665DF0"/>
    <w:rsid w:val="0068027C"/>
    <w:rsid w:val="006808B2"/>
    <w:rsid w:val="00702E48"/>
    <w:rsid w:val="00736971"/>
    <w:rsid w:val="00773EBA"/>
    <w:rsid w:val="00775275"/>
    <w:rsid w:val="007809D9"/>
    <w:rsid w:val="0078311E"/>
    <w:rsid w:val="00786618"/>
    <w:rsid w:val="007A1464"/>
    <w:rsid w:val="007A3E8D"/>
    <w:rsid w:val="007B3A60"/>
    <w:rsid w:val="00812BA2"/>
    <w:rsid w:val="00814D15"/>
    <w:rsid w:val="008421E3"/>
    <w:rsid w:val="00842E3E"/>
    <w:rsid w:val="00852F40"/>
    <w:rsid w:val="00873201"/>
    <w:rsid w:val="00880B4F"/>
    <w:rsid w:val="00885995"/>
    <w:rsid w:val="008C607A"/>
    <w:rsid w:val="008E7075"/>
    <w:rsid w:val="008F0DA5"/>
    <w:rsid w:val="008F39E0"/>
    <w:rsid w:val="008F7F5D"/>
    <w:rsid w:val="0093107E"/>
    <w:rsid w:val="00936743"/>
    <w:rsid w:val="00937AD9"/>
    <w:rsid w:val="00941C20"/>
    <w:rsid w:val="0094220A"/>
    <w:rsid w:val="0099751C"/>
    <w:rsid w:val="009A108E"/>
    <w:rsid w:val="00A511E6"/>
    <w:rsid w:val="00A60467"/>
    <w:rsid w:val="00A71D4F"/>
    <w:rsid w:val="00AA62A2"/>
    <w:rsid w:val="00AD0E96"/>
    <w:rsid w:val="00AE18EC"/>
    <w:rsid w:val="00AF2793"/>
    <w:rsid w:val="00B1107B"/>
    <w:rsid w:val="00B3400C"/>
    <w:rsid w:val="00B40F77"/>
    <w:rsid w:val="00BB6FAB"/>
    <w:rsid w:val="00BC1381"/>
    <w:rsid w:val="00C00C94"/>
    <w:rsid w:val="00C52BFE"/>
    <w:rsid w:val="00C6410F"/>
    <w:rsid w:val="00CE2B49"/>
    <w:rsid w:val="00CF2E2A"/>
    <w:rsid w:val="00CF69B6"/>
    <w:rsid w:val="00D71DCB"/>
    <w:rsid w:val="00DB3E56"/>
    <w:rsid w:val="00E5140A"/>
    <w:rsid w:val="00F418B3"/>
    <w:rsid w:val="00F54984"/>
    <w:rsid w:val="00F95FD1"/>
    <w:rsid w:val="00FA1EC4"/>
    <w:rsid w:val="00FC1D37"/>
    <w:rsid w:val="00FC476F"/>
    <w:rsid w:val="00FE0DB0"/>
    <w:rsid w:val="00FE596E"/>
    <w:rsid w:val="02376492"/>
    <w:rsid w:val="08EC14AE"/>
    <w:rsid w:val="0BDE4CA4"/>
    <w:rsid w:val="0E9D64B9"/>
    <w:rsid w:val="0F837D37"/>
    <w:rsid w:val="12C56951"/>
    <w:rsid w:val="13246D90"/>
    <w:rsid w:val="163C546B"/>
    <w:rsid w:val="172D5EF0"/>
    <w:rsid w:val="17D13828"/>
    <w:rsid w:val="18007D47"/>
    <w:rsid w:val="181F07E7"/>
    <w:rsid w:val="1F75447D"/>
    <w:rsid w:val="1FC15556"/>
    <w:rsid w:val="20406DE4"/>
    <w:rsid w:val="224F1AA0"/>
    <w:rsid w:val="23EB2ACE"/>
    <w:rsid w:val="254717DC"/>
    <w:rsid w:val="26045CA5"/>
    <w:rsid w:val="27CE48C8"/>
    <w:rsid w:val="29851A5A"/>
    <w:rsid w:val="2A7426A5"/>
    <w:rsid w:val="2B3E79A6"/>
    <w:rsid w:val="2BE96151"/>
    <w:rsid w:val="2F0433DE"/>
    <w:rsid w:val="32CB31FB"/>
    <w:rsid w:val="33254831"/>
    <w:rsid w:val="33517D39"/>
    <w:rsid w:val="338B2AA6"/>
    <w:rsid w:val="34C1289E"/>
    <w:rsid w:val="3558548F"/>
    <w:rsid w:val="36BC24D1"/>
    <w:rsid w:val="37A714C3"/>
    <w:rsid w:val="37D23B80"/>
    <w:rsid w:val="37E1071B"/>
    <w:rsid w:val="3A255459"/>
    <w:rsid w:val="3E4F3E98"/>
    <w:rsid w:val="3F215A67"/>
    <w:rsid w:val="41D8729C"/>
    <w:rsid w:val="42514975"/>
    <w:rsid w:val="475C4ABE"/>
    <w:rsid w:val="48863C4D"/>
    <w:rsid w:val="4887691B"/>
    <w:rsid w:val="4C246803"/>
    <w:rsid w:val="5027258F"/>
    <w:rsid w:val="50AB003F"/>
    <w:rsid w:val="53AD0396"/>
    <w:rsid w:val="56033C51"/>
    <w:rsid w:val="56717E9B"/>
    <w:rsid w:val="568974C3"/>
    <w:rsid w:val="584103B9"/>
    <w:rsid w:val="5BE77FC6"/>
    <w:rsid w:val="5E3F63D0"/>
    <w:rsid w:val="63F05991"/>
    <w:rsid w:val="64C57DCE"/>
    <w:rsid w:val="690843DB"/>
    <w:rsid w:val="6B3828B5"/>
    <w:rsid w:val="6D0F1347"/>
    <w:rsid w:val="6DA07524"/>
    <w:rsid w:val="6E6666BE"/>
    <w:rsid w:val="6E75487F"/>
    <w:rsid w:val="6FA74F6D"/>
    <w:rsid w:val="72D40899"/>
    <w:rsid w:val="745A6FDA"/>
    <w:rsid w:val="793D367B"/>
    <w:rsid w:val="7A1209CD"/>
    <w:rsid w:val="7AC518B5"/>
    <w:rsid w:val="7D4A5C07"/>
    <w:rsid w:val="7E9C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ody Text Indent"/>
    <w:basedOn w:val="1"/>
    <w:link w:val="1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widowControl/>
      <w:pBdr>
        <w:bottom w:val="single" w:color="auto" w:sz="6" w:space="1"/>
      </w:pBdr>
      <w:tabs>
        <w:tab w:val="center" w:pos="4153"/>
        <w:tab w:val="right" w:pos="8306"/>
      </w:tabs>
      <w:snapToGrid w:val="0"/>
      <w:jc w:val="center"/>
    </w:pPr>
    <w:rPr>
      <w:rFonts w:ascii="Calibri" w:hAnsi="Calibri" w:cs="Arial" w:eastAsiaTheme="minorEastAsia"/>
      <w:kern w:val="0"/>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正文文本缩进 Char"/>
    <w:basedOn w:val="9"/>
    <w:link w:val="3"/>
    <w:autoRedefine/>
    <w:qFormat/>
    <w:uiPriority w:val="0"/>
    <w:rPr>
      <w:rFonts w:ascii="宋体" w:hAnsi="Times New Roman" w:eastAsia="宋体" w:cs="Times New Roman"/>
      <w:kern w:val="0"/>
      <w:sz w:val="28"/>
      <w:szCs w:val="20"/>
    </w:rPr>
  </w:style>
  <w:style w:type="paragraph" w:styleId="12">
    <w:name w:val="List Paragraph"/>
    <w:basedOn w:val="1"/>
    <w:autoRedefine/>
    <w:qFormat/>
    <w:uiPriority w:val="34"/>
    <w:pPr>
      <w:numPr>
        <w:ilvl w:val="0"/>
        <w:numId w:val="1"/>
      </w:numPr>
      <w:overflowPunct w:val="0"/>
      <w:autoSpaceDE w:val="0"/>
      <w:autoSpaceDN w:val="0"/>
      <w:spacing w:line="360" w:lineRule="auto"/>
      <w:jc w:val="left"/>
    </w:pPr>
    <w:rPr>
      <w:rFonts w:ascii="宋体" w:hAnsi="宋体"/>
      <w:color w:val="4472C4" w:themeColor="accent1"/>
      <w:sz w:val="24"/>
      <w14:textFill>
        <w14:solidFill>
          <w14:schemeClr w14:val="accent1"/>
        </w14:solidFill>
      </w14:textFill>
    </w:rPr>
  </w:style>
  <w:style w:type="character" w:customStyle="1" w:styleId="13">
    <w:name w:val="页眉 Char"/>
    <w:basedOn w:val="9"/>
    <w:link w:val="5"/>
    <w:autoRedefine/>
    <w:qFormat/>
    <w:uiPriority w:val="99"/>
    <w:rPr>
      <w:rFonts w:ascii="Calibri" w:hAnsi="Calibri" w:cs="Arial"/>
      <w:kern w:val="0"/>
      <w:sz w:val="18"/>
      <w:szCs w:val="18"/>
    </w:rPr>
  </w:style>
  <w:style w:type="paragraph" w:customStyle="1" w:styleId="14">
    <w:name w:val="Heading #2|1"/>
    <w:basedOn w:val="1"/>
    <w:autoRedefine/>
    <w:qFormat/>
    <w:uiPriority w:val="0"/>
    <w:pPr>
      <w:spacing w:line="478" w:lineRule="exact"/>
      <w:outlineLvl w:val="1"/>
    </w:pPr>
    <w:rPr>
      <w:rFonts w:ascii="宋体" w:hAnsi="宋体" w:cs="宋体"/>
      <w:b/>
      <w:bCs/>
      <w:sz w:val="22"/>
      <w:szCs w:val="22"/>
      <w:lang w:val="zh-TW" w:eastAsia="zh-TW" w:bidi="zh-TW"/>
    </w:rPr>
  </w:style>
  <w:style w:type="character" w:customStyle="1" w:styleId="15">
    <w:name w:val="页脚 Char"/>
    <w:basedOn w:val="9"/>
    <w:link w:val="4"/>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2851</Words>
  <Characters>3041</Characters>
  <Lines>48</Lines>
  <Paragraphs>13</Paragraphs>
  <TotalTime>4</TotalTime>
  <ScaleCrop>false</ScaleCrop>
  <LinksUpToDate>false</LinksUpToDate>
  <CharactersWithSpaces>3059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2022-03-21T01:14:00Z</dcterms:created>
  <dc:creator>455619257@qq.com</dc:creator>
  <cp:lastModifiedBy>sdljw</cp:lastModifiedBy>
  <cp:lastPrinted>2026-04-10T07:56:19Z</cp:lastPrinted>
  <dcterms:modified xsi:type="dcterms:W3CDTF">2026-04-10T07:57:34Z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69968A3A05954507A712D3F3BD0418D7</vt:lpwstr>
  </property>
  <property fmtid="{D5CDD505-2E9C-101B-9397-08002B2CF9AE}" pid="4" name="KSOTemplateDocerSaveRecord">
    <vt:lpwstr>eyJoZGlkIjoiNDg5YzQxZDBhZWVjYjkyOTZiMTI1NDQxZGMxNDVhYzMiLCJ1c2VySWQiOiIzNDk5MjExMTQifQ==</vt:lpwstr>
  </property>
</Properties>
</file>