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1"/>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2026年采购医疗设备一批项目</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JSZC-320412-CTZB-G2026-0035</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江苏常州经济开发区街道社区卫生服务中心</w:t>
      </w:r>
      <w:r>
        <w:rPr>
          <w:rFonts w:hint="eastAsia"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1"/>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1"/>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rFonts w:hint="eastAsia"/>
          <w:color w:val="000000"/>
          <w:sz w:val="32"/>
          <w:szCs w:val="32"/>
          <w:highlight w:val="none"/>
        </w:rPr>
        <w:t xml:space="preserve">:</w:t>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rFonts w:hint="eastAsia"/>
          <w:color w:val="000000"/>
          <w:sz w:val="32"/>
          <w:szCs w:val="32"/>
          <w:highlight w:val="none"/>
        </w:rPr>
        <w:t xml:space="preserve">:</w:t>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8</w:t>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rFonts w:hint="eastAsia"/>
          <w:color w:val="000000"/>
          <w:sz w:val="32"/>
          <w:szCs w:val="32"/>
          <w:highlight w:val="none"/>
        </w:rPr>
        <w:t xml:space="preserve">:</w:t>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rFonts w:hint="eastAsia"/>
          <w:color w:val="000000"/>
          <w:sz w:val="32"/>
          <w:szCs w:val="32"/>
          <w:highlight w:val="none"/>
        </w:rPr>
        <w:t xml:space="preserve">:</w:t>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3"/>
      <w:r/>
      <w:bookmarkStart w:id="3" w:name="_Hlt100754102"/>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rFonts w:hint="eastAsia"/>
          <w:color w:val="000000"/>
          <w:sz w:val="32"/>
          <w:szCs w:val="32"/>
          <w:highlight w:val="none"/>
        </w:rPr>
        <w:t xml:space="preserve">:</w:t>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rFonts w:hint="eastAsia"/>
          <w:color w:val="000000"/>
          <w:sz w:val="32"/>
          <w:szCs w:val="32"/>
          <w:highlight w:val="none"/>
        </w:rPr>
        <w:t xml:space="preserve">:</w:t>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rFonts w:hint="eastAsia"/>
          <w:color w:val="000000"/>
          <w:sz w:val="32"/>
          <w:szCs w:val="32"/>
          <w:highlight w:val="none"/>
        </w:rPr>
        <w:t xml:space="preserve">:</w:t>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江苏常州经济开发区街道社区卫生服务中心2026年采购医疗设备一批项目的潜在投标人应在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2026年</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lang w:val="en-US" w:eastAsia="zh-CN"/>
        </w:rPr>
        <w:t xml:space="preserve">4</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w:t>
      </w:r>
      <w:r>
        <w:rPr>
          <w:rFonts w:hint="eastAsia" w:ascii="仿宋" w:hAnsi="仿宋" w:eastAsia="仿宋" w:cs="宋体"/>
          <w:b/>
          <w:bCs/>
          <w:color w:val="000000"/>
          <w:sz w:val="32"/>
          <w:szCs w:val="32"/>
          <w:highlight w:val="none"/>
          <w:lang w:val="en-US" w:eastAsia="zh-CN"/>
        </w:rPr>
        <w:t xml:space="preserve">3</w:t>
      </w:r>
      <w:r>
        <w:rPr>
          <w:rFonts w:hint="eastAsia" w:ascii="仿宋" w:hAnsi="仿宋" w:eastAsia="仿宋" w:cs="宋体"/>
          <w:b/>
          <w:bCs/>
          <w:color w:val="000000"/>
          <w:sz w:val="32"/>
          <w:szCs w:val="32"/>
          <w:highlight w:val="none"/>
        </w:rPr>
        <w:t xml:space="preserve">日09点30分（北京时间）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3"/>
        <w:ind w:firstLine="643"/>
        <w:jc w:val="left"/>
        <w:spacing w:before="240" w:line="360" w:lineRule="auto"/>
        <w:rPr>
          <w:rFonts w:ascii="仿宋" w:hAnsi="仿宋" w:eastAsia="仿宋"/>
          <w:color w:val="000000"/>
          <w:sz w:val="32"/>
          <w:szCs w:val="32"/>
          <w:highlight w:val="none"/>
        </w:rPr>
      </w:pPr>
      <w:r/>
      <w:bookmarkStart w:id="5" w:name="_Toc28359079"/>
      <w:r/>
      <w:bookmarkStart w:id="6" w:name="_Toc28359002"/>
      <w:r/>
      <w:bookmarkStart w:id="7" w:name="_Toc35393621"/>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1"/>
        <w:ind w:firstLine="640"/>
        <w:spacing w:line="360" w:lineRule="auto"/>
        <w:rPr>
          <w:rFonts w:ascii="仿宋" w:hAnsi="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JSZC-320412-CTZB-G2026-0035</w:t>
      </w:r>
      <w:r>
        <w:rPr>
          <w:rFonts w:ascii="仿宋" w:hAnsi="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江苏常州经济开发区街道社区卫生服务中心2026年采购医疗设备一批项目</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30"/>
        <w:gridCol w:w="1724"/>
        <w:gridCol w:w="996"/>
        <w:gridCol w:w="4280"/>
      </w:tblGrid>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6" w:type="dxa"/>
            <w:vAlign w:val="center"/>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bCs/>
                <w:color w:val="000000"/>
                <w:sz w:val="32"/>
                <w:szCs w:val="32"/>
                <w:highlight w:val="none"/>
              </w:rPr>
            </w:pPr>
            <w:r>
              <w:rPr>
                <w:rFonts w:ascii="仿宋" w:hAnsi="仿宋"/>
                <w:bCs/>
                <w:color w:val="000000"/>
                <w:sz w:val="32"/>
                <w:szCs w:val="32"/>
                <w:highlight w:val="none"/>
              </w:rPr>
              <w:t xml:space="preserve">彩色多普勒超声系统</w:t>
            </w:r>
            <w:r>
              <w:rPr>
                <w:rFonts w:ascii="仿宋" w:hAnsi="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98</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restart"/>
            <w:textDirection w:val="lrTb"/>
            <w:noWrap w:val="false"/>
          </w:tcPr>
          <w:p>
            <w:pPr>
              <w:pStyle w:val="1071"/>
              <w:jc w:val="center"/>
              <w:rPr>
                <w:rFonts w:ascii="仿宋" w:hAnsi="仿宋" w:eastAsia="仿宋"/>
                <w:color w:val="000000"/>
                <w:sz w:val="32"/>
                <w:szCs w:val="32"/>
                <w:highlight w:val="none"/>
              </w:rPr>
            </w:pPr>
            <w:r/>
            <w:bookmarkStart w:id="10" w:name="OLE_LINK4"/>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02</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慢病筛防中心设备一批</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83</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03</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牙科综合治疗机等</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39.6</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04</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牙科影像板扫描仪等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29.5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05</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数字式心电图机等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21.5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06</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牙科X射线机等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15.5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1071"/>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s="宋体"/>
          <w:color w:val="000000"/>
          <w:sz w:val="32"/>
          <w:szCs w:val="32"/>
          <w:highlight w:val="none"/>
        </w:rPr>
        <w:t xml:space="preserve">本项目共分6个采购包，投标人可对本次采购的单个采购包或全部采购包进行响应，在投标文件中注明所投采购包并响应该采购包全部内容。每个供应商仅限中标一个采购包。</w:t>
      </w:r>
      <w:r>
        <w:rPr>
          <w:rFonts w:hint="eastAsia" w:ascii="仿宋" w:hAnsi="仿宋" w:eastAsia="仿宋" w:cs="宋体"/>
          <w:bCs/>
          <w:color w:val="000000"/>
          <w:spacing w:val="2"/>
          <w:sz w:val="32"/>
          <w:szCs w:val="32"/>
          <w:highlight w:val="none"/>
        </w:rPr>
        <w:t xml:space="preserve">6个采购包同时评审，按采购包1、采购包2、采购包3、采购包4、采购包5、采购包6的顺序依次确定中标人，前1采购包确定为第一中标候选人的投标人不再列为后续采购包的中标候选人，由第二中标候选人递补，以此类推。</w:t>
      </w:r>
      <w:r>
        <w:rPr>
          <w:rFonts w:ascii="仿宋" w:hAnsi="仿宋" w:eastAsia="仿宋" w:cs="宋体"/>
          <w:b/>
          <w:color w:val="000000"/>
          <w:spacing w:val="2"/>
          <w:sz w:val="32"/>
          <w:szCs w:val="32"/>
          <w:highlight w:val="none"/>
        </w:rPr>
      </w:r>
      <w:r/>
    </w:p>
    <w:p>
      <w:pPr>
        <w:pStyle w:val="1071"/>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合同履行期限：合同签订后30天内完成供货、安装、调试、培训，并通过采购人及有关部门（主管部门、财政部门）验收。</w:t>
      </w:r>
      <w:r>
        <w:rPr>
          <w:rFonts w:ascii="仿宋" w:hAnsi="仿宋" w:eastAsia="仿宋"/>
          <w:color w:val="000000"/>
          <w:sz w:val="32"/>
          <w:szCs w:val="32"/>
          <w:highlight w:val="none"/>
          <w:u w:val="singl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11" w:name="_Toc35393622"/>
      <w:r/>
      <w:bookmarkStart w:id="12" w:name="_Toc28359080"/>
      <w:r/>
      <w:bookmarkStart w:id="13" w:name="_Toc35393791"/>
      <w:r/>
      <w:bookmarkStart w:id="14" w:name="_Toc28359003"/>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Start w:id="15" w:name="_Toc28359081"/>
      <w:r/>
      <w:bookmarkStart w:id="16"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1"/>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1"/>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1"/>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1"/>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bookmarkEnd w:id="15"/>
      <w:r/>
      <w:bookmarkEnd w:id="16"/>
      <w:r/>
      <w:bookmarkStart w:id="17" w:name="_Toc35393792"/>
      <w:r/>
      <w:bookmarkStart w:id="18" w:name="_Toc35393623"/>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1</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2</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3</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5</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6</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ascii="仿宋" w:hAnsi="仿宋" w:eastAsia="仿宋"/>
          <w:color w:val="000000"/>
          <w:sz w:val="32"/>
          <w:szCs w:val="32"/>
          <w:highlight w:val="none"/>
        </w:rPr>
      </w:r>
      <w:r/>
    </w:p>
    <w:p>
      <w:pPr>
        <w:pStyle w:val="1071"/>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4</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rPr>
        <w:t xml:space="preserve">）投标人具有有效期内的辐射安全许可证。</w:t>
      </w:r>
      <w:r>
        <w:rPr>
          <w:rFonts w:hint="eastAsia"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7"/>
      <w:r/>
      <w:bookmarkEnd w:id="18"/>
      <w:r>
        <w:rPr>
          <w:rFonts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ascii="仿宋" w:hAnsi="仿宋" w:eastAsia="仿宋"/>
          <w:color w:val="000000"/>
          <w:sz w:val="32"/>
          <w:szCs w:val="32"/>
          <w:highlight w:val="none"/>
          <w:lang w:bidi="ar"/>
        </w:rPr>
        <w:t xml:space="preserve">：</w:t>
      </w:r>
      <w:r>
        <w:rPr>
          <w:rFonts w:hint="eastAsia" w:ascii="仿宋" w:hAnsi="仿宋" w:eastAsia="仿宋"/>
          <w:color w:val="000000"/>
          <w:sz w:val="32"/>
          <w:szCs w:val="32"/>
          <w:highlight w:val="none"/>
          <w:lang w:bidi="ar"/>
        </w:rPr>
        <w:t xml:space="preserve">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1"/>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1"/>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bookmarkStart w:id="19" w:name="_Toc28359082"/>
      <w:r/>
      <w:bookmarkStart w:id="20" w:name="_Toc28359005"/>
      <w:r/>
      <w:bookmarkStart w:id="21" w:name="_Toc35393793"/>
      <w:r/>
      <w:bookmarkStart w:id="22" w:name="_Toc35393624"/>
      <w:r>
        <w:rPr>
          <w:rFonts w:ascii="仿宋" w:hAnsi="仿宋" w:eastAsia="仿宋"/>
          <w:color w:val="000000"/>
          <w:sz w:val="32"/>
          <w:szCs w:val="32"/>
          <w:highlight w:val="none"/>
        </w:rPr>
        <w:t xml:space="preserve">四、提交投标文件</w:t>
      </w:r>
      <w:bookmarkEnd w:id="19"/>
      <w:r/>
      <w:bookmarkEnd w:id="20"/>
      <w:r>
        <w:rPr>
          <w:rFonts w:ascii="仿宋" w:hAnsi="仿宋" w:eastAsia="仿宋"/>
          <w:color w:val="000000"/>
          <w:sz w:val="32"/>
          <w:szCs w:val="32"/>
          <w:highlight w:val="none"/>
        </w:rPr>
        <w:t xml:space="preserve">截止时间、开标时间和地点</w:t>
      </w:r>
      <w:bookmarkEnd w:id="21"/>
      <w:r/>
      <w:bookmarkEnd w:id="22"/>
      <w:r>
        <w:rPr>
          <w:rFonts w:ascii="仿宋" w:hAnsi="仿宋" w:eastAsia="仿宋"/>
          <w:color w:val="000000"/>
          <w:sz w:val="32"/>
          <w:szCs w:val="32"/>
          <w:highlight w:val="none"/>
        </w:rPr>
      </w:r>
      <w:r/>
    </w:p>
    <w:p>
      <w:pPr>
        <w:pStyle w:val="1071"/>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bidi="ar"/>
        </w:rPr>
        <w:t xml:space="preserve">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23</w:t>
      </w:r>
      <w:r>
        <w:rPr>
          <w:rFonts w:hint="eastAsia" w:ascii="仿宋" w:hAnsi="仿宋" w:eastAsia="仿宋" w:cs="宋体"/>
          <w:color w:val="000000"/>
          <w:sz w:val="32"/>
          <w:szCs w:val="32"/>
          <w:highlight w:val="none"/>
        </w:rPr>
        <w:t xml:space="preserve">日0</w:t>
      </w:r>
      <w:r>
        <w:rPr>
          <w:rFonts w:ascii="仿宋" w:hAnsi="仿宋" w:eastAsia="仿宋" w:cs="宋体"/>
          <w:color w:val="000000"/>
          <w:sz w:val="32"/>
          <w:szCs w:val="32"/>
          <w:highlight w:val="none"/>
        </w:rPr>
        <w:t xml:space="preserve">9</w:t>
      </w:r>
      <w:r>
        <w:rPr>
          <w:rFonts w:hint="eastAsia" w:ascii="仿宋" w:hAnsi="仿宋" w:eastAsia="仿宋"/>
          <w:color w:val="000000"/>
          <w:sz w:val="32"/>
          <w:szCs w:val="32"/>
          <w:highlight w:val="none"/>
          <w:lang w:bidi="ar"/>
        </w:rPr>
        <w:t xml:space="preserve">点3</w:t>
      </w:r>
      <w:r>
        <w:rPr>
          <w:rFonts w:ascii="仿宋" w:hAnsi="仿宋" w:eastAsia="仿宋"/>
          <w:color w:val="000000"/>
          <w:sz w:val="32"/>
          <w:szCs w:val="32"/>
          <w:highlight w:val="none"/>
          <w:lang w:bidi="ar"/>
        </w:rPr>
        <w:t xml:space="preserve">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1"/>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3" w:name="_Toc28359007"/>
      <w:r/>
      <w:bookmarkStart w:id="24" w:name="_Toc35393794"/>
      <w:r/>
      <w:bookmarkStart w:id="25" w:name="_Toc28359084"/>
      <w:r/>
      <w:bookmarkStart w:id="26" w:name="_Toc35393625"/>
      <w:r>
        <w:rPr>
          <w:rFonts w:ascii="仿宋" w:hAnsi="仿宋" w:eastAsia="仿宋"/>
          <w:color w:val="000000"/>
          <w:sz w:val="32"/>
          <w:szCs w:val="32"/>
          <w:highlight w:val="none"/>
        </w:rPr>
        <w:t xml:space="preserve">五、公告期限</w:t>
      </w:r>
      <w:bookmarkEnd w:id="23"/>
      <w:r/>
      <w:bookmarkEnd w:id="24"/>
      <w:r/>
      <w:bookmarkEnd w:id="25"/>
      <w:r/>
      <w:bookmarkEnd w:id="26"/>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7" w:name="_Toc35393795"/>
      <w:r/>
      <w:bookmarkStart w:id="28" w:name="_Toc35393626"/>
      <w:r>
        <w:rPr>
          <w:rFonts w:ascii="仿宋" w:hAnsi="仿宋" w:eastAsia="仿宋"/>
          <w:color w:val="000000"/>
          <w:sz w:val="32"/>
          <w:szCs w:val="32"/>
          <w:highlight w:val="none"/>
        </w:rPr>
        <w:t xml:space="preserve">六、其他补充事宜</w:t>
      </w:r>
      <w:bookmarkEnd w:id="27"/>
      <w:r/>
      <w:bookmarkEnd w:id="28"/>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1"/>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3"/>
        <w:ind w:firstLine="643"/>
        <w:jc w:val="left"/>
        <w:spacing w:before="0" w:line="360" w:lineRule="auto"/>
        <w:rPr>
          <w:rFonts w:ascii="仿宋" w:hAnsi="仿宋" w:eastAsia="仿宋"/>
          <w:color w:val="000000"/>
          <w:sz w:val="32"/>
          <w:szCs w:val="32"/>
          <w:highlight w:val="none"/>
        </w:rPr>
      </w:pPr>
      <w:r/>
      <w:bookmarkStart w:id="29" w:name="_Toc28359085"/>
      <w:r/>
      <w:bookmarkStart w:id="30" w:name="_Toc28359008"/>
      <w:r/>
      <w:bookmarkStart w:id="31" w:name="_Toc35393627"/>
      <w:r/>
      <w:bookmarkStart w:id="32" w:name="_Toc35393796"/>
      <w:r>
        <w:rPr>
          <w:rFonts w:ascii="仿宋" w:hAnsi="仿宋" w:eastAsia="仿宋"/>
          <w:color w:val="000000"/>
          <w:sz w:val="32"/>
          <w:szCs w:val="32"/>
          <w:highlight w:val="none"/>
        </w:rPr>
        <w:t xml:space="preserve">七、对本次招标提出询问，请按以下方式联系。</w:t>
      </w:r>
      <w:bookmarkEnd w:id="29"/>
      <w:r/>
      <w:bookmarkEnd w:id="30"/>
      <w:r/>
      <w:bookmarkEnd w:id="31"/>
      <w:r/>
      <w:bookmarkEnd w:id="32"/>
      <w:r>
        <w:rPr>
          <w:rFonts w:ascii="仿宋" w:hAnsi="仿宋" w:eastAsia="仿宋"/>
          <w:color w:val="000000"/>
          <w:sz w:val="32"/>
          <w:szCs w:val="32"/>
          <w:highlight w:val="none"/>
        </w:rPr>
      </w:r>
      <w:r/>
    </w:p>
    <w:p>
      <w:pPr>
        <w:pStyle w:val="1071"/>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1.采购人信息</w:t>
      </w:r>
      <w:r>
        <w:rPr>
          <w:rFonts w:hint="eastAsia" w:ascii="仿宋" w:hAnsi="仿宋" w:eastAsia="仿宋"/>
          <w:b/>
          <w:bCs/>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3" w:name="_Toc28359009"/>
      <w:r/>
      <w:bookmarkStart w:id="34" w:name="_Toc28359086"/>
      <w:r>
        <w:rPr>
          <w:rFonts w:hint="eastAsia" w:ascii="仿宋" w:hAnsi="仿宋" w:eastAsia="仿宋"/>
          <w:color w:val="000000"/>
          <w:sz w:val="32"/>
          <w:szCs w:val="32"/>
          <w:highlight w:val="none"/>
        </w:rPr>
        <w:t xml:space="preserve">单位名称：江苏常州经济开发区街道社区卫生服务中心</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单位地址：经开区潞城花苑71栋</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联系人：钟女士</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联系电话：0519-88401897</w:t>
      </w:r>
      <w:r>
        <w:rPr>
          <w:rFonts w:hint="eastAsia" w:ascii="仿宋" w:hAnsi="仿宋" w:eastAsia="仿宋"/>
          <w:color w:val="000000"/>
          <w:sz w:val="32"/>
          <w:szCs w:val="32"/>
          <w:highlight w:val="none"/>
        </w:rPr>
      </w:r>
      <w:r/>
    </w:p>
    <w:p>
      <w:pPr>
        <w:pStyle w:val="1071"/>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2.采购代理机构信息</w:t>
      </w:r>
      <w:bookmarkEnd w:id="33"/>
      <w:r/>
      <w:bookmarkEnd w:id="34"/>
      <w:r>
        <w:rPr>
          <w:rFonts w:hint="eastAsia" w:ascii="仿宋" w:hAnsi="仿宋" w:eastAsia="仿宋"/>
          <w:b/>
          <w:bCs/>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5" w:name="_Toc28359010"/>
      <w:r/>
      <w:bookmarkStart w:id="36"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1"/>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5"/>
      <w:r/>
      <w:bookmarkEnd w:id="36"/>
      <w:r>
        <w:rPr>
          <w:rFonts w:hint="eastAsia"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hint="eastAsia" w:ascii="仿宋" w:hAnsi="仿宋" w:eastAsia="仿宋"/>
          <w:color w:val="000000"/>
          <w:sz w:val="32"/>
          <w:szCs w:val="32"/>
          <w:highlight w:val="none"/>
        </w:rPr>
      </w:r>
      <w:r/>
    </w:p>
    <w:p>
      <w:pPr>
        <w:pStyle w:val="1071"/>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71"/>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7" w:name="_Toc305158928"/>
      <w:r/>
      <w:bookmarkStart w:id="38" w:name="_Toc264969275"/>
      <w:r/>
      <w:bookmarkStart w:id="39" w:name="_Toc150774783"/>
      <w:r/>
      <w:bookmarkStart w:id="40" w:name="_Toc265228423"/>
      <w:r/>
      <w:bookmarkStart w:id="41" w:name="_Toc353873938"/>
      <w:r/>
      <w:bookmarkStart w:id="42" w:name="_Toc99301420"/>
      <w:r/>
      <w:bookmarkStart w:id="43" w:name="_Toc226965856"/>
      <w:r/>
      <w:bookmarkStart w:id="44" w:name="_Toc353825548"/>
      <w:r/>
      <w:bookmarkStart w:id="45" w:name="_Toc512937850"/>
      <w:r/>
      <w:bookmarkStart w:id="46" w:name="_Toc127161488"/>
      <w:r/>
      <w:bookmarkStart w:id="47" w:name="_Toc127151777"/>
      <w:r/>
      <w:bookmarkStart w:id="48" w:name="_Toc305158854"/>
      <w:r/>
      <w:bookmarkStart w:id="49" w:name="_Toc195842950"/>
      <w:r>
        <w:rPr>
          <w:rFonts w:ascii="宋体" w:hAnsi="宋体"/>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color w:val="000000"/>
          <w:sz w:val="32"/>
          <w:szCs w:val="32"/>
          <w:highlight w:val="none"/>
        </w:rPr>
      </w:r>
      <w:r/>
    </w:p>
    <w:p>
      <w:pPr>
        <w:pStyle w:val="1073"/>
        <w:spacing w:before="0" w:line="360" w:lineRule="auto"/>
        <w:tabs>
          <w:tab w:val="center" w:pos="4592" w:leader="none"/>
          <w:tab w:val="left" w:pos="7860" w:leader="none"/>
        </w:tabs>
        <w:rPr>
          <w:rFonts w:ascii="宋体" w:hAnsi="宋体" w:eastAsia="宋体"/>
          <w:color w:val="000000"/>
          <w:sz w:val="28"/>
          <w:highlight w:val="none"/>
        </w:rPr>
      </w:pPr>
      <w:r/>
      <w:bookmarkStart w:id="50" w:name="_Toc150774724"/>
      <w:r/>
      <w:bookmarkStart w:id="51" w:name="_Toc150480757"/>
      <w:r/>
      <w:bookmarkStart w:id="52" w:name="_Toc151193833"/>
      <w:r/>
      <w:bookmarkStart w:id="53" w:name="_Toc164351613"/>
      <w:r/>
      <w:bookmarkStart w:id="54" w:name="_Toc151193761"/>
      <w:r/>
      <w:bookmarkStart w:id="55" w:name="_Toc520356144"/>
      <w:r/>
      <w:bookmarkStart w:id="56" w:name="_Toc226965792"/>
      <w:r/>
      <w:bookmarkStart w:id="57" w:name="_Toc226965709"/>
      <w:r/>
      <w:bookmarkStart w:id="58" w:name="_Toc151193907"/>
      <w:r/>
      <w:bookmarkStart w:id="59" w:name="_Toc127151519"/>
      <w:r/>
      <w:bookmarkStart w:id="60" w:name="_Toc149720812"/>
      <w:r/>
      <w:bookmarkStart w:id="61" w:name="_Toc164608633"/>
      <w:r/>
      <w:bookmarkStart w:id="62" w:name="_Toc142311021"/>
      <w:r/>
      <w:bookmarkStart w:id="63" w:name="_Toc150509270"/>
      <w:r/>
      <w:bookmarkStart w:id="64" w:name="_Toc164229360"/>
      <w:r/>
      <w:bookmarkStart w:id="65" w:name="_Toc127151720"/>
      <w:r/>
      <w:bookmarkStart w:id="66" w:name="_Toc151190146"/>
      <w:r/>
      <w:bookmarkStart w:id="67" w:name="_Toc151193689"/>
      <w:r/>
      <w:bookmarkStart w:id="68" w:name="_Toc151193617"/>
      <w:r/>
      <w:bookmarkStart w:id="69" w:name="_Toc226337215"/>
      <w:r/>
      <w:bookmarkStart w:id="70" w:name="_Toc195842884"/>
      <w:r/>
      <w:bookmarkStart w:id="71" w:name="_Toc164229214"/>
      <w:r/>
      <w:bookmarkStart w:id="72" w:name="_Toc226309763"/>
      <w:r/>
      <w:bookmarkStart w:id="73" w:name="_Toc127161433"/>
      <w:r/>
      <w:bookmarkStart w:id="74" w:name="_Toc164608788"/>
      <w:r/>
      <w:bookmarkStart w:id="75"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1"/>
        <w:jc w:val="center"/>
        <w:rPr>
          <w:rFonts w:ascii="宋体" w:hAnsi="宋体"/>
          <w:b/>
          <w:color w:val="000000"/>
          <w:sz w:val="28"/>
          <w:szCs w:val="28"/>
          <w:highlight w:val="none"/>
        </w:rPr>
      </w:pPr>
      <w:r>
        <w:rPr>
          <w:rFonts w:ascii="宋体" w:hAnsi="宋体"/>
          <w:b/>
          <w:color w:val="000000"/>
          <w:sz w:val="28"/>
          <w:szCs w:val="28"/>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0"/>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0"/>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 01 包为单一产品采购项目。</w:t>
            </w:r>
            <w:r>
              <w:rPr>
                <w:rFonts w:hAnsi="宋体" w:cs="宋体"/>
                <w:color w:val="000000"/>
                <w:sz w:val="24"/>
                <w:szCs w:val="24"/>
                <w:highlight w:val="none"/>
              </w:rPr>
            </w:r>
            <w:r/>
          </w:p>
          <w:p>
            <w:pPr>
              <w:pStyle w:val="1071"/>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本项目_02/03/04/05/06_包为非单一产品采购项目，</w:t>
            </w:r>
            <w:r>
              <w:rPr>
                <w:rFonts w:hint="eastAsia" w:ascii="宋体" w:hAnsi="宋体" w:cs="宋体"/>
                <w:b/>
                <w:bCs/>
                <w:color w:val="000000"/>
                <w:sz w:val="24"/>
                <w:highlight w:val="none"/>
              </w:rPr>
              <w:t xml:space="preserve">包02</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血压脉搏测量装置</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包03</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牙科综合治疗机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包04</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口腔曲面体层X射线机；包05</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屈光筛查仪；包06</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呼吸机。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0"/>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1"/>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1"/>
              <w:jc w:val="left"/>
              <w:spacing w:line="360" w:lineRule="exact"/>
              <w:rPr>
                <w:rFonts w:hint="eastAsia" w:ascii="宋体" w:hAnsi="宋体" w:cs="宋体"/>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position w:val="2"/>
                <w:sz w:val="16"/>
                <w:highlight w:val="none"/>
              </w:rPr>
              <w:instrText xml:space="preserve">√</w:instrText>
            </w:r>
            <w:r>
              <w:rPr>
                <w:rFonts w:hint="eastAsia"/>
                <w:color w:val="000000"/>
                <w:sz w:val="24"/>
                <w:highlight w:val="none"/>
              </w:rPr>
              <w:instrText xml:space="preserve">)</w:instrText>
            </w:r>
            <w:r>
              <w:rPr>
                <w:rFonts w:hint="eastAsia"/>
                <w:color w:val="000000"/>
                <w:sz w:val="24"/>
                <w:highlight w:val="none"/>
              </w:rPr>
              <w:fldChar w:fldCharType="end"/>
            </w:r>
            <w:r>
              <w:t xml:space="preserve">√</w:t>
            </w:r>
            <w:r>
              <w:rPr>
                <w:rFonts w:hint="eastAsia"/>
                <w:color w:val="000000"/>
                <w:sz w:val="24"/>
                <w:highlight w:val="none"/>
              </w:rPr>
            </w:r>
            <w:r/>
            <w:r>
              <w:rPr>
                <w:rFonts w:hint="eastAsia"/>
                <w:color w:val="000000"/>
                <w:sz w:val="24"/>
                <w:highlight w:val="none"/>
              </w:rPr>
            </w:r>
            <w:r>
              <w:rPr>
                <w:rFonts w:hint="eastAsia"/>
                <w:color w:val="000000"/>
                <w:sz w:val="24"/>
                <w:highlight w:val="none"/>
              </w:rPr>
              <w:t xml:space="preserve">不适用。</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Cs/>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Cs/>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1"/>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1"/>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1"/>
        <w:jc w:val="center"/>
        <w:spacing w:before="240" w:after="240"/>
        <w:rPr>
          <w:rFonts w:hint="eastAsia" w:ascii="宋体" w:hAnsi="宋体" w:cs="宋体"/>
          <w:b/>
          <w:color w:val="000000"/>
          <w:sz w:val="28"/>
          <w:szCs w:val="28"/>
          <w:highlight w:val="none"/>
        </w:rPr>
      </w:pPr>
      <w:r/>
      <w:bookmarkStart w:id="76" w:name="_Toc226337213"/>
      <w:r/>
      <w:bookmarkStart w:id="77" w:name="_Toc353873932"/>
      <w:r/>
      <w:bookmarkStart w:id="78" w:name="_Toc226965790"/>
      <w:r/>
      <w:bookmarkStart w:id="79" w:name="_Toc305158785"/>
      <w:r/>
      <w:bookmarkStart w:id="80" w:name="_Toc265228355"/>
      <w:r/>
      <w:bookmarkStart w:id="81" w:name="_Toc195842882"/>
      <w:r/>
      <w:bookmarkStart w:id="82" w:name="_Toc353873662"/>
      <w:r/>
      <w:bookmarkStart w:id="83" w:name="_Toc142311019"/>
      <w:r/>
      <w:bookmarkStart w:id="84" w:name="_Toc353825542"/>
      <w:r/>
      <w:bookmarkStart w:id="85" w:name="_Toc150480755"/>
      <w:r/>
      <w:bookmarkStart w:id="86" w:name="_Toc127151517"/>
      <w:r/>
      <w:bookmarkStart w:id="87" w:name="_Toc305158859"/>
      <w:r/>
      <w:bookmarkStart w:id="88" w:name="_Toc150774722"/>
      <w:r/>
      <w:bookmarkStart w:id="89" w:name="_Toc264969207"/>
      <w:r>
        <w:rPr>
          <w:rFonts w:hint="eastAsia" w:ascii="宋体" w:hAnsi="宋体" w:cs="宋体"/>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color w:val="000000"/>
          <w:sz w:val="28"/>
          <w:szCs w:val="28"/>
          <w:highlight w:val="none"/>
        </w:rPr>
      </w:r>
      <w:r/>
    </w:p>
    <w:p>
      <w:pPr>
        <w:pStyle w:val="1073"/>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0" w:name="_Toc150774618"/>
      <w:r/>
      <w:bookmarkStart w:id="91" w:name="_Toc305158786"/>
      <w:r/>
      <w:bookmarkStart w:id="92" w:name="_Toc226965708"/>
      <w:r/>
      <w:bookmarkStart w:id="93" w:name="_Toc265228356"/>
      <w:r/>
      <w:bookmarkStart w:id="94" w:name="_Toc151190145"/>
      <w:r/>
      <w:bookmarkStart w:id="95" w:name="_Toc142311020"/>
      <w:r/>
      <w:bookmarkStart w:id="96" w:name="_Toc150774723"/>
      <w:r/>
      <w:bookmarkStart w:id="97" w:name="_Toc150509269"/>
      <w:r/>
      <w:bookmarkStart w:id="98" w:name="_Toc127151518"/>
      <w:r/>
      <w:bookmarkStart w:id="99" w:name="_Toc151193832"/>
      <w:r/>
      <w:bookmarkStart w:id="100" w:name="_Toc264969208"/>
      <w:r/>
      <w:bookmarkStart w:id="101" w:name="_Toc151193760"/>
      <w:r/>
      <w:bookmarkStart w:id="102" w:name="_Toc151193616"/>
      <w:r/>
      <w:bookmarkStart w:id="103" w:name="_Toc305158860"/>
      <w:r/>
      <w:bookmarkStart w:id="104" w:name="_Toc150480756"/>
      <w:r/>
      <w:bookmarkStart w:id="105" w:name="_Toc151193688"/>
      <w:r/>
      <w:bookmarkStart w:id="106" w:name="_Toc226965791"/>
      <w:r/>
      <w:bookmarkStart w:id="107" w:name="_Toc520356143"/>
      <w:r/>
      <w:bookmarkStart w:id="108" w:name="_Toc195842883"/>
      <w:r/>
      <w:bookmarkStart w:id="109" w:name="_Toc151193906"/>
      <w:r/>
      <w:bookmarkStart w:id="110" w:name="_Toc226337214"/>
      <w:r/>
      <w:bookmarkStart w:id="111" w:name="_Toc226309762"/>
      <w:r>
        <w:rPr>
          <w:rFonts w:hint="eastAsia" w:ascii="宋体" w:hAnsi="宋体" w:eastAsia="宋体" w:cs="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2" w:name="_Toc265228357"/>
      <w:r/>
      <w:bookmarkStart w:id="113" w:name="_Toc305158861"/>
      <w:r/>
      <w:bookmarkStart w:id="114" w:name="_Toc264969209"/>
      <w:r/>
      <w:bookmarkStart w:id="115" w:name="_Toc305158787"/>
      <w:r>
        <w:rPr>
          <w:rFonts w:hint="eastAsia" w:ascii="宋体" w:hAnsi="宋体" w:cs="宋体"/>
          <w:b/>
          <w:color w:val="000000"/>
          <w:sz w:val="24"/>
          <w:highlight w:val="none"/>
        </w:rPr>
        <w:t xml:space="preserve">采购人、采购代理机构、投标人</w:t>
      </w:r>
      <w:bookmarkEnd w:id="112"/>
      <w:r/>
      <w:bookmarkEnd w:id="113"/>
      <w:r/>
      <w:bookmarkEnd w:id="114"/>
      <w:r/>
      <w:bookmarkEnd w:id="115"/>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6" w:name="_Toc164229361"/>
      <w:r/>
      <w:bookmarkStart w:id="117" w:name="_Toc151193762"/>
      <w:r/>
      <w:bookmarkStart w:id="118" w:name="_Toc226309764"/>
      <w:r/>
      <w:bookmarkStart w:id="119" w:name="_Toc150774725"/>
      <w:r/>
      <w:bookmarkStart w:id="120" w:name="_Toc265228358"/>
      <w:r/>
      <w:bookmarkStart w:id="121" w:name="_Toc226965793"/>
      <w:r/>
      <w:bookmarkStart w:id="122" w:name="_Toc305158862"/>
      <w:r/>
      <w:bookmarkStart w:id="123" w:name="_Toc151190147"/>
      <w:r/>
      <w:bookmarkStart w:id="124" w:name="_Toc151193690"/>
      <w:r/>
      <w:bookmarkStart w:id="125" w:name="_Toc150480758"/>
      <w:r/>
      <w:bookmarkStart w:id="126" w:name="_Toc151193834"/>
      <w:r/>
      <w:bookmarkStart w:id="127" w:name="_Toc149720813"/>
      <w:r/>
      <w:bookmarkStart w:id="128" w:name="_Toc127151721"/>
      <w:r/>
      <w:bookmarkStart w:id="129" w:name="_Toc164351614"/>
      <w:r/>
      <w:bookmarkStart w:id="130" w:name="_Toc151193908"/>
      <w:r/>
      <w:bookmarkStart w:id="131" w:name="_Toc226337216"/>
      <w:r/>
      <w:bookmarkStart w:id="132" w:name="_Toc150774620"/>
      <w:r/>
      <w:bookmarkStart w:id="133" w:name="_Toc150509271"/>
      <w:r/>
      <w:bookmarkStart w:id="134" w:name="_Toc151193618"/>
      <w:r/>
      <w:bookmarkStart w:id="135" w:name="_Toc127161434"/>
      <w:r/>
      <w:bookmarkStart w:id="136" w:name="_Toc164608634"/>
      <w:r/>
      <w:bookmarkStart w:id="137" w:name="_Toc164608789"/>
      <w:r/>
      <w:bookmarkStart w:id="138" w:name="_Toc305158788"/>
      <w:r/>
      <w:bookmarkStart w:id="139" w:name="_Toc195842885"/>
      <w:r/>
      <w:bookmarkStart w:id="140" w:name="_Toc264969210"/>
      <w:r/>
      <w:bookmarkStart w:id="141" w:name="_Toc142311022"/>
      <w:r/>
      <w:bookmarkStart w:id="142" w:name="_Toc164229215"/>
      <w:r/>
      <w:bookmarkStart w:id="143" w:name="_Toc226965710"/>
      <w:r/>
      <w:bookmarkStart w:id="144" w:name="_Toc127151520"/>
      <w:r>
        <w:rPr>
          <w:rFonts w:hint="eastAsia" w:ascii="宋体" w:hAnsi="宋体" w:cs="宋体"/>
          <w:b/>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151193910"/>
      <w:r/>
      <w:bookmarkStart w:id="146" w:name="_Toc305158790"/>
      <w:r/>
      <w:bookmarkStart w:id="147" w:name="_Toc305158864"/>
      <w:r/>
      <w:bookmarkStart w:id="148" w:name="_Toc195842887"/>
      <w:r/>
      <w:bookmarkStart w:id="149" w:name="_Toc226309766"/>
      <w:r/>
      <w:bookmarkStart w:id="150" w:name="_Toc150774727"/>
      <w:r/>
      <w:bookmarkStart w:id="151" w:name="_Toc226965712"/>
      <w:r/>
      <w:bookmarkStart w:id="152" w:name="_Toc226965795"/>
      <w:r/>
      <w:bookmarkStart w:id="153" w:name="_Toc265228360"/>
      <w:r/>
      <w:bookmarkStart w:id="154" w:name="_Toc520356146"/>
      <w:r/>
      <w:bookmarkStart w:id="155" w:name="_Toc151193620"/>
      <w:r/>
      <w:bookmarkStart w:id="156" w:name="_Toc150509273"/>
      <w:r/>
      <w:bookmarkStart w:id="157" w:name="_Toc151193836"/>
      <w:r/>
      <w:bookmarkStart w:id="158" w:name="_Toc142311024"/>
      <w:r/>
      <w:bookmarkStart w:id="159" w:name="_Toc127151522"/>
      <w:r/>
      <w:bookmarkStart w:id="160" w:name="_Toc151190149"/>
      <w:r/>
      <w:bookmarkStart w:id="161" w:name="_Toc264969212"/>
      <w:r/>
      <w:bookmarkStart w:id="162" w:name="_Toc150774622"/>
      <w:r/>
      <w:bookmarkStart w:id="163" w:name="_Toc151193764"/>
      <w:r/>
      <w:bookmarkStart w:id="164" w:name="_Toc226337218"/>
      <w:r/>
      <w:bookmarkStart w:id="165" w:name="_Toc150480760"/>
      <w:r/>
      <w:bookmarkStart w:id="166" w:name="_Toc151193692"/>
      <w:r>
        <w:rPr>
          <w:rFonts w:hint="eastAsia" w:ascii="宋体" w:hAnsi="宋体" w:cs="宋体"/>
          <w:color w:val="000000"/>
          <w:sz w:val="28"/>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1"/>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1"/>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1"/>
        <w:ind w:firstLine="560"/>
        <w:spacing w:line="360" w:lineRule="auto"/>
        <w:tabs>
          <w:tab w:val="left" w:pos="1080" w:leader="none"/>
        </w:tabs>
        <w:rPr>
          <w:rFonts w:hint="eastAsia" w:ascii="宋体" w:hAnsi="宋体" w:cs="宋体"/>
          <w:color w:val="000000"/>
          <w:sz w:val="28"/>
          <w:highlight w:val="none"/>
        </w:rPr>
      </w:pPr>
      <w:r/>
      <w:bookmarkStart w:id="167" w:name="_1.8_计量单位"/>
      <w:r/>
      <w:bookmarkEnd w:id="167"/>
      <w:r>
        <w:rPr>
          <w:rFonts w:hint="eastAsia" w:ascii="宋体" w:hAnsi="宋体" w:cs="宋体"/>
          <w:color w:val="000000"/>
          <w:sz w:val="28"/>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8" w:name="_Toc164608792"/>
      <w:r/>
      <w:bookmarkStart w:id="169" w:name="_Toc150774728"/>
      <w:r/>
      <w:bookmarkStart w:id="170" w:name="_Toc265228361"/>
      <w:r/>
      <w:bookmarkStart w:id="171" w:name="_Toc149720816"/>
      <w:r/>
      <w:bookmarkStart w:id="172" w:name="_Toc305158791"/>
      <w:r/>
      <w:bookmarkStart w:id="173" w:name="_Toc305158865"/>
      <w:r/>
      <w:bookmarkStart w:id="174" w:name="_Toc151193693"/>
      <w:r/>
      <w:bookmarkStart w:id="175" w:name="_Toc151193837"/>
      <w:r/>
      <w:bookmarkStart w:id="176" w:name="_Toc226337219"/>
      <w:r/>
      <w:bookmarkStart w:id="177" w:name="_Toc226309767"/>
      <w:r/>
      <w:bookmarkStart w:id="178" w:name="_Toc142311025"/>
      <w:r/>
      <w:bookmarkStart w:id="179" w:name="_Toc150480761"/>
      <w:r/>
      <w:bookmarkStart w:id="180" w:name="_Toc264969213"/>
      <w:r/>
      <w:bookmarkStart w:id="181" w:name="_Toc164229218"/>
      <w:r/>
      <w:bookmarkStart w:id="182" w:name="_Toc151193911"/>
      <w:r/>
      <w:bookmarkStart w:id="183" w:name="_Toc151193621"/>
      <w:r/>
      <w:bookmarkStart w:id="184" w:name="_Toc127151724"/>
      <w:r/>
      <w:bookmarkStart w:id="185" w:name="_Toc127161437"/>
      <w:r/>
      <w:bookmarkStart w:id="186" w:name="_Toc164229364"/>
      <w:r/>
      <w:bookmarkStart w:id="187" w:name="_Toc164608637"/>
      <w:r/>
      <w:bookmarkStart w:id="188" w:name="_Toc151190150"/>
      <w:r/>
      <w:bookmarkStart w:id="189" w:name="_Toc151193765"/>
      <w:r/>
      <w:bookmarkStart w:id="190" w:name="_Toc127151523"/>
      <w:r/>
      <w:bookmarkStart w:id="191" w:name="_Toc226965713"/>
      <w:r/>
      <w:bookmarkStart w:id="192" w:name="_Toc226965796"/>
      <w:r/>
      <w:bookmarkStart w:id="193" w:name="_Toc150509274"/>
      <w:r/>
      <w:bookmarkStart w:id="194" w:name="_Toc150774623"/>
      <w:r/>
      <w:bookmarkStart w:id="195" w:name="_Toc195842888"/>
      <w:r/>
      <w:bookmarkStart w:id="196" w:name="_Toc520356147"/>
      <w:r/>
      <w:bookmarkStart w:id="197" w:name="_Toc164351617"/>
      <w:r>
        <w:rPr>
          <w:rFonts w:hint="eastAsia" w:ascii="宋体" w:hAnsi="宋体" w:cs="宋体"/>
          <w:b/>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198" w:name="_Toc305158794"/>
      <w:r/>
      <w:bookmarkStart w:id="199" w:name="_Toc151193696"/>
      <w:r/>
      <w:bookmarkStart w:id="200" w:name="_Toc520356150"/>
      <w:r/>
      <w:bookmarkStart w:id="201" w:name="_Toc127151526"/>
      <w:r/>
      <w:bookmarkStart w:id="202" w:name="_Toc226965716"/>
      <w:r/>
      <w:bookmarkStart w:id="203" w:name="_Toc150774626"/>
      <w:r/>
      <w:bookmarkStart w:id="204" w:name="_Toc151193768"/>
      <w:r/>
      <w:bookmarkStart w:id="205" w:name="_Toc150774731"/>
      <w:r/>
      <w:bookmarkStart w:id="206" w:name="_Toc151193914"/>
      <w:r/>
      <w:bookmarkStart w:id="207" w:name="_Toc151190153"/>
      <w:r/>
      <w:bookmarkStart w:id="208" w:name="_Toc151193840"/>
      <w:r/>
      <w:bookmarkStart w:id="209" w:name="_Toc151193624"/>
      <w:r/>
      <w:bookmarkStart w:id="210" w:name="_Toc264969216"/>
      <w:r/>
      <w:bookmarkStart w:id="211" w:name="_Toc516367020"/>
      <w:r/>
      <w:bookmarkStart w:id="212" w:name="_Toc150480764"/>
      <w:r/>
      <w:bookmarkStart w:id="213" w:name="_Toc226309770"/>
      <w:r/>
      <w:bookmarkStart w:id="214" w:name="_Toc226965799"/>
      <w:r/>
      <w:bookmarkStart w:id="215" w:name="_Toc142311028"/>
      <w:r/>
      <w:bookmarkStart w:id="216" w:name="_Toc150509277"/>
      <w:r/>
      <w:bookmarkStart w:id="217" w:name="_Toc226337222"/>
      <w:r/>
      <w:bookmarkStart w:id="218" w:name="_Toc195842891"/>
      <w:r/>
      <w:bookmarkStart w:id="219" w:name="_Toc305158868"/>
      <w:r/>
      <w:bookmarkStart w:id="220" w:name="_Toc265228364"/>
      <w:r>
        <w:rPr>
          <w:rFonts w:hint="eastAsia" w:ascii="宋体" w:hAnsi="宋体" w:eastAsia="宋体" w:cs="宋体"/>
          <w:color w:val="000000"/>
          <w:sz w:val="28"/>
          <w:highlight w:val="none"/>
        </w:rPr>
        <w:t xml:space="preserve">三   投标文件</w:t>
      </w:r>
      <w:bookmarkEnd w:id="211"/>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1" w:name="_Toc151193697"/>
      <w:r/>
      <w:bookmarkStart w:id="222" w:name="_Toc127151728"/>
      <w:r/>
      <w:bookmarkStart w:id="223" w:name="_Toc149720820"/>
      <w:r/>
      <w:bookmarkStart w:id="224" w:name="_Toc520356151"/>
      <w:r/>
      <w:bookmarkStart w:id="225" w:name="_Toc164608641"/>
      <w:r/>
      <w:bookmarkStart w:id="226" w:name="_Toc151193841"/>
      <w:r/>
      <w:bookmarkStart w:id="227" w:name="_Toc226965800"/>
      <w:r/>
      <w:bookmarkStart w:id="228" w:name="_Toc151193625"/>
      <w:r/>
      <w:bookmarkStart w:id="229" w:name="_Toc164608796"/>
      <w:r/>
      <w:bookmarkStart w:id="230" w:name="_Toc516367021"/>
      <w:r/>
      <w:bookmarkStart w:id="231" w:name="_Toc142311029"/>
      <w:r/>
      <w:bookmarkStart w:id="232" w:name="_Toc150774627"/>
      <w:r/>
      <w:bookmarkStart w:id="233" w:name="_Toc150509278"/>
      <w:r/>
      <w:bookmarkStart w:id="234" w:name="_Toc305158869"/>
      <w:r/>
      <w:bookmarkStart w:id="235" w:name="_Toc151193769"/>
      <w:r/>
      <w:bookmarkStart w:id="236" w:name="_Toc164229368"/>
      <w:r/>
      <w:bookmarkStart w:id="237" w:name="_Toc127161441"/>
      <w:r/>
      <w:bookmarkStart w:id="238" w:name="_Toc305158795"/>
      <w:r/>
      <w:bookmarkStart w:id="239" w:name="_Toc150480765"/>
      <w:r/>
      <w:bookmarkStart w:id="240" w:name="_Toc195842892"/>
      <w:r/>
      <w:bookmarkStart w:id="241" w:name="_Toc164229222"/>
      <w:r/>
      <w:bookmarkStart w:id="242" w:name="_Toc127151527"/>
      <w:r/>
      <w:bookmarkStart w:id="243" w:name="_Toc164351621"/>
      <w:r/>
      <w:bookmarkStart w:id="244" w:name="_Toc264969217"/>
      <w:r/>
      <w:bookmarkStart w:id="245" w:name="_Toc265228365"/>
      <w:r/>
      <w:bookmarkStart w:id="246" w:name="_Toc151190154"/>
      <w:r/>
      <w:bookmarkStart w:id="247" w:name="_Toc151193915"/>
      <w:r/>
      <w:bookmarkStart w:id="248" w:name="_Toc150774732"/>
      <w:r/>
      <w:bookmarkStart w:id="249" w:name="_Toc226309771"/>
      <w:r/>
      <w:bookmarkStart w:id="250" w:name="_Toc226337223"/>
      <w:r/>
      <w:bookmarkStart w:id="251" w:name="_Toc226965717"/>
      <w:r>
        <w:rPr>
          <w:rFonts w:hint="eastAsia" w:ascii="宋体" w:hAnsi="宋体" w:cs="宋体"/>
          <w:b/>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2" w:name="_Toc164229223"/>
      <w:r/>
      <w:bookmarkStart w:id="253" w:name="_Toc164608642"/>
      <w:r/>
      <w:bookmarkStart w:id="254" w:name="_Toc164229369"/>
      <w:r/>
      <w:bookmarkStart w:id="255" w:name="_Toc151193916"/>
      <w:r/>
      <w:bookmarkStart w:id="256" w:name="_Toc127151729"/>
      <w:r/>
      <w:bookmarkStart w:id="257" w:name="_Toc151193770"/>
      <w:r/>
      <w:bookmarkStart w:id="258" w:name="_Toc150774628"/>
      <w:r/>
      <w:bookmarkStart w:id="259" w:name="_Ref467306195"/>
      <w:r/>
      <w:bookmarkStart w:id="260" w:name="_Toc516367022"/>
      <w:r/>
      <w:bookmarkStart w:id="261" w:name="_Ref467306676"/>
      <w:r/>
      <w:bookmarkStart w:id="262" w:name="_Toc127151528"/>
      <w:r/>
      <w:bookmarkStart w:id="263" w:name="_Toc226337224"/>
      <w:r/>
      <w:bookmarkStart w:id="264" w:name="_Toc127161442"/>
      <w:r/>
      <w:bookmarkStart w:id="265" w:name="_Toc305158870"/>
      <w:r/>
      <w:bookmarkStart w:id="266" w:name="_Toc150509279"/>
      <w:r/>
      <w:bookmarkStart w:id="267" w:name="_Toc164351622"/>
      <w:r/>
      <w:bookmarkStart w:id="268" w:name="_Toc226309772"/>
      <w:r/>
      <w:bookmarkStart w:id="269" w:name="_Toc151193842"/>
      <w:r/>
      <w:bookmarkStart w:id="270" w:name="_Toc150774733"/>
      <w:r/>
      <w:bookmarkStart w:id="271" w:name="_Toc164608797"/>
      <w:r/>
      <w:bookmarkStart w:id="272" w:name="_Toc149720821"/>
      <w:r/>
      <w:bookmarkStart w:id="273" w:name="_Toc226965718"/>
      <w:r/>
      <w:bookmarkStart w:id="274" w:name="_Toc195842893"/>
      <w:r/>
      <w:bookmarkStart w:id="275" w:name="_Toc142311030"/>
      <w:r/>
      <w:bookmarkStart w:id="276" w:name="_Toc151193626"/>
      <w:r/>
      <w:bookmarkStart w:id="277" w:name="_Toc520356152"/>
      <w:r/>
      <w:bookmarkStart w:id="278" w:name="_Toc264969218"/>
      <w:r/>
      <w:bookmarkStart w:id="279" w:name="_Toc265228366"/>
      <w:r/>
      <w:bookmarkStart w:id="280" w:name="_Toc151190155"/>
      <w:r/>
      <w:bookmarkStart w:id="281" w:name="_Toc150480766"/>
      <w:r/>
      <w:bookmarkStart w:id="282" w:name="_Toc151193698"/>
      <w:r/>
      <w:bookmarkStart w:id="283" w:name="_Toc305158796"/>
      <w:r/>
      <w:bookmarkStart w:id="284" w:name="_Toc226965801"/>
      <w:r>
        <w:rPr>
          <w:rFonts w:hint="eastAsia" w:ascii="宋体" w:hAnsi="宋体" w:cs="宋体"/>
          <w:b/>
          <w:color w:val="000000"/>
          <w:sz w:val="24"/>
          <w:highlight w:val="none"/>
        </w:rPr>
        <w:t xml:space="preserve">投标文件</w:t>
      </w:r>
      <w:bookmarkEnd w:id="259"/>
      <w:r/>
      <w:bookmarkEnd w:id="260"/>
      <w:r/>
      <w:bookmarkEnd w:id="261"/>
      <w:r>
        <w:rPr>
          <w:rFonts w:hint="eastAsia" w:ascii="宋体" w:hAnsi="宋体" w:cs="宋体"/>
          <w:b/>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5"/>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6" w:name="_Toc150509281"/>
      <w:r/>
      <w:bookmarkStart w:id="287" w:name="_Toc164608799"/>
      <w:r/>
      <w:bookmarkStart w:id="288" w:name="_Toc151193844"/>
      <w:r/>
      <w:bookmarkStart w:id="289" w:name="_Toc164608644"/>
      <w:r/>
      <w:bookmarkStart w:id="290" w:name="_Toc151190157"/>
      <w:r/>
      <w:bookmarkStart w:id="291" w:name="_Toc127151731"/>
      <w:r/>
      <w:bookmarkStart w:id="292" w:name="_Toc127151530"/>
      <w:r/>
      <w:bookmarkStart w:id="293" w:name="_Toc127161444"/>
      <w:r/>
      <w:bookmarkStart w:id="294" w:name="_Toc151193628"/>
      <w:r/>
      <w:bookmarkStart w:id="295" w:name="_Toc164229225"/>
      <w:r/>
      <w:bookmarkStart w:id="296" w:name="_Toc195842895"/>
      <w:r/>
      <w:bookmarkStart w:id="297" w:name="_Toc142311032"/>
      <w:r/>
      <w:bookmarkStart w:id="298" w:name="_Toc150774630"/>
      <w:r/>
      <w:bookmarkStart w:id="299" w:name="_Toc151193700"/>
      <w:r/>
      <w:bookmarkStart w:id="300" w:name="_Toc151193918"/>
      <w:r/>
      <w:bookmarkStart w:id="301" w:name="_Toc150774735"/>
      <w:r/>
      <w:bookmarkStart w:id="302" w:name="_Toc164229371"/>
      <w:r/>
      <w:bookmarkStart w:id="303" w:name="_Toc164351624"/>
      <w:r/>
      <w:bookmarkStart w:id="304" w:name="_Toc149720823"/>
      <w:r/>
      <w:bookmarkStart w:id="305" w:name="_Toc520356155"/>
      <w:r/>
      <w:bookmarkStart w:id="306" w:name="_Toc151193772"/>
      <w:r/>
      <w:bookmarkStart w:id="307" w:name="_Toc150480768"/>
      <w:r>
        <w:rPr>
          <w:rFonts w:hint="eastAsia" w:ascii="宋体" w:hAnsi="宋体" w:cs="宋体"/>
          <w:b/>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8" w:name="_Toc151190158"/>
      <w:r/>
      <w:bookmarkStart w:id="309" w:name="_Toc164608645"/>
      <w:r/>
      <w:bookmarkStart w:id="310" w:name="_Toc164229372"/>
      <w:r/>
      <w:bookmarkStart w:id="311" w:name="_Toc142311033"/>
      <w:r/>
      <w:bookmarkStart w:id="312" w:name="_Toc265228369"/>
      <w:r/>
      <w:bookmarkStart w:id="313" w:name="_Toc164229226"/>
      <w:r/>
      <w:bookmarkStart w:id="314" w:name="_Toc150509282"/>
      <w:r/>
      <w:bookmarkStart w:id="315" w:name="_Toc151193701"/>
      <w:r/>
      <w:bookmarkStart w:id="316" w:name="_Toc264969221"/>
      <w:r/>
      <w:bookmarkStart w:id="317" w:name="_Toc164351625"/>
      <w:r/>
      <w:bookmarkStart w:id="318" w:name="_Toc151193629"/>
      <w:r/>
      <w:bookmarkStart w:id="319" w:name="_Toc164608800"/>
      <w:r/>
      <w:bookmarkStart w:id="320" w:name="_Toc520356156"/>
      <w:r/>
      <w:bookmarkStart w:id="321" w:name="_Toc150774631"/>
      <w:r/>
      <w:bookmarkStart w:id="322" w:name="_Toc127151732"/>
      <w:r/>
      <w:bookmarkStart w:id="323" w:name="_Toc226965804"/>
      <w:r/>
      <w:bookmarkStart w:id="324" w:name="_Ref467306513"/>
      <w:r/>
      <w:bookmarkStart w:id="325" w:name="_Toc151193919"/>
      <w:r/>
      <w:bookmarkStart w:id="326" w:name="_Toc226337227"/>
      <w:r/>
      <w:bookmarkStart w:id="327" w:name="_Toc151193845"/>
      <w:r/>
      <w:bookmarkStart w:id="328" w:name="_Toc149720824"/>
      <w:r/>
      <w:bookmarkStart w:id="329" w:name="_Toc127161445"/>
      <w:r/>
      <w:bookmarkStart w:id="330" w:name="_Toc150774736"/>
      <w:r/>
      <w:bookmarkStart w:id="331" w:name="_Toc151193773"/>
      <w:r/>
      <w:bookmarkStart w:id="332" w:name="_Toc195842896"/>
      <w:r/>
      <w:bookmarkStart w:id="333" w:name="_Toc305158873"/>
      <w:r/>
      <w:bookmarkStart w:id="334" w:name="_Toc226965721"/>
      <w:r/>
      <w:bookmarkStart w:id="335" w:name="_Toc150480769"/>
      <w:r/>
      <w:bookmarkStart w:id="336" w:name="_Toc127151531"/>
      <w:r/>
      <w:bookmarkStart w:id="337" w:name="_Toc226309775"/>
      <w:r/>
      <w:bookmarkStart w:id="338" w:name="_Toc305158799"/>
      <w:r>
        <w:rPr>
          <w:rFonts w:hint="eastAsia" w:ascii="宋体" w:hAnsi="宋体" w:cs="宋体"/>
          <w:b/>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color w:val="000000"/>
          <w:sz w:val="24"/>
          <w:highlight w:val="none"/>
        </w:rPr>
      </w:r>
      <w:r/>
    </w:p>
    <w:p>
      <w:pPr>
        <w:pStyle w:val="1071"/>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9" w:name="_Toc164229373"/>
      <w:r/>
      <w:bookmarkStart w:id="340" w:name="_Toc151193920"/>
      <w:r/>
      <w:bookmarkStart w:id="341" w:name="_Toc150509283"/>
      <w:r/>
      <w:bookmarkStart w:id="342" w:name="_Toc151190159"/>
      <w:r/>
      <w:bookmarkStart w:id="343" w:name="_Toc195842897"/>
      <w:r/>
      <w:bookmarkStart w:id="344" w:name="_Toc150480770"/>
      <w:r/>
      <w:bookmarkStart w:id="345" w:name="_Toc226965722"/>
      <w:r/>
      <w:bookmarkStart w:id="346" w:name="_Toc127151733"/>
      <w:r/>
      <w:bookmarkStart w:id="347" w:name="_Toc142311034"/>
      <w:r/>
      <w:bookmarkStart w:id="348" w:name="_Toc226337228"/>
      <w:r/>
      <w:bookmarkStart w:id="349" w:name="_Toc151193702"/>
      <w:r/>
      <w:bookmarkStart w:id="350" w:name="_Toc150774737"/>
      <w:r/>
      <w:bookmarkStart w:id="351" w:name="_Toc151193630"/>
      <w:r/>
      <w:bookmarkStart w:id="352" w:name="_Toc226309776"/>
      <w:r/>
      <w:bookmarkStart w:id="353" w:name="_Toc164608801"/>
      <w:r/>
      <w:bookmarkStart w:id="354" w:name="_Toc265228370"/>
      <w:r/>
      <w:bookmarkStart w:id="355" w:name="_Toc127151532"/>
      <w:r/>
      <w:bookmarkStart w:id="356" w:name="_Toc226965805"/>
      <w:r/>
      <w:bookmarkStart w:id="357" w:name="_Toc264969222"/>
      <w:r/>
      <w:bookmarkStart w:id="358" w:name="_Toc149720825"/>
      <w:r/>
      <w:bookmarkStart w:id="359" w:name="_Toc127161446"/>
      <w:r/>
      <w:bookmarkStart w:id="360" w:name="_Toc164351626"/>
      <w:r/>
      <w:bookmarkStart w:id="361" w:name="_Toc151193846"/>
      <w:r/>
      <w:bookmarkStart w:id="362" w:name="_Toc520356157"/>
      <w:r/>
      <w:bookmarkStart w:id="363" w:name="_Toc305158800"/>
      <w:r/>
      <w:bookmarkStart w:id="364" w:name="_Toc164608646"/>
      <w:r/>
      <w:bookmarkStart w:id="365" w:name="_Toc164229227"/>
      <w:r/>
      <w:bookmarkStart w:id="366" w:name="_Toc305158874"/>
      <w:r/>
      <w:bookmarkStart w:id="367" w:name="_Toc151193774"/>
      <w:r/>
      <w:bookmarkStart w:id="368" w:name="_Toc150774632"/>
      <w:r>
        <w:rPr>
          <w:rFonts w:hint="eastAsia" w:ascii="宋体" w:hAnsi="宋体" w:cs="宋体"/>
          <w:b/>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9" w:name="_Toc265228371"/>
      <w:r/>
      <w:bookmarkStart w:id="370" w:name="_Toc142311035"/>
      <w:r/>
      <w:bookmarkStart w:id="371" w:name="_Toc151193775"/>
      <w:r/>
      <w:bookmarkStart w:id="372" w:name="_Toc164351627"/>
      <w:r/>
      <w:bookmarkStart w:id="373" w:name="_Toc226337229"/>
      <w:r/>
      <w:bookmarkStart w:id="374" w:name="_Toc151190160"/>
      <w:r/>
      <w:bookmarkStart w:id="375" w:name="_Toc164608647"/>
      <w:r/>
      <w:bookmarkStart w:id="376" w:name="_Toc195842898"/>
      <w:r/>
      <w:bookmarkStart w:id="377" w:name="_Toc150509284"/>
      <w:r/>
      <w:bookmarkStart w:id="378" w:name="_Toc127151734"/>
      <w:r/>
      <w:bookmarkStart w:id="379" w:name="_Toc127151533"/>
      <w:r/>
      <w:bookmarkStart w:id="380" w:name="_Toc150480771"/>
      <w:r/>
      <w:bookmarkStart w:id="381" w:name="_Toc150774633"/>
      <w:r/>
      <w:bookmarkStart w:id="382" w:name="_Toc264969223"/>
      <w:r/>
      <w:bookmarkStart w:id="383" w:name="_Toc151193631"/>
      <w:r/>
      <w:bookmarkStart w:id="384" w:name="_Toc149720826"/>
      <w:r/>
      <w:bookmarkStart w:id="385" w:name="_Toc226309777"/>
      <w:r/>
      <w:bookmarkStart w:id="386" w:name="_Toc305158875"/>
      <w:r/>
      <w:bookmarkStart w:id="387" w:name="_Toc164229374"/>
      <w:r/>
      <w:bookmarkStart w:id="388" w:name="_Toc150774738"/>
      <w:r/>
      <w:bookmarkStart w:id="389" w:name="_Toc151193847"/>
      <w:r/>
      <w:bookmarkStart w:id="390" w:name="_Toc151193921"/>
      <w:r/>
      <w:bookmarkStart w:id="391" w:name="_Toc151193703"/>
      <w:r/>
      <w:bookmarkStart w:id="392" w:name="_Toc226965723"/>
      <w:r/>
      <w:bookmarkStart w:id="393" w:name="_Toc164229228"/>
      <w:r/>
      <w:bookmarkStart w:id="394" w:name="_Toc226965806"/>
      <w:r/>
      <w:bookmarkStart w:id="395" w:name="_Toc127161447"/>
      <w:r/>
      <w:bookmarkStart w:id="396" w:name="_Toc305158801"/>
      <w:r/>
      <w:bookmarkStart w:id="397" w:name="_Toc520356158"/>
      <w:r/>
      <w:bookmarkStart w:id="398" w:name="_Toc164608802"/>
      <w:r>
        <w:rPr>
          <w:rFonts w:hint="eastAsia" w:ascii="宋体" w:hAnsi="宋体" w:cs="宋体"/>
          <w:b/>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9" w:name="_Toc226337230"/>
      <w:r/>
      <w:bookmarkStart w:id="400" w:name="_Toc151193704"/>
      <w:r/>
      <w:bookmarkStart w:id="401" w:name="_Toc150774634"/>
      <w:r/>
      <w:bookmarkStart w:id="402" w:name="_Toc226309778"/>
      <w:r/>
      <w:bookmarkStart w:id="403" w:name="_Toc226965807"/>
      <w:r/>
      <w:bookmarkStart w:id="404" w:name="_Toc520356159"/>
      <w:r/>
      <w:bookmarkStart w:id="405" w:name="_Toc151193848"/>
      <w:r/>
      <w:bookmarkStart w:id="406" w:name="_Toc127151534"/>
      <w:r/>
      <w:bookmarkStart w:id="407" w:name="_Toc150509285"/>
      <w:r/>
      <w:bookmarkStart w:id="408" w:name="_Toc151193776"/>
      <w:r/>
      <w:bookmarkStart w:id="409" w:name="_Toc142311036"/>
      <w:r/>
      <w:bookmarkStart w:id="410" w:name="_Toc305158802"/>
      <w:r/>
      <w:bookmarkStart w:id="411" w:name="_Toc150480772"/>
      <w:r/>
      <w:bookmarkStart w:id="412" w:name="_Toc305158876"/>
      <w:r/>
      <w:bookmarkStart w:id="413" w:name="_Toc265228372"/>
      <w:r/>
      <w:bookmarkStart w:id="414" w:name="_Toc226965724"/>
      <w:r/>
      <w:bookmarkStart w:id="415" w:name="_Toc151193922"/>
      <w:r/>
      <w:bookmarkStart w:id="416" w:name="_Toc151190161"/>
      <w:r/>
      <w:bookmarkStart w:id="417" w:name="_Toc151193632"/>
      <w:r/>
      <w:bookmarkStart w:id="418" w:name="_Toc264969224"/>
      <w:r/>
      <w:bookmarkStart w:id="419" w:name="_Toc195842899"/>
      <w:r/>
      <w:bookmarkStart w:id="420" w:name="_Toc15077473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1"/>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1" w:name="_Toc127161449"/>
      <w:r/>
      <w:bookmarkStart w:id="422" w:name="_Toc151193849"/>
      <w:r/>
      <w:bookmarkStart w:id="423" w:name="_Toc127151736"/>
      <w:r/>
      <w:bookmarkStart w:id="424" w:name="_Toc164608804"/>
      <w:r/>
      <w:bookmarkStart w:id="425" w:name="_Toc142311037"/>
      <w:r/>
      <w:bookmarkStart w:id="426" w:name="_Toc226965808"/>
      <w:r/>
      <w:bookmarkStart w:id="427" w:name="_Toc164608649"/>
      <w:r/>
      <w:bookmarkStart w:id="428" w:name="_Toc150509286"/>
      <w:r/>
      <w:bookmarkStart w:id="429" w:name="_Toc265228373"/>
      <w:r/>
      <w:bookmarkStart w:id="430" w:name="_Toc150774635"/>
      <w:r/>
      <w:bookmarkStart w:id="431" w:name="_Toc164229376"/>
      <w:r/>
      <w:bookmarkStart w:id="432" w:name="_Toc520356160"/>
      <w:r/>
      <w:bookmarkStart w:id="433" w:name="_Toc149720828"/>
      <w:r/>
      <w:bookmarkStart w:id="434" w:name="_Toc151193705"/>
      <w:r/>
      <w:bookmarkStart w:id="435" w:name="_Toc150480773"/>
      <w:r/>
      <w:bookmarkStart w:id="436" w:name="_Toc164351629"/>
      <w:r/>
      <w:bookmarkStart w:id="437" w:name="_Toc164229230"/>
      <w:r/>
      <w:bookmarkStart w:id="438" w:name="_Toc127151535"/>
      <w:r/>
      <w:bookmarkStart w:id="439" w:name="_Toc195842900"/>
      <w:r/>
      <w:bookmarkStart w:id="440" w:name="_Toc151190162"/>
      <w:r/>
      <w:bookmarkStart w:id="441" w:name="_Toc305158803"/>
      <w:r/>
      <w:bookmarkStart w:id="442" w:name="_Toc150774740"/>
      <w:r/>
      <w:bookmarkStart w:id="443" w:name="_Toc305158877"/>
      <w:r/>
      <w:bookmarkStart w:id="444" w:name="_Toc264969225"/>
      <w:r/>
      <w:bookmarkStart w:id="445" w:name="_Toc151193777"/>
      <w:r/>
      <w:bookmarkStart w:id="446" w:name="_Toc226337231"/>
      <w:r/>
      <w:bookmarkStart w:id="447" w:name="_Toc151193923"/>
      <w:r/>
      <w:bookmarkStart w:id="448" w:name="_Toc226965725"/>
      <w:r/>
      <w:bookmarkStart w:id="449" w:name="_Toc226309779"/>
      <w:r/>
      <w:bookmarkStart w:id="450" w:name="_Toc151193633"/>
      <w:r>
        <w:rPr>
          <w:rFonts w:hint="eastAsia" w:ascii="宋体" w:hAnsi="宋体" w:cs="宋体"/>
          <w:b/>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1" w:name="_Toc151190163"/>
      <w:r/>
      <w:bookmarkStart w:id="452" w:name="_Toc264969226"/>
      <w:r/>
      <w:bookmarkStart w:id="453" w:name="_Toc305158804"/>
      <w:r/>
      <w:bookmarkStart w:id="454" w:name="_Toc149720829"/>
      <w:r/>
      <w:bookmarkStart w:id="455" w:name="_Toc195842901"/>
      <w:r/>
      <w:bookmarkStart w:id="456" w:name="_Toc127151536"/>
      <w:r/>
      <w:bookmarkStart w:id="457" w:name="_Toc164608805"/>
      <w:r/>
      <w:bookmarkStart w:id="458" w:name="_Toc151193706"/>
      <w:r/>
      <w:bookmarkStart w:id="459" w:name="_Toc127161450"/>
      <w:r/>
      <w:bookmarkStart w:id="460" w:name="_Toc305158878"/>
      <w:r/>
      <w:bookmarkStart w:id="461" w:name="_Toc164229231"/>
      <w:r/>
      <w:bookmarkStart w:id="462" w:name="_Toc151193924"/>
      <w:r/>
      <w:bookmarkStart w:id="463" w:name="_Toc150774636"/>
      <w:r/>
      <w:bookmarkStart w:id="464" w:name="_Toc151193778"/>
      <w:r/>
      <w:bookmarkStart w:id="465" w:name="_Toc520356161"/>
      <w:r/>
      <w:bookmarkStart w:id="466" w:name="_Toc151193634"/>
      <w:r/>
      <w:bookmarkStart w:id="467" w:name="_Toc265228374"/>
      <w:r/>
      <w:bookmarkStart w:id="468" w:name="_Toc127151737"/>
      <w:r/>
      <w:bookmarkStart w:id="469" w:name="_Toc164608650"/>
      <w:r/>
      <w:bookmarkStart w:id="470" w:name="_Toc150774741"/>
      <w:r/>
      <w:bookmarkStart w:id="471" w:name="_Toc164229377"/>
      <w:r/>
      <w:bookmarkStart w:id="472" w:name="_Toc150480774"/>
      <w:r/>
      <w:bookmarkStart w:id="473" w:name="_Toc142311038"/>
      <w:r/>
      <w:bookmarkStart w:id="474" w:name="_Toc226965809"/>
      <w:r/>
      <w:bookmarkStart w:id="475" w:name="_Toc164351630"/>
      <w:r/>
      <w:bookmarkStart w:id="476" w:name="_Toc150509287"/>
      <w:r/>
      <w:bookmarkStart w:id="477" w:name="_Toc151193850"/>
      <w:r/>
      <w:bookmarkStart w:id="478" w:name="_Toc226337232"/>
      <w:r/>
      <w:bookmarkStart w:id="479" w:name="_Toc226309780"/>
      <w:r/>
      <w:bookmarkStart w:id="480" w:name="_Toc226965726"/>
      <w:r>
        <w:rPr>
          <w:rFonts w:hint="eastAsia" w:ascii="宋体" w:hAnsi="宋体" w:cs="宋体"/>
          <w:b/>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1" w:name="_Toc195842902"/>
      <w:r/>
      <w:bookmarkStart w:id="482" w:name="_Toc150774742"/>
      <w:r/>
      <w:bookmarkStart w:id="483" w:name="_Toc164229232"/>
      <w:r/>
      <w:bookmarkStart w:id="484" w:name="_Toc151193851"/>
      <w:r/>
      <w:bookmarkStart w:id="485" w:name="_Toc149720830"/>
      <w:r/>
      <w:bookmarkStart w:id="486" w:name="_Toc520356162"/>
      <w:r/>
      <w:bookmarkStart w:id="487" w:name="_Toc127161451"/>
      <w:r/>
      <w:bookmarkStart w:id="488" w:name="_Toc151190164"/>
      <w:r/>
      <w:bookmarkStart w:id="489" w:name="_Toc226965727"/>
      <w:r/>
      <w:bookmarkStart w:id="490" w:name="_Toc265228375"/>
      <w:r/>
      <w:bookmarkStart w:id="491" w:name="_Toc127151537"/>
      <w:r/>
      <w:bookmarkStart w:id="492" w:name="_Toc150774637"/>
      <w:r/>
      <w:bookmarkStart w:id="493" w:name="_Toc164229378"/>
      <w:r/>
      <w:bookmarkStart w:id="494" w:name="_Toc151193707"/>
      <w:r/>
      <w:bookmarkStart w:id="495" w:name="_Toc226337233"/>
      <w:r/>
      <w:bookmarkStart w:id="496" w:name="_Toc264969227"/>
      <w:r/>
      <w:bookmarkStart w:id="497" w:name="_Toc226965810"/>
      <w:r/>
      <w:bookmarkStart w:id="498" w:name="_Toc305158805"/>
      <w:r/>
      <w:bookmarkStart w:id="499" w:name="_Toc151193635"/>
      <w:r/>
      <w:bookmarkStart w:id="500" w:name="_Toc150480775"/>
      <w:r/>
      <w:bookmarkStart w:id="501" w:name="_Toc226309781"/>
      <w:r/>
      <w:bookmarkStart w:id="502" w:name="_Toc164608651"/>
      <w:r/>
      <w:bookmarkStart w:id="503" w:name="_Toc142311039"/>
      <w:r/>
      <w:bookmarkStart w:id="504" w:name="_Toc164351631"/>
      <w:r/>
      <w:bookmarkStart w:id="505" w:name="_Toc305158879"/>
      <w:r/>
      <w:bookmarkStart w:id="506" w:name="_Toc127151738"/>
      <w:r/>
      <w:bookmarkStart w:id="507" w:name="_Toc150509288"/>
      <w:r/>
      <w:bookmarkStart w:id="508" w:name="_Toc164608806"/>
      <w:r/>
      <w:bookmarkStart w:id="509" w:name="_Toc151193925"/>
      <w:r/>
      <w:bookmarkStart w:id="510" w:name="_Toc151193779"/>
      <w:r>
        <w:rPr>
          <w:rFonts w:hint="eastAsia" w:ascii="宋体" w:hAnsi="宋体" w:cs="宋体"/>
          <w:b/>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11" w:name="_Toc305158880"/>
      <w:r/>
      <w:bookmarkStart w:id="512" w:name="_Toc151193780"/>
      <w:r/>
      <w:bookmarkStart w:id="513" w:name="_Toc226965728"/>
      <w:r/>
      <w:bookmarkStart w:id="514" w:name="_Toc195842903"/>
      <w:r/>
      <w:bookmarkStart w:id="515" w:name="_Toc520356163"/>
      <w:r/>
      <w:bookmarkStart w:id="516" w:name="_Toc265228376"/>
      <w:r/>
      <w:bookmarkStart w:id="517" w:name="_Toc226965811"/>
      <w:r/>
      <w:bookmarkStart w:id="518" w:name="_Toc151193852"/>
      <w:r/>
      <w:bookmarkStart w:id="519" w:name="_Toc151193926"/>
      <w:r/>
      <w:bookmarkStart w:id="520" w:name="_Toc150774638"/>
      <w:r/>
      <w:bookmarkStart w:id="521" w:name="_Toc150509289"/>
      <w:r/>
      <w:bookmarkStart w:id="522" w:name="_Toc142311040"/>
      <w:r/>
      <w:bookmarkStart w:id="523" w:name="_Toc226337234"/>
      <w:r/>
      <w:bookmarkStart w:id="524" w:name="_Toc264969228"/>
      <w:r/>
      <w:bookmarkStart w:id="525" w:name="_Toc151190165"/>
      <w:r/>
      <w:bookmarkStart w:id="526" w:name="_Toc150774743"/>
      <w:r/>
      <w:bookmarkStart w:id="527" w:name="_Toc127151538"/>
      <w:r/>
      <w:bookmarkStart w:id="528" w:name="_Toc150480776"/>
      <w:r/>
      <w:bookmarkStart w:id="529" w:name="_Toc151193636"/>
      <w:r/>
      <w:bookmarkStart w:id="530" w:name="_Toc226309782"/>
      <w:r/>
      <w:bookmarkStart w:id="531" w:name="_Toc151193708"/>
      <w:r/>
      <w:bookmarkStart w:id="532" w:name="_Toc305158806"/>
      <w:r>
        <w:rPr>
          <w:rFonts w:hint="eastAsia" w:ascii="宋体" w:hAnsi="宋体" w:eastAsia="宋体" w:cs="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3" w:name="_Toc226309783"/>
      <w:r/>
      <w:bookmarkStart w:id="534" w:name="_Toc127151740"/>
      <w:r/>
      <w:bookmarkStart w:id="535" w:name="_Toc520356164"/>
      <w:r/>
      <w:bookmarkStart w:id="536" w:name="_Toc151193709"/>
      <w:r/>
      <w:bookmarkStart w:id="537" w:name="_Toc164229380"/>
      <w:r/>
      <w:bookmarkStart w:id="538" w:name="_Toc226337235"/>
      <w:r/>
      <w:bookmarkStart w:id="539" w:name="_Toc195842904"/>
      <w:r/>
      <w:bookmarkStart w:id="540" w:name="_Toc150480777"/>
      <w:r/>
      <w:bookmarkStart w:id="541" w:name="_Toc164608808"/>
      <w:r/>
      <w:bookmarkStart w:id="542" w:name="_Toc164351633"/>
      <w:r/>
      <w:bookmarkStart w:id="543" w:name="_Toc151190166"/>
      <w:r/>
      <w:bookmarkStart w:id="544" w:name="_Toc305158807"/>
      <w:r/>
      <w:bookmarkStart w:id="545" w:name="_Toc305158881"/>
      <w:r/>
      <w:bookmarkStart w:id="546" w:name="_Toc151193637"/>
      <w:r/>
      <w:bookmarkStart w:id="547" w:name="_Toc150774744"/>
      <w:r/>
      <w:bookmarkStart w:id="548" w:name="_Toc226965812"/>
      <w:r/>
      <w:bookmarkStart w:id="549" w:name="_Toc149720832"/>
      <w:r/>
      <w:bookmarkStart w:id="550" w:name="_Toc265228377"/>
      <w:r/>
      <w:bookmarkStart w:id="551" w:name="_Toc151193781"/>
      <w:r/>
      <w:bookmarkStart w:id="552" w:name="_Toc127161453"/>
      <w:r/>
      <w:bookmarkStart w:id="553" w:name="_Toc164229234"/>
      <w:r/>
      <w:bookmarkStart w:id="554" w:name="_Toc151193927"/>
      <w:r/>
      <w:bookmarkStart w:id="555" w:name="_Toc226965729"/>
      <w:r/>
      <w:bookmarkStart w:id="556" w:name="_Toc164608653"/>
      <w:r/>
      <w:bookmarkStart w:id="557" w:name="_Toc150509290"/>
      <w:r/>
      <w:bookmarkStart w:id="558" w:name="_Toc142311041"/>
      <w:r/>
      <w:bookmarkStart w:id="559" w:name="_Toc264969229"/>
      <w:r/>
      <w:bookmarkStart w:id="560" w:name="_Toc127151539"/>
      <w:r/>
      <w:bookmarkStart w:id="561" w:name="_Toc151193853"/>
      <w:r/>
      <w:bookmarkStart w:id="562" w:name="_Toc150774639"/>
      <w:r>
        <w:rPr>
          <w:rFonts w:hint="eastAsia" w:ascii="宋体" w:hAnsi="宋体" w:cs="宋体"/>
          <w:b/>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1"/>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1"/>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3"/>
      <w:r/>
      <w:bookmarkStart w:id="564" w:name="_Toc164608654"/>
      <w:r/>
      <w:bookmarkStart w:id="565" w:name="_Toc226965730"/>
      <w:r/>
      <w:bookmarkStart w:id="566" w:name="_Toc305158882"/>
      <w:r/>
      <w:bookmarkStart w:id="567" w:name="_Toc151190167"/>
      <w:r/>
      <w:bookmarkStart w:id="568" w:name="_Toc164229235"/>
      <w:r/>
      <w:bookmarkStart w:id="569" w:name="_Toc264969230"/>
      <w:r/>
      <w:bookmarkStart w:id="570" w:name="_Toc149720833"/>
      <w:r/>
      <w:bookmarkStart w:id="571" w:name="_Toc265228378"/>
      <w:r/>
      <w:bookmarkStart w:id="572" w:name="_Toc226965813"/>
      <w:r/>
      <w:bookmarkStart w:id="573" w:name="_Toc151193928"/>
      <w:r/>
      <w:bookmarkStart w:id="574" w:name="_Toc195842905"/>
      <w:r/>
      <w:bookmarkStart w:id="575" w:name="_Toc127151741"/>
      <w:r/>
      <w:bookmarkStart w:id="576" w:name="_Toc226337236"/>
      <w:r/>
      <w:bookmarkStart w:id="577" w:name="_Toc127151540"/>
      <w:r/>
      <w:bookmarkStart w:id="578" w:name="_Toc150774640"/>
      <w:r/>
      <w:bookmarkStart w:id="579" w:name="_Toc151193854"/>
      <w:r/>
      <w:bookmarkStart w:id="580" w:name="_Toc142311042"/>
      <w:r/>
      <w:bookmarkStart w:id="581" w:name="_Toc150480778"/>
      <w:r/>
      <w:bookmarkStart w:id="582" w:name="_Toc226309784"/>
      <w:r/>
      <w:bookmarkStart w:id="583" w:name="_Toc151193710"/>
      <w:r/>
      <w:bookmarkStart w:id="584" w:name="_Toc164351634"/>
      <w:r/>
      <w:bookmarkStart w:id="585" w:name="_Toc151193638"/>
      <w:r/>
      <w:bookmarkStart w:id="586" w:name="_Toc127161454"/>
      <w:r/>
      <w:bookmarkStart w:id="587" w:name="_Toc150509291"/>
      <w:r/>
      <w:bookmarkStart w:id="588" w:name="_Toc164608809"/>
      <w:r/>
      <w:bookmarkStart w:id="589" w:name="_Toc151193782"/>
      <w:r/>
      <w:bookmarkStart w:id="590" w:name="_Toc164229381"/>
      <w:r/>
      <w:bookmarkStart w:id="591" w:name="_Toc305158808"/>
      <w:r/>
      <w:bookmarkStart w:id="592" w:name="_Toc150774745"/>
      <w:r>
        <w:rPr>
          <w:rFonts w:hint="eastAsia" w:ascii="宋体" w:hAnsi="宋体" w:cs="宋体"/>
          <w:b/>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3" w:name="_Toc520356166"/>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1"/>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95" w:name="_Toc150774645"/>
      <w:r/>
      <w:bookmarkStart w:id="596" w:name="_Toc226965818"/>
      <w:r/>
      <w:bookmarkStart w:id="597" w:name="_Toc265228383"/>
      <w:r/>
      <w:bookmarkStart w:id="598" w:name="_Toc264969235"/>
      <w:r/>
      <w:bookmarkStart w:id="599" w:name="_Toc226309789"/>
      <w:r/>
      <w:bookmarkStart w:id="600" w:name="_Toc226965735"/>
      <w:r/>
      <w:bookmarkStart w:id="601" w:name="_Toc195842910"/>
      <w:r/>
      <w:bookmarkStart w:id="602" w:name="_Toc151193933"/>
      <w:r/>
      <w:bookmarkStart w:id="603" w:name="_Toc150509296"/>
      <w:r/>
      <w:bookmarkStart w:id="604" w:name="_Toc151193859"/>
      <w:r/>
      <w:bookmarkStart w:id="605" w:name="_Toc305158887"/>
      <w:r/>
      <w:bookmarkStart w:id="606" w:name="_Toc151193715"/>
      <w:r/>
      <w:bookmarkStart w:id="607" w:name="_Toc305158813"/>
      <w:r/>
      <w:bookmarkStart w:id="608" w:name="_Toc151190172"/>
      <w:r/>
      <w:bookmarkStart w:id="609" w:name="_Toc142311047"/>
      <w:r/>
      <w:bookmarkStart w:id="610" w:name="_Toc151193787"/>
      <w:r/>
      <w:bookmarkStart w:id="611" w:name="_Toc226337241"/>
      <w:r/>
      <w:bookmarkStart w:id="612" w:name="_Toc150480783"/>
      <w:r/>
      <w:bookmarkStart w:id="613" w:name="_Toc150774750"/>
      <w:r/>
      <w:bookmarkStart w:id="614" w:name="_Toc127151545"/>
      <w:r/>
      <w:bookmarkStart w:id="615" w:name="_Toc151193643"/>
      <w:r>
        <w:rPr>
          <w:rFonts w:hint="eastAsia" w:ascii="宋体" w:hAnsi="宋体" w:eastAsia="宋体" w:cs="宋体"/>
          <w:color w:val="000000"/>
          <w:sz w:val="28"/>
          <w:highlight w:val="none"/>
        </w:rPr>
        <w:t xml:space="preserve">六   </w:t>
      </w:r>
      <w:bookmarkEnd w:id="594"/>
      <w:r>
        <w:rPr>
          <w:rFonts w:hint="eastAsia" w:ascii="宋体" w:hAnsi="宋体" w:eastAsia="宋体" w:cs="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27151748"/>
      <w:r/>
      <w:bookmarkStart w:id="617" w:name="_Toc226309791"/>
      <w:r/>
      <w:bookmarkStart w:id="618" w:name="_Toc150509298"/>
      <w:r/>
      <w:bookmarkStart w:id="619" w:name="_Toc150774647"/>
      <w:r/>
      <w:bookmarkStart w:id="620" w:name="_Toc195842912"/>
      <w:r/>
      <w:bookmarkStart w:id="621" w:name="_Toc164229242"/>
      <w:r/>
      <w:bookmarkStart w:id="622" w:name="_Toc127161461"/>
      <w:r/>
      <w:bookmarkStart w:id="623" w:name="_Toc142311049"/>
      <w:r/>
      <w:bookmarkStart w:id="624" w:name="_Toc149720840"/>
      <w:r/>
      <w:bookmarkStart w:id="625" w:name="_Toc226337243"/>
      <w:r/>
      <w:bookmarkStart w:id="626" w:name="_Toc150774752"/>
      <w:r/>
      <w:bookmarkStart w:id="627" w:name="_Toc164229388"/>
      <w:r/>
      <w:bookmarkStart w:id="628" w:name="_Toc226965820"/>
      <w:r/>
      <w:bookmarkStart w:id="629" w:name="_Toc151193935"/>
      <w:r/>
      <w:bookmarkStart w:id="630" w:name="_Toc164608816"/>
      <w:r/>
      <w:bookmarkStart w:id="631" w:name="_Toc151193789"/>
      <w:r/>
      <w:bookmarkStart w:id="632" w:name="_Toc264969237"/>
      <w:r/>
      <w:bookmarkStart w:id="633" w:name="_Toc151193717"/>
      <w:r/>
      <w:bookmarkStart w:id="634" w:name="_Toc127151547"/>
      <w:r/>
      <w:bookmarkStart w:id="635" w:name="_Toc305158889"/>
      <w:r/>
      <w:bookmarkStart w:id="636" w:name="_Toc151190174"/>
      <w:r/>
      <w:bookmarkStart w:id="637" w:name="_Toc151193861"/>
      <w:r/>
      <w:bookmarkStart w:id="638" w:name="_Toc305158815"/>
      <w:r/>
      <w:bookmarkStart w:id="639" w:name="_Toc164351641"/>
      <w:r/>
      <w:bookmarkStart w:id="640" w:name="_Toc164608661"/>
      <w:r/>
      <w:bookmarkStart w:id="641" w:name="_Toc150480785"/>
      <w:r/>
      <w:bookmarkStart w:id="642" w:name="_Toc265228385"/>
      <w:r/>
      <w:bookmarkStart w:id="643" w:name="_Toc151193645"/>
      <w:r/>
      <w:bookmarkStart w:id="644" w:name="_Toc226965737"/>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5" w:name="_Toc265228387"/>
      <w:r/>
      <w:bookmarkStart w:id="646" w:name="_Toc226965822"/>
      <w:r/>
      <w:bookmarkStart w:id="647" w:name="_Toc142311051"/>
      <w:r/>
      <w:bookmarkStart w:id="648" w:name="_Toc305158891"/>
      <w:r/>
      <w:bookmarkStart w:id="649" w:name="_Toc226965739"/>
      <w:r/>
      <w:bookmarkStart w:id="650" w:name="_Toc151190176"/>
      <w:r/>
      <w:bookmarkStart w:id="651" w:name="_Toc150509300"/>
      <w:r/>
      <w:bookmarkStart w:id="652" w:name="_Toc226309793"/>
      <w:r/>
      <w:bookmarkStart w:id="653" w:name="_Ref467306425"/>
      <w:r/>
      <w:bookmarkStart w:id="654" w:name="_Toc520356176"/>
      <w:r/>
      <w:bookmarkStart w:id="655" w:name="_Ref467307090"/>
      <w:r/>
      <w:bookmarkStart w:id="656" w:name="_Toc264969239"/>
      <w:r/>
      <w:bookmarkStart w:id="657" w:name="_Toc164351643"/>
      <w:r/>
      <w:bookmarkStart w:id="658" w:name="_Toc195842914"/>
      <w:r/>
      <w:bookmarkStart w:id="659" w:name="_Toc150480787"/>
      <w:r/>
      <w:bookmarkStart w:id="660" w:name="_Toc226337245"/>
      <w:r/>
      <w:bookmarkStart w:id="661" w:name="_Toc150774649"/>
      <w:r/>
      <w:bookmarkStart w:id="662" w:name="_Toc305158817"/>
      <w:r/>
      <w:bookmarkStart w:id="663" w:name="_Toc127151750"/>
      <w:r/>
      <w:bookmarkStart w:id="664" w:name="_Toc164229244"/>
      <w:r/>
      <w:bookmarkStart w:id="665" w:name="_Toc151193791"/>
      <w:r/>
      <w:bookmarkStart w:id="666" w:name="_Toc150774754"/>
      <w:r/>
      <w:bookmarkStart w:id="667" w:name="_Toc151193719"/>
      <w:r/>
      <w:bookmarkStart w:id="668" w:name="_Toc127161463"/>
      <w:r/>
      <w:bookmarkStart w:id="669" w:name="_Toc149720842"/>
      <w:r/>
      <w:bookmarkStart w:id="670" w:name="_Toc164608818"/>
      <w:r/>
      <w:bookmarkStart w:id="671" w:name="_Toc151193863"/>
      <w:r/>
      <w:bookmarkStart w:id="672" w:name="_Toc164608663"/>
      <w:r/>
      <w:bookmarkStart w:id="673" w:name="_Toc164229390"/>
      <w:r/>
      <w:bookmarkStart w:id="674" w:name="_Toc127151549"/>
      <w:r/>
      <w:bookmarkStart w:id="675" w:name="_Toc151193937"/>
      <w:r/>
      <w:bookmarkStart w:id="676" w:name="_Toc151193647"/>
      <w:r>
        <w:rPr>
          <w:rFonts w:hint="eastAsia" w:ascii="宋体" w:hAnsi="宋体" w:cs="宋体"/>
          <w:b/>
          <w:color w:val="000000"/>
          <w:sz w:val="24"/>
          <w:highlight w:val="none"/>
        </w:rPr>
        <w:t xml:space="preserve">中标公告与中标通知书</w:t>
      </w:r>
      <w:bookmarkEnd w:id="648"/>
      <w:r/>
      <w:bookmarkEnd w:id="66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1"/>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142311052"/>
      <w:r/>
      <w:bookmarkStart w:id="678" w:name="_Toc195842915"/>
      <w:r/>
      <w:bookmarkStart w:id="679" w:name="_Toc305158818"/>
      <w:r/>
      <w:bookmarkStart w:id="680" w:name="_Ref467307204"/>
      <w:r/>
      <w:bookmarkStart w:id="681" w:name="_Toc150774755"/>
      <w:r/>
      <w:bookmarkStart w:id="682" w:name="_Toc164608819"/>
      <w:r/>
      <w:bookmarkStart w:id="683" w:name="_Toc264969240"/>
      <w:r/>
      <w:bookmarkStart w:id="684" w:name="_Toc226309794"/>
      <w:r/>
      <w:bookmarkStart w:id="685" w:name="_Toc265228388"/>
      <w:r/>
      <w:bookmarkStart w:id="686" w:name="_Ref467307062"/>
      <w:r/>
      <w:bookmarkStart w:id="687" w:name="_Toc127151550"/>
      <w:r/>
      <w:bookmarkStart w:id="688" w:name="_Toc127151751"/>
      <w:r/>
      <w:bookmarkStart w:id="689" w:name="_Toc226965740"/>
      <w:r/>
      <w:bookmarkStart w:id="690" w:name="_Toc226965823"/>
      <w:r/>
      <w:bookmarkStart w:id="691" w:name="_Ref467306978"/>
      <w:r/>
      <w:bookmarkStart w:id="692" w:name="_Toc150509301"/>
      <w:r/>
      <w:bookmarkStart w:id="693" w:name="_Toc127161464"/>
      <w:r/>
      <w:bookmarkStart w:id="694" w:name="_Toc151190177"/>
      <w:r/>
      <w:bookmarkStart w:id="695" w:name="_Toc151193792"/>
      <w:r/>
      <w:bookmarkStart w:id="696" w:name="_Toc226337246"/>
      <w:r/>
      <w:bookmarkStart w:id="697" w:name="_Toc151193938"/>
      <w:r/>
      <w:bookmarkStart w:id="698" w:name="_Toc164229245"/>
      <w:r/>
      <w:bookmarkStart w:id="699" w:name="_Toc164351644"/>
      <w:r/>
      <w:bookmarkStart w:id="700" w:name="_Toc164229391"/>
      <w:r/>
      <w:bookmarkStart w:id="701" w:name="_Ref467306377"/>
      <w:r/>
      <w:bookmarkStart w:id="702" w:name="_Toc151193648"/>
      <w:r/>
      <w:bookmarkStart w:id="703" w:name="_Toc150480788"/>
      <w:r/>
      <w:bookmarkStart w:id="704" w:name="_Toc149720843"/>
      <w:r/>
      <w:bookmarkStart w:id="705" w:name="_Toc305158892"/>
      <w:r/>
      <w:bookmarkStart w:id="706" w:name="_Toc520356175"/>
      <w:r/>
      <w:bookmarkStart w:id="707" w:name="_Toc150774650"/>
      <w:r/>
      <w:bookmarkStart w:id="708" w:name="_Toc164608664"/>
      <w:r/>
      <w:bookmarkStart w:id="709" w:name="_Toc151193720"/>
      <w:r/>
      <w:bookmarkStart w:id="710" w:name="_Toc151193864"/>
      <w:r>
        <w:rPr>
          <w:rFonts w:hint="eastAsia" w:ascii="宋体" w:hAnsi="宋体" w:cs="宋体"/>
          <w:b/>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3"/>
      <w:r/>
      <w:bookmarkEnd w:id="654"/>
      <w:r/>
      <w:bookmarkEnd w:id="65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1"/>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11" w:name="_Hlt100654014"/>
      <w:r>
        <w:rPr>
          <w:rStyle w:val="1146"/>
          <w:rFonts w:hint="eastAsia" w:ascii="宋体" w:hAnsi="宋体" w:cs="宋体"/>
          <w:color w:val="000000"/>
          <w:highlight w:val="none"/>
        </w:rPr>
        <w:t xml:space="preserve">s</w:t>
      </w:r>
      <w:bookmarkEnd w:id="711"/>
      <w:r>
        <w:rPr>
          <w:rStyle w:val="1146"/>
          <w:rFonts w:hint="eastAsia" w:ascii="宋体" w:hAnsi="宋体" w:cs="宋体"/>
          <w:color w:val="000000"/>
          <w:highlight w:val="none"/>
        </w:rPr>
        <w:t xml:space="preserve">.m</w:t>
      </w:r>
      <w:bookmarkStart w:id="712" w:name="_Hlt100653993"/>
      <w:r/>
      <w:bookmarkStart w:id="713" w:name="_Hlt100653994"/>
      <w:r>
        <w:rPr>
          <w:rStyle w:val="1146"/>
          <w:rFonts w:hint="eastAsia" w:ascii="宋体" w:hAnsi="宋体" w:cs="宋体"/>
          <w:color w:val="000000"/>
          <w:highlight w:val="none"/>
        </w:rPr>
        <w:t xml:space="preserve">o</w:t>
      </w:r>
      <w:bookmarkEnd w:id="712"/>
      <w:r/>
      <w:bookmarkEnd w:id="713"/>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1"/>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14" w:name="_Toc264969244"/>
      <w:r/>
      <w:bookmarkStart w:id="715" w:name="_Toc265228392"/>
      <w:r/>
      <w:bookmarkStart w:id="716" w:name="_Toc353873934"/>
      <w:r/>
      <w:bookmarkStart w:id="717" w:name="_Toc150774759"/>
      <w:r/>
      <w:bookmarkStart w:id="718" w:name="_Toc353825544"/>
      <w:r/>
      <w:bookmarkStart w:id="719" w:name="_Toc150480792"/>
      <w:r/>
      <w:bookmarkStart w:id="720" w:name="_Toc305158822"/>
      <w:r/>
      <w:bookmarkStart w:id="721" w:name="_Toc353873664"/>
      <w:r/>
      <w:bookmarkStart w:id="722" w:name="_Toc142311056"/>
      <w:r/>
      <w:bookmarkStart w:id="723" w:name="_Toc127151554"/>
      <w:r/>
      <w:bookmarkStart w:id="724" w:name="_Toc226965827"/>
      <w:r/>
      <w:bookmarkStart w:id="725" w:name="_Toc226337250"/>
      <w:r/>
      <w:bookmarkStart w:id="726" w:name="_Toc305158896"/>
      <w:r>
        <w:rPr>
          <w:rFonts w:hint="eastAsia" w:ascii="宋体" w:hAnsi="宋体" w:cs="宋体"/>
          <w:color w:val="000000"/>
          <w:sz w:val="24"/>
          <w:highlight w:val="none"/>
        </w:rPr>
        <w:br w:type="page" w:clear="all"/>
      </w:r>
      <w:bookmarkStart w:id="727" w:name="_Toc99301421"/>
      <w:r>
        <w:rPr>
          <w:rFonts w:hint="eastAsia" w:ascii="宋体" w:hAnsi="宋体" w:cs="宋体"/>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color w:val="000000"/>
          <w:sz w:val="36"/>
          <w:szCs w:val="36"/>
          <w:highlight w:val="none"/>
        </w:rPr>
        <w:t xml:space="preserve">资格审查</w:t>
      </w:r>
      <w:bookmarkEnd w:id="727"/>
      <w:r/>
      <w:bookmarkStart w:id="728" w:name="_Toc487900382"/>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9" w:name="_Toc99301422"/>
      <w:r>
        <w:rPr>
          <w:rFonts w:hint="eastAsia" w:ascii="宋体" w:hAnsi="宋体" w:cs="宋体"/>
          <w:b/>
          <w:color w:val="000000"/>
          <w:sz w:val="24"/>
          <w:highlight w:val="none"/>
        </w:rPr>
        <w:t xml:space="preserve">一、资格审查程序</w:t>
      </w:r>
      <w:bookmarkEnd w:id="729"/>
      <w:r>
        <w:rPr>
          <w:rFonts w:hint="eastAsia" w:ascii="宋体" w:hAnsi="宋体" w:cs="宋体"/>
          <w:b/>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bookmarkStart w:id="730" w:name="_Hlt487972895"/>
            <w:r/>
            <w:bookmarkEnd w:id="73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1"/>
        <w:jc w:val="left"/>
        <w:widowControl/>
        <w:rPr>
          <w:rFonts w:hint="eastAsia" w:ascii="宋体" w:hAnsi="宋体" w:cs="宋体"/>
          <w:color w:val="000000"/>
          <w:sz w:val="24"/>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353873940"/>
      <w:r/>
      <w:bookmarkStart w:id="732" w:name="_Toc226965858"/>
      <w:r/>
      <w:bookmarkStart w:id="733" w:name="_Toc353825550"/>
      <w:r/>
      <w:bookmarkStart w:id="734" w:name="_Toc127151779"/>
      <w:r/>
      <w:bookmarkStart w:id="735"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36" w:name="_Toc99301423"/>
      <w:r>
        <w:rPr>
          <w:rFonts w:hint="eastAsia" w:ascii="宋体" w:hAnsi="宋体" w:cs="宋体"/>
          <w:b/>
          <w:color w:val="000000"/>
          <w:sz w:val="36"/>
          <w:szCs w:val="36"/>
          <w:highlight w:val="none"/>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color w:val="000000"/>
          <w:sz w:val="36"/>
          <w:szCs w:val="36"/>
          <w:highlight w:val="none"/>
        </w:rPr>
        <w:t xml:space="preserve">评标程序、评标方法和评标标准</w:t>
      </w:r>
      <w:bookmarkEnd w:id="736"/>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1"/>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38" w:name="_Toc150509292"/>
      <w:r/>
      <w:bookmarkStart w:id="739" w:name="_Toc150480779"/>
      <w:r/>
      <w:bookmarkStart w:id="740" w:name="_Toc164608810"/>
      <w:r/>
      <w:bookmarkStart w:id="741" w:name="_Toc127151541"/>
      <w:r/>
      <w:bookmarkStart w:id="742" w:name="_Toc151193855"/>
      <w:r/>
      <w:bookmarkStart w:id="743" w:name="_Toc127151742"/>
      <w:r/>
      <w:bookmarkStart w:id="744" w:name="_Toc149720834"/>
      <w:r/>
      <w:bookmarkStart w:id="745" w:name="_Toc151193711"/>
      <w:r/>
      <w:bookmarkStart w:id="746" w:name="_Toc226337237"/>
      <w:r/>
      <w:bookmarkStart w:id="747" w:name="_Toc305158809"/>
      <w:r/>
      <w:bookmarkStart w:id="748" w:name="_Toc164608655"/>
      <w:r/>
      <w:bookmarkStart w:id="749" w:name="_Toc151193783"/>
      <w:r/>
      <w:bookmarkStart w:id="750" w:name="_Toc226965814"/>
      <w:r/>
      <w:bookmarkStart w:id="751" w:name="_Toc151190168"/>
      <w:r/>
      <w:bookmarkStart w:id="752" w:name="_Toc151193929"/>
      <w:r/>
      <w:bookmarkStart w:id="753" w:name="_Toc264969231"/>
      <w:r/>
      <w:bookmarkStart w:id="754" w:name="_Toc150774641"/>
      <w:r/>
      <w:bookmarkStart w:id="755" w:name="_Toc195842906"/>
      <w:r/>
      <w:bookmarkStart w:id="756" w:name="_Toc226965731"/>
      <w:r/>
      <w:bookmarkStart w:id="757" w:name="_Toc164351635"/>
      <w:r/>
      <w:bookmarkStart w:id="758" w:name="_Toc150774746"/>
      <w:r/>
      <w:bookmarkStart w:id="759" w:name="_Toc305158883"/>
      <w:r/>
      <w:bookmarkStart w:id="760" w:name="_Toc164229236"/>
      <w:r/>
      <w:bookmarkStart w:id="761" w:name="_Toc265228379"/>
      <w:r/>
      <w:bookmarkStart w:id="762" w:name="_Toc226309785"/>
      <w:r/>
      <w:bookmarkStart w:id="763" w:name="_Toc151193639"/>
      <w:r/>
      <w:bookmarkStart w:id="764" w:name="_Toc127161455"/>
      <w:r/>
      <w:bookmarkStart w:id="765" w:name="_Toc164229382"/>
      <w:r/>
      <w:bookmarkStart w:id="766" w:name="_Toc142311043"/>
      <w:r/>
      <w:bookmarkStart w:id="767" w:name="_Toc353825551"/>
      <w:r/>
      <w:bookmarkStart w:id="768" w:name="_Toc353873941"/>
      <w:r/>
      <w:bookmarkStart w:id="769" w:name="_Toc353873665"/>
      <w:r/>
      <w:bookmarkStart w:id="770" w:name="_Toc265228393"/>
      <w:r/>
      <w:bookmarkStart w:id="771" w:name="_Toc226965828"/>
      <w:r/>
      <w:bookmarkStart w:id="772" w:name="_Toc226337251"/>
      <w:r/>
      <w:bookmarkStart w:id="773" w:name="_Toc353825545"/>
      <w:r/>
      <w:bookmarkStart w:id="774" w:name="_Toc305158897"/>
      <w:r/>
      <w:bookmarkStart w:id="775" w:name="_Toc150774760"/>
      <w:r/>
      <w:bookmarkStart w:id="776" w:name="_Toc353873935"/>
      <w:r/>
      <w:bookmarkStart w:id="777" w:name="_Toc142311057"/>
      <w:r/>
      <w:bookmarkStart w:id="778" w:name="_Toc264969245"/>
      <w:r/>
      <w:bookmarkStart w:id="779" w:name="_Toc127151555"/>
      <w:r/>
      <w:bookmarkStart w:id="780" w:name="_Toc195842920"/>
      <w:r/>
      <w:bookmarkStart w:id="781" w:name="_Toc305158823"/>
      <w:r/>
      <w:bookmarkStart w:id="782" w:name="_Toc150480793"/>
      <w:r>
        <w:rPr>
          <w:rFonts w:hint="eastAsia" w:ascii="宋体" w:hAnsi="宋体" w:cs="宋体"/>
          <w:b/>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3" w:name="_Toc520356167"/>
      <w:r>
        <w:rPr>
          <w:rFonts w:hint="eastAsia" w:ascii="宋体" w:hAnsi="宋体" w:cs="宋体"/>
          <w:color w:val="000000"/>
          <w:sz w:val="24"/>
          <w:highlight w:val="none"/>
        </w:rPr>
      </w:r>
      <w:r/>
    </w:p>
    <w:p>
      <w:pPr>
        <w:pStyle w:val="1071"/>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1"/>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bookmarkEnd w:id="767"/>
      <w:r/>
      <w:bookmarkEnd w:id="768"/>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1"/>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1"/>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4" w:name="_Toc127151747"/>
      <w:r/>
      <w:bookmarkStart w:id="785" w:name="_Toc151193644"/>
      <w:r/>
      <w:bookmarkStart w:id="786" w:name="_Toc150480784"/>
      <w:r/>
      <w:bookmarkStart w:id="787" w:name="_Toc264969236"/>
      <w:r/>
      <w:bookmarkStart w:id="788" w:name="_Toc195842911"/>
      <w:r/>
      <w:bookmarkStart w:id="789" w:name="_Toc164608660"/>
      <w:r/>
      <w:bookmarkStart w:id="790" w:name="_Toc150774646"/>
      <w:r/>
      <w:bookmarkStart w:id="791" w:name="_Toc305158888"/>
      <w:r/>
      <w:bookmarkStart w:id="792" w:name="_Toc151193934"/>
      <w:r/>
      <w:bookmarkStart w:id="793" w:name="_Toc150509297"/>
      <w:r/>
      <w:bookmarkStart w:id="794" w:name="_Toc226965819"/>
      <w:r/>
      <w:bookmarkStart w:id="795" w:name="_Toc265228384"/>
      <w:r/>
      <w:bookmarkStart w:id="796" w:name="_Toc226309790"/>
      <w:r/>
      <w:bookmarkStart w:id="797" w:name="_Toc305158814"/>
      <w:r/>
      <w:bookmarkStart w:id="798" w:name="_Toc164608815"/>
      <w:r/>
      <w:bookmarkStart w:id="799" w:name="_Toc164351640"/>
      <w:r/>
      <w:bookmarkStart w:id="800" w:name="_Toc151190173"/>
      <w:r/>
      <w:bookmarkStart w:id="801" w:name="_Toc226337242"/>
      <w:r/>
      <w:bookmarkStart w:id="802" w:name="_Toc127151546"/>
      <w:r/>
      <w:bookmarkStart w:id="803" w:name="_Ref467307010"/>
      <w:r/>
      <w:bookmarkStart w:id="804" w:name="_Toc151193716"/>
      <w:r/>
      <w:bookmarkStart w:id="805" w:name="_Toc127161460"/>
      <w:r/>
      <w:bookmarkStart w:id="806" w:name="_Toc151193860"/>
      <w:r/>
      <w:bookmarkStart w:id="807" w:name="_Toc150774751"/>
      <w:r/>
      <w:bookmarkStart w:id="808" w:name="_Toc520356170"/>
      <w:r/>
      <w:bookmarkStart w:id="809" w:name="_Toc151193788"/>
      <w:r/>
      <w:bookmarkStart w:id="810" w:name="_Toc164229387"/>
      <w:r/>
      <w:bookmarkStart w:id="811" w:name="_Toc226965736"/>
      <w:r/>
      <w:bookmarkStart w:id="812" w:name="_Toc149720839"/>
      <w:r/>
      <w:bookmarkStart w:id="813" w:name="_Toc142311048"/>
      <w:r/>
      <w:bookmarkStart w:id="814" w:name="_Toc164229241"/>
      <w:r>
        <w:rPr>
          <w:rFonts w:hint="eastAsia" w:ascii="宋体" w:hAnsi="宋体" w:cs="宋体"/>
          <w:b/>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1"/>
        <w:spacing w:line="360" w:lineRule="auto"/>
        <w:tabs>
          <w:tab w:val="left" w:pos="0" w:leader="none"/>
          <w:tab w:val="left" w:pos="567"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1"/>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262"/>
        <w:gridCol w:w="883"/>
        <w:gridCol w:w="3435"/>
        <w:gridCol w:w="2757"/>
      </w:tblGrid>
      <w:tr>
        <w:trPr>
          <w:trHeight w:val="170"/>
        </w:trPr>
        <w:tc>
          <w:tcPr>
            <w:tcW w:w="512"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849"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484"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1"/>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投标报价得分=（评标基准价/投标报价）*50</w:t>
            </w:r>
            <w:r>
              <w:rPr>
                <w:rFonts w:hint="eastAsia" w:ascii="宋体" w:hAnsi="宋体" w:cs="宋体"/>
                <w:b/>
                <w:color w:val="000000"/>
                <w:sz w:val="24"/>
                <w:highlight w:val="none"/>
              </w:rPr>
            </w:r>
            <w:r/>
          </w:p>
        </w:tc>
        <w:tc>
          <w:tcPr>
            <w:tcW w:w="1484"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技术要求的符合性，即对提供货物的技术参数、配置、性能是否符合或优于招标文件要求进行评价。符合技术要求的得23分，技术要求中带“▲”参数为实质性参数，未提供或负偏离将作无效投标处理；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技术要求中带“▲”参数为重要参数，每有一项负偏离的，扣2分；其他参数为一般参数，每有一项负偏离的，扣1分；扣完为止。</w:t>
            </w:r>
            <w:r>
              <w:rPr>
                <w:rFonts w:hint="eastAsia" w:ascii="宋体" w:hAnsi="宋体" w:cs="宋体"/>
                <w:color w:val="000000"/>
                <w:sz w:val="24"/>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rPr>
                <w:rFonts w:hint="eastAsia" w:ascii="宋体" w:hAnsi="宋体" w:cs="宋体"/>
                <w:b/>
                <w:color w:val="000000"/>
                <w:sz w:val="24"/>
                <w:highlight w:val="none"/>
              </w:rPr>
            </w:r>
            <w:r/>
          </w:p>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849"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rPr>
                <w:rFonts w:hint="eastAsia"/>
                <w:bCs/>
                <w:color w:val="000000"/>
                <w:highlight w:val="none"/>
                <w:lang w:bidi="ar"/>
              </w:rPr>
              <w:t xml:space="preserve">提供投标人或者制造商(含制造商其他代理商)自2023年1月1日以来在国内的销售合同（</w:t>
            </w:r>
            <w:r>
              <w:rPr>
                <w:rFonts w:hint="eastAsia"/>
                <w:b/>
                <w:color w:val="000000"/>
                <w:highlight w:val="none"/>
                <w:lang w:bidi="ar"/>
              </w:rPr>
              <w:t xml:space="preserve">合同内产品必须与投标产品或核心产品（非单一产品项目适用）为同品牌同型号</w:t>
            </w:r>
            <w:r>
              <w:rPr>
                <w:rFonts w:hint="eastAsia"/>
                <w:bCs/>
                <w:color w:val="000000"/>
                <w:highlight w:val="none"/>
                <w:lang w:bidi="ar"/>
              </w:rPr>
              <w:t xml:space="preserve">），每提供一份有效合同得1分，最多得2分。</w:t>
            </w:r>
            <w:r>
              <w:rPr>
                <w:rFonts w:hint="eastAsia"/>
                <w:b/>
                <w:color w:val="000000"/>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投标文件提供合同扫描件，未提供不得分。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849"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26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rPr>
                <w:rFonts w:hint="eastAsia" w:ascii="宋体" w:hAnsi="宋体" w:cs="宋体"/>
                <w:color w:val="000000"/>
                <w:sz w:val="24"/>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26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运输安装调试方案</w:t>
            </w:r>
            <w:r>
              <w:rPr>
                <w:rFonts w:hint="eastAsia" w:ascii="宋体" w:hAnsi="宋体" w:cs="宋体"/>
                <w:color w:val="000000"/>
                <w:sz w:val="24"/>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1262"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产品质量保障方案</w:t>
            </w:r>
            <w:r>
              <w:rPr>
                <w:rFonts w:hint="eastAsia" w:ascii="宋体" w:hAnsi="宋体" w:cs="宋体"/>
                <w:color w:val="000000"/>
                <w:sz w:val="24"/>
                <w:highlight w:val="none"/>
              </w:rPr>
            </w:r>
            <w:r/>
          </w:p>
        </w:tc>
        <w:tc>
          <w:tcPr>
            <w:tcW w:w="883" w:type="dxa"/>
            <w:vAlign w:val="center"/>
            <w:textDirection w:val="lrTb"/>
            <w:noWrap w:val="false"/>
          </w:tcPr>
          <w:p>
            <w:pPr>
              <w:pStyle w:val="107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投标人提供产品质量保障方案，包括货物质量保证、货物检验标准、货物来源渠道等。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W w:w="1262"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1262"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883"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方案详细，可操作性强，完全满足项目需要的，得4分；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方案较详细，可操作性较强，基本满足项目需求，略有欠缺需要完善的，得2.5分；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46"/>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rPr>
            </w:r>
            <w:r/>
          </w:p>
        </w:tc>
        <w:tc>
          <w:tcPr>
            <w:tcW w:w="1262" w:type="dxa"/>
            <w:vAlign w:val="center"/>
            <w:textDirection w:val="lrTb"/>
            <w:noWrap w:val="false"/>
          </w:tcPr>
          <w:p>
            <w:pPr>
              <w:pStyle w:val="1071"/>
              <w:jc w:val="left"/>
              <w:widowControl/>
              <w:rPr>
                <w:rFonts w:hint="eastAsia"/>
                <w:color w:val="000000"/>
                <w:highlight w:val="none"/>
              </w:rPr>
            </w:pPr>
            <w:r>
              <w:rPr>
                <w:rFonts w:hint="eastAsia" w:ascii="宋体" w:hAnsi="宋体" w:cs="宋体"/>
                <w:color w:val="000000"/>
                <w:sz w:val="24"/>
                <w:highlight w:val="none"/>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rPr>
            </w:r>
            <w:r/>
          </w:p>
        </w:tc>
        <w:tc>
          <w:tcPr>
            <w:tcW w:w="883"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（采购需求中标注“★”项条款，均为实质性要求，必须满足并响应，按要求提供有关材料，否则投标无效。）</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江苏常州经济开发区街道社区卫生服务中心2026年采购医疗设备一批项目，具体内容包括：设备的制造（采购）、运输、装卸、安装、调试、测试、售后服务、技术培训等，直至通过采购单位及其他相关部门的验收以及质保、免费维保等全部工作。</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lang w:bidi="ar"/>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659"/>
        <w:gridCol w:w="3383"/>
        <w:gridCol w:w="845"/>
        <w:gridCol w:w="3488"/>
      </w:tblGrid>
      <w:tr>
        <w:trPr/>
        <w:tc>
          <w:tcPr>
            <w:tcW w:w="48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包号</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序号</w:t>
            </w:r>
            <w:r>
              <w:rPr>
                <w:rFonts w:ascii="宋体" w:hAnsi="宋体" w:cs="宋体"/>
                <w:color w:val="000000"/>
                <w:sz w:val="24"/>
                <w:highlight w:val="none"/>
                <w:lang w:bidi="ar"/>
              </w:rPr>
            </w:r>
            <w:r/>
          </w:p>
        </w:tc>
        <w:tc>
          <w:tcPr>
            <w:tcW w:w="1822"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设备名称</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数量</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w:t>
            </w:r>
            <w:r>
              <w:rPr>
                <w:rFonts w:hint="eastAsia" w:ascii="宋体" w:hAnsi="宋体" w:cs="宋体"/>
                <w:i/>
                <w:iCs/>
                <w:color w:val="000000"/>
                <w:sz w:val="24"/>
                <w:highlight w:val="none"/>
                <w:lang w:bidi="ar"/>
              </w:rPr>
              <w:t xml:space="preserve">备注</w:t>
            </w:r>
            <w:r>
              <w:rPr>
                <w:rFonts w:ascii="宋体" w:hAnsi="宋体" w:cs="宋体"/>
                <w:i/>
                <w:iCs/>
                <w:color w:val="000000"/>
                <w:sz w:val="24"/>
                <w:highlight w:val="none"/>
                <w:lang w:bidi="ar"/>
              </w:rPr>
            </w:r>
            <w:r/>
          </w:p>
        </w:tc>
      </w:tr>
      <w:tr>
        <w:trPr/>
        <w:tc>
          <w:tcPr>
            <w:tcW w:w="48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包01</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彩色多普勒超声系统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i/>
                <w:iCs/>
                <w:color w:val="000000"/>
                <w:sz w:val="24"/>
                <w:highlight w:val="none"/>
                <w:lang w:bidi="ar"/>
              </w:rPr>
            </w:r>
            <w:r/>
          </w:p>
        </w:tc>
      </w:tr>
      <w:tr>
        <w:trPr>
          <w:trHeight w:val="606"/>
        </w:trPr>
        <w:tc>
          <w:tcPr>
            <w:tcW w:w="488" w:type="dxa"/>
            <w:vAlign w:val="center"/>
            <w:vMerge w:val="restart"/>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包02</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left"/>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基层慢病两筛三防智能管理系统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rHeight w:val="473"/>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体征采集管理系统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人体成分分析仪</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90"/>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血压脉搏测量装置</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动态血压监测仪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465"/>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上下肢康复运动训练器</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康复数据处理软件</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动态心肺功能数据分析软件</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便携式多参数健康检查仪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便携式全自动多功能检测仪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包03</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牙科综合治疗机（种植款）</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口腔数字印模仪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牙科种植机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种植体稳固度检测仪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包04</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牙科影像板扫描仪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口腔曲面体层X射线机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hint="eastAsia" w:ascii="宋体" w:hAnsi="宋体" w:cs="宋体"/>
                <w:b/>
                <w:bCs/>
                <w:i/>
                <w:iCs/>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包05</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数字式心电图机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屈光筛查仪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包06</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牙科X射线机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呼吸机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包01：彩色多普勒超声系统</w:t>
      </w:r>
      <w:r>
        <w:rPr>
          <w:rFonts w:hint="eastAsia" w:ascii="宋体" w:hAnsi="宋体" w:cs="宋体"/>
          <w:b/>
          <w:color w:val="000000"/>
          <w:sz w:val="24"/>
          <w:highlight w:val="none"/>
          <w:lang w:bidi="ar"/>
        </w:rPr>
      </w:r>
      <w:r/>
    </w:p>
    <w:p>
      <w:pPr>
        <w:pStyle w:val="107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（一）设备用途：</w:t>
      </w:r>
      <w:r>
        <w:rPr>
          <w:rFonts w:hint="eastAsia" w:ascii="宋体" w:hAnsi="宋体" w:cs="宋体"/>
          <w:color w:val="000000"/>
          <w:sz w:val="24"/>
          <w:highlight w:val="none"/>
          <w:lang w:bidi="ar"/>
        </w:rPr>
        <w:t xml:space="preserve">适用于腹部、产科、妇科、心脏、小器官、泌尿、血管、儿科、神经、急诊、麻醉、其他。</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（二）物理规格及人机交互要求</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2.1显示器要求：≥23英寸高分辨率彩色液晶显示器，亮度对比度可调，≥4个显示器关节支撑臂，显示器可以上下倾斜、左右旋转、前后移动，具有独立的显示器锁定装置（非关节臂锁定）；</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2.2触摸屏要求：≥13英寸彩色触摸屏，触摸屏角度可以独立于主机调节；</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2.3触摸屏支持手势控制，支持手写和带上橡胶手套触摸，支持触摸屏编辑（长按进行按钮添加、删除、或移动），支持将显示器上的超声图像投影到触摸屏上，通过手指进行放大，描迹测量等操作；</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2.4具备最近使用过的检查探头和其模式记录，可一键切换到最常用探头和其模式；</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▲2.5操作面板具有6向独立调节功能（即电动上下升降、左右旋转和前后平移），方便操作者进行操作；</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2.6探头接口数量≥5个（5个探头接口均为无针式接口且大小一致）；</w:t>
      </w:r>
      <w:r>
        <w:rPr>
          <w:rFonts w:hint="eastAsia" w:ascii="宋体" w:hAnsi="宋体" w:cs="宋体"/>
          <w:color w:val="000000"/>
          <w:sz w:val="24"/>
          <w:highlight w:val="none"/>
        </w:rPr>
      </w:r>
      <w:r/>
    </w:p>
    <w:p>
      <w:pPr>
        <w:pStyle w:val="1071"/>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▲2.7中央刹车和直行锁功能（提供机器图片）；</w:t>
      </w:r>
      <w:r>
        <w:rPr>
          <w:rFonts w:hint="eastAsia" w:ascii="宋体" w:hAnsi="宋体" w:cs="宋体"/>
          <w:color w:val="000000"/>
          <w:sz w:val="24"/>
          <w:highlight w:val="none"/>
        </w:rPr>
      </w:r>
      <w:r/>
    </w:p>
    <w:p>
      <w:pPr>
        <w:pStyle w:val="1071"/>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2.8具备面板集成式物理键盘（非抽拉式或软键盘）。</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（三）系统成像技术</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3.1全域动态聚焦技术，声像图全程动态聚焦技术，全场图像均匀一致，图像上无焦点显示，仪器无任何实体和触摸按键可调节焦点；</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3.2具备B模式局部ROI区域高分辨率显示技术，提高感兴趣区的二维图像分辨率和细节分辨率，支持实时显示高分辨率显示取样框，且支持高分辨率显示取样框的大小可调节，有利于甲状腺等组织肿块的鉴别诊断；</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3.3穿刺针增强技术，凸阵和线阵探头均可支持，具有双屏双实时对比显示，增强前后效果，并支持自适应校正角度；</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3.4支持二维宽景和能量宽景，具有红、蓝、绿三种彩色框及文字提示扫描速度过快、过慢或者正常；</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▲3.5具有2种血管标记功能，一种为专业血管图谱编辑功能，可手动编辑图谱，直观显示病变的位置；一种为传统体表体位图标记；</w:t>
      </w:r>
      <w:r>
        <w:rPr>
          <w:rFonts w:hint="eastAsia" w:ascii="宋体" w:hAnsi="宋体" w:cs="宋体"/>
          <w:color w:val="000000"/>
          <w:sz w:val="24"/>
          <w:highlight w:val="none"/>
          <w:lang w:bidi="ar"/>
        </w:rPr>
      </w:r>
      <w:r/>
    </w:p>
    <w:p>
      <w:pPr>
        <w:pStyle w:val="1071"/>
        <w:ind w:firstLine="482"/>
        <w:jc w:val="left"/>
        <w:spacing w:line="360" w:lineRule="auto"/>
        <w:widowControl/>
        <w:rPr>
          <w:rFonts w:hint="eastAsia" w:ascii="宋体" w:hAnsi="宋体" w:cs="宋体"/>
          <w:color w:val="000000"/>
          <w:sz w:val="24"/>
          <w:highlight w:val="none"/>
          <w:lang w:bidi="ar"/>
        </w:rPr>
      </w:pPr>
      <w:r>
        <w:rPr>
          <w:rFonts w:hint="eastAsia" w:ascii="宋体" w:hAnsi="宋体" w:cs="宋体"/>
          <w:b/>
          <w:bCs/>
          <w:i/>
          <w:iCs/>
          <w:color w:val="000000"/>
          <w:sz w:val="24"/>
          <w:highlight w:val="none"/>
          <w:lang w:bidi="ar"/>
        </w:rPr>
        <w:t xml:space="preserve">★3.6声衰减成像技术，可对肝脏组织的衰减系数进行测量及可视化显示，用干脂肪肝和肝纤维化的量化评估诊断。能够提供客观量化指标、规避人为因素影响；</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▲3.7支持局部声速值，采用自动声速相关算法来测量了肝脏中的声速变化，根据肝实质回波信号测量声速大小，以量化与肝脏脂肪变性严重程度相关的脂肪含量。</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▲3.8支持肝肾比测量，基于B图像自动计算肾皮质和肝脏的灰阶比值进行肝脂肪变性评估，一键式肝肾皮质识别，实现快速简便的肝脂肪变性评估。</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▲3.9支持肝纹理功能，通过肝脏图像纹理特征分析，辅助定量评估肝脏脂肪变性程度。</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3.10 具备区域的血流定量分析技术，可获得感兴趣区内血管分布量，在疾病诊断、随访、疗效评估或制定治疗方案中提供指导信息。</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3.11超微细血流成像技术，对微细低速血流具有高敏感度，可检测并显示组织内部及病灶血流灌注的低速血流，明显提高血流敏感度、血管空间分辨力。</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▲3.12支持动态向量血流，通过彩色编码的向量箭头来追踪血流速度的大小和方向，生动且准确地显示外周血管的血流动力学特征。</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▲3.13动态向量血流成像要求无角度依赖，且分辨率达到毫秒级。</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（四）高级成像功能</w:t>
      </w:r>
      <w:r>
        <w:rPr>
          <w:rFonts w:hint="eastAsia" w:ascii="宋体" w:hAnsi="宋体" w:cs="宋体"/>
          <w:b/>
          <w:bCs/>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4.1造影成像</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▲4.1.1具备造影时序分析功能，使用不同颜色标记造影剂到达时间，方便观察并比较病灶及组织的造影剂灌注特点，可对彩色和时间进行设置；</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4.1.2支持造影，实时显示组织图像和造影图像，支持造影击碎，支持斑点噪声抑制，具备混合模式，支持造影图像和组织图像位置互换，成像帧率：凸阵探头10cm深度，扫描角度45°，帧率≥30帧/秒，线阵探头4cm深度，帧率≥50帧/秒；</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4.2.弹性成像</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4.2.1支持应变式弹性成像支持应变、应变率和应变直方图的测量，具有肿块周边组织与正常组织、肿块周边组织与肿块内组织弹性分析功能；</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color w:val="000000"/>
          <w:sz w:val="24"/>
          <w:highlight w:val="none"/>
        </w:rPr>
      </w:pPr>
      <w:r>
        <w:rPr>
          <w:rFonts w:hint="eastAsia" w:ascii="宋体" w:hAnsi="宋体" w:cs="宋体"/>
          <w:b/>
          <w:bCs/>
          <w:i/>
          <w:iCs/>
          <w:color w:val="000000"/>
          <w:sz w:val="24"/>
          <w:highlight w:val="none"/>
          <w:lang w:bidi="ar"/>
        </w:rPr>
        <w:t xml:space="preserve">★4.2.2剪切波定量弹性成像，动态显示二维剪切波弹性成像图，支持凸阵探头、线阵探头和腔内双平面探头（一线一凸）；</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4.2.3具有病灶周边浸润区的环形定量工具，同时需具有实体的专用的按键调节精准控制，环形的大小分级分档，可视可调；</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▲4.2.4支持在同一切面下同时进行应变式弹性成像和剪切波弹性成像并实时双幅显示。</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（五）测量和报告</w:t>
      </w:r>
      <w:r>
        <w:rPr>
          <w:rFonts w:hint="eastAsia" w:ascii="宋体" w:hAnsi="宋体" w:cs="宋体"/>
          <w:b/>
          <w:bCs/>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5.1可支持乳腺病灶自动分析功能</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▲5.1.1可自动识别乳腺病灶边界，自动分析病灶形态，边缘，回声类型，后方回声，钙化及血流状态。分析结果自动进入报告。可自动识别并同屏显示同一病灶≥4相交切面图像，支持≥6个病灶的自动分析。</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5.2.可支持甲状腺病灶自动分析功能</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▲5.2.1可支持识别甲状腺病灶边界，自动分析病灶形态，边缘，回声类型，后方回声，钙化及血流状态。分析结果自动进入报告。可自动识别并同屏显示同一病灶≥3相交切面图像，支持≥6个病灶的自动分析。</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（六）探头规格</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 可支持宽频面阵线阵探头，最大阵元数≥500阵元</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 系统最高可支持探头频率：≥30MHz</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b/>
          <w:bCs/>
          <w:i/>
          <w:iCs/>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b/>
          <w:bCs/>
          <w:i/>
          <w:iCs/>
          <w:color w:val="000000"/>
          <w:sz w:val="24"/>
          <w:highlight w:val="none"/>
          <w:lang w:bidi="ar"/>
        </w:rPr>
        <w:t xml:space="preserve">6.3探头配置（3把）：单晶体凸阵探头、宽频线阵探头、腔内凸阵探头</w:t>
      </w:r>
      <w:r>
        <w:rPr>
          <w:rFonts w:hint="eastAsia" w:ascii="宋体" w:hAnsi="宋体" w:cs="宋体"/>
          <w:b/>
          <w:bCs/>
          <w:i/>
          <w:iCs/>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6.4 探头频率:</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单晶体凸阵探头频率：1.2-6.0 MHz</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宽频线阵探头频率：4.0-15.0 MHz</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腔内凸阵频率: 3.0-11.0 MHz</w:t>
      </w:r>
      <w:r>
        <w:rPr>
          <w:rFonts w:hint="eastAsia" w:ascii="宋体" w:hAnsi="宋体" w:cs="宋体"/>
          <w:color w:val="000000"/>
          <w:sz w:val="24"/>
          <w:highlight w:val="none"/>
          <w:lang w:bidi="ar"/>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 外设和附件及其他要求</w:t>
      </w:r>
      <w:r>
        <w:rPr>
          <w:rFonts w:hint="eastAsia" w:ascii="宋体" w:hAnsi="宋体" w:cs="宋体"/>
          <w:b/>
          <w:bCs/>
          <w:color w:val="000000"/>
          <w:sz w:val="24"/>
          <w:highlight w:val="none"/>
        </w:rPr>
      </w:r>
      <w:r/>
    </w:p>
    <w:p>
      <w:pPr>
        <w:pStyle w:val="1071"/>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7.1耦合剂加热器，支持实体按键开关，温度多级可调</w:t>
      </w:r>
      <w:r>
        <w:rPr>
          <w:rFonts w:hint="eastAsia" w:ascii="宋体" w:hAnsi="宋体" w:cs="宋体"/>
          <w:color w:val="000000"/>
          <w:sz w:val="24"/>
          <w:highlight w:val="none"/>
          <w:lang w:bidi="ar"/>
        </w:rPr>
      </w:r>
      <w:r/>
    </w:p>
    <w:p>
      <w:pPr>
        <w:pStyle w:val="1071"/>
        <w:ind w:firstLine="482"/>
        <w:jc w:val="left"/>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★7.2 </w:t>
      </w:r>
      <w:r>
        <w:rPr>
          <w:rFonts w:hint="eastAsia" w:ascii="宋体" w:hAnsi="宋体" w:cs="宋体"/>
          <w:b/>
          <w:bCs/>
          <w:i/>
          <w:iCs/>
          <w:color w:val="000000"/>
          <w:sz w:val="24"/>
          <w:highlight w:val="none"/>
          <w:lang w:bidi="ar"/>
        </w:rPr>
        <w:t xml:space="preserve">设备接口免费开放，接入医院现有信息系统，并承担接口费用，投标时提供承诺函。</w:t>
      </w:r>
      <w:r>
        <w:rPr>
          <w:rFonts w:hint="eastAsia" w:ascii="宋体" w:hAnsi="宋体" w:cs="宋体"/>
          <w:b/>
          <w:bCs/>
          <w:i/>
          <w:iCs/>
          <w:color w:val="000000"/>
          <w:sz w:val="24"/>
          <w:highlight w:val="none"/>
          <w:lang w:bidi="ar"/>
        </w:rPr>
        <w:t xml:space="preserve">。</w:t>
      </w:r>
      <w:r>
        <w:rPr>
          <w:rFonts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包02：慢病筛防中心设备一批</w:t>
      </w:r>
      <w:r>
        <w:rPr>
          <w:rFonts w:hint="eastAsia" w:ascii="宋体" w:hAnsi="宋体" w:cs="宋体"/>
          <w:b/>
          <w:color w:val="000000"/>
          <w:sz w:val="24"/>
          <w:highlight w:val="none"/>
          <w:lang w:bidi="ar"/>
        </w:rPr>
      </w:r>
      <w:r/>
    </w:p>
    <w:p>
      <w:pPr>
        <w:pStyle w:val="1071"/>
        <w:ind w:firstLine="482"/>
        <w:jc w:val="left"/>
        <w:spacing w:line="360" w:lineRule="exact"/>
        <w:rPr>
          <w:rFonts w:ascii="宋体" w:hAnsi="宋体" w:cs="宋体"/>
          <w:b/>
          <w:bCs/>
          <w:i/>
          <w:iCs/>
          <w:color w:val="000000"/>
          <w:sz w:val="24"/>
          <w:highlight w:val="none"/>
        </w:rPr>
      </w:pPr>
      <w:r>
        <w:rPr>
          <w:rFonts w:hint="eastAsia" w:ascii="宋体" w:hAnsi="宋体" w:cs="宋体"/>
          <w:b/>
          <w:bCs/>
          <w:i/>
          <w:iCs/>
          <w:color w:val="000000"/>
          <w:sz w:val="24"/>
          <w:highlight w:val="none"/>
          <w:lang w:bidi="ar"/>
        </w:rPr>
        <w:t xml:space="preserve">★</w:t>
      </w:r>
      <w:r>
        <w:rPr>
          <w:rFonts w:hint="eastAsia" w:ascii="宋体" w:hAnsi="宋体" w:cs="宋体"/>
          <w:b/>
          <w:bCs/>
          <w:i/>
          <w:iCs/>
          <w:color w:val="000000"/>
          <w:sz w:val="24"/>
          <w:highlight w:val="none"/>
        </w:rPr>
        <w:t xml:space="preserve">总体要求：</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免费提供接口协议文档，并提供数据对接远程咨询服务，及关于对接文档相关技术解读服务；同时</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根据需求应接入基层慢病两筛三防系统的，需按照要求接入系统。（提供承诺函）</w:t>
      </w:r>
      <w:r>
        <w:rPr>
          <w:rFonts w:ascii="宋体" w:hAnsi="宋体" w:cs="宋体"/>
          <w:b/>
          <w:bCs/>
          <w:i/>
          <w:iCs/>
          <w:color w:val="000000"/>
          <w:sz w:val="24"/>
          <w:highlight w:val="none"/>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（一）基层慢病两筛三防智能管理系统</w:t>
      </w:r>
      <w:r>
        <w:rPr>
          <w:rFonts w:hint="eastAsia" w:ascii="宋体" w:hAnsi="宋体" w:cs="宋体"/>
          <w:b/>
          <w:bCs/>
          <w:color w:val="000000"/>
          <w:sz w:val="24"/>
          <w:highlight w:val="none"/>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▲1、具备计算机软件著作权登记证书；</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手机端筛查系统：根据医疗单位生成专属二维码，居民通过微信扫码即可进行自我测评糖尿病的患病风险等级，根据自评结果居民可以自主选择对应医疗机构进行进一步检测，同时对应医疗机构也可根据居民测评结果主动联系需要进一步检测的居民。通过用户管理系统，生成卫生服务站专属二维码，具有医疗单位二维码同等功能，可统计卫生服务站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工作站业务系统主要功能：支持手机端测评数据互通；支持居民自测基础体征数据互通；支持亚健康人员分步骤筛查，以确认居民是健康人群、糖尿病前期人群、糖尿病患者人群；支持对糖尿病人的长期管理；支持运动处方、营养处方、药物处方的执行；执行院外血糖、血压监测并数据互通；支持身份证检查；支持各种并发症筛查设备的数据互通；支持不同类型的报告打印等；</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4、软件包含管理模块：“两筛三防”管理、糖尿病并发症筛查工作站管理、高血压靶器官筛查工作站管理、运动干预控糖工作站管理等功能；</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5、接诊中心：具备手机端筛查及患者建档，支持患者分诊、转诊及流转至对应管理平台，支持筛查设备及档案互通；</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6、设备互联互通：具备将体征采集设备数据与系统完全互通，具备将所有检测设备数据与系统完全互通，实现数据完全汇总与统一；</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7、并发检测：支持多人同时在不同的设备上进行测量。数据自动传输到对应的档案中；</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8、指引单与报告单打印：支持指引单、诊前报告、诊后报告打印，方便患者熟悉就诊流程，方便医生了解患者院外管理情况，方便患者诊后执行医嘱；</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9、家庭医生签约：本系统支持家医团队管理，患者建档去各科室做完检查后，可以直接签约家庭医生，并自动在系统中选择对应的家医团队进行后期疾病管理；</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10、公卫系统对接：系统开放端口，可以与公卫系统进行对接，减少基层卫生医疗机构工作量；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数据统计：根据患者检测数据自动进行各类风险分类，分为高危、中危、低危，以及高危触发上级医院转诊功能；可以进行医生工作量数据统计；可以进行大数据的全面分析，包含常规统计和数据分析，方便全面管理慢病患者，同时可根据基层卫生医疗机构需求，设置统计项；</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12、糖尿病并发症筛查配套设备工作站管理功能：眼底照相机、ABI多普勒血流分析仪、感觉神经检查仪、ACR特种蛋白分析仪等设备对接及数据上传；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13、高血压靶器官并发症筛查配套设备工作站管理功能：包含彩色超声多普勒、动脉硬化检测、动态血压检测、动态心电图检测等设备对接及数据上传；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14、运动干预控糖工作站配套设备工作站管理功能：包含人体成分分析仪、功率车、智能推胸划船训练器、智能踢腿勾腿训练器等设备对接及数据上传；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▲15、统计、存储、汇总各并发症检查设备对同一个病人历次检查结果（含各报告及数值汇总），跟踪了解病情发展，以便主诊医生做出最佳合理的诊疗方案；</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16、可扩展功能：本系统支持可扩展至高血压、高血脂、肥胖、慢阻肺、哮喘等多种慢病管理功能；</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▲17、系统内建立村医工作平台，提升普筛效率，便于统计村医工作量。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18、支持村医系统数据互通。</w:t>
      </w:r>
      <w:r>
        <w:rPr>
          <w:rFonts w:hint="eastAsia" w:ascii="宋体" w:hAnsi="宋体" w:cs="宋体"/>
          <w:color w:val="000000"/>
          <w:sz w:val="24"/>
          <w:highlight w:val="none"/>
          <w:lang w:bidi="ar"/>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（二）体征采集管理系统</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1、身高测量方式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1.1显示方式：≥7.0英寸液晶显示屏；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1.2身高：20－210cm精确度：±0.1cm；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1.3体重：1kg－500kg精确度：±0.1kg；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1.4提供身高体重数据采集软件著作权证书；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2、血压测量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2.1显示方法：TFT显示屏(≥8英寸),分辨率：≥800*600像素；</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2.2测量方法：示波法；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2.3测量范围：压力：0 mmHg~300mmHg(0.0kPa~40.0kPa)；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2.4脉搏：35-200次/分；</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2.5收缩压40mmHg~270mmHg(5.3kPa~36.0kPa)；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舒张压20mmHg~220mmHg(2.6kPa~29.3kPa)；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2.6提供血压采集相关的软件著作权证书；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3、心电测量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3.1检测通道数：1个（心电信号）；</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3.2测量电极：3个一体化金属电极；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3.3测量部位：所测心电信号可为标准I导联（右手与左手之间）；</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4、人体脂肪测量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测量项目：至少包含脂肪率、水分率、肌肉量、骨骼量、基础代谢量、脂肪等级、身体年龄、蛋白质率、细胞外水分率、其它成分等。性能：人体生物电阻法精准测量，可判断消瘦、标准、健壮、肥胖等体型并给出身体年龄评分；</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4.2提供人体成分相关的软件著作权证书；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5、血氧饱和度测量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5.1测量范围：70-100%（±2%正常，±3%运动或弱灌注，70%以下未定义）；</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5.2检测指标：脉率、血氧饱和度、灌注指数（PI）；</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6、体温测量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6.1体温测量：非接触式精密红外线额温测量仪；</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6.2测量范围：34℃-43℃、分度值：0.1℃、测量距离：1-5CM；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7、胆固醇测量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7.1测试时间：≤30秒；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8、血糖测量，测试时间：≤10秒；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9、尿酸测量测试时间：≤15秒；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10、腰臀围测量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10.1测量范围：1-1500mm；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11、心理健康测评系统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11.1题库类型：至少有12项专业心理测试题库，包含UCLA孤独量表、人际关系综合诊断量表、成人心理压力量表、哈佛性向测试、焦虑自评量表（SAS）、老年人抑郁量表、情商（EQ）测试、日常生活能力量表、社会功能缺陷筛选量表、抑郁自评量表、心理年龄量表、心理衰老测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11.2测评报告：报告单有测评得分和测评结果，测量者可以根据具体情况给予被测者以相应的建议；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11.3访问方式：客户端；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11.4可提供心理测评相关的软件著作权证书；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11.5为防止数据错乱和保证报告的独立性，系统为独立的模块应用（提供软件截图）；</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12、中医体质辨识系统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12.1检测项目：阳虚体质-怕冷派、阴虚体质-缺水派、痰湿体质-痰派、湿热体质-长痘派、气虚体质-气短派、血瘀体质-长斑派、气郁体质-郁闷派、特禀体质-过敏派、平和体质-健康派</w:t>
      </w:r>
      <w:r>
        <w:rPr>
          <w:rFonts w:hint="eastAsia"/>
          <w:color w:val="000000"/>
          <w:highlight w:val="none"/>
        </w:rPr>
        <w:t xml:space="preserve">；</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12.2可提供中医体质辨识相关的软件著作权证书；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13、健康体检一体机体检系统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13.1支持刷二代身份证或手动输入自助建档检测，体检数据上传至健康数据管理平台个人健康档案中，并支持刷身份证与输入身份证号查询个人体检报告；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13.2提供微信端查询功能，体检者可通过扫描二维码远程自助查询个人体检报告；（提供软件截图）</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13.3每检测完一个项目，结果同步显现；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13.4支持设置数据上传服务器地址，通过网络传输将数据实时上传至指定数据服务端；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13.5可查看以往每次体检报告，并可打印A4纸张报告单；报告单对检测项目进行分项分析，并对异常项目汇总，对异常项目提供健康促进方案参考，并生成A4规格报告单；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13.6一体机系统须开放数据接口，支持和第三方数据平台对接，将检测数据上传到指定的数据服务端；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13.7一体机系统后台可自由配置检测项目；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13.8可提供健康一体机体检相关的软件著作权证书；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14、</w:t>
      </w:r>
      <w:r>
        <w:rPr>
          <w:rFonts w:hint="eastAsia" w:ascii="宋体" w:hAnsi="宋体" w:cs="宋体"/>
          <w:b/>
          <w:bCs/>
          <w:color w:val="000000"/>
          <w:sz w:val="24"/>
          <w:highlight w:val="none"/>
        </w:rPr>
        <w:t xml:space="preserve">组网配件要求</w:t>
      </w:r>
      <w:r>
        <w:rPr>
          <w:rFonts w:hint="eastAsia" w:ascii="宋体" w:hAnsi="宋体" w:cs="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1.内置PC</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1.1内存：≥8G DDR4；</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1.2固态硬盘：≥SSD 128G；</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1.3支持输出：VGA+LVDS+HDMI+eDP；</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1.4支持上电开机，网络唤醒，定时开始，无人值守等模式；</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2.身份证读卡器</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2.1符合居民身份证阅读器通用技术要求，兼容ISO14443（TypeB）标准；采用非接触式IC卡技术，与计算机或其它设备连接可用于读取居民身份证专用芯片内相关信息</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2.2天线能量输出；1）天线表面磁场强度（Hmax）≤7.5A/m rms；2）天线表面法线方向5cm处电磁场强度（Hmin）≥1.5A/m rms</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2.3接口：RS-232C或USB接口；</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2.4阅读距离：0-8cm；</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2.5嵌入终端式设计；</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3.提供配套打印设备</w:t>
            </w:r>
            <w:r>
              <w:rPr>
                <w:rFonts w:ascii="宋体" w:hAnsi="宋体" w:cs="宋体"/>
                <w:color w:val="000000"/>
                <w:sz w:val="24"/>
                <w:highlight w:val="none"/>
              </w:rPr>
            </w:r>
            <w:r/>
          </w:p>
        </w:tc>
      </w:tr>
    </w:tbl>
    <w:p>
      <w:pPr>
        <w:pStyle w:val="1071"/>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（三）人体成分分析仪</w:t>
      </w:r>
      <w:r>
        <w:rPr>
          <w:rFonts w:hint="eastAsia" w:ascii="宋体" w:hAnsi="宋体" w:cs="宋体"/>
          <w:b/>
          <w:bCs/>
          <w:color w:val="000000"/>
          <w:sz w:val="24"/>
          <w:highlight w:val="none"/>
          <w:lang w:bidi="ar"/>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1、测量原理：多频率生物电阻抗测试法（BIA）；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2、测量方法：测得生物电阻抗、体重，根据输入身高、性别、年龄，导入不同的回归式，推算出人体成分各项数据；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3、设备用途：通过生物电阻抗分析法，测量体内水分、脂肪、肌肉、骨骼等成分在人体中所占的比例，得出的相关参考数据用于辅助诊断与治疗；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▲4、测量时间：≤15秒</w:t>
      </w:r>
      <w:r>
        <w:rPr>
          <w:rFonts w:hint="eastAsia"/>
          <w:color w:val="000000"/>
          <w:highlight w:val="none"/>
        </w:rPr>
        <w:t xml:space="preserve">；</w:t>
      </w:r>
      <w:r>
        <w:rPr>
          <w:rFonts w:hint="eastAsia" w:ascii="宋体" w:hAnsi="宋体" w:cs="宋体"/>
          <w:color w:val="000000"/>
          <w:sz w:val="24"/>
          <w:highlight w:val="none"/>
        </w:rPr>
      </w:r>
      <w:r/>
    </w:p>
    <w:p>
      <w:pPr>
        <w:pStyle w:val="109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5、测量系统：双频(6.25kHz/50kHz)-4电极；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6、测量模式：普通人（成人、儿童）、孕妇；</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7、测量电流：≤90μA；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8、电极材料：不锈钢；</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9、测量部位：全身；</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10、电阻抗测量范围：150.0～1000.00Ω（0.1Ω单位）；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11、体重量程：2～270 kg（0.1kg单位）；体重准确度等级：III级；衣物重量：0~10.00 kg(0.1 kg单位)；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12、脂肪率：3.0～75.0%（0.1%单位），脂肪率分析：全身；</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13、基础代谢：1kcal/1kJ/天单位；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14、基础代谢年龄：可对基础代谢水平进行评价；</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15、身高：90.0～249.9 cm(0.1 cm单位)；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16、测试意见：根据不同年龄、不同体质、不同性别，给出不同测试意见和建议；</w:t>
      </w:r>
      <w:r>
        <w:rPr>
          <w:rFonts w:hint="eastAsia" w:ascii="宋体" w:hAnsi="宋体" w:cs="宋体"/>
          <w:color w:val="000000"/>
          <w:sz w:val="24"/>
          <w:highlight w:val="none"/>
        </w:rPr>
      </w:r>
      <w:r/>
    </w:p>
    <w:p>
      <w:pPr>
        <w:pStyle w:val="107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17、测量单位</w:t>
      </w:r>
      <w:r>
        <w:rPr>
          <w:rFonts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 骨量：0.1kg单位；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▲17.2 </w:t>
      </w:r>
      <w:r>
        <w:rPr>
          <w:rFonts w:hint="eastAsia" w:ascii="宋体" w:hAnsi="宋体" w:cs="宋体"/>
          <w:color w:val="000000"/>
          <w:sz w:val="24"/>
          <w:highlight w:val="none"/>
        </w:rPr>
        <w:t xml:space="preserve">内脏脂肪等级：1～59；</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17.3 肥胖程度：0.1%单位；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18、国际通用的WHO的肥胖标准分析表；</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19、输出值（成人报告）：至少包含体重、体脂肪率、体脂肪量、除脂体重、肌肉量、体水分率、体水分量、推定骨量、身体质量指数、基础代谢率、基础代谢年龄、内脏脂肪等级、肥胖程度；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20、输出值（儿童报告）：至少包含体重、体脂肪率、脂肪量、除脂肪重、肌肉量、体水分率、身体成分构成图显示、儿童肥胖指数、基础代谢率、成长曲线图、BMI、推定骨量；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21、体型判定图表：根据体脂肪率和肌肉量的合理比例，至少分为9种体型，包含：隐型肥胖型、肥胖型、偏胖型、运动不足型、标准型、标准肌肉型、偏瘦型、偏瘦肌肉型、肌肉发达型；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22、年龄范围：5～99岁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23、评估类型：体型判定、健康诊断/成分控制、附带测试意见；</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24、资料数据储存：直接通过数据线保存至电脑及Excel输出；</w:t>
      </w:r>
      <w:r>
        <w:rPr>
          <w:rFonts w:hint="eastAsia" w:ascii="宋体" w:hAnsi="宋体" w:cs="宋体"/>
          <w:b/>
          <w:bCs/>
          <w:color w:val="000000"/>
          <w:sz w:val="24"/>
          <w:highlight w:val="none"/>
          <w:lang w:bidi="ar"/>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（四）血压脉搏测量装置</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1、四肢同步测量血压，四肢同步检测ABI、baPWV；</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▲2、显示心音图、心电图、四肢脉搏波形图，提供配套台车（含处理端和打印端），支持远程功能（网线，WIFI，4G），诊断结果自动生成，用户可选择诊断词条编辑诊断结果；</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3、开始检查后无需人工干预，自动生成报告；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4、完善的病历管理，可以对同一个病人进行多次检查，并提供预约功能；</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5、病例数据回顾功能，用户便捷浏览病例数据；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6、提供ABI\PWV报告、运动负荷报告，内容图文并茂，结果清晰；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7、提前录入受检者信息，大批量体检时，快速地调入受检者的信息；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8、提供数据预览功能，检查所见的显示、医生意见的显示、记录原始数据的显示、记录数据报告单的显示；</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生成打印报告:能够显示ABI（踝臂指数）、PWV（脉搏波传导速度）、心电波形、心音波形、四肢脉搏波形、心率、血压（收缩压、舒张压、平均压）、脉压差、脉搏波上行时间、射血前期、射血时间、射血指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测量参数：至少包含baPWV（脉搏波传导速度）、ABI（踝-臂指数）、BAI（臂-踝指数）、UT（脉搏波上行时间）、MAP%（平均动脉压）、AI（反射波增强指数）、HR（心率）、ET（射血时间）、PEP（射血前期）、ET/PEP（射血指数）、SYS（收缩压）、MAP（平均压）、DIA（舒张压）、PP（脉压）、心音波形、心电波形、脉搏波波形；</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11、血压：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11.1、测量原理：示波法（单肢、单侧、四肢同步测量）；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11.2、静态压力测量范围：0~297mmHg；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11.3、静态压力测量精度：±3mmHg；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12、心电：</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▲12.1、心率范围：30bpm～300bpm；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12.2、心率精度：误差±1bpm或±1%取大值；</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13、心音：幅度频率特性：20Hz～250Hz波形幅度的误差≤10%；</w:t>
      </w:r>
      <w:r>
        <w:rPr>
          <w:rFonts w:hint="eastAsia" w:ascii="宋体" w:hAnsi="宋体" w:cs="宋体"/>
          <w:color w:val="000000"/>
          <w:sz w:val="24"/>
          <w:highlight w:val="none"/>
        </w:rPr>
      </w:r>
      <w:r/>
    </w:p>
    <w:p>
      <w:pPr>
        <w:pStyle w:val="1071"/>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（五）动态血压监测仪</w:t>
      </w:r>
      <w:r>
        <w:rPr>
          <w:rFonts w:hint="eastAsia" w:ascii="宋体" w:hAnsi="宋体" w:cs="宋体"/>
          <w:b/>
          <w:bCs/>
          <w:color w:val="000000"/>
          <w:sz w:val="24"/>
          <w:highlight w:val="none"/>
          <w:lang w:bidi="ar"/>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▲1、具有超压保护措施</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2、支持测量过程中自动调整加气压力和排气速度，智能加压；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3、血压测量范围：收缩压：60～280mmHg，舒张压：30～160mmHg；血压测量精度：±3mmHg；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4、脉搏数测定范围：30～200bpm；脉搏测量精度：±5%；</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5、可设置测量间隔：5、10、15、20、30、60、120分钟（可随时加入需要的手动测量）；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6、续航：可进行≥200次连续不间断测量；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▲7、存储数据量：可存储≥400套测量数据；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8、显示屏：可显示测量数据及错误代码；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▲9、设备结构轻巧：主机重量轻巧，便于携带，≤150克（不包含电池）；</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10、人体工程学设计：采用扇形袖带设计，防止袖带滑落；支持左右臂测量；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▲11、采用《2020中国动态血压监测指南》中提供的动态血压报告模板；</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▲12、报告包含24小时内五个时段中收缩压、舒张压和脉率的如下统计数字：有效数据个数、有效数据比例、均值、标准差、最大值、中位数、最小值，并支持两种有效率计算逻辑；</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13、报告包含病人信息、医院信息、白昼、夜间及24小时时段血压负荷值、血压晨峰值、24小时血压昼夜节律、血压变异系数；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14、支持录入患者午睡时间、实际睡眠时间，且患者夜间相关血压值根据此实际睡眠时间计算；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15、软件包含药物导入模块；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16、支持48小时动态血压报告；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▲17、准确记录血压，快速确定测量值的准确性；</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18、支持预约功能。</w:t>
      </w:r>
      <w:r>
        <w:rPr>
          <w:rFonts w:hint="eastAsia" w:ascii="宋体" w:hAnsi="宋体" w:cs="宋体"/>
          <w:b/>
          <w:bCs/>
          <w:color w:val="000000"/>
          <w:sz w:val="24"/>
          <w:highlight w:val="none"/>
          <w:lang w:bidi="ar"/>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上下肢康复运动训练器</w:t>
      </w:r>
      <w:r>
        <w:rPr>
          <w:rFonts w:hint="eastAsia" w:ascii="宋体" w:hAnsi="宋体" w:cs="宋体"/>
          <w:b/>
          <w:bCs/>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1.阻力类型:电脑控制的电磁涡流阻力系统；</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▲2.负荷递增幅度≤每1瓦可调；</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▲3.功率调节范围6-999瓦；</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4.噪音最大负荷工作状态下，噪声≤60dB(A)；</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5.转速数值和速度快慢用不同颜色指示标识，范围30–130转/分；</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▲6.功率范围及允差：6W-999W，允差：在6W-100W内，允差为±1W；100W-999W内，允差为±2%；</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7.车把位置调整：可作≥360°旋转（79-135厘米升降）；</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8.车座高度电动调节，适合患者身高范围120-210cm；</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9.最大承重≥160公斤；</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10.治疗师显示器中图形可显示以下指标:负荷，转速，时间，血压，心率；</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11.患者显示器(LED)显示以下指标：转速数值和速度快慢用不同颜色指示标识；</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12.按键:薄膜按键，≥5寸点阵屏，显示功率，时间，速度图形；</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13.功率车自带不少于5种固定运动负荷测试方案（WHO、BAL、Hollman、STD.France、Standard），10种用户可编辑运动负荷测试方案，用户手动控制负荷模式；</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▲14.接口:USB BM接口，RS232接口，支持对接运动心肺、运动心电等负荷评估设备；</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▲15.数据实时传输，可以在控制系统上远程无线下达测试方案和运动方案（包含恒定负荷方案，间歇负荷方案，恒定心率方案等方案）；</w:t>
      </w:r>
      <w:r>
        <w:rPr>
          <w:rFonts w:hint="eastAsia" w:ascii="宋体" w:hAnsi="宋体" w:cs="宋体"/>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康复数据处理软件</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1、同时拥有手机APP端和PC端中央监护显示功能。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2、档案数据管理：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数据分析：具有自动统计6分钟全过程运动数据心率、血压、血氧、呼吸率、步数及数据趋势分析功能；可支持升级具有心率变异分析功能，并出具HRV分析报告，报告内包含散点图、时域与频域分析指标、RR间期分布直方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2.2、数据回溯：六分钟步行试验过程中软件系统界面显示心率、呼吸率的实时统计曲线，形成趋势图，趋势图上每个点的数据支持鼠标点击查看；</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显示：医生端软件系统和中央监护系统实时显示心电图，系统可实现单个心电导联图增益0.5、1.0、2.0倍，可打印运动前、运动中、运动后的心电图，并可回放查看全程心电图，并自由截取打印任意心电图作为检测心电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▲2.4、数据对比：可升级支持六分钟步行试验前后的患者FVC、FEV1、FEV1/FVC、PEF、FEF25、FEF50、FEF75、FEF2575等参数检测值的对比及数据分析；可升级支持T-V容积图、F-V流量图运动前后对比；</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2.5、异常数据识别：可手动记录心电图异常事件。可支持升级心电图自动识别功能，异常心电识别包括心脏停搏、室颤/室速、连续室早、两个室早、二联律、三联律、RonT、早搏、室速、室缓、漏搏、起搏器未起搏和起搏器未俘获;</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3、康复处方管理：根据患者试验检测结果，医生自编辑自定义个性化运动康复处方，包括靶心率、安全心率范围、运动模式、时间、节律、频率、注意事项等，支持多种靶心率计算方式;</w:t>
      </w:r>
      <w:r>
        <w:rPr>
          <w:rFonts w:hint="eastAsia" w:ascii="宋体" w:hAnsi="宋体" w:cs="宋体"/>
          <w:bCs/>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动态心肺功能数据分析软件</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▲1、显示功能：支持多屏显示，同时拥有手机APP端和PC端中央监护显示功能；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2、数据管理：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2.1、信息输入：系统支持输入患者姓名、住院号；</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2.2、中央监护数据存储：≥10000例以上病人数据存储，且存储空间可扩展；</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2.3、数据和趋势存储与回顾功能：监测数据和趋势可实时存储，实时回顾，多通道可全息回放；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2.4、数据无线传输：数据可无线传输至中央监护系统；</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▲2.5、数据分析与统计功能：对监护患者体温数据可进行统计分析与编辑，显示主动保温率、低体温发生率、测温人数、主动保温人数；</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▲3、提供中央监护系统和六分钟步行实验软件的软件著作权证书；</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4、其他功能：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4.1、患者管理：可升级身份识别读取功能，患者信息自动录入系统，可手动输入：姓名、性别、年龄、身高、体重并自动分析BMI值，预测步行距离，可录入诊断病历、用药情况；</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4.2、自动测距：具有统计步数、计圈及测算距离的功能，支持自动与手动计圈的自由选择，精准测距误差</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3米；</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4.3、语音提示：系统全程智能语音指导提示患者做六分钟步行试验及智能计时；支持6分钟步行试验全程实时指导检测，设备开机自动连接，数据实时传输与实时显示、实时存储，实现精准测量、精准评估。</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紧急停止：具有紧急停止功能，六分钟步行试验过程中针对紧急情况，终止试验功能并出具试验报告，报告内包含试验终止前患者的各项生理参数、实际步行圈数及距离、生理参数趋势图等信息，分析试验终止原因。</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4.5、打印报告：6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支持一键式直接获取患者六分钟步行试验前后肺功能各项指标的测试数据，并于医生端界面实时显示，形成实验前后的对比图，检测结果于六分钟试验报告中显示；</w:t>
      </w:r>
      <w:r>
        <w:rPr>
          <w:rFonts w:hint="eastAsia" w:ascii="宋体" w:hAnsi="宋体" w:cs="宋体"/>
          <w:bCs/>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便携式多参数健康检查仪</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1、组成部件：</w:t>
      </w:r>
      <w:r>
        <w:rPr>
          <w:rFonts w:hint="eastAsia" w:ascii="宋体" w:hAnsi="宋体" w:cs="宋体"/>
          <w:bCs/>
          <w:color w:val="000000"/>
          <w:sz w:val="24"/>
          <w:highlight w:val="none"/>
          <w:lang w:val="zh-CN"/>
        </w:rPr>
        <w:t xml:space="preserve">主要由多参数监护主机、显示终端、温度组件、脉搏血氧组件、无创血压组件和心电组件组成，一体</w:t>
      </w:r>
      <w:r>
        <w:rPr>
          <w:rFonts w:hint="eastAsia" w:ascii="宋体" w:hAnsi="宋体" w:cs="宋体"/>
          <w:bCs/>
          <w:color w:val="000000"/>
          <w:sz w:val="24"/>
          <w:highlight w:val="none"/>
        </w:rPr>
        <w:t xml:space="preserve">式</w:t>
      </w:r>
      <w:r>
        <w:rPr>
          <w:rFonts w:hint="eastAsia" w:ascii="宋体" w:hAnsi="宋体" w:cs="宋体"/>
          <w:bCs/>
          <w:color w:val="000000"/>
          <w:sz w:val="24"/>
          <w:highlight w:val="none"/>
          <w:lang w:val="zh-CN"/>
        </w:rPr>
        <w:t xml:space="preserve">六</w:t>
      </w:r>
      <w:r>
        <w:rPr>
          <w:rFonts w:hint="eastAsia" w:ascii="宋体" w:hAnsi="宋体" w:cs="宋体"/>
          <w:bCs/>
          <w:color w:val="000000"/>
          <w:sz w:val="24"/>
          <w:highlight w:val="none"/>
          <w:lang w:val="zh-TW" w:eastAsia="zh-TW"/>
        </w:rPr>
        <w:t xml:space="preserve">参数监护主机</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rPr>
        <w:t xml:space="preserve">便于设备管理；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▲2、可移动监测：监护设备可进行穿戴式监测，随时随地监测六项生命体征，支持患者转运过程中监测生命体征；</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3、监测性能：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▲3.1、心电监测功能：具备心电监测功能，</w:t>
      </w:r>
      <w:r>
        <w:rPr>
          <w:rFonts w:hint="eastAsia" w:ascii="宋体" w:hAnsi="宋体" w:cs="宋体"/>
          <w:bCs/>
          <w:color w:val="000000"/>
          <w:sz w:val="24"/>
          <w:highlight w:val="none"/>
          <w:lang w:val="zh-CN"/>
        </w:rPr>
        <w:t xml:space="preserve">导联</w:t>
      </w:r>
      <w:r>
        <w:rPr>
          <w:rFonts w:hint="eastAsia" w:ascii="宋体" w:hAnsi="宋体" w:cs="宋体"/>
          <w:bCs/>
          <w:color w:val="000000"/>
          <w:sz w:val="24"/>
          <w:highlight w:val="none"/>
        </w:rPr>
        <w:t xml:space="preserve">标配</w:t>
      </w:r>
      <w:r>
        <w:rPr>
          <w:rFonts w:hint="eastAsia" w:ascii="宋体" w:hAnsi="宋体" w:cs="宋体"/>
          <w:bCs/>
          <w:color w:val="000000"/>
          <w:sz w:val="24"/>
          <w:highlight w:val="none"/>
          <w:lang w:val="zh-CN"/>
        </w:rPr>
        <w:t xml:space="preserve">三导联、可</w:t>
      </w:r>
      <w:r>
        <w:rPr>
          <w:rFonts w:hint="eastAsia" w:ascii="宋体" w:hAnsi="宋体" w:cs="宋体"/>
          <w:bCs/>
          <w:color w:val="000000"/>
          <w:sz w:val="24"/>
          <w:highlight w:val="none"/>
        </w:rPr>
        <w:t xml:space="preserve">支持升级</w:t>
      </w:r>
      <w:r>
        <w:rPr>
          <w:rFonts w:hint="eastAsia" w:ascii="宋体" w:hAnsi="宋体" w:cs="宋体"/>
          <w:bCs/>
          <w:color w:val="000000"/>
          <w:sz w:val="24"/>
          <w:highlight w:val="none"/>
          <w:lang w:val="zh-CN"/>
        </w:rPr>
        <w:t xml:space="preserve">五导联、十二导联；</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▲3.2、监测参数：具有心电、脉搏血氧、血压、心率、呼吸、温度测量功能；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3.3、静态压力测量范围0kpa(0mmHg)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40kpa(300mmHg)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误差应不大于±0.4kpa（3mmHg）；</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3.4、心电测量范围成人30bpm~300bpm；儿童测量范围30bpm~350bpm。误差应不大于±1%或±1bpm；</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3.5、</w:t>
      </w:r>
      <w:r>
        <w:rPr>
          <w:rFonts w:hint="eastAsia" w:ascii="宋体" w:hAnsi="宋体" w:cs="宋体"/>
          <w:bCs/>
          <w:color w:val="000000"/>
          <w:sz w:val="24"/>
          <w:highlight w:val="none"/>
          <w:lang w:val="zh-CN"/>
        </w:rPr>
        <w:t xml:space="preserve">血氧测量范围</w:t>
      </w:r>
      <w:bookmarkStart w:id="816" w:name="OLE_LINK1"/>
      <w:r>
        <w:rPr>
          <w:rFonts w:hint="eastAsia" w:ascii="宋体" w:hAnsi="宋体" w:cs="宋体"/>
          <w:bCs/>
          <w:color w:val="000000"/>
          <w:sz w:val="24"/>
          <w:highlight w:val="none"/>
          <w:lang w:val="zh-CN"/>
        </w:rPr>
        <w:t xml:space="preserve">70%～100%，精度70%～100%、±2%</w:t>
      </w:r>
      <w:bookmarkEnd w:id="816"/>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3.6、</w:t>
      </w:r>
      <w:r>
        <w:rPr>
          <w:rFonts w:hint="eastAsia" w:ascii="宋体" w:hAnsi="宋体" w:cs="宋体"/>
          <w:bCs/>
          <w:color w:val="000000"/>
          <w:sz w:val="24"/>
          <w:highlight w:val="none"/>
          <w:lang w:val="zh-CN"/>
        </w:rPr>
        <w:t xml:space="preserve">脉率测量范围30bpm～200bpm，精度±1bpm或±1%；</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3.7、</w:t>
      </w:r>
      <w:r>
        <w:rPr>
          <w:rFonts w:hint="eastAsia" w:ascii="宋体" w:hAnsi="宋体" w:cs="宋体"/>
          <w:bCs/>
          <w:color w:val="000000"/>
          <w:sz w:val="24"/>
          <w:highlight w:val="none"/>
          <w:lang w:val="zh-CN"/>
        </w:rPr>
        <w:t xml:space="preserve">呼吸率测量范围10rpm～120rpm，精度±2rpm或±2%；</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3.8、</w:t>
      </w:r>
      <w:r>
        <w:rPr>
          <w:rFonts w:hint="eastAsia" w:ascii="宋体" w:hAnsi="宋体" w:cs="宋体"/>
          <w:bCs/>
          <w:color w:val="000000"/>
          <w:sz w:val="24"/>
          <w:highlight w:val="none"/>
          <w:lang w:val="zh-CN"/>
        </w:rPr>
        <w:t xml:space="preserve">温度测量范围15-45℃，精度在37.0-39.0℃范围内最大允许误差±0.1℃，在其他测量范围最大允许误差±0.2℃；</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3.9、可拓展监测：测呼气末二氧化碳、胎心、血糖；</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4、交互功能：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▲4.1、智能功能：</w:t>
      </w:r>
      <w:r>
        <w:rPr>
          <w:rFonts w:hint="eastAsia" w:ascii="宋体" w:hAnsi="宋体" w:cs="宋体"/>
          <w:bCs/>
          <w:color w:val="000000"/>
          <w:sz w:val="24"/>
          <w:highlight w:val="none"/>
          <w:lang w:val="zh-CN"/>
        </w:rPr>
        <w:t xml:space="preserve">拥有人机交互，医患交互功能，可实现病人与监护中央站语音/视频对话；</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4.2、具备语音控制功能；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4.3、具备语音录入医嘱功能，可转化文字并打印结果；</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4.4、设备具有触摸屏功能；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5、提示功能：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5.1、低电量提醒：当电压低于额定压的90%时，会在终端出现电量不足提示；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5.2、断开提醒：当监测终端与显示终端断开连接时，会在终端出现断开连接的提示；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6、数据管理与分析：</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▲6.1、数据和趋势存储与回顾功能：监测数据和趋势可实时存储，全参数可实时回顾，多通道可全息回放；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6.2、中央监护数据储存：≥10000例且储存空间可拓展；</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6.3、监护分析和报告功能软件：中央监护对各监护患者进行24小时高精度心律异常统计分析与编辑，24小时血压趋势统计分析与编辑，24小时综合参数汇总统计与分析，并可对分析或编辑后的结果进行打印或保存；</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▲7.1、监护仪显示功能：可将多参数监护仪的监测数据无线传输，数据可匹配其它品牌监护仪实时显示；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7.2、系统及显示：</w:t>
      </w:r>
      <w:r>
        <w:rPr>
          <w:rFonts w:hint="eastAsia" w:ascii="宋体" w:hAnsi="宋体" w:cs="宋体"/>
          <w:bCs/>
          <w:color w:val="000000"/>
          <w:sz w:val="24"/>
          <w:highlight w:val="none"/>
          <w:lang w:val="zh-CN"/>
        </w:rPr>
        <w:t xml:space="preserve">采用≥4寸触摸屏，智能安卓系统，软件可</w:t>
      </w:r>
      <w:r>
        <w:rPr>
          <w:rFonts w:hint="eastAsia" w:ascii="宋体" w:hAnsi="宋体" w:cs="宋体"/>
          <w:bCs/>
          <w:color w:val="000000"/>
          <w:sz w:val="24"/>
          <w:highlight w:val="none"/>
        </w:rPr>
        <w:t xml:space="preserve">扩</w:t>
      </w:r>
      <w:r>
        <w:rPr>
          <w:rFonts w:hint="eastAsia" w:ascii="宋体" w:hAnsi="宋体" w:cs="宋体"/>
          <w:bCs/>
          <w:color w:val="000000"/>
          <w:sz w:val="24"/>
          <w:highlight w:val="none"/>
          <w:lang w:val="zh-CN"/>
        </w:rPr>
        <w:t xml:space="preserve">展性强；</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▲7.3、中央监护支持PC/手机APP端：同时支持手机APP端和PC端中央监护显示功能；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8、报警功能：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8.1、报警参数下发及远程操控功能：可以在中央监护端远程设置多参数监护终端的全参数报警上下限，并可远程控制多参监护仪进行血压监测；</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8.2、报警功能：</w:t>
      </w:r>
      <w:r>
        <w:rPr>
          <w:rFonts w:hint="eastAsia" w:ascii="宋体" w:hAnsi="宋体" w:cs="宋体"/>
          <w:bCs/>
          <w:color w:val="000000"/>
          <w:sz w:val="24"/>
          <w:highlight w:val="none"/>
          <w:lang w:val="zh-CN"/>
        </w:rPr>
        <w:t xml:space="preserve">具有动态血压、心电、</w:t>
      </w:r>
      <w:r>
        <w:rPr>
          <w:rFonts w:hint="eastAsia" w:ascii="宋体" w:hAnsi="宋体" w:cs="宋体"/>
          <w:bCs/>
          <w:color w:val="000000"/>
          <w:sz w:val="24"/>
          <w:highlight w:val="none"/>
        </w:rPr>
        <w:t xml:space="preserve">血</w:t>
      </w:r>
      <w:r>
        <w:rPr>
          <w:rFonts w:hint="eastAsia" w:ascii="宋体" w:hAnsi="宋体" w:cs="宋体"/>
          <w:bCs/>
          <w:color w:val="000000"/>
          <w:sz w:val="24"/>
          <w:highlight w:val="none"/>
          <w:lang w:val="zh-CN"/>
        </w:rPr>
        <w:t xml:space="preserve">氧饱和度、温度和呼吸率报警功能选择和消警功能，</w:t>
      </w:r>
      <w:r>
        <w:rPr>
          <w:rFonts w:hint="eastAsia" w:ascii="宋体" w:hAnsi="宋体" w:cs="宋体"/>
          <w:bCs/>
          <w:color w:val="000000"/>
          <w:sz w:val="24"/>
          <w:highlight w:val="none"/>
        </w:rPr>
        <w:t xml:space="preserve">生理参数预警支持自定义；</w:t>
      </w:r>
      <w:r>
        <w:rPr>
          <w:rFonts w:hint="eastAsia" w:ascii="宋体" w:hAnsi="宋体" w:cs="宋体"/>
          <w:bCs/>
          <w:color w:val="000000"/>
          <w:sz w:val="24"/>
          <w:highlight w:val="none"/>
        </w:rPr>
      </w:r>
      <w:r/>
    </w:p>
    <w:p>
      <w:pPr>
        <w:pStyle w:val="1071"/>
        <w:ind w:firstLine="482"/>
        <w:spacing w:line="360" w:lineRule="exact"/>
        <w:widowControl/>
        <w:rPr>
          <w:rFonts w:hint="eastAsia" w:ascii="宋体" w:hAnsi="宋体" w:cs="宋体"/>
          <w:bCs/>
          <w:color w:val="000000"/>
          <w:sz w:val="24"/>
          <w:highlight w:val="none"/>
        </w:rPr>
      </w:pPr>
      <w:r>
        <w:rPr>
          <w:rFonts w:hint="eastAsia" w:ascii="宋体" w:hAnsi="宋体" w:cs="宋体"/>
          <w:b/>
          <w:i/>
          <w:iCs/>
          <w:color w:val="000000"/>
          <w:sz w:val="24"/>
          <w:highlight w:val="none"/>
        </w:rPr>
        <w:t xml:space="preserve">★9、多种无线组网方式：可以通过Mesh自组网/4G/WIFI等方式进行无线组网。可接入医院信息系统进行单向或双向信息互通（产生的接口费用由中标人承担）（提供承诺函）</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▲10、电外科干扰抑制：</w:t>
      </w:r>
      <w:r>
        <w:rPr>
          <w:rFonts w:hint="eastAsia" w:ascii="宋体" w:hAnsi="宋体" w:cs="宋体"/>
          <w:bCs/>
          <w:color w:val="000000"/>
          <w:sz w:val="24"/>
          <w:highlight w:val="none"/>
          <w:lang w:val="zh-CN"/>
        </w:rPr>
        <w:t xml:space="preserve">具备电外科干扰抑制功能，符合YY 1079-2008中的电外科干扰抑制的标准；</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▲11、输入阻抗：对具有心电图波形显示能力的监护仪，输入阻抗≥10MΩ；</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12、共模抑制：监护仪的共模信号抑制能力分别为诊断＞90dB，监护＞105dB，手术＞105dB；</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13、防水等级：≥IPX2；</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▲14、可扩展性：可扩展性强，可根据业务扩展功能进行呼末二氧化碳、血糖和胎心的监测等；</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
          <w:bCs/>
          <w:color w:val="000000"/>
          <w:sz w:val="24"/>
          <w:highlight w:val="none"/>
        </w:rPr>
      </w:pPr>
      <w:r>
        <w:rPr>
          <w:rFonts w:hint="eastAsia" w:ascii="宋体" w:hAnsi="宋体" w:cs="宋体"/>
          <w:bCs/>
          <w:color w:val="000000"/>
          <w:sz w:val="24"/>
          <w:highlight w:val="none"/>
        </w:rPr>
        <w:t xml:space="preserve">▲15、数据可传输至康复数据处理软件系统。</w:t>
      </w:r>
      <w:r>
        <w:rPr>
          <w:rFonts w:hint="eastAsia" w:ascii="宋体" w:hAnsi="宋体" w:cs="宋体"/>
          <w:b/>
          <w:bCs/>
          <w:color w:val="000000"/>
          <w:sz w:val="24"/>
          <w:highlight w:val="none"/>
        </w:rPr>
      </w:r>
      <w:r/>
    </w:p>
    <w:p>
      <w:pPr>
        <w:pStyle w:val="1071"/>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（十）</w:t>
      </w:r>
      <w:r>
        <w:rPr>
          <w:rFonts w:hint="eastAsia" w:ascii="宋体" w:hAnsi="宋体" w:cs="宋体"/>
          <w:b/>
          <w:bCs/>
          <w:color w:val="000000"/>
          <w:sz w:val="24"/>
          <w:highlight w:val="none"/>
        </w:rPr>
        <w:t xml:space="preserve">便携式全自动多功能检测仪</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▲1、测定原理：透射比浊法和透射比色法；分析方法：速率法、终点法；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2、数据库容量：≥5000个检测结果；</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3、中文，能开机自检，识别并报告错误；对不同的检测项目有不同的测量单位可供用户选择。</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4、使用波长：340nm，535nm，635nm，940nm；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▲5、样本量：1～5μL；</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6、测试时间：≤7分钟；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7、测量范围：微量白蛋白:5-200 mg/L；肌酐:15-500 mg/dL；微量白蛋白肌酐比:1-1050 mg/g；糖化血红蛋白：3.8%-15.0%；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▲8、准确度：微量白蛋白/肌酐≤±10%；糖化血红蛋白≤±7.0%；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9、重复性：微量白蛋白：＜8%CV；肌酐：＜5%CV；糖化血红蛋白CV≤3.0%；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10、环境温度：-20ºC~55ºC；操作温度：15ºC~30ºC；相对湿度：10%~90％；孵育温度37℃，相对偏移±0.3℃，波动±0.2℃；</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11、无线数据传输：蓝牙和WLAN；有线数据传输：USB、串口(RS-232)、以太网；</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12、内置热敏打印机</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▲13、使用期限≥10年</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包03：牙科综合治疗机等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牙科综合治疗机</w:t>
      </w:r>
      <w:r>
        <w:rPr>
          <w:rFonts w:hint="eastAsia" w:ascii="宋体" w:hAnsi="宋体" w:cs="宋体"/>
          <w:b/>
          <w:bCs/>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8277"/>
      </w:tblGrid>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W w:w="4456" w:type="dxa"/>
            <w:vAlign w:val="center"/>
            <w:textDirection w:val="lrTb"/>
            <w:noWrap w:val="false"/>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技术参数</w:t>
            </w:r>
            <w:r>
              <w:rPr>
                <w:rFonts w:hint="eastAsia" w:ascii="宋体" w:hAnsi="宋体" w:cs="宋体"/>
                <w:b/>
                <w:bCs/>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整机工作功率300-350VA，高效节能。（可提供药品监督管理局出具的相应证明材料）。</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使用期限：牙椅注册使用期限不低于15年。（提供药品监督管理局出具的相应证明材料）</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口腔灯：高性能LED感应冷光节能灯，≥</w:t>
            </w:r>
            <w:r>
              <w:rPr>
                <w:rFonts w:hint="eastAsia" w:ascii="宋体" w:hAnsi="宋体" w:cs="宋体"/>
                <w:color w:val="000000"/>
                <w:sz w:val="24"/>
                <w:highlight w:val="none"/>
                <w:lang w:bidi="zh-CN"/>
              </w:rPr>
              <w:t xml:space="preserve">6</w:t>
            </w:r>
            <w:r>
              <w:rPr>
                <w:rFonts w:hint="eastAsia" w:ascii="宋体" w:hAnsi="宋体" w:cs="宋体"/>
                <w:color w:val="000000"/>
                <w:sz w:val="24"/>
                <w:highlight w:val="none"/>
                <w:lang w:bidi="ar"/>
              </w:rPr>
              <w:t xml:space="preserve">颗投射灯珠，灯头拥有灯光控制开关；照度可无极调节，最高照度≥</w:t>
            </w:r>
            <w:r>
              <w:rPr>
                <w:rFonts w:hint="eastAsia" w:ascii="宋体" w:hAnsi="宋体" w:cs="宋体"/>
                <w:color w:val="000000"/>
                <w:sz w:val="24"/>
                <w:highlight w:val="none"/>
                <w:lang w:bidi="zh-CN"/>
              </w:rPr>
              <w:t xml:space="preserve">35000</w:t>
            </w:r>
            <w:r>
              <w:rPr>
                <w:rFonts w:hint="eastAsia" w:ascii="宋体" w:hAnsi="宋体" w:cs="宋体"/>
                <w:color w:val="000000"/>
                <w:sz w:val="24"/>
                <w:highlight w:val="none"/>
                <w:lang w:bidi="ar"/>
              </w:rPr>
              <w:t xml:space="preserve">Lux，支持无接触式控制；口腔灯色温可进行白光/黄光/混光三种模式切换，混光模式下色温可无极调节，医生可自定义适合治疗的灯光色温。</w:t>
            </w:r>
            <w:r>
              <w:rPr>
                <w:rFonts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治疗椅整体采用金属材质骨架和底座，座椅承重最大≥</w:t>
            </w:r>
            <w:r>
              <w:rPr>
                <w:rFonts w:hint="eastAsia" w:ascii="宋体" w:hAnsi="宋体" w:cs="宋体"/>
                <w:color w:val="000000"/>
                <w:sz w:val="24"/>
                <w:highlight w:val="none"/>
                <w:lang w:bidi="zh-CN"/>
              </w:rPr>
              <w:t xml:space="preserve">160kg</w:t>
            </w:r>
            <w:r>
              <w:rPr>
                <w:rFonts w:hint="eastAsia" w:ascii="宋体" w:hAnsi="宋体" w:cs="宋体"/>
                <w:color w:val="000000"/>
                <w:sz w:val="24"/>
                <w:highlight w:val="none"/>
                <w:lang w:bidi="ar"/>
              </w:rPr>
              <w:t xml:space="preserve">；座椅升降范围，可承受160kg*4的载荷试验：最高800-900mm，最低300-400mm。</w:t>
            </w:r>
            <w:r>
              <w:rPr>
                <w:rFonts w:hint="eastAsia" w:ascii="宋体" w:hAnsi="宋体" w:cs="宋体"/>
                <w:color w:val="000000"/>
                <w:sz w:val="24"/>
                <w:highlight w:val="none"/>
              </w:rPr>
            </w:r>
            <w:r/>
          </w:p>
        </w:tc>
      </w:tr>
      <w:tr>
        <w:trPr>
          <w:trHeight w:val="9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牙科椅具备直流/变频/调速系统，装备低压直流电机，速度可调，使病人感觉不到椅子的瞬间冲力，无顿挫感。</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弯板采用精密铝合金铸造工艺，弯板宽度≥</w:t>
            </w:r>
            <w:r>
              <w:rPr>
                <w:rFonts w:hint="eastAsia" w:ascii="宋体" w:hAnsi="宋体" w:cs="宋体"/>
                <w:color w:val="000000"/>
                <w:sz w:val="24"/>
                <w:highlight w:val="none"/>
                <w:lang w:bidi="zh-CN"/>
              </w:rPr>
              <w:t xml:space="preserve">15</w:t>
            </w:r>
            <w:r>
              <w:rPr>
                <w:rFonts w:hint="eastAsia" w:ascii="宋体" w:hAnsi="宋体" w:cs="宋体"/>
                <w:color w:val="000000"/>
                <w:sz w:val="24"/>
                <w:highlight w:val="none"/>
                <w:lang w:bidi="ar"/>
              </w:rPr>
              <w:t xml:space="preserve">cm，厚度不低于15mm，抗压能力强。</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座椅扶手为前翻式设计，扶手连接处位于椅身中部，不阻碍医生腿部动作；</w:t>
            </w:r>
            <w:r>
              <w:rPr>
                <w:rFonts w:hint="eastAsia" w:ascii="宋体" w:hAnsi="宋体" w:cs="宋体"/>
                <w:color w:val="000000"/>
                <w:sz w:val="24"/>
                <w:highlight w:val="none"/>
              </w:rPr>
            </w:r>
            <w:r/>
          </w:p>
        </w:tc>
      </w:tr>
      <w:tr>
        <w:trPr>
          <w:trHeight w:val="507"/>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人造合成高级皮革，触感柔滑，表面拥有防霉抗菌涂层，具备防霉抗菌效果，参照IS022196:2011测定塑料和其他无孔表面的抗菌活性的标准，金黄色葡萄球菌抗菌活性值≥1、大肠杆菌的抗菌活性值≥2。</w:t>
            </w:r>
            <w:r>
              <w:rPr>
                <w:rFonts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具备椅位补偿功能，靠背仰俯操作同时坐垫进行同方向小幅度抬升或回落，让患者治疗体验更舒适。</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按压式单手操作头枕，可在360度范围内旋转设置任意角度，长度可伸缩调整，多角度形态可满足儿童位、轮椅位、手术位等特殊椅位需求；头枕整体采用曲面设计，便于固定患者头部并为患者颈椎提供舒适支撑。</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消毒系统</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带全自动智能消毒系统，一键即可实现水路管道冲洗、消毒液注入、静置、再冲洗全流程，无需手动逐步操作，全流程时长少于30分钟。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具有断电续消、紧急退出等智能管控功能；以应对停电或中途中断等突发情况，避免消毒液残留及消毒不彻底情况。消毒液可覆盖进水水过滤器，避免消毒死角。</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医生治疗台单元</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不低于3寸高清触控显示屏和不少于15个功能机械按键；包括不限于设置键、智能复位键、吐痰位键、观灯片开关键、口腔灯开关控制键、漱口水加热键、冲洗痰盂键、水杯供水按键、记忆椅位复合键、椅位设置键、急救位键等。</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牙椅可记录不少于4位医生的椅位习惯和器械使用习惯，每位医生可记录不少于4个记忆椅位，方便不同医生快速适配。</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具有开机自检功能，开机自动检测且提供故障代码和文字组合信息，便于对牙椅进行快速检修。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具备响铃功能：拥有倒计时和闹铃设置。</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具备一键急救控制：一键即可快速到达特伦伯格急救位，可方便医生快速进行紧急治疗。</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具备一键清洁位：一键即可将牙椅升至最高，便于清洁以及重力排空管路积水。</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具备一键吐痰:一键即可将靠背升至最高，方便患者吐痰。</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7.8</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具备一键复位:治疗结束后，按下按键，牙椅到达退出位，口腔灯同时关闭；进入治疗时，按下按键，恢复原治疗位，口腔灯自动复原至工作状态。医生可省略频繁的调节步骤，实现一个按键贯穿整个治疗过程。</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7.9</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具备灯椅联动：牙椅运行过程中口腔灯处于关闭状态，运行到指定位置，口腔灯打开。</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7.10</w:t>
            </w:r>
            <w:r>
              <w:rPr>
                <w:rFonts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具备冲痰供水联动：漱口后冲痰水自动开启。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具备机椅互锁功能：手机工作时，除牙椅升降俯仰不能工作，其它功能可正常工作。</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具备紧急制动安全装置：记忆位、复位、吐痰位功能被触发后，按下按键，功能被中断，重按功能键可继续动作。</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水、气调节旋钮可拆卸进行高温高压消毒；水、气调节旋钮位于工具盘侧方，方便医生在可视范围内轻松调节；后置抽拉式集污装置，清洁方便并且还可减小手机工作的风噪声。</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平衡臂最大承重不低于6kg，放置重物时运行移动平稳顺滑，稳定可靠。</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可旋转式侧箱，内部为整体铸造铝合金箱架，重量轻，耐腐蚀.。</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侧箱外壳材质为优质高分子材料，耐酒精消毒，耐UV老化，参照IS04892-3:2016，Cycle1耐UV老化测试的标准，灰卡等级≥3。</w:t>
            </w:r>
            <w:r>
              <w:rPr>
                <w:rFonts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配置可拆卸玻璃痰盂缸，痰盂下水口配置排污单向阀，可有效隔离下水道气味污染诊室，配套消毒器械挂架。</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bidi="ar"/>
              </w:rPr>
              <w:t xml:space="preserve">600mm²，过滤体积≥25mm³，能更加精细地过滤，并可容纳更多固体污染物而不堵塞过滤器。</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配备纯净水系统和消毒水系统。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侧箱双边侧门可完全打开，无需工具就可以快速拆卸和安装。侧箱水气与电路分离设计，采用醚管，耐高压，耐水解，耐酸碱腐蚀，便于检修；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侧箱通过牙椅坐垫中心下方连接，可旋转至牙椅前方。</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助手位单元：配置可旋转助手杆，带功能按键的助手控制面板和助手搁置台；带三用枪、强弱吸手柄各1支。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脚踏开关：多功能脚踏开关，水气分离，低位踏板设计，医生只需轻抬脚尖就能启动器械，减轻脚部负担，踩踏深度可调节器械转速；另有多种实用功能集成，可控制牙椅进行椅位升降俯仰调节、供水、冲盂、口腔灯开关、吹屑气等。</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医生椅可进行坐垫升降、靠背升降俯仰、坐垫水平度等不少于8个方向调节；脚轮架采用精密铝合金铸造件，结实耐用不易断裂，静音滑轮，移动安静不伤地板；座椅升降范围：450mm-600mm。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05"/>
        </w:trPr>
        <w:tc>
          <w:tcPr>
            <w:tcW w:w="543"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ascii="宋体" w:hAnsi="宋体" w:cs="宋体"/>
                <w:color w:val="000000"/>
                <w:sz w:val="24"/>
                <w:highlight w:val="none"/>
                <w:lang w:bidi="ar"/>
              </w:rPr>
            </w:r>
            <w:r/>
          </w:p>
        </w:tc>
      </w:tr>
      <w:tr>
        <w:trPr>
          <w:trHeight w:val="668"/>
        </w:trPr>
        <w:tc>
          <w:tcPr>
            <w:tcW w:w="543"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ascii="宋体" w:hAnsi="宋体" w:cs="宋体"/>
                <w:color w:val="000000"/>
                <w:sz w:val="24"/>
                <w:highlight w:val="none"/>
                <w:lang w:bidi="ar"/>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（二）牙科综合治疗机（种植款）</w:t>
      </w:r>
      <w:r>
        <w:rPr>
          <w:rFonts w:hint="eastAsia" w:ascii="宋体" w:hAnsi="宋体" w:cs="宋体"/>
          <w:b/>
          <w:bCs/>
          <w:color w:val="000000"/>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816"/>
        <w:gridCol w:w="8470"/>
      </w:tblGrid>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种植技术参数</w:t>
            </w:r>
            <w:r>
              <w:rPr>
                <w:rFonts w:hint="eastAsia" w:ascii="宋体" w:hAnsi="宋体" w:cs="宋体"/>
                <w:b/>
                <w:bCs/>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使用期限：牙椅注册使用期限≥15年。（提供相应证明材料）</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手术灯：可多方位旋转的专业手术灯，配置不低于20颗灯珠，使用寿命不低于50000小时，最大光照强度不低于70000Lux，灯光照明深度不低于1700mm，保持口腔深处术区清晰；配置可拆卸消毒的手柄。</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治疗椅整体采用金属材质一体铸造成型，三点受力，坚固稳定，运行平顺；座椅最大承重不低于180kg；座椅升降范围：最高</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800mm，最低</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400mm；椅架升降支撑结构采用球墨铸铁工艺，提升牙椅的承载能力和平稳度。</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牙科椅具备直流/变频/调速系统，装备低压直流电机，具有升降瞬间延时功能，使病人感觉不到椅子的瞬间冲力，无顿挫感。</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符合人体工程学的靠背设计，为医生治疗预留充足的腿部空间；配置腰枕颈枕，与治疗椅同款皮垫材质，优质记忆棉填充。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配置座椅左右扶手，右扶手可上下翻转约135°，方便病患上下牙科椅；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按压式单手操作头枕，可在360度范围内旋转设置任意角度，长度可伸缩调整，纵向长度可调，多角度形态可满足儿童位、轮椅位、手术位等特殊椅位需求；头枕整体便于固定患者头部并为患者颈椎提供舒适支撑。</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带一键全自动智能消毒系统，一键即可实现水路管道冲洗、消毒液注入、静置、再冲洗全流程，无需手动逐步操作；具有断电续消、紧急退出、等智能管控功能。</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治疗台单元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推车式医生治疗台，台面高度可电动无极调节，配置不锈钢台面，封闭方形拉手设计，易清洁消毒；配置不少于10个功能按键面板；配置不少于2个220V电源插口，可连接种植机或心电监护仪；具备不少于3个记忆椅位控制；配置拨杆式一键水气电开关，可一键关闭水、气和电的通断。</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配置面积</w:t>
            </w:r>
            <w:r>
              <w:rPr>
                <w:rFonts w:hint="eastAsia" w:ascii="宋体" w:hAnsi="宋体" w:cs="宋体"/>
                <w:color w:val="000000"/>
                <w:sz w:val="24"/>
                <w:highlight w:val="none"/>
                <w:lang w:bidi="zh-CN"/>
              </w:rPr>
              <w:t xml:space="preserve">不低于1500</w:t>
            </w:r>
            <w:r>
              <w:rPr>
                <w:rFonts w:hint="eastAsia" w:ascii="宋体" w:hAnsi="宋体" w:cs="宋体"/>
                <w:color w:val="000000"/>
                <w:sz w:val="24"/>
                <w:highlight w:val="none"/>
                <w:lang w:bidi="ar"/>
              </w:rPr>
              <w:t xml:space="preserve">cm²第二托盘，可进行大范围旋转，不锈钢材质，防刮耐磨，可高温高压消毒。</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1.5L大容量纯净水瓶和</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1.5L大容量消毒水瓶，可满足医生多种作业用水需求。</w:t>
            </w:r>
            <w:r>
              <w:rPr>
                <w:rFonts w:hint="eastAsia" w:ascii="宋体" w:hAnsi="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侧箱为铝合金材质；配置可旋转一体式痰盂缸；具有漱口水恒温系统，具有超温安全保护；水杯供水系统和冲痰盂系统可根据医生的要求设定时间。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牙椅内置不少于3套吸唾系统，可同时适用于专业种植治疗和口腔综合治疗；</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集成化抽吸系统：配备可多次消毒玻璃集污瓶；配置可拆卸高温高压消毒的金属手柄，防止交叉感染风险；</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强弱吸过滤器为旋入式设计，其过滤精度≤1mm²，有效过滤面积≥600mm²，过滤体积≥25mm³，能更加精细地过滤，并可容纳更多固体污染物而不堵塞过滤器</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配置可伸缩式铝合金助手杆，带副控面板，助手器械挂架整体可进行水平旋转，每个挂架位的垂直角度可单独进行旋转，便于助手器械的取放；带三用枪、强弱吸手柄、专业抽吸金属手柄各1支。</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内置地箱；内置封闭电源；配置下水口密闭连接组件，可有效隔绝下水管道对诊室造成的病菌、异味和污水回流的污染；带外置气排水装置，可通过地箱开关一键排空空气过滤器内的积水。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医生脚踏可控制手机工作，助手脚踏控制椅位升降、靠背俯仰、椅位复位、一键漱口冲盂、种植负压吸引器工作以及吸唾（可控制点动抽吸或持续抽吸）。</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医生椅须考虑医生舒适度。可进行坐垫升降、靠背升降俯仰、坐垫倾斜角度不少于8个方向调节；脚轮架采用精密铝合金铸造件，结实耐用不易断裂，静音滑轮，移动安静不伤地板；座椅升降范围：450mm-600mm。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护士椅带可旋转扶手。</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hint="eastAsia" w:ascii="宋体" w:hAnsi="宋体" w:cs="宋体"/>
                <w:color w:val="000000"/>
                <w:sz w:val="24"/>
                <w:highlight w:val="non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hint="eastAsia"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hint="eastAsia"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（三）口腔数字印模仪</w:t>
      </w:r>
      <w:r>
        <w:rPr>
          <w:rFonts w:hint="eastAsia" w:ascii="宋体" w:hAnsi="宋体" w:cs="宋体"/>
          <w:b/>
          <w:bCs/>
          <w:color w:val="000000"/>
          <w:sz w:val="24"/>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77"/>
        <w:gridCol w:w="8005"/>
      </w:tblGrid>
      <w:tr>
        <w:trPr>
          <w:trHeight w:val="415"/>
        </w:trPr>
        <w:tc>
          <w:tcPr>
            <w:gridSpan w:val="2"/>
            <w:tcW w:w="9082" w:type="dxa"/>
            <w:vAlign w:val="top"/>
            <w:textDirection w:val="lrTb"/>
            <w:noWrap w:val="false"/>
          </w:tcPr>
          <w:p>
            <w:pPr>
              <w:pStyle w:val="1317"/>
              <w:ind w:right="252"/>
              <w:jc w:val="both"/>
              <w:spacing w:before="1" w:line="360" w:lineRule="auto"/>
              <w:rPr>
                <w:rFonts w:hint="eastAsia"/>
                <w:b/>
                <w:color w:val="000000"/>
                <w:sz w:val="24"/>
                <w:szCs w:val="24"/>
                <w:highlight w:val="none"/>
              </w:rPr>
            </w:pPr>
            <w:r>
              <w:rPr>
                <w:rFonts w:hint="eastAsia"/>
                <w:b/>
                <w:color w:val="000000"/>
                <w:sz w:val="24"/>
                <w:szCs w:val="24"/>
                <w:highlight w:val="none"/>
              </w:rPr>
              <w:t xml:space="preserve">一、设备功能：</w:t>
            </w:r>
            <w:r>
              <w:rPr>
                <w:rFonts w:hint="eastAsia"/>
                <w:color w:val="000000"/>
                <w:sz w:val="24"/>
                <w:szCs w:val="24"/>
                <w:highlight w:val="none"/>
              </w:rPr>
              <w:t xml:space="preserve">用于正畸、种植、修复模型的印模制取、矫治效果模拟、做医患沟通病例报告、DSD美学设计。</w:t>
            </w:r>
            <w:r>
              <w:rPr>
                <w:rFonts w:hint="eastAsia"/>
                <w:b/>
                <w:color w:val="000000"/>
                <w:sz w:val="24"/>
                <w:szCs w:val="24"/>
                <w:highlight w:val="none"/>
              </w:rPr>
            </w:r>
            <w:r/>
          </w:p>
        </w:tc>
      </w:tr>
      <w:tr>
        <w:trPr>
          <w:trHeight w:val="415"/>
        </w:trPr>
        <w:tc>
          <w:tcPr>
            <w:gridSpan w:val="2"/>
            <w:tcW w:w="9082" w:type="dxa"/>
            <w:vAlign w:val="top"/>
            <w:textDirection w:val="lrTb"/>
            <w:noWrap w:val="false"/>
          </w:tcPr>
          <w:p>
            <w:pPr>
              <w:pStyle w:val="1317"/>
              <w:ind w:right="2003"/>
              <w:jc w:val="both"/>
              <w:spacing w:before="1" w:line="360" w:lineRule="auto"/>
              <w:rPr>
                <w:rFonts w:hint="eastAsia"/>
                <w:b/>
                <w:color w:val="000000"/>
                <w:sz w:val="24"/>
                <w:szCs w:val="24"/>
                <w:highlight w:val="none"/>
              </w:rPr>
            </w:pPr>
            <w:r>
              <w:rPr>
                <w:rFonts w:hint="eastAsia"/>
                <w:b/>
                <w:color w:val="000000"/>
                <w:sz w:val="24"/>
                <w:szCs w:val="24"/>
                <w:highlight w:val="none"/>
              </w:rPr>
              <w:t xml:space="preserve">二、设备参数</w:t>
            </w:r>
            <w:r>
              <w:rPr>
                <w:rFonts w:hint="eastAsia"/>
                <w:b/>
                <w:color w:val="000000"/>
                <w:sz w:val="24"/>
                <w:szCs w:val="24"/>
                <w:highlight w:val="none"/>
              </w:rPr>
            </w:r>
            <w:r/>
          </w:p>
        </w:tc>
      </w:tr>
      <w:tr>
        <w:trPr>
          <w:trHeight w:val="416"/>
        </w:trPr>
        <w:tc>
          <w:tcPr>
            <w:tcW w:w="593" w:type="dxa"/>
            <w:vAlign w:val="top"/>
            <w:textDirection w:val="lrTb"/>
            <w:noWrap w:val="false"/>
          </w:tcPr>
          <w:p>
            <w:pPr>
              <w:pStyle w:val="1317"/>
              <w:ind w:left="7"/>
              <w:jc w:val="center"/>
              <w:spacing w:before="1" w:line="360" w:lineRule="auto"/>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rPr>
            </w:r>
            <w:r/>
          </w:p>
        </w:tc>
        <w:tc>
          <w:tcPr>
            <w:tcW w:w="4406" w:type="dxa"/>
            <w:vAlign w:val="top"/>
            <w:textDirection w:val="lrTb"/>
            <w:noWrap w:val="false"/>
          </w:tcPr>
          <w:p>
            <w:pPr>
              <w:pStyle w:val="1317"/>
              <w:ind w:firstLine="117"/>
              <w:spacing w:before="2" w:line="360" w:lineRule="auto"/>
              <w:rPr>
                <w:rFonts w:hint="eastAsia"/>
                <w:color w:val="000000"/>
                <w:sz w:val="24"/>
                <w:szCs w:val="24"/>
                <w:highlight w:val="none"/>
              </w:rPr>
            </w:pPr>
            <w:r>
              <w:rPr>
                <w:rFonts w:hint="eastAsia"/>
                <w:color w:val="000000"/>
                <w:spacing w:val="-3"/>
                <w:sz w:val="24"/>
                <w:szCs w:val="24"/>
                <w:highlight w:val="none"/>
              </w:rPr>
              <w:t xml:space="preserve">设备描述：通过光学印模扫描方式获取口内数据</w:t>
            </w:r>
            <w:r>
              <w:rPr>
                <w:rFonts w:hint="eastAsia"/>
                <w:color w:val="000000"/>
                <w:sz w:val="24"/>
                <w:szCs w:val="24"/>
                <w:highlight w:val="none"/>
              </w:rPr>
            </w:r>
            <w:r/>
          </w:p>
        </w:tc>
      </w:tr>
      <w:tr>
        <w:trPr>
          <w:trHeight w:val="415"/>
        </w:trPr>
        <w:tc>
          <w:tcPr>
            <w:tcW w:w="593" w:type="dxa"/>
            <w:vAlign w:val="top"/>
            <w:textDirection w:val="lrTb"/>
            <w:noWrap w:val="false"/>
          </w:tcPr>
          <w:p>
            <w:pPr>
              <w:pStyle w:val="1317"/>
              <w:ind w:firstLine="460"/>
              <w:spacing w:before="1" w:line="360" w:lineRule="auto"/>
              <w:rPr>
                <w:rFonts w:hint="eastAsia"/>
                <w:color w:val="000000"/>
                <w:sz w:val="24"/>
                <w:szCs w:val="24"/>
                <w:highlight w:val="none"/>
              </w:rPr>
            </w:pPr>
            <w:r>
              <w:rPr>
                <w:rFonts w:hint="eastAsia"/>
                <w:color w:val="000000"/>
                <w:spacing w:val="-5"/>
                <w:sz w:val="24"/>
                <w:szCs w:val="24"/>
                <w:highlight w:val="none"/>
              </w:rPr>
              <w:t xml:space="preserve">2</w:t>
            </w:r>
            <w:r>
              <w:rPr>
                <w:rFonts w:hint="eastAsia"/>
                <w:color w:val="000000"/>
                <w:sz w:val="24"/>
                <w:szCs w:val="24"/>
                <w:highlight w:val="none"/>
              </w:rPr>
            </w:r>
            <w:r/>
          </w:p>
        </w:tc>
        <w:tc>
          <w:tcPr>
            <w:tcW w:w="4406" w:type="dxa"/>
            <w:vAlign w:val="top"/>
            <w:textDirection w:val="lrTb"/>
            <w:noWrap w:val="false"/>
          </w:tcPr>
          <w:p>
            <w:pPr>
              <w:pStyle w:val="1317"/>
              <w:ind w:firstLine="112"/>
              <w:spacing w:before="1" w:line="360" w:lineRule="auto"/>
              <w:rPr>
                <w:rFonts w:hint="eastAsia"/>
                <w:color w:val="000000"/>
                <w:sz w:val="24"/>
                <w:szCs w:val="24"/>
                <w:highlight w:val="none"/>
              </w:rPr>
            </w:pPr>
            <w:r>
              <w:rPr>
                <w:rFonts w:hint="eastAsia"/>
                <w:color w:val="000000"/>
                <w:spacing w:val="-8"/>
                <w:sz w:val="24"/>
                <w:szCs w:val="24"/>
                <w:highlight w:val="none"/>
              </w:rPr>
              <w:t xml:space="preserve">扫描仪重量：</w:t>
            </w:r>
            <w:r>
              <w:rPr>
                <w:rFonts w:hint="eastAsia"/>
                <w:color w:val="000000"/>
                <w:spacing w:val="-2"/>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4"/>
                <w:sz w:val="24"/>
                <w:szCs w:val="24"/>
                <w:highlight w:val="none"/>
              </w:rPr>
              <w:t xml:space="preserve">0g</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317"/>
              <w:ind w:firstLine="116"/>
              <w:spacing w:line="360" w:lineRule="auto"/>
              <w:rPr>
                <w:rFonts w:hint="eastAsia"/>
                <w:color w:val="000000"/>
                <w:sz w:val="24"/>
                <w:szCs w:val="24"/>
                <w:highlight w:val="none"/>
              </w:rPr>
            </w:pPr>
            <w:r>
              <w:rPr>
                <w:rFonts w:hint="eastAsia"/>
                <w:color w:val="000000"/>
                <w:spacing w:val="-4"/>
                <w:sz w:val="24"/>
                <w:szCs w:val="24"/>
                <w:highlight w:val="none"/>
              </w:rPr>
              <w:t xml:space="preserve">外形设计：笔式</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4</w:t>
            </w:r>
            <w:r>
              <w:rPr>
                <w:rFonts w:hint="eastAsia"/>
                <w:color w:val="000000"/>
                <w:sz w:val="24"/>
                <w:szCs w:val="24"/>
                <w:highlight w:val="none"/>
                <w:lang w:eastAsia="zh-CN"/>
              </w:rPr>
            </w:r>
            <w:r/>
          </w:p>
        </w:tc>
        <w:tc>
          <w:tcPr>
            <w:tcW w:w="4406" w:type="dxa"/>
            <w:vAlign w:val="top"/>
            <w:textDirection w:val="lrTb"/>
            <w:noWrap w:val="false"/>
          </w:tcPr>
          <w:p>
            <w:pPr>
              <w:pStyle w:val="1317"/>
              <w:ind w:firstLine="116"/>
              <w:spacing w:before="1" w:line="360" w:lineRule="auto"/>
              <w:rPr>
                <w:rFonts w:hint="eastAsia"/>
                <w:color w:val="000000"/>
                <w:sz w:val="24"/>
                <w:szCs w:val="24"/>
                <w:highlight w:val="none"/>
              </w:rPr>
            </w:pPr>
            <w:r>
              <w:rPr>
                <w:rFonts w:hint="eastAsia"/>
                <w:color w:val="000000"/>
                <w:spacing w:val="-4"/>
                <w:sz w:val="24"/>
                <w:szCs w:val="24"/>
                <w:highlight w:val="none"/>
              </w:rPr>
              <w:t xml:space="preserve">印模颜色：真彩</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317"/>
              <w:ind w:firstLine="124"/>
              <w:spacing w:line="360" w:lineRule="auto"/>
              <w:rPr>
                <w:rFonts w:hint="eastAsia"/>
                <w:color w:val="000000"/>
                <w:sz w:val="24"/>
                <w:szCs w:val="24"/>
                <w:highlight w:val="none"/>
              </w:rPr>
            </w:pPr>
            <w:r>
              <w:rPr>
                <w:rFonts w:hint="eastAsia"/>
                <w:color w:val="000000"/>
                <w:spacing w:val="4"/>
                <w:sz w:val="24"/>
                <w:szCs w:val="24"/>
                <w:highlight w:val="none"/>
              </w:rPr>
              <w:t xml:space="preserve">处理器：主频≥3.</w:t>
            </w:r>
            <w:r>
              <w:rPr>
                <w:rFonts w:hint="eastAsia"/>
                <w:color w:val="000000"/>
                <w:spacing w:val="4"/>
                <w:sz w:val="24"/>
                <w:szCs w:val="24"/>
                <w:highlight w:val="none"/>
                <w:lang w:eastAsia="zh-CN"/>
              </w:rPr>
              <w:t xml:space="preserve">0</w:t>
            </w:r>
            <w:r>
              <w:rPr>
                <w:rFonts w:hint="eastAsia"/>
                <w:color w:val="000000"/>
                <w:spacing w:val="4"/>
                <w:sz w:val="24"/>
                <w:szCs w:val="24"/>
                <w:highlight w:val="none"/>
              </w:rPr>
              <w:t xml:space="preserve">GHz</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6</w:t>
            </w:r>
            <w:r>
              <w:rPr>
                <w:rFonts w:hint="eastAsia"/>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操作系统：</w:t>
            </w:r>
            <w:r>
              <w:rPr>
                <w:rFonts w:hint="eastAsia"/>
                <w:color w:val="000000"/>
                <w:spacing w:val="-2"/>
                <w:sz w:val="24"/>
                <w:szCs w:val="24"/>
                <w:highlight w:val="none"/>
                <w:lang w:eastAsia="zh-CN"/>
              </w:rPr>
              <w:t xml:space="preserve">不低于</w:t>
            </w:r>
            <w:r>
              <w:rPr>
                <w:rFonts w:hint="eastAsia"/>
                <w:color w:val="000000"/>
                <w:spacing w:val="-2"/>
                <w:sz w:val="24"/>
                <w:szCs w:val="24"/>
                <w:highlight w:val="none"/>
              </w:rPr>
              <w:t xml:space="preserve">Windows7</w:t>
            </w:r>
            <w:r>
              <w:rPr>
                <w:rFonts w:hint="eastAsia"/>
                <w:color w:val="000000"/>
                <w:spacing w:val="10"/>
                <w:sz w:val="24"/>
                <w:szCs w:val="24"/>
                <w:highlight w:val="none"/>
              </w:rPr>
              <w:t xml:space="preserve"> </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7</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line="360" w:lineRule="auto"/>
              <w:rPr>
                <w:rFonts w:hint="eastAsia"/>
                <w:color w:val="000000"/>
                <w:sz w:val="24"/>
                <w:szCs w:val="24"/>
                <w:highlight w:val="none"/>
              </w:rPr>
            </w:pPr>
            <w:r>
              <w:rPr>
                <w:rFonts w:hint="eastAsia"/>
                <w:color w:val="000000"/>
                <w:sz w:val="24"/>
                <w:szCs w:val="24"/>
                <w:highlight w:val="none"/>
              </w:rPr>
              <w:t xml:space="preserve">内存：DDR4</w:t>
            </w:r>
            <w:r>
              <w:rPr>
                <w:rFonts w:hint="eastAsia"/>
                <w:color w:val="000000"/>
                <w:spacing w:val="-9"/>
                <w:sz w:val="24"/>
                <w:szCs w:val="24"/>
                <w:highlight w:val="none"/>
              </w:rPr>
              <w:t xml:space="preserve"> </w:t>
            </w:r>
            <w:r>
              <w:rPr>
                <w:rFonts w:hint="eastAsia"/>
                <w:color w:val="000000"/>
                <w:sz w:val="24"/>
                <w:szCs w:val="24"/>
                <w:highlight w:val="none"/>
              </w:rPr>
              <w:t xml:space="preserve">2400</w:t>
            </w:r>
            <w:r>
              <w:rPr>
                <w:rFonts w:hint="eastAsia"/>
                <w:color w:val="000000"/>
                <w:spacing w:val="-6"/>
                <w:sz w:val="24"/>
                <w:szCs w:val="24"/>
                <w:highlight w:val="none"/>
              </w:rPr>
              <w:t xml:space="preserve"> </w:t>
            </w:r>
            <w:r>
              <w:rPr>
                <w:rFonts w:hint="eastAsia"/>
                <w:color w:val="000000"/>
                <w:sz w:val="24"/>
                <w:szCs w:val="24"/>
                <w:highlight w:val="none"/>
              </w:rPr>
              <w:t xml:space="preserve">16G</w:t>
            </w:r>
            <w:r>
              <w:rPr>
                <w:rFonts w:hint="eastAsia"/>
                <w:color w:val="000000"/>
                <w:spacing w:val="-3"/>
                <w:sz w:val="24"/>
                <w:szCs w:val="24"/>
                <w:highlight w:val="none"/>
              </w:rPr>
              <w:t xml:space="preserve">及其以上</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8</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before="1" w:line="360" w:lineRule="auto"/>
              <w:rPr>
                <w:rFonts w:hint="eastAsia"/>
                <w:color w:val="000000"/>
                <w:sz w:val="24"/>
                <w:szCs w:val="24"/>
                <w:highlight w:val="none"/>
              </w:rPr>
            </w:pPr>
            <w:r>
              <w:rPr>
                <w:rFonts w:hint="eastAsia"/>
                <w:color w:val="000000"/>
                <w:sz w:val="24"/>
                <w:szCs w:val="24"/>
                <w:highlight w:val="none"/>
              </w:rPr>
              <w:t xml:space="preserve">光源：LED白光+</w:t>
            </w:r>
            <w:r>
              <w:rPr>
                <w:rFonts w:hint="eastAsia"/>
                <w:color w:val="000000"/>
                <w:spacing w:val="-5"/>
                <w:sz w:val="24"/>
                <w:szCs w:val="24"/>
                <w:highlight w:val="none"/>
              </w:rPr>
              <w:t xml:space="preserve">激光</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rFonts w:hint="eastAsia"/>
                <w:color w:val="000000"/>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z w:val="24"/>
                <w:szCs w:val="24"/>
                <w:highlight w:val="none"/>
                <w:lang w:eastAsia="zh-CN"/>
              </w:rPr>
            </w:r>
            <w:r/>
          </w:p>
        </w:tc>
        <w:tc>
          <w:tcPr>
            <w:tcW w:w="4406" w:type="dxa"/>
            <w:vAlign w:val="top"/>
            <w:textDirection w:val="lrTb"/>
            <w:noWrap w:val="false"/>
          </w:tcPr>
          <w:p>
            <w:pPr>
              <w:pStyle w:val="1317"/>
              <w:ind w:firstLine="117"/>
              <w:spacing w:line="360" w:lineRule="auto"/>
              <w:rPr>
                <w:rFonts w:hint="eastAsia"/>
                <w:color w:val="000000"/>
                <w:sz w:val="24"/>
                <w:szCs w:val="24"/>
                <w:highlight w:val="none"/>
              </w:rPr>
            </w:pPr>
            <w:r>
              <w:rPr>
                <w:rFonts w:hint="eastAsia"/>
                <w:color w:val="000000"/>
                <w:spacing w:val="-3"/>
                <w:sz w:val="24"/>
                <w:szCs w:val="24"/>
                <w:highlight w:val="none"/>
              </w:rPr>
              <w:t xml:space="preserve">扫描要求：无需喷粉</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10</w:t>
            </w:r>
            <w:r>
              <w:rPr>
                <w:color w:val="000000"/>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z w:val="24"/>
                <w:szCs w:val="24"/>
                <w:highlight w:val="none"/>
              </w:rPr>
            </w:pPr>
            <w:r>
              <w:rPr>
                <w:rFonts w:hint="eastAsia"/>
                <w:color w:val="000000"/>
                <w:spacing w:val="-3"/>
                <w:sz w:val="24"/>
                <w:szCs w:val="24"/>
                <w:highlight w:val="none"/>
              </w:rPr>
              <w:t xml:space="preserve">语言：支持中文界面</w:t>
            </w:r>
            <w:r>
              <w:rPr>
                <w:rFonts w:hint="eastAsia"/>
                <w:color w:val="000000"/>
                <w:sz w:val="24"/>
                <w:szCs w:val="24"/>
                <w:highlight w:val="none"/>
              </w:rPr>
            </w:r>
            <w:r/>
          </w:p>
        </w:tc>
      </w:tr>
      <w:tr>
        <w:trPr>
          <w:trHeight w:val="467"/>
        </w:trPr>
        <w:tc>
          <w:tcPr>
            <w:tcW w:w="593" w:type="dxa"/>
            <w:vAlign w:val="top"/>
            <w:textDirection w:val="lrTb"/>
            <w:noWrap w:val="false"/>
          </w:tcPr>
          <w:p>
            <w:pPr>
              <w:pStyle w:val="1317"/>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11</w:t>
            </w:r>
            <w:r>
              <w:rPr>
                <w:color w:val="000000"/>
                <w:sz w:val="24"/>
                <w:szCs w:val="24"/>
                <w:highlight w:val="none"/>
                <w:lang w:eastAsia="zh-CN"/>
              </w:rPr>
            </w:r>
            <w:r/>
          </w:p>
        </w:tc>
        <w:tc>
          <w:tcPr>
            <w:tcW w:w="4406" w:type="dxa"/>
            <w:vAlign w:val="top"/>
            <w:textDirection w:val="lrTb"/>
            <w:noWrap w:val="false"/>
          </w:tcPr>
          <w:p>
            <w:pPr>
              <w:pStyle w:val="1317"/>
              <w:ind w:firstLine="118"/>
              <w:spacing w:line="360" w:lineRule="auto"/>
              <w:rPr>
                <w:rFonts w:hint="eastAsia"/>
                <w:color w:val="000000"/>
                <w:sz w:val="24"/>
                <w:szCs w:val="24"/>
                <w:highlight w:val="none"/>
              </w:rPr>
            </w:pPr>
            <w:r>
              <w:rPr>
                <w:rFonts w:hint="eastAsia"/>
                <w:color w:val="000000"/>
                <w:spacing w:val="-2"/>
                <w:sz w:val="24"/>
                <w:szCs w:val="24"/>
                <w:highlight w:val="none"/>
              </w:rPr>
              <w:t xml:space="preserve">输出端文件：STL，PLY，PTY</w:t>
            </w:r>
            <w:r>
              <w:rPr>
                <w:rFonts w:hint="eastAsia"/>
                <w:color w:val="000000"/>
                <w:spacing w:val="-3"/>
                <w:sz w:val="24"/>
                <w:szCs w:val="24"/>
                <w:highlight w:val="none"/>
              </w:rPr>
              <w:t xml:space="preserve">、支持定制加密格式文件</w:t>
            </w:r>
            <w:r>
              <w:rPr>
                <w:rFonts w:hint="eastAsia"/>
                <w:color w:val="000000"/>
                <w:sz w:val="24"/>
                <w:szCs w:val="24"/>
                <w:highlight w:val="none"/>
              </w:rPr>
            </w:r>
            <w:r/>
          </w:p>
        </w:tc>
      </w:tr>
      <w:tr>
        <w:trPr>
          <w:trHeight w:val="416"/>
        </w:trPr>
        <w:tc>
          <w:tcPr>
            <w:tcW w:w="593" w:type="dxa"/>
            <w:vAlign w:val="top"/>
            <w:textDirection w:val="lrTb"/>
            <w:noWrap w:val="false"/>
          </w:tcPr>
          <w:p>
            <w:pPr>
              <w:pStyle w:val="1317"/>
              <w:ind w:firstLine="240"/>
              <w:spacing w:before="1"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扫描精度（绝对值）≤</w:t>
            </w:r>
            <w:r>
              <w:rPr>
                <w:rFonts w:hint="eastAsia"/>
                <w:color w:val="000000"/>
                <w:spacing w:val="-2"/>
                <w:sz w:val="24"/>
                <w:szCs w:val="24"/>
                <w:highlight w:val="none"/>
                <w:lang w:eastAsia="zh-CN"/>
              </w:rPr>
              <w:t xml:space="preserve">7</w:t>
            </w:r>
            <w:r>
              <w:rPr>
                <w:rFonts w:hint="eastAsia"/>
                <w:color w:val="000000"/>
                <w:spacing w:val="-2"/>
                <w:sz w:val="24"/>
                <w:szCs w:val="24"/>
                <w:highlight w:val="none"/>
              </w:rPr>
              <w:t xml:space="preserve">um</w:t>
            </w:r>
            <w:r>
              <w:rPr>
                <w:rFonts w:hint="eastAsia"/>
                <w:color w:val="000000"/>
                <w:sz w:val="24"/>
                <w:szCs w:val="24"/>
                <w:highlight w:val="none"/>
              </w:rPr>
            </w:r>
            <w:r/>
          </w:p>
        </w:tc>
      </w:tr>
      <w:tr>
        <w:trPr>
          <w:trHeight w:val="415"/>
        </w:trPr>
        <w:tc>
          <w:tcPr>
            <w:tcW w:w="593" w:type="dxa"/>
            <w:vAlign w:val="top"/>
            <w:textDirection w:val="lrTb"/>
            <w:noWrap w:val="false"/>
          </w:tcPr>
          <w:p>
            <w:pPr>
              <w:pStyle w:val="1317"/>
              <w:ind w:firstLine="240"/>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line="360" w:lineRule="auto"/>
              <w:rPr>
                <w:rFonts w:hint="eastAsia"/>
                <w:color w:val="000000"/>
                <w:sz w:val="24"/>
                <w:szCs w:val="24"/>
                <w:highlight w:val="none"/>
              </w:rPr>
            </w:pPr>
            <w:r>
              <w:rPr>
                <w:rFonts w:hint="eastAsia"/>
                <w:color w:val="000000"/>
                <w:sz w:val="24"/>
                <w:szCs w:val="24"/>
                <w:highlight w:val="none"/>
              </w:rPr>
              <w:t xml:space="preserve">扫描速度：</w:t>
            </w:r>
            <w:r>
              <w:rPr>
                <w:rFonts w:hint="eastAsia"/>
                <w:color w:val="000000"/>
                <w:spacing w:val="4"/>
                <w:sz w:val="24"/>
                <w:szCs w:val="24"/>
                <w:highlight w:val="none"/>
              </w:rPr>
              <w:t xml:space="preserve">≥</w:t>
            </w:r>
            <w:r>
              <w:rPr>
                <w:rFonts w:hint="eastAsia"/>
                <w:color w:val="000000"/>
                <w:sz w:val="24"/>
                <w:szCs w:val="24"/>
                <w:highlight w:val="none"/>
                <w:lang w:eastAsia="zh-CN"/>
              </w:rPr>
              <w:t xml:space="preserve">24</w:t>
            </w:r>
            <w:r>
              <w:rPr>
                <w:rFonts w:hint="eastAsia"/>
                <w:color w:val="000000"/>
                <w:sz w:val="24"/>
                <w:szCs w:val="24"/>
                <w:highlight w:val="none"/>
              </w:rPr>
              <w:t xml:space="preserve">帧</w:t>
            </w:r>
            <w:r>
              <w:rPr>
                <w:rFonts w:hint="eastAsia"/>
                <w:color w:val="000000"/>
                <w:spacing w:val="-5"/>
                <w:sz w:val="24"/>
                <w:szCs w:val="24"/>
                <w:highlight w:val="none"/>
              </w:rPr>
              <w:t xml:space="preserve">/s</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rFonts w:hint="eastAsia"/>
                <w:b/>
                <w:color w:val="000000"/>
                <w:sz w:val="24"/>
                <w:szCs w:val="24"/>
                <w:highlight w:val="none"/>
                <w:lang w:eastAsia="zh-CN"/>
              </w:rPr>
            </w:pPr>
            <w:r>
              <w:rPr>
                <w:rFonts w:hint="eastAsia"/>
                <w:bCs/>
                <w:color w:val="000000"/>
                <w:spacing w:val="-5"/>
                <w:sz w:val="24"/>
                <w:szCs w:val="24"/>
                <w:highlight w:val="none"/>
              </w:rPr>
              <w:t xml:space="preserve">1</w:t>
            </w:r>
            <w:r>
              <w:rPr>
                <w:rFonts w:hint="eastAsia"/>
                <w:bCs/>
                <w:color w:val="000000"/>
                <w:spacing w:val="-5"/>
                <w:sz w:val="24"/>
                <w:szCs w:val="24"/>
                <w:highlight w:val="none"/>
                <w:lang w:eastAsia="zh-CN"/>
              </w:rPr>
              <w:t xml:space="preserve">4</w:t>
            </w:r>
            <w:r>
              <w:rPr>
                <w:rFonts w:hint="eastAsia"/>
                <w:b/>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电脑连接方式：USB3.0</w:t>
            </w:r>
            <w:r>
              <w:rPr>
                <w:rFonts w:hint="eastAsia"/>
                <w:color w:val="000000"/>
                <w:spacing w:val="-4"/>
                <w:sz w:val="24"/>
                <w:szCs w:val="24"/>
                <w:highlight w:val="none"/>
              </w:rPr>
              <w:t xml:space="preserve">单线连接</w:t>
            </w:r>
            <w:r>
              <w:rPr>
                <w:rFonts w:hint="eastAsia"/>
                <w:color w:val="000000"/>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317"/>
              <w:ind w:firstLine="117"/>
              <w:spacing w:line="360" w:lineRule="auto"/>
              <w:rPr>
                <w:rFonts w:hint="eastAsia"/>
                <w:color w:val="000000"/>
                <w:sz w:val="24"/>
                <w:szCs w:val="24"/>
                <w:highlight w:val="none"/>
              </w:rPr>
            </w:pPr>
            <w:r>
              <w:rPr>
                <w:rFonts w:hint="eastAsia"/>
                <w:color w:val="000000"/>
                <w:spacing w:val="-3"/>
                <w:sz w:val="24"/>
                <w:szCs w:val="24"/>
                <w:highlight w:val="none"/>
                <w:lang w:eastAsia="zh-CN"/>
              </w:rPr>
              <w:t xml:space="preserve">配适用笔记本电脑及</w:t>
            </w:r>
            <w:r>
              <w:rPr>
                <w:rFonts w:hint="eastAsia"/>
                <w:color w:val="000000"/>
                <w:spacing w:val="-3"/>
                <w:sz w:val="24"/>
                <w:szCs w:val="24"/>
                <w:highlight w:val="none"/>
              </w:rPr>
              <w:t xml:space="preserve">推车。</w:t>
            </w:r>
            <w:r>
              <w:rPr>
                <w:rFonts w:hint="eastAsia"/>
                <w:color w:val="000000"/>
                <w:sz w:val="24"/>
                <w:szCs w:val="24"/>
                <w:highlight w:val="none"/>
              </w:rPr>
            </w:r>
            <w:r/>
          </w:p>
        </w:tc>
      </w:tr>
      <w:tr>
        <w:trPr>
          <w:trHeight w:val="416"/>
        </w:trPr>
        <w:tc>
          <w:tcPr>
            <w:gridSpan w:val="2"/>
            <w:tcW w:w="9082"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b/>
                <w:bCs/>
                <w:color w:val="000000"/>
                <w:spacing w:val="-3"/>
                <w:sz w:val="24"/>
                <w:szCs w:val="24"/>
                <w:highlight w:val="none"/>
              </w:rPr>
              <w:t xml:space="preserve">三、功能要求</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1</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before="1" w:line="360" w:lineRule="auto"/>
              <w:rPr>
                <w:rFonts w:hint="eastAsia"/>
                <w:color w:val="000000"/>
                <w:spacing w:val="-5"/>
                <w:sz w:val="24"/>
                <w:szCs w:val="24"/>
                <w:highlight w:val="none"/>
              </w:rPr>
            </w:pPr>
            <w:r>
              <w:rPr>
                <w:rFonts w:hint="eastAsia"/>
                <w:color w:val="000000"/>
                <w:spacing w:val="-5"/>
                <w:sz w:val="24"/>
                <w:szCs w:val="24"/>
                <w:highlight w:val="none"/>
              </w:rPr>
              <w:t xml:space="preserve">2</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开关按键，扫描一键操作，无需接触鼠标、键盘</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rPr>
            </w:pPr>
            <w:r>
              <w:rPr>
                <w:rFonts w:hint="eastAsia"/>
                <w:color w:val="000000"/>
                <w:spacing w:val="-5"/>
                <w:sz w:val="24"/>
                <w:szCs w:val="24"/>
                <w:highlight w:val="none"/>
              </w:rPr>
              <w:t xml:space="preserve">3</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color w:val="000000"/>
                <w:spacing w:val="-3"/>
                <w:sz w:val="24"/>
                <w:szCs w:val="24"/>
                <w:highlight w:val="none"/>
              </w:rPr>
              <w:t xml:space="preserve">体感操作，遥控机身查看数据</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4</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设备一体化连接设计，方便，简单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5</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智能追踪，口内任意位置快速恢复扫描</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lang w:eastAsia="zh-CN"/>
              </w:rPr>
            </w:pPr>
            <w:r>
              <w:rPr>
                <w:rFonts w:hint="eastAsia"/>
                <w:bCs/>
                <w:color w:val="000000"/>
                <w:spacing w:val="-5"/>
                <w:sz w:val="24"/>
                <w:szCs w:val="24"/>
                <w:highlight w:val="none"/>
                <w:lang w:eastAsia="zh-CN"/>
              </w:rPr>
              <w:t xml:space="preserve">6</w:t>
            </w:r>
            <w:r>
              <w:rPr>
                <w:rFonts w:hint="eastAsia"/>
                <w:color w:val="000000"/>
                <w:spacing w:val="-5"/>
                <w:sz w:val="24"/>
                <w:szCs w:val="24"/>
                <w:highlight w:val="none"/>
                <w:lang w:eastAsia="zh-CN"/>
              </w:rPr>
            </w:r>
            <w:r/>
          </w:p>
        </w:tc>
        <w:tc>
          <w:tcPr>
            <w:tcW w:w="4406" w:type="dxa"/>
            <w:vAlign w:val="top"/>
            <w:textDirection w:val="lrTb"/>
            <w:noWrap w:val="false"/>
          </w:tcPr>
          <w:p>
            <w:pPr>
              <w:pStyle w:val="1317"/>
              <w:spacing w:line="360" w:lineRule="auto"/>
              <w:rPr>
                <w:color w:val="000000"/>
                <w:spacing w:val="-3"/>
                <w:sz w:val="24"/>
                <w:szCs w:val="24"/>
                <w:highlight w:val="none"/>
                <w:lang w:eastAsia="zh-CN"/>
              </w:rPr>
            </w:pPr>
            <w:r>
              <w:rPr>
                <w:rFonts w:hint="eastAsia"/>
                <w:color w:val="000000"/>
                <w:spacing w:val="-3"/>
                <w:sz w:val="24"/>
                <w:szCs w:val="24"/>
                <w:highlight w:val="none"/>
              </w:rPr>
              <w:t xml:space="preserve">扫描头可拆卸，采用高压蒸汽灭菌，</w:t>
            </w:r>
            <w:r>
              <w:rPr>
                <w:rFonts w:hint="eastAsia"/>
                <w:color w:val="000000"/>
                <w:spacing w:val="-3"/>
                <w:sz w:val="24"/>
                <w:szCs w:val="24"/>
                <w:highlight w:val="none"/>
                <w:lang w:eastAsia="zh-CN"/>
              </w:rPr>
              <w:t xml:space="preserve">可重复灭菌。</w:t>
            </w:r>
            <w:r>
              <w:rPr>
                <w:color w:val="000000"/>
                <w:spacing w:val="-3"/>
                <w:sz w:val="24"/>
                <w:szCs w:val="24"/>
                <w:highlight w:val="none"/>
                <w:lang w:eastAsia="zh-CN"/>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7</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配套修复软件内置智能备牙评估系统，含倒凹观察，颈线刻划，咬合空间检测等功能</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right="107" w:firstLine="240"/>
              <w:jc w:val="both"/>
              <w:spacing w:before="1"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lang w:eastAsia="zh-CN"/>
              </w:rPr>
              <w:t xml:space="preserve">8</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02"/>
              <w:spacing w:before="1" w:line="360" w:lineRule="auto"/>
              <w:rPr>
                <w:rFonts w:hint="eastAsia"/>
                <w:color w:val="000000"/>
                <w:spacing w:val="-3"/>
                <w:sz w:val="24"/>
                <w:szCs w:val="24"/>
                <w:highlight w:val="none"/>
              </w:rPr>
            </w:pPr>
            <w:r>
              <w:rPr>
                <w:rFonts w:hint="eastAsia"/>
                <w:color w:val="000000"/>
                <w:spacing w:val="-18"/>
                <w:sz w:val="24"/>
                <w:szCs w:val="24"/>
                <w:highlight w:val="none"/>
              </w:rPr>
              <w:t xml:space="preserve">扫描深度</w:t>
            </w:r>
            <w:r>
              <w:rPr>
                <w:rFonts w:hint="eastAsia"/>
                <w:color w:val="000000"/>
                <w:spacing w:val="4"/>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2"/>
                <w:sz w:val="24"/>
                <w:szCs w:val="24"/>
                <w:highlight w:val="none"/>
              </w:rPr>
              <w:t xml:space="preserve">mm</w:t>
            </w:r>
            <w:r>
              <w:rPr>
                <w:rFonts w:hint="eastAsia"/>
                <w:color w:val="000000"/>
                <w:spacing w:val="-3"/>
                <w:sz w:val="24"/>
                <w:szCs w:val="24"/>
                <w:highlight w:val="none"/>
              </w:rPr>
              <w:t xml:space="preserve">，支持软件多档可调</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69"/>
              <w:spacing w:before="2" w:line="360" w:lineRule="auto"/>
              <w:rPr>
                <w:rFonts w:hint="eastAsia"/>
                <w:color w:val="000000"/>
                <w:spacing w:val="-3"/>
                <w:sz w:val="24"/>
                <w:szCs w:val="24"/>
                <w:highlight w:val="none"/>
              </w:rPr>
            </w:pPr>
            <w:r>
              <w:rPr>
                <w:rFonts w:hint="eastAsia"/>
                <w:color w:val="000000"/>
                <w:spacing w:val="49"/>
                <w:sz w:val="24"/>
                <w:szCs w:val="24"/>
                <w:highlight w:val="none"/>
              </w:rPr>
              <w:t xml:space="preserve">与</w:t>
            </w:r>
            <w:r>
              <w:rPr>
                <w:rFonts w:hint="eastAsia"/>
                <w:color w:val="000000"/>
                <w:sz w:val="24"/>
                <w:szCs w:val="24"/>
                <w:highlight w:val="none"/>
              </w:rPr>
              <w:t xml:space="preserve">CAD\CAM</w:t>
            </w:r>
            <w:r>
              <w:rPr>
                <w:rFonts w:hint="eastAsia"/>
                <w:color w:val="000000"/>
                <w:spacing w:val="9"/>
                <w:sz w:val="24"/>
                <w:szCs w:val="24"/>
                <w:highlight w:val="none"/>
              </w:rPr>
              <w:t xml:space="preserve">对接，输出</w:t>
            </w:r>
            <w:r>
              <w:rPr>
                <w:rFonts w:hint="eastAsia"/>
                <w:color w:val="000000"/>
                <w:sz w:val="24"/>
                <w:szCs w:val="24"/>
                <w:highlight w:val="none"/>
              </w:rPr>
              <w:t xml:space="preserve">STL、PLY</w:t>
            </w:r>
            <w:r>
              <w:rPr>
                <w:rFonts w:hint="eastAsia"/>
                <w:color w:val="000000"/>
                <w:spacing w:val="-1"/>
                <w:sz w:val="24"/>
                <w:szCs w:val="24"/>
                <w:highlight w:val="none"/>
              </w:rPr>
              <w:t xml:space="preserve">全开放式文件，支持定制加密格式文件</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line="360" w:lineRule="auto"/>
              <w:rPr>
                <w:color w:val="000000"/>
                <w:spacing w:val="-5"/>
                <w:sz w:val="24"/>
                <w:szCs w:val="24"/>
                <w:highlight w:val="none"/>
                <w:lang w:eastAsia="zh-CN"/>
              </w:rPr>
            </w:pPr>
            <w:r>
              <w:rPr>
                <w:rFonts w:hint="eastAsia"/>
                <w:color w:val="000000"/>
                <w:spacing w:val="-5"/>
                <w:sz w:val="24"/>
                <w:szCs w:val="24"/>
                <w:highlight w:val="none"/>
                <w:lang w:eastAsia="zh-CN"/>
              </w:rPr>
              <w:t xml:space="preserve">10</w:t>
            </w:r>
            <w:r>
              <w:rPr>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集成培训中心和远程支持技术，可共享您的屏幕，支持教学</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1</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3" w:line="360" w:lineRule="auto"/>
              <w:rPr>
                <w:rFonts w:hint="eastAsia"/>
                <w:color w:val="000000"/>
                <w:spacing w:val="-3"/>
                <w:sz w:val="24"/>
                <w:szCs w:val="24"/>
                <w:highlight w:val="none"/>
              </w:rPr>
            </w:pPr>
            <w:r>
              <w:rPr>
                <w:rFonts w:hint="eastAsia"/>
                <w:color w:val="000000"/>
                <w:spacing w:val="-3"/>
                <w:sz w:val="24"/>
                <w:szCs w:val="24"/>
                <w:highlight w:val="none"/>
              </w:rPr>
              <w:t xml:space="preserve">可口内扫描多个单位的种植体和杆卡类植体</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咬合自动对准及手动调整功能，多咬合关系记录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2" w:line="360" w:lineRule="auto"/>
              <w:rPr>
                <w:color w:val="000000"/>
                <w:spacing w:val="-3"/>
                <w:sz w:val="24"/>
                <w:szCs w:val="24"/>
                <w:highlight w:val="none"/>
                <w:lang w:eastAsia="zh-CN"/>
              </w:rPr>
            </w:pPr>
            <w:r>
              <w:rPr>
                <w:rFonts w:hint="eastAsia"/>
                <w:color w:val="000000"/>
                <w:spacing w:val="-3"/>
                <w:sz w:val="24"/>
                <w:szCs w:val="24"/>
                <w:highlight w:val="none"/>
                <w:lang w:eastAsia="zh-CN"/>
              </w:rPr>
              <w:t xml:space="preserve">可自生成个性化病历报告，支持患者扫码查询</w:t>
            </w:r>
            <w:r>
              <w:rPr>
                <w:color w:val="000000"/>
                <w:spacing w:val="-3"/>
                <w:sz w:val="24"/>
                <w:szCs w:val="24"/>
                <w:highlight w:val="none"/>
                <w:lang w:eastAsia="zh-CN"/>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（四）牙科种植机</w:t>
      </w:r>
      <w:r>
        <w:rPr>
          <w:rFonts w:hint="eastAsia" w:ascii="宋体" w:hAnsi="宋体" w:cs="宋体"/>
          <w:b/>
          <w:bCs/>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8147"/>
      </w:tblGrid>
      <w:tr>
        <w:trPr>
          <w:trHeight w:val="414"/>
        </w:trPr>
        <w:tc>
          <w:tcPr>
            <w:gridSpan w:val="2"/>
            <w:tcW w:w="9288" w:type="dxa"/>
            <w:vAlign w:val="top"/>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一、设备参数</w:t>
            </w:r>
            <w:r>
              <w:rPr>
                <w:rFonts w:hint="eastAsia" w:ascii="宋体" w:hAnsi="宋体" w:cs="宋体"/>
                <w:color w:val="000000"/>
                <w:sz w:val="24"/>
                <w:highlight w:val="none"/>
              </w:rPr>
            </w:r>
            <w:r/>
          </w:p>
        </w:tc>
      </w:tr>
      <w:tr>
        <w:trPr>
          <w:trHeight w:val="414"/>
        </w:trPr>
        <w:tc>
          <w:tcPr>
            <w:tcW w:w="614" w:type="dxa"/>
            <w:vAlign w:val="center"/>
            <w:textDirection w:val="lrTb"/>
            <w:noWrap/>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W w:w="4385" w:type="dxa"/>
            <w:vAlign w:val="center"/>
            <w:textDirection w:val="lrTb"/>
            <w:noWrap/>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设备技术参数</w:t>
            </w:r>
            <w:r>
              <w:rPr>
                <w:rFonts w:hint="eastAsia" w:ascii="宋体" w:hAnsi="宋体" w:cs="宋体"/>
                <w:b/>
                <w:bCs/>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马达空载转速：300-40000 r/min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弯手机摆动幅度：0-0.02mm</w:t>
            </w:r>
            <w:r>
              <w:rPr>
                <w:rFonts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扭矩范围：5-80 N•cm</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蠕动泵流量：0-135mL/min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主机重量：3.5 kg</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使用期限：不低于10年</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设备安全分类：</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对进液的防护程度分类：主机（IPX1），脚踏（IPX6）</w:t>
            </w:r>
            <w:r>
              <w:rPr>
                <w:rFonts w:hint="eastAsia" w:ascii="宋体" w:hAnsi="宋体" w:cs="宋体"/>
                <w:color w:val="000000"/>
                <w:sz w:val="24"/>
                <w:highlight w:val="none"/>
              </w:rPr>
            </w:r>
            <w:r/>
          </w:p>
        </w:tc>
      </w:tr>
      <w:tr>
        <w:trPr>
          <w:trHeight w:val="414"/>
        </w:trPr>
        <w:tc>
          <w:tcPr>
            <w:gridSpan w:val="2"/>
            <w:tcW w:w="92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二、功能要求</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大尺寸LCD彩色触摸屏，可视化种植图案界面，显示清晰，触摸操作可设定和保存参数。</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Style w:val="1330"/>
                <w:color w:val="000000"/>
                <w:sz w:val="24"/>
                <w:szCs w:val="24"/>
                <w:highlight w:val="none"/>
                <w:lang w:bidi="ar"/>
              </w:rPr>
              <w:t xml:space="preserve">适配多种转速比的机头</w:t>
            </w:r>
            <w:r>
              <w:rPr>
                <w:rStyle w:val="1331"/>
                <w:rFonts w:hint="eastAsia" w:ascii="宋体" w:hAnsi="宋体" w:cs="宋体"/>
                <w:color w:val="000000"/>
                <w:sz w:val="24"/>
                <w:szCs w:val="24"/>
                <w:highlight w:val="none"/>
                <w:lang w:bidi="ar"/>
              </w:rPr>
              <w:t xml:space="preserve">:1:1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1:2</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1:2.7</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1:3</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1:4.2</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1:5</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16:1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20:1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27:1</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采用静音微型马达。</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采用轴承，无论高速还是低速，都能保证稳定输出扭矩，使用更平稳，寿命更长久。</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水量控制、程序切换、正反转切换、转速控制均可通过多功能脚踏完成。</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有简易模式（</w:t>
            </w:r>
            <w:r>
              <w:rPr>
                <w:rFonts w:hint="eastAsia" w:ascii="宋体" w:hAnsi="宋体" w:cs="宋体"/>
                <w:color w:val="000000"/>
                <w:sz w:val="24"/>
                <w:highlight w:val="none"/>
                <w:lang w:bidi="zh-CN"/>
              </w:rPr>
              <w:t xml:space="preserve">不低于3</w:t>
            </w:r>
            <w:r>
              <w:rPr>
                <w:rFonts w:hint="eastAsia" w:ascii="宋体" w:hAnsi="宋体" w:cs="宋体"/>
                <w:color w:val="000000"/>
                <w:sz w:val="24"/>
                <w:highlight w:val="none"/>
                <w:lang w:bidi="ar"/>
              </w:rPr>
              <w:t xml:space="preserve">个程序）和标准模式（不低于8个程序）两种选择，方便医生操作使用。</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植入扭矩实时显示，且记录显示植入峰值扭矩</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植入过程维持扭力输出，使植入扭力更精准</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每次开机自动进行扭力校准，无需额外操作</w:t>
            </w:r>
            <w:r>
              <w:rPr>
                <w:rFonts w:hint="eastAsia" w:ascii="宋体" w:hAnsi="宋体" w:cs="宋体"/>
                <w:color w:val="000000"/>
                <w:sz w:val="24"/>
                <w:highlight w:val="none"/>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（五）种植体稳固度检测仪</w:t>
      </w:r>
      <w:r>
        <w:rPr>
          <w:rFonts w:hint="eastAsia" w:ascii="宋体" w:hAnsi="宋体" w:cs="宋体"/>
          <w:b/>
          <w:bCs/>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1.测量精度：±2 ISQ单位</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2.测量范围：1-99 ISQ单位</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3.测量距离：1-4mm</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4.整机功率：≤4W</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5.工作原理：</w:t>
      </w:r>
      <w:r>
        <w:rPr>
          <w:rFonts w:hint="eastAsia" w:ascii="宋体" w:hAnsi="宋体" w:cs="宋体"/>
          <w:color w:val="000000"/>
          <w:sz w:val="24"/>
          <w:highlight w:val="none"/>
          <w:lang w:bidi="ar"/>
        </w:rPr>
        <w:t xml:space="preserve">采用共振频率分析的方法，对种植体稳固度进行评估。</w:t>
      </w:r>
      <w:r>
        <w:rPr>
          <w:rFonts w:hint="eastAsia" w:ascii="宋体" w:hAnsi="宋体" w:cs="宋体"/>
          <w:color w:val="000000"/>
          <w:sz w:val="24"/>
          <w:highlight w:val="none"/>
        </w:rPr>
      </w:r>
      <w:r/>
    </w:p>
    <w:p>
      <w:pPr>
        <w:pStyle w:val="1071"/>
        <w:ind w:firstLine="480"/>
        <w:jc w:val="left"/>
        <w:spacing w:line="360" w:lineRule="auto"/>
        <w:widowControl/>
        <w:rPr>
          <w:rFonts w:hint="eastAsia"/>
          <w:color w:val="000000"/>
          <w:highlight w:val="none"/>
          <w:lang w:eastAsia="zh"/>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6.底座：标配无线充电底座，可以实现无线充电。</w:t>
      </w:r>
      <w:r>
        <w:rPr>
          <w:rFonts w:hint="eastAsia"/>
          <w:color w:val="000000"/>
          <w:highlight w:val="none"/>
          <w:lang w:eastAsia="zh"/>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包04：牙科影像板扫描仪等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牙科影像板扫描仪</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1、扫描空间分辨率≥17 lp/mm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2、像素尺寸：≤30微米</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3、支持S0，S1，S2，S3四个尺寸的影像板。其中S2为标准常用的影像板，尺寸为≥41 x 31mm,实际成像面积≥39x29mm。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4、医疗数字影像和通信标准符合DICOM3.0标准。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5、扫描完成后，具备自动擦除影像数据的功能。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6、软件端支持导出JPG、BMP、PNG、DCM图片格式。</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7、软件端支持影像打印功能。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8、软件端影像处理软件具备：影像注释、影像反转、影像旋转、影像缩放、影像对比度亮度调整、影像角度、长度测量等功能。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9、软件需包含客户档案登记，复查，信息删除等功能；并对客户信息具备安全性和私密性保护处理。软件可以同时安装在局域网内的多台电脑上，并进行同步共享，没有用户数量限制。</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10、影像板在正确的使用环境下可以使用≥2500次。</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（二）口腔曲面体层X射线机</w:t>
      </w:r>
      <w:r>
        <w:rPr>
          <w:rFonts w:hint="eastAsia" w:ascii="宋体" w:hAnsi="宋体" w:cs="宋体"/>
          <w:b/>
          <w:bCs/>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1.基本要求</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 设备结构：立位自动升降。适合各类人群就诊。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w:t>
      </w:r>
      <w:r>
        <w:rPr>
          <w:rFonts w:hint="eastAsia" w:ascii="宋体" w:hAnsi="宋体" w:cs="宋体"/>
          <w:color w:val="000000"/>
          <w:sz w:val="24"/>
          <w:highlight w:val="none"/>
          <w:lang w:bidi="ar"/>
        </w:rPr>
        <w:t xml:space="preserve">探测器为平板探测器。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 头颅定</w:t>
      </w:r>
      <w:r>
        <w:rPr>
          <w:rFonts w:hint="eastAsia" w:ascii="宋体" w:hAnsi="宋体" w:cs="宋体"/>
          <w:color w:val="000000"/>
          <w:sz w:val="24"/>
          <w:highlight w:val="none"/>
          <w:lang w:bidi="ar"/>
        </w:rPr>
        <w:t xml:space="preserve">位可选。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 二合一全景+侧位设备含两块独立拍摄探测器。</w:t>
      </w:r>
      <w:r>
        <w:rPr>
          <w:rFonts w:hint="eastAsia" w:ascii="宋体" w:hAnsi="宋体" w:cs="宋体"/>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2.技术要求</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2.1电源:220V±20%；</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2.2输入功率:≥1000VA；</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2.3焦点大小:≤0.5×0.5mm；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2.4球管过滤系统:≥2.5mm AL；</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2.5管电压管电流:电压、电流: 60-90KV、2-10mA（1mA步阶可调）；</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2.6球管保护装置:具有负荷过载自动保护装置；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定位方式：全景模式摆位及扫描过程中受检者面向柱设计（非侧对立柱站立），患者可实时通过镜面反射观察自身情况，方便调整患者至正确的位置，并有利于医患之间持续的目光交流；底座要求U型设计，非X型底座，方便轮椅患者拍摄；</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2.8全景成像高度:≥105mm；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2.9全景探测器最小像素:≤100um；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2.10图像放大倍数:全景片≤1.4倍；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2.11焦点到影像接收面距离:≥495mm；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2.12侧位探测器最小像素：≤100um；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2.13侧位成像：高度≥195mm；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2.14侧位放大倍数:1.15-1.40；</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2.15软件系统:软件系统需包含数字化全景系统软件和侧位成像系统软件。提供软件的全部功能，软件界面为中文,可免费升级；</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2.16软件系统胶片排版工具:可提供不同版式的模版，可根据客户需求定制不同模版，并导入至客户软件系统中。可依据模版进行排版，可连接至DICOM3.0的胶片打印机进行胶片打印；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2.17系统应自带病人管理软件:可与其它诊室管理软件一起使用；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2.18图像的传输与打印、存储:能无缝接入DICOM 3.0设备和PACS系统而无需购买第三方软件或功能模块（接入费用由投标人承担），支持Worklist, 具备DICOM 3.0影像传输、储存和打印功能，支持长期存储管理策略；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2.19图像处理功能: 图像可进行缩放，具有反转、动态范围可调节、可旋转、有水平和垂直图像镜像、有图像增强处理功能；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2.20图像输出格式:有DICOM、位图等多种；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▲2.21立柱升降行程:≥720mm；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2.22升降速度:≥5mm/s；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2.23升降装置:电动升降；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2.24负重:</w:t>
      </w:r>
      <w:r>
        <w:rPr>
          <w:rFonts w:hint="eastAsia"/>
          <w:color w:val="000000"/>
          <w:highlight w:val="none"/>
        </w:rPr>
        <w:t xml:space="preserve">≥</w:t>
      </w:r>
      <w:r>
        <w:rPr>
          <w:rFonts w:hint="eastAsia" w:ascii="宋体" w:hAnsi="宋体" w:cs="宋体"/>
          <w:color w:val="000000"/>
          <w:sz w:val="24"/>
          <w:highlight w:val="none"/>
          <w:lang w:bidi="ar"/>
        </w:rPr>
        <w:t xml:space="preserve">235kg；</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▲2.25提供配套处理工作站</w:t>
      </w:r>
      <w:r>
        <w:rPr>
          <w:rFonts w:hint="eastAsia" w:ascii="宋体" w:hAnsi="宋体" w:cs="宋体"/>
          <w:color w:val="000000"/>
          <w:sz w:val="24"/>
          <w:highlight w:val="none"/>
          <w:lang w:bidi="ar"/>
        </w:rPr>
      </w:r>
      <w:r/>
    </w:p>
    <w:p>
      <w:pPr>
        <w:pStyle w:val="1071"/>
        <w:ind w:firstLine="482"/>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★3.配套设施设备（以下均为实质性要求，投标时必须响应并满足，否则投标无效）</w:t>
      </w:r>
      <w:r>
        <w:rPr>
          <w:rFonts w:hint="eastAsia" w:ascii="宋体" w:hAnsi="宋体" w:cs="宋体"/>
          <w:b/>
          <w:bCs/>
          <w:i/>
          <w:iCs/>
          <w:color w:val="000000"/>
          <w:sz w:val="24"/>
          <w:highlight w:val="none"/>
          <w:lang w:bidi="ar"/>
        </w:rPr>
      </w:r>
      <w:r/>
    </w:p>
    <w:p>
      <w:pPr>
        <w:pStyle w:val="1071"/>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3.1 机房防护改造（含预环控评价+两证办理），投标时提供承诺函。</w:t>
      </w:r>
      <w:r>
        <w:rPr>
          <w:rFonts w:ascii="宋体" w:hAnsi="宋体" w:cs="宋体"/>
          <w:b/>
          <w:bCs/>
          <w:i/>
          <w:iCs/>
          <w:color w:val="000000"/>
          <w:sz w:val="24"/>
          <w:highlight w:val="none"/>
          <w:lang w:bidi="ar"/>
        </w:rPr>
      </w:r>
      <w:r/>
    </w:p>
    <w:p>
      <w:pPr>
        <w:pStyle w:val="1071"/>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3.2 设备接口免费开放，接入医院现有信息系统，并承担接口费用，投标时提供承诺函。</w:t>
      </w:r>
      <w:r>
        <w:rPr>
          <w:rFonts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包05：数字式心电图机等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（一）数字式心电图机</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 支持标准12导联心电信号同步采集、分析和打印；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 频响：0.01Hz～410Hz；</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共模抑制比：≥144dB；</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 耐极化电压：±1350mV；</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 灵敏度：0.625、1.25、2.5、5、10、20、40、10/5、20/10mm/mV及自动；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6.走纸速度：5mm/s、6.25mm/s、10mm/s、12.5mm/s、25mm/s、50mm/s；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 A/D转换：24位；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▲8.采样率：≥128000Hz；</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9.支持多档位肌电滤波、低通滤波和基线漂移滤波设置；支持交流滤波功能；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 支持ECG、DICOM、PDF、XML、JPG等多种数据格式，支持外接U盘、SD卡转存；</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▲11.支持300秒钟波形冻结、全信息波形回放、存储，方便异常心电波形捕捉；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冻结模式下支持单节律模式、三节律模式、全导联波形分析打印；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13.节律记录时间30~300秒可调节；</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14.特有心率异常监控模式和周期监控模式，可自动捕捉心率不齐波形，并打印心率不齐时刻前后≥5秒的波形；</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15.支持起搏器检测功能，可自动检测、分析起搏信号；</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16.支持阿托品激发试验；</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17.支持心律失常检查，R-R间期分析、Cabrera等多种测量、分析报告；常规检查时，检测到心律失常可自动转为节律模式，便于偶发心率不齐的采集、检查；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 支持3、6和12道波形切换显示，满足不同幅度心电波形的显示；</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19.具有在屏诊断功能，可在屏幕上进行冻结分析、查看波形图、修改分析结果功能；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▲20. ≥9英寸彩色TFT屏，分辨率：≥1280x720，屏幕翻转设计，背景网格显示，便于观察心电波形和病人信息；支持触摸操作和手写输入；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 具备全键盘和快捷功能键，使操作和资料录入更快捷；</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22.支持12导联衍生心电向量图，可快速精细地记录心动周期中各瞬间综合心电向量的大小、方向及变化过程。</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 成人\儿童专用分析算法，分析更准确；支持明尼苏达码编码系统；</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 多种数据存储方式，内部存储≥10000份病历，支持外接大容量U盘、SD卡存储；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25.具有导联连接示意图和导联信号质量检测功能，方便操作者对相关导联连接情况快速进行识别处理；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26.支持病历数据管理功能，可进行病历查询、预览、上传、删除、拷贝、修改和打印报告；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 支持通过有线、Wi-Fi网络与服务器双向通信，上传、下载病人信息、检查单信息、波形数据和分析报告；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28.支持HL7、DICOM等方式与第三方系统进行对接；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29.具有安全模式，可针对不用用户设置密码；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30.支持扫描枪输入病人信息；支持外接激光打印机打印报告；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31.交直流两用，可以自动转换使用模式；内置充电锂电池充满后可正常使用≥6小时；</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（二）屈光筛查仪</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1.无线手持式双目设计，筛查模式单眼/双眼可选。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2.彩色触摸显示屏≥5.0英寸。</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3. </w:t>
      </w:r>
      <w:r>
        <w:rPr>
          <w:rFonts w:hint="eastAsia" w:ascii="宋体" w:hAnsi="宋体" w:cs="宋体"/>
          <w:color w:val="000000"/>
          <w:sz w:val="24"/>
          <w:highlight w:val="none"/>
          <w:lang w:bidi="ar"/>
        </w:rPr>
        <w:t xml:space="preserve">90°垂直屏幕</w:t>
      </w:r>
      <w:r>
        <w:rPr>
          <w:rFonts w:hint="eastAsia" w:ascii="宋体" w:hAnsi="宋体" w:cs="宋体"/>
          <w:color w:val="000000"/>
          <w:sz w:val="24"/>
          <w:highlight w:val="none"/>
          <w:lang w:bidi="ar"/>
        </w:rPr>
        <w:t xml:space="preserve">，方便使用者以任何姿势操作。</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4.筛查内容：屈光筛查（近视、远视、散光、屈光参差）、眼位照相、瞳孔大小。</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5.测量和分析的检测结果超出设定的正常值时，机器自动给出潜在的视力风险提示，并以红色的显示测量结果，避免漏诊。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6.球面度DS：范围-7.50D～+7.50D，分辨率0.25D/0.01D，精度±0.50D。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7.柱面度DC：范围0.00D～3.00D，分辨率0.25D/0.01D，精度±0.50D。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8.轴位Axis:范围0°～180°，分辨率：1°，精度：±5°（0.1D～3.0D）。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9.瞳孔直径Pupil Size：范围4.0mm～9.0mm，分辨率：0.1mm，精度：±0.1mm。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10.瞳距Pupil Distance:范围35mm~80mm，分辨率：1mm，精度：±1mm。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11.工作距离:1m±10cm；测量时间</w:t>
      </w:r>
      <w:r>
        <w:rPr>
          <w:rFonts w:hint="eastAsia" w:ascii="宋体" w:hAnsi="宋体" w:cs="宋体"/>
          <w:color w:val="000000"/>
          <w:sz w:val="24"/>
          <w:highlight w:val="none"/>
          <w:lang w:bidi="ar"/>
        </w:rPr>
        <w:t xml:space="preserve">：≤3s。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12.距被测者距离提示：系统主动测距提示过远或过近。并以背景颜色区分是否在正确测量范围内。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13.数据传输接口：Wi-Fi，USB，蓝牙。</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14.在蓝牙和WIFI模式下可与手机连接并把检测结果传输到手机上。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15.电池：2块充电锂电池，电池容量≥3000mAh，续航6小时以上，可随时拆卸。</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16.固视目标：蜂鸣器、闪光灯以及固视图标，随机闪烁、声音刺激。提高小孩子的注意力从而提高数据的准确率；</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17.主机前端需要设计为圆形，能更好掌握机器，促使操作者更稳定操作设备提高准确率；</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18.报告形式：便签报告或A4彩色图文报告。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rPr>
          <w:rFonts w:hint="eastAsia" w:ascii="宋体" w:hAnsi="宋体" w:cs="宋体"/>
          <w:color w:val="000000"/>
          <w:sz w:val="24"/>
          <w:highlight w:val="none"/>
          <w:lang w:bidi="ar"/>
        </w:rPr>
        <w:t xml:space="preserve">后期可支持增加</w:t>
      </w:r>
      <w:r>
        <w:rPr>
          <w:rFonts w:hint="eastAsia" w:ascii="宋体" w:hAnsi="宋体" w:cs="宋体"/>
          <w:color w:val="000000"/>
          <w:sz w:val="24"/>
          <w:highlight w:val="none"/>
          <w:lang w:bidi="ar"/>
        </w:rPr>
        <w:t xml:space="preserve">数据管理系统和可升降自助筛查工作站，可建立筛查活动，批量导入导出信息，方便大规模筛查统计数据。</w:t>
      </w:r>
      <w:r>
        <w:rPr>
          <w:rFonts w:hint="eastAsia" w:ascii="宋体" w:hAnsi="宋体" w:cs="宋体"/>
          <w:color w:val="000000"/>
          <w:sz w:val="24"/>
          <w:highlight w:val="none"/>
        </w:rPr>
      </w:r>
      <w:r/>
    </w:p>
    <w:p>
      <w:pPr>
        <w:pStyle w:val="1071"/>
        <w:ind w:firstLine="480"/>
        <w:spacing w:line="360" w:lineRule="auto"/>
        <w:rPr>
          <w:rFonts w:hint="eastAsia" w:ascii="宋体" w:hAnsi="宋体" w:cs="宋体"/>
          <w:b/>
          <w:color w:val="000000"/>
          <w:sz w:val="24"/>
          <w:highlight w:val="none"/>
          <w:lang w:bidi="ar"/>
        </w:rPr>
      </w:pPr>
      <w:r>
        <w:rPr>
          <w:rFonts w:hint="eastAsia" w:ascii="宋体" w:hAnsi="宋体" w:cs="宋体"/>
          <w:color w:val="000000"/>
          <w:sz w:val="24"/>
          <w:highlight w:val="none"/>
          <w:lang w:bidi="ar"/>
        </w:rPr>
        <w:t xml:space="preserve">20.配备一台热敏打印机</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包06：牙科X射线机等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（一）牙科X射线机</w:t>
      </w:r>
      <w:r>
        <w:rPr>
          <w:rFonts w:hint="eastAsia" w:ascii="宋体" w:hAnsi="宋体" w:cs="宋体"/>
          <w:b/>
          <w:bCs/>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 电源要求</w:t>
      </w:r>
      <w:r>
        <w:rPr>
          <w:rFonts w:hint="eastAsia"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1.1频    率：40Hz-50Hz</w:t>
      </w:r>
      <w:r>
        <w:rPr>
          <w:rFonts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1.2最大功率：≤1100VA</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2、基础参数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▲2.1管 电 压：65KV±10%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▲2.2管 电 流：7mA±20%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2.3剂 量 率：6mGy/s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▲2.4球馆组件重量：≤4Kg</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2.5漏辐射率：1米处≤0.25mGy/h(65KV ,7mA，1S，加载间隔1S/30S)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▲3、技术模式：采用高频直流技术，逆变频率60KHz-150KHz。</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4、曝光时间调节范围：最低单次曝光时间≤</w:t>
      </w:r>
      <w:r>
        <w:rPr>
          <w:rFonts w:hint="eastAsia" w:ascii="宋体" w:hAnsi="宋体" w:cs="宋体"/>
          <w:color w:val="000000"/>
          <w:sz w:val="24"/>
          <w:highlight w:val="none"/>
        </w:rPr>
        <w:t xml:space="preserve">0.04S</w:t>
      </w:r>
      <w:r>
        <w:rPr>
          <w:rFonts w:hint="eastAsia" w:ascii="宋体" w:hAnsi="宋体" w:cs="宋体"/>
          <w:color w:val="000000"/>
          <w:sz w:val="24"/>
          <w:highlight w:val="none"/>
        </w:rPr>
        <w:t xml:space="preserve">，最大单次曝光时间≥2S。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5、报警功能：具有故障自动检测，故障代码显示功能。</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拍摄模式：胶片，扫描仪，传感器三种拍摄模式。可以根据人群选择儿童或者成人模式拍摄。至少有6组不同拍摄模式，每种模式均可选择前牙、磨牙、后磨牙。不同的牙位曝光时间可以单独设定并进行记忆存储。</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▲7、曝光方式：每次拍摄，需要在手控板上按一下曝光键，留有≥60秒的准备时间，在该时间之内可以通过无线遥控曝光器，在铅房外曝光。</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8、带可升降患者座椅</w:t>
      </w:r>
      <w:r>
        <w:rPr>
          <w:rFonts w:hint="eastAsia" w:ascii="宋体" w:hAnsi="宋体" w:cs="宋体"/>
          <w:b/>
          <w:bCs/>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（二）呼吸机</w:t>
      </w:r>
      <w:r>
        <w:rPr>
          <w:rFonts w:hint="eastAsia" w:ascii="宋体" w:hAnsi="宋体" w:cs="宋体"/>
          <w:b/>
          <w:bCs/>
          <w:color w:val="000000"/>
          <w:sz w:val="24"/>
          <w:highlight w:val="none"/>
        </w:rPr>
      </w:r>
      <w:r/>
    </w:p>
    <w:p>
      <w:pPr>
        <w:pStyle w:val="1326"/>
        <w:ind w:firstLine="482"/>
        <w:spacing w:line="360" w:lineRule="auto"/>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★1、适用于对成人、小儿患者进行通气辅助及呼吸支持的呼吸机，中文操作界面。</w:t>
      </w:r>
      <w:r>
        <w:rPr>
          <w:rFonts w:hint="eastAsia" w:ascii="宋体" w:hAnsi="宋体" w:cs="宋体"/>
          <w:b/>
          <w:bCs/>
          <w:i/>
          <w:iCs/>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2、采用≥12英寸电容触摸屏，分辨率≥1280*800。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3、电动电控。</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▲4、电池充满电后使用时间≥3小时</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5、有创通气模式：V-A/C、P-A/C、V-SIMV、P-SIMV、CPAP/PSV；无创通气模式：P-A/C、P-SIMV、CPAP/PSV、PSV-S/T。</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6、具有动态肺视图界面，以图形形式实时显示肺动力学参数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7、吸气压力设置范围：1-80cmH2O；压力支持设置范围：0-80cmH2O</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8、具有高流量氧疗功能，氧疗流速：2-70L/min，可增氧、雾化、吸气保持、呼气保持、吸痰、手动呼吸</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9、可选比例通气模式，支持百分比：25-100%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10、可选气道压力释放模式、双水平气道正压通气模式</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11、插管补偿功能，可根据病人的肺特性，调节吸气触发、压力上升时间和呼气触发参数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12、潮气量范围：20-4000ml，最小潮气量≤20ml</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13、事件日志存储≥8000条，包括报警日志和操作日志；趋势图和趋势表数据存储≥160小时</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14、自带屏幕录制功能，支持HDMI扩展显示，无需外接转接口</w:t>
      </w:r>
      <w:r>
        <w:rPr>
          <w:rFonts w:hint="eastAsia" w:ascii="宋体" w:hAnsi="宋体" w:cs="宋体"/>
          <w:color w:val="000000"/>
          <w:sz w:val="24"/>
          <w:highlight w:val="none"/>
        </w:rPr>
      </w:r>
      <w:r/>
    </w:p>
    <w:p>
      <w:pPr>
        <w:pStyle w:val="13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15、吸气安全阀和呼气安全阀组件可徒手拆卸，并能高温高压蒸汽消毒</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1、交货日期：合同签订后30天内完成供货、安装、调试、培训，并通过采购人及有关部门（主管部门、财政部门）验收。</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经开区潞城花苑71栋），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000000"/>
          <w:sz w:val="24"/>
          <w:highlight w:val="none"/>
        </w:rPr>
        <w:t xml:space="preserve">检验不合格或不符合质量要求，成交供应商除无条件退货、返工外，还应承担采购人的一切损失。</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w:t>
      </w:r>
      <w:r>
        <w:rPr>
          <w:rFonts w:hint="eastAsia" w:ascii="宋体" w:hAnsi="宋体" w:cs="宋体"/>
          <w:b/>
          <w:bCs/>
          <w:i/>
          <w:iCs/>
          <w:color w:val="000000"/>
          <w:sz w:val="24"/>
          <w:highlight w:val="none"/>
          <w:lang w:bidi="ar"/>
        </w:rPr>
        <w:t xml:space="preserve">（一）免费质保期：投标人报价时须承诺</w:t>
      </w:r>
      <w:r>
        <w:rPr>
          <w:rFonts w:hint="eastAsia" w:ascii="宋体" w:hAnsi="宋体" w:cs="宋体"/>
          <w:b/>
          <w:bCs/>
          <w:i/>
          <w:iCs/>
          <w:color w:val="000000"/>
          <w:sz w:val="24"/>
          <w:highlight w:val="none"/>
          <w:lang w:bidi="ar"/>
        </w:rPr>
        <w:t xml:space="preserve">包01</w:t>
      </w:r>
      <w:r>
        <w:rPr>
          <w:rFonts w:hint="eastAsia" w:ascii="宋体" w:hAnsi="宋体" w:cs="宋体"/>
          <w:b/>
          <w:bCs/>
          <w:i/>
          <w:iCs/>
          <w:color w:val="000000"/>
          <w:sz w:val="24"/>
          <w:highlight w:val="none"/>
          <w:lang w:bidi="ar"/>
        </w:rPr>
        <w:t xml:space="preserve">所供货物免费质保期不少于5年</w:t>
      </w:r>
      <w:r>
        <w:rPr>
          <w:rFonts w:hint="eastAsia" w:ascii="宋体" w:hAnsi="宋体" w:cs="宋体"/>
          <w:b/>
          <w:bCs/>
          <w:i/>
          <w:iCs/>
          <w:color w:val="000000"/>
          <w:sz w:val="24"/>
          <w:highlight w:val="none"/>
          <w:lang w:bidi="ar"/>
        </w:rPr>
        <w:t xml:space="preserve">；包02</w:t>
      </w:r>
      <w:r>
        <w:rPr>
          <w:rFonts w:hint="eastAsia" w:ascii="宋体" w:hAnsi="宋体" w:cs="宋体"/>
          <w:b/>
          <w:bCs/>
          <w:i/>
          <w:iCs/>
          <w:color w:val="000000"/>
          <w:sz w:val="24"/>
          <w:highlight w:val="none"/>
          <w:lang w:bidi="ar"/>
        </w:rPr>
        <w:t xml:space="preserve">、</w:t>
      </w:r>
      <w:r>
        <w:rPr>
          <w:rFonts w:hint="eastAsia" w:ascii="宋体" w:hAnsi="宋体" w:cs="宋体"/>
          <w:b/>
          <w:bCs/>
          <w:i/>
          <w:iCs/>
          <w:color w:val="000000"/>
          <w:sz w:val="24"/>
          <w:highlight w:val="none"/>
          <w:lang w:bidi="ar"/>
        </w:rPr>
        <w:t xml:space="preserve">包03、包04、包05</w:t>
      </w:r>
      <w:r>
        <w:rPr>
          <w:rFonts w:hint="eastAsia" w:ascii="宋体" w:hAnsi="宋体" w:cs="宋体"/>
          <w:b/>
          <w:bCs/>
          <w:i/>
          <w:iCs/>
          <w:color w:val="000000"/>
          <w:sz w:val="24"/>
          <w:highlight w:val="none"/>
          <w:lang w:bidi="ar"/>
        </w:rPr>
        <w:t xml:space="preserve">所供货物免费质保期不少于3年</w:t>
      </w:r>
      <w:r>
        <w:rPr>
          <w:rFonts w:hint="eastAsia" w:ascii="宋体" w:hAnsi="宋体" w:cs="宋体"/>
          <w:b/>
          <w:bCs/>
          <w:i/>
          <w:iCs/>
          <w:color w:val="000000"/>
          <w:sz w:val="24"/>
          <w:highlight w:val="none"/>
          <w:lang w:bidi="ar"/>
        </w:rPr>
        <w:t xml:space="preserve">；包06</w:t>
      </w:r>
      <w:r>
        <w:rPr>
          <w:rFonts w:hint="eastAsia" w:ascii="宋体" w:hAnsi="宋体" w:cs="宋体"/>
          <w:b/>
          <w:bCs/>
          <w:i/>
          <w:iCs/>
          <w:color w:val="000000"/>
          <w:sz w:val="24"/>
          <w:highlight w:val="none"/>
          <w:lang w:bidi="ar"/>
        </w:rPr>
        <w:t xml:space="preserve">所供货物免费质保期不少于2年。投标人对质保期内所发生的设备维护、维修、更换等一切费用负责。</w:t>
      </w:r>
      <w:r>
        <w:rPr>
          <w:rFonts w:hint="eastAsia"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color w:val="000000"/>
          <w:sz w:val="24"/>
          <w:highlight w:val="none"/>
        </w:rPr>
        <w:t xml:space="preserve">质保期后，提供终生售后服务，保证零配件的供给，对于货物维修只收取基本材料备件费，不收取工时费。</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验收合格后两个月内一次性付清。</w:t>
      </w:r>
      <w:r>
        <w:rPr>
          <w:rFonts w:ascii="宋体" w:hAnsi="宋体"/>
          <w:color w:val="000000"/>
          <w:sz w:val="24"/>
          <w:szCs w:val="24"/>
          <w:highlight w:val="none"/>
        </w:rPr>
      </w:r>
      <w:r/>
    </w:p>
    <w:p>
      <w:pPr>
        <w:pStyle w:val="1071"/>
        <w:spacing w:line="440" w:lineRule="exact"/>
        <w:rPr>
          <w:rFonts w:ascii="宋体" w:hAnsi="宋体"/>
          <w:b/>
          <w:color w:val="000000"/>
          <w:highlight w:val="none"/>
        </w:rPr>
      </w:pPr>
      <w:r>
        <w:rPr>
          <w:rFonts w:ascii="宋体" w:hAnsi="宋体"/>
          <w:b/>
          <w:color w:val="000000"/>
          <w:highlight w:val="none"/>
        </w:rPr>
      </w:r>
      <w:r/>
    </w:p>
    <w:p>
      <w:pPr>
        <w:pStyle w:val="1071"/>
        <w:rPr>
          <w:rFonts w:ascii="宋体" w:hAnsi="宋体"/>
          <w:bCs/>
          <w:color w:val="000000"/>
          <w:highlight w:val="none"/>
        </w:rPr>
      </w:pPr>
      <w:r>
        <w:rPr>
          <w:rFonts w:ascii="宋体" w:hAnsi="宋体"/>
          <w:bCs/>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7" w:name="_Toc99301425"/>
      <w:r>
        <w:rPr>
          <w:rFonts w:ascii="宋体" w:hAnsi="宋体"/>
          <w:b/>
          <w:color w:val="000000"/>
          <w:sz w:val="36"/>
          <w:szCs w:val="36"/>
          <w:highlight w:val="none"/>
        </w:rPr>
        <w:t xml:space="preserve">第六章   拟签订的合同文本</w:t>
      </w:r>
      <w:bookmarkEnd w:id="817"/>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8" w:name="_Toc99301426"/>
      <w:r>
        <w:rPr>
          <w:rFonts w:ascii="宋体" w:hAnsi="宋体"/>
          <w:b/>
          <w:color w:val="000000"/>
          <w:sz w:val="36"/>
          <w:szCs w:val="36"/>
          <w:highlight w:val="none"/>
        </w:rPr>
      </w:r>
      <w:r/>
    </w:p>
    <w:p>
      <w:pPr>
        <w:pStyle w:val="1110"/>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0"/>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5"/>
        <w:ind w:firstLine="456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1"/>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0"/>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1"/>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1"/>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0"/>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3.结算原则：固定总价</w:t>
      </w:r>
      <w:r>
        <w:rPr>
          <w:rFonts w:hint="eastAsia" w:ascii="宋体" w:hAnsi="宋体" w:cs="宋体"/>
          <w:b/>
          <w:bCs/>
          <w:color w:val="000000"/>
          <w:sz w:val="24"/>
          <w:highlight w:val="none"/>
        </w:rPr>
      </w:r>
      <w:r/>
    </w:p>
    <w:p>
      <w:pPr>
        <w:pStyle w:val="1165"/>
        <w:contextualSpacing/>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4.付款方式：</w:t>
      </w:r>
      <w:r>
        <w:rPr>
          <w:rFonts w:hint="eastAsia" w:ascii="宋体" w:hAnsi="宋体"/>
          <w:b/>
          <w:bCs/>
          <w:color w:val="000000"/>
          <w:sz w:val="24"/>
          <w:szCs w:val="24"/>
          <w:highlight w:val="none"/>
        </w:rPr>
        <w:t xml:space="preserve">验收合格后两个月内一次性付清。</w:t>
      </w:r>
      <w:r>
        <w:rPr>
          <w:rFonts w:hint="eastAsia"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乙方投标属虚假承诺，或经权威部门监测提供的货物不能满足招标文件要求，或是由于乙方的过错造成合同无法继续履行的，乙方应向甲方支付不少于合同总价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2.除发生法律规定的不能预见、不能避免并不能克服的客观情况外，甲乙双方不得放弃或拒绝履行合同。乙方放弃或拒绝履行合同，承担相应的违约责任。</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1"/>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1"/>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1"/>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b/>
          <w:color w:val="000000"/>
          <w:sz w:val="36"/>
          <w:szCs w:val="36"/>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开户银行：        账号：</w:t>
      </w:r>
      <w:r>
        <w:rPr>
          <w:rFonts w:ascii="宋体" w:hAnsi="宋体" w:cs="宋体"/>
          <w:color w:val="000000"/>
          <w:sz w:val="24"/>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8"/>
      <w:r>
        <w:rPr>
          <w:rFonts w:ascii="宋体" w:hAnsi="宋体"/>
          <w:b/>
          <w:color w:val="000000"/>
          <w:sz w:val="36"/>
          <w:szCs w:val="36"/>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1"/>
        <w:jc w:val="left"/>
        <w:keepLines/>
        <w:keepNext/>
        <w:spacing w:before="120" w:line="300" w:lineRule="auto"/>
        <w:rPr>
          <w:rFonts w:ascii="宋体" w:hAnsi="宋体"/>
          <w:b/>
          <w:color w:val="000000"/>
          <w:sz w:val="30"/>
          <w:szCs w:val="20"/>
          <w:highlight w:val="none"/>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1"/>
        <w:rPr>
          <w:rFonts w:ascii="宋体" w:hAnsi="宋体"/>
          <w:b/>
          <w:color w:val="000000"/>
          <w:spacing w:val="20"/>
          <w:szCs w:val="21"/>
          <w:highlight w:val="none"/>
        </w:rPr>
      </w:pPr>
      <w:r>
        <w:rPr>
          <w:rFonts w:ascii="宋体" w:hAnsi="宋体"/>
          <w:b/>
          <w:color w:val="000000"/>
          <w:spacing w:val="20"/>
          <w:szCs w:val="21"/>
          <w:highlight w:val="none"/>
        </w:rPr>
      </w:r>
      <w:r/>
    </w:p>
    <w:p>
      <w:pPr>
        <w:pStyle w:val="1071"/>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1"/>
        <w:jc w:val="center"/>
        <w:rPr>
          <w:rFonts w:ascii="宋体" w:hAnsi="宋体"/>
          <w:color w:val="000000"/>
          <w:szCs w:val="21"/>
          <w:highlight w:val="none"/>
        </w:rPr>
      </w:pPr>
      <w:r>
        <w:rPr>
          <w:rFonts w:ascii="宋体" w:hAnsi="宋体"/>
          <w:color w:val="000000"/>
          <w:szCs w:val="21"/>
          <w:highlight w:val="none"/>
        </w:rPr>
      </w:r>
      <w:r/>
    </w:p>
    <w:p>
      <w:pPr>
        <w:pStyle w:val="1071"/>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jc w:val="center"/>
        <w:rPr>
          <w:rFonts w:ascii="宋体" w:hAnsi="宋体"/>
          <w:b/>
          <w:color w:val="000000"/>
          <w:sz w:val="32"/>
          <w:szCs w:val="32"/>
          <w:highlight w:val="none"/>
        </w:rPr>
      </w:pPr>
      <w:r>
        <w:rPr>
          <w:rFonts w:ascii="宋体" w:hAnsi="宋体"/>
          <w:b/>
          <w:color w:val="000000"/>
          <w:sz w:val="32"/>
          <w:szCs w:val="32"/>
          <w:highlight w:val="none"/>
        </w:rPr>
      </w:r>
      <w:r/>
    </w:p>
    <w:p>
      <w:pPr>
        <w:pStyle w:val="1071"/>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1"/>
        <w:rPr>
          <w:rFonts w:ascii="宋体" w:hAnsi="宋体"/>
          <w:b/>
          <w:color w:val="000000"/>
          <w:highlight w:val="none"/>
        </w:rPr>
      </w:pPr>
      <w:r>
        <w:rPr>
          <w:rFonts w:ascii="宋体" w:hAnsi="宋体"/>
          <w:b/>
          <w:color w:val="000000"/>
          <w:highlight w:val="none"/>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4"/>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5"/>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1"/>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9" w:name="_Ref467988698"/>
      <w:r/>
      <w:bookmarkStart w:id="820" w:name="_Toc226965746"/>
      <w:r/>
      <w:bookmarkStart w:id="821" w:name="_Toc226965829"/>
      <w:r/>
      <w:bookmarkStart w:id="822" w:name="_Toc480942349"/>
      <w:r/>
      <w:bookmarkStart w:id="823" w:name="_Toc195842921"/>
      <w:r/>
      <w:bookmarkStart w:id="824" w:name="_Toc226337252"/>
      <w:r/>
      <w:bookmarkStart w:id="825" w:name="_Toc142311058"/>
      <w:r/>
      <w:bookmarkStart w:id="826" w:name="_Toc520356217"/>
      <w:r/>
      <w:bookmarkStart w:id="827" w:name="_Toc226309800"/>
      <w:r/>
      <w:bookmarkStart w:id="828" w:name="_Toc150774761"/>
      <w:r/>
      <w:bookmarkStart w:id="829" w:name="_Toc150480794"/>
      <w:r/>
      <w:bookmarkStart w:id="830" w:name="_Toc127151556"/>
      <w:r>
        <w:rPr>
          <w:rFonts w:hint="eastAsia" w:ascii="宋体" w:hAnsi="宋体"/>
          <w:b/>
          <w:color w:val="000000"/>
          <w:sz w:val="32"/>
          <w:szCs w:val="32"/>
          <w:highlight w:val="none"/>
        </w:rPr>
      </w:r>
      <w:r/>
    </w:p>
    <w:p>
      <w:pPr>
        <w:pStyle w:val="1071"/>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（4）如我方中标，我方将在法律规定的期限内与你方签订合同，并在合同约定的期限内完成合同规定的全部义务。</w:t>
      </w:r>
      <w:r>
        <w:rPr>
          <w:rFonts w:ascii="宋体" w:hAnsi="宋体"/>
          <w:color w:val="000000"/>
          <w:sz w:val="24"/>
          <w:highlight w:val="none"/>
        </w:rPr>
      </w:r>
      <w:r/>
    </w:p>
    <w:p>
      <w:pPr>
        <w:pStyle w:val="1071"/>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1"/>
        <w:jc w:val="left"/>
        <w:widowControl/>
        <w:rPr>
          <w:rFonts w:hint="eastAsia" w:ascii="宋体" w:hAnsi="宋体"/>
          <w:b/>
          <w:color w:val="000000"/>
          <w:sz w:val="24"/>
          <w:highlight w:val="none"/>
        </w:rPr>
      </w:pPr>
      <w:r/>
      <w:bookmarkStart w:id="831" w:name="_Hlt520356243"/>
      <w:r/>
      <w:bookmarkEnd w:id="831"/>
      <w:r/>
      <w:bookmarkStart w:id="832" w:name="_Hlt520355938"/>
      <w:r/>
      <w:bookmarkEnd w:id="832"/>
      <w:r>
        <w:rPr>
          <w:rFonts w:ascii="宋体" w:hAnsi="宋体"/>
          <w:color w:val="000000"/>
          <w:sz w:val="24"/>
          <w:highlight w:val="none"/>
        </w:rPr>
        <w:br w:type="page" w:clear="all"/>
      </w: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ascii="宋体" w:hAnsi="宋体"/>
          <w:color w:val="000000"/>
          <w:sz w:val="24"/>
          <w:highlight w:val="none"/>
        </w:rPr>
      </w:r>
      <w:r/>
    </w:p>
    <w:p>
      <w:pPr>
        <w:pStyle w:val="1102"/>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1"/>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2"/>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2"/>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1"/>
        <w:ind w:firstLine="640"/>
        <w:rPr>
          <w:rFonts w:ascii="宋体" w:hAnsi="宋体"/>
          <w:color w:val="000000"/>
          <w:highlight w:val="none"/>
        </w:rPr>
      </w:pPr>
      <w:r>
        <w:rPr>
          <w:rFonts w:ascii="宋体" w:hAnsi="宋体"/>
          <w:color w:val="000000"/>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33" w:name="_Hlt520274065"/>
      <w:r/>
      <w:bookmarkEnd w:id="833"/>
      <w:r/>
      <w:bookmarkStart w:id="834" w:name="_Hlt520273711"/>
      <w:r/>
      <w:bookmarkEnd w:id="834"/>
      <w:r/>
      <w:bookmarkStart w:id="835" w:name="_Hlt520355504"/>
      <w:r/>
      <w:bookmarkEnd w:id="835"/>
      <w:r/>
      <w:bookmarkStart w:id="836" w:name="_Hlt520271212"/>
      <w:r/>
      <w:bookmarkEnd w:id="836"/>
      <w:r/>
      <w:bookmarkStart w:id="837" w:name="_Hlt520274407"/>
      <w:r/>
      <w:bookmarkEnd w:id="837"/>
      <w:r/>
      <w:bookmarkStart w:id="838" w:name="_Hlt520343000"/>
      <w:r/>
      <w:bookmarkEnd w:id="838"/>
      <w:r/>
      <w:bookmarkStart w:id="839" w:name="_Hlt520343392"/>
      <w:r/>
      <w:bookmarkEnd w:id="839"/>
      <w:r/>
      <w:bookmarkStart w:id="840" w:name="_Hlt520274121"/>
      <w:r/>
      <w:bookmarkEnd w:id="840"/>
      <w:r/>
      <w:bookmarkStart w:id="841" w:name="_Hlt520350918"/>
      <w:r/>
      <w:bookmarkEnd w:id="841"/>
      <w:r/>
      <w:bookmarkStart w:id="842" w:name="_Hlt520274393"/>
      <w:r/>
      <w:bookmarkEnd w:id="842"/>
      <w:r/>
      <w:bookmarkStart w:id="843" w:name="_Toc305158899"/>
      <w:r/>
      <w:bookmarkStart w:id="844" w:name="_Toc195842922"/>
      <w:r/>
      <w:bookmarkStart w:id="845" w:name="_Toc150480795"/>
      <w:r/>
      <w:bookmarkStart w:id="846" w:name="_Toc226337253"/>
      <w:r/>
      <w:bookmarkStart w:id="847" w:name="_Toc150774762"/>
      <w:r/>
      <w:bookmarkStart w:id="848" w:name="_Ref467988705"/>
      <w:r/>
      <w:bookmarkStart w:id="849" w:name="_Toc226965830"/>
      <w:r/>
      <w:bookmarkStart w:id="850" w:name="_Toc520356218"/>
      <w:r/>
      <w:bookmarkStart w:id="851" w:name="_Toc127151557"/>
      <w:r/>
      <w:bookmarkStart w:id="852" w:name="_Toc264969247"/>
      <w:r/>
      <w:bookmarkStart w:id="853" w:name="_Toc142311059"/>
      <w:r/>
      <w:bookmarkStart w:id="854" w:name="_Toc305158825"/>
      <w:r/>
      <w:bookmarkStart w:id="855" w:name="_Toc226965747"/>
      <w:r/>
      <w:bookmarkStart w:id="856" w:name="_Toc226309801"/>
      <w:r/>
      <w:bookmarkStart w:id="857" w:name="_Toc480942350"/>
      <w:r/>
      <w:bookmarkStart w:id="858" w:name="_Toc26522839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highlight w:val="none"/>
        </w:rPr>
      </w:pPr>
      <w:r/>
      <w:bookmarkStart w:id="859" w:name="_Toc226309802"/>
      <w:r/>
      <w:bookmarkStart w:id="860" w:name="_Toc164608672"/>
      <w:r/>
      <w:bookmarkStart w:id="861" w:name="_Toc305158900"/>
      <w:r/>
      <w:bookmarkStart w:id="862" w:name="_Toc305158826"/>
      <w:r/>
      <w:bookmarkStart w:id="863" w:name="_Toc164608827"/>
      <w:r/>
      <w:bookmarkStart w:id="864" w:name="_Toc195842923"/>
      <w:r/>
      <w:bookmarkStart w:id="865" w:name="_Toc264969248"/>
      <w:r/>
      <w:bookmarkStart w:id="866" w:name="_Toc226965748"/>
      <w:r/>
      <w:bookmarkStart w:id="867" w:name="_Toc226337254"/>
      <w:r/>
      <w:bookmarkStart w:id="868" w:name="_Toc265228396"/>
      <w:r/>
      <w:bookmarkStart w:id="869" w:name="_Toc226965831"/>
      <w:r>
        <w:rPr>
          <w:rFonts w:hint="eastAsia" w:ascii="宋体" w:hAnsi="宋体"/>
          <w:b/>
          <w:color w:val="000000"/>
          <w:sz w:val="36"/>
          <w:szCs w:val="36"/>
          <w:highlight w:val="none"/>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36"/>
          <w:szCs w:val="36"/>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1"/>
        <w:jc w:val="left"/>
        <w:rPr>
          <w:rFonts w:ascii="宋体" w:hAnsi="宋体"/>
          <w:color w:val="000000"/>
          <w:sz w:val="24"/>
          <w:highlight w:val="none"/>
        </w:rPr>
      </w:pPr>
      <w:r>
        <w:rPr>
          <w:rFonts w:ascii="宋体" w:hAnsi="宋体"/>
          <w:color w:val="000000"/>
          <w:sz w:val="24"/>
          <w:highlight w:val="none"/>
        </w:rPr>
      </w:r>
      <w:r/>
    </w:p>
    <w:p>
      <w:pPr>
        <w:pStyle w:val="1071"/>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1"/>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70" w:name="_Toc150774763"/>
      <w:r/>
      <w:bookmarkStart w:id="871" w:name="_Toc305158901"/>
      <w:r/>
      <w:bookmarkStart w:id="872" w:name="_Toc226337255"/>
      <w:r/>
      <w:bookmarkStart w:id="873" w:name="_Toc127151558"/>
      <w:r/>
      <w:bookmarkStart w:id="874" w:name="_Toc195842924"/>
      <w:r/>
      <w:bookmarkStart w:id="875" w:name="_Toc142311060"/>
      <w:r/>
      <w:bookmarkStart w:id="876" w:name="_Toc305158827"/>
      <w:r/>
      <w:bookmarkStart w:id="877" w:name="_Toc226965749"/>
      <w:r/>
      <w:bookmarkStart w:id="878" w:name="_Toc265228397"/>
      <w:r/>
      <w:bookmarkStart w:id="879" w:name="_Toc150480796"/>
      <w:r/>
      <w:bookmarkStart w:id="880" w:name="_Toc226309803"/>
      <w:r/>
      <w:bookmarkStart w:id="881" w:name="_Toc226965832"/>
      <w:r/>
      <w:bookmarkStart w:id="882" w:name="_Toc2649692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1"/>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1"/>
        <w:jc w:val="left"/>
        <w:spacing w:before="240" w:after="240"/>
        <w:rPr>
          <w:rFonts w:ascii="宋体" w:hAnsi="宋体"/>
          <w:b/>
          <w:i/>
          <w:color w:val="000000"/>
          <w:sz w:val="24"/>
          <w:highlight w:val="none"/>
        </w:rPr>
      </w:pPr>
      <w:r>
        <w:rPr>
          <w:rFonts w:ascii="宋体" w:hAnsi="宋体"/>
          <w:b/>
          <w:i/>
          <w:color w:val="000000"/>
          <w:sz w:val="24"/>
          <w:highlight w:val="none"/>
        </w:rPr>
      </w:r>
      <w:r/>
    </w:p>
    <w:p>
      <w:pPr>
        <w:pStyle w:val="1071"/>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1"/>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1"/>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1"/>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1"/>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1"/>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1"/>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1"/>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1"/>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spacing w:line="360" w:lineRule="auto"/>
        <w:rPr>
          <w:rFonts w:ascii="宋体" w:hAnsi="宋体"/>
          <w:b/>
          <w:color w:val="000000"/>
          <w:sz w:val="24"/>
          <w:szCs w:val="20"/>
          <w:highlight w:val="none"/>
        </w:rPr>
        <w:outlineLvl w:val="2"/>
      </w:pPr>
      <w:r/>
      <w:bookmarkStart w:id="883" w:name="_Toc226965835"/>
      <w:r/>
      <w:bookmarkStart w:id="884" w:name="_Toc265228400"/>
      <w:r/>
      <w:bookmarkStart w:id="885" w:name="_Toc226309806"/>
      <w:r/>
      <w:bookmarkStart w:id="886" w:name="_Toc127151562"/>
      <w:r/>
      <w:bookmarkStart w:id="887" w:name="_Toc264969252"/>
      <w:r/>
      <w:bookmarkStart w:id="888" w:name="_Toc226965752"/>
      <w:r/>
      <w:bookmarkStart w:id="889" w:name="_Toc150480798"/>
      <w:r/>
      <w:bookmarkStart w:id="890" w:name="_Toc142311062"/>
      <w:r/>
      <w:bookmarkStart w:id="891" w:name="_Toc305158904"/>
      <w:r/>
      <w:bookmarkStart w:id="892" w:name="_Toc226337258"/>
      <w:r/>
      <w:bookmarkStart w:id="893" w:name="_Toc150774765"/>
      <w:r/>
      <w:bookmarkStart w:id="894" w:name="_Toc305158830"/>
      <w:r/>
      <w:bookmarkStart w:id="895" w:name="_Toc195842927"/>
      <w:r/>
      <w:bookmarkStart w:id="896" w:name="_Toc305158829"/>
      <w:r/>
      <w:bookmarkStart w:id="897" w:name="_Toc305158903"/>
      <w:r/>
      <w:bookmarkStart w:id="898" w:name="_Toc226965834"/>
      <w:r/>
      <w:bookmarkStart w:id="899" w:name="_Toc195842926"/>
      <w:r/>
      <w:bookmarkStart w:id="900" w:name="_Toc226337257"/>
      <w:r/>
      <w:bookmarkStart w:id="901" w:name="_Toc226309805"/>
      <w:r/>
      <w:bookmarkStart w:id="902" w:name="_Toc226965751"/>
      <w:r/>
      <w:bookmarkStart w:id="903" w:name="_Toc150480797"/>
      <w:r/>
      <w:bookmarkStart w:id="904" w:name="_Toc264969251"/>
      <w:r/>
      <w:bookmarkStart w:id="905" w:name="_Toc127151561"/>
      <w:r/>
      <w:bookmarkStart w:id="906" w:name="_Toc142311061"/>
      <w:r/>
      <w:bookmarkStart w:id="907" w:name="_Toc150774764"/>
      <w:r/>
      <w:bookmarkStart w:id="908" w:name="_Toc265228399"/>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1"/>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1"/>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1"/>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1"/>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1"/>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1"/>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1"/>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1"/>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1"/>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1"/>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1"/>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1"/>
        <w:ind w:firstLine="420"/>
        <w:jc w:val="left"/>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ind w:right="360"/>
        <w:jc w:val="center"/>
        <w:spacing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132"/>
        <w:spacing w:before="30" w:beforeAutospacing="0" w:after="30" w:afterAutospacing="0" w:line="0" w:lineRule="atLeast"/>
        <w:rPr>
          <w:b/>
          <w:color w:val="000000"/>
          <w:szCs w:val="20"/>
          <w:highlight w:val="none"/>
        </w:rPr>
      </w:pPr>
      <w:r>
        <w:rPr>
          <w:color w:val="000000"/>
          <w:szCs w:val="20"/>
          <w:highlight w:val="none"/>
        </w:rPr>
        <w:br w:type="page" w:clear="all"/>
      </w:r>
      <w:r>
        <w:rPr>
          <w:rFonts w:hint="eastAsia"/>
          <w:b/>
          <w:color w:val="000000"/>
          <w:highlight w:val="none"/>
        </w:rPr>
        <w:t xml:space="preserve">10</w:t>
      </w:r>
      <w:r>
        <w:rPr>
          <w:b/>
          <w:color w:val="000000"/>
          <w:highlight w:val="none"/>
        </w:rPr>
        <w:t xml:space="preserve">  </w:t>
      </w:r>
      <w:r>
        <w:rPr>
          <w:rFonts w:hint="eastAsia"/>
          <w:b/>
          <w:color w:val="000000"/>
          <w:highlight w:val="none"/>
        </w:rPr>
        <w:t xml:space="preserve">项目实施方案等，包括但不限于如下主题：</w:t>
      </w:r>
      <w:r>
        <w:rPr>
          <w:b/>
          <w:color w:val="000000"/>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1"/>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1"/>
        <w:spacing w:line="360" w:lineRule="auto"/>
        <w:rPr>
          <w:rFonts w:ascii="宋体" w:hAnsi="宋体"/>
          <w:color w:val="000000"/>
          <w:sz w:val="22"/>
          <w:highlight w:val="none"/>
        </w:rPr>
      </w:pPr>
      <w:r>
        <w:rPr>
          <w:rFonts w:ascii="宋体" w:hAnsi="宋体"/>
          <w:color w:val="000000"/>
          <w:sz w:val="22"/>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9" w:name="_Toc288738839"/>
      <w:r/>
      <w:bookmarkStart w:id="910"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9"/>
      <w:r/>
      <w:bookmarkEnd w:id="910"/>
      <w:r>
        <w:rPr>
          <w:rFonts w:ascii="宋体" w:hAnsi="宋体"/>
          <w:b/>
          <w:color w:val="000000"/>
          <w:sz w:val="32"/>
          <w:szCs w:val="32"/>
          <w:highlight w:val="none"/>
        </w:rPr>
      </w:r>
      <w:r/>
    </w:p>
    <w:p>
      <w:pPr>
        <w:pStyle w:val="107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1"/>
        <w:spacing w:line="360" w:lineRule="auto"/>
        <w:rPr>
          <w:rFonts w:ascii="宋体" w:hAnsi="宋体" w:cs="宋体"/>
          <w:color w:val="000000"/>
          <w:sz w:val="24"/>
          <w:highlight w:val="none"/>
        </w:rPr>
      </w:pPr>
      <w:r>
        <w:rPr>
          <w:rFonts w:ascii="宋体" w:hAnsi="宋体" w:cs="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1"/>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rPr>
        <w:rStyle w:val="1143"/>
      </w:rPr>
      <w:framePr w:wrap="around" w:vAnchor="text" w:hAnchor="margin" w:y="1"/>
    </w:pPr>
    <w:r>
      <w:rPr>
        <w:rStyle w:val="1143"/>
      </w:rPr>
    </w:r>
    <w:r/>
  </w:p>
  <w:p>
    <w:pPr>
      <w:pStyle w:val="111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r>
    <w:r/>
  </w:p>
  <w:p>
    <w:pPr>
      <w:pStyle w:val="111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1"/>
        <w:ind w:left="4941" w:hanging="1140"/>
        <w:tabs>
          <w:tab w:val="num" w:pos="4941" w:leader="none"/>
        </w:tabs>
      </w:pPr>
      <w:rPr>
        <w:rFonts w:hint="eastAsia"/>
      </w:rPr>
    </w:lvl>
    <w:lvl w:ilvl="1">
      <w:start w:val="1"/>
      <w:numFmt w:val="lowerLetter"/>
      <w:isLgl w:val="false"/>
      <w:suff w:val="tab"/>
      <w:lvlText w:val="%2)"/>
      <w:lvlJc w:val="left"/>
      <w:pPr>
        <w:pStyle w:val="1071"/>
        <w:ind w:left="4641" w:hanging="420"/>
        <w:tabs>
          <w:tab w:val="num" w:pos="4641" w:leader="none"/>
        </w:tabs>
      </w:pPr>
    </w:lvl>
    <w:lvl w:ilvl="2">
      <w:start w:val="1"/>
      <w:numFmt w:val="lowerRoman"/>
      <w:isLgl w:val="false"/>
      <w:suff w:val="tab"/>
      <w:lvlText w:val="%3."/>
      <w:lvlJc w:val="right"/>
      <w:pPr>
        <w:pStyle w:val="1071"/>
        <w:ind w:left="5061" w:hanging="420"/>
        <w:tabs>
          <w:tab w:val="num" w:pos="5061" w:leader="none"/>
        </w:tabs>
      </w:pPr>
    </w:lvl>
    <w:lvl w:ilvl="3">
      <w:start w:val="1"/>
      <w:numFmt w:val="decimal"/>
      <w:isLgl w:val="false"/>
      <w:suff w:val="tab"/>
      <w:lvlText w:val="%4."/>
      <w:lvlJc w:val="left"/>
      <w:pPr>
        <w:pStyle w:val="1071"/>
        <w:ind w:left="5481" w:hanging="420"/>
        <w:tabs>
          <w:tab w:val="num" w:pos="5481" w:leader="none"/>
        </w:tabs>
      </w:pPr>
    </w:lvl>
    <w:lvl w:ilvl="4">
      <w:start w:val="1"/>
      <w:numFmt w:val="lowerLetter"/>
      <w:isLgl w:val="false"/>
      <w:suff w:val="tab"/>
      <w:lvlText w:val="%5)"/>
      <w:lvlJc w:val="left"/>
      <w:pPr>
        <w:pStyle w:val="1071"/>
        <w:ind w:left="5901" w:hanging="420"/>
        <w:tabs>
          <w:tab w:val="num" w:pos="5901" w:leader="none"/>
        </w:tabs>
      </w:pPr>
    </w:lvl>
    <w:lvl w:ilvl="5">
      <w:start w:val="1"/>
      <w:numFmt w:val="lowerRoman"/>
      <w:isLgl w:val="false"/>
      <w:suff w:val="tab"/>
      <w:lvlText w:val="%6."/>
      <w:lvlJc w:val="right"/>
      <w:pPr>
        <w:pStyle w:val="1071"/>
        <w:ind w:left="6321" w:hanging="420"/>
        <w:tabs>
          <w:tab w:val="num" w:pos="6321" w:leader="none"/>
        </w:tabs>
      </w:pPr>
    </w:lvl>
    <w:lvl w:ilvl="6">
      <w:start w:val="1"/>
      <w:numFmt w:val="decimal"/>
      <w:isLgl w:val="false"/>
      <w:suff w:val="tab"/>
      <w:lvlText w:val="%7."/>
      <w:lvlJc w:val="left"/>
      <w:pPr>
        <w:pStyle w:val="1071"/>
        <w:ind w:left="6741" w:hanging="420"/>
        <w:tabs>
          <w:tab w:val="num" w:pos="6741" w:leader="none"/>
        </w:tabs>
      </w:pPr>
    </w:lvl>
    <w:lvl w:ilvl="7">
      <w:start w:val="1"/>
      <w:numFmt w:val="lowerLetter"/>
      <w:isLgl w:val="false"/>
      <w:suff w:val="tab"/>
      <w:lvlText w:val="%8)"/>
      <w:lvlJc w:val="left"/>
      <w:pPr>
        <w:pStyle w:val="1071"/>
        <w:ind w:left="7161" w:hanging="420"/>
        <w:tabs>
          <w:tab w:val="num" w:pos="7161" w:leader="none"/>
        </w:tabs>
      </w:pPr>
    </w:lvl>
    <w:lvl w:ilvl="8">
      <w:start w:val="1"/>
      <w:numFmt w:val="lowerRoman"/>
      <w:isLgl w:val="false"/>
      <w:suff w:val="tab"/>
      <w:lvlText w:val="%9."/>
      <w:lvlJc w:val="right"/>
      <w:pPr>
        <w:pStyle w:val="1071"/>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1"/>
        <w:ind w:left="420" w:hanging="420"/>
      </w:pPr>
    </w:lvl>
    <w:lvl w:ilvl="1">
      <w:start w:val="1"/>
      <w:numFmt w:val="decimal"/>
      <w:isLgl w:val="false"/>
      <w:suff w:val="tab"/>
      <w:lvlText w:val="（%2）"/>
      <w:lvlJc w:val="left"/>
      <w:pPr>
        <w:pStyle w:val="1071"/>
        <w:ind w:left="1140" w:hanging="720"/>
        <w:tabs>
          <w:tab w:val="num" w:pos="1140" w:leader="none"/>
        </w:tabs>
      </w:pPr>
      <w:rPr>
        <w:rFonts w:hint="eastAsia"/>
      </w:r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2">
    <w:multiLevelType w:val="hybridMultilevel"/>
    <w:lvl w:ilvl="0">
      <w:start w:val="1"/>
      <w:numFmt w:val="lowerLetter"/>
      <w:pStyle w:val="1254"/>
      <w:isLgl w:val="false"/>
      <w:suff w:val="tab"/>
      <w:lvlText w:val="%1)"/>
      <w:lvlJc w:val="left"/>
      <w:pPr>
        <w:pStyle w:val="1071"/>
        <w:ind w:left="902" w:hanging="420"/>
      </w:pPr>
      <w:rPr>
        <w:color w:val="000000"/>
      </w:rPr>
    </w:lvl>
    <w:lvl w:ilvl="1">
      <w:start w:val="1"/>
      <w:numFmt w:val="lowerLetter"/>
      <w:isLgl w:val="false"/>
      <w:suff w:val="tab"/>
      <w:lvlText w:val="%2)"/>
      <w:lvlJc w:val="left"/>
      <w:pPr>
        <w:pStyle w:val="1071"/>
        <w:ind w:left="1322" w:hanging="420"/>
      </w:pPr>
    </w:lvl>
    <w:lvl w:ilvl="2">
      <w:start w:val="1"/>
      <w:numFmt w:val="lowerRoman"/>
      <w:isLgl w:val="false"/>
      <w:suff w:val="tab"/>
      <w:lvlText w:val="%3."/>
      <w:lvlJc w:val="right"/>
      <w:pPr>
        <w:pStyle w:val="1071"/>
        <w:ind w:left="1742" w:hanging="420"/>
      </w:pPr>
    </w:lvl>
    <w:lvl w:ilvl="3">
      <w:start w:val="1"/>
      <w:numFmt w:val="decimal"/>
      <w:isLgl w:val="false"/>
      <w:suff w:val="tab"/>
      <w:lvlText w:val="%4."/>
      <w:lvlJc w:val="left"/>
      <w:pPr>
        <w:pStyle w:val="1071"/>
        <w:ind w:left="2162" w:hanging="420"/>
      </w:pPr>
    </w:lvl>
    <w:lvl w:ilvl="4">
      <w:start w:val="1"/>
      <w:numFmt w:val="lowerLetter"/>
      <w:isLgl w:val="false"/>
      <w:suff w:val="tab"/>
      <w:lvlText w:val="%5)"/>
      <w:lvlJc w:val="left"/>
      <w:pPr>
        <w:pStyle w:val="1071"/>
        <w:ind w:left="2582" w:hanging="420"/>
      </w:pPr>
    </w:lvl>
    <w:lvl w:ilvl="5">
      <w:start w:val="1"/>
      <w:numFmt w:val="lowerRoman"/>
      <w:isLgl w:val="false"/>
      <w:suff w:val="tab"/>
      <w:lvlText w:val="%6."/>
      <w:lvlJc w:val="right"/>
      <w:pPr>
        <w:pStyle w:val="1071"/>
        <w:ind w:left="3002" w:hanging="420"/>
      </w:pPr>
    </w:lvl>
    <w:lvl w:ilvl="6">
      <w:start w:val="1"/>
      <w:numFmt w:val="decimal"/>
      <w:isLgl w:val="false"/>
      <w:suff w:val="tab"/>
      <w:lvlText w:val="%7."/>
      <w:lvlJc w:val="left"/>
      <w:pPr>
        <w:pStyle w:val="1071"/>
        <w:ind w:left="3422" w:hanging="420"/>
      </w:pPr>
    </w:lvl>
    <w:lvl w:ilvl="7">
      <w:start w:val="1"/>
      <w:numFmt w:val="lowerLetter"/>
      <w:isLgl w:val="false"/>
      <w:suff w:val="tab"/>
      <w:lvlText w:val="%8)"/>
      <w:lvlJc w:val="left"/>
      <w:pPr>
        <w:pStyle w:val="1071"/>
        <w:ind w:left="3842" w:hanging="420"/>
      </w:pPr>
    </w:lvl>
    <w:lvl w:ilvl="8">
      <w:start w:val="1"/>
      <w:numFmt w:val="lowerRoman"/>
      <w:isLgl w:val="false"/>
      <w:suff w:val="tab"/>
      <w:lvlText w:val="%9."/>
      <w:lvlJc w:val="right"/>
      <w:pPr>
        <w:pStyle w:val="1071"/>
        <w:ind w:left="4262" w:hanging="420"/>
      </w:pPr>
    </w:lvl>
  </w:abstractNum>
  <w:abstractNum w:abstractNumId="3">
    <w:multiLevelType w:val="hybridMultilevel"/>
    <w:lvl w:ilvl="0">
      <w:start w:val="1"/>
      <w:numFmt w:val="decimal"/>
      <w:pStyle w:val="1224"/>
      <w:isLgl w:val="false"/>
      <w:suff w:val="tab"/>
      <w:lvlText w:val="%1."/>
      <w:lvlJc w:val="left"/>
      <w:pPr>
        <w:pStyle w:val="10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1"/>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1"/>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1"/>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1"/>
        <w:ind w:left="768" w:hanging="360"/>
        <w:tabs>
          <w:tab w:val="num" w:pos="768" w:leader="none"/>
        </w:tabs>
      </w:pPr>
      <w:rPr>
        <w:rFonts w:hint="eastAsia"/>
      </w:rPr>
    </w:lvl>
    <w:lvl w:ilvl="1">
      <w:start w:val="1"/>
      <w:numFmt w:val="decimal"/>
      <w:pStyle w:val="1211"/>
      <w:isLgl w:val="false"/>
      <w:suff w:val="tab"/>
      <w:lvlText w:val="%2、"/>
      <w:lvlJc w:val="left"/>
      <w:pPr>
        <w:pStyle w:val="1071"/>
        <w:ind w:left="1188" w:hanging="360"/>
        <w:tabs>
          <w:tab w:val="num" w:pos="1188" w:leader="none"/>
        </w:tabs>
      </w:pPr>
      <w:rPr>
        <w:rFonts w:hint="eastAsia"/>
      </w:rPr>
    </w:lvl>
    <w:lvl w:ilvl="2">
      <w:start w:val="1"/>
      <w:numFmt w:val="decimal"/>
      <w:isLgl w:val="false"/>
      <w:suff w:val="tab"/>
      <w:lvlText w:val="（%3）"/>
      <w:lvlJc w:val="left"/>
      <w:pPr>
        <w:pStyle w:val="1071"/>
        <w:ind w:left="1968" w:hanging="720"/>
        <w:tabs>
          <w:tab w:val="num" w:pos="1968" w:leader="none"/>
        </w:tabs>
      </w:pPr>
      <w:rPr>
        <w:rFonts w:hint="eastAsia"/>
        <w:u w:val="none"/>
      </w:rPr>
    </w:lvl>
    <w:lvl w:ilvl="3">
      <w:start w:val="1"/>
      <w:numFmt w:val="decimal"/>
      <w:isLgl w:val="false"/>
      <w:suff w:val="tab"/>
      <w:lvlText w:val="%4."/>
      <w:lvlJc w:val="left"/>
      <w:pPr>
        <w:pStyle w:val="1071"/>
        <w:ind w:left="2088" w:hanging="420"/>
        <w:tabs>
          <w:tab w:val="num" w:pos="2088" w:leader="none"/>
        </w:tabs>
      </w:pPr>
    </w:lvl>
    <w:lvl w:ilvl="4">
      <w:start w:val="1"/>
      <w:numFmt w:val="lowerLetter"/>
      <w:isLgl w:val="false"/>
      <w:suff w:val="tab"/>
      <w:lvlText w:val="%5)"/>
      <w:lvlJc w:val="left"/>
      <w:pPr>
        <w:pStyle w:val="1071"/>
        <w:ind w:left="2508" w:hanging="420"/>
        <w:tabs>
          <w:tab w:val="num" w:pos="2508" w:leader="none"/>
        </w:tabs>
      </w:pPr>
    </w:lvl>
    <w:lvl w:ilvl="5">
      <w:start w:val="1"/>
      <w:numFmt w:val="lowerRoman"/>
      <w:isLgl w:val="false"/>
      <w:suff w:val="tab"/>
      <w:lvlText w:val="%6."/>
      <w:lvlJc w:val="right"/>
      <w:pPr>
        <w:pStyle w:val="1071"/>
        <w:ind w:left="2928" w:hanging="420"/>
        <w:tabs>
          <w:tab w:val="num" w:pos="2928" w:leader="none"/>
        </w:tabs>
      </w:pPr>
    </w:lvl>
    <w:lvl w:ilvl="6">
      <w:start w:val="1"/>
      <w:numFmt w:val="decimal"/>
      <w:isLgl w:val="false"/>
      <w:suff w:val="tab"/>
      <w:lvlText w:val="%7."/>
      <w:lvlJc w:val="left"/>
      <w:pPr>
        <w:pStyle w:val="1071"/>
        <w:ind w:left="3348" w:hanging="420"/>
        <w:tabs>
          <w:tab w:val="num" w:pos="3348" w:leader="none"/>
        </w:tabs>
      </w:pPr>
    </w:lvl>
    <w:lvl w:ilvl="7">
      <w:start w:val="1"/>
      <w:numFmt w:val="lowerLetter"/>
      <w:isLgl w:val="false"/>
      <w:suff w:val="tab"/>
      <w:lvlText w:val="%8)"/>
      <w:lvlJc w:val="left"/>
      <w:pPr>
        <w:pStyle w:val="1071"/>
        <w:ind w:left="3768" w:hanging="420"/>
        <w:tabs>
          <w:tab w:val="num" w:pos="3768" w:leader="none"/>
        </w:tabs>
      </w:pPr>
    </w:lvl>
    <w:lvl w:ilvl="8">
      <w:start w:val="1"/>
      <w:numFmt w:val="lowerRoman"/>
      <w:isLgl w:val="false"/>
      <w:suff w:val="tab"/>
      <w:lvlText w:val="%9."/>
      <w:lvlJc w:val="right"/>
      <w:pPr>
        <w:pStyle w:val="107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1"/>
        <w:ind w:left="900" w:hanging="900"/>
        <w:tabs>
          <w:tab w:val="num" w:pos="900" w:leader="none"/>
        </w:tabs>
      </w:pPr>
      <w:rPr>
        <w:rFonts w:hint="eastAsia"/>
        <w:b/>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1"/>
        <w:ind w:left="420" w:hanging="420"/>
      </w:p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8">
    <w:multiLevelType w:val="hybridMultilevel"/>
    <w:lvl w:ilvl="0">
      <w:start w:val="1"/>
      <w:numFmt w:val="decimal"/>
      <w:pStyle w:val="1279"/>
      <w:isLgl w:val="false"/>
      <w:suff w:val="tab"/>
      <w:lvlText w:val="%1"/>
      <w:lvlJc w:val="left"/>
      <w:pPr>
        <w:pStyle w:val="1071"/>
        <w:ind w:left="680" w:hanging="680"/>
      </w:pPr>
      <w:rPr>
        <w:rFonts w:hint="eastAsia" w:ascii="宋体" w:hAnsi="宋体" w:eastAsia="宋体"/>
      </w:rPr>
    </w:lvl>
    <w:lvl w:ilvl="1">
      <w:start w:val="1"/>
      <w:numFmt w:val="decimal"/>
      <w:pStyle w:val="1280"/>
      <w:isLgl w:val="false"/>
      <w:suff w:val="tab"/>
      <w:lvlText w:val="%1.%2"/>
      <w:lvlJc w:val="left"/>
      <w:pPr>
        <w:pStyle w:val="1071"/>
        <w:ind w:left="851" w:hanging="851"/>
      </w:pPr>
      <w:rPr>
        <w:rFonts w:hint="eastAsia" w:ascii="宋体" w:hAnsi="宋体" w:eastAsia="宋体"/>
        <w:color w:val="000000"/>
      </w:rPr>
    </w:lvl>
    <w:lvl w:ilvl="2">
      <w:start w:val="1"/>
      <w:numFmt w:val="decimal"/>
      <w:pStyle w:val="1281"/>
      <w:isLgl w:val="false"/>
      <w:suff w:val="tab"/>
      <w:lvlText w:val="%1.%2.%3"/>
      <w:lvlJc w:val="left"/>
      <w:pPr>
        <w:pStyle w:val="1071"/>
        <w:ind w:left="851" w:hanging="851"/>
      </w:pPr>
      <w:rPr>
        <w:rFonts w:hint="eastAsia"/>
      </w:rPr>
    </w:lvl>
    <w:lvl w:ilvl="3">
      <w:start w:val="1"/>
      <w:numFmt w:val="decimal"/>
      <w:isLgl w:val="false"/>
      <w:suff w:val="tab"/>
      <w:lvlText w:val="%1.%2.%3.%4"/>
      <w:lvlJc w:val="left"/>
      <w:pPr>
        <w:pStyle w:val="1071"/>
        <w:ind w:left="680" w:hanging="680"/>
      </w:pPr>
      <w:rPr>
        <w:rFonts w:hint="eastAsia"/>
      </w:rPr>
    </w:lvl>
    <w:lvl w:ilvl="4">
      <w:start w:val="1"/>
      <w:numFmt w:val="decimal"/>
      <w:isLgl w:val="false"/>
      <w:suff w:val="tab"/>
      <w:lvlText w:val="%1.%2.%3.%4.%5"/>
      <w:lvlJc w:val="left"/>
      <w:pPr>
        <w:pStyle w:val="1071"/>
        <w:ind w:left="680" w:hanging="680"/>
      </w:pPr>
      <w:rPr>
        <w:rFonts w:hint="eastAsia"/>
      </w:rPr>
    </w:lvl>
    <w:lvl w:ilvl="5">
      <w:start w:val="1"/>
      <w:numFmt w:val="decimal"/>
      <w:isLgl w:val="false"/>
      <w:suff w:val="tab"/>
      <w:lvlText w:val="%1.%2.%3.%4.%5.%6"/>
      <w:lvlJc w:val="left"/>
      <w:pPr>
        <w:pStyle w:val="1071"/>
        <w:ind w:left="680" w:hanging="680"/>
      </w:pPr>
      <w:rPr>
        <w:rFonts w:hint="eastAsia"/>
      </w:rPr>
    </w:lvl>
    <w:lvl w:ilvl="6">
      <w:start w:val="1"/>
      <w:numFmt w:val="decimal"/>
      <w:isLgl w:val="false"/>
      <w:suff w:val="tab"/>
      <w:lvlText w:val="%1.%2.%3.%4.%5.%6.%7"/>
      <w:lvlJc w:val="left"/>
      <w:pPr>
        <w:pStyle w:val="1071"/>
        <w:ind w:left="680" w:hanging="680"/>
      </w:pPr>
      <w:rPr>
        <w:rFonts w:hint="eastAsia"/>
      </w:rPr>
    </w:lvl>
    <w:lvl w:ilvl="7">
      <w:start w:val="1"/>
      <w:numFmt w:val="decimal"/>
      <w:isLgl w:val="false"/>
      <w:suff w:val="tab"/>
      <w:lvlText w:val="%1.%2.%3.%4.%5.%6.%7.%8"/>
      <w:lvlJc w:val="left"/>
      <w:pPr>
        <w:pStyle w:val="1071"/>
        <w:ind w:left="680" w:hanging="680"/>
      </w:pPr>
      <w:rPr>
        <w:rFonts w:hint="eastAsia"/>
      </w:rPr>
    </w:lvl>
    <w:lvl w:ilvl="8">
      <w:start w:val="1"/>
      <w:numFmt w:val="decimal"/>
      <w:isLgl w:val="false"/>
      <w:suff w:val="tab"/>
      <w:lvlText w:val="%1.%2.%3.%4.%5.%6.%7.%8.%9"/>
      <w:lvlJc w:val="left"/>
      <w:pPr>
        <w:pStyle w:val="1071"/>
        <w:ind w:left="680" w:hanging="680"/>
      </w:pPr>
      <w:rPr>
        <w:rFonts w:hint="eastAsia"/>
      </w:rPr>
    </w:lvl>
  </w:abstractNum>
  <w:abstractNum w:abstractNumId="9">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1">
    <w:multiLevelType w:val="hybridMultilevel"/>
    <w:lvl w:ilvl="0">
      <w:start w:val="6"/>
      <w:numFmt w:val="chineseCounting"/>
      <w:isLgl w:val="false"/>
      <w:suff w:val="nothing"/>
      <w:lvlText w:val="（%1）"/>
      <w:lvlJc w:val="left"/>
      <w:pPr>
        <w:pStyle w:val="10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1"/>
        <w:ind w:left="205" w:hanging="322"/>
      </w:pPr>
      <w:rPr>
        <w:rFonts w:ascii="仿宋" w:hAnsi="仿宋" w:eastAsia="仿宋" w:cs="仿宋"/>
        <w:spacing w:val="-46"/>
        <w:sz w:val="30"/>
        <w:szCs w:val="30"/>
      </w:r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14">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1"/>
    <w:next w:val="1071"/>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1"/>
    <w:next w:val="1071"/>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1"/>
    <w:next w:val="1071"/>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1"/>
    <w:next w:val="1071"/>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1"/>
    <w:next w:val="1071"/>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1"/>
    <w:next w:val="1071"/>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1"/>
    <w:next w:val="1071"/>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1"/>
    <w:next w:val="1071"/>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1"/>
    <w:next w:val="1071"/>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240" w:after="120" w:line="300" w:lineRule="auto"/>
      <w:outlineLvl w:val="0"/>
    </w:pPr>
    <w:rPr>
      <w:rFonts w:ascii="宋体"/>
      <w:b/>
      <w:sz w:val="32"/>
      <w:szCs w:val="20"/>
    </w:rPr>
  </w:style>
  <w:style w:type="paragraph" w:styleId="1073">
    <w:name w:val="标题 2"/>
    <w:basedOn w:val="1071"/>
    <w:next w:val="1085"/>
    <w:link w:val="1084"/>
    <w:qFormat/>
    <w:pPr>
      <w:jc w:val="center"/>
      <w:keepLines/>
      <w:keepNext/>
      <w:spacing w:before="120" w:line="300" w:lineRule="auto"/>
      <w:outlineLvl w:val="1"/>
    </w:pPr>
    <w:rPr>
      <w:rFonts w:ascii="Arial" w:hAnsi="Arial" w:eastAsia="黑体"/>
      <w:b/>
      <w:sz w:val="30"/>
      <w:szCs w:val="20"/>
    </w:rPr>
  </w:style>
  <w:style w:type="paragraph" w:styleId="1074">
    <w:name w:val="标题 3"/>
    <w:basedOn w:val="1071"/>
    <w:next w:val="1085"/>
    <w:link w:val="1087"/>
    <w:qFormat/>
    <w:pPr>
      <w:jc w:val="left"/>
      <w:keepLines/>
      <w:keepNext/>
      <w:spacing w:before="360" w:after="120"/>
      <w:outlineLvl w:val="2"/>
    </w:pPr>
    <w:rPr>
      <w:rFonts w:ascii="宋体"/>
      <w:b/>
      <w:sz w:val="24"/>
      <w:szCs w:val="20"/>
      <w:u w:val="single"/>
    </w:rPr>
  </w:style>
  <w:style w:type="paragraph" w:styleId="1075">
    <w:name w:val="标题 4"/>
    <w:basedOn w:val="1071"/>
    <w:next w:val="1071"/>
    <w:link w:val="1088"/>
    <w:qFormat/>
    <w:pPr>
      <w:keepLines/>
      <w:keepNext/>
      <w:spacing w:before="280" w:after="290" w:line="376" w:lineRule="atLeast"/>
      <w:outlineLvl w:val="3"/>
    </w:pPr>
    <w:rPr>
      <w:rFonts w:ascii="Arial" w:hAnsi="Arial" w:eastAsia="黑体"/>
      <w:b/>
      <w:sz w:val="28"/>
      <w:szCs w:val="20"/>
    </w:rPr>
  </w:style>
  <w:style w:type="paragraph" w:styleId="1076">
    <w:name w:val="标题 5"/>
    <w:basedOn w:val="1071"/>
    <w:next w:val="1071"/>
    <w:link w:val="1089"/>
    <w:qFormat/>
    <w:pPr>
      <w:keepLines/>
      <w:keepNext/>
      <w:spacing w:before="280" w:after="290" w:line="376" w:lineRule="atLeast"/>
      <w:outlineLvl w:val="4"/>
    </w:pPr>
    <w:rPr>
      <w:b/>
      <w:sz w:val="28"/>
      <w:szCs w:val="20"/>
    </w:rPr>
  </w:style>
  <w:style w:type="paragraph" w:styleId="1077">
    <w:name w:val="标题 6"/>
    <w:basedOn w:val="1071"/>
    <w:next w:val="1071"/>
    <w:link w:val="1090"/>
    <w:qFormat/>
    <w:pPr>
      <w:keepLines/>
      <w:keepNext/>
      <w:spacing w:before="240" w:after="64" w:line="320" w:lineRule="atLeast"/>
      <w:outlineLvl w:val="5"/>
    </w:pPr>
    <w:rPr>
      <w:rFonts w:ascii="Arial" w:hAnsi="Arial" w:eastAsia="黑体"/>
      <w:b/>
      <w:sz w:val="24"/>
      <w:szCs w:val="20"/>
    </w:rPr>
  </w:style>
  <w:style w:type="paragraph" w:styleId="1078">
    <w:name w:val="标题 7"/>
    <w:basedOn w:val="1071"/>
    <w:next w:val="1071"/>
    <w:link w:val="1091"/>
    <w:qFormat/>
    <w:pPr>
      <w:keepLines/>
      <w:keepNext/>
      <w:spacing w:before="240" w:after="64" w:line="320" w:lineRule="atLeast"/>
      <w:outlineLvl w:val="6"/>
    </w:pPr>
    <w:rPr>
      <w:b/>
      <w:sz w:val="24"/>
      <w:szCs w:val="20"/>
    </w:rPr>
  </w:style>
  <w:style w:type="paragraph" w:styleId="1079">
    <w:name w:val="标题 8"/>
    <w:basedOn w:val="1071"/>
    <w:next w:val="1071"/>
    <w:link w:val="1092"/>
    <w:qFormat/>
    <w:pPr>
      <w:keepLines/>
      <w:keepNext/>
      <w:spacing w:before="240" w:after="64" w:line="320" w:lineRule="atLeast"/>
      <w:outlineLvl w:val="7"/>
    </w:pPr>
    <w:rPr>
      <w:rFonts w:ascii="Arial" w:hAnsi="Arial" w:eastAsia="黑体"/>
      <w:sz w:val="24"/>
      <w:szCs w:val="20"/>
    </w:rPr>
  </w:style>
  <w:style w:type="paragraph" w:styleId="1080">
    <w:name w:val="标题 9"/>
    <w:basedOn w:val="1071"/>
    <w:next w:val="1071"/>
    <w:link w:val="1093"/>
    <w:qFormat/>
    <w:pPr>
      <w:keepLines/>
      <w:keepNext/>
      <w:spacing w:before="240" w:after="64" w:line="320" w:lineRule="atLeast"/>
      <w:outlineLvl w:val="8"/>
    </w:pPr>
    <w:rPr>
      <w:rFonts w:ascii="Arial" w:hAnsi="Arial" w:eastAsia="黑体"/>
      <w:szCs w:val="20"/>
    </w:rPr>
  </w:style>
  <w:style w:type="character" w:styleId="1081">
    <w:name w:val="默认段落字体"/>
    <w:next w:val="1081"/>
    <w:link w:val="1071"/>
    <w:uiPriority w:val="1"/>
    <w:unhideWhenUsed/>
    <w:qFormat/>
  </w:style>
  <w:style w:type="table" w:styleId="1082">
    <w:name w:val="普通表格"/>
    <w:next w:val="1082"/>
    <w:link w:val="1071"/>
    <w:uiPriority w:val="99"/>
    <w:unhideWhenUsed/>
    <w:qFormat/>
    <w:tblPr/>
  </w:style>
  <w:style w:type="character" w:styleId="1083">
    <w:name w:val="标题 1 字符"/>
    <w:next w:val="1083"/>
    <w:link w:val="1072"/>
    <w:qFormat/>
    <w:rPr>
      <w:rFonts w:ascii="宋体"/>
      <w:b/>
      <w:sz w:val="32"/>
    </w:rPr>
  </w:style>
  <w:style w:type="character" w:styleId="1084">
    <w:name w:val="标题 2 字符"/>
    <w:next w:val="1084"/>
    <w:link w:val="1073"/>
    <w:qFormat/>
    <w:rPr>
      <w:rFonts w:ascii="Arial" w:hAnsi="Arial" w:eastAsia="黑体"/>
      <w:b/>
      <w:sz w:val="30"/>
      <w:lang w:val="en-US" w:eastAsia="zh-CN" w:bidi="ar-SA"/>
    </w:rPr>
  </w:style>
  <w:style w:type="paragraph" w:styleId="1085">
    <w:name w:val="正文缩进"/>
    <w:basedOn w:val="1071"/>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4"/>
    <w:qFormat/>
    <w:rPr>
      <w:rFonts w:ascii="宋体" w:eastAsia="宋体"/>
      <w:b/>
      <w:sz w:val="24"/>
      <w:u w:val="single"/>
      <w:lang w:val="en-US" w:eastAsia="zh-CN" w:bidi="ar-SA"/>
    </w:rPr>
  </w:style>
  <w:style w:type="character" w:styleId="1088">
    <w:name w:val="标题 4 字符"/>
    <w:next w:val="1088"/>
    <w:link w:val="1075"/>
    <w:qFormat/>
    <w:rPr>
      <w:rFonts w:ascii="Arial" w:hAnsi="Arial" w:eastAsia="黑体"/>
      <w:b/>
      <w:sz w:val="28"/>
    </w:rPr>
  </w:style>
  <w:style w:type="character" w:styleId="1089">
    <w:name w:val="标题 5 字符"/>
    <w:next w:val="1089"/>
    <w:link w:val="1076"/>
    <w:qFormat/>
    <w:rPr>
      <w:b/>
      <w:sz w:val="28"/>
    </w:rPr>
  </w:style>
  <w:style w:type="character" w:styleId="1090">
    <w:name w:val="标题 6 字符"/>
    <w:next w:val="1090"/>
    <w:link w:val="1077"/>
    <w:qFormat/>
    <w:rPr>
      <w:rFonts w:ascii="Arial" w:hAnsi="Arial" w:eastAsia="黑体"/>
      <w:b/>
      <w:sz w:val="24"/>
    </w:rPr>
  </w:style>
  <w:style w:type="character" w:styleId="1091">
    <w:name w:val="标题 7 字符"/>
    <w:next w:val="1091"/>
    <w:link w:val="1078"/>
    <w:qFormat/>
    <w:rPr>
      <w:b/>
      <w:sz w:val="24"/>
    </w:rPr>
  </w:style>
  <w:style w:type="character" w:styleId="1092">
    <w:name w:val="标题 8 字符"/>
    <w:next w:val="1092"/>
    <w:link w:val="1079"/>
    <w:qFormat/>
    <w:rPr>
      <w:rFonts w:ascii="Arial" w:hAnsi="Arial" w:eastAsia="黑体"/>
      <w:sz w:val="24"/>
    </w:rPr>
  </w:style>
  <w:style w:type="character" w:styleId="1093">
    <w:name w:val="标题 9 字符"/>
    <w:next w:val="1093"/>
    <w:link w:val="1080"/>
    <w:qFormat/>
    <w:rPr>
      <w:rFonts w:ascii="Arial" w:hAnsi="Arial" w:eastAsia="黑体"/>
      <w:sz w:val="21"/>
    </w:rPr>
  </w:style>
  <w:style w:type="paragraph" w:styleId="1094">
    <w:name w:val="目录 7"/>
    <w:basedOn w:val="1071"/>
    <w:next w:val="1071"/>
    <w:link w:val="1071"/>
    <w:qFormat/>
    <w:pPr>
      <w:ind w:left="2520"/>
    </w:pPr>
  </w:style>
  <w:style w:type="paragraph" w:styleId="1095">
    <w:name w:val="题注"/>
    <w:basedOn w:val="1071"/>
    <w:next w:val="1071"/>
    <w:link w:val="1071"/>
    <w:qFormat/>
    <w:pPr>
      <w:spacing w:line="480" w:lineRule="auto"/>
    </w:pPr>
    <w:rPr>
      <w:rFonts w:ascii="华文中宋" w:hAnsi="华文中宋" w:eastAsia="华文中宋"/>
      <w:sz w:val="36"/>
      <w:szCs w:val="20"/>
    </w:rPr>
  </w:style>
  <w:style w:type="paragraph" w:styleId="1096">
    <w:name w:val="文档结构图"/>
    <w:basedOn w:val="1071"/>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1"/>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1"/>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1"/>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1"/>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1"/>
    <w:next w:val="1106"/>
    <w:link w:val="1071"/>
    <w:qFormat/>
    <w:pPr>
      <w:ind w:left="100" w:hanging="200"/>
    </w:pPr>
  </w:style>
  <w:style w:type="paragraph" w:styleId="1107">
    <w:name w:val="文本块"/>
    <w:basedOn w:val="1071"/>
    <w:next w:val="1107"/>
    <w:link w:val="1071"/>
    <w:qFormat/>
    <w:pPr>
      <w:ind w:left="480" w:right="-341" w:firstLine="513"/>
      <w:widowControl/>
    </w:pPr>
    <w:rPr>
      <w:sz w:val="24"/>
      <w:szCs w:val="20"/>
    </w:rPr>
  </w:style>
  <w:style w:type="paragraph" w:styleId="1108">
    <w:name w:val="目录 5"/>
    <w:basedOn w:val="1071"/>
    <w:next w:val="1071"/>
    <w:link w:val="1071"/>
    <w:qFormat/>
    <w:pPr>
      <w:ind w:left="1680"/>
    </w:pPr>
  </w:style>
  <w:style w:type="paragraph" w:styleId="1109">
    <w:name w:val="目录 3"/>
    <w:basedOn w:val="1071"/>
    <w:next w:val="1071"/>
    <w:link w:val="1071"/>
    <w:uiPriority w:val="39"/>
    <w:qFormat/>
    <w:pPr>
      <w:ind w:left="840"/>
    </w:pPr>
  </w:style>
  <w:style w:type="paragraph" w:styleId="1110">
    <w:name w:val="纯文本"/>
    <w:basedOn w:val="1071"/>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1"/>
    <w:next w:val="1071"/>
    <w:link w:val="1071"/>
    <w:qFormat/>
    <w:pPr>
      <w:ind w:left="2940"/>
    </w:pPr>
  </w:style>
  <w:style w:type="paragraph" w:styleId="1113">
    <w:name w:val="日期"/>
    <w:basedOn w:val="1071"/>
    <w:next w:val="1071"/>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1"/>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1"/>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1"/>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1"/>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1"/>
    <w:next w:val="1071"/>
    <w:link w:val="1071"/>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1"/>
    <w:next w:val="1071"/>
    <w:link w:val="1071"/>
    <w:qFormat/>
    <w:pPr>
      <w:ind w:left="1260"/>
    </w:pPr>
  </w:style>
  <w:style w:type="paragraph" w:styleId="1125">
    <w:name w:val="目录 6"/>
    <w:basedOn w:val="1071"/>
    <w:next w:val="1071"/>
    <w:link w:val="1071"/>
    <w:qFormat/>
    <w:pPr>
      <w:ind w:left="2100"/>
    </w:pPr>
  </w:style>
  <w:style w:type="paragraph" w:styleId="1126">
    <w:name w:val="正文文本缩进 3"/>
    <w:basedOn w:val="1071"/>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1"/>
    <w:next w:val="1071"/>
    <w:link w:val="1071"/>
    <w:uiPriority w:val="39"/>
    <w:qFormat/>
    <w:pPr>
      <w:ind w:left="420"/>
      <w:spacing w:line="312" w:lineRule="auto"/>
      <w:tabs>
        <w:tab w:val="right" w:pos="8937" w:leader="dot"/>
      </w:tabs>
    </w:pPr>
  </w:style>
  <w:style w:type="paragraph" w:styleId="1129">
    <w:name w:val="目录 9"/>
    <w:basedOn w:val="1071"/>
    <w:next w:val="1071"/>
    <w:link w:val="1071"/>
    <w:qFormat/>
    <w:pPr>
      <w:ind w:left="3360"/>
    </w:pPr>
  </w:style>
  <w:style w:type="paragraph" w:styleId="1130">
    <w:name w:val="HTML 预设格式"/>
    <w:basedOn w:val="1071"/>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1"/>
    <w:next w:val="1132"/>
    <w:link w:val="1071"/>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1"/>
    <w:next w:val="1071"/>
    <w:link w:val="1071"/>
    <w:qFormat/>
    <w:rPr>
      <w:szCs w:val="20"/>
    </w:rPr>
  </w:style>
  <w:style w:type="paragraph" w:styleId="1134">
    <w:name w:val="标题"/>
    <w:basedOn w:val="1071"/>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2"/>
    <w:next w:val="1140"/>
    <w:link w:val="1071"/>
    <w:uiPriority w:val="39"/>
    <w:qFormat/>
    <w:tblPr/>
  </w:style>
  <w:style w:type="table" w:styleId="1141">
    <w:name w:val="中等深浅网格 1 - 强调文字颜色 2"/>
    <w:basedOn w:val="1082"/>
    <w:next w:val="1141"/>
    <w:link w:val="1071"/>
    <w:qFormat/>
    <w:rPr>
      <w:sz w:val="21"/>
      <w:szCs w:val="24"/>
    </w:rPr>
    <w:tblPr/>
  </w:style>
  <w:style w:type="character" w:styleId="1142">
    <w:name w:val="要点"/>
    <w:next w:val="1142"/>
    <w:link w:val="1071"/>
    <w:qFormat/>
    <w:rPr>
      <w:b/>
      <w:bCs/>
    </w:rPr>
  </w:style>
  <w:style w:type="character" w:styleId="1143">
    <w:name w:val="页码"/>
    <w:next w:val="1143"/>
    <w:link w:val="1071"/>
    <w:qFormat/>
  </w:style>
  <w:style w:type="character" w:styleId="1144">
    <w:name w:val="已访问的超链接"/>
    <w:next w:val="1144"/>
    <w:link w:val="1071"/>
    <w:qFormat/>
    <w:rPr>
      <w:color w:val="800080"/>
      <w:u w:val="single"/>
    </w:rPr>
  </w:style>
  <w:style w:type="character" w:styleId="1145">
    <w:name w:val="强调"/>
    <w:next w:val="1145"/>
    <w:link w:val="1071"/>
    <w:qFormat/>
    <w:rPr>
      <w:color w:val="cc0033"/>
    </w:rPr>
  </w:style>
  <w:style w:type="character" w:styleId="1146">
    <w:name w:val="超链接"/>
    <w:next w:val="1146"/>
    <w:link w:val="1071"/>
    <w:uiPriority w:val="99"/>
    <w:qFormat/>
    <w:rPr>
      <w:color w:val="0000ff"/>
      <w:u w:val="single"/>
    </w:rPr>
  </w:style>
  <w:style w:type="character" w:styleId="1147">
    <w:name w:val="批注引用"/>
    <w:next w:val="1147"/>
    <w:link w:val="1071"/>
    <w:uiPriority w:val="99"/>
    <w:qFormat/>
    <w:rPr>
      <w:sz w:val="21"/>
      <w:szCs w:val="21"/>
    </w:rPr>
  </w:style>
  <w:style w:type="character" w:styleId="1148">
    <w:name w:val="HTML 引文"/>
    <w:next w:val="1148"/>
    <w:link w:val="1071"/>
    <w:qFormat/>
    <w:rPr>
      <w:i/>
      <w:iCs/>
    </w:rPr>
  </w:style>
  <w:style w:type="character" w:styleId="1149">
    <w:name w:val="批注文字 字符"/>
    <w:next w:val="1149"/>
    <w:link w:val="1071"/>
    <w:uiPriority w:val="99"/>
    <w:qFormat/>
    <w:rPr>
      <w:rFonts w:ascii="Times New Roman" w:hAnsi="Times New Roman" w:eastAsia="宋体" w:cs="Times New Roman"/>
      <w:sz w:val="24"/>
      <w:lang w:val="en-US" w:eastAsia="zh-CN" w:bidi="ar-SA"/>
    </w:rPr>
  </w:style>
  <w:style w:type="character" w:styleId="1150">
    <w:name w:val="c21"/>
    <w:next w:val="1150"/>
    <w:link w:val="1071"/>
    <w:qFormat/>
    <w:rPr>
      <w:rFonts w:ascii="ˎ̥" w:hAnsi="ˎ̥"/>
      <w:color w:val="000000"/>
      <w:sz w:val="20"/>
      <w:szCs w:val="20"/>
      <w:u w:val="none"/>
    </w:rPr>
  </w:style>
  <w:style w:type="character" w:styleId="1151">
    <w:name w:val="title4"/>
    <w:next w:val="1151"/>
    <w:link w:val="1071"/>
    <w:qFormat/>
    <w:rPr>
      <w:b/>
      <w:bCs/>
      <w:color w:val="1d87b3"/>
      <w:sz w:val="15"/>
      <w:szCs w:val="15"/>
    </w:rPr>
  </w:style>
  <w:style w:type="character" w:styleId="1152">
    <w:name w:val="标题 2 Char Char"/>
    <w:next w:val="1152"/>
    <w:link w:val="1071"/>
    <w:qFormat/>
    <w:rPr>
      <w:rFonts w:ascii="Arial" w:hAnsi="Arial" w:eastAsia="黑体"/>
      <w:b/>
      <w:bCs/>
      <w:sz w:val="32"/>
      <w:szCs w:val="32"/>
      <w:lang w:val="en-US" w:eastAsia="zh-CN" w:bidi="ar-SA"/>
    </w:rPr>
  </w:style>
  <w:style w:type="character" w:styleId="1153">
    <w:name w:val="black1"/>
    <w:next w:val="1153"/>
    <w:link w:val="1071"/>
    <w:qFormat/>
    <w:rPr>
      <w:color w:val="000000"/>
    </w:rPr>
  </w:style>
  <w:style w:type="character" w:styleId="1154">
    <w:name w:val="street-address"/>
    <w:next w:val="1154"/>
    <w:link w:val="1071"/>
    <w:qFormat/>
  </w:style>
  <w:style w:type="character" w:styleId="1155">
    <w:name w:val="locality"/>
    <w:next w:val="1155"/>
    <w:link w:val="1071"/>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1"/>
    <w:next w:val="1157"/>
    <w:link w:val="1156"/>
    <w:qFormat/>
    <w:pPr>
      <w:ind w:firstLine="480"/>
      <w:spacing w:line="480" w:lineRule="exact"/>
    </w:pPr>
    <w:rPr>
      <w:rFonts w:ascii="宋体" w:hAnsi="宋体"/>
      <w:sz w:val="24"/>
    </w:rPr>
  </w:style>
  <w:style w:type="character" w:styleId="1158">
    <w:name w:val="Char Char11"/>
    <w:next w:val="1158"/>
    <w:link w:val="1071"/>
    <w:qFormat/>
    <w:rPr>
      <w:rFonts w:ascii="宋体" w:eastAsia="宋体"/>
      <w:b/>
      <w:sz w:val="24"/>
      <w:u w:val="single"/>
      <w:lang w:val="en-US" w:eastAsia="zh-CN" w:bidi="ar-SA"/>
    </w:rPr>
  </w:style>
  <w:style w:type="character" w:styleId="1159">
    <w:name w:val="txt"/>
    <w:next w:val="1159"/>
    <w:link w:val="1071"/>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1"/>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1"/>
    <w:qFormat/>
    <w:rPr>
      <w:rFonts w:ascii="宋体" w:hAnsi="Courier New" w:eastAsia="宋体"/>
      <w:sz w:val="21"/>
      <w:lang w:val="en-US" w:eastAsia="zh-CN" w:bidi="ar-SA"/>
    </w:rPr>
  </w:style>
  <w:style w:type="character" w:styleId="1163">
    <w:name w:val="chanpin1"/>
    <w:next w:val="1163"/>
    <w:link w:val="1071"/>
    <w:qFormat/>
    <w:rPr>
      <w:rFonts w:ascii="ˎ̥" w:hAnsi="ˎ̥"/>
      <w:color w:val="000000"/>
      <w:sz w:val="20"/>
      <w:szCs w:val="20"/>
      <w:u w:val="none"/>
    </w:rPr>
  </w:style>
  <w:style w:type="character" w:styleId="1164">
    <w:name w:val="列出段落 字符"/>
    <w:next w:val="1164"/>
    <w:link w:val="1165"/>
    <w:uiPriority w:val="34"/>
    <w:qFormat/>
    <w:rPr>
      <w:rFonts w:ascii="Calibri" w:hAnsi="Calibri" w:eastAsia="宋体"/>
      <w:sz w:val="21"/>
      <w:szCs w:val="22"/>
      <w:lang w:val="en-US" w:eastAsia="zh-CN" w:bidi="ar-SA"/>
    </w:rPr>
  </w:style>
  <w:style w:type="paragraph" w:styleId="1165">
    <w:name w:val="列出段落"/>
    <w:basedOn w:val="1071"/>
    <w:next w:val="1165"/>
    <w:link w:val="1164"/>
    <w:uiPriority w:val="34"/>
    <w:qFormat/>
    <w:pPr>
      <w:ind w:firstLine="420"/>
    </w:pPr>
    <w:rPr>
      <w:rFonts w:ascii="Calibri" w:hAnsi="Calibri"/>
      <w:szCs w:val="22"/>
    </w:rPr>
  </w:style>
  <w:style w:type="character" w:styleId="1166">
    <w:name w:val="标题 3 Char Char"/>
    <w:next w:val="1166"/>
    <w:link w:val="1071"/>
    <w:qFormat/>
    <w:rPr>
      <w:rFonts w:eastAsia="宋体"/>
      <w:b/>
      <w:bCs/>
      <w:sz w:val="32"/>
      <w:szCs w:val="32"/>
      <w:lang w:val="en-US" w:eastAsia="zh-CN" w:bidi="ar-SA"/>
    </w:rPr>
  </w:style>
  <w:style w:type="character" w:styleId="1167">
    <w:name w:val="段1 Char"/>
    <w:next w:val="1167"/>
    <w:link w:val="1071"/>
    <w:qFormat/>
    <w:rPr>
      <w:rFonts w:ascii="宋体" w:eastAsia="宋体"/>
      <w:sz w:val="24"/>
      <w:lang w:val="en-US" w:eastAsia="zh-CN" w:bidi="ar-SA"/>
    </w:rPr>
  </w:style>
  <w:style w:type="character" w:styleId="1168">
    <w:name w:val="chanpin拷贝"/>
    <w:next w:val="1168"/>
    <w:link w:val="1071"/>
    <w:qFormat/>
  </w:style>
  <w:style w:type="character" w:styleId="1169">
    <w:name w:val="纯文本 Char1"/>
    <w:next w:val="1169"/>
    <w:link w:val="1071"/>
    <w:uiPriority w:val="99"/>
    <w:qFormat/>
    <w:rPr>
      <w:rFonts w:ascii="宋体" w:hAnsi="Courier New" w:eastAsia="宋体"/>
      <w:sz w:val="21"/>
      <w:lang w:val="en-US" w:eastAsia="zh-CN" w:bidi="ar-SA"/>
    </w:rPr>
  </w:style>
  <w:style w:type="character" w:styleId="1170">
    <w:name w:val="apple-style-span"/>
    <w:next w:val="1170"/>
    <w:link w:val="1071"/>
    <w:qFormat/>
    <w:rPr>
      <w:rFonts w:cs="Times New Roman"/>
    </w:rPr>
  </w:style>
  <w:style w:type="paragraph" w:styleId="1171">
    <w:name w:val="二级条标题"/>
    <w:basedOn w:val="1172"/>
    <w:next w:val="1071"/>
    <w:link w:val="1071"/>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1"/>
    <w:link w:val="1071"/>
    <w:qFormat/>
    <w:pPr>
      <w:numPr>
        <w:ilvl w:val="1"/>
      </w:numPr>
      <w:ind w:left="0" w:hanging="840"/>
      <w:tabs>
        <w:tab w:val="left" w:pos="360" w:leader="none"/>
        <w:tab w:val="left" w:pos="840" w:leader="none"/>
      </w:tabs>
      <w:outlineLvl w:val="1"/>
    </w:pPr>
  </w:style>
  <w:style w:type="paragraph" w:styleId="1173">
    <w:name w:val="章标题"/>
    <w:next w:val="1071"/>
    <w:link w:val="10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1"/>
    <w:next w:val="1174"/>
    <w:link w:val="1071"/>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1"/>
    <w:next w:val="1175"/>
    <w:link w:val="1071"/>
    <w:qFormat/>
    <w:rPr>
      <w:rFonts w:ascii="Tahoma" w:hAnsi="Tahoma"/>
      <w:sz w:val="24"/>
      <w:szCs w:val="20"/>
    </w:rPr>
  </w:style>
  <w:style w:type="paragraph" w:styleId="1176">
    <w:name w:val="Char3 Char Char Char"/>
    <w:basedOn w:val="1071"/>
    <w:next w:val="1176"/>
    <w:link w:val="1071"/>
    <w:qFormat/>
    <w:rPr>
      <w:rFonts w:ascii="Tahoma" w:hAnsi="Tahoma"/>
      <w:sz w:val="24"/>
      <w:szCs w:val="20"/>
    </w:rPr>
  </w:style>
  <w:style w:type="paragraph" w:styleId="1177">
    <w:name w:val="font6"/>
    <w:basedOn w:val="1071"/>
    <w:next w:val="1177"/>
    <w:link w:val="1071"/>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1"/>
    <w:qFormat/>
    <w:pPr>
      <w:numPr>
        <w:numId w:val="3"/>
      </w:numPr>
    </w:pPr>
  </w:style>
  <w:style w:type="paragraph" w:styleId="1179">
    <w:name w:val="项目编号1"/>
    <w:basedOn w:val="1071"/>
    <w:next w:val="1179"/>
    <w:link w:val="1071"/>
    <w:qFormat/>
    <w:pPr>
      <w:numPr>
        <w:ilvl w:val="0"/>
        <w:numId w:val="2"/>
      </w:numPr>
      <w:spacing w:before="100" w:beforeAutospacing="1" w:after="100" w:afterAutospacing="1" w:line="360" w:lineRule="auto"/>
    </w:pPr>
    <w:rPr>
      <w:sz w:val="24"/>
    </w:rPr>
  </w:style>
  <w:style w:type="paragraph" w:styleId="1180">
    <w:name w:val="图中文字"/>
    <w:basedOn w:val="1071"/>
    <w:next w:val="1180"/>
    <w:link w:val="1071"/>
    <w:qFormat/>
    <w:pPr>
      <w:jc w:val="center"/>
      <w:spacing w:line="0" w:lineRule="atLeast"/>
    </w:pPr>
    <w:rPr>
      <w:sz w:val="24"/>
      <w:szCs w:val="20"/>
    </w:rPr>
  </w:style>
  <w:style w:type="paragraph" w:styleId="1181">
    <w:name w:val="xl46"/>
    <w:basedOn w:val="1071"/>
    <w:next w:val="1181"/>
    <w:link w:val="10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1"/>
    <w:next w:val="1182"/>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1"/>
    <w:next w:val="1183"/>
    <w:link w:val="1071"/>
    <w:qFormat/>
    <w:rPr>
      <w:rFonts w:ascii="Tahoma" w:hAnsi="Tahoma"/>
      <w:sz w:val="24"/>
      <w:szCs w:val="20"/>
    </w:rPr>
  </w:style>
  <w:style w:type="paragraph" w:styleId="1184">
    <w:name w:val="xl35"/>
    <w:basedOn w:val="1071"/>
    <w:next w:val="1184"/>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1"/>
    <w:next w:val="1185"/>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1"/>
    <w:next w:val="118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1"/>
    <w:next w:val="1187"/>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1"/>
    <w:next w:val="1188"/>
    <w:link w:val="1071"/>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1"/>
    <w:next w:val="1189"/>
    <w:link w:val="1071"/>
    <w:qFormat/>
    <w:pPr>
      <w:ind w:firstLine="200"/>
      <w:spacing w:line="360" w:lineRule="auto"/>
    </w:pPr>
    <w:rPr>
      <w:rFonts w:eastAsia="仿宋_GB2312"/>
      <w:sz w:val="24"/>
    </w:rPr>
  </w:style>
  <w:style w:type="paragraph" w:styleId="1190">
    <w:name w:val="xl38"/>
    <w:basedOn w:val="1071"/>
    <w:next w:val="119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1"/>
    <w:next w:val="1191"/>
    <w:link w:val="10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1"/>
    <w:next w:val="1192"/>
    <w:link w:val="1071"/>
    <w:qFormat/>
    <w:pPr>
      <w:ind w:left="360" w:hanging="360"/>
      <w:jc w:val="left"/>
      <w:widowControl/>
    </w:pPr>
    <w:rPr>
      <w:rFonts w:ascii="宋体" w:hAnsi="宋体" w:cs="宋体"/>
      <w:b/>
      <w:bCs/>
      <w:color w:val="000000"/>
      <w:sz w:val="18"/>
      <w:szCs w:val="18"/>
    </w:rPr>
  </w:style>
  <w:style w:type="paragraph" w:styleId="1193">
    <w:name w:val="正文列项_数字"/>
    <w:basedOn w:val="1071"/>
    <w:next w:val="1193"/>
    <w:link w:val="1071"/>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1"/>
    <w:next w:val="119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1"/>
    <w:next w:val="1195"/>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1"/>
    <w:next w:val="119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1"/>
    <w:next w:val="1197"/>
    <w:link w:val="1071"/>
    <w:qFormat/>
    <w:pPr>
      <w:jc w:val="left"/>
      <w:spacing w:before="100" w:beforeAutospacing="1" w:after="100" w:afterAutospacing="1"/>
      <w:widowControl/>
    </w:pPr>
    <w:rPr>
      <w:sz w:val="36"/>
      <w:szCs w:val="36"/>
    </w:rPr>
  </w:style>
  <w:style w:type="paragraph" w:styleId="1198">
    <w:name w:val="Char"/>
    <w:basedOn w:val="1071"/>
    <w:next w:val="1198"/>
    <w:link w:val="1071"/>
    <w:qFormat/>
    <w:pPr>
      <w:tabs>
        <w:tab w:val="left" w:pos="360" w:leader="none"/>
      </w:tabs>
    </w:pPr>
    <w:rPr>
      <w:sz w:val="24"/>
    </w:rPr>
  </w:style>
  <w:style w:type="paragraph" w:styleId="1199">
    <w:name w:val="Char Char Char Char Char Char Char Char Char Char Char Char Char Char Char Char"/>
    <w:basedOn w:val="1071"/>
    <w:next w:val="1199"/>
    <w:link w:val="1071"/>
    <w:qFormat/>
    <w:pPr>
      <w:jc w:val="center"/>
      <w:spacing w:after="160" w:line="240" w:lineRule="exact"/>
      <w:widowControl/>
    </w:pPr>
    <w:rPr>
      <w:rFonts w:ascii="宋体" w:hAnsi="宋体"/>
      <w:b/>
      <w:sz w:val="30"/>
      <w:szCs w:val="30"/>
      <w:lang w:eastAsia="en-US"/>
    </w:rPr>
  </w:style>
  <w:style w:type="paragraph" w:styleId="1200">
    <w:name w:val="xl45"/>
    <w:basedOn w:val="1071"/>
    <w:next w:val="1200"/>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1"/>
    <w:next w:val="1201"/>
    <w:link w:val="1071"/>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1"/>
    <w:qFormat/>
    <w:rPr>
      <w:rFonts w:ascii="Tahoma" w:hAnsi="Tahoma"/>
      <w:sz w:val="24"/>
    </w:rPr>
  </w:style>
  <w:style w:type="paragraph" w:styleId="1203">
    <w:name w:val="xl26"/>
    <w:basedOn w:val="1071"/>
    <w:next w:val="1203"/>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1"/>
    <w:next w:val="120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1"/>
    <w:next w:val="1205"/>
    <w:link w:val="10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1"/>
    <w:next w:val="1206"/>
    <w:link w:val="1071"/>
    <w:qFormat/>
    <w:pPr>
      <w:jc w:val="left"/>
    </w:pPr>
    <w:rPr>
      <w:rFonts w:ascii="宋体" w:hAnsi="宋体"/>
      <w:szCs w:val="20"/>
    </w:rPr>
  </w:style>
  <w:style w:type="paragraph" w:styleId="1207">
    <w:name w:val="Char1 Char Char Char1"/>
    <w:basedOn w:val="1071"/>
    <w:next w:val="1207"/>
    <w:link w:val="1071"/>
    <w:qFormat/>
    <w:rPr>
      <w:rFonts w:ascii="Tahoma" w:hAnsi="Tahoma" w:cs="仿宋_GB2312"/>
      <w:sz w:val="24"/>
      <w:szCs w:val="28"/>
    </w:rPr>
  </w:style>
  <w:style w:type="paragraph" w:styleId="1208">
    <w:name w:val="四级条标题"/>
    <w:basedOn w:val="1209"/>
    <w:next w:val="1071"/>
    <w:link w:val="1071"/>
    <w:qFormat/>
    <w:pPr>
      <w:numPr>
        <w:ilvl w:val="4"/>
      </w:numPr>
      <w:ind w:left="0" w:hanging="840"/>
      <w:tabs>
        <w:tab w:val="left" w:pos="360" w:leader="none"/>
        <w:tab w:val="left" w:pos="840" w:leader="none"/>
      </w:tabs>
      <w:outlineLvl w:val="4"/>
    </w:pPr>
  </w:style>
  <w:style w:type="paragraph" w:styleId="1209">
    <w:name w:val="三级条标题"/>
    <w:basedOn w:val="1171"/>
    <w:next w:val="1071"/>
    <w:link w:val="1071"/>
    <w:qFormat/>
    <w:pPr>
      <w:numPr>
        <w:ilvl w:val="3"/>
        <w:numId w:val="1"/>
      </w:numPr>
      <w:ind w:left="0" w:hanging="840"/>
      <w:tabs>
        <w:tab w:val="left" w:pos="360" w:leader="none"/>
        <w:tab w:val="left" w:pos="840" w:leader="none"/>
      </w:tabs>
      <w:outlineLvl w:val="3"/>
    </w:pPr>
  </w:style>
  <w:style w:type="paragraph" w:styleId="1210">
    <w:name w:val="??"/>
    <w:next w:val="1210"/>
    <w:link w:val="1071"/>
    <w:qFormat/>
    <w:pPr>
      <w:jc w:val="both"/>
      <w:widowControl w:val="off"/>
    </w:pPr>
    <w:rPr>
      <w:sz w:val="21"/>
      <w:lang w:val="en-US" w:eastAsia="en-US" w:bidi="ar-SA"/>
    </w:rPr>
  </w:style>
  <w:style w:type="paragraph" w:styleId="1211">
    <w:name w:val="样式 标题 2 + 宋体 五号 行距: 单倍行距"/>
    <w:basedOn w:val="1073"/>
    <w:next w:val="1211"/>
    <w:link w:val="10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1"/>
    <w:next w:val="1212"/>
    <w:link w:val="1071"/>
    <w:qFormat/>
    <w:pPr>
      <w:ind w:firstLine="420"/>
    </w:pPr>
    <w:rPr>
      <w:rFonts w:ascii="Calibri" w:hAnsi="Calibri"/>
      <w:szCs w:val="22"/>
    </w:rPr>
  </w:style>
  <w:style w:type="paragraph" w:styleId="1213">
    <w:name w:val="项目符号1"/>
    <w:basedOn w:val="1214"/>
    <w:next w:val="1213"/>
    <w:link w:val="1071"/>
    <w:qFormat/>
    <w:pPr>
      <w:ind w:left="-25" w:firstLine="0"/>
    </w:pPr>
  </w:style>
  <w:style w:type="paragraph" w:styleId="1214">
    <w:name w:val="正文文本样式"/>
    <w:basedOn w:val="1071"/>
    <w:next w:val="1214"/>
    <w:link w:val="1071"/>
    <w:qFormat/>
    <w:pPr>
      <w:ind w:firstLine="482"/>
      <w:spacing w:line="360" w:lineRule="auto"/>
    </w:pPr>
    <w:rPr>
      <w:rFonts w:cs="宋体"/>
      <w:sz w:val="24"/>
      <w:szCs w:val="20"/>
    </w:rPr>
  </w:style>
  <w:style w:type="paragraph" w:styleId="1215">
    <w:name w:val="xl27"/>
    <w:basedOn w:val="1071"/>
    <w:next w:val="121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1"/>
    <w:next w:val="1216"/>
    <w:link w:val="1071"/>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1"/>
    <w:link w:val="1071"/>
    <w:qFormat/>
    <w:pPr>
      <w:numPr>
        <w:ilvl w:val="5"/>
      </w:numPr>
      <w:ind w:left="0" w:hanging="840"/>
      <w:tabs>
        <w:tab w:val="left" w:pos="360" w:leader="none"/>
        <w:tab w:val="left" w:pos="840" w:leader="none"/>
      </w:tabs>
      <w:outlineLvl w:val="5"/>
    </w:pPr>
  </w:style>
  <w:style w:type="paragraph" w:styleId="1218">
    <w:name w:val="xl49"/>
    <w:basedOn w:val="1071"/>
    <w:next w:val="1218"/>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1"/>
    <w:next w:val="1219"/>
    <w:link w:val="1071"/>
    <w:qFormat/>
    <w:pPr>
      <w:spacing w:before="120" w:after="120" w:line="180" w:lineRule="auto"/>
    </w:pPr>
    <w:rPr>
      <w:rFonts w:ascii="Arial" w:hAnsi="Arial"/>
      <w:szCs w:val="20"/>
    </w:rPr>
  </w:style>
  <w:style w:type="paragraph" w:styleId="1220">
    <w:name w:val="xl33"/>
    <w:basedOn w:val="1071"/>
    <w:next w:val="122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1"/>
    <w:next w:val="122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1"/>
    <w:next w:val="1222"/>
    <w:link w:val="1071"/>
    <w:qFormat/>
    <w:rPr>
      <w:rFonts w:ascii="Tahoma" w:hAnsi="Tahoma"/>
      <w:sz w:val="24"/>
      <w:szCs w:val="20"/>
    </w:rPr>
  </w:style>
  <w:style w:type="paragraph" w:styleId="1223">
    <w:name w:val="xl44"/>
    <w:basedOn w:val="1071"/>
    <w:next w:val="1223"/>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1"/>
    <w:next w:val="1224"/>
    <w:link w:val="1071"/>
    <w:qFormat/>
    <w:pPr>
      <w:numPr>
        <w:ilvl w:val="0"/>
        <w:numId w:val="5"/>
      </w:numPr>
      <w:spacing w:before="120"/>
      <w:tabs>
        <w:tab w:val="left" w:pos="360" w:leader="none"/>
      </w:tabs>
    </w:pPr>
    <w:rPr>
      <w:rFonts w:ascii="宋体"/>
      <w:sz w:val="28"/>
      <w:szCs w:val="20"/>
    </w:rPr>
  </w:style>
  <w:style w:type="paragraph" w:styleId="1225">
    <w:name w:val="font9"/>
    <w:basedOn w:val="1071"/>
    <w:next w:val="1225"/>
    <w:link w:val="1071"/>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1"/>
    <w:next w:val="1226"/>
    <w:link w:val="1071"/>
    <w:qFormat/>
    <w:rPr>
      <w:rFonts w:ascii="Tahoma" w:hAnsi="Tahoma"/>
      <w:sz w:val="24"/>
      <w:szCs w:val="20"/>
    </w:rPr>
  </w:style>
  <w:style w:type="paragraph" w:styleId="1227">
    <w:name w:val="Char Char Char Char Char Char Char Char Char Char"/>
    <w:basedOn w:val="1071"/>
    <w:next w:val="1227"/>
    <w:link w:val="1071"/>
    <w:qFormat/>
  </w:style>
  <w:style w:type="paragraph" w:styleId="1228">
    <w:name w:val="Char Char1 Char Char Char Char Char Char Char Char"/>
    <w:basedOn w:val="1071"/>
    <w:next w:val="1228"/>
    <w:link w:val="1071"/>
    <w:qFormat/>
    <w:pPr>
      <w:jc w:val="left"/>
      <w:spacing w:after="160" w:line="240" w:lineRule="exact"/>
      <w:widowControl/>
    </w:pPr>
    <w:rPr>
      <w:rFonts w:ascii="Verdana" w:hAnsi="Verdana"/>
      <w:sz w:val="20"/>
      <w:szCs w:val="20"/>
      <w:lang w:eastAsia="en-US"/>
    </w:rPr>
  </w:style>
  <w:style w:type="paragraph" w:styleId="1229">
    <w:name w:val="Char1"/>
    <w:basedOn w:val="1071"/>
    <w:next w:val="1229"/>
    <w:link w:val="1071"/>
    <w:qFormat/>
    <w:pPr>
      <w:tabs>
        <w:tab w:val="left" w:pos="360" w:leader="none"/>
      </w:tabs>
    </w:pPr>
    <w:rPr>
      <w:sz w:val="24"/>
    </w:rPr>
  </w:style>
  <w:style w:type="paragraph" w:styleId="1230">
    <w:name w:val="正文列项_字母"/>
    <w:basedOn w:val="1071"/>
    <w:next w:val="1230"/>
    <w:link w:val="1071"/>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1"/>
    <w:next w:val="123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1"/>
    <w:next w:val="1232"/>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1"/>
    <w:next w:val="1233"/>
    <w:link w:val="1071"/>
    <w:qFormat/>
    <w:rPr>
      <w:rFonts w:ascii="Arial" w:hAnsi="Arial" w:cs="Arial"/>
      <w:szCs w:val="21"/>
    </w:rPr>
  </w:style>
  <w:style w:type="paragraph" w:styleId="1234">
    <w:name w:val="xl48"/>
    <w:basedOn w:val="1071"/>
    <w:next w:val="123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1"/>
    <w:next w:val="1235"/>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1"/>
    <w:next w:val="1236"/>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1"/>
    <w:next w:val="1237"/>
    <w:link w:val="1071"/>
    <w:qFormat/>
    <w:rPr>
      <w:rFonts w:ascii="Tahoma" w:hAnsi="Tahoma"/>
      <w:sz w:val="24"/>
      <w:szCs w:val="20"/>
    </w:rPr>
  </w:style>
  <w:style w:type="paragraph" w:styleId="1238">
    <w:name w:val="xl50"/>
    <w:basedOn w:val="1071"/>
    <w:next w:val="1238"/>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1"/>
    <w:next w:val="1239"/>
    <w:link w:val="1071"/>
    <w:qFormat/>
    <w:pPr>
      <w:jc w:val="left"/>
    </w:pPr>
    <w:rPr>
      <w:sz w:val="24"/>
    </w:rPr>
  </w:style>
  <w:style w:type="paragraph" w:styleId="1240">
    <w:name w:val="Char Char Char1"/>
    <w:basedOn w:val="1071"/>
    <w:next w:val="1240"/>
    <w:link w:val="1071"/>
    <w:qFormat/>
    <w:rPr>
      <w:rFonts w:ascii="Tahoma" w:hAnsi="Tahoma"/>
      <w:sz w:val="24"/>
      <w:szCs w:val="20"/>
    </w:rPr>
  </w:style>
  <w:style w:type="paragraph" w:styleId="1241">
    <w:name w:val="Char Char Char Char Char Char Char1"/>
    <w:basedOn w:val="1071"/>
    <w:next w:val="1241"/>
    <w:link w:val="1071"/>
    <w:qFormat/>
    <w:pPr>
      <w:ind w:firstLine="200"/>
      <w:spacing w:line="360" w:lineRule="auto"/>
    </w:pPr>
    <w:rPr>
      <w:rFonts w:eastAsia="仿宋_GB2312"/>
      <w:sz w:val="24"/>
    </w:rPr>
  </w:style>
  <w:style w:type="paragraph" w:styleId="1242">
    <w:name w:val="xl51"/>
    <w:basedOn w:val="1071"/>
    <w:next w:val="1242"/>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1"/>
    <w:qFormat/>
    <w:pPr>
      <w:jc w:val="center"/>
      <w:spacing w:line="360" w:lineRule="auto"/>
    </w:pPr>
    <w:rPr>
      <w:sz w:val="24"/>
    </w:rPr>
  </w:style>
  <w:style w:type="paragraph" w:styleId="1244">
    <w:name w:val="xl24"/>
    <w:basedOn w:val="1071"/>
    <w:next w:val="124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1"/>
    <w:next w:val="124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1"/>
    <w:next w:val="1246"/>
    <w:link w:val="1071"/>
    <w:qFormat/>
    <w:pPr>
      <w:jc w:val="left"/>
      <w:widowControl/>
    </w:pPr>
    <w:rPr>
      <w:rFonts w:ascii="楷体_GB2312" w:eastAsia="楷体_GB2312" w:cs="Arial"/>
      <w:sz w:val="24"/>
    </w:rPr>
  </w:style>
  <w:style w:type="paragraph" w:styleId="1247">
    <w:name w:val="xl34"/>
    <w:basedOn w:val="1071"/>
    <w:next w:val="1247"/>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1"/>
    <w:next w:val="1248"/>
    <w:link w:val="1071"/>
    <w:qFormat/>
    <w:rPr>
      <w:rFonts w:ascii="Tahoma" w:hAnsi="Tahoma"/>
      <w:sz w:val="24"/>
      <w:szCs w:val="20"/>
    </w:rPr>
  </w:style>
  <w:style w:type="paragraph" w:styleId="1249">
    <w:name w:val="Default"/>
    <w:next w:val="1249"/>
    <w:link w:val="1071"/>
    <w:qFormat/>
    <w:pPr>
      <w:widowControl w:val="off"/>
    </w:pPr>
    <w:rPr>
      <w:rFonts w:ascii="Symbol" w:hAnsi="Symbol" w:cs="Symbol"/>
      <w:color w:val="000000"/>
      <w:sz w:val="24"/>
      <w:szCs w:val="24"/>
      <w:lang w:val="en-US" w:eastAsia="zh-CN" w:bidi="ar-SA"/>
    </w:rPr>
  </w:style>
  <w:style w:type="paragraph" w:styleId="1250">
    <w:name w:val="列出段落1"/>
    <w:basedOn w:val="1071"/>
    <w:next w:val="1250"/>
    <w:link w:val="1071"/>
    <w:qFormat/>
    <w:pPr>
      <w:ind w:firstLine="420"/>
    </w:pPr>
    <w:rPr>
      <w:rFonts w:ascii="Calibri" w:hAnsi="Calibri"/>
      <w:szCs w:val="22"/>
    </w:rPr>
  </w:style>
  <w:style w:type="paragraph" w:styleId="1251">
    <w:name w:val="default"/>
    <w:basedOn w:val="1071"/>
    <w:next w:val="1251"/>
    <w:link w:val="1071"/>
    <w:qFormat/>
    <w:pPr>
      <w:jc w:val="left"/>
      <w:spacing w:before="100" w:beforeAutospacing="1" w:after="100" w:afterAutospacing="1"/>
      <w:widowControl/>
    </w:pPr>
    <w:rPr>
      <w:rFonts w:ascii="宋体" w:hAnsi="宋体" w:cs="宋体"/>
      <w:sz w:val="24"/>
    </w:rPr>
  </w:style>
  <w:style w:type="paragraph" w:styleId="1252">
    <w:name w:val="字元 字元1"/>
    <w:basedOn w:val="1071"/>
    <w:next w:val="1252"/>
    <w:link w:val="1071"/>
    <w:qFormat/>
    <w:rPr>
      <w:rFonts w:ascii="Tahoma" w:hAnsi="Tahoma"/>
      <w:sz w:val="24"/>
      <w:szCs w:val="20"/>
    </w:rPr>
  </w:style>
  <w:style w:type="paragraph" w:styleId="1253">
    <w:name w:val="_Style 160"/>
    <w:next w:val="1253"/>
    <w:link w:val="1071"/>
    <w:qFormat/>
    <w:rPr>
      <w:sz w:val="21"/>
      <w:szCs w:val="24"/>
      <w:lang w:val="en-US" w:eastAsia="zh-CN" w:bidi="ar-SA"/>
    </w:rPr>
  </w:style>
  <w:style w:type="paragraph" w:styleId="1254">
    <w:name w:val="项目编号3"/>
    <w:basedOn w:val="1214"/>
    <w:next w:val="1254"/>
    <w:link w:val="1071"/>
    <w:qFormat/>
    <w:pPr>
      <w:numPr>
        <w:ilvl w:val="0"/>
        <w:numId w:val="6"/>
      </w:numPr>
    </w:pPr>
  </w:style>
  <w:style w:type="paragraph" w:styleId="1255">
    <w:name w:val="Char21"/>
    <w:basedOn w:val="1071"/>
    <w:next w:val="1255"/>
    <w:link w:val="1071"/>
    <w:qFormat/>
    <w:rPr>
      <w:rFonts w:ascii="Tahoma" w:hAnsi="Tahoma"/>
      <w:sz w:val="24"/>
      <w:szCs w:val="20"/>
    </w:rPr>
  </w:style>
  <w:style w:type="paragraph" w:styleId="1256">
    <w:name w:val="表格文字"/>
    <w:basedOn w:val="1104"/>
    <w:next w:val="1256"/>
    <w:link w:val="1071"/>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1"/>
    <w:next w:val="1257"/>
    <w:link w:val="1071"/>
    <w:qFormat/>
    <w:rPr>
      <w:rFonts w:ascii="宋体" w:hAnsi="宋体" w:cs="Courier New"/>
      <w:sz w:val="32"/>
      <w:szCs w:val="32"/>
    </w:rPr>
  </w:style>
  <w:style w:type="paragraph" w:styleId="1258">
    <w:name w:val="正文文本样式 加粗"/>
    <w:basedOn w:val="1214"/>
    <w:next w:val="1258"/>
    <w:link w:val="1071"/>
    <w:qFormat/>
    <w:rPr>
      <w:b/>
    </w:rPr>
  </w:style>
  <w:style w:type="paragraph" w:styleId="1259">
    <w:name w:val="Char2 Char Char Char Char Char Char"/>
    <w:basedOn w:val="1071"/>
    <w:next w:val="1259"/>
    <w:link w:val="1071"/>
    <w:qFormat/>
    <w:pPr>
      <w:jc w:val="center"/>
      <w:spacing w:line="400" w:lineRule="exact"/>
      <w:widowControl/>
    </w:pPr>
  </w:style>
  <w:style w:type="paragraph" w:styleId="1260">
    <w:name w:val="Char Char4"/>
    <w:basedOn w:val="1071"/>
    <w:next w:val="1260"/>
    <w:link w:val="1071"/>
    <w:qFormat/>
    <w:pPr>
      <w:jc w:val="center"/>
      <w:spacing w:line="400" w:lineRule="exact"/>
      <w:widowControl/>
    </w:pPr>
  </w:style>
  <w:style w:type="paragraph" w:styleId="1261">
    <w:name w:val="Char3 Char Char Char1"/>
    <w:basedOn w:val="1071"/>
    <w:next w:val="1261"/>
    <w:link w:val="1071"/>
    <w:qFormat/>
    <w:rPr>
      <w:rFonts w:ascii="Tahoma" w:hAnsi="Tahoma"/>
      <w:sz w:val="24"/>
      <w:szCs w:val="20"/>
    </w:rPr>
  </w:style>
  <w:style w:type="paragraph" w:styleId="1262">
    <w:name w:val="无间隔"/>
    <w:next w:val="1262"/>
    <w:link w:val="1071"/>
    <w:qFormat/>
    <w:pPr>
      <w:jc w:val="both"/>
      <w:widowControl w:val="off"/>
    </w:pPr>
    <w:rPr>
      <w:sz w:val="21"/>
      <w:szCs w:val="24"/>
      <w:lang w:val="en-US" w:eastAsia="zh-CN" w:bidi="ar-SA"/>
    </w:rPr>
  </w:style>
  <w:style w:type="paragraph" w:styleId="1263">
    <w:name w:val="22222222222222"/>
    <w:basedOn w:val="1071"/>
    <w:next w:val="1263"/>
    <w:link w:val="1071"/>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1"/>
    <w:next w:val="1266"/>
    <w:link w:val="1071"/>
    <w:qFormat/>
    <w:pPr>
      <w:spacing w:after="50" w:line="360" w:lineRule="auto"/>
    </w:pPr>
    <w:rPr>
      <w:sz w:val="24"/>
    </w:rPr>
  </w:style>
  <w:style w:type="paragraph" w:styleId="1267">
    <w:name w:val="xl23"/>
    <w:basedOn w:val="1071"/>
    <w:next w:val="1267"/>
    <w:link w:val="1071"/>
    <w:qFormat/>
    <w:pPr>
      <w:spacing w:before="100" w:beforeAutospacing="1" w:after="100" w:afterAutospacing="1" w:line="360" w:lineRule="auto"/>
      <w:widowControl/>
    </w:pPr>
    <w:rPr>
      <w:sz w:val="24"/>
      <w:szCs w:val="20"/>
    </w:rPr>
  </w:style>
  <w:style w:type="paragraph" w:styleId="1268">
    <w:name w:val="正文表格"/>
    <w:basedOn w:val="1071"/>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1"/>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2"/>
    <w:next w:val="1272"/>
    <w:link w:val="1071"/>
    <w:qFormat/>
    <w:pPr>
      <w:jc w:val="left"/>
    </w:pPr>
    <w:rPr>
      <w:sz w:val="24"/>
      <w:szCs w:val="24"/>
    </w:rPr>
  </w:style>
  <w:style w:type="paragraph" w:styleId="1273">
    <w:name w:val="正文小标题"/>
    <w:basedOn w:val="1071"/>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1"/>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1"/>
    <w:next w:val="1071"/>
    <w:link w:val="1071"/>
    <w:qFormat/>
    <w:pPr>
      <w:numPr>
        <w:ilvl w:val="0"/>
        <w:numId w:val="7"/>
      </w:numPr>
      <w:spacing w:line="300" w:lineRule="auto"/>
    </w:pPr>
    <w:rPr>
      <w:rFonts w:ascii="宋体" w:hAnsi="Calibri"/>
      <w:sz w:val="24"/>
      <w:szCs w:val="21"/>
    </w:rPr>
  </w:style>
  <w:style w:type="paragraph" w:styleId="1280">
    <w:name w:val="正文须知-2级"/>
    <w:basedOn w:val="1071"/>
    <w:next w:val="1280"/>
    <w:link w:val="1071"/>
    <w:qFormat/>
    <w:pPr>
      <w:numPr>
        <w:ilvl w:val="1"/>
        <w:numId w:val="7"/>
      </w:numPr>
      <w:spacing w:line="300" w:lineRule="auto"/>
    </w:pPr>
    <w:rPr>
      <w:rFonts w:ascii="宋体" w:hAnsi="Calibri"/>
      <w:sz w:val="24"/>
      <w:szCs w:val="21"/>
    </w:rPr>
  </w:style>
  <w:style w:type="paragraph" w:styleId="1281">
    <w:name w:val="正文须知-3级"/>
    <w:basedOn w:val="1071"/>
    <w:next w:val="1281"/>
    <w:link w:val="1071"/>
    <w:qFormat/>
    <w:pPr>
      <w:numPr>
        <w:ilvl w:val="2"/>
        <w:numId w:val="7"/>
      </w:numPr>
      <w:ind w:hanging="355"/>
      <w:spacing w:line="300" w:lineRule="auto"/>
    </w:pPr>
    <w:rPr>
      <w:rFonts w:ascii="宋体" w:hAnsi="Calibri"/>
      <w:sz w:val="24"/>
      <w:szCs w:val="21"/>
    </w:rPr>
  </w:style>
  <w:style w:type="character" w:styleId="1282">
    <w:name w:val="纯文本 字符"/>
    <w:next w:val="1282"/>
    <w:link w:val="1071"/>
    <w:uiPriority w:val="99"/>
    <w:qFormat/>
    <w:rPr>
      <w:rFonts w:ascii="宋体" w:hAnsi="Courier New" w:eastAsia="宋体" w:cs="Times New Roman"/>
      <w:sz w:val="21"/>
      <w:szCs w:val="21"/>
      <w:lang w:val="en-US" w:eastAsia="zh-CN" w:bidi="ar-SA"/>
    </w:rPr>
  </w:style>
  <w:style w:type="paragraph" w:styleId="1283">
    <w:name w:val="表格1"/>
    <w:basedOn w:val="1071"/>
    <w:next w:val="1283"/>
    <w:link w:val="1071"/>
    <w:qFormat/>
    <w:pPr>
      <w:ind w:firstLine="480"/>
      <w:jc w:val="center"/>
    </w:pPr>
    <w:rPr>
      <w:sz w:val="24"/>
      <w:szCs w:val="20"/>
    </w:rPr>
  </w:style>
  <w:style w:type="character" w:styleId="1284">
    <w:name w:val="纯文本 字符1"/>
    <w:next w:val="1284"/>
    <w:link w:val="1071"/>
    <w:qFormat/>
    <w:rPr>
      <w:rFonts w:ascii="宋体" w:hAnsi="Courier New"/>
    </w:rPr>
  </w:style>
  <w:style w:type="character" w:styleId="1285">
    <w:name w:val="bjh-p"/>
    <w:next w:val="1285"/>
    <w:link w:val="1071"/>
    <w:qFormat/>
  </w:style>
  <w:style w:type="paragraph" w:styleId="1286">
    <w:name w:val="无标题条"/>
    <w:next w:val="1071"/>
    <w:link w:val="1071"/>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1"/>
    <w:next w:val="1288"/>
    <w:link w:val="1287"/>
    <w:qFormat/>
    <w:pPr>
      <w:ind w:firstLine="480"/>
      <w:spacing w:line="360" w:lineRule="auto"/>
    </w:pPr>
    <w:rPr>
      <w:rFonts w:ascii="宋体" w:hAnsi="宋体"/>
      <w:sz w:val="24"/>
      <w:lang w:val="en-GB"/>
    </w:rPr>
  </w:style>
  <w:style w:type="character" w:styleId="1289">
    <w:name w:val="标题 3 Char"/>
    <w:next w:val="1289"/>
    <w:link w:val="1071"/>
    <w:qFormat/>
    <w:rPr>
      <w:rFonts w:ascii="宋体" w:eastAsia="宋体"/>
      <w:b/>
      <w:sz w:val="24"/>
      <w:u w:val="single"/>
      <w:lang w:val="en-US" w:eastAsia="zh-CN" w:bidi="ar-SA"/>
    </w:rPr>
  </w:style>
  <w:style w:type="character" w:styleId="1290">
    <w:name w:val="正文缩进 Char"/>
    <w:next w:val="1290"/>
    <w:link w:val="1071"/>
    <w:qFormat/>
    <w:rPr>
      <w:rFonts w:ascii="宋体" w:eastAsia="宋体"/>
      <w:sz w:val="24"/>
      <w:szCs w:val="24"/>
      <w:lang w:val="en-US" w:eastAsia="zh-CN" w:bidi="ar-SA"/>
    </w:rPr>
  </w:style>
  <w:style w:type="character" w:styleId="1291">
    <w:name w:val="Char Char111"/>
    <w:next w:val="1291"/>
    <w:link w:val="1071"/>
    <w:qFormat/>
    <w:rPr>
      <w:rFonts w:ascii="宋体" w:eastAsia="宋体"/>
      <w:b/>
      <w:sz w:val="24"/>
      <w:u w:val="single"/>
      <w:lang w:val="en-US" w:eastAsia="zh-CN" w:bidi="ar-SA"/>
    </w:rPr>
  </w:style>
  <w:style w:type="character" w:styleId="1292">
    <w:name w:val="正文文本缩进 Char"/>
    <w:next w:val="1292"/>
    <w:link w:val="1071"/>
    <w:qFormat/>
    <w:rPr>
      <w:rFonts w:eastAsia="宋体"/>
      <w:sz w:val="24"/>
      <w:szCs w:val="24"/>
      <w:lang w:val="en-US" w:eastAsia="zh-CN" w:bidi="ar-SA"/>
    </w:rPr>
  </w:style>
  <w:style w:type="character" w:styleId="1293">
    <w:name w:val="列出段落 Char"/>
    <w:next w:val="1293"/>
    <w:link w:val="1071"/>
    <w:qFormat/>
    <w:rPr>
      <w:rFonts w:ascii="Calibri" w:hAnsi="Calibri" w:eastAsia="宋体"/>
      <w:sz w:val="21"/>
      <w:szCs w:val="22"/>
      <w:lang w:val="en-US" w:eastAsia="zh-CN" w:bidi="ar-SA"/>
    </w:rPr>
  </w:style>
  <w:style w:type="character" w:styleId="1294">
    <w:name w:val="页眉 Char"/>
    <w:next w:val="1294"/>
    <w:link w:val="1071"/>
    <w:qFormat/>
    <w:rPr>
      <w:rFonts w:eastAsia="宋体"/>
      <w:sz w:val="18"/>
      <w:szCs w:val="18"/>
      <w:lang w:val="en-US" w:eastAsia="zh-CN" w:bidi="ar-SA"/>
    </w:rPr>
  </w:style>
  <w:style w:type="character" w:styleId="1295">
    <w:name w:val="标题 2 Char"/>
    <w:next w:val="1295"/>
    <w:link w:val="1071"/>
    <w:qFormat/>
    <w:rPr>
      <w:rFonts w:ascii="Arial" w:hAnsi="Arial" w:eastAsia="黑体"/>
      <w:b/>
      <w:sz w:val="30"/>
      <w:lang w:val="en-US" w:eastAsia="zh-CN" w:bidi="ar-SA"/>
    </w:rPr>
  </w:style>
  <w:style w:type="paragraph" w:styleId="1296">
    <w:name w:val="字元 字元2"/>
    <w:basedOn w:val="1071"/>
    <w:next w:val="1296"/>
    <w:link w:val="1071"/>
    <w:qFormat/>
    <w:rPr>
      <w:rFonts w:ascii="Tahoma" w:hAnsi="Tahoma"/>
      <w:sz w:val="24"/>
      <w:szCs w:val="20"/>
    </w:rPr>
  </w:style>
  <w:style w:type="paragraph" w:styleId="1297">
    <w:name w:val="Char3 Char Char Char2"/>
    <w:basedOn w:val="1071"/>
    <w:next w:val="1297"/>
    <w:link w:val="1071"/>
    <w:qFormat/>
    <w:rPr>
      <w:rFonts w:ascii="Tahoma" w:hAnsi="Tahoma"/>
      <w:sz w:val="24"/>
      <w:szCs w:val="20"/>
    </w:rPr>
  </w:style>
  <w:style w:type="paragraph" w:styleId="1298">
    <w:name w:val="正文文本缩进2"/>
    <w:basedOn w:val="1071"/>
    <w:next w:val="1298"/>
    <w:link w:val="1071"/>
    <w:qFormat/>
    <w:pPr>
      <w:ind w:firstLine="480"/>
      <w:spacing w:line="480" w:lineRule="exact"/>
    </w:pPr>
    <w:rPr>
      <w:rFonts w:ascii="宋体" w:hAnsi="宋体"/>
      <w:sz w:val="24"/>
      <w:lang w:val="zh-CN" w:eastAsia="zh-CN"/>
    </w:rPr>
  </w:style>
  <w:style w:type="paragraph" w:styleId="1299">
    <w:name w:val="Char3"/>
    <w:basedOn w:val="1071"/>
    <w:next w:val="1299"/>
    <w:link w:val="1071"/>
    <w:qFormat/>
    <w:pPr>
      <w:tabs>
        <w:tab w:val="left" w:pos="360" w:leader="none"/>
      </w:tabs>
    </w:pPr>
    <w:rPr>
      <w:sz w:val="24"/>
    </w:rPr>
  </w:style>
  <w:style w:type="paragraph" w:styleId="1300">
    <w:name w:val="Char Char Char Char Char Char Char Char Char Char Char Char Char Char Char Char1"/>
    <w:basedOn w:val="1071"/>
    <w:next w:val="1300"/>
    <w:link w:val="1071"/>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1"/>
    <w:next w:val="1301"/>
    <w:link w:val="1071"/>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1"/>
    <w:next w:val="1302"/>
    <w:link w:val="1071"/>
    <w:qFormat/>
    <w:pPr>
      <w:ind w:firstLine="420"/>
    </w:pPr>
    <w:rPr>
      <w:rFonts w:ascii="Calibri" w:hAnsi="Calibri"/>
      <w:szCs w:val="22"/>
    </w:rPr>
  </w:style>
  <w:style w:type="paragraph" w:styleId="1303">
    <w:name w:val="Char Char Char1 Char2"/>
    <w:basedOn w:val="1071"/>
    <w:next w:val="1303"/>
    <w:link w:val="1071"/>
    <w:qFormat/>
    <w:rPr>
      <w:rFonts w:ascii="Tahoma" w:hAnsi="Tahoma"/>
      <w:sz w:val="24"/>
      <w:szCs w:val="20"/>
    </w:rPr>
  </w:style>
  <w:style w:type="paragraph" w:styleId="1304">
    <w:name w:val="Char Char Char2"/>
    <w:basedOn w:val="1071"/>
    <w:next w:val="1304"/>
    <w:link w:val="1071"/>
    <w:qFormat/>
    <w:rPr>
      <w:rFonts w:ascii="Tahoma" w:hAnsi="Tahoma"/>
      <w:sz w:val="24"/>
      <w:szCs w:val="20"/>
    </w:rPr>
  </w:style>
  <w:style w:type="paragraph" w:styleId="1305">
    <w:name w:val="Char Char Char Char Char Char Char2"/>
    <w:basedOn w:val="1071"/>
    <w:next w:val="1305"/>
    <w:link w:val="1071"/>
    <w:qFormat/>
    <w:pPr>
      <w:ind w:firstLine="200"/>
      <w:spacing w:line="360" w:lineRule="auto"/>
    </w:pPr>
    <w:rPr>
      <w:rFonts w:eastAsia="仿宋_GB2312"/>
      <w:sz w:val="24"/>
    </w:rPr>
  </w:style>
  <w:style w:type="paragraph" w:styleId="1306">
    <w:name w:val="正文缩进2"/>
    <w:basedOn w:val="1071"/>
    <w:next w:val="1306"/>
    <w:link w:val="1071"/>
    <w:qFormat/>
    <w:pPr>
      <w:ind w:firstLine="567"/>
      <w:spacing w:line="480" w:lineRule="exact"/>
      <w:widowControl/>
    </w:pPr>
    <w:rPr>
      <w:rFonts w:ascii="宋体"/>
      <w:color w:val="000000"/>
      <w:sz w:val="28"/>
      <w:szCs w:val="20"/>
      <w:lang w:val="zh-CN" w:eastAsia="zh-CN"/>
    </w:rPr>
  </w:style>
  <w:style w:type="paragraph" w:styleId="1307">
    <w:name w:val="Revision"/>
    <w:next w:val="1307"/>
    <w:link w:val="1071"/>
    <w:qFormat/>
    <w:rPr>
      <w:sz w:val="21"/>
      <w:szCs w:val="24"/>
      <w:lang w:val="en-US" w:eastAsia="zh-CN" w:bidi="ar-SA"/>
    </w:rPr>
  </w:style>
  <w:style w:type="paragraph" w:styleId="1308">
    <w:name w:val="Char22"/>
    <w:basedOn w:val="1071"/>
    <w:next w:val="1308"/>
    <w:link w:val="1071"/>
    <w:qFormat/>
    <w:rPr>
      <w:rFonts w:ascii="Tahoma" w:hAnsi="Tahoma"/>
      <w:sz w:val="24"/>
      <w:szCs w:val="20"/>
    </w:rPr>
  </w:style>
  <w:style w:type="paragraph" w:styleId="1309">
    <w:name w:val="Char Char Char Char Char Char Char Char Char Char2"/>
    <w:basedOn w:val="1071"/>
    <w:next w:val="1309"/>
    <w:link w:val="1071"/>
    <w:qFormat/>
    <w:rPr>
      <w:rFonts w:ascii="宋体" w:hAnsi="宋体" w:cs="Courier New"/>
      <w:sz w:val="32"/>
      <w:szCs w:val="32"/>
    </w:rPr>
  </w:style>
  <w:style w:type="paragraph" w:styleId="1310">
    <w:name w:val="Char2 Char Char Char Char Char Char1"/>
    <w:basedOn w:val="1071"/>
    <w:next w:val="1310"/>
    <w:link w:val="1071"/>
    <w:qFormat/>
    <w:pPr>
      <w:jc w:val="center"/>
      <w:spacing w:line="400" w:lineRule="exact"/>
      <w:widowControl/>
    </w:pPr>
  </w:style>
  <w:style w:type="character" w:styleId="1311">
    <w:name w:val="页脚 Char"/>
    <w:next w:val="1311"/>
    <w:link w:val="1071"/>
    <w:qFormat/>
    <w:rPr>
      <w:rFonts w:ascii="宋体" w:eastAsia="宋体"/>
      <w:sz w:val="18"/>
      <w:lang w:val="en-US" w:eastAsia="zh-CN" w:bidi="ar-SA"/>
    </w:rPr>
  </w:style>
  <w:style w:type="paragraph" w:styleId="1312">
    <w:name w:val="Char Char41"/>
    <w:basedOn w:val="1071"/>
    <w:next w:val="1312"/>
    <w:link w:val="1071"/>
    <w:qFormat/>
    <w:pPr>
      <w:jc w:val="center"/>
      <w:spacing w:line="400" w:lineRule="exact"/>
      <w:widowControl/>
    </w:pPr>
  </w:style>
  <w:style w:type="character" w:styleId="1313">
    <w:name w:val="批注文字 Char"/>
    <w:next w:val="1313"/>
    <w:link w:val="1071"/>
    <w:uiPriority w:val="99"/>
    <w:qFormat/>
    <w:rPr>
      <w:sz w:val="21"/>
      <w:szCs w:val="24"/>
    </w:rPr>
  </w:style>
  <w:style w:type="character" w:styleId="1314">
    <w:name w:val="标题 Char"/>
    <w:next w:val="1314"/>
    <w:link w:val="1071"/>
    <w:qFormat/>
    <w:rPr>
      <w:b/>
      <w:sz w:val="32"/>
    </w:rPr>
  </w:style>
  <w:style w:type="paragraph" w:styleId="1315">
    <w:name w:val="图例"/>
    <w:basedOn w:val="1071"/>
    <w:next w:val="1315"/>
    <w:link w:val="1071"/>
    <w:qFormat/>
    <w:pPr>
      <w:jc w:val="center"/>
      <w:spacing w:before="120" w:after="120" w:line="360" w:lineRule="auto"/>
    </w:pPr>
    <w:rPr>
      <w:rFonts w:eastAsia="仿宋_GB2312"/>
      <w:b/>
      <w:sz w:val="24"/>
      <w:szCs w:val="20"/>
    </w:rPr>
  </w:style>
  <w:style w:type="table" w:styleId="1316">
    <w:name w:val="Table Normal"/>
    <w:next w:val="1316"/>
    <w:link w:val="1071"/>
    <w:uiPriority w:val="2"/>
    <w:unhideWhenUsed/>
    <w:qFormat/>
    <w:pPr>
      <w:widowControl w:val="off"/>
    </w:pPr>
    <w:rPr>
      <w:rFonts w:ascii="Calibri" w:hAnsi="Calibri"/>
      <w:sz w:val="22"/>
      <w:szCs w:val="22"/>
      <w:lang w:val="en-US" w:eastAsia="en-US" w:bidi="ar-SA"/>
    </w:rPr>
    <w:tblPr/>
  </w:style>
  <w:style w:type="paragraph" w:styleId="1317">
    <w:name w:val="Table Paragraph"/>
    <w:basedOn w:val="1071"/>
    <w:next w:val="1317"/>
    <w:link w:val="1071"/>
    <w:uiPriority w:val="1"/>
    <w:qFormat/>
    <w:pPr>
      <w:jc w:val="left"/>
    </w:pPr>
    <w:rPr>
      <w:rFonts w:ascii="宋体" w:hAnsi="宋体" w:cs="宋体"/>
      <w:sz w:val="22"/>
      <w:szCs w:val="22"/>
      <w:lang w:eastAsia="en-US"/>
    </w:rPr>
  </w:style>
  <w:style w:type="paragraph" w:styleId="1318">
    <w:name w:val="成文日期"/>
    <w:basedOn w:val="1071"/>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1"/>
    <w:uiPriority w:val="99"/>
    <w:unhideWhenUsed/>
    <w:rPr>
      <w:sz w:val="21"/>
      <w:szCs w:val="24"/>
      <w:lang w:val="en-US" w:eastAsia="zh-CN" w:bidi="ar-SA"/>
    </w:rPr>
  </w:style>
  <w:style w:type="character" w:styleId="1321">
    <w:name w:val="正文缩进 字符"/>
    <w:next w:val="1321"/>
    <w:link w:val="1071"/>
    <w:uiPriority w:val="99"/>
    <w:qFormat/>
    <w:rPr>
      <w:rFonts w:ascii="宋体" w:hAnsi="Times New Roman" w:eastAsia="宋体" w:cs="Times New Roman"/>
      <w:sz w:val="24"/>
    </w:rPr>
  </w:style>
  <w:style w:type="character" w:styleId="1322">
    <w:name w:val="正文文本 字符"/>
    <w:next w:val="1322"/>
    <w:link w:val="1071"/>
    <w:qFormat/>
    <w:rPr>
      <w:rFonts w:ascii="宋体" w:hAnsi="宋体"/>
      <w:sz w:val="24"/>
      <w:szCs w:val="24"/>
    </w:rPr>
  </w:style>
  <w:style w:type="paragraph" w:styleId="1323">
    <w:name w:val="纯文本1"/>
    <w:next w:val="1124"/>
    <w:link w:val="1071"/>
    <w:qFormat/>
    <w:pPr>
      <w:jc w:val="both"/>
      <w:widowControl w:val="off"/>
    </w:pPr>
    <w:rPr>
      <w:rFonts w:ascii="宋体" w:hAnsi="宋体"/>
      <w:sz w:val="26"/>
      <w:szCs w:val="24"/>
      <w:lang w:val="en-US" w:eastAsia="zh-CN" w:bidi="ar-SA"/>
    </w:rPr>
  </w:style>
  <w:style w:type="paragraph" w:styleId="1324">
    <w:name w:val="AONormal"/>
    <w:next w:val="1324"/>
    <w:link w:val="1071"/>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样式"/>
    <w:next w:val="1325"/>
    <w:link w:val="1071"/>
    <w:qFormat/>
    <w:pPr>
      <w:widowControl w:val="off"/>
    </w:pPr>
    <w:rPr>
      <w:rFonts w:ascii="Calibri" w:hAnsi="Calibri"/>
      <w:sz w:val="24"/>
      <w:szCs w:val="24"/>
      <w:lang w:val="en-US" w:eastAsia="zh-CN" w:bidi="ar-SA"/>
    </w:rPr>
  </w:style>
  <w:style w:type="paragraph" w:styleId="1326">
    <w:name w:val="List Paragraph"/>
    <w:basedOn w:val="1071"/>
    <w:next w:val="1326"/>
    <w:link w:val="1071"/>
    <w:uiPriority w:val="34"/>
    <w:qFormat/>
    <w:pPr>
      <w:ind w:firstLine="420"/>
    </w:pPr>
  </w:style>
  <w:style w:type="character" w:styleId="1327">
    <w:name w:val="font41"/>
    <w:next w:val="1327"/>
    <w:link w:val="1071"/>
    <w:rPr>
      <w:rFonts w:hint="eastAsia" w:ascii="宋体" w:hAnsi="宋体" w:eastAsia="宋体" w:cs="宋体"/>
      <w:i w:val="0"/>
      <w:iCs w:val="0"/>
      <w:color w:val="000000"/>
      <w:sz w:val="22"/>
      <w:szCs w:val="22"/>
      <w:u w:val="none"/>
    </w:rPr>
  </w:style>
  <w:style w:type="character" w:styleId="1328">
    <w:name w:val="font01"/>
    <w:next w:val="1328"/>
    <w:link w:val="1071"/>
    <w:rPr>
      <w:rFonts w:ascii="Arial" w:hAnsi="Arial" w:cs="Arial"/>
      <w:i w:val="0"/>
      <w:iCs w:val="0"/>
      <w:color w:val="000000"/>
      <w:sz w:val="22"/>
      <w:szCs w:val="22"/>
      <w:u w:val="none"/>
    </w:rPr>
  </w:style>
  <w:style w:type="character" w:styleId="1329">
    <w:name w:val="font11"/>
    <w:next w:val="1329"/>
    <w:link w:val="1071"/>
    <w:rPr>
      <w:rFonts w:hint="eastAsia" w:ascii="宋体" w:hAnsi="宋体" w:eastAsia="宋体" w:cs="宋体"/>
      <w:i w:val="0"/>
      <w:iCs w:val="0"/>
      <w:color w:val="000000"/>
      <w:sz w:val="22"/>
      <w:szCs w:val="22"/>
      <w:u w:val="none"/>
    </w:rPr>
  </w:style>
  <w:style w:type="character" w:styleId="1330">
    <w:name w:val="16"/>
    <w:next w:val="1330"/>
    <w:link w:val="1071"/>
    <w:rPr>
      <w:rFonts w:hint="eastAsia" w:ascii="宋体" w:hAnsi="宋体" w:eastAsia="宋体" w:cs="宋体"/>
      <w:color w:val="000000"/>
      <w:sz w:val="22"/>
      <w:szCs w:val="22"/>
    </w:rPr>
  </w:style>
  <w:style w:type="character" w:styleId="1331">
    <w:name w:val="15"/>
    <w:next w:val="1331"/>
    <w:link w:val="1071"/>
    <w:qFormat/>
    <w:rPr>
      <w:rFonts w:ascii="Arial" w:hAnsi="Arial" w:cs="Arial"/>
      <w:color w:val="000000"/>
      <w:sz w:val="22"/>
      <w:szCs w:val="22"/>
    </w:rPr>
  </w:style>
  <w:style w:type="character" w:styleId="1332">
    <w:name w:val="17"/>
    <w:next w:val="1332"/>
    <w:link w:val="1071"/>
    <w:qFormat/>
    <w:rPr>
      <w:rFonts w:hint="eastAsia" w:ascii="宋体" w:hAnsi="宋体" w:eastAsia="宋体" w:cs="宋体"/>
      <w:color w:val="000000"/>
      <w:sz w:val="22"/>
      <w:szCs w:val="22"/>
    </w:r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5</cp:revision>
  <dcterms:created xsi:type="dcterms:W3CDTF">2026-01-23T17:32:00Z</dcterms:created>
  <dcterms:modified xsi:type="dcterms:W3CDTF">2026-04-02T05:29:07Z</dcterms:modified>
</cp:coreProperties>
</file>