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994CE">
      <w:pPr>
        <w:ind w:left="660"/>
        <w:rPr>
          <w:rFonts w:hint="eastAsia" w:ascii="楷体_GB2312" w:eastAsia="楷体_GB2312"/>
          <w:bCs/>
          <w:i w:val="0"/>
          <w:iCs w:val="0"/>
          <w:color w:val="auto"/>
          <w:sz w:val="30"/>
          <w:highlight w:val="none"/>
        </w:rPr>
      </w:pPr>
      <w:r>
        <w:rPr>
          <w:rFonts w:hint="eastAsia" w:ascii="楷体_GB2312" w:eastAsia="楷体_GB2312"/>
          <w:bCs/>
          <w:i w:val="0"/>
          <w:iCs w:val="0"/>
          <w:color w:val="auto"/>
          <w:sz w:val="30"/>
          <w:highlight w:val="none"/>
        </w:rPr>
        <w:t xml:space="preserve"> </w:t>
      </w:r>
    </w:p>
    <w:p w14:paraId="5920F98F">
      <w:pPr>
        <w:ind w:left="660"/>
        <w:rPr>
          <w:rFonts w:ascii="楷体_GB2312" w:eastAsia="楷体_GB2312"/>
          <w:bCs/>
          <w:i w:val="0"/>
          <w:iCs w:val="0"/>
          <w:color w:val="auto"/>
          <w:sz w:val="30"/>
          <w:highlight w:val="none"/>
        </w:rPr>
      </w:pPr>
    </w:p>
    <w:p w14:paraId="6CF60BF7">
      <w:pPr>
        <w:jc w:val="center"/>
        <w:rPr>
          <w:rFonts w:ascii="黑体" w:hAnsi="华文中宋" w:eastAsia="黑体"/>
          <w:bCs/>
          <w:i w:val="0"/>
          <w:iCs w:val="0"/>
          <w:color w:val="auto"/>
          <w:spacing w:val="20"/>
          <w:sz w:val="72"/>
          <w:szCs w:val="72"/>
          <w:highlight w:val="none"/>
        </w:rPr>
      </w:pPr>
      <w:r>
        <w:rPr>
          <w:rFonts w:hint="eastAsia" w:ascii="黑体" w:hAnsi="华文中宋" w:eastAsia="黑体"/>
          <w:bCs/>
          <w:i w:val="0"/>
          <w:iCs w:val="0"/>
          <w:color w:val="auto"/>
          <w:spacing w:val="20"/>
          <w:sz w:val="72"/>
          <w:szCs w:val="72"/>
          <w:highlight w:val="none"/>
        </w:rPr>
        <w:t>无锡市惠山区政府采购</w:t>
      </w:r>
    </w:p>
    <w:p w14:paraId="6D3BE0E1">
      <w:pPr>
        <w:rPr>
          <w:rFonts w:ascii="华文中宋" w:hAnsi="华文中宋" w:eastAsia="华文中宋"/>
          <w:bCs/>
          <w:i w:val="0"/>
          <w:iCs w:val="0"/>
          <w:color w:val="auto"/>
          <w:sz w:val="30"/>
          <w:highlight w:val="none"/>
        </w:rPr>
      </w:pPr>
    </w:p>
    <w:p w14:paraId="174AFCB3">
      <w:pPr>
        <w:rPr>
          <w:rFonts w:ascii="华文中宋" w:hAnsi="华文中宋" w:eastAsia="华文中宋"/>
          <w:bCs/>
          <w:i w:val="0"/>
          <w:iCs w:val="0"/>
          <w:color w:val="auto"/>
          <w:sz w:val="30"/>
          <w:highlight w:val="none"/>
        </w:rPr>
      </w:pPr>
    </w:p>
    <w:p w14:paraId="48965F8C">
      <w:pPr>
        <w:rPr>
          <w:rFonts w:ascii="华文中宋" w:hAnsi="华文中宋" w:eastAsia="华文中宋"/>
          <w:bCs/>
          <w:i w:val="0"/>
          <w:iCs w:val="0"/>
          <w:color w:val="auto"/>
          <w:sz w:val="30"/>
          <w:highlight w:val="none"/>
        </w:rPr>
      </w:pPr>
    </w:p>
    <w:p w14:paraId="56D00B84">
      <w:pPr>
        <w:jc w:val="center"/>
        <w:rPr>
          <w:rFonts w:ascii="黑体" w:hAnsi="华文中宋" w:eastAsia="黑体"/>
          <w:bCs/>
          <w:i w:val="0"/>
          <w:iCs w:val="0"/>
          <w:color w:val="auto"/>
          <w:spacing w:val="20"/>
          <w:sz w:val="48"/>
          <w:szCs w:val="48"/>
          <w:highlight w:val="none"/>
        </w:rPr>
      </w:pPr>
      <w:r>
        <w:rPr>
          <w:rFonts w:hint="eastAsia" w:ascii="黑体" w:hAnsi="华文中宋" w:eastAsia="黑体"/>
          <w:bCs/>
          <w:i w:val="0"/>
          <w:iCs w:val="0"/>
          <w:color w:val="auto"/>
          <w:spacing w:val="20"/>
          <w:sz w:val="48"/>
          <w:szCs w:val="48"/>
          <w:highlight w:val="none"/>
        </w:rPr>
        <w:t>公</w:t>
      </w:r>
      <w:r>
        <w:rPr>
          <w:rFonts w:ascii="黑体" w:hAnsi="华文中宋" w:eastAsia="黑体"/>
          <w:bCs/>
          <w:i w:val="0"/>
          <w:iCs w:val="0"/>
          <w:color w:val="auto"/>
          <w:spacing w:val="20"/>
          <w:sz w:val="48"/>
          <w:szCs w:val="48"/>
          <w:highlight w:val="none"/>
        </w:rPr>
        <w:t xml:space="preserve">   </w:t>
      </w:r>
      <w:r>
        <w:rPr>
          <w:rFonts w:hint="eastAsia" w:ascii="黑体" w:hAnsi="华文中宋" w:eastAsia="黑体"/>
          <w:bCs/>
          <w:i w:val="0"/>
          <w:iCs w:val="0"/>
          <w:color w:val="auto"/>
          <w:spacing w:val="20"/>
          <w:sz w:val="48"/>
          <w:szCs w:val="48"/>
          <w:highlight w:val="none"/>
        </w:rPr>
        <w:t>开</w:t>
      </w:r>
    </w:p>
    <w:p w14:paraId="217823F0">
      <w:pPr>
        <w:jc w:val="center"/>
        <w:rPr>
          <w:rFonts w:ascii="黑体" w:hAnsi="华文中宋" w:eastAsia="黑体"/>
          <w:bCs/>
          <w:i w:val="0"/>
          <w:iCs w:val="0"/>
          <w:color w:val="auto"/>
          <w:spacing w:val="20"/>
          <w:sz w:val="52"/>
          <w:szCs w:val="52"/>
          <w:highlight w:val="none"/>
        </w:rPr>
      </w:pPr>
      <w:r>
        <w:rPr>
          <w:i w:val="0"/>
          <w:iCs w:val="0"/>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NJWOks0BAACsAwAADgAAAAAAAAABACAAAAAkAQAA&#10;ZHJzL2Uyb0RvYy54bWxQSwUGAAAAAAYABgBZAQAAYwUAAAAA&#10;">
                <v:fill on="t" focussize="0,0"/>
                <v:stroke color="#000000" joinstyle="round"/>
                <v:imagedata o:title=""/>
                <o:lock v:ext="edit" aspectratio="f"/>
              </v:line>
            </w:pict>
          </mc:Fallback>
        </mc:AlternateContent>
      </w:r>
      <w:r>
        <w:rPr>
          <w:rFonts w:hint="eastAsia" w:ascii="黑体" w:hAnsi="华文中宋" w:eastAsia="黑体"/>
          <w:bCs/>
          <w:i w:val="0"/>
          <w:iCs w:val="0"/>
          <w:color w:val="auto"/>
          <w:spacing w:val="20"/>
          <w:sz w:val="52"/>
          <w:szCs w:val="52"/>
          <w:highlight w:val="none"/>
        </w:rPr>
        <w:t>招</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件</w:t>
      </w:r>
    </w:p>
    <w:p w14:paraId="6C824E72">
      <w:pP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 xml:space="preserve">   </w:t>
      </w:r>
    </w:p>
    <w:p w14:paraId="7D6EB698">
      <w:pPr>
        <w:tabs>
          <w:tab w:val="left" w:pos="9921"/>
        </w:tabs>
        <w:jc w:val="cente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（全流程电子化）</w:t>
      </w:r>
    </w:p>
    <w:p w14:paraId="7D5A5C52">
      <w:pPr>
        <w:jc w:val="left"/>
        <w:rPr>
          <w:rFonts w:ascii="华文中宋" w:hAnsi="华文中宋" w:eastAsia="华文中宋"/>
          <w:bCs/>
          <w:i w:val="0"/>
          <w:iCs w:val="0"/>
          <w:color w:val="auto"/>
          <w:sz w:val="30"/>
          <w:highlight w:val="none"/>
        </w:rPr>
      </w:pPr>
    </w:p>
    <w:p w14:paraId="06576FF4">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ab/>
      </w:r>
      <w:r>
        <w:rPr>
          <w:rFonts w:hint="eastAsia" w:ascii="黑体" w:hAnsi="华文中宋" w:eastAsia="黑体"/>
          <w:bCs/>
          <w:i w:val="0"/>
          <w:iCs w:val="0"/>
          <w:color w:val="auto"/>
          <w:sz w:val="30"/>
          <w:szCs w:val="30"/>
          <w:highlight w:val="none"/>
        </w:rPr>
        <w:t xml:space="preserve">  采购项目编号：</w:t>
      </w:r>
      <w:r>
        <w:rPr>
          <w:rFonts w:hint="eastAsia" w:ascii="黑体" w:hAnsi="华文中宋" w:eastAsia="黑体"/>
          <w:bCs/>
          <w:i w:val="0"/>
          <w:iCs w:val="0"/>
          <w:color w:val="auto"/>
          <w:sz w:val="30"/>
          <w:szCs w:val="30"/>
          <w:highlight w:val="none"/>
          <w:lang w:eastAsia="zh-CN"/>
        </w:rPr>
        <w:t>JSZC-320206-JZCG-G2026-0015</w:t>
      </w:r>
    </w:p>
    <w:p w14:paraId="536301D1">
      <w:pPr>
        <w:keepNext w:val="0"/>
        <w:keepLines w:val="0"/>
        <w:pageBreakBefore w:val="0"/>
        <w:widowControl w:val="0"/>
        <w:kinsoku/>
        <w:wordWrap/>
        <w:overflowPunct/>
        <w:topLinePunct w:val="0"/>
        <w:autoSpaceDE/>
        <w:autoSpaceDN/>
        <w:bidi w:val="0"/>
        <w:adjustRightInd/>
        <w:snapToGrid/>
        <w:spacing w:line="600" w:lineRule="exact"/>
        <w:ind w:left="4200" w:hanging="4200"/>
        <w:textAlignment w:val="auto"/>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采购项目名称：</w:t>
      </w:r>
      <w:r>
        <w:rPr>
          <w:rFonts w:hint="eastAsia" w:ascii="黑体" w:hAnsi="华文中宋" w:eastAsia="黑体" w:cs="Times New Roman"/>
          <w:bCs/>
          <w:i w:val="0"/>
          <w:iCs w:val="0"/>
          <w:color w:val="auto"/>
          <w:sz w:val="30"/>
          <w:szCs w:val="30"/>
          <w:highlight w:val="none"/>
          <w:lang w:eastAsia="zh-CN"/>
        </w:rPr>
        <w:t>无锡市惠山区人民医院网络安全设施建设项目</w:t>
      </w:r>
      <w:r>
        <w:rPr>
          <w:rFonts w:hint="eastAsia" w:ascii="黑体" w:hAnsi="华文中宋" w:eastAsia="黑体"/>
          <w:bCs/>
          <w:i w:val="0"/>
          <w:iCs w:val="0"/>
          <w:color w:val="auto"/>
          <w:sz w:val="30"/>
          <w:szCs w:val="30"/>
          <w:highlight w:val="none"/>
        </w:rPr>
        <w:t xml:space="preserve">      </w:t>
      </w:r>
    </w:p>
    <w:p w14:paraId="0007AF90">
      <w:pPr>
        <w:keepNext w:val="0"/>
        <w:keepLines w:val="0"/>
        <w:pageBreakBefore w:val="0"/>
        <w:widowControl w:val="0"/>
        <w:kinsoku/>
        <w:wordWrap/>
        <w:overflowPunct/>
        <w:topLinePunct w:val="0"/>
        <w:autoSpaceDE/>
        <w:autoSpaceDN/>
        <w:bidi w:val="0"/>
        <w:adjustRightInd/>
        <w:snapToGrid/>
        <w:spacing w:line="600" w:lineRule="exact"/>
        <w:ind w:left="2098" w:hanging="1800"/>
        <w:textAlignment w:val="auto"/>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lang w:val="en-US" w:eastAsia="zh-CN"/>
        </w:rPr>
        <w:t xml:space="preserve">         </w:t>
      </w:r>
      <w:r>
        <w:rPr>
          <w:rFonts w:hint="eastAsia" w:ascii="黑体" w:hAnsi="华文中宋" w:eastAsia="黑体"/>
          <w:bCs/>
          <w:i w:val="0"/>
          <w:iCs w:val="0"/>
          <w:color w:val="auto"/>
          <w:sz w:val="30"/>
          <w:szCs w:val="30"/>
          <w:highlight w:val="none"/>
        </w:rPr>
        <w:t>集中采购机构</w:t>
      </w:r>
      <w:r>
        <w:rPr>
          <w:rFonts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无锡市惠山区政府采购中心</w:t>
      </w:r>
    </w:p>
    <w:p w14:paraId="5233D220">
      <w:pPr>
        <w:rPr>
          <w:rFonts w:ascii="华文中宋" w:hAnsi="华文中宋" w:eastAsia="华文中宋"/>
          <w:bCs/>
          <w:i w:val="0"/>
          <w:iCs w:val="0"/>
          <w:color w:val="auto"/>
          <w:sz w:val="30"/>
          <w:highlight w:val="none"/>
        </w:rPr>
      </w:pPr>
    </w:p>
    <w:p w14:paraId="4E7FF0BC">
      <w:pPr>
        <w:rPr>
          <w:rFonts w:ascii="华文中宋" w:hAnsi="华文中宋" w:eastAsia="华文中宋"/>
          <w:bCs/>
          <w:i w:val="0"/>
          <w:iCs w:val="0"/>
          <w:color w:val="auto"/>
          <w:sz w:val="30"/>
          <w:highlight w:val="none"/>
        </w:rPr>
      </w:pPr>
    </w:p>
    <w:p w14:paraId="7E98028C">
      <w:pPr>
        <w:rPr>
          <w:rFonts w:hint="eastAsia" w:ascii="华文中宋" w:hAnsi="华文中宋" w:eastAsia="华文中宋"/>
          <w:bCs/>
          <w:i w:val="0"/>
          <w:iCs w:val="0"/>
          <w:color w:val="auto"/>
          <w:sz w:val="30"/>
          <w:highlight w:val="none"/>
        </w:rPr>
      </w:pPr>
    </w:p>
    <w:p w14:paraId="0A56BA7C">
      <w:pPr>
        <w:rPr>
          <w:rFonts w:ascii="华文中宋" w:hAnsi="华文中宋" w:eastAsia="华文中宋"/>
          <w:bCs/>
          <w:i w:val="0"/>
          <w:iCs w:val="0"/>
          <w:color w:val="auto"/>
          <w:sz w:val="30"/>
          <w:highlight w:val="none"/>
        </w:rPr>
      </w:pPr>
    </w:p>
    <w:p w14:paraId="4E85487D">
      <w:pPr>
        <w:rPr>
          <w:rFonts w:ascii="华文中宋" w:hAnsi="华文中宋" w:eastAsia="华文中宋"/>
          <w:bCs/>
          <w:i w:val="0"/>
          <w:iCs w:val="0"/>
          <w:color w:val="auto"/>
          <w:sz w:val="30"/>
          <w:highlight w:val="none"/>
        </w:rPr>
      </w:pPr>
    </w:p>
    <w:p w14:paraId="6EC27DFB">
      <w:pPr>
        <w:jc w:val="center"/>
        <w:rPr>
          <w:rFonts w:ascii="黑体" w:hAnsi="华文中宋" w:eastAsia="黑体"/>
          <w:bCs/>
          <w:i w:val="0"/>
          <w:iCs w:val="0"/>
          <w:color w:val="auto"/>
          <w:sz w:val="44"/>
          <w:szCs w:val="44"/>
          <w:highlight w:val="none"/>
        </w:rPr>
      </w:pPr>
      <w:r>
        <w:rPr>
          <w:rFonts w:hint="eastAsia" w:ascii="黑体" w:hAnsi="华文中宋" w:eastAsia="黑体"/>
          <w:bCs/>
          <w:i w:val="0"/>
          <w:iCs w:val="0"/>
          <w:color w:val="auto"/>
          <w:sz w:val="44"/>
          <w:szCs w:val="44"/>
          <w:highlight w:val="none"/>
        </w:rPr>
        <w:t>二○二</w:t>
      </w:r>
      <w:r>
        <w:rPr>
          <w:rFonts w:hint="eastAsia" w:ascii="黑体" w:hAnsi="华文中宋" w:eastAsia="黑体"/>
          <w:bCs/>
          <w:i w:val="0"/>
          <w:iCs w:val="0"/>
          <w:color w:val="auto"/>
          <w:sz w:val="44"/>
          <w:szCs w:val="44"/>
          <w:highlight w:val="none"/>
          <w:lang w:eastAsia="zh-CN"/>
        </w:rPr>
        <w:t>六</w:t>
      </w:r>
      <w:r>
        <w:rPr>
          <w:rFonts w:hint="eastAsia" w:ascii="黑体" w:hAnsi="华文中宋" w:eastAsia="黑体"/>
          <w:bCs/>
          <w:i w:val="0"/>
          <w:iCs w:val="0"/>
          <w:color w:val="auto"/>
          <w:sz w:val="44"/>
          <w:szCs w:val="44"/>
          <w:highlight w:val="none"/>
        </w:rPr>
        <w:t>年</w:t>
      </w:r>
      <w:r>
        <w:rPr>
          <w:rFonts w:hint="eastAsia" w:ascii="黑体" w:hAnsi="华文中宋" w:eastAsia="黑体"/>
          <w:bCs/>
          <w:i w:val="0"/>
          <w:iCs w:val="0"/>
          <w:color w:val="auto"/>
          <w:sz w:val="44"/>
          <w:szCs w:val="44"/>
          <w:highlight w:val="none"/>
          <w:lang w:eastAsia="zh-CN"/>
        </w:rPr>
        <w:t>三</w:t>
      </w:r>
      <w:r>
        <w:rPr>
          <w:rFonts w:hint="eastAsia" w:ascii="黑体" w:hAnsi="华文中宋" w:eastAsia="黑体"/>
          <w:bCs/>
          <w:i w:val="0"/>
          <w:iCs w:val="0"/>
          <w:color w:val="auto"/>
          <w:sz w:val="44"/>
          <w:szCs w:val="44"/>
          <w:highlight w:val="none"/>
        </w:rPr>
        <w:t>月</w:t>
      </w:r>
    </w:p>
    <w:p w14:paraId="77E7597B">
      <w:pPr>
        <w:jc w:val="center"/>
        <w:rPr>
          <w:rFonts w:ascii="黑体" w:eastAsia="黑体"/>
          <w:bCs/>
          <w:i w:val="0"/>
          <w:iCs w:val="0"/>
          <w:color w:val="auto"/>
          <w:sz w:val="44"/>
          <w:highlight w:val="none"/>
        </w:rPr>
      </w:pPr>
    </w:p>
    <w:p w14:paraId="2C5C7547">
      <w:pPr>
        <w:rPr>
          <w:rFonts w:ascii="华文新魏" w:eastAsia="华文新魏"/>
          <w:bCs/>
          <w:i w:val="0"/>
          <w:iCs w:val="0"/>
          <w:color w:val="auto"/>
          <w:sz w:val="44"/>
          <w:highlight w:val="none"/>
        </w:rPr>
      </w:pPr>
    </w:p>
    <w:p w14:paraId="71C27321">
      <w:pPr>
        <w:rPr>
          <w:rStyle w:val="235"/>
          <w:rFonts w:eastAsia="黑体"/>
          <w:bCs/>
          <w:i w:val="0"/>
          <w:iCs w:val="0"/>
          <w:color w:val="auto"/>
          <w:sz w:val="48"/>
          <w:highlight w:val="none"/>
        </w:rPr>
      </w:pPr>
      <w:r>
        <w:rPr>
          <w:rStyle w:val="235"/>
          <w:rFonts w:eastAsia="黑体"/>
          <w:bCs/>
          <w:i w:val="0"/>
          <w:iCs w:val="0"/>
          <w:color w:val="auto"/>
          <w:sz w:val="48"/>
          <w:highlight w:val="none"/>
        </w:rPr>
        <w:t xml:space="preserve"> </w:t>
      </w:r>
    </w:p>
    <w:p w14:paraId="3F459B5B">
      <w:pPr>
        <w:pageBreakBefore/>
        <w:jc w:val="center"/>
        <w:rPr>
          <w:rStyle w:val="235"/>
          <w:rFonts w:eastAsia="黑体"/>
          <w:bCs/>
          <w:i w:val="0"/>
          <w:iCs w:val="0"/>
          <w:color w:val="auto"/>
          <w:sz w:val="48"/>
          <w:highlight w:val="none"/>
        </w:rPr>
      </w:pPr>
      <w:r>
        <w:rPr>
          <w:rStyle w:val="235"/>
          <w:rFonts w:hint="eastAsia" w:eastAsia="黑体"/>
          <w:bCs/>
          <w:i w:val="0"/>
          <w:iCs w:val="0"/>
          <w:color w:val="auto"/>
          <w:sz w:val="48"/>
          <w:highlight w:val="none"/>
        </w:rPr>
        <w:t>目</w:t>
      </w:r>
      <w:r>
        <w:rPr>
          <w:rStyle w:val="235"/>
          <w:rFonts w:eastAsia="黑体"/>
          <w:bCs/>
          <w:i w:val="0"/>
          <w:iCs w:val="0"/>
          <w:color w:val="auto"/>
          <w:sz w:val="48"/>
          <w:highlight w:val="none"/>
        </w:rPr>
        <w:t xml:space="preserve">     </w:t>
      </w:r>
      <w:r>
        <w:rPr>
          <w:rStyle w:val="235"/>
          <w:rFonts w:hint="eastAsia" w:eastAsia="黑体"/>
          <w:bCs/>
          <w:i w:val="0"/>
          <w:iCs w:val="0"/>
          <w:color w:val="auto"/>
          <w:sz w:val="48"/>
          <w:highlight w:val="none"/>
        </w:rPr>
        <w:t>录</w:t>
      </w:r>
    </w:p>
    <w:p w14:paraId="20DB1218">
      <w:pPr>
        <w:jc w:val="center"/>
        <w:rPr>
          <w:rFonts w:hint="eastAsia" w:ascii="黑体" w:eastAsia="黑体"/>
          <w:bCs/>
          <w:i w:val="0"/>
          <w:iCs w:val="0"/>
          <w:color w:val="auto"/>
          <w:sz w:val="30"/>
          <w:highlight w:val="none"/>
        </w:rPr>
      </w:pPr>
    </w:p>
    <w:p w14:paraId="4166EEC7">
      <w:pPr>
        <w:jc w:val="center"/>
        <w:rPr>
          <w:rFonts w:hint="eastAsia" w:ascii="黑体" w:eastAsia="黑体"/>
          <w:bCs/>
          <w:i w:val="0"/>
          <w:iCs w:val="0"/>
          <w:color w:val="auto"/>
          <w:sz w:val="30"/>
          <w:highlight w:val="none"/>
        </w:rPr>
      </w:pPr>
    </w:p>
    <w:p w14:paraId="2C8BC231">
      <w:pPr>
        <w:jc w:val="center"/>
        <w:rPr>
          <w:rFonts w:hint="eastAsia" w:ascii="黑体" w:eastAsia="黑体"/>
          <w:bCs/>
          <w:i w:val="0"/>
          <w:iCs w:val="0"/>
          <w:color w:val="auto"/>
          <w:sz w:val="30"/>
          <w:highlight w:val="none"/>
        </w:rPr>
      </w:pPr>
    </w:p>
    <w:p w14:paraId="06EC0BF3">
      <w:pPr>
        <w:jc w:val="center"/>
        <w:rPr>
          <w:rFonts w:ascii="黑体" w:eastAsia="黑体"/>
          <w:bCs/>
          <w:i w:val="0"/>
          <w:iCs w:val="0"/>
          <w:color w:val="auto"/>
          <w:sz w:val="30"/>
          <w:highlight w:val="none"/>
        </w:rPr>
      </w:pPr>
    </w:p>
    <w:p w14:paraId="060118DE">
      <w:pPr>
        <w:pStyle w:val="218"/>
        <w:tabs>
          <w:tab w:val="right" w:leader="dot" w:pos="9911"/>
        </w:tabs>
        <w:spacing w:line="720" w:lineRule="auto"/>
        <w:ind w:firstLine="480"/>
        <w:rPr>
          <w:rFonts w:ascii="宋体" w:hAnsi="宋体"/>
          <w:i w:val="0"/>
          <w:iCs w:val="0"/>
          <w:color w:val="auto"/>
          <w:sz w:val="32"/>
          <w:szCs w:val="32"/>
          <w:highlight w:val="none"/>
        </w:rPr>
      </w:pPr>
      <w:r>
        <w:rPr>
          <w:rFonts w:ascii="宋体" w:hAnsi="宋体"/>
          <w:bCs/>
          <w:i w:val="0"/>
          <w:iCs w:val="0"/>
          <w:color w:val="auto"/>
          <w:sz w:val="32"/>
          <w:szCs w:val="32"/>
          <w:highlight w:val="none"/>
        </w:rPr>
        <w:fldChar w:fldCharType="begin"/>
      </w:r>
      <w:r>
        <w:rPr>
          <w:rFonts w:ascii="宋体" w:hAnsi="宋体"/>
          <w:bCs/>
          <w:i w:val="0"/>
          <w:iCs w:val="0"/>
          <w:color w:val="auto"/>
          <w:sz w:val="32"/>
          <w:szCs w:val="32"/>
          <w:highlight w:val="none"/>
        </w:rPr>
        <w:instrText xml:space="preserve"> TOC \o "1-1" \h \z \u </w:instrText>
      </w:r>
      <w:r>
        <w:rPr>
          <w:rFonts w:ascii="宋体" w:hAnsi="宋体"/>
          <w:bCs/>
          <w:i w:val="0"/>
          <w:iCs w:val="0"/>
          <w:color w:val="auto"/>
          <w:sz w:val="32"/>
          <w:szCs w:val="32"/>
          <w:highlight w:val="none"/>
        </w:rPr>
        <w:fldChar w:fldCharType="separate"/>
      </w: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"_Toc61444671"</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一．投标邀请函</w:t>
      </w:r>
      <w:r>
        <w:rPr>
          <w:rFonts w:ascii="宋体" w:hAnsi="宋体"/>
          <w:i w:val="0"/>
          <w:iCs w:val="0"/>
          <w:color w:val="auto"/>
          <w:sz w:val="32"/>
          <w:szCs w:val="32"/>
          <w:highlight w:val="none"/>
        </w:rPr>
        <w:tab/>
      </w:r>
      <w:r>
        <w:rPr>
          <w:rFonts w:ascii="宋体" w:hAnsi="宋体"/>
          <w:i w:val="0"/>
          <w:iCs w:val="0"/>
          <w:color w:val="auto"/>
          <w:sz w:val="32"/>
          <w:szCs w:val="32"/>
          <w:highlight w:val="none"/>
        </w:rPr>
        <w:fldChar w:fldCharType="begin"/>
      </w:r>
      <w:r>
        <w:rPr>
          <w:rFonts w:ascii="宋体" w:hAnsi="宋体"/>
          <w:i w:val="0"/>
          <w:iCs w:val="0"/>
          <w:color w:val="auto"/>
          <w:sz w:val="32"/>
          <w:szCs w:val="32"/>
          <w:highlight w:val="none"/>
        </w:rPr>
        <w:instrText xml:space="preserve"> PAGEREF _Toc61444671 \h </w:instrText>
      </w:r>
      <w:r>
        <w:rPr>
          <w:rFonts w:ascii="宋体" w:hAnsi="宋体"/>
          <w:i w:val="0"/>
          <w:iCs w:val="0"/>
          <w:color w:val="auto"/>
          <w:sz w:val="32"/>
          <w:szCs w:val="32"/>
          <w:highlight w:val="none"/>
        </w:rPr>
        <w:fldChar w:fldCharType="separate"/>
      </w:r>
      <w:r>
        <w:rPr>
          <w:rFonts w:ascii="宋体" w:hAnsi="宋体"/>
          <w:i w:val="0"/>
          <w:iCs w:val="0"/>
          <w:color w:val="auto"/>
          <w:sz w:val="32"/>
          <w:szCs w:val="32"/>
          <w:highlight w:val="none"/>
        </w:rPr>
        <w:t>2</w:t>
      </w:r>
      <w:r>
        <w:rPr>
          <w:rFonts w:ascii="宋体" w:hAnsi="宋体"/>
          <w:i w:val="0"/>
          <w:iCs w:val="0"/>
          <w:color w:val="auto"/>
          <w:sz w:val="32"/>
          <w:szCs w:val="32"/>
          <w:highlight w:val="none"/>
        </w:rPr>
        <w:fldChar w:fldCharType="end"/>
      </w:r>
      <w:r>
        <w:rPr>
          <w:rStyle w:val="237"/>
          <w:rFonts w:ascii="宋体" w:hAnsi="宋体"/>
          <w:i w:val="0"/>
          <w:iCs w:val="0"/>
          <w:color w:val="auto"/>
          <w:sz w:val="32"/>
          <w:szCs w:val="32"/>
          <w:highlight w:val="none"/>
        </w:rPr>
        <w:fldChar w:fldCharType="end"/>
      </w:r>
    </w:p>
    <w:p w14:paraId="0C83014C">
      <w:pPr>
        <w:pStyle w:val="218"/>
        <w:tabs>
          <w:tab w:val="right" w:leader="dot" w:pos="9911"/>
        </w:tabs>
        <w:spacing w:line="720" w:lineRule="auto"/>
        <w:ind w:firstLine="480"/>
        <w:rPr>
          <w:rFonts w:ascii="宋体" w:hAnsi="宋体"/>
          <w:i w:val="0"/>
          <w:iCs w:val="0"/>
          <w:color w:val="auto"/>
          <w:sz w:val="32"/>
          <w:szCs w:val="32"/>
          <w:highlight w:val="none"/>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"_Toc61444672"</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二．投标人须知</w:t>
      </w:r>
      <w:r>
        <w:rPr>
          <w:rFonts w:ascii="宋体" w:hAnsi="宋体"/>
          <w:i w:val="0"/>
          <w:iCs w:val="0"/>
          <w:color w:val="auto"/>
          <w:sz w:val="32"/>
          <w:szCs w:val="32"/>
          <w:highlight w:val="none"/>
        </w:rPr>
        <w:tab/>
      </w:r>
      <w:r>
        <w:rPr>
          <w:rFonts w:hint="eastAsia" w:ascii="宋体" w:hAnsi="宋体"/>
          <w:i w:val="0"/>
          <w:iCs w:val="0"/>
          <w:color w:val="auto"/>
          <w:sz w:val="32"/>
          <w:szCs w:val="32"/>
          <w:highlight w:val="none"/>
        </w:rPr>
        <w:t>5</w:t>
      </w:r>
      <w:r>
        <w:rPr>
          <w:rStyle w:val="237"/>
          <w:rFonts w:ascii="宋体" w:hAnsi="宋体"/>
          <w:i w:val="0"/>
          <w:iCs w:val="0"/>
          <w:color w:val="auto"/>
          <w:sz w:val="32"/>
          <w:szCs w:val="32"/>
          <w:highlight w:val="none"/>
        </w:rPr>
        <w:fldChar w:fldCharType="end"/>
      </w:r>
    </w:p>
    <w:p w14:paraId="5C0883FC">
      <w:pPr>
        <w:pStyle w:val="218"/>
        <w:tabs>
          <w:tab w:val="right" w:leader="dot" w:pos="9911"/>
        </w:tabs>
        <w:spacing w:line="720" w:lineRule="auto"/>
        <w:ind w:firstLine="480"/>
        <w:rPr>
          <w:rFonts w:ascii="宋体" w:hAnsi="宋体"/>
          <w:i w:val="0"/>
          <w:iCs w:val="0"/>
          <w:color w:val="auto"/>
          <w:sz w:val="32"/>
          <w:szCs w:val="32"/>
          <w:highlight w:val="none"/>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"_Toc61444673"</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三．项目</w:t>
      </w:r>
      <w:r>
        <w:rPr>
          <w:rStyle w:val="237"/>
          <w:rFonts w:hint="eastAsia" w:ascii="宋体" w:hAnsi="宋体"/>
          <w:i w:val="0"/>
          <w:iCs w:val="0"/>
          <w:color w:val="auto"/>
          <w:sz w:val="32"/>
          <w:szCs w:val="32"/>
          <w:highlight w:val="none"/>
          <w:lang w:eastAsia="zh-CN"/>
        </w:rPr>
        <w:t>需求</w:t>
      </w:r>
      <w:r>
        <w:rPr>
          <w:rFonts w:ascii="宋体" w:hAnsi="宋体"/>
          <w:i w:val="0"/>
          <w:iCs w:val="0"/>
          <w:color w:val="auto"/>
          <w:sz w:val="32"/>
          <w:szCs w:val="32"/>
          <w:highlight w:val="none"/>
        </w:rPr>
        <w:tab/>
      </w:r>
      <w:r>
        <w:rPr>
          <w:rFonts w:hint="eastAsia" w:ascii="宋体" w:hAnsi="宋体"/>
          <w:i w:val="0"/>
          <w:iCs w:val="0"/>
          <w:color w:val="auto"/>
          <w:sz w:val="32"/>
          <w:szCs w:val="32"/>
          <w:highlight w:val="none"/>
        </w:rPr>
        <w:t>1</w:t>
      </w:r>
      <w:r>
        <w:rPr>
          <w:rFonts w:hint="eastAsia" w:ascii="宋体" w:hAnsi="宋体"/>
          <w:i w:val="0"/>
          <w:iCs w:val="0"/>
          <w:color w:val="auto"/>
          <w:sz w:val="32"/>
          <w:szCs w:val="32"/>
          <w:highlight w:val="none"/>
          <w:lang w:val="en-US" w:eastAsia="zh-CN"/>
        </w:rPr>
        <w:t>9</w:t>
      </w:r>
      <w:r>
        <w:rPr>
          <w:rStyle w:val="237"/>
          <w:rFonts w:ascii="宋体" w:hAnsi="宋体"/>
          <w:i w:val="0"/>
          <w:iCs w:val="0"/>
          <w:color w:val="auto"/>
          <w:sz w:val="32"/>
          <w:szCs w:val="32"/>
          <w:highlight w:val="none"/>
        </w:rPr>
        <w:fldChar w:fldCharType="end"/>
      </w:r>
    </w:p>
    <w:p w14:paraId="06112E67">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"_Toc61444674"</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四．合同书（格式文本）</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3</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5</w:t>
      </w:r>
    </w:p>
    <w:p w14:paraId="06DADFAE">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"_Toc61444675"</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五．</w:t>
      </w:r>
      <w:r>
        <w:rPr>
          <w:rStyle w:val="237"/>
          <w:rFonts w:hint="eastAsia" w:ascii="宋体" w:hAnsi="宋体"/>
          <w:i w:val="0"/>
          <w:iCs w:val="0"/>
          <w:color w:val="auto"/>
          <w:sz w:val="32"/>
          <w:szCs w:val="32"/>
          <w:highlight w:val="none"/>
          <w:lang w:eastAsia="zh-CN"/>
        </w:rPr>
        <w:t>评分方法与评分标准</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3</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9</w:t>
      </w:r>
    </w:p>
    <w:p w14:paraId="781FCDB7">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"_Toc61444676"</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六</w:t>
      </w:r>
      <w:r>
        <w:rPr>
          <w:rStyle w:val="237"/>
          <w:rFonts w:ascii="宋体" w:hAnsi="宋体"/>
          <w:i w:val="0"/>
          <w:iCs w:val="0"/>
          <w:color w:val="auto"/>
          <w:sz w:val="32"/>
          <w:szCs w:val="32"/>
          <w:highlight w:val="none"/>
        </w:rPr>
        <w:t>.</w:t>
      </w:r>
      <w:r>
        <w:rPr>
          <w:rStyle w:val="237"/>
          <w:rFonts w:hint="eastAsia" w:ascii="宋体" w:hAnsi="宋体"/>
          <w:i w:val="0"/>
          <w:iCs w:val="0"/>
          <w:color w:val="auto"/>
          <w:sz w:val="32"/>
          <w:szCs w:val="32"/>
          <w:highlight w:val="none"/>
          <w:lang w:val="en-US" w:eastAsia="zh-CN"/>
        </w:rPr>
        <w:t xml:space="preserve"> </w:t>
      </w:r>
      <w:r>
        <w:rPr>
          <w:rStyle w:val="237"/>
          <w:rFonts w:hint="eastAsia" w:ascii="宋体" w:hAnsi="宋体"/>
          <w:i w:val="0"/>
          <w:iCs w:val="0"/>
          <w:color w:val="auto"/>
          <w:sz w:val="32"/>
          <w:szCs w:val="32"/>
          <w:highlight w:val="none"/>
          <w:lang w:eastAsia="zh-CN"/>
        </w:rPr>
        <w:t>投标文件内容与格式</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4</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6</w:t>
      </w:r>
      <w:bookmarkStart w:id="139" w:name="_GoBack"/>
      <w:bookmarkEnd w:id="139"/>
    </w:p>
    <w:p w14:paraId="5E95A5E5">
      <w:pPr>
        <w:tabs>
          <w:tab w:val="center" w:pos="5200"/>
          <w:tab w:val="left" w:pos="7980"/>
        </w:tabs>
        <w:spacing w:line="720" w:lineRule="auto"/>
        <w:ind w:firstLine="480"/>
        <w:jc w:val="left"/>
        <w:rPr>
          <w:rFonts w:ascii="宋体"/>
          <w:bCs/>
          <w:i w:val="0"/>
          <w:iCs w:val="0"/>
          <w:color w:val="auto"/>
          <w:sz w:val="28"/>
          <w:szCs w:val="28"/>
          <w:highlight w:val="none"/>
        </w:rPr>
      </w:pPr>
      <w:r>
        <w:rPr>
          <w:rFonts w:ascii="宋体" w:hAnsi="宋体"/>
          <w:bCs/>
          <w:i w:val="0"/>
          <w:iCs w:val="0"/>
          <w:color w:val="auto"/>
          <w:sz w:val="32"/>
          <w:szCs w:val="32"/>
          <w:highlight w:val="none"/>
        </w:rPr>
        <w:tab/>
      </w:r>
      <w:r>
        <w:rPr>
          <w:rFonts w:ascii="宋体" w:hAnsi="宋体"/>
          <w:bCs/>
          <w:i w:val="0"/>
          <w:iCs w:val="0"/>
          <w:color w:val="auto"/>
          <w:sz w:val="32"/>
          <w:szCs w:val="32"/>
          <w:highlight w:val="none"/>
        </w:rPr>
        <w:fldChar w:fldCharType="end"/>
      </w:r>
      <w:r>
        <w:rPr>
          <w:rFonts w:ascii="宋体"/>
          <w:bCs/>
          <w:i w:val="0"/>
          <w:iCs w:val="0"/>
          <w:color w:val="auto"/>
          <w:sz w:val="28"/>
          <w:szCs w:val="28"/>
          <w:highlight w:val="none"/>
        </w:rPr>
        <w:t xml:space="preserve"> </w:t>
      </w:r>
      <w:r>
        <w:rPr>
          <w:rFonts w:ascii="宋体"/>
          <w:bCs/>
          <w:i w:val="0"/>
          <w:iCs w:val="0"/>
          <w:color w:val="auto"/>
          <w:sz w:val="28"/>
          <w:szCs w:val="28"/>
          <w:highlight w:val="none"/>
        </w:rPr>
        <w:tab/>
      </w:r>
    </w:p>
    <w:p w14:paraId="09DD5BE6">
      <w:pPr>
        <w:tabs>
          <w:tab w:val="left" w:pos="1888"/>
        </w:tabs>
        <w:spacing w:line="720" w:lineRule="auto"/>
        <w:rPr>
          <w:rFonts w:hint="eastAsia" w:ascii="宋体" w:eastAsia="宋体"/>
          <w:bCs/>
          <w:i w:val="0"/>
          <w:iCs w:val="0"/>
          <w:color w:val="auto"/>
          <w:sz w:val="30"/>
          <w:highlight w:val="none"/>
          <w:lang w:eastAsia="zh-CN"/>
        </w:rPr>
      </w:pPr>
      <w:r>
        <w:rPr>
          <w:rFonts w:hint="eastAsia" w:ascii="宋体"/>
          <w:bCs/>
          <w:i w:val="0"/>
          <w:iCs w:val="0"/>
          <w:color w:val="auto"/>
          <w:sz w:val="30"/>
          <w:highlight w:val="none"/>
          <w:lang w:eastAsia="zh-CN"/>
        </w:rPr>
        <w:tab/>
      </w:r>
    </w:p>
    <w:p w14:paraId="1D34F527">
      <w:pPr>
        <w:rPr>
          <w:rFonts w:hint="eastAsia" w:ascii="宋体"/>
          <w:bCs/>
          <w:i w:val="0"/>
          <w:iCs w:val="0"/>
          <w:color w:val="auto"/>
          <w:sz w:val="32"/>
          <w:highlight w:val="none"/>
        </w:rPr>
      </w:pPr>
    </w:p>
    <w:p w14:paraId="166B38BF">
      <w:pPr>
        <w:pStyle w:val="186"/>
        <w:keepLines w:val="0"/>
        <w:pageBreakBefore/>
        <w:kinsoku/>
        <w:wordWrap/>
        <w:overflowPunct/>
        <w:topLinePunct w:val="0"/>
        <w:autoSpaceDE/>
        <w:autoSpaceDN/>
        <w:bidi w:val="0"/>
        <w:adjustRightInd/>
        <w:snapToGrid/>
        <w:textAlignment w:val="auto"/>
        <w:rPr>
          <w:rFonts w:ascii="黑体" w:hAnsi="黑体" w:eastAsia="黑体"/>
          <w:b w:val="0"/>
          <w:i w:val="0"/>
          <w:iCs w:val="0"/>
          <w:color w:val="auto"/>
          <w:sz w:val="32"/>
          <w:szCs w:val="32"/>
          <w:highlight w:val="none"/>
        </w:rPr>
      </w:pPr>
      <w:bookmarkStart w:id="0" w:name="报价方须知前附表"/>
      <w:bookmarkEnd w:id="0"/>
      <w:bookmarkStart w:id="1" w:name="_Toc61444671"/>
      <w:r>
        <w:rPr>
          <w:rFonts w:hint="eastAsia" w:ascii="黑体" w:hAnsi="黑体" w:eastAsia="黑体"/>
          <w:b w:val="0"/>
          <w:i w:val="0"/>
          <w:iCs w:val="0"/>
          <w:color w:val="auto"/>
          <w:sz w:val="32"/>
          <w:szCs w:val="32"/>
          <w:highlight w:val="none"/>
        </w:rPr>
        <w:t>一．投标邀请函</w:t>
      </w:r>
      <w:bookmarkEnd w:id="1"/>
    </w:p>
    <w:p w14:paraId="4E31492E">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我中心受</w:t>
      </w:r>
      <w:r>
        <w:rPr>
          <w:rFonts w:hint="eastAsia" w:ascii="宋体" w:hAnsi="宋体"/>
          <w:color w:val="auto"/>
          <w:sz w:val="24"/>
          <w:highlight w:val="none"/>
          <w:lang w:eastAsia="zh-CN"/>
        </w:rPr>
        <w:t>无锡市惠山区人民医院</w:t>
      </w:r>
      <w:r>
        <w:rPr>
          <w:rFonts w:hint="eastAsia" w:ascii="宋体" w:hAnsi="宋体"/>
          <w:bCs/>
          <w:i w:val="0"/>
          <w:iCs w:val="0"/>
          <w:color w:val="auto"/>
          <w:sz w:val="24"/>
          <w:szCs w:val="24"/>
          <w:highlight w:val="none"/>
        </w:rPr>
        <w:t>的委托，对</w:t>
      </w:r>
      <w:r>
        <w:rPr>
          <w:rFonts w:hint="eastAsia" w:ascii="宋体" w:hAnsi="宋体"/>
          <w:bCs/>
          <w:i w:val="0"/>
          <w:iCs w:val="0"/>
          <w:color w:val="auto"/>
          <w:sz w:val="24"/>
          <w:szCs w:val="24"/>
          <w:highlight w:val="none"/>
          <w:lang w:eastAsia="zh-CN"/>
        </w:rPr>
        <w:t>其网络安全设施建设项目</w:t>
      </w:r>
      <w:r>
        <w:rPr>
          <w:rFonts w:hint="eastAsia" w:ascii="宋体" w:hAnsi="宋体"/>
          <w:bCs/>
          <w:i w:val="0"/>
          <w:iCs w:val="0"/>
          <w:color w:val="auto"/>
          <w:sz w:val="24"/>
          <w:szCs w:val="24"/>
          <w:highlight w:val="none"/>
        </w:rPr>
        <w:t>进行公开招标采购，欢迎符合相关条件的供应商参加投标并提请注意下列相关事项：</w:t>
      </w:r>
    </w:p>
    <w:p w14:paraId="1F1420A0">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eastAsia="zh-CN"/>
        </w:rPr>
        <w:t>（一）</w:t>
      </w:r>
      <w:r>
        <w:rPr>
          <w:rFonts w:hint="eastAsia" w:ascii="黑体" w:hAnsi="黑体" w:eastAsia="黑体" w:cs="黑体"/>
          <w:bCs/>
          <w:i w:val="0"/>
          <w:iCs w:val="0"/>
          <w:color w:val="auto"/>
          <w:sz w:val="24"/>
          <w:szCs w:val="24"/>
          <w:highlight w:val="none"/>
        </w:rPr>
        <w:t>招标项目信息</w:t>
      </w:r>
    </w:p>
    <w:p w14:paraId="39D190E8">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项目名称：</w:t>
      </w:r>
      <w:r>
        <w:rPr>
          <w:rFonts w:hint="eastAsia" w:ascii="宋体" w:hAnsi="宋体"/>
          <w:bCs/>
          <w:i w:val="0"/>
          <w:iCs w:val="0"/>
          <w:color w:val="auto"/>
          <w:sz w:val="24"/>
          <w:szCs w:val="24"/>
          <w:highlight w:val="none"/>
          <w:lang w:eastAsia="zh-CN"/>
        </w:rPr>
        <w:t>无锡市惠山区人民医院网络安全设施建设项目</w:t>
      </w:r>
    </w:p>
    <w:p w14:paraId="702E160E">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项目编号：</w:t>
      </w:r>
      <w:r>
        <w:rPr>
          <w:rFonts w:hint="eastAsia" w:ascii="宋体" w:hAnsi="宋体"/>
          <w:bCs/>
          <w:i w:val="0"/>
          <w:iCs w:val="0"/>
          <w:color w:val="auto"/>
          <w:sz w:val="24"/>
          <w:szCs w:val="24"/>
          <w:highlight w:val="none"/>
          <w:lang w:eastAsia="zh-CN"/>
        </w:rPr>
        <w:t>JSZC-320206-JZCG-G2026-0015</w:t>
      </w:r>
    </w:p>
    <w:p w14:paraId="4206B7F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3.项目预算：</w:t>
      </w:r>
      <w:r>
        <w:rPr>
          <w:rFonts w:hint="eastAsia" w:ascii="宋体" w:hAnsi="宋体" w:cs="宋体"/>
          <w:color w:val="auto"/>
          <w:sz w:val="24"/>
          <w:highlight w:val="none"/>
          <w:lang w:val="en-US" w:eastAsia="zh-CN"/>
        </w:rPr>
        <w:t>133.22</w:t>
      </w:r>
      <w:r>
        <w:rPr>
          <w:rFonts w:hint="eastAsia" w:ascii="宋体" w:hAnsi="宋体"/>
          <w:bCs/>
          <w:i w:val="0"/>
          <w:iCs w:val="0"/>
          <w:color w:val="auto"/>
          <w:sz w:val="24"/>
          <w:szCs w:val="24"/>
          <w:highlight w:val="none"/>
          <w:lang w:val="en-US" w:eastAsia="zh-CN"/>
        </w:rPr>
        <w:t>万元</w:t>
      </w:r>
    </w:p>
    <w:p w14:paraId="3C155431">
      <w:pPr>
        <w:keepNext w:val="0"/>
        <w:keepLines w:val="0"/>
        <w:pageBreakBefore w:val="0"/>
        <w:kinsoku/>
        <w:wordWrap/>
        <w:overflowPunct/>
        <w:topLinePunct w:val="0"/>
        <w:autoSpaceDE/>
        <w:autoSpaceDN/>
        <w:bidi w:val="0"/>
        <w:adjustRightInd/>
        <w:snapToGrid/>
        <w:spacing w:line="500" w:lineRule="exact"/>
        <w:ind w:firstLine="540"/>
        <w:textAlignment w:val="auto"/>
        <w:rPr>
          <w:rFonts w:hint="default"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4.最高限价：</w:t>
      </w:r>
      <w:r>
        <w:rPr>
          <w:rFonts w:hint="eastAsia" w:ascii="宋体" w:hAnsi="宋体" w:cs="宋体"/>
          <w:color w:val="auto"/>
          <w:sz w:val="24"/>
          <w:highlight w:val="none"/>
          <w:lang w:val="en-US" w:eastAsia="zh-CN"/>
        </w:rPr>
        <w:t>133.22</w:t>
      </w:r>
      <w:r>
        <w:rPr>
          <w:rFonts w:hint="eastAsia" w:ascii="宋体" w:hAnsi="宋体"/>
          <w:bCs/>
          <w:i w:val="0"/>
          <w:iCs w:val="0"/>
          <w:color w:val="auto"/>
          <w:sz w:val="24"/>
          <w:szCs w:val="24"/>
          <w:highlight w:val="none"/>
          <w:lang w:val="en-US" w:eastAsia="zh-CN"/>
        </w:rPr>
        <w:t>万元</w:t>
      </w:r>
    </w:p>
    <w:p w14:paraId="22AA801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5.采购方式：公开招标</w:t>
      </w:r>
    </w:p>
    <w:p w14:paraId="6079081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6.</w:t>
      </w:r>
      <w:r>
        <w:rPr>
          <w:rFonts w:hint="eastAsia" w:ascii="宋体" w:hAnsi="宋体"/>
          <w:bCs/>
          <w:i w:val="0"/>
          <w:iCs w:val="0"/>
          <w:color w:val="auto"/>
          <w:sz w:val="24"/>
          <w:szCs w:val="24"/>
          <w:highlight w:val="none"/>
        </w:rPr>
        <w:t>采购人：</w:t>
      </w:r>
      <w:r>
        <w:rPr>
          <w:rFonts w:hint="eastAsia" w:ascii="宋体" w:hAnsi="宋体"/>
          <w:color w:val="auto"/>
          <w:sz w:val="24"/>
          <w:highlight w:val="none"/>
          <w:lang w:eastAsia="zh-CN"/>
        </w:rPr>
        <w:t>无锡市惠山区人民医院</w:t>
      </w:r>
    </w:p>
    <w:p w14:paraId="3955A453">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7.</w:t>
      </w:r>
      <w:r>
        <w:rPr>
          <w:rFonts w:hint="eastAsia" w:ascii="宋体" w:hAnsi="宋体"/>
          <w:bCs/>
          <w:i w:val="0"/>
          <w:iCs w:val="0"/>
          <w:color w:val="auto"/>
          <w:sz w:val="24"/>
          <w:szCs w:val="24"/>
          <w:highlight w:val="none"/>
        </w:rPr>
        <w:t>本项目标的所属行业</w:t>
      </w:r>
      <w:r>
        <w:rPr>
          <w:rFonts w:hint="eastAsia" w:ascii="宋体" w:hAnsi="宋体"/>
          <w:color w:val="auto"/>
          <w:sz w:val="24"/>
          <w:highlight w:val="none"/>
          <w:lang w:eastAsia="zh-CN"/>
        </w:rPr>
        <w:t>：软件和信息技术服务业</w:t>
      </w:r>
    </w:p>
    <w:p w14:paraId="04D6D39A">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lang w:val="en-US" w:eastAsia="zh-CN"/>
        </w:rPr>
        <w:t>8.</w:t>
      </w:r>
      <w:r>
        <w:rPr>
          <w:rFonts w:hint="eastAsia" w:ascii="宋体" w:hAnsi="宋体"/>
          <w:bCs/>
          <w:i w:val="0"/>
          <w:iCs w:val="0"/>
          <w:color w:val="auto"/>
          <w:sz w:val="24"/>
          <w:szCs w:val="24"/>
          <w:highlight w:val="none"/>
        </w:rPr>
        <w:t>本项目是否专门面向中小企业：</w:t>
      </w:r>
      <w:r>
        <w:rPr>
          <w:rFonts w:hint="eastAsia" w:ascii="宋体" w:hAnsi="宋体"/>
          <w:bCs/>
          <w:i w:val="0"/>
          <w:iCs w:val="0"/>
          <w:color w:val="auto"/>
          <w:sz w:val="24"/>
          <w:szCs w:val="24"/>
          <w:highlight w:val="none"/>
          <w:lang w:eastAsia="zh-CN"/>
        </w:rPr>
        <w:t>否</w:t>
      </w:r>
    </w:p>
    <w:p w14:paraId="4EA7D2A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eastAsia="zh-CN"/>
        </w:rPr>
        <w:t>（二）</w:t>
      </w:r>
      <w:r>
        <w:rPr>
          <w:rFonts w:hint="eastAsia" w:ascii="黑体" w:hAnsi="黑体" w:eastAsia="黑体" w:cs="黑体"/>
          <w:bCs/>
          <w:i w:val="0"/>
          <w:iCs w:val="0"/>
          <w:color w:val="auto"/>
          <w:sz w:val="24"/>
          <w:szCs w:val="24"/>
          <w:highlight w:val="none"/>
        </w:rPr>
        <w:t>投标人资格要求</w:t>
      </w:r>
    </w:p>
    <w:p w14:paraId="6035181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具备《中华人民共和国政府采购法》第二十二条第一款规定的条件；</w:t>
      </w:r>
    </w:p>
    <w:p w14:paraId="6568FD8B">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未被“信用中国”网站（www.creditchina.gov.cn）、中国政府采购网(www.ccgp.gov.cn)列入失信被执行人、重大税收违法案件当事人名单、政府采购严重违法失</w:t>
      </w:r>
      <w:r>
        <w:rPr>
          <w:rFonts w:hint="eastAsia" w:ascii="宋体" w:hAnsi="宋体"/>
          <w:bCs/>
          <w:i w:val="0"/>
          <w:iCs w:val="0"/>
          <w:color w:val="auto"/>
          <w:sz w:val="24"/>
          <w:szCs w:val="24"/>
          <w:highlight w:val="none"/>
          <w:lang w:val="en-US" w:eastAsia="zh-CN"/>
        </w:rPr>
        <w:t>信行为记录名单；</w:t>
      </w:r>
    </w:p>
    <w:p w14:paraId="7DC1221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3.具备采购人根据招标项目的特殊要求规定的以下特定资质：</w:t>
      </w:r>
    </w:p>
    <w:p w14:paraId="1B85018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（1）本项目不接受联合体投标。</w:t>
      </w:r>
    </w:p>
    <w:p w14:paraId="1C661FB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bookmarkStart w:id="2" w:name="_Toc61444672"/>
      <w:r>
        <w:rPr>
          <w:rFonts w:hint="eastAsia" w:ascii="黑体" w:hAnsi="黑体" w:eastAsia="黑体" w:cs="黑体"/>
          <w:bCs/>
          <w:i w:val="0"/>
          <w:iCs w:val="0"/>
          <w:color w:val="auto"/>
          <w:sz w:val="24"/>
          <w:szCs w:val="24"/>
          <w:highlight w:val="none"/>
          <w:lang w:eastAsia="zh-CN"/>
        </w:rPr>
        <w:t>（三）获取招标文件</w:t>
      </w:r>
    </w:p>
    <w:p w14:paraId="41A52F79">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cs="宋体"/>
          <w:i w:val="0"/>
          <w:iCs w:val="0"/>
          <w:color w:val="auto"/>
          <w:sz w:val="24"/>
          <w:szCs w:val="24"/>
          <w:highlight w:val="none"/>
        </w:rPr>
      </w:pPr>
      <w:r>
        <w:rPr>
          <w:rFonts w:hint="eastAsia" w:ascii="宋体" w:hAnsi="宋体"/>
          <w:bCs/>
          <w:i w:val="0"/>
          <w:iCs w:val="0"/>
          <w:color w:val="auto"/>
          <w:sz w:val="24"/>
          <w:szCs w:val="24"/>
          <w:highlight w:val="none"/>
        </w:rPr>
        <w:t>1.时间：本招标文件有效获取期自招标文件公告发布之日起5个工作日，（有效获取期内的）每天上午</w:t>
      </w:r>
      <w:r>
        <w:rPr>
          <w:rFonts w:hint="eastAsia" w:ascii="宋体" w:hAnsi="宋体" w:cs="宋体"/>
          <w:i w:val="0"/>
          <w:iCs w:val="0"/>
          <w:color w:val="auto"/>
          <w:sz w:val="24"/>
          <w:szCs w:val="24"/>
          <w:highlight w:val="none"/>
        </w:rPr>
        <w:t>00:00至12:00，下午12:00至23:59（北京时间，法定节假日除外）。</w:t>
      </w:r>
    </w:p>
    <w:p w14:paraId="2E53994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2.地点：</w:t>
      </w:r>
      <w:r>
        <w:rPr>
          <w:rFonts w:ascii="宋体" w:hAnsi="宋体"/>
          <w:i w:val="0"/>
          <w:iCs w:val="0"/>
          <w:color w:val="auto"/>
          <w:sz w:val="24"/>
          <w:szCs w:val="24"/>
          <w:highlight w:val="none"/>
        </w:rPr>
        <w:t>“江苏省政府采购（苏采云）平台”</w:t>
      </w:r>
      <w:r>
        <w:rPr>
          <w:rFonts w:hint="eastAsia" w:ascii="宋体" w:hAnsi="宋体"/>
          <w:i w:val="0"/>
          <w:iCs w:val="0"/>
          <w:color w:val="auto"/>
          <w:sz w:val="24"/>
          <w:szCs w:val="24"/>
          <w:highlight w:val="none"/>
        </w:rPr>
        <w:t>。</w:t>
      </w:r>
    </w:p>
    <w:p w14:paraId="055E6FDB">
      <w:pPr>
        <w:keepNext w:val="0"/>
        <w:keepLines w:val="0"/>
        <w:pageBreakBefore w:val="0"/>
        <w:kinsoku/>
        <w:wordWrap/>
        <w:overflowPunct/>
        <w:topLinePunct w:val="0"/>
        <w:autoSpaceDE/>
        <w:autoSpaceDN/>
        <w:bidi w:val="0"/>
        <w:adjustRightInd/>
        <w:snapToGrid/>
        <w:spacing w:line="500" w:lineRule="exact"/>
        <w:ind w:firstLine="540"/>
        <w:textAlignment w:val="auto"/>
        <w:rPr>
          <w:rStyle w:val="239"/>
          <w:i w:val="0"/>
          <w:iCs w:val="0"/>
          <w:color w:val="auto"/>
          <w:highlight w:val="none"/>
        </w:rPr>
      </w:pPr>
      <w:r>
        <w:rPr>
          <w:rFonts w:hint="eastAsia" w:ascii="宋体" w:hAnsi="宋体"/>
          <w:bCs/>
          <w:i w:val="0"/>
          <w:iCs w:val="0"/>
          <w:color w:val="auto"/>
          <w:sz w:val="24"/>
          <w:szCs w:val="24"/>
          <w:highlight w:val="none"/>
        </w:rPr>
        <w:t>3.方式：请有投标意向的供应商在招标文件有效获取期内及时至</w:t>
      </w:r>
      <w:r>
        <w:rPr>
          <w:rFonts w:ascii="宋体" w:hAnsi="宋体"/>
          <w:i w:val="0"/>
          <w:iCs w:val="0"/>
          <w:color w:val="auto"/>
          <w:sz w:val="24"/>
          <w:szCs w:val="24"/>
          <w:highlight w:val="none"/>
        </w:rPr>
        <w:t>“江苏省政府采购（苏采云）平台”获取</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在招标文件有效获取期限内，从</w:t>
      </w:r>
      <w:r>
        <w:rPr>
          <w:rFonts w:ascii="宋体" w:hAnsi="宋体"/>
          <w:i w:val="0"/>
          <w:iCs w:val="0"/>
          <w:color w:val="auto"/>
          <w:sz w:val="24"/>
          <w:szCs w:val="24"/>
          <w:highlight w:val="none"/>
        </w:rPr>
        <w:t>“江苏省政府采购（苏采云）平台”获取的</w:t>
      </w:r>
      <w:r>
        <w:rPr>
          <w:rFonts w:hint="eastAsia" w:ascii="宋体" w:hAnsi="宋体"/>
          <w:bCs/>
          <w:i w:val="0"/>
          <w:iCs w:val="0"/>
          <w:color w:val="auto"/>
          <w:sz w:val="24"/>
          <w:szCs w:val="24"/>
          <w:highlight w:val="none"/>
        </w:rPr>
        <w:t>招标文件，视为依法获取的招标文件。</w:t>
      </w:r>
    </w:p>
    <w:p w14:paraId="6B22589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4.售价：本项目招标文件免费。</w:t>
      </w:r>
    </w:p>
    <w:p w14:paraId="05F2581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i w:val="0"/>
          <w:iCs w:val="0"/>
          <w:color w:val="auto"/>
          <w:sz w:val="24"/>
          <w:szCs w:val="24"/>
          <w:highlight w:val="none"/>
        </w:rPr>
      </w:pPr>
      <w:r>
        <w:rPr>
          <w:rFonts w:hint="eastAsia" w:ascii="黑体" w:hAnsi="黑体" w:eastAsia="黑体" w:cs="黑体"/>
          <w:i w:val="0"/>
          <w:iCs w:val="0"/>
          <w:color w:val="auto"/>
          <w:sz w:val="24"/>
          <w:szCs w:val="24"/>
          <w:highlight w:val="none"/>
          <w:lang w:eastAsia="zh-CN"/>
        </w:rPr>
        <w:t>（四）提交投标文件截至时间、开标时间和地点</w:t>
      </w:r>
    </w:p>
    <w:p w14:paraId="0F045EB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1.时间：202</w:t>
      </w:r>
      <w:r>
        <w:rPr>
          <w:rFonts w:hint="eastAsia" w:ascii="宋体" w:hAnsi="宋体"/>
          <w:i w:val="0"/>
          <w:iCs w:val="0"/>
          <w:color w:val="auto"/>
          <w:sz w:val="24"/>
          <w:szCs w:val="24"/>
          <w:highlight w:val="none"/>
          <w:lang w:val="en-US" w:eastAsia="zh-CN"/>
        </w:rPr>
        <w:t>6</w:t>
      </w:r>
      <w:r>
        <w:rPr>
          <w:rFonts w:hint="eastAsia" w:ascii="宋体" w:hAnsi="宋体"/>
          <w:i w:val="0"/>
          <w:iCs w:val="0"/>
          <w:color w:val="auto"/>
          <w:sz w:val="24"/>
          <w:szCs w:val="24"/>
          <w:highlight w:val="none"/>
        </w:rPr>
        <w:t>年</w:t>
      </w:r>
      <w:r>
        <w:rPr>
          <w:rFonts w:hint="eastAsia" w:ascii="宋体" w:hAnsi="宋体"/>
          <w:i w:val="0"/>
          <w:iCs w:val="0"/>
          <w:color w:val="auto"/>
          <w:sz w:val="24"/>
          <w:szCs w:val="24"/>
          <w:highlight w:val="none"/>
          <w:lang w:val="en-US" w:eastAsia="zh-CN"/>
        </w:rPr>
        <w:t>4</w:t>
      </w:r>
      <w:r>
        <w:rPr>
          <w:rFonts w:hint="eastAsia" w:ascii="宋体" w:hAnsi="宋体" w:eastAsia="宋体" w:cs="Times New Roman"/>
          <w:i w:val="0"/>
          <w:iCs w:val="0"/>
          <w:color w:val="auto"/>
          <w:sz w:val="24"/>
          <w:szCs w:val="24"/>
          <w:highlight w:val="none"/>
        </w:rPr>
        <w:t>月</w:t>
      </w:r>
      <w:r>
        <w:rPr>
          <w:rFonts w:hint="eastAsia" w:ascii="宋体" w:hAnsi="宋体" w:cs="Times New Roman"/>
          <w:i w:val="0"/>
          <w:iCs w:val="0"/>
          <w:color w:val="auto"/>
          <w:sz w:val="24"/>
          <w:szCs w:val="24"/>
          <w:highlight w:val="none"/>
          <w:lang w:val="en-US" w:eastAsia="zh-CN"/>
        </w:rPr>
        <w:t>14</w:t>
      </w:r>
      <w:r>
        <w:rPr>
          <w:rFonts w:hint="eastAsia" w:ascii="宋体" w:hAnsi="宋体" w:eastAsia="宋体" w:cs="Times New Roman"/>
          <w:i w:val="0"/>
          <w:iCs w:val="0"/>
          <w:color w:val="auto"/>
          <w:sz w:val="24"/>
          <w:szCs w:val="24"/>
          <w:highlight w:val="none"/>
        </w:rPr>
        <w:t>日</w:t>
      </w:r>
      <w:r>
        <w:rPr>
          <w:rFonts w:hint="eastAsia" w:ascii="宋体" w:hAnsi="宋体" w:eastAsia="宋体" w:cs="Times New Roman"/>
          <w:i w:val="0"/>
          <w:iCs w:val="0"/>
          <w:color w:val="auto"/>
          <w:sz w:val="24"/>
          <w:szCs w:val="24"/>
          <w:highlight w:val="none"/>
          <w:lang w:val="en-US" w:eastAsia="zh-CN"/>
        </w:rPr>
        <w:t>1</w:t>
      </w:r>
      <w:r>
        <w:rPr>
          <w:rFonts w:hint="eastAsia" w:ascii="宋体" w:hAnsi="宋体" w:cs="Times New Roman"/>
          <w:i w:val="0"/>
          <w:iCs w:val="0"/>
          <w:color w:val="auto"/>
          <w:sz w:val="24"/>
          <w:szCs w:val="24"/>
          <w:highlight w:val="none"/>
          <w:lang w:val="en-US" w:eastAsia="zh-CN"/>
        </w:rPr>
        <w:t>3</w:t>
      </w:r>
      <w:r>
        <w:rPr>
          <w:rFonts w:hint="eastAsia" w:ascii="宋体" w:hAnsi="宋体"/>
          <w:bCs/>
          <w:i w:val="0"/>
          <w:iCs w:val="0"/>
          <w:color w:val="auto"/>
          <w:sz w:val="24"/>
          <w:szCs w:val="24"/>
          <w:highlight w:val="none"/>
        </w:rPr>
        <w:t>点</w:t>
      </w:r>
      <w:r>
        <w:rPr>
          <w:rFonts w:hint="eastAsia" w:ascii="宋体" w:hAnsi="宋体"/>
          <w:bCs/>
          <w:i w:val="0"/>
          <w:iCs w:val="0"/>
          <w:color w:val="auto"/>
          <w:sz w:val="24"/>
          <w:szCs w:val="24"/>
          <w:highlight w:val="none"/>
          <w:lang w:val="en-US" w:eastAsia="zh-CN"/>
        </w:rPr>
        <w:t>15</w:t>
      </w:r>
      <w:r>
        <w:rPr>
          <w:rFonts w:hint="eastAsia" w:ascii="宋体" w:hAnsi="宋体"/>
          <w:bCs/>
          <w:i w:val="0"/>
          <w:iCs w:val="0"/>
          <w:color w:val="auto"/>
          <w:sz w:val="24"/>
          <w:szCs w:val="24"/>
          <w:highlight w:val="none"/>
        </w:rPr>
        <w:t>分（北京时间）</w:t>
      </w:r>
    </w:p>
    <w:p w14:paraId="4AD92FF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.地点：“江苏省政府采购（苏采云）平台”网上开标大厅。</w:t>
      </w:r>
    </w:p>
    <w:p w14:paraId="0E03180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（五）公告期限</w:t>
      </w:r>
    </w:p>
    <w:p w14:paraId="1422FF5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（招标公告及招标文件公告期限）自本公告发布之日起5个工作日。</w:t>
      </w:r>
    </w:p>
    <w:p w14:paraId="77BD5EF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（六）本项目联系方式</w:t>
      </w:r>
    </w:p>
    <w:p w14:paraId="321778D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1.采购人信息</w:t>
      </w:r>
    </w:p>
    <w:p w14:paraId="7B79AC6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名    称：</w:t>
      </w:r>
      <w:r>
        <w:rPr>
          <w:rFonts w:hint="eastAsia" w:ascii="宋体" w:hAnsi="宋体"/>
          <w:bCs/>
          <w:i w:val="0"/>
          <w:iCs w:val="0"/>
          <w:color w:val="auto"/>
          <w:sz w:val="24"/>
          <w:szCs w:val="24"/>
          <w:highlight w:val="none"/>
          <w:lang w:eastAsia="zh-CN"/>
        </w:rPr>
        <w:t>无锡市惠山区人民医院</w:t>
      </w:r>
    </w:p>
    <w:p w14:paraId="4E1DCA1B">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 xml:space="preserve">地  </w:t>
      </w:r>
      <w:r>
        <w:rPr>
          <w:rFonts w:hint="eastAsia" w:ascii="宋体" w:hAnsi="宋体" w:eastAsia="宋体" w:cs="宋体"/>
          <w:i w:val="0"/>
          <w:iCs w:val="0"/>
          <w:color w:val="auto"/>
          <w:sz w:val="24"/>
          <w:szCs w:val="24"/>
          <w:highlight w:val="none"/>
          <w:lang w:eastAsia="zh-CN"/>
        </w:rPr>
        <w:t xml:space="preserve">  址：</w:t>
      </w:r>
      <w:r>
        <w:rPr>
          <w:rFonts w:hint="eastAsia" w:ascii="宋体" w:hAnsi="宋体" w:cs="宋体"/>
          <w:i w:val="0"/>
          <w:iCs w:val="0"/>
          <w:color w:val="auto"/>
          <w:sz w:val="24"/>
          <w:szCs w:val="24"/>
          <w:highlight w:val="none"/>
        </w:rPr>
        <w:t>无锡市惠山区洛社镇站前北路2号</w:t>
      </w:r>
    </w:p>
    <w:p w14:paraId="7B37942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联</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系</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人：李相宗</w:t>
      </w:r>
    </w:p>
    <w:p w14:paraId="1CAC99F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联系方式：</w:t>
      </w:r>
      <w:bookmarkStart w:id="3" w:name="_Toc28359009"/>
      <w:bookmarkStart w:id="4" w:name="_Toc28359086"/>
      <w:r>
        <w:rPr>
          <w:rFonts w:hint="eastAsia" w:ascii="宋体" w:hAnsi="宋体" w:eastAsia="宋体" w:cs="宋体"/>
          <w:i w:val="0"/>
          <w:iCs w:val="0"/>
          <w:color w:val="auto"/>
          <w:sz w:val="24"/>
          <w:szCs w:val="24"/>
          <w:highlight w:val="none"/>
          <w:lang w:val="en-US" w:eastAsia="zh-CN"/>
        </w:rPr>
        <w:t>18921513981</w:t>
      </w:r>
    </w:p>
    <w:p w14:paraId="74042BB6">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2.</w:t>
      </w:r>
      <w:bookmarkEnd w:id="3"/>
      <w:bookmarkEnd w:id="4"/>
      <w:r>
        <w:rPr>
          <w:rFonts w:hint="eastAsia" w:ascii="宋体" w:hAnsi="宋体" w:cs="宋体"/>
          <w:i w:val="0"/>
          <w:iCs w:val="0"/>
          <w:color w:val="auto"/>
          <w:sz w:val="24"/>
          <w:szCs w:val="24"/>
          <w:highlight w:val="none"/>
        </w:rPr>
        <w:t>采购代理机构信息</w:t>
      </w:r>
    </w:p>
    <w:p w14:paraId="368B869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名    称：无锡市</w:t>
      </w:r>
      <w:r>
        <w:rPr>
          <w:rFonts w:hint="eastAsia" w:ascii="宋体" w:hAnsi="宋体" w:cs="宋体"/>
          <w:i w:val="0"/>
          <w:iCs w:val="0"/>
          <w:color w:val="auto"/>
          <w:sz w:val="24"/>
          <w:szCs w:val="24"/>
          <w:highlight w:val="none"/>
          <w:lang w:eastAsia="zh-CN"/>
        </w:rPr>
        <w:t>惠山区政府采购中心</w:t>
      </w:r>
    </w:p>
    <w:p w14:paraId="2E76302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地    址：</w:t>
      </w:r>
      <w:r>
        <w:rPr>
          <w:rFonts w:hint="eastAsia" w:ascii="宋体" w:hAnsi="宋体" w:cs="宋体"/>
          <w:i w:val="0"/>
          <w:iCs w:val="0"/>
          <w:color w:val="auto"/>
          <w:sz w:val="24"/>
          <w:szCs w:val="24"/>
          <w:highlight w:val="none"/>
          <w:lang w:eastAsia="zh-CN"/>
        </w:rPr>
        <w:t>无锡市惠山区政和大道</w:t>
      </w:r>
      <w:r>
        <w:rPr>
          <w:rFonts w:hint="eastAsia" w:ascii="宋体" w:hAnsi="宋体" w:cs="宋体"/>
          <w:i w:val="0"/>
          <w:iCs w:val="0"/>
          <w:color w:val="auto"/>
          <w:sz w:val="24"/>
          <w:szCs w:val="24"/>
          <w:highlight w:val="none"/>
          <w:lang w:val="en-US" w:eastAsia="zh-CN"/>
        </w:rPr>
        <w:t>209号</w:t>
      </w:r>
    </w:p>
    <w:p w14:paraId="373FED9C">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联 系 人：马胜</w:t>
      </w:r>
    </w:p>
    <w:p w14:paraId="6B4A980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联</w:t>
      </w:r>
      <w:r>
        <w:rPr>
          <w:rFonts w:hint="eastAsia" w:ascii="宋体" w:hAnsi="宋体" w:eastAsia="宋体" w:cs="宋体"/>
          <w:i w:val="0"/>
          <w:iCs w:val="0"/>
          <w:color w:val="auto"/>
          <w:sz w:val="24"/>
          <w:szCs w:val="24"/>
          <w:highlight w:val="none"/>
          <w:lang w:val="en-US" w:eastAsia="zh-CN"/>
        </w:rPr>
        <w:t>系方式：0510-83596131</w:t>
      </w:r>
    </w:p>
    <w:p w14:paraId="7AF303A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（七）其他</w:t>
      </w:r>
    </w:p>
    <w:p w14:paraId="1462C43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（一）供应商“账号注册”及CA办理</w:t>
      </w:r>
    </w:p>
    <w:p w14:paraId="156B09E9">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1.请有意参加本项</w:t>
      </w:r>
      <w:r>
        <w:rPr>
          <w:rFonts w:ascii="宋体" w:hAnsi="宋体"/>
          <w:i w:val="0"/>
          <w:iCs w:val="0"/>
          <w:color w:val="auto"/>
          <w:sz w:val="24"/>
          <w:szCs w:val="24"/>
          <w:highlight w:val="none"/>
        </w:rPr>
        <w:t>目采购活动的供应商按以下流程进行操作：</w:t>
      </w:r>
    </w:p>
    <w:p w14:paraId="122DC44B">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（1）访问“江苏政府采购网”点击“苏采云”或者直接通过http://jszfcg.jsczt.cn/进入界面。</w:t>
      </w:r>
    </w:p>
    <w:p w14:paraId="792E42C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）办理</w:t>
      </w:r>
      <w:r>
        <w:rPr>
          <w:rFonts w:hint="eastAsia" w:ascii="宋体" w:hAnsi="宋体"/>
          <w:i w:val="0"/>
          <w:iCs w:val="0"/>
          <w:color w:val="auto"/>
          <w:sz w:val="24"/>
          <w:szCs w:val="24"/>
          <w:highlight w:val="none"/>
        </w:rPr>
        <w:t>“意源”CA数字证书和“方正”电子签章</w:t>
      </w:r>
      <w:r>
        <w:rPr>
          <w:rFonts w:ascii="宋体" w:hAnsi="宋体"/>
          <w:i w:val="0"/>
          <w:iCs w:val="0"/>
          <w:color w:val="auto"/>
          <w:sz w:val="24"/>
          <w:szCs w:val="24"/>
          <w:highlight w:val="none"/>
        </w:rPr>
        <w:t>（办理地址：</w:t>
      </w:r>
      <w:r>
        <w:rPr>
          <w:rFonts w:hint="eastAsia" w:ascii="宋体" w:hAnsi="宋体"/>
          <w:i w:val="0"/>
          <w:iCs w:val="0"/>
          <w:color w:val="auto"/>
          <w:sz w:val="24"/>
          <w:szCs w:val="24"/>
          <w:highlight w:val="none"/>
        </w:rPr>
        <w:t>无锡市滨湖区观山路</w:t>
      </w:r>
      <w:r>
        <w:rPr>
          <w:rFonts w:ascii="宋体" w:hAnsi="宋体"/>
          <w:i w:val="0"/>
          <w:iCs w:val="0"/>
          <w:color w:val="auto"/>
          <w:sz w:val="24"/>
          <w:szCs w:val="24"/>
          <w:highlight w:val="none"/>
        </w:rPr>
        <w:t>199</w:t>
      </w:r>
      <w:r>
        <w:rPr>
          <w:rFonts w:hint="eastAsia" w:ascii="宋体" w:hAnsi="宋体"/>
          <w:i w:val="0"/>
          <w:iCs w:val="0"/>
          <w:color w:val="auto"/>
          <w:sz w:val="24"/>
          <w:szCs w:val="24"/>
          <w:highlight w:val="none"/>
        </w:rPr>
        <w:t>号</w:t>
      </w:r>
      <w:r>
        <w:rPr>
          <w:rFonts w:ascii="宋体" w:hAnsi="宋体"/>
          <w:i w:val="0"/>
          <w:iCs w:val="0"/>
          <w:color w:val="auto"/>
          <w:sz w:val="24"/>
          <w:szCs w:val="24"/>
          <w:highlight w:val="none"/>
        </w:rPr>
        <w:t>12</w:t>
      </w:r>
      <w:r>
        <w:rPr>
          <w:rFonts w:hint="eastAsia" w:ascii="宋体" w:hAnsi="宋体"/>
          <w:i w:val="0"/>
          <w:iCs w:val="0"/>
          <w:color w:val="auto"/>
          <w:sz w:val="24"/>
          <w:szCs w:val="24"/>
          <w:highlight w:val="none"/>
        </w:rPr>
        <w:t>号楼</w:t>
      </w:r>
      <w:r>
        <w:rPr>
          <w:rFonts w:hint="eastAsia" w:ascii="宋体" w:hAnsi="宋体"/>
          <w:i w:val="0"/>
          <w:iCs w:val="0"/>
          <w:color w:val="auto"/>
          <w:sz w:val="24"/>
          <w:szCs w:val="24"/>
          <w:highlight w:val="none"/>
          <w:lang w:eastAsia="zh-CN"/>
        </w:rPr>
        <w:t>一</w:t>
      </w:r>
      <w:r>
        <w:rPr>
          <w:rFonts w:hint="eastAsia" w:ascii="宋体" w:hAnsi="宋体"/>
          <w:i w:val="0"/>
          <w:iCs w:val="0"/>
          <w:color w:val="auto"/>
          <w:sz w:val="24"/>
          <w:szCs w:val="24"/>
          <w:highlight w:val="none"/>
        </w:rPr>
        <w:t>楼</w:t>
      </w:r>
      <w:r>
        <w:rPr>
          <w:rFonts w:hint="eastAsia" w:ascii="宋体" w:hAnsi="宋体"/>
          <w:i w:val="0"/>
          <w:iCs w:val="0"/>
          <w:color w:val="auto"/>
          <w:sz w:val="24"/>
          <w:szCs w:val="24"/>
          <w:highlight w:val="none"/>
          <w:lang w:val="en-US" w:eastAsia="zh-CN"/>
        </w:rPr>
        <w:t>D区</w:t>
      </w:r>
      <w:r>
        <w:rPr>
          <w:rFonts w:ascii="宋体" w:hAnsi="宋体"/>
          <w:i w:val="0"/>
          <w:iCs w:val="0"/>
          <w:color w:val="auto"/>
          <w:sz w:val="24"/>
          <w:szCs w:val="24"/>
          <w:highlight w:val="none"/>
        </w:rPr>
        <w:t>），办理指南链接：http://jsxcmm.com/help/help.html。</w:t>
      </w:r>
    </w:p>
    <w:p w14:paraId="01FCA3C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）CA驱动下载：</w:t>
      </w:r>
    </w:p>
    <w:p w14:paraId="60B81C30">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账号登陆页面，点击“驱动下载”链接中的“政务CA、方正签章控件驱动安装包及安装说明”可以直接下载驱动安装包，安装包中附有驱动安装手册。</w:t>
      </w:r>
    </w:p>
    <w:p w14:paraId="1DF0E75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技术服务电话：</w:t>
      </w:r>
      <w:r>
        <w:rPr>
          <w:rFonts w:hint="eastAsia" w:ascii="宋体" w:hAnsi="宋体"/>
          <w:i w:val="0"/>
          <w:iCs w:val="0"/>
          <w:color w:val="auto"/>
          <w:sz w:val="24"/>
          <w:szCs w:val="24"/>
          <w:highlight w:val="none"/>
        </w:rPr>
        <w:t>0510-81827781</w:t>
      </w:r>
      <w:r>
        <w:rPr>
          <w:rFonts w:ascii="宋体" w:hAnsi="宋体"/>
          <w:i w:val="0"/>
          <w:iCs w:val="0"/>
          <w:color w:val="auto"/>
          <w:sz w:val="24"/>
          <w:szCs w:val="24"/>
          <w:highlight w:val="none"/>
        </w:rPr>
        <w:t>（服务时间：工作日</w:t>
      </w:r>
      <w:r>
        <w:rPr>
          <w:rFonts w:hint="eastAsia" w:ascii="宋体" w:hAnsi="宋体"/>
          <w:i w:val="0"/>
          <w:iCs w:val="0"/>
          <w:color w:val="auto"/>
          <w:sz w:val="24"/>
          <w:szCs w:val="24"/>
          <w:highlight w:val="none"/>
        </w:rPr>
        <w:t xml:space="preserve"> 9:00-11:30,13:00-17:00</w:t>
      </w:r>
      <w:r>
        <w:rPr>
          <w:rFonts w:ascii="宋体" w:hAnsi="宋体"/>
          <w:i w:val="0"/>
          <w:iCs w:val="0"/>
          <w:color w:val="auto"/>
          <w:sz w:val="24"/>
          <w:szCs w:val="24"/>
          <w:highlight w:val="none"/>
        </w:rPr>
        <w:t>）</w:t>
      </w:r>
    </w:p>
    <w:p w14:paraId="1D3FA5F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完成</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账号注册</w:t>
      </w:r>
      <w:r>
        <w:rPr>
          <w:rFonts w:ascii="宋体" w:hAnsi="宋体"/>
          <w:i w:val="0"/>
          <w:iCs w:val="0"/>
          <w:color w:val="auto"/>
          <w:sz w:val="24"/>
          <w:szCs w:val="24"/>
          <w:highlight w:val="none"/>
        </w:rPr>
        <w:t>的供应商方可</w:t>
      </w:r>
      <w:r>
        <w:rPr>
          <w:rFonts w:hint="eastAsia"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中进行CA绑定。登录</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，插入CA后，点击【账号设置】——【绑定CA】。</w:t>
      </w:r>
    </w:p>
    <w:p w14:paraId="7CA7443D">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供应商应按上述要求提供相关材料信息，所提供的材料应均是真实的、准确的，若有违背，供应商自行承担由此而产生的一切后果。</w:t>
      </w:r>
    </w:p>
    <w:p w14:paraId="55BCAE6F">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如供应商未按上述要求操作，由此所产生的损失及风险由供应商自行承担。具体操作步骤详见</w:t>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t>（以下简称</w:t>
      </w:r>
      <w:r>
        <w:rPr>
          <w:rFonts w:hint="eastAsia" w:ascii="宋体" w:hAnsi="宋体"/>
          <w:i w:val="0"/>
          <w:iCs w:val="0"/>
          <w:color w:val="auto"/>
          <w:sz w:val="24"/>
          <w:szCs w:val="24"/>
          <w:highlight w:val="none"/>
        </w:rPr>
        <w:t>《操作手册》</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下载地址：无锡市政府采购网——资料下载——</w:t>
      </w:r>
      <w:r>
        <w:rPr>
          <w:rFonts w:hint="eastAsia" w:ascii="宋体" w:hAnsi="宋体"/>
          <w:i w:val="0"/>
          <w:iCs w:val="0"/>
          <w:color w:val="auto"/>
          <w:sz w:val="24"/>
          <w:szCs w:val="24"/>
          <w:highlight w:val="none"/>
        </w:rPr>
        <w:t>苏采云——</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HYPERLINK "http://cz.wuxi.gov.cn/doc/2023/10/11/4080287.shtml" \t "_blank" \o "\“苏采云\”系统供应商操作手册"</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w:t>
      </w:r>
    </w:p>
    <w:p w14:paraId="72F11BF5">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bCs/>
          <w:i w:val="0"/>
          <w:iCs w:val="0"/>
          <w:color w:val="auto"/>
          <w:sz w:val="24"/>
          <w:szCs w:val="24"/>
          <w:highlight w:val="none"/>
        </w:rPr>
        <w:t>技术支持QQ：孙先生：442456465；王先生：1476328133</w:t>
      </w:r>
      <w:r>
        <w:rPr>
          <w:rFonts w:hint="eastAsia" w:ascii="宋体" w:hAnsi="宋体"/>
          <w:bCs/>
          <w:i w:val="0"/>
          <w:iCs w:val="0"/>
          <w:color w:val="auto"/>
          <w:sz w:val="24"/>
          <w:szCs w:val="24"/>
          <w:highlight w:val="none"/>
        </w:rPr>
        <w:t>。</w:t>
      </w:r>
    </w:p>
    <w:p w14:paraId="2737107A">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（二）完成项目参与，获取招标文件</w:t>
      </w:r>
    </w:p>
    <w:p w14:paraId="099E7162">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供应商可在项目</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公告附件中查看</w:t>
      </w:r>
      <w:r>
        <w:rPr>
          <w:rFonts w:hint="eastAsia" w:ascii="宋体" w:hAnsi="宋体"/>
          <w:i w:val="0"/>
          <w:iCs w:val="0"/>
          <w:color w:val="auto"/>
          <w:sz w:val="24"/>
          <w:szCs w:val="24"/>
          <w:highlight w:val="none"/>
        </w:rPr>
        <w:t>公开招标</w:t>
      </w:r>
      <w:r>
        <w:rPr>
          <w:rFonts w:ascii="宋体" w:hAnsi="宋体"/>
          <w:i w:val="0"/>
          <w:iCs w:val="0"/>
          <w:color w:val="auto"/>
          <w:sz w:val="24"/>
          <w:szCs w:val="24"/>
          <w:highlight w:val="none"/>
        </w:rPr>
        <w:t>文件，如确定参加本次</w:t>
      </w:r>
      <w:r>
        <w:rPr>
          <w:rFonts w:hint="eastAsia" w:ascii="宋体" w:hAnsi="宋体"/>
          <w:i w:val="0"/>
          <w:iCs w:val="0"/>
          <w:color w:val="auto"/>
          <w:sz w:val="24"/>
          <w:szCs w:val="24"/>
          <w:highlight w:val="none"/>
        </w:rPr>
        <w:t>采购</w:t>
      </w:r>
      <w:r>
        <w:rPr>
          <w:rFonts w:ascii="宋体" w:hAnsi="宋体"/>
          <w:i w:val="0"/>
          <w:iCs w:val="0"/>
          <w:color w:val="auto"/>
          <w:sz w:val="24"/>
          <w:szCs w:val="24"/>
          <w:highlight w:val="none"/>
        </w:rPr>
        <w:t>活动，必须在</w:t>
      </w:r>
      <w:r>
        <w:rPr>
          <w:rFonts w:hint="eastAsia" w:ascii="宋体" w:hAnsi="宋体"/>
          <w:bCs/>
          <w:i w:val="0"/>
          <w:iCs w:val="0"/>
          <w:color w:val="auto"/>
          <w:sz w:val="24"/>
          <w:szCs w:val="24"/>
          <w:highlight w:val="none"/>
        </w:rPr>
        <w:t>招标文件提供期限</w:t>
      </w:r>
      <w:r>
        <w:rPr>
          <w:rFonts w:ascii="宋体" w:hAnsi="宋体"/>
          <w:i w:val="0"/>
          <w:iCs w:val="0"/>
          <w:color w:val="auto"/>
          <w:sz w:val="24"/>
          <w:szCs w:val="24"/>
          <w:highlight w:val="none"/>
        </w:rPr>
        <w:t>内</w:t>
      </w:r>
      <w:r>
        <w:rPr>
          <w:rFonts w:hint="eastAsia" w:ascii="宋体" w:hAnsi="宋体"/>
          <w:i w:val="0"/>
          <w:iCs w:val="0"/>
          <w:color w:val="auto"/>
          <w:sz w:val="24"/>
          <w:szCs w:val="24"/>
          <w:highlight w:val="none"/>
        </w:rPr>
        <w:t>从</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中下载文件（“项目参与”——“</w:t>
      </w:r>
      <w:r>
        <w:rPr>
          <w:rFonts w:hint="eastAsia" w:ascii="宋体" w:hAnsi="宋体"/>
          <w:i w:val="0"/>
          <w:iCs w:val="0"/>
          <w:color w:val="auto"/>
          <w:sz w:val="24"/>
          <w:szCs w:val="24"/>
          <w:highlight w:val="none"/>
        </w:rPr>
        <w:t>采购项目参与</w:t>
      </w:r>
      <w:r>
        <w:rPr>
          <w:rFonts w:ascii="宋体" w:hAnsi="宋体"/>
          <w:i w:val="0"/>
          <w:iCs w:val="0"/>
          <w:color w:val="auto"/>
          <w:sz w:val="24"/>
          <w:szCs w:val="24"/>
          <w:highlight w:val="none"/>
        </w:rPr>
        <w:t>”找到需要获取</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文件的项目，点击“我要参与”——“参与投标”</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下载文件</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），完成项目</w:t>
      </w:r>
      <w:r>
        <w:rPr>
          <w:rFonts w:hint="eastAsia" w:ascii="宋体" w:hAnsi="宋体"/>
          <w:i w:val="0"/>
          <w:iCs w:val="0"/>
          <w:color w:val="auto"/>
          <w:sz w:val="24"/>
          <w:szCs w:val="24"/>
          <w:highlight w:val="none"/>
        </w:rPr>
        <w:t>参与</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将</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w:t>
      </w:r>
      <w:r>
        <w:rPr>
          <w:rFonts w:ascii="宋体" w:hAnsi="宋体"/>
          <w:i w:val="0"/>
          <w:iCs w:val="0"/>
          <w:color w:val="auto"/>
          <w:sz w:val="24"/>
          <w:szCs w:val="24"/>
          <w:highlight w:val="none"/>
        </w:rPr>
        <w:t>下载的</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（后缀名为“.kedt”）</w:t>
      </w:r>
      <w:r>
        <w:rPr>
          <w:rFonts w:ascii="宋体" w:hAnsi="宋体"/>
          <w:i w:val="0"/>
          <w:iCs w:val="0"/>
          <w:color w:val="auto"/>
          <w:sz w:val="24"/>
          <w:szCs w:val="24"/>
          <w:highlight w:val="none"/>
        </w:rPr>
        <w:t>导入到“政府采购客户端”，离线按要求</w:t>
      </w:r>
      <w:r>
        <w:rPr>
          <w:rFonts w:hint="eastAsia" w:ascii="宋体" w:hAnsi="宋体"/>
          <w:i w:val="0"/>
          <w:iCs w:val="0"/>
          <w:color w:val="auto"/>
          <w:sz w:val="24"/>
          <w:szCs w:val="24"/>
          <w:highlight w:val="none"/>
        </w:rPr>
        <w:t>编制</w:t>
      </w:r>
      <w:r>
        <w:rPr>
          <w:rFonts w:ascii="宋体" w:hAnsi="宋体"/>
          <w:i w:val="0"/>
          <w:iCs w:val="0"/>
          <w:color w:val="auto"/>
          <w:sz w:val="24"/>
          <w:szCs w:val="24"/>
          <w:highlight w:val="none"/>
        </w:rPr>
        <w:t>并加密</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（使用“CA数字证书”），</w:t>
      </w:r>
      <w:r>
        <w:rPr>
          <w:rFonts w:ascii="宋体" w:hAnsi="宋体"/>
          <w:i w:val="0"/>
          <w:iCs w:val="0"/>
          <w:color w:val="auto"/>
          <w:sz w:val="24"/>
          <w:szCs w:val="24"/>
          <w:highlight w:val="none"/>
        </w:rPr>
        <w:t>导出加密的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（后缀名为zip，不得超过150M）并在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上传该加密的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文件，对</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文件各项内容做出实质性响应，否则其</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文件无效。</w:t>
      </w:r>
    </w:p>
    <w:p w14:paraId="1C133D71">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（三）有关本次采购的事项若存在变动或修改，敬请及时关注</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在“江苏政府采购网”发布的更正公告。</w:t>
      </w:r>
    </w:p>
    <w:p w14:paraId="2056DE28">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shd w:val="clear" w:color="FFFFFF" w:fill="D9D9D9"/>
        </w:rPr>
      </w:pPr>
      <w:r>
        <w:rPr>
          <w:rFonts w:hint="eastAsia" w:ascii="宋体" w:hAnsi="宋体"/>
          <w:bCs/>
          <w:i w:val="0"/>
          <w:iCs w:val="0"/>
          <w:color w:val="auto"/>
          <w:sz w:val="24"/>
          <w:szCs w:val="24"/>
          <w:highlight w:val="none"/>
        </w:rPr>
        <w:t>（四）本次采购不收取投标保证金。</w:t>
      </w:r>
    </w:p>
    <w:bookmarkEnd w:id="2"/>
    <w:p w14:paraId="19F00936">
      <w:pPr>
        <w:pStyle w:val="186"/>
        <w:pageBreakBefore/>
        <w:rPr>
          <w:rFonts w:ascii="黑体" w:eastAsia="黑体"/>
          <w:bCs w:val="0"/>
          <w:i w:val="0"/>
          <w:iCs w:val="0"/>
          <w:color w:val="auto"/>
          <w:sz w:val="28"/>
          <w:szCs w:val="28"/>
          <w:highlight w:val="none"/>
        </w:rPr>
      </w:pPr>
      <w:bookmarkStart w:id="5" w:name="_Toc61444836"/>
      <w:r>
        <w:rPr>
          <w:rFonts w:hint="eastAsia" w:ascii="黑体" w:hAnsi="黑体" w:eastAsia="黑体"/>
          <w:b w:val="0"/>
          <w:i w:val="0"/>
          <w:iCs w:val="0"/>
          <w:color w:val="auto"/>
          <w:sz w:val="32"/>
          <w:szCs w:val="32"/>
          <w:highlight w:val="none"/>
          <w:lang w:eastAsia="zh-CN"/>
        </w:rPr>
        <w:t>第二章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投标人须知</w:t>
      </w:r>
      <w:bookmarkEnd w:id="5"/>
    </w:p>
    <w:p w14:paraId="5C4CADAC">
      <w:pPr>
        <w:pStyle w:val="360"/>
        <w:keepNext w:val="0"/>
        <w:keepLines w:val="0"/>
        <w:spacing w:before="0" w:after="0" w:line="500" w:lineRule="exact"/>
        <w:ind w:left="834" w:hanging="454"/>
        <w:jc w:val="center"/>
        <w:rPr>
          <w:rFonts w:hint="eastAsia"/>
          <w:i w:val="0"/>
          <w:iCs w:val="0"/>
          <w:color w:val="auto"/>
          <w:sz w:val="32"/>
          <w:szCs w:val="32"/>
          <w:highlight w:val="none"/>
        </w:rPr>
      </w:pPr>
      <w:bookmarkStart w:id="6" w:name="_Toc20823275"/>
      <w:bookmarkStart w:id="7" w:name="_Toc513029203"/>
      <w:bookmarkStart w:id="8" w:name="_Toc120614214"/>
      <w:bookmarkStart w:id="9" w:name="_Toc16938519"/>
      <w:r>
        <w:rPr>
          <w:rFonts w:hint="eastAsia"/>
          <w:i w:val="0"/>
          <w:iCs w:val="0"/>
          <w:color w:val="auto"/>
          <w:sz w:val="32"/>
          <w:szCs w:val="32"/>
          <w:highlight w:val="none"/>
        </w:rPr>
        <w:t>一、总则</w:t>
      </w:r>
      <w:bookmarkEnd w:id="6"/>
      <w:bookmarkEnd w:id="7"/>
      <w:bookmarkEnd w:id="8"/>
      <w:bookmarkEnd w:id="9"/>
    </w:p>
    <w:p w14:paraId="0AC8AD17">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 w:name="_Hlt16619475"/>
      <w:bookmarkEnd w:id="10"/>
      <w:bookmarkStart w:id="11" w:name="_Toc513029204"/>
      <w:bookmarkStart w:id="12" w:name="_Toc20823276"/>
      <w:bookmarkStart w:id="13" w:name="_Toc16938520"/>
      <w:r>
        <w:rPr>
          <w:rFonts w:hint="eastAsia" w:ascii="宋体" w:hAnsi="宋体" w:eastAsia="宋体"/>
          <w:bCs w:val="0"/>
          <w:i w:val="0"/>
          <w:iCs w:val="0"/>
          <w:color w:val="auto"/>
          <w:sz w:val="24"/>
          <w:szCs w:val="24"/>
          <w:highlight w:val="none"/>
        </w:rPr>
        <w:t>1.招标方式</w:t>
      </w:r>
      <w:bookmarkEnd w:id="11"/>
      <w:bookmarkEnd w:id="12"/>
      <w:bookmarkEnd w:id="13"/>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4" w:name="_Toc16938521"/>
      <w:bookmarkStart w:id="15" w:name="_Toc513029205"/>
      <w:bookmarkStart w:id="16" w:name="_Toc20823277"/>
      <w:r>
        <w:rPr>
          <w:rFonts w:hint="eastAsia" w:ascii="宋体" w:hAnsi="宋体" w:eastAsia="宋体"/>
          <w:bCs w:val="0"/>
          <w:i w:val="0"/>
          <w:iCs w:val="0"/>
          <w:color w:val="auto"/>
          <w:sz w:val="24"/>
          <w:szCs w:val="24"/>
          <w:highlight w:val="none"/>
        </w:rPr>
        <w:t>2.</w:t>
      </w:r>
      <w:bookmarkEnd w:id="14"/>
      <w:bookmarkEnd w:id="15"/>
      <w:bookmarkEnd w:id="16"/>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7" w:name="_Toc513029206"/>
      <w:bookmarkStart w:id="18" w:name="_Toc20823278"/>
      <w:bookmarkStart w:id="19" w:name="_Toc16938522"/>
      <w:r>
        <w:rPr>
          <w:rFonts w:hint="eastAsia" w:ascii="宋体" w:hAnsi="宋体" w:eastAsia="宋体"/>
          <w:bCs w:val="0"/>
          <w:i w:val="0"/>
          <w:iCs w:val="0"/>
          <w:color w:val="auto"/>
          <w:sz w:val="24"/>
          <w:szCs w:val="24"/>
          <w:highlight w:val="none"/>
        </w:rPr>
        <w:t>3.适用法律</w:t>
      </w:r>
      <w:bookmarkEnd w:id="17"/>
      <w:bookmarkEnd w:id="18"/>
      <w:bookmarkEnd w:id="19"/>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0" w:name="_Toc16938523"/>
      <w:bookmarkStart w:id="21" w:name="_Toc20823279"/>
      <w:bookmarkStart w:id="22" w:name="_Toc513029207"/>
      <w:bookmarkStart w:id="23" w:name="_Toc462564067"/>
      <w:r>
        <w:rPr>
          <w:rFonts w:hint="eastAsia" w:ascii="宋体" w:hAnsi="宋体" w:eastAsia="宋体"/>
          <w:bCs w:val="0"/>
          <w:i w:val="0"/>
          <w:iCs w:val="0"/>
          <w:color w:val="auto"/>
          <w:sz w:val="24"/>
          <w:szCs w:val="24"/>
          <w:highlight w:val="none"/>
        </w:rPr>
        <w:t>4.投标费用</w:t>
      </w:r>
      <w:bookmarkEnd w:id="20"/>
      <w:bookmarkEnd w:id="21"/>
      <w:bookmarkEnd w:id="22"/>
      <w:bookmarkEnd w:id="23"/>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360"/>
        <w:keepNext w:val="0"/>
        <w:keepLines w:val="0"/>
        <w:spacing w:before="0" w:after="0" w:line="500" w:lineRule="exact"/>
        <w:jc w:val="center"/>
        <w:rPr>
          <w:rFonts w:hint="eastAsia"/>
          <w:i w:val="0"/>
          <w:iCs w:val="0"/>
          <w:color w:val="auto"/>
          <w:sz w:val="32"/>
          <w:szCs w:val="32"/>
          <w:highlight w:val="none"/>
        </w:rPr>
      </w:pPr>
      <w:bookmarkStart w:id="24" w:name="_Toc120614215"/>
      <w:bookmarkStart w:id="25" w:name="_Toc20823281"/>
      <w:bookmarkStart w:id="26" w:name="_Toc16938525"/>
      <w:bookmarkStart w:id="27" w:name="_Toc513029209"/>
      <w:r>
        <w:rPr>
          <w:rFonts w:hint="eastAsia"/>
          <w:i w:val="0"/>
          <w:iCs w:val="0"/>
          <w:color w:val="auto"/>
          <w:sz w:val="32"/>
          <w:szCs w:val="32"/>
          <w:highlight w:val="none"/>
        </w:rPr>
        <w:t>二、招标文件</w:t>
      </w:r>
      <w:bookmarkEnd w:id="24"/>
      <w:bookmarkEnd w:id="25"/>
      <w:bookmarkEnd w:id="26"/>
      <w:bookmarkEnd w:id="27"/>
    </w:p>
    <w:p w14:paraId="7C98BEF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8" w:name="_Toc16938526"/>
      <w:bookmarkStart w:id="29" w:name="_Toc513029210"/>
      <w:bookmarkStart w:id="30" w:name="_Toc20823282"/>
      <w:r>
        <w:rPr>
          <w:rFonts w:hint="eastAsia" w:ascii="宋体" w:hAnsi="宋体" w:eastAsia="宋体"/>
          <w:bCs w:val="0"/>
          <w:i w:val="0"/>
          <w:iCs w:val="0"/>
          <w:color w:val="auto"/>
          <w:sz w:val="24"/>
          <w:szCs w:val="24"/>
          <w:highlight w:val="none"/>
        </w:rPr>
        <w:t>6.招标文件构成</w:t>
      </w:r>
      <w:bookmarkEnd w:id="28"/>
      <w:bookmarkEnd w:id="29"/>
      <w:bookmarkEnd w:id="30"/>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1" w:name="_Toc462564070"/>
      <w:bookmarkStart w:id="32" w:name="_Toc20823283"/>
      <w:bookmarkStart w:id="33" w:name="_Toc513029211"/>
      <w:bookmarkStart w:id="34" w:name="_Toc16938527"/>
      <w:r>
        <w:rPr>
          <w:rFonts w:hint="eastAsia" w:ascii="宋体" w:hAnsi="宋体" w:eastAsia="宋体"/>
          <w:bCs w:val="0"/>
          <w:i w:val="0"/>
          <w:iCs w:val="0"/>
          <w:color w:val="auto"/>
          <w:sz w:val="24"/>
          <w:szCs w:val="24"/>
          <w:highlight w:val="none"/>
        </w:rPr>
        <w:t>7.招标文件的澄清</w:t>
      </w:r>
      <w:bookmarkEnd w:id="31"/>
      <w:bookmarkEnd w:id="32"/>
      <w:bookmarkEnd w:id="33"/>
      <w:bookmarkEnd w:id="34"/>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不将</w:t>
      </w:r>
      <w:r>
        <w:rPr>
          <w:rFonts w:hint="eastAsia" w:ascii="宋体" w:hAnsi="宋体"/>
          <w:bCs/>
          <w:i w:val="0"/>
          <w:iCs w:val="0"/>
          <w:color w:val="auto"/>
          <w:sz w:val="24"/>
          <w:szCs w:val="24"/>
          <w:highlight w:val="none"/>
        </w:rPr>
        <w:t>召开开标前</w:t>
      </w:r>
      <w:r>
        <w:rPr>
          <w:rFonts w:hint="eastAsia" w:ascii="宋体" w:hAnsi="宋体"/>
          <w:bCs/>
          <w:i w:val="0"/>
          <w:iCs w:val="0"/>
          <w:color w:val="auto"/>
          <w:sz w:val="24"/>
          <w:szCs w:val="24"/>
          <w:highlight w:val="none"/>
          <w:lang w:eastAsia="zh-CN"/>
        </w:rPr>
        <w:t>现场</w:t>
      </w:r>
      <w:r>
        <w:rPr>
          <w:rFonts w:hint="eastAsia" w:ascii="宋体" w:hAnsi="宋体"/>
          <w:bCs/>
          <w:i w:val="0"/>
          <w:iCs w:val="0"/>
          <w:color w:val="auto"/>
          <w:sz w:val="24"/>
          <w:szCs w:val="24"/>
          <w:highlight w:val="none"/>
        </w:rPr>
        <w:t>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5" w:name="_Toc20823284"/>
      <w:bookmarkStart w:id="36" w:name="_Toc462564071"/>
      <w:bookmarkStart w:id="37" w:name="_Toc16938528"/>
      <w:bookmarkStart w:id="38" w:name="_Toc513029212"/>
      <w:r>
        <w:rPr>
          <w:rFonts w:hint="eastAsia" w:ascii="宋体" w:hAnsi="宋体" w:eastAsia="宋体"/>
          <w:bCs w:val="0"/>
          <w:i w:val="0"/>
          <w:iCs w:val="0"/>
          <w:color w:val="auto"/>
          <w:sz w:val="24"/>
          <w:szCs w:val="24"/>
          <w:highlight w:val="none"/>
        </w:rPr>
        <w:t>8.招标文件的修改</w:t>
      </w:r>
      <w:bookmarkEnd w:id="35"/>
      <w:bookmarkEnd w:id="36"/>
      <w:bookmarkEnd w:id="37"/>
      <w:bookmarkEnd w:id="38"/>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360"/>
        <w:keepNext w:val="0"/>
        <w:keepLines w:val="0"/>
        <w:spacing w:before="0" w:after="0" w:line="500" w:lineRule="exact"/>
        <w:jc w:val="center"/>
        <w:rPr>
          <w:rFonts w:hint="eastAsia"/>
          <w:i w:val="0"/>
          <w:iCs w:val="0"/>
          <w:color w:val="auto"/>
          <w:sz w:val="32"/>
          <w:szCs w:val="32"/>
          <w:highlight w:val="none"/>
        </w:rPr>
      </w:pPr>
      <w:bookmarkStart w:id="39" w:name="_Toc513029213"/>
      <w:bookmarkStart w:id="40" w:name="_Toc120614216"/>
      <w:bookmarkStart w:id="41" w:name="_Toc16938529"/>
      <w:bookmarkStart w:id="42" w:name="_Toc462564072"/>
      <w:bookmarkStart w:id="43" w:name="_Toc20823285"/>
      <w:r>
        <w:rPr>
          <w:rFonts w:hint="eastAsia"/>
          <w:i w:val="0"/>
          <w:iCs w:val="0"/>
          <w:color w:val="auto"/>
          <w:sz w:val="32"/>
          <w:szCs w:val="32"/>
          <w:highlight w:val="none"/>
        </w:rPr>
        <w:t>三、投标文件的编制</w:t>
      </w:r>
      <w:bookmarkEnd w:id="39"/>
      <w:bookmarkEnd w:id="40"/>
      <w:bookmarkEnd w:id="41"/>
      <w:bookmarkEnd w:id="42"/>
      <w:bookmarkEnd w:id="43"/>
    </w:p>
    <w:p w14:paraId="6CA59F8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4" w:name="_Toc16938530"/>
      <w:bookmarkStart w:id="45" w:name="_Toc20823286"/>
      <w:bookmarkStart w:id="46" w:name="_Toc513029214"/>
      <w:bookmarkStart w:id="47" w:name="_Toc462564073"/>
      <w:r>
        <w:rPr>
          <w:rFonts w:hint="eastAsia" w:ascii="宋体" w:hAnsi="宋体" w:eastAsia="宋体"/>
          <w:bCs w:val="0"/>
          <w:i w:val="0"/>
          <w:iCs w:val="0"/>
          <w:color w:val="auto"/>
          <w:sz w:val="24"/>
          <w:szCs w:val="24"/>
          <w:highlight w:val="none"/>
        </w:rPr>
        <w:t>9.投标文件的语言及度量衡单位</w:t>
      </w:r>
      <w:bookmarkEnd w:id="44"/>
      <w:bookmarkEnd w:id="45"/>
      <w:bookmarkEnd w:id="46"/>
      <w:bookmarkEnd w:id="47"/>
    </w:p>
    <w:p w14:paraId="2D5E73C5">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9.1投标人提交的投标文件以及投标人与</w:t>
      </w:r>
      <w:r>
        <w:rPr>
          <w:rFonts w:hint="eastAsia" w:ascii="宋体" w:hAnsi="宋体" w:eastAsia="宋体" w:cs="Times New Roman"/>
          <w:bCs/>
          <w:color w:val="auto"/>
          <w:sz w:val="24"/>
          <w:szCs w:val="24"/>
          <w:highlight w:val="none"/>
          <w:lang w:val="zh-CN" w:eastAsia="zh-CN"/>
        </w:rPr>
        <w:t>采购中心</w:t>
      </w:r>
      <w:r>
        <w:rPr>
          <w:rFonts w:hint="eastAsia" w:ascii="宋体" w:hAnsi="宋体" w:eastAsia="宋体" w:cs="Times New Roman"/>
          <w:bCs/>
          <w:color w:val="auto"/>
          <w:sz w:val="24"/>
          <w:szCs w:val="24"/>
          <w:highlight w:val="none"/>
          <w:lang w:val="zh-CN"/>
        </w:rPr>
        <w:t>就有关投标的所有来往通知、函件和文件均应使用简体中文（规格、型号辅助符号例外）。</w:t>
      </w:r>
    </w:p>
    <w:p w14:paraId="1C4F21F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9.2除技术性能另有规定外，投标文件所使用的度量衡单位，均须采用国家法定计量单位。</w:t>
      </w:r>
    </w:p>
    <w:p w14:paraId="0AD17D3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9.3投标文件由投标人按给定格式如实填写(编写)，须有法人(盖章)、法定代表人或法定代表人授权代表签字或盖章，方为有效，未尽事宜可自行补充。</w:t>
      </w:r>
    </w:p>
    <w:p w14:paraId="573030F0">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9.4如无特别说明，投标人报价一律以人民币为投标结算货币，结算单位为“元”。</w:t>
      </w:r>
    </w:p>
    <w:p w14:paraId="2B66418E">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9.5投标文件格式部分，应由投标人按给定格式提供，不得更改。</w:t>
      </w:r>
    </w:p>
    <w:p w14:paraId="7ADF886F">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eastAsia="宋体" w:cs="Times New Roman"/>
          <w:bCs/>
          <w:i w:val="0"/>
          <w:iCs w:val="0"/>
          <w:color w:val="auto"/>
          <w:sz w:val="24"/>
          <w:szCs w:val="24"/>
          <w:highlight w:val="none"/>
          <w:lang w:val="zh-CN"/>
        </w:rPr>
      </w:pPr>
      <w:r>
        <w:rPr>
          <w:rFonts w:hint="eastAsia" w:ascii="宋体" w:hAnsi="宋体" w:eastAsia="宋体" w:cs="Times New Roman"/>
          <w:bCs/>
          <w:i w:val="0"/>
          <w:iCs w:val="0"/>
          <w:color w:val="auto"/>
          <w:sz w:val="24"/>
          <w:szCs w:val="24"/>
          <w:highlight w:val="none"/>
          <w:lang w:val="zh-CN"/>
        </w:rPr>
        <w:t>9.7投标费用自理。</w:t>
      </w:r>
    </w:p>
    <w:p w14:paraId="63A53DCB">
      <w:pPr>
        <w:spacing w:line="500" w:lineRule="exact"/>
        <w:ind w:firstLine="480"/>
        <w:rPr>
          <w:rFonts w:hint="eastAsia" w:ascii="宋体" w:hAnsi="宋体" w:eastAsia="宋体" w:cs="宋体"/>
          <w:b/>
          <w:bCs w:val="0"/>
          <w:i w:val="0"/>
          <w:iCs w:val="0"/>
          <w:color w:val="auto"/>
          <w:sz w:val="24"/>
          <w:szCs w:val="24"/>
          <w:highlight w:val="none"/>
        </w:rPr>
      </w:pPr>
      <w:bookmarkStart w:id="48" w:name="_Toc20823287"/>
      <w:bookmarkStart w:id="49" w:name="_Toc462564074"/>
      <w:bookmarkStart w:id="50" w:name="_Toc16938531"/>
      <w:bookmarkStart w:id="51" w:name="_Toc513029215"/>
      <w:r>
        <w:rPr>
          <w:rFonts w:hint="eastAsia" w:ascii="宋体" w:hAnsi="宋体" w:eastAsia="宋体" w:cs="宋体"/>
          <w:b/>
          <w:bCs w:val="0"/>
          <w:i w:val="0"/>
          <w:iCs w:val="0"/>
          <w:color w:val="auto"/>
          <w:sz w:val="24"/>
          <w:szCs w:val="24"/>
          <w:highlight w:val="none"/>
        </w:rPr>
        <w:t>10.投标文件构成</w:t>
      </w:r>
      <w:bookmarkEnd w:id="48"/>
      <w:bookmarkEnd w:id="49"/>
      <w:bookmarkEnd w:id="50"/>
      <w:bookmarkEnd w:id="51"/>
    </w:p>
    <w:p w14:paraId="7B1EB53B">
      <w:pPr>
        <w:spacing w:line="500" w:lineRule="exact"/>
        <w:ind w:firstLine="480"/>
        <w:rPr>
          <w:rFonts w:ascii="宋体" w:hAnsi="宋体"/>
          <w:i w:val="0"/>
          <w:iCs w:val="0"/>
          <w:color w:val="auto"/>
          <w:sz w:val="24"/>
          <w:szCs w:val="24"/>
          <w:highlight w:val="none"/>
        </w:rPr>
      </w:pPr>
      <w:r>
        <w:rPr>
          <w:rFonts w:hint="eastAsia" w:ascii="宋体" w:hAnsi="宋体" w:eastAsia="宋体" w:cs="Times New Roman"/>
          <w:bCs/>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w:t>
      </w:r>
      <w:r>
        <w:rPr>
          <w:rFonts w:hint="eastAsia" w:ascii="宋体" w:hAnsi="宋体"/>
          <w:i w:val="0"/>
          <w:iCs w:val="0"/>
          <w:color w:val="auto"/>
          <w:sz w:val="24"/>
          <w:szCs w:val="24"/>
          <w:highlight w:val="none"/>
        </w:rPr>
        <w:t>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10.2投标人所须提供的相关证明文件和要求以及投标文件的部分格式要求，详见第六章《投标文件内容与格式》。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2" w:name="_Hlt26954838"/>
      <w:bookmarkEnd w:id="52"/>
      <w:bookmarkStart w:id="53" w:name="_Hlt26668975"/>
      <w:bookmarkEnd w:id="53"/>
      <w:bookmarkStart w:id="54" w:name="_Hlt26670360"/>
      <w:bookmarkEnd w:id="54"/>
      <w:bookmarkStart w:id="55" w:name="_Toc513029219"/>
      <w:bookmarkStart w:id="56" w:name="_Toc14577357"/>
      <w:bookmarkStart w:id="57" w:name="_Toc49090509"/>
      <w:bookmarkStart w:id="58" w:name="_Toc49090507"/>
      <w:bookmarkStart w:id="59" w:name="_Toc513029216"/>
      <w:bookmarkStart w:id="60" w:name="_Toc14577354"/>
      <w:r>
        <w:rPr>
          <w:rFonts w:hint="eastAsia" w:ascii="宋体" w:hAnsi="宋体" w:eastAsia="宋体"/>
          <w:bCs w:val="0"/>
          <w:i w:val="0"/>
          <w:iCs w:val="0"/>
          <w:color w:val="auto"/>
          <w:sz w:val="24"/>
          <w:szCs w:val="24"/>
          <w:highlight w:val="none"/>
        </w:rPr>
        <w:t>11.证明投标人及投标标的符合招标文件规定的文件</w:t>
      </w:r>
      <w:bookmarkEnd w:id="55"/>
      <w:bookmarkEnd w:id="56"/>
      <w:bookmarkEnd w:id="57"/>
    </w:p>
    <w:bookmarkEnd w:id="58"/>
    <w:bookmarkEnd w:id="59"/>
    <w:bookmarkEnd w:id="60"/>
    <w:p w14:paraId="09C9178E">
      <w:pPr>
        <w:spacing w:line="500" w:lineRule="exact"/>
        <w:ind w:firstLine="480"/>
        <w:rPr>
          <w:rFonts w:hint="eastAsia" w:ascii="宋体" w:hAnsi="宋体"/>
          <w:bCs/>
          <w:i w:val="0"/>
          <w:iCs w:val="0"/>
          <w:color w:val="auto"/>
          <w:sz w:val="24"/>
          <w:szCs w:val="24"/>
          <w:highlight w:val="none"/>
        </w:rPr>
      </w:pPr>
      <w:bookmarkStart w:id="61" w:name="_Toc14577355"/>
      <w:bookmarkStart w:id="62" w:name="_Toc49090508"/>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3" w:name="_Toc14577359"/>
      <w:bookmarkStart w:id="64"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3"/>
    <w:bookmarkEnd w:id="64"/>
    <w:p w14:paraId="5AD02F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1"/>
      <w:bookmarkEnd w:id="62"/>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5" w:name="_Hlt26954840"/>
      <w:bookmarkEnd w:id="65"/>
      <w:r>
        <w:rPr>
          <w:rFonts w:hint="eastAsia" w:ascii="宋体" w:hAnsi="宋体"/>
          <w:i w:val="0"/>
          <w:iCs w:val="0"/>
          <w:color w:val="auto"/>
          <w:sz w:val="24"/>
          <w:szCs w:val="24"/>
          <w:highlight w:val="none"/>
        </w:rPr>
        <w:t>标人应按照招标文件规定格式填报</w:t>
      </w:r>
      <w:bookmarkStart w:id="66" w:name="_Hlt26670399"/>
      <w:bookmarkEnd w:id="66"/>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7" w:name="_Hlt26670425"/>
      <w:bookmarkEnd w:id="67"/>
      <w:bookmarkStart w:id="68" w:name="_Hlt26670403"/>
      <w:bookmarkEnd w:id="68"/>
      <w:bookmarkStart w:id="69" w:name="_Hlt26670486"/>
      <w:bookmarkEnd w:id="69"/>
      <w:bookmarkStart w:id="70" w:name="_Hlt26954848"/>
      <w:bookmarkEnd w:id="70"/>
      <w:bookmarkStart w:id="71" w:name="_Hlt26954844"/>
      <w:bookmarkEnd w:id="71"/>
      <w:bookmarkStart w:id="72" w:name="_Hlt26954731"/>
      <w:bookmarkEnd w:id="72"/>
      <w:bookmarkStart w:id="73" w:name="_Hlt26954842"/>
      <w:bookmarkEnd w:id="73"/>
      <w:bookmarkStart w:id="74" w:name="_Hlt26668983"/>
      <w:bookmarkEnd w:id="74"/>
      <w:bookmarkStart w:id="75" w:name="_Hlt26670482"/>
      <w:bookmarkEnd w:id="75"/>
      <w:bookmarkStart w:id="76" w:name="_Hlt26954846"/>
      <w:bookmarkEnd w:id="76"/>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7" w:name="_Hlt26670489"/>
      <w:bookmarkEnd w:id="77"/>
      <w:bookmarkStart w:id="78" w:name="_Hlt26954850"/>
      <w:bookmarkEnd w:id="78"/>
      <w:bookmarkStart w:id="79" w:name="_Hlt26954734"/>
      <w:bookmarkEnd w:id="79"/>
      <w:bookmarkStart w:id="80" w:name="_Toc49090511"/>
      <w:bookmarkStart w:id="81" w:name="_Toc14577360"/>
      <w:r>
        <w:rPr>
          <w:rFonts w:hint="eastAsia" w:ascii="宋体" w:hAnsi="宋体" w:eastAsia="宋体"/>
          <w:bCs w:val="0"/>
          <w:i w:val="0"/>
          <w:iCs w:val="0"/>
          <w:color w:val="auto"/>
          <w:sz w:val="24"/>
          <w:szCs w:val="24"/>
          <w:highlight w:val="none"/>
        </w:rPr>
        <w:t>15.投标有效期</w:t>
      </w:r>
      <w:bookmarkEnd w:id="80"/>
      <w:bookmarkEnd w:id="81"/>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360"/>
        <w:keepNext w:val="0"/>
        <w:keepLines w:val="0"/>
        <w:spacing w:before="0" w:after="0" w:line="500" w:lineRule="exact"/>
        <w:jc w:val="center"/>
        <w:rPr>
          <w:rFonts w:hint="eastAsia"/>
          <w:i w:val="0"/>
          <w:iCs w:val="0"/>
          <w:color w:val="auto"/>
          <w:sz w:val="32"/>
          <w:szCs w:val="32"/>
          <w:highlight w:val="none"/>
        </w:rPr>
      </w:pPr>
      <w:bookmarkStart w:id="82" w:name="_Hlt26954852"/>
      <w:bookmarkEnd w:id="82"/>
      <w:bookmarkStart w:id="83" w:name="_Hlt26954739"/>
      <w:bookmarkEnd w:id="83"/>
      <w:bookmarkStart w:id="84" w:name="_Toc16938540"/>
      <w:bookmarkStart w:id="85" w:name="_Toc120614217"/>
      <w:bookmarkStart w:id="86" w:name="_Toc513029224"/>
      <w:bookmarkStart w:id="87" w:name="_Toc20823296"/>
      <w:r>
        <w:rPr>
          <w:rFonts w:hint="eastAsia"/>
          <w:i w:val="0"/>
          <w:iCs w:val="0"/>
          <w:color w:val="auto"/>
          <w:sz w:val="32"/>
          <w:szCs w:val="32"/>
          <w:highlight w:val="none"/>
        </w:rPr>
        <w:t>四、投标文件的递交</w:t>
      </w:r>
      <w:bookmarkEnd w:id="84"/>
      <w:bookmarkEnd w:id="85"/>
      <w:bookmarkEnd w:id="86"/>
      <w:bookmarkEnd w:id="87"/>
    </w:p>
    <w:p w14:paraId="0087F770">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8" w:name="_Toc20823297"/>
      <w:bookmarkStart w:id="89" w:name="_Toc16938541"/>
      <w:bookmarkStart w:id="90" w:name="_Toc462564084"/>
      <w:bookmarkStart w:id="91" w:name="_Toc513029225"/>
      <w:r>
        <w:rPr>
          <w:rFonts w:hint="eastAsia" w:ascii="宋体" w:hAnsi="宋体" w:eastAsia="宋体"/>
          <w:bCs w:val="0"/>
          <w:i w:val="0"/>
          <w:iCs w:val="0"/>
          <w:color w:val="auto"/>
          <w:sz w:val="24"/>
          <w:szCs w:val="24"/>
          <w:highlight w:val="none"/>
        </w:rPr>
        <w:t>17.投标文件</w:t>
      </w:r>
      <w:bookmarkEnd w:id="88"/>
      <w:bookmarkEnd w:id="89"/>
      <w:bookmarkEnd w:id="90"/>
      <w:bookmarkEnd w:id="91"/>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51"/>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2" w:name="_Toc513029226"/>
      <w:bookmarkStart w:id="93" w:name="_Toc16938542"/>
      <w:bookmarkStart w:id="94" w:name="_Toc20823298"/>
    </w:p>
    <w:p w14:paraId="2ECB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2"/>
      <w:bookmarkEnd w:id="93"/>
      <w:bookmarkEnd w:id="94"/>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5" w:name="_Toc513029227"/>
      <w:bookmarkStart w:id="96" w:name="_Toc16938543"/>
      <w:bookmarkStart w:id="97" w:name="_Toc20823299"/>
      <w:r>
        <w:rPr>
          <w:rFonts w:hint="eastAsia" w:ascii="宋体" w:hAnsi="宋体" w:eastAsia="宋体"/>
          <w:bCs w:val="0"/>
          <w:i w:val="0"/>
          <w:iCs w:val="0"/>
          <w:color w:val="auto"/>
          <w:sz w:val="24"/>
          <w:szCs w:val="24"/>
          <w:highlight w:val="none"/>
        </w:rPr>
        <w:t>19.投标文件</w:t>
      </w:r>
      <w:bookmarkEnd w:id="95"/>
      <w:bookmarkEnd w:id="96"/>
      <w:bookmarkEnd w:id="97"/>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8" w:name="_Toc20823300"/>
      <w:bookmarkStart w:id="99" w:name="_Toc16938544"/>
      <w:bookmarkStart w:id="100" w:name="_Toc513029228"/>
      <w:r>
        <w:rPr>
          <w:rFonts w:hint="eastAsia" w:ascii="宋体" w:hAnsi="宋体" w:eastAsia="宋体"/>
          <w:bCs w:val="0"/>
          <w:i w:val="0"/>
          <w:iCs w:val="0"/>
          <w:color w:val="auto"/>
          <w:sz w:val="24"/>
          <w:szCs w:val="24"/>
          <w:highlight w:val="none"/>
        </w:rPr>
        <w:t>20.投标文件的撤回和修改</w:t>
      </w:r>
      <w:bookmarkEnd w:id="98"/>
      <w:bookmarkEnd w:id="99"/>
      <w:bookmarkEnd w:id="100"/>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360"/>
        <w:keepNext w:val="0"/>
        <w:keepLines w:val="0"/>
        <w:spacing w:before="0" w:after="0" w:line="500" w:lineRule="exact"/>
        <w:jc w:val="center"/>
        <w:rPr>
          <w:rFonts w:hint="eastAsia"/>
          <w:i w:val="0"/>
          <w:iCs w:val="0"/>
          <w:color w:val="auto"/>
          <w:sz w:val="32"/>
          <w:szCs w:val="32"/>
          <w:highlight w:val="none"/>
        </w:rPr>
      </w:pPr>
      <w:bookmarkStart w:id="101" w:name="_Toc513029229"/>
      <w:bookmarkStart w:id="102" w:name="_Toc20823301"/>
      <w:bookmarkStart w:id="103" w:name="_Toc120614218"/>
      <w:bookmarkStart w:id="104" w:name="_Toc16938545"/>
      <w:r>
        <w:rPr>
          <w:rFonts w:hint="eastAsia"/>
          <w:i w:val="0"/>
          <w:iCs w:val="0"/>
          <w:color w:val="auto"/>
          <w:sz w:val="32"/>
          <w:szCs w:val="32"/>
          <w:highlight w:val="none"/>
        </w:rPr>
        <w:t>五、开标与评标</w:t>
      </w:r>
      <w:bookmarkEnd w:id="101"/>
      <w:bookmarkEnd w:id="102"/>
      <w:bookmarkEnd w:id="103"/>
      <w:bookmarkEnd w:id="104"/>
    </w:p>
    <w:p w14:paraId="5B13937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5" w:name="_Toc20823302"/>
      <w:bookmarkStart w:id="106" w:name="_Toc513029230"/>
      <w:bookmarkStart w:id="107" w:name="_Toc16938546"/>
      <w:r>
        <w:rPr>
          <w:rFonts w:hint="eastAsia" w:ascii="宋体" w:hAnsi="宋体" w:eastAsia="宋体"/>
          <w:bCs w:val="0"/>
          <w:i w:val="0"/>
          <w:iCs w:val="0"/>
          <w:color w:val="auto"/>
          <w:sz w:val="24"/>
          <w:szCs w:val="24"/>
          <w:highlight w:val="none"/>
        </w:rPr>
        <w:t>21.开标</w:t>
      </w:r>
      <w:bookmarkEnd w:id="105"/>
      <w:bookmarkEnd w:id="106"/>
      <w:bookmarkEnd w:id="107"/>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8" w:name="_Toc16938547"/>
      <w:bookmarkStart w:id="109" w:name="_Toc513029231"/>
      <w:bookmarkStart w:id="110" w:name="_Toc20823303"/>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8"/>
    <w:bookmarkEnd w:id="109"/>
    <w:bookmarkEnd w:id="110"/>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1" w:name="_Toc513029232"/>
      <w:bookmarkStart w:id="112" w:name="_Toc16938548"/>
      <w:bookmarkStart w:id="113" w:name="_Toc20823304"/>
      <w:r>
        <w:rPr>
          <w:rFonts w:hint="eastAsia" w:ascii="宋体" w:hAnsi="宋体" w:eastAsia="宋体"/>
          <w:bCs w:val="0"/>
          <w:i w:val="0"/>
          <w:iCs w:val="0"/>
          <w:color w:val="auto"/>
          <w:sz w:val="24"/>
          <w:szCs w:val="24"/>
          <w:highlight w:val="none"/>
        </w:rPr>
        <w:t>24.投标文件的澄清</w:t>
      </w:r>
      <w:bookmarkEnd w:id="111"/>
      <w:bookmarkEnd w:id="112"/>
      <w:bookmarkEnd w:id="113"/>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4" w:name="_Toc16938549"/>
      <w:bookmarkStart w:id="115" w:name="_Toc20823305"/>
      <w:bookmarkStart w:id="116" w:name="_Toc513029233"/>
      <w:r>
        <w:rPr>
          <w:rFonts w:hint="eastAsia" w:ascii="宋体" w:hAnsi="宋体" w:eastAsia="宋体"/>
          <w:bCs w:val="0"/>
          <w:i w:val="0"/>
          <w:iCs w:val="0"/>
          <w:color w:val="auto"/>
          <w:sz w:val="24"/>
          <w:szCs w:val="24"/>
          <w:highlight w:val="none"/>
        </w:rPr>
        <w:t>25.对投标文件的初审</w:t>
      </w:r>
      <w:bookmarkEnd w:id="114"/>
      <w:bookmarkEnd w:id="115"/>
      <w:bookmarkEnd w:id="116"/>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7" w:name="_Toc20823306"/>
      <w:bookmarkStart w:id="118" w:name="_Toc16938550"/>
      <w:bookmarkStart w:id="119" w:name="_Toc513029234"/>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7"/>
      <w:bookmarkEnd w:id="118"/>
      <w:bookmarkEnd w:id="119"/>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20" w:name="_Toc16938551"/>
      <w:bookmarkStart w:id="121" w:name="_Toc513029235"/>
      <w:bookmarkStart w:id="122" w:name="_Toc20823307"/>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rPr>
        <w:t>26.1.23投标文件内容不全或不符合招标文件中规定的其它实质性要求和条件的</w:t>
      </w:r>
      <w:r>
        <w:rPr>
          <w:rFonts w:hint="eastAsia" w:ascii="宋体" w:hAnsi="宋体"/>
          <w:bCs/>
          <w:i w:val="0"/>
          <w:iCs w:val="0"/>
          <w:color w:val="auto"/>
          <w:sz w:val="24"/>
          <w:szCs w:val="24"/>
          <w:highlight w:val="none"/>
          <w:lang w:eastAsia="zh-CN"/>
        </w:rPr>
        <w:t>。</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26.1.24其他法律、法规及本招标文件规定的属无效投标的情形。</w:t>
      </w:r>
    </w:p>
    <w:p w14:paraId="56B98DE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58A7056E">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360"/>
        <w:keepNext w:val="0"/>
        <w:keepLines w:val="0"/>
        <w:spacing w:before="0" w:after="0" w:line="500" w:lineRule="exact"/>
        <w:jc w:val="center"/>
        <w:rPr>
          <w:rFonts w:hint="eastAsia"/>
          <w:i w:val="0"/>
          <w:iCs w:val="0"/>
          <w:color w:val="auto"/>
          <w:sz w:val="32"/>
          <w:szCs w:val="32"/>
          <w:highlight w:val="none"/>
        </w:rPr>
      </w:pPr>
      <w:bookmarkStart w:id="123" w:name="_Toc120614219"/>
      <w:r>
        <w:rPr>
          <w:rFonts w:hint="eastAsia"/>
          <w:i w:val="0"/>
          <w:iCs w:val="0"/>
          <w:color w:val="auto"/>
          <w:sz w:val="32"/>
          <w:szCs w:val="32"/>
          <w:highlight w:val="none"/>
        </w:rPr>
        <w:t>六、</w:t>
      </w:r>
      <w:bookmarkEnd w:id="120"/>
      <w:bookmarkEnd w:id="121"/>
      <w:bookmarkEnd w:id="122"/>
      <w:r>
        <w:rPr>
          <w:rFonts w:hint="eastAsia"/>
          <w:i w:val="0"/>
          <w:iCs w:val="0"/>
          <w:color w:val="auto"/>
          <w:sz w:val="32"/>
          <w:szCs w:val="32"/>
          <w:highlight w:val="none"/>
        </w:rPr>
        <w:t>定标</w:t>
      </w:r>
      <w:bookmarkEnd w:id="123"/>
    </w:p>
    <w:p w14:paraId="1095B43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4" w:name="_Toc513029238"/>
      <w:bookmarkStart w:id="125" w:name="_Toc16938554"/>
      <w:bookmarkStart w:id="126" w:name="_Toc20823310"/>
      <w:r>
        <w:rPr>
          <w:rFonts w:hint="eastAsia" w:ascii="宋体" w:hAnsi="宋体" w:eastAsia="宋体"/>
          <w:bCs w:val="0"/>
          <w:i w:val="0"/>
          <w:iCs w:val="0"/>
          <w:color w:val="auto"/>
          <w:sz w:val="24"/>
          <w:szCs w:val="24"/>
          <w:highlight w:val="none"/>
        </w:rPr>
        <w:t>27、</w:t>
      </w:r>
      <w:bookmarkEnd w:id="124"/>
      <w:r>
        <w:rPr>
          <w:rFonts w:hint="eastAsia" w:ascii="宋体" w:hAnsi="宋体" w:eastAsia="宋体"/>
          <w:bCs w:val="0"/>
          <w:i w:val="0"/>
          <w:iCs w:val="0"/>
          <w:color w:val="auto"/>
          <w:sz w:val="24"/>
          <w:szCs w:val="24"/>
          <w:highlight w:val="none"/>
        </w:rPr>
        <w:t>确定</w:t>
      </w:r>
      <w:bookmarkEnd w:id="125"/>
      <w:bookmarkEnd w:id="126"/>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7"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7"/>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360"/>
        <w:keepNext w:val="0"/>
        <w:keepLines w:val="0"/>
        <w:spacing w:before="0" w:after="0" w:line="500" w:lineRule="exact"/>
        <w:jc w:val="center"/>
        <w:rPr>
          <w:rFonts w:hint="eastAsia"/>
          <w:i w:val="0"/>
          <w:iCs w:val="0"/>
          <w:color w:val="auto"/>
          <w:sz w:val="32"/>
          <w:szCs w:val="32"/>
          <w:highlight w:val="none"/>
        </w:rPr>
      </w:pPr>
      <w:bookmarkStart w:id="128" w:name="_Toc120614220"/>
      <w:bookmarkStart w:id="129" w:name="_Toc16938552"/>
      <w:bookmarkStart w:id="130" w:name="_Toc513029236"/>
      <w:bookmarkStart w:id="131" w:name="_Toc20823308"/>
      <w:r>
        <w:rPr>
          <w:rFonts w:hint="eastAsia"/>
          <w:i w:val="0"/>
          <w:iCs w:val="0"/>
          <w:color w:val="auto"/>
          <w:sz w:val="32"/>
          <w:szCs w:val="32"/>
          <w:highlight w:val="none"/>
        </w:rPr>
        <w:t>七、授予合同</w:t>
      </w:r>
      <w:bookmarkEnd w:id="128"/>
    </w:p>
    <w:bookmarkEnd w:id="129"/>
    <w:bookmarkEnd w:id="130"/>
    <w:bookmarkEnd w:id="131"/>
    <w:p w14:paraId="78ED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b/>
          <w:bCs w:val="0"/>
          <w:i w:val="0"/>
          <w:iCs w:val="0"/>
          <w:color w:val="auto"/>
          <w:sz w:val="24"/>
          <w:szCs w:val="24"/>
          <w:highlight w:val="none"/>
          <w:lang w:val="en-US" w:eastAsia="zh-CN"/>
        </w:rPr>
      </w:pPr>
      <w:r>
        <w:rPr>
          <w:rFonts w:hint="eastAsia" w:ascii="宋体" w:hAnsi="宋体"/>
          <w:b/>
          <w:bCs w:val="0"/>
          <w:i w:val="0"/>
          <w:iCs w:val="0"/>
          <w:color w:val="auto"/>
          <w:sz w:val="24"/>
          <w:szCs w:val="24"/>
          <w:highlight w:val="none"/>
          <w:lang w:val="en-US" w:eastAsia="zh-CN"/>
        </w:rPr>
        <w:t>31.服务（包含与服务相关的货物）的追加</w:t>
      </w:r>
    </w:p>
    <w:p w14:paraId="6F428A40">
      <w:pPr>
        <w:spacing w:line="500" w:lineRule="exact"/>
        <w:ind w:firstLine="480"/>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BF91588">
      <w:pPr>
        <w:spacing w:line="400" w:lineRule="exact"/>
        <w:jc w:val="center"/>
        <w:rPr>
          <w:rFonts w:hint="eastAsia" w:ascii="黑体" w:eastAsia="黑体"/>
          <w:bCs/>
          <w:i w:val="0"/>
          <w:iCs w:val="0"/>
          <w:color w:val="auto"/>
          <w:sz w:val="30"/>
          <w:szCs w:val="30"/>
          <w:highlight w:val="none"/>
        </w:rPr>
      </w:pPr>
    </w:p>
    <w:p w14:paraId="25EB3406">
      <w:pPr>
        <w:spacing w:line="400" w:lineRule="exact"/>
        <w:rPr>
          <w:rFonts w:hint="eastAsia" w:ascii="黑体" w:eastAsia="黑体"/>
          <w:bCs/>
          <w:i w:val="0"/>
          <w:iCs w:val="0"/>
          <w:color w:val="auto"/>
          <w:sz w:val="30"/>
          <w:szCs w:val="30"/>
          <w:highlight w:val="none"/>
        </w:rPr>
      </w:pPr>
    </w:p>
    <w:p w14:paraId="463BFE41">
      <w:pPr>
        <w:spacing w:line="400" w:lineRule="exact"/>
        <w:rPr>
          <w:rFonts w:hint="eastAsia" w:ascii="黑体" w:eastAsia="黑体"/>
          <w:bCs/>
          <w:i w:val="0"/>
          <w:iCs w:val="0"/>
          <w:color w:val="auto"/>
          <w:sz w:val="30"/>
          <w:szCs w:val="30"/>
          <w:highlight w:val="none"/>
        </w:rPr>
      </w:pPr>
    </w:p>
    <w:p w14:paraId="7218823F">
      <w:pPr>
        <w:spacing w:line="360" w:lineRule="auto"/>
        <w:rPr>
          <w:rFonts w:hint="eastAsia" w:ascii="黑体" w:eastAsia="黑体"/>
          <w:bCs/>
          <w:i w:val="0"/>
          <w:iCs w:val="0"/>
          <w:color w:val="auto"/>
          <w:sz w:val="30"/>
          <w:szCs w:val="30"/>
          <w:highlight w:val="none"/>
        </w:rPr>
      </w:pPr>
    </w:p>
    <w:p w14:paraId="5F2A3C9F">
      <w:pPr>
        <w:pStyle w:val="186"/>
        <w:pageBreakBefore/>
        <w:rPr>
          <w:rFonts w:hint="eastAsia" w:ascii="黑体" w:eastAsia="黑体"/>
          <w:i w:val="0"/>
          <w:iCs w:val="0"/>
          <w:color w:val="auto"/>
          <w:sz w:val="30"/>
          <w:szCs w:val="30"/>
          <w:highlight w:val="none"/>
          <w:lang w:eastAsia="zh-CN"/>
        </w:rPr>
      </w:pPr>
      <w:bookmarkStart w:id="132" w:name="_Toc61444673"/>
      <w:r>
        <w:rPr>
          <w:rFonts w:hint="eastAsia" w:ascii="黑体" w:hAnsi="黑体" w:eastAsia="黑体"/>
          <w:b w:val="0"/>
          <w:i w:val="0"/>
          <w:iCs w:val="0"/>
          <w:color w:val="auto"/>
          <w:sz w:val="32"/>
          <w:szCs w:val="32"/>
          <w:highlight w:val="none"/>
          <w:lang w:eastAsia="zh-CN"/>
        </w:rPr>
        <w:t>第三章</w:t>
      </w:r>
      <w:r>
        <w:rPr>
          <w:rFonts w:hint="eastAsia" w:ascii="黑体" w:hAnsi="黑体" w:eastAsia="黑体"/>
          <w:b w:val="0"/>
          <w:i w:val="0"/>
          <w:iCs w:val="0"/>
          <w:color w:val="auto"/>
          <w:sz w:val="32"/>
          <w:szCs w:val="32"/>
          <w:highlight w:val="none"/>
          <w:lang w:val="en-US" w:eastAsia="zh-CN"/>
        </w:rPr>
        <w:t xml:space="preserve">  </w:t>
      </w:r>
      <w:bookmarkEnd w:id="132"/>
      <w:r>
        <w:rPr>
          <w:rFonts w:hint="eastAsia" w:ascii="黑体" w:hAnsi="黑体" w:eastAsia="黑体"/>
          <w:b w:val="0"/>
          <w:i w:val="0"/>
          <w:iCs w:val="0"/>
          <w:color w:val="auto"/>
          <w:sz w:val="32"/>
          <w:szCs w:val="32"/>
          <w:highlight w:val="none"/>
          <w:lang w:eastAsia="zh-CN"/>
        </w:rPr>
        <w:t>项目需求</w:t>
      </w:r>
    </w:p>
    <w:p w14:paraId="79EED3FE">
      <w:pPr>
        <w:spacing w:line="360" w:lineRule="auto"/>
        <w:ind w:firstLine="480"/>
        <w:rPr>
          <w:i w:val="0"/>
          <w:iCs w:val="0"/>
          <w:color w:val="auto"/>
          <w:highlight w:val="none"/>
        </w:rPr>
      </w:pPr>
      <w:bookmarkStart w:id="133" w:name="_Toc61444674"/>
      <w:r>
        <w:rPr>
          <w:rFonts w:hint="eastAsia" w:ascii="宋体" w:hAnsi="宋体" w:cs="宋体"/>
          <w:bCs/>
          <w:i w:val="0"/>
          <w:iCs w:val="0"/>
          <w:color w:val="auto"/>
          <w:sz w:val="24"/>
          <w:highlight w:val="none"/>
        </w:rPr>
        <w:t>本项目为</w:t>
      </w:r>
      <w:r>
        <w:rPr>
          <w:rFonts w:hint="eastAsia" w:ascii="宋体" w:hAnsi="宋体" w:cs="宋体"/>
          <w:bCs/>
          <w:i w:val="0"/>
          <w:iCs w:val="0"/>
          <w:color w:val="auto"/>
          <w:sz w:val="24"/>
          <w:highlight w:val="none"/>
          <w:lang w:eastAsia="zh-CN"/>
        </w:rPr>
        <w:t>无锡市惠山区人民医院网络安全设施建设项目</w:t>
      </w:r>
      <w:r>
        <w:rPr>
          <w:rFonts w:hint="eastAsia" w:ascii="宋体" w:hAnsi="宋体" w:cs="宋体"/>
          <w:bCs/>
          <w:i w:val="0"/>
          <w:iCs w:val="0"/>
          <w:color w:val="auto"/>
          <w:sz w:val="24"/>
          <w:highlight w:val="none"/>
        </w:rPr>
        <w:t>，投标人所投内容必须满足以下要求，不得有负偏离。</w:t>
      </w:r>
    </w:p>
    <w:p w14:paraId="5D00AE37">
      <w:pPr>
        <w:spacing w:line="360" w:lineRule="auto"/>
        <w:ind w:firstLine="600"/>
        <w:jc w:val="center"/>
        <w:rPr>
          <w:rFonts w:ascii="黑体" w:hAnsi="黑体" w:eastAsia="黑体"/>
          <w:i w:val="0"/>
          <w:iCs w:val="0"/>
          <w:color w:val="auto"/>
          <w:sz w:val="24"/>
          <w:szCs w:val="24"/>
          <w:highlight w:val="none"/>
        </w:rPr>
      </w:pPr>
      <w:r>
        <w:rPr>
          <w:rFonts w:hint="eastAsia" w:ascii="黑体" w:hAnsi="黑体" w:eastAsia="黑体"/>
          <w:i w:val="0"/>
          <w:iCs w:val="0"/>
          <w:color w:val="auto"/>
          <w:sz w:val="24"/>
          <w:szCs w:val="24"/>
          <w:highlight w:val="none"/>
        </w:rPr>
        <w:t>第一部分  项目技术要求</w:t>
      </w:r>
    </w:p>
    <w:p w14:paraId="4DAB974B">
      <w:pPr>
        <w:pStyle w:val="2"/>
        <w:numPr>
          <w:ilvl w:val="0"/>
          <w:numId w:val="0"/>
        </w:numPr>
        <w:spacing w:before="0" w:after="0" w:line="360" w:lineRule="auto"/>
        <w:ind w:left="425" w:leftChars="0" w:hanging="425" w:firstLineChars="0"/>
        <w:jc w:val="left"/>
        <w:rPr>
          <w:rFonts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rPr>
        <w:t>一、</w:t>
      </w:r>
      <w:r>
        <w:rPr>
          <w:rFonts w:hint="eastAsia" w:ascii="宋体" w:hAnsi="宋体" w:eastAsia="宋体" w:cs="宋体"/>
          <w:bCs w:val="0"/>
          <w:color w:val="auto"/>
          <w:sz w:val="24"/>
          <w:szCs w:val="24"/>
          <w:highlight w:val="none"/>
          <w:lang w:val="en-US" w:eastAsia="zh-CN"/>
        </w:rPr>
        <w:t>项目简介</w:t>
      </w:r>
    </w:p>
    <w:p w14:paraId="4EA1FF22">
      <w:pPr>
        <w:tabs>
          <w:tab w:val="left" w:pos="540"/>
        </w:tabs>
        <w:spacing w:line="360" w:lineRule="auto"/>
        <w:ind w:firstLine="480"/>
        <w:rPr>
          <w:rFonts w:hint="eastAsia"/>
          <w:color w:val="auto"/>
          <w:sz w:val="24"/>
          <w:szCs w:val="24"/>
          <w:highlight w:val="none"/>
        </w:rPr>
      </w:pPr>
      <w:r>
        <w:rPr>
          <w:rFonts w:hint="eastAsia"/>
          <w:color w:val="auto"/>
          <w:sz w:val="24"/>
          <w:szCs w:val="24"/>
          <w:highlight w:val="none"/>
        </w:rPr>
        <w:t>医疗卫生信息化进程中，医院业务高度依赖网络系统，其安全直接关乎医疗服务质量、患者隐私及运营秩序。当前我院网络安全防护体系存在明显短板，风险突出，已无法满足合规与业务需求，具体问题如下：互联网业务边界防御不足，防火墙等关键设备存单点故障风险，易导致核心业务中断；终端及服务端未部署专业防病毒软件，易受恶意程序侵袭；API安全防护缺失，作为医疗数据传输核心载体的API相关攻击事件频发，但我院无API专线防护手段，患者敏感信息面临泄露风险；远程运维风险极高，依赖向日葵等通用软件运维，缺乏安全设备及操作审计系统，结合“银狐”病毒等安全威胁，系统易被控制、数据遭勒索。</w:t>
      </w:r>
    </w:p>
    <w:p w14:paraId="5D881983">
      <w:pPr>
        <w:tabs>
          <w:tab w:val="left" w:pos="540"/>
        </w:tabs>
        <w:spacing w:line="360" w:lineRule="auto"/>
        <w:ind w:firstLine="480"/>
        <w:rPr>
          <w:rFonts w:hint="eastAsia"/>
          <w:color w:val="auto"/>
          <w:sz w:val="24"/>
          <w:szCs w:val="24"/>
          <w:highlight w:val="none"/>
        </w:rPr>
      </w:pPr>
      <w:r>
        <w:rPr>
          <w:rFonts w:hint="eastAsia"/>
          <w:color w:val="auto"/>
          <w:sz w:val="24"/>
          <w:szCs w:val="24"/>
          <w:highlight w:val="none"/>
        </w:rPr>
        <w:t>同时，我院安全感知与应急能力不足，无全网安全感知系统，仅靠防火墙日志排查问题，难以快速定位风险、阻断攻击，处置成本高，上述短板严重威胁患者权益与医院资产安全。此外，根据惠山区医共体建设统一部署，我院作为牵头单位需统筹规划其网络安全体系，而医共体建设对网络安全核心设备的技术复杂性、可靠性提出了更高要求，现有防护短板进一步制约了医共体建设推进，因此，亟需启动网络安全防护提升项目，系统性解决各类安全隐患，筑牢网络安全防线，既保障本院业务合规有序开展、守护患者隐私与医院资产安全，也统筹推进医共体网络安全体系建设，满足医共体建设相关要求。</w:t>
      </w:r>
    </w:p>
    <w:p w14:paraId="024FAA37">
      <w:pPr>
        <w:pStyle w:val="2"/>
        <w:numPr>
          <w:ilvl w:val="0"/>
          <w:numId w:val="0"/>
        </w:numPr>
        <w:spacing w:before="0" w:after="0" w:line="360" w:lineRule="auto"/>
        <w:ind w:left="425" w:leftChars="0" w:hanging="425" w:firstLineChars="0"/>
        <w:jc w:val="left"/>
        <w:rPr>
          <w:rFonts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rPr>
        <w:t>二、</w:t>
      </w:r>
      <w:r>
        <w:rPr>
          <w:rFonts w:hint="eastAsia" w:ascii="宋体" w:hAnsi="宋体" w:eastAsia="宋体" w:cs="宋体"/>
          <w:bCs w:val="0"/>
          <w:color w:val="auto"/>
          <w:sz w:val="24"/>
          <w:szCs w:val="24"/>
          <w:highlight w:val="none"/>
          <w:lang w:val="en-US" w:eastAsia="zh-CN"/>
        </w:rPr>
        <w:t>项目需求</w:t>
      </w:r>
    </w:p>
    <w:p w14:paraId="0E2F7ED8">
      <w:pPr>
        <w:tabs>
          <w:tab w:val="left" w:pos="540"/>
        </w:tabs>
        <w:spacing w:line="360" w:lineRule="auto"/>
        <w:ind w:firstLine="480"/>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2.1需求清单</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00"/>
        <w:gridCol w:w="2154"/>
        <w:gridCol w:w="1530"/>
        <w:gridCol w:w="1056"/>
        <w:gridCol w:w="980"/>
        <w:gridCol w:w="1544"/>
      </w:tblGrid>
      <w:tr w14:paraId="56077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1" w:hRule="atLeast"/>
        </w:trPr>
        <w:tc>
          <w:tcPr>
            <w:tcW w:w="1500" w:type="dxa"/>
            <w:shd w:val="clear" w:color="auto" w:fill="auto"/>
            <w:vAlign w:val="center"/>
          </w:tcPr>
          <w:p w14:paraId="6A8AC9CC">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154" w:type="dxa"/>
            <w:shd w:val="clear" w:color="auto" w:fill="auto"/>
            <w:vAlign w:val="center"/>
          </w:tcPr>
          <w:p w14:paraId="56781798">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产品名称</w:t>
            </w:r>
          </w:p>
        </w:tc>
        <w:tc>
          <w:tcPr>
            <w:tcW w:w="1530" w:type="dxa"/>
            <w:shd w:val="clear" w:color="auto" w:fill="auto"/>
            <w:vAlign w:val="center"/>
          </w:tcPr>
          <w:p w14:paraId="11A61753">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功能需求</w:t>
            </w:r>
          </w:p>
        </w:tc>
        <w:tc>
          <w:tcPr>
            <w:tcW w:w="1056" w:type="dxa"/>
            <w:shd w:val="clear" w:color="auto" w:fill="auto"/>
            <w:vAlign w:val="center"/>
          </w:tcPr>
          <w:p w14:paraId="318FBD1B">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980" w:type="dxa"/>
            <w:shd w:val="clear" w:color="auto" w:fill="auto"/>
            <w:vAlign w:val="center"/>
          </w:tcPr>
          <w:p w14:paraId="1175179A">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544" w:type="dxa"/>
            <w:shd w:val="clear" w:color="auto" w:fill="auto"/>
            <w:vAlign w:val="center"/>
          </w:tcPr>
          <w:p w14:paraId="2974F19B">
            <w:pPr>
              <w:keepNext w:val="0"/>
              <w:keepLines w:val="0"/>
              <w:widowControl/>
              <w:suppressLineNumbers w:val="0"/>
              <w:ind w:left="0" w:leftChars="0" w:firstLine="0" w:firstLineChars="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备注</w:t>
            </w:r>
          </w:p>
        </w:tc>
      </w:tr>
      <w:tr w14:paraId="6ED49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7CA98DA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154" w:type="dxa"/>
            <w:shd w:val="clear" w:color="auto" w:fill="auto"/>
            <w:vAlign w:val="center"/>
          </w:tcPr>
          <w:p w14:paraId="574122D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API防御系统</w:t>
            </w:r>
          </w:p>
        </w:tc>
        <w:tc>
          <w:tcPr>
            <w:tcW w:w="1530" w:type="dxa"/>
            <w:vMerge w:val="restart"/>
            <w:shd w:val="clear" w:color="auto" w:fill="auto"/>
            <w:vAlign w:val="center"/>
          </w:tcPr>
          <w:p w14:paraId="65CF547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w:t>
            </w:r>
            <w:r>
              <w:rPr>
                <w:rFonts w:hint="eastAsia" w:ascii="宋体" w:hAnsi="宋体" w:cs="宋体"/>
                <w:i w:val="0"/>
                <w:iCs w:val="0"/>
                <w:color w:val="auto"/>
                <w:kern w:val="0"/>
                <w:sz w:val="24"/>
                <w:szCs w:val="24"/>
                <w:highlight w:val="none"/>
                <w:u w:val="none"/>
                <w:lang w:val="en-US" w:eastAsia="zh-CN" w:bidi="ar"/>
              </w:rPr>
              <w:t>技术规格要求</w:t>
            </w:r>
            <w:r>
              <w:rPr>
                <w:rFonts w:hint="eastAsia" w:ascii="宋体" w:hAnsi="宋体" w:eastAsia="宋体" w:cs="宋体"/>
                <w:i w:val="0"/>
                <w:iCs w:val="0"/>
                <w:color w:val="auto"/>
                <w:kern w:val="0"/>
                <w:sz w:val="24"/>
                <w:szCs w:val="24"/>
                <w:highlight w:val="none"/>
                <w:u w:val="none"/>
                <w:lang w:val="en-US" w:eastAsia="zh-CN" w:bidi="ar"/>
              </w:rPr>
              <w:t>”章节</w:t>
            </w:r>
          </w:p>
        </w:tc>
        <w:tc>
          <w:tcPr>
            <w:tcW w:w="1056" w:type="dxa"/>
            <w:shd w:val="clear" w:color="auto" w:fill="auto"/>
            <w:vAlign w:val="center"/>
          </w:tcPr>
          <w:p w14:paraId="6757E8A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80" w:type="dxa"/>
            <w:shd w:val="clear" w:color="auto" w:fill="auto"/>
            <w:vAlign w:val="center"/>
          </w:tcPr>
          <w:p w14:paraId="7F58608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544" w:type="dxa"/>
            <w:shd w:val="clear" w:color="auto" w:fill="auto"/>
            <w:vAlign w:val="center"/>
          </w:tcPr>
          <w:p w14:paraId="3E9A5C00">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auto"/>
                <w:kern w:val="0"/>
                <w:sz w:val="24"/>
                <w:szCs w:val="24"/>
                <w:highlight w:val="none"/>
                <w:u w:val="none"/>
                <w:lang w:val="en-US" w:eastAsia="zh-CN" w:bidi="ar"/>
              </w:rPr>
            </w:pPr>
          </w:p>
        </w:tc>
      </w:tr>
      <w:tr w14:paraId="6CDBE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0127F7A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154" w:type="dxa"/>
            <w:shd w:val="clear" w:color="auto" w:fill="auto"/>
            <w:vAlign w:val="center"/>
          </w:tcPr>
          <w:p w14:paraId="61B4E72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内网服务器防病毒</w:t>
            </w:r>
          </w:p>
        </w:tc>
        <w:tc>
          <w:tcPr>
            <w:tcW w:w="1530" w:type="dxa"/>
            <w:vMerge w:val="continue"/>
            <w:shd w:val="clear" w:color="auto" w:fill="auto"/>
            <w:vAlign w:val="center"/>
          </w:tcPr>
          <w:p w14:paraId="324810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056" w:type="dxa"/>
            <w:shd w:val="clear" w:color="auto" w:fill="auto"/>
            <w:vAlign w:val="center"/>
          </w:tcPr>
          <w:p w14:paraId="117D243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w:t>
            </w:r>
          </w:p>
        </w:tc>
        <w:tc>
          <w:tcPr>
            <w:tcW w:w="980" w:type="dxa"/>
            <w:shd w:val="clear" w:color="auto" w:fill="auto"/>
            <w:vAlign w:val="center"/>
          </w:tcPr>
          <w:p w14:paraId="1C50F3E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544" w:type="dxa"/>
            <w:shd w:val="clear" w:color="auto" w:fill="auto"/>
            <w:vAlign w:val="center"/>
          </w:tcPr>
          <w:p w14:paraId="6F1CE62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2B15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702C716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154" w:type="dxa"/>
            <w:shd w:val="clear" w:color="auto" w:fill="auto"/>
            <w:vAlign w:val="center"/>
          </w:tcPr>
          <w:p w14:paraId="1EA6CC1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内网终端防病毒</w:t>
            </w:r>
          </w:p>
        </w:tc>
        <w:tc>
          <w:tcPr>
            <w:tcW w:w="1530" w:type="dxa"/>
            <w:vMerge w:val="continue"/>
            <w:shd w:val="clear" w:color="auto" w:fill="auto"/>
            <w:vAlign w:val="center"/>
          </w:tcPr>
          <w:p w14:paraId="0B2A8B5B">
            <w:pPr>
              <w:jc w:val="center"/>
              <w:rPr>
                <w:rFonts w:hint="eastAsia" w:ascii="宋体" w:hAnsi="宋体" w:eastAsia="宋体" w:cs="宋体"/>
                <w:i w:val="0"/>
                <w:iCs w:val="0"/>
                <w:color w:val="auto"/>
                <w:sz w:val="24"/>
                <w:szCs w:val="24"/>
                <w:highlight w:val="none"/>
                <w:u w:val="none"/>
              </w:rPr>
            </w:pPr>
          </w:p>
        </w:tc>
        <w:tc>
          <w:tcPr>
            <w:tcW w:w="1056" w:type="dxa"/>
            <w:shd w:val="clear" w:color="auto" w:fill="auto"/>
            <w:vAlign w:val="center"/>
          </w:tcPr>
          <w:p w14:paraId="013AEA1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800</w:t>
            </w:r>
          </w:p>
        </w:tc>
        <w:tc>
          <w:tcPr>
            <w:tcW w:w="980" w:type="dxa"/>
            <w:shd w:val="clear" w:color="auto" w:fill="auto"/>
            <w:vAlign w:val="center"/>
          </w:tcPr>
          <w:p w14:paraId="78C0EAC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544" w:type="dxa"/>
            <w:shd w:val="clear" w:color="auto" w:fill="auto"/>
            <w:vAlign w:val="center"/>
          </w:tcPr>
          <w:p w14:paraId="354E3BA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6CD8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1861928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154" w:type="dxa"/>
            <w:shd w:val="clear" w:color="auto" w:fill="auto"/>
            <w:vAlign w:val="center"/>
          </w:tcPr>
          <w:p w14:paraId="5DE07B4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外网分线交换机</w:t>
            </w:r>
          </w:p>
        </w:tc>
        <w:tc>
          <w:tcPr>
            <w:tcW w:w="1530" w:type="dxa"/>
            <w:vMerge w:val="continue"/>
            <w:shd w:val="clear" w:color="auto" w:fill="auto"/>
            <w:vAlign w:val="center"/>
          </w:tcPr>
          <w:p w14:paraId="2CB15D4B">
            <w:pPr>
              <w:jc w:val="center"/>
              <w:rPr>
                <w:rFonts w:hint="eastAsia" w:ascii="宋体" w:hAnsi="宋体" w:eastAsia="宋体" w:cs="宋体"/>
                <w:i w:val="0"/>
                <w:iCs w:val="0"/>
                <w:color w:val="auto"/>
                <w:sz w:val="24"/>
                <w:szCs w:val="24"/>
                <w:highlight w:val="none"/>
                <w:u w:val="none"/>
              </w:rPr>
            </w:pPr>
          </w:p>
        </w:tc>
        <w:tc>
          <w:tcPr>
            <w:tcW w:w="1056" w:type="dxa"/>
            <w:shd w:val="clear" w:color="auto" w:fill="auto"/>
            <w:vAlign w:val="center"/>
          </w:tcPr>
          <w:p w14:paraId="0DB3377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980" w:type="dxa"/>
            <w:shd w:val="clear" w:color="auto" w:fill="auto"/>
            <w:vAlign w:val="center"/>
          </w:tcPr>
          <w:p w14:paraId="171B869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544" w:type="dxa"/>
            <w:shd w:val="clear" w:color="auto" w:fill="auto"/>
            <w:vAlign w:val="center"/>
          </w:tcPr>
          <w:p w14:paraId="45D6BE4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C867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4A37C86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154" w:type="dxa"/>
            <w:shd w:val="clear" w:color="auto" w:fill="auto"/>
            <w:vAlign w:val="center"/>
          </w:tcPr>
          <w:p w14:paraId="7F116CB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外网边界防火墙</w:t>
            </w:r>
          </w:p>
        </w:tc>
        <w:tc>
          <w:tcPr>
            <w:tcW w:w="1530" w:type="dxa"/>
            <w:vMerge w:val="continue"/>
            <w:shd w:val="clear" w:color="auto" w:fill="auto"/>
            <w:vAlign w:val="center"/>
          </w:tcPr>
          <w:p w14:paraId="72ABBCB1">
            <w:pPr>
              <w:jc w:val="center"/>
              <w:rPr>
                <w:rFonts w:hint="eastAsia" w:ascii="宋体" w:hAnsi="宋体" w:eastAsia="宋体" w:cs="宋体"/>
                <w:i w:val="0"/>
                <w:iCs w:val="0"/>
                <w:color w:val="auto"/>
                <w:sz w:val="24"/>
                <w:szCs w:val="24"/>
                <w:highlight w:val="none"/>
                <w:u w:val="none"/>
              </w:rPr>
            </w:pPr>
          </w:p>
        </w:tc>
        <w:tc>
          <w:tcPr>
            <w:tcW w:w="1056" w:type="dxa"/>
            <w:shd w:val="clear" w:color="auto" w:fill="auto"/>
            <w:vAlign w:val="center"/>
          </w:tcPr>
          <w:p w14:paraId="5CF332C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980" w:type="dxa"/>
            <w:shd w:val="clear" w:color="auto" w:fill="auto"/>
            <w:vAlign w:val="center"/>
          </w:tcPr>
          <w:p w14:paraId="548F509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544" w:type="dxa"/>
            <w:shd w:val="clear" w:color="auto" w:fill="auto"/>
            <w:vAlign w:val="center"/>
          </w:tcPr>
          <w:p w14:paraId="58A85CC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A6EF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3F2A24E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154" w:type="dxa"/>
            <w:shd w:val="clear" w:color="auto" w:fill="auto"/>
            <w:vAlign w:val="center"/>
          </w:tcPr>
          <w:p w14:paraId="179B9D6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WEB应用防火墙</w:t>
            </w:r>
          </w:p>
        </w:tc>
        <w:tc>
          <w:tcPr>
            <w:tcW w:w="1530" w:type="dxa"/>
            <w:vMerge w:val="continue"/>
            <w:shd w:val="clear" w:color="auto" w:fill="auto"/>
            <w:vAlign w:val="center"/>
          </w:tcPr>
          <w:p w14:paraId="57255220">
            <w:pPr>
              <w:jc w:val="center"/>
              <w:rPr>
                <w:rFonts w:hint="eastAsia" w:ascii="宋体" w:hAnsi="宋体" w:eastAsia="宋体" w:cs="宋体"/>
                <w:i w:val="0"/>
                <w:iCs w:val="0"/>
                <w:color w:val="auto"/>
                <w:sz w:val="24"/>
                <w:szCs w:val="24"/>
                <w:highlight w:val="none"/>
                <w:u w:val="none"/>
              </w:rPr>
            </w:pPr>
          </w:p>
        </w:tc>
        <w:tc>
          <w:tcPr>
            <w:tcW w:w="1056" w:type="dxa"/>
            <w:shd w:val="clear" w:color="auto" w:fill="auto"/>
            <w:vAlign w:val="center"/>
          </w:tcPr>
          <w:p w14:paraId="5EB1408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980" w:type="dxa"/>
            <w:shd w:val="clear" w:color="auto" w:fill="auto"/>
            <w:vAlign w:val="center"/>
          </w:tcPr>
          <w:p w14:paraId="46CC65A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544" w:type="dxa"/>
            <w:shd w:val="clear" w:color="auto" w:fill="auto"/>
            <w:vAlign w:val="center"/>
          </w:tcPr>
          <w:p w14:paraId="2C552B4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557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62E6CDB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154" w:type="dxa"/>
            <w:shd w:val="clear" w:color="auto" w:fill="auto"/>
            <w:vAlign w:val="center"/>
          </w:tcPr>
          <w:p w14:paraId="3C5AAF6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零信任平台</w:t>
            </w:r>
          </w:p>
        </w:tc>
        <w:tc>
          <w:tcPr>
            <w:tcW w:w="1530" w:type="dxa"/>
            <w:vMerge w:val="continue"/>
            <w:shd w:val="clear" w:color="auto" w:fill="auto"/>
            <w:vAlign w:val="center"/>
          </w:tcPr>
          <w:p w14:paraId="7F9A8777">
            <w:pPr>
              <w:jc w:val="center"/>
              <w:rPr>
                <w:rFonts w:hint="eastAsia" w:ascii="宋体" w:hAnsi="宋体" w:eastAsia="宋体" w:cs="宋体"/>
                <w:i w:val="0"/>
                <w:iCs w:val="0"/>
                <w:color w:val="auto"/>
                <w:sz w:val="24"/>
                <w:szCs w:val="24"/>
                <w:highlight w:val="none"/>
                <w:u w:val="none"/>
              </w:rPr>
            </w:pPr>
          </w:p>
        </w:tc>
        <w:tc>
          <w:tcPr>
            <w:tcW w:w="1056" w:type="dxa"/>
            <w:shd w:val="clear" w:color="auto" w:fill="auto"/>
            <w:vAlign w:val="center"/>
          </w:tcPr>
          <w:p w14:paraId="10D86E8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980" w:type="dxa"/>
            <w:shd w:val="clear" w:color="auto" w:fill="auto"/>
            <w:vAlign w:val="center"/>
          </w:tcPr>
          <w:p w14:paraId="29F120B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544" w:type="dxa"/>
            <w:shd w:val="clear" w:color="auto" w:fill="auto"/>
            <w:vAlign w:val="center"/>
          </w:tcPr>
          <w:p w14:paraId="4DB4CD4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C14F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23EF135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2154" w:type="dxa"/>
            <w:shd w:val="clear" w:color="auto" w:fill="auto"/>
            <w:vAlign w:val="center"/>
          </w:tcPr>
          <w:p w14:paraId="6F82D02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内网安全探针</w:t>
            </w:r>
          </w:p>
        </w:tc>
        <w:tc>
          <w:tcPr>
            <w:tcW w:w="1530" w:type="dxa"/>
            <w:vMerge w:val="continue"/>
            <w:shd w:val="clear" w:color="auto" w:fill="auto"/>
            <w:vAlign w:val="center"/>
          </w:tcPr>
          <w:p w14:paraId="31D828E4">
            <w:pPr>
              <w:jc w:val="center"/>
              <w:rPr>
                <w:rFonts w:hint="eastAsia" w:ascii="宋体" w:hAnsi="宋体" w:eastAsia="宋体" w:cs="宋体"/>
                <w:i w:val="0"/>
                <w:iCs w:val="0"/>
                <w:color w:val="auto"/>
                <w:sz w:val="24"/>
                <w:szCs w:val="24"/>
                <w:highlight w:val="none"/>
                <w:u w:val="none"/>
              </w:rPr>
            </w:pPr>
          </w:p>
        </w:tc>
        <w:tc>
          <w:tcPr>
            <w:tcW w:w="1056" w:type="dxa"/>
            <w:shd w:val="clear" w:color="auto" w:fill="auto"/>
            <w:vAlign w:val="center"/>
          </w:tcPr>
          <w:p w14:paraId="2868AAA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980" w:type="dxa"/>
            <w:shd w:val="clear" w:color="auto" w:fill="auto"/>
            <w:vAlign w:val="center"/>
          </w:tcPr>
          <w:p w14:paraId="042E766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544" w:type="dxa"/>
            <w:shd w:val="clear" w:color="auto" w:fill="auto"/>
            <w:vAlign w:val="center"/>
          </w:tcPr>
          <w:p w14:paraId="19C8C76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CC01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280BB9B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2154" w:type="dxa"/>
            <w:shd w:val="clear" w:color="auto" w:fill="auto"/>
            <w:vAlign w:val="center"/>
          </w:tcPr>
          <w:p w14:paraId="0535063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外网安全探针</w:t>
            </w:r>
          </w:p>
        </w:tc>
        <w:tc>
          <w:tcPr>
            <w:tcW w:w="1530" w:type="dxa"/>
            <w:vMerge w:val="continue"/>
            <w:shd w:val="clear" w:color="auto" w:fill="auto"/>
            <w:vAlign w:val="center"/>
          </w:tcPr>
          <w:p w14:paraId="036720F8">
            <w:pPr>
              <w:jc w:val="center"/>
              <w:rPr>
                <w:rFonts w:hint="eastAsia" w:ascii="宋体" w:hAnsi="宋体" w:eastAsia="宋体" w:cs="宋体"/>
                <w:i w:val="0"/>
                <w:iCs w:val="0"/>
                <w:color w:val="auto"/>
                <w:sz w:val="24"/>
                <w:szCs w:val="24"/>
                <w:highlight w:val="none"/>
                <w:u w:val="none"/>
              </w:rPr>
            </w:pPr>
          </w:p>
        </w:tc>
        <w:tc>
          <w:tcPr>
            <w:tcW w:w="1056" w:type="dxa"/>
            <w:shd w:val="clear" w:color="auto" w:fill="auto"/>
            <w:vAlign w:val="center"/>
          </w:tcPr>
          <w:p w14:paraId="1E063AB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980" w:type="dxa"/>
            <w:shd w:val="clear" w:color="auto" w:fill="auto"/>
            <w:vAlign w:val="center"/>
          </w:tcPr>
          <w:p w14:paraId="3083ABE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544" w:type="dxa"/>
            <w:shd w:val="clear" w:color="auto" w:fill="auto"/>
            <w:vAlign w:val="center"/>
          </w:tcPr>
          <w:p w14:paraId="0661179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BC63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71F0167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2154" w:type="dxa"/>
            <w:shd w:val="clear" w:color="auto" w:fill="auto"/>
            <w:vAlign w:val="center"/>
          </w:tcPr>
          <w:p w14:paraId="065DCE2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外网服务器防病毒</w:t>
            </w:r>
          </w:p>
        </w:tc>
        <w:tc>
          <w:tcPr>
            <w:tcW w:w="1530" w:type="dxa"/>
            <w:vMerge w:val="continue"/>
            <w:shd w:val="clear" w:color="auto" w:fill="auto"/>
            <w:vAlign w:val="center"/>
          </w:tcPr>
          <w:p w14:paraId="4939546B">
            <w:pPr>
              <w:jc w:val="center"/>
              <w:rPr>
                <w:rFonts w:hint="eastAsia" w:ascii="宋体" w:hAnsi="宋体" w:eastAsia="宋体" w:cs="宋体"/>
                <w:i w:val="0"/>
                <w:iCs w:val="0"/>
                <w:color w:val="auto"/>
                <w:sz w:val="24"/>
                <w:szCs w:val="24"/>
                <w:highlight w:val="none"/>
                <w:u w:val="none"/>
              </w:rPr>
            </w:pPr>
          </w:p>
        </w:tc>
        <w:tc>
          <w:tcPr>
            <w:tcW w:w="1056" w:type="dxa"/>
            <w:shd w:val="clear" w:color="auto" w:fill="auto"/>
            <w:vAlign w:val="center"/>
          </w:tcPr>
          <w:p w14:paraId="04602D4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40</w:t>
            </w:r>
          </w:p>
        </w:tc>
        <w:tc>
          <w:tcPr>
            <w:tcW w:w="980" w:type="dxa"/>
            <w:shd w:val="clear" w:color="auto" w:fill="auto"/>
            <w:vAlign w:val="center"/>
          </w:tcPr>
          <w:p w14:paraId="73ED38B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544" w:type="dxa"/>
            <w:shd w:val="clear" w:color="auto" w:fill="auto"/>
            <w:vAlign w:val="center"/>
          </w:tcPr>
          <w:p w14:paraId="6ADC662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FA8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72720EF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2154" w:type="dxa"/>
            <w:shd w:val="clear" w:color="auto" w:fill="auto"/>
            <w:vAlign w:val="center"/>
          </w:tcPr>
          <w:p w14:paraId="58F4F91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外网终端防病毒</w:t>
            </w:r>
          </w:p>
        </w:tc>
        <w:tc>
          <w:tcPr>
            <w:tcW w:w="1530" w:type="dxa"/>
            <w:vMerge w:val="continue"/>
            <w:shd w:val="clear" w:color="auto" w:fill="auto"/>
            <w:vAlign w:val="center"/>
          </w:tcPr>
          <w:p w14:paraId="659420D9">
            <w:pPr>
              <w:jc w:val="center"/>
              <w:rPr>
                <w:rFonts w:hint="eastAsia" w:ascii="宋体" w:hAnsi="宋体" w:eastAsia="宋体" w:cs="宋体"/>
                <w:i w:val="0"/>
                <w:iCs w:val="0"/>
                <w:color w:val="auto"/>
                <w:sz w:val="24"/>
                <w:szCs w:val="24"/>
                <w:highlight w:val="none"/>
                <w:u w:val="none"/>
              </w:rPr>
            </w:pPr>
          </w:p>
        </w:tc>
        <w:tc>
          <w:tcPr>
            <w:tcW w:w="1056" w:type="dxa"/>
            <w:shd w:val="clear" w:color="auto" w:fill="auto"/>
            <w:vAlign w:val="center"/>
          </w:tcPr>
          <w:p w14:paraId="5996CF6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w:t>
            </w:r>
          </w:p>
        </w:tc>
        <w:tc>
          <w:tcPr>
            <w:tcW w:w="980" w:type="dxa"/>
            <w:shd w:val="clear" w:color="auto" w:fill="auto"/>
            <w:vAlign w:val="center"/>
          </w:tcPr>
          <w:p w14:paraId="714B401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544" w:type="dxa"/>
            <w:shd w:val="clear" w:color="auto" w:fill="auto"/>
            <w:vAlign w:val="center"/>
          </w:tcPr>
          <w:p w14:paraId="11B4394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544E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00" w:type="dxa"/>
            <w:shd w:val="clear" w:color="auto" w:fill="auto"/>
            <w:vAlign w:val="center"/>
          </w:tcPr>
          <w:p w14:paraId="0E0B298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2154" w:type="dxa"/>
            <w:shd w:val="clear" w:color="auto" w:fill="auto"/>
            <w:vAlign w:val="center"/>
          </w:tcPr>
          <w:p w14:paraId="2D99F88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堡垒机</w:t>
            </w:r>
          </w:p>
        </w:tc>
        <w:tc>
          <w:tcPr>
            <w:tcW w:w="1530" w:type="dxa"/>
            <w:vMerge w:val="continue"/>
            <w:shd w:val="clear" w:color="auto" w:fill="auto"/>
            <w:vAlign w:val="center"/>
          </w:tcPr>
          <w:p w14:paraId="0030B718">
            <w:pPr>
              <w:jc w:val="center"/>
              <w:rPr>
                <w:rFonts w:hint="eastAsia" w:ascii="宋体" w:hAnsi="宋体" w:eastAsia="宋体" w:cs="宋体"/>
                <w:i w:val="0"/>
                <w:iCs w:val="0"/>
                <w:color w:val="auto"/>
                <w:sz w:val="24"/>
                <w:szCs w:val="24"/>
                <w:highlight w:val="none"/>
                <w:u w:val="none"/>
              </w:rPr>
            </w:pPr>
          </w:p>
        </w:tc>
        <w:tc>
          <w:tcPr>
            <w:tcW w:w="1056" w:type="dxa"/>
            <w:shd w:val="clear" w:color="auto" w:fill="auto"/>
            <w:vAlign w:val="center"/>
          </w:tcPr>
          <w:p w14:paraId="1CA6060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980" w:type="dxa"/>
            <w:shd w:val="clear" w:color="auto" w:fill="auto"/>
            <w:vAlign w:val="center"/>
          </w:tcPr>
          <w:p w14:paraId="32A2F76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544" w:type="dxa"/>
            <w:shd w:val="clear" w:color="auto" w:fill="auto"/>
            <w:vAlign w:val="center"/>
          </w:tcPr>
          <w:p w14:paraId="707A6AE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2B8649C3">
      <w:pPr>
        <w:tabs>
          <w:tab w:val="left" w:pos="540"/>
        </w:tabs>
        <w:spacing w:line="360" w:lineRule="auto"/>
        <w:ind w:firstLine="480"/>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2.2技术规格要求</w:t>
      </w:r>
    </w:p>
    <w:p w14:paraId="4565D338">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2.2.1 API防御系统</w:t>
      </w:r>
    </w:p>
    <w:tbl>
      <w:tblPr>
        <w:tblStyle w:val="3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1"/>
        <w:gridCol w:w="1725"/>
        <w:gridCol w:w="7555"/>
      </w:tblGrid>
      <w:tr w14:paraId="1BFC5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8E8D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D328C">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C33AE">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指标要求</w:t>
            </w:r>
          </w:p>
        </w:tc>
      </w:tr>
      <w:tr w14:paraId="66578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2297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8F42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授权要求</w:t>
            </w: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EEAB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软件部署，提供不少于60个web应用、10个小程序，10个APP软件授权；支持集群模式，HA主备模式，2个节点HA授权，三年升级服务。</w:t>
            </w:r>
          </w:p>
        </w:tc>
      </w:tr>
      <w:tr w14:paraId="67DE5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C915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A86E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4049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对URL地址进行动态随机化，以防止黑客或者攻击软件对该接口进行恶意调用攻击，导致业务无法正常提供服务。可以设置该动态地址的有效次数和有效时间，一旦超过其中次数或者时间限制，则过滤该请求。</w:t>
            </w:r>
          </w:p>
        </w:tc>
      </w:tr>
      <w:tr w14:paraId="36676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43C3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0941E">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B943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通过动态的URL参数令牌对用户请求进行动态随机化，以防止黑客或者攻击软件对该接口进行恶意调用攻击，导致业务无法正常提供服务。可以设置该动态令牌的有效次数和有效时间，一旦超过其中次数或者时间限制，则过滤该请求。</w:t>
            </w:r>
          </w:p>
        </w:tc>
      </w:tr>
      <w:tr w14:paraId="3EA74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37AB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A5DDB">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5EB8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对http的回应和请求中增加动态cookie，以防防止各种高级机器人模拟浏览器进行登录，获取登录相关信息后进行重放攻击。可以设置动态cookie的有效次数和有效时间，一旦超过其中次数或者时间限制，则过滤该请求。</w:t>
            </w:r>
          </w:p>
        </w:tc>
      </w:tr>
      <w:tr w14:paraId="07231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81DF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BD8F1">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6578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对http请求提交的body内容做动态加密，每次加密的值均不相同，让攻击者无法直接通过截获body内容并分析，从而无法预测服务器的行为，大幅提升攻击难度。</w:t>
            </w:r>
          </w:p>
        </w:tc>
      </w:tr>
      <w:tr w14:paraId="12CFD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0633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C221D">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32C1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针对用户的浏览器的参数进行分析，判断该浏览器是否有浏览器的代码名、浏览器的名称、浏览器的平台和版本信息、浏览器中是否启用 cookie 的布尔值、运行浏览器的操作系统平台、客户机发送服务器的 user-agent 头部的值、是否启用Java等进行评分，如评分未达到设置分数值，该URL请求被拦截。</w:t>
            </w:r>
          </w:p>
        </w:tc>
      </w:tr>
      <w:tr w14:paraId="57E6D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8C6E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E2932">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136C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对于某些特殊的用户或者情况要求对其不做任何的防护处理时，可以设置IP白名单功能，对该名单内的IP地址可以关闭URI动态变换功能，直接访问后台服务器。</w:t>
            </w:r>
          </w:p>
        </w:tc>
      </w:tr>
      <w:tr w14:paraId="0A21F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DBB8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DAEDA">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EDA9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针对http的websocket业务请求提供动态防护功能，防止基于websocket业务的接口遭受自动化攻击。</w:t>
            </w:r>
          </w:p>
        </w:tc>
      </w:tr>
      <w:tr w14:paraId="3A856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A110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42463">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F894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可以针对攻击者使用burpsuite，fiddler等代理工具的行为识别，一旦发现黑客使用该类工具进行请求修改的行为，则拒绝该请求。</w:t>
            </w:r>
          </w:p>
        </w:tc>
      </w:tr>
      <w:tr w14:paraId="722D6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6CAC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CCCD1">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DCD2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APP动态防护功能，通过集成APP的SDK，实现动态令牌、动态cookie，动态url、指纹黑名单，body加密等动态防护功能为APP应用提供动态防护。提供SDK文件，并且SDK文件可以支持跨版本的支持能力。</w:t>
            </w:r>
          </w:p>
        </w:tc>
      </w:tr>
      <w:tr w14:paraId="0C35B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7368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9B99B">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46DD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微信小程序动态防护功能，为微信小程序应用提供动态防护。通过为微信小程序集成SDK，实现动态令牌、动态url、指纹黑名单，body加密等动态防护功能，满足微信小程序应用的动态防护需求。</w:t>
            </w:r>
          </w:p>
        </w:tc>
      </w:tr>
      <w:tr w14:paraId="7BE7D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1C0B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38BB6">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53C5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主备切换功能，同一HA组内的设备自动同步配置。</w:t>
            </w:r>
          </w:p>
        </w:tc>
      </w:tr>
      <w:tr w14:paraId="0F180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55A9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0992A">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41A9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对管理用户的操作进行记录。</w:t>
            </w:r>
          </w:p>
        </w:tc>
      </w:tr>
      <w:tr w14:paraId="08D80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10E8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98563">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DA97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可以记录正常以及恶意请求的日志，并进行相应的分析和报表展示。</w:t>
            </w:r>
          </w:p>
        </w:tc>
      </w:tr>
      <w:tr w14:paraId="02142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2D5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8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A3071">
            <w:pPr>
              <w:jc w:val="center"/>
              <w:rPr>
                <w:rFonts w:hint="eastAsia" w:ascii="宋体" w:hAnsi="宋体" w:eastAsia="宋体" w:cs="宋体"/>
                <w:i w:val="0"/>
                <w:iCs w:val="0"/>
                <w:color w:val="auto"/>
                <w:sz w:val="24"/>
                <w:szCs w:val="24"/>
                <w:highlight w:val="none"/>
                <w:u w:val="none"/>
              </w:rPr>
            </w:pPr>
          </w:p>
        </w:tc>
        <w:tc>
          <w:tcPr>
            <w:tcW w:w="3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ADA2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管理平台可对多台防护节点服务器进行统一的管理，包括推送配置管理、服务进程控制、配置增加与修改、用户行为记录、邮件报警等。</w:t>
            </w:r>
          </w:p>
        </w:tc>
      </w:tr>
    </w:tbl>
    <w:p w14:paraId="1DF834F0">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2.2.2内网服务器防病毒</w:t>
      </w:r>
    </w:p>
    <w:tbl>
      <w:tblPr>
        <w:tblStyle w:val="3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8"/>
        <w:gridCol w:w="1728"/>
        <w:gridCol w:w="7525"/>
      </w:tblGrid>
      <w:tr w14:paraId="78B87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AE4DA">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3F572">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E3372">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指标要求</w:t>
            </w:r>
          </w:p>
        </w:tc>
      </w:tr>
      <w:tr w14:paraId="7B4F9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1651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4183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授权要求</w:t>
            </w: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9F9E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软件部署，提供服务器防病毒软件授权≥200套，三年原厂升级服务。</w:t>
            </w:r>
          </w:p>
        </w:tc>
      </w:tr>
      <w:tr w14:paraId="40CC1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CFA3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52" w:type="pct"/>
            <w:vMerge w:val="restart"/>
            <w:tcBorders>
              <w:top w:val="single" w:color="000000" w:sz="4" w:space="0"/>
              <w:left w:val="single" w:color="000000" w:sz="4" w:space="0"/>
              <w:right w:val="single" w:color="000000" w:sz="4" w:space="0"/>
            </w:tcBorders>
            <w:shd w:val="clear" w:color="auto" w:fill="auto"/>
            <w:noWrap/>
            <w:vAlign w:val="center"/>
          </w:tcPr>
          <w:p w14:paraId="0758D8A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2C51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采用B/S架构的管理控制中心，具备终端安全可视，终端统一管理，统一威胁处置，统一漏洞修复，威胁响应处置，日志记录与查询等功能；</w:t>
            </w:r>
          </w:p>
        </w:tc>
      </w:tr>
      <w:tr w14:paraId="631D5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2C4C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52" w:type="pct"/>
            <w:vMerge w:val="continue"/>
            <w:tcBorders>
              <w:left w:val="single" w:color="000000" w:sz="4" w:space="0"/>
              <w:right w:val="single" w:color="000000" w:sz="4" w:space="0"/>
            </w:tcBorders>
            <w:shd w:val="clear" w:color="auto" w:fill="auto"/>
            <w:noWrap/>
            <w:vAlign w:val="center"/>
          </w:tcPr>
          <w:p w14:paraId="2036D5B8">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52BD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客户端支持部署在Windows Server、Linux、信创，兼容以下系统：Windows Server 2008 、Windows Server 2012、Windows Server 2016、Windows Server 2019、Windows Server 2022；Centos、Ubuntu、Debian、rhel、suse等；中标麒麟V7、红旗、阿里龙蜥、欧拉系统（openEuler）、阿里龙蜥、统信UOSV20、银河麒麟V10等。</w:t>
            </w:r>
          </w:p>
        </w:tc>
      </w:tr>
      <w:tr w14:paraId="1669A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9CF7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852" w:type="pct"/>
            <w:vMerge w:val="continue"/>
            <w:tcBorders>
              <w:left w:val="single" w:color="000000" w:sz="4" w:space="0"/>
              <w:right w:val="single" w:color="000000" w:sz="4" w:space="0"/>
            </w:tcBorders>
            <w:shd w:val="clear" w:color="auto" w:fill="auto"/>
            <w:noWrap/>
            <w:vAlign w:val="center"/>
          </w:tcPr>
          <w:p w14:paraId="4BCC486E">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646A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为有效防护勒索病毒攻击，要求提供勒索病毒整体防护体系入口，直观展示最近七天勒索病毒防护效果，包括已处置的恶意文件数量、已拦截可疑行为次数、已阻止的未知进程操作次数、已阻止的暴力破解攻击次数；</w:t>
            </w:r>
          </w:p>
        </w:tc>
      </w:tr>
      <w:tr w14:paraId="3F2F4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B0A2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852" w:type="pct"/>
            <w:vMerge w:val="continue"/>
            <w:tcBorders>
              <w:left w:val="single" w:color="000000" w:sz="4" w:space="0"/>
              <w:right w:val="single" w:color="000000" w:sz="4" w:space="0"/>
            </w:tcBorders>
            <w:shd w:val="clear" w:color="auto" w:fill="auto"/>
            <w:noWrap/>
            <w:vAlign w:val="center"/>
          </w:tcPr>
          <w:p w14:paraId="697FBF40">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9BA3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支持跳转链接至云端威胁情报中心，针对已发生的威胁提供详细的分析结果，包含威胁分析、网络行为、静态分析、分析环境和影响分析。</w:t>
            </w:r>
          </w:p>
        </w:tc>
      </w:tr>
      <w:tr w14:paraId="01CCE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4E63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852" w:type="pct"/>
            <w:vMerge w:val="continue"/>
            <w:tcBorders>
              <w:left w:val="single" w:color="000000" w:sz="4" w:space="0"/>
              <w:right w:val="single" w:color="000000" w:sz="4" w:space="0"/>
            </w:tcBorders>
            <w:shd w:val="clear" w:color="auto" w:fill="auto"/>
            <w:noWrap/>
            <w:vAlign w:val="center"/>
          </w:tcPr>
          <w:p w14:paraId="0CA0A819">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2175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对终端账户信息进行梳理，了解账号权限分布概况以及风险账号分布情况，可按照隐藏账号、可疑root权限账号、长期未使用账号、夜间登录、多IP登录进行账号分类查看，支持统计最近一年未修改密码的账户。</w:t>
            </w:r>
          </w:p>
        </w:tc>
      </w:tr>
      <w:tr w14:paraId="0855F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216D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852" w:type="pct"/>
            <w:vMerge w:val="continue"/>
            <w:tcBorders>
              <w:left w:val="single" w:color="000000" w:sz="4" w:space="0"/>
              <w:right w:val="single" w:color="000000" w:sz="4" w:space="0"/>
            </w:tcBorders>
            <w:shd w:val="clear" w:color="auto" w:fill="auto"/>
            <w:noWrap/>
            <w:vAlign w:val="center"/>
          </w:tcPr>
          <w:p w14:paraId="389EE64A">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A6CF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支持一键云鉴定服务，提供云端专家+沙箱+多引擎鉴定能力，结合云端威胁情报对已告警的威胁文件再次进行综合研判并给出100%黑白结果，用户可自助对管理平台告警的威胁快速判断是否误报和了解威胁详情。</w:t>
            </w:r>
          </w:p>
        </w:tc>
      </w:tr>
      <w:tr w14:paraId="1F4C6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6EDD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852" w:type="pct"/>
            <w:vMerge w:val="continue"/>
            <w:tcBorders>
              <w:left w:val="single" w:color="000000" w:sz="4" w:space="0"/>
              <w:right w:val="single" w:color="000000" w:sz="4" w:space="0"/>
            </w:tcBorders>
            <w:shd w:val="clear" w:color="auto" w:fill="auto"/>
            <w:noWrap/>
            <w:vAlign w:val="center"/>
          </w:tcPr>
          <w:p w14:paraId="516CF32E">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0D2F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具备强力专杀云端下发通道，支持在管理端批量下发强力专杀工具到内网各终端快速响应终端威胁。</w:t>
            </w:r>
          </w:p>
        </w:tc>
      </w:tr>
      <w:tr w14:paraId="51EB1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B58A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852" w:type="pct"/>
            <w:vMerge w:val="continue"/>
            <w:tcBorders>
              <w:left w:val="single" w:color="000000" w:sz="4" w:space="0"/>
              <w:right w:val="single" w:color="000000" w:sz="4" w:space="0"/>
            </w:tcBorders>
            <w:shd w:val="clear" w:color="auto" w:fill="auto"/>
            <w:noWrap/>
            <w:vAlign w:val="center"/>
          </w:tcPr>
          <w:p w14:paraId="577318D0">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BE8B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基于勒索病毒攻击过程，建立多维度立体防护机制，提供事前入侵防御-事中反加密-事后检测响应的完整防护体系，展示勒索病毒处置情况，对勒索病毒及变种实现专门有效防御；</w:t>
            </w:r>
          </w:p>
        </w:tc>
      </w:tr>
      <w:tr w14:paraId="7192B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2A99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852" w:type="pct"/>
            <w:vMerge w:val="continue"/>
            <w:tcBorders>
              <w:left w:val="single" w:color="000000" w:sz="4" w:space="0"/>
              <w:right w:val="single" w:color="000000" w:sz="4" w:space="0"/>
            </w:tcBorders>
            <w:shd w:val="clear" w:color="auto" w:fill="auto"/>
            <w:noWrap/>
            <w:vAlign w:val="center"/>
          </w:tcPr>
          <w:p w14:paraId="032C807E">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52A2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展示终端检测到的WebShell事件及事件详情，包括：恶意文件名称，威胁等级，受感染的文件，发现时间，检测引擎，文件类型，文件名，文件Hash值，文件大小，文件创建时间；可配置WebShell实时扫描，一旦发现WebShell文件，可自动隔离或仅上报不隔离；</w:t>
            </w:r>
          </w:p>
        </w:tc>
      </w:tr>
      <w:tr w14:paraId="74D99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6E8A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852" w:type="pct"/>
            <w:vMerge w:val="continue"/>
            <w:tcBorders>
              <w:left w:val="single" w:color="000000" w:sz="4" w:space="0"/>
              <w:right w:val="single" w:color="000000" w:sz="4" w:space="0"/>
            </w:tcBorders>
            <w:shd w:val="clear" w:color="auto" w:fill="auto"/>
            <w:noWrap/>
            <w:vAlign w:val="center"/>
          </w:tcPr>
          <w:p w14:paraId="25DAB37F">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6D0E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支持windows server勒索可疑行为检测，通过行为AI能力对勒索信、命令行、修改文件等多种躲避式投放勒索病毒的高危高频场景进行精准告警和自动拦截。</w:t>
            </w:r>
          </w:p>
        </w:tc>
      </w:tr>
      <w:tr w14:paraId="69840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6399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852" w:type="pct"/>
            <w:vMerge w:val="continue"/>
            <w:tcBorders>
              <w:left w:val="single" w:color="000000" w:sz="4" w:space="0"/>
              <w:right w:val="single" w:color="000000" w:sz="4" w:space="0"/>
            </w:tcBorders>
            <w:shd w:val="clear" w:color="auto" w:fill="auto"/>
            <w:noWrap/>
            <w:vAlign w:val="center"/>
          </w:tcPr>
          <w:p w14:paraId="4965DFDF">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8737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基于异常行为AI的实时监测，实现文件动态备份，发生勒索事件时，支持自动删除原始文件夹中被加密的文件夹并隔离文件；支持文件恢复密码保护，用户下发文件恢复操作时需要经过认证校验，确保文件恢复操作的合法性；</w:t>
            </w:r>
          </w:p>
        </w:tc>
      </w:tr>
      <w:tr w14:paraId="24120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1AFDC">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w:t>
            </w:r>
          </w:p>
        </w:tc>
        <w:tc>
          <w:tcPr>
            <w:tcW w:w="852" w:type="pct"/>
            <w:vMerge w:val="continue"/>
            <w:tcBorders>
              <w:left w:val="single" w:color="000000" w:sz="4" w:space="0"/>
              <w:right w:val="single" w:color="000000" w:sz="4" w:space="0"/>
            </w:tcBorders>
            <w:shd w:val="clear" w:color="auto" w:fill="auto"/>
            <w:noWrap/>
            <w:vAlign w:val="center"/>
          </w:tcPr>
          <w:p w14:paraId="3E8DA7DF">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0033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color w:val="auto"/>
                <w:sz w:val="24"/>
                <w:szCs w:val="24"/>
                <w:highlight w:val="none"/>
              </w:rPr>
              <w:t>支持windows服务器RDP远程登录保护</w:t>
            </w:r>
            <w:r>
              <w:rPr>
                <w:rFonts w:hint="eastAsia"/>
                <w:color w:val="auto"/>
                <w:sz w:val="24"/>
                <w:szCs w:val="24"/>
                <w:highlight w:val="none"/>
                <w:lang w:eastAsia="zh-CN"/>
              </w:rPr>
              <w:t>。</w:t>
            </w:r>
          </w:p>
        </w:tc>
      </w:tr>
      <w:tr w14:paraId="2915F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8BC5E">
            <w:pPr>
              <w:keepNext w:val="0"/>
              <w:keepLines w:val="0"/>
              <w:widowControl/>
              <w:suppressLineNumbers w:val="0"/>
              <w:ind w:left="0" w:leftChars="0" w:firstLine="0" w:firstLineChars="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w:t>
            </w:r>
          </w:p>
        </w:tc>
        <w:tc>
          <w:tcPr>
            <w:tcW w:w="852" w:type="pct"/>
            <w:vMerge w:val="continue"/>
            <w:tcBorders>
              <w:left w:val="single" w:color="000000" w:sz="4" w:space="0"/>
              <w:right w:val="single" w:color="000000" w:sz="4" w:space="0"/>
            </w:tcBorders>
            <w:shd w:val="clear" w:color="auto" w:fill="auto"/>
            <w:noWrap/>
            <w:vAlign w:val="center"/>
          </w:tcPr>
          <w:p w14:paraId="0374671E">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6CDFD">
            <w:pPr>
              <w:keepNext w:val="0"/>
              <w:keepLines w:val="0"/>
              <w:widowControl/>
              <w:suppressLineNumbers w:val="0"/>
              <w:ind w:left="0" w:leftChars="0" w:firstLine="0" w:firstLineChars="0"/>
              <w:jc w:val="left"/>
              <w:textAlignment w:val="center"/>
              <w:rPr>
                <w:rFonts w:hint="eastAsia" w:eastAsia="宋体"/>
                <w:color w:val="auto"/>
                <w:sz w:val="24"/>
                <w:szCs w:val="24"/>
                <w:highlight w:val="none"/>
                <w:lang w:eastAsia="zh-CN"/>
              </w:rPr>
            </w:pPr>
            <w:r>
              <w:rPr>
                <w:rFonts w:hint="eastAsia"/>
                <w:color w:val="auto"/>
                <w:sz w:val="24"/>
                <w:szCs w:val="24"/>
                <w:highlight w:val="none"/>
              </w:rPr>
              <w:t>支持Linux服务器SSH远程登录保护</w:t>
            </w:r>
            <w:r>
              <w:rPr>
                <w:rFonts w:hint="eastAsia"/>
                <w:color w:val="auto"/>
                <w:sz w:val="24"/>
                <w:szCs w:val="24"/>
                <w:highlight w:val="none"/>
                <w:lang w:eastAsia="zh-CN"/>
              </w:rPr>
              <w:t>。</w:t>
            </w:r>
          </w:p>
        </w:tc>
      </w:tr>
      <w:tr w14:paraId="27E10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F0475">
            <w:pPr>
              <w:keepNext w:val="0"/>
              <w:keepLines w:val="0"/>
              <w:widowControl/>
              <w:suppressLineNumbers w:val="0"/>
              <w:ind w:left="0" w:leftChars="0" w:firstLine="0" w:firstLineChars="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w:t>
            </w:r>
          </w:p>
        </w:tc>
        <w:tc>
          <w:tcPr>
            <w:tcW w:w="852" w:type="pct"/>
            <w:vMerge w:val="continue"/>
            <w:tcBorders>
              <w:left w:val="single" w:color="000000" w:sz="4" w:space="0"/>
              <w:bottom w:val="single" w:color="000000" w:sz="4" w:space="0"/>
              <w:right w:val="single" w:color="000000" w:sz="4" w:space="0"/>
            </w:tcBorders>
            <w:shd w:val="clear" w:color="auto" w:fill="auto"/>
            <w:noWrap/>
            <w:vAlign w:val="center"/>
          </w:tcPr>
          <w:p w14:paraId="4C2A23AF">
            <w:pPr>
              <w:jc w:val="center"/>
              <w:rPr>
                <w:rFonts w:hint="eastAsia" w:ascii="宋体" w:hAnsi="宋体" w:eastAsia="宋体" w:cs="宋体"/>
                <w:i w:val="0"/>
                <w:iCs w:val="0"/>
                <w:color w:val="auto"/>
                <w:sz w:val="24"/>
                <w:szCs w:val="24"/>
                <w:highlight w:val="none"/>
                <w:u w:val="none"/>
              </w:rPr>
            </w:pPr>
          </w:p>
        </w:tc>
        <w:tc>
          <w:tcPr>
            <w:tcW w:w="37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18858">
            <w:pPr>
              <w:keepNext w:val="0"/>
              <w:keepLines w:val="0"/>
              <w:widowControl/>
              <w:suppressLineNumbers w:val="0"/>
              <w:ind w:left="0" w:leftChars="0" w:firstLine="0" w:firstLineChars="0"/>
              <w:jc w:val="left"/>
              <w:textAlignment w:val="center"/>
              <w:rPr>
                <w:rFonts w:hint="eastAsia" w:eastAsia="宋体"/>
                <w:color w:val="auto"/>
                <w:sz w:val="24"/>
                <w:szCs w:val="24"/>
                <w:highlight w:val="none"/>
                <w:lang w:eastAsia="zh-CN"/>
              </w:rPr>
            </w:pPr>
            <w:r>
              <w:rPr>
                <w:rFonts w:hint="eastAsia"/>
                <w:color w:val="auto"/>
                <w:sz w:val="24"/>
                <w:szCs w:val="24"/>
                <w:highlight w:val="none"/>
              </w:rPr>
              <w:t>支持联动我院现有的MSS安全运营平台，当安全运营平台发现病毒事件可自动下发策略给“内网服务器防病毒”进行隔离主机</w:t>
            </w:r>
            <w:r>
              <w:rPr>
                <w:rFonts w:hint="eastAsia"/>
                <w:color w:val="auto"/>
                <w:sz w:val="24"/>
                <w:szCs w:val="24"/>
                <w:highlight w:val="none"/>
                <w:lang w:eastAsia="zh-CN"/>
              </w:rPr>
              <w:t>。</w:t>
            </w:r>
          </w:p>
        </w:tc>
      </w:tr>
    </w:tbl>
    <w:p w14:paraId="589151E9">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2.2.3 内网终端防病毒</w:t>
      </w:r>
    </w:p>
    <w:tbl>
      <w:tblPr>
        <w:tblStyle w:val="3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8"/>
        <w:gridCol w:w="1752"/>
        <w:gridCol w:w="7501"/>
      </w:tblGrid>
      <w:tr w14:paraId="59C07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0CBD">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90538">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7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56823">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指标要求</w:t>
            </w:r>
          </w:p>
        </w:tc>
      </w:tr>
      <w:tr w14:paraId="32874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A78F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EEAC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授权要求</w:t>
            </w: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72AB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软件部署，提供PC防病毒软件授权≥800套，三年原厂升级服务。(投标产品与本次招标的“内网服务器防病毒”同</w:t>
            </w:r>
            <w:r>
              <w:rPr>
                <w:rFonts w:hint="eastAsia" w:cs="宋体"/>
                <w:i w:val="0"/>
                <w:iCs w:val="0"/>
                <w:color w:val="auto"/>
                <w:kern w:val="0"/>
                <w:sz w:val="24"/>
                <w:szCs w:val="24"/>
                <w:highlight w:val="none"/>
                <w:u w:val="none"/>
                <w:lang w:val="en-US" w:eastAsia="zh-CN" w:bidi="ar"/>
              </w:rPr>
              <w:t>架构</w:t>
            </w:r>
            <w:r>
              <w:rPr>
                <w:rFonts w:hint="eastAsia" w:ascii="宋体" w:hAnsi="宋体" w:eastAsia="宋体" w:cs="宋体"/>
                <w:i w:val="0"/>
                <w:iCs w:val="0"/>
                <w:color w:val="auto"/>
                <w:kern w:val="0"/>
                <w:sz w:val="24"/>
                <w:szCs w:val="24"/>
                <w:highlight w:val="none"/>
                <w:u w:val="none"/>
                <w:lang w:val="en-US" w:eastAsia="zh-CN" w:bidi="ar"/>
              </w:rPr>
              <w:t>，提供承诺函)</w:t>
            </w:r>
          </w:p>
        </w:tc>
      </w:tr>
      <w:tr w14:paraId="43C49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47D1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6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D8D9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A2F5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采用B/S架构的管理控制中心，具备终端安全可视，终端统一管理，统一威胁处置，统一漏洞修复，威胁响应处置，日志记录与查询等功能；</w:t>
            </w:r>
          </w:p>
        </w:tc>
      </w:tr>
      <w:tr w14:paraId="79343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6066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EB0AD">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056F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客户端支持部署在Windows PC 端，兼容以下系统：Windows XP/Windows Vista/Windows 7/Windows 8/Windows 8.1/Windows 10/Windows 11；红旗、方德、统信UOSV20、银河麒麟V10等。</w:t>
            </w:r>
          </w:p>
        </w:tc>
      </w:tr>
      <w:tr w14:paraId="6C5EC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72E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DF688">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636A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为有效防护勒索病毒攻击，要求提供勒索病毒整体防护体系入口，直观展示最近七天勒索病毒防护效果，包括已处置的恶意文件数量、已拦截可疑行为次数、已阻止的未知进程操作次数、已阻止的暴力破解攻击次数；</w:t>
            </w:r>
          </w:p>
        </w:tc>
      </w:tr>
      <w:tr w14:paraId="1C2FE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6488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5635">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0155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支持跳转链接至云端威胁情报中心，针对已发生的威胁提供详细的分析结果，包含威胁分析、网络行为、静态分析、分析环境和影响分析。</w:t>
            </w:r>
          </w:p>
        </w:tc>
      </w:tr>
      <w:tr w14:paraId="1AAAE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7CF1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76A3D">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69B5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提供勒索病毒整体防护体系入口，直观展示最近七天勒索病毒防护效果，包括已处置的恶意文件数量、已拦截可疑行为次数、已阻止的未知进程操作次数、已阻止的暴力破解攻击次数。</w:t>
            </w:r>
          </w:p>
        </w:tc>
      </w:tr>
      <w:tr w14:paraId="7E024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1577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6614A">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2970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支持客户端的错峰升级，可根据实际情况控制客户端同时升级的最大数量，避免大量终端程序同时更新造成网络拥堵或I/O风暴</w:t>
            </w:r>
          </w:p>
        </w:tc>
      </w:tr>
      <w:tr w14:paraId="3A793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8071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1C549">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4A6E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通过智能识别终端环境情况（低配硬件、老旧设备等）和当前终端资源占用，在闲时实时监控和病毒扫描场景，都可智能调整客户端的资源占用（CPU、IO等），不影响业务；</w:t>
            </w:r>
          </w:p>
        </w:tc>
      </w:tr>
      <w:tr w14:paraId="549E3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D39D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AF9F1">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F39F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支持一键云鉴定服务，提供云端专家+沙箱+多引擎鉴定能力，结合云端威胁情报对已告警的威胁文件再次进行综合研判并给出100%黑白结果，用户可自助对管理平台告警的威胁快速判断是否误报和了解威胁详情。</w:t>
            </w:r>
          </w:p>
        </w:tc>
      </w:tr>
      <w:tr w14:paraId="3E725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5E99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24651">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11A9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支持勒索可疑行为检测，通过行为AI能力对勒索信、命令行、修改文件等多种躲避式投放勒索病毒的高危高频场景进行精准告警和自动拦截。</w:t>
            </w:r>
          </w:p>
        </w:tc>
      </w:tr>
      <w:tr w14:paraId="3D920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E621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A3C0B">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DB04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支持禁止黑客工具启动，包含：xuetr、ProcessHacker、PCHunter、Mimikatz等工具的自启动，可以防止黑客攻击。</w:t>
            </w:r>
          </w:p>
        </w:tc>
      </w:tr>
      <w:tr w14:paraId="1E530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3291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CEEC5">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FEB3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具备强力专杀云端下发通道，支持在管理端批量下发强力专杀工具到内网各终端快速响应终端威胁。</w:t>
            </w:r>
          </w:p>
        </w:tc>
      </w:tr>
      <w:tr w14:paraId="4A0C7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79BC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866A">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F059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基于勒索病毒攻击过程，建立多维度立体防护机制，提供事前入侵防御-事中反加密-事后检测响应的完整防护体系，展示勒索病毒处置情况，对勒索病毒及变种实现专门有效防御。</w:t>
            </w:r>
          </w:p>
        </w:tc>
      </w:tr>
      <w:tr w14:paraId="2FEBE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4655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8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C86F5">
            <w:pPr>
              <w:jc w:val="center"/>
              <w:rPr>
                <w:rFonts w:hint="eastAsia" w:ascii="宋体" w:hAnsi="宋体" w:eastAsia="宋体" w:cs="宋体"/>
                <w:i w:val="0"/>
                <w:iCs w:val="0"/>
                <w:color w:val="auto"/>
                <w:sz w:val="24"/>
                <w:szCs w:val="24"/>
                <w:highlight w:val="none"/>
                <w:u w:val="none"/>
              </w:rPr>
            </w:pPr>
          </w:p>
        </w:tc>
        <w:tc>
          <w:tcPr>
            <w:tcW w:w="3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FF62A">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支持监控诱饵文件，诱饵文件可被实时监控，当勒索病毒对该文件进行修改或加密操作时进行拦截。</w:t>
            </w:r>
          </w:p>
        </w:tc>
      </w:tr>
    </w:tbl>
    <w:p w14:paraId="4840AAB0">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2.2.4 外网分线交换机</w:t>
      </w:r>
    </w:p>
    <w:tbl>
      <w:tblPr>
        <w:tblStyle w:val="3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9"/>
        <w:gridCol w:w="1826"/>
        <w:gridCol w:w="7486"/>
      </w:tblGrid>
      <w:tr w14:paraId="0009B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 w:hRule="atLeast"/>
        </w:trPr>
        <w:tc>
          <w:tcPr>
            <w:tcW w:w="40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9E6C664">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90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B765F2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69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7E0469E">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指标要求</w:t>
            </w:r>
          </w:p>
        </w:tc>
      </w:tr>
      <w:tr w14:paraId="3C1CA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404" w:type="pct"/>
            <w:tcBorders>
              <w:top w:val="nil"/>
              <w:left w:val="single" w:color="000000" w:sz="8" w:space="0"/>
              <w:bottom w:val="single" w:color="000000" w:sz="8" w:space="0"/>
              <w:right w:val="single" w:color="000000" w:sz="8" w:space="0"/>
            </w:tcBorders>
            <w:shd w:val="clear" w:color="auto" w:fill="auto"/>
            <w:vAlign w:val="center"/>
          </w:tcPr>
          <w:p w14:paraId="77E5933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01" w:type="pct"/>
            <w:tcBorders>
              <w:top w:val="nil"/>
              <w:left w:val="single" w:color="000000" w:sz="8" w:space="0"/>
              <w:bottom w:val="single" w:color="000000" w:sz="8" w:space="0"/>
              <w:right w:val="single" w:color="000000" w:sz="8" w:space="0"/>
            </w:tcBorders>
            <w:shd w:val="clear" w:color="auto" w:fill="auto"/>
            <w:vAlign w:val="center"/>
          </w:tcPr>
          <w:p w14:paraId="6CAFE3E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性能要求</w:t>
            </w:r>
          </w:p>
        </w:tc>
        <w:tc>
          <w:tcPr>
            <w:tcW w:w="3694" w:type="pct"/>
            <w:tcBorders>
              <w:top w:val="nil"/>
              <w:left w:val="single" w:color="000000" w:sz="8" w:space="0"/>
              <w:bottom w:val="single" w:color="000000" w:sz="8" w:space="0"/>
              <w:right w:val="single" w:color="000000" w:sz="8" w:space="0"/>
            </w:tcBorders>
            <w:shd w:val="clear" w:color="auto" w:fill="auto"/>
            <w:vAlign w:val="center"/>
          </w:tcPr>
          <w:p w14:paraId="54DDCD6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交换容量≥672Gbps/6.72Tbps，包转发率≥171 Mpps，≥24 个 千兆电口，≥4 个 10GE SFP+端口；提供五年硬件质保。</w:t>
            </w:r>
          </w:p>
        </w:tc>
      </w:tr>
    </w:tbl>
    <w:p w14:paraId="0C33BB75">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2.2.5 外网边界防火墙</w:t>
      </w:r>
    </w:p>
    <w:tbl>
      <w:tblPr>
        <w:tblStyle w:val="3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8"/>
        <w:gridCol w:w="1789"/>
        <w:gridCol w:w="7484"/>
      </w:tblGrid>
      <w:tr w14:paraId="4669B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68F3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77E2E">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B3BFA">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指标要求</w:t>
            </w:r>
          </w:p>
        </w:tc>
      </w:tr>
      <w:tr w14:paraId="23F15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14A7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6CAE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性能要求</w:t>
            </w: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6C1AA">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配置国产芯片并搭载国产操作系统正版授权，网络层吞吐量≥</w:t>
            </w:r>
            <w:r>
              <w:rPr>
                <w:rFonts w:hint="eastAsia" w:ascii="宋体" w:hAnsi="宋体" w:cs="宋体"/>
                <w:i w:val="0"/>
                <w:iCs w:val="0"/>
                <w:color w:val="auto"/>
                <w:kern w:val="0"/>
                <w:sz w:val="24"/>
                <w:szCs w:val="24"/>
                <w:highlight w:val="none"/>
                <w:u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0G，应用层吞吐量≥</w:t>
            </w:r>
            <w:r>
              <w:rPr>
                <w:rFonts w:hint="eastAsia" w:ascii="宋体" w:hAnsi="宋体" w:cs="宋体"/>
                <w:i w:val="0"/>
                <w:iCs w:val="0"/>
                <w:color w:val="auto"/>
                <w:kern w:val="0"/>
                <w:sz w:val="24"/>
                <w:szCs w:val="24"/>
                <w:highlight w:val="none"/>
                <w:u w:val="none"/>
                <w:lang w:val="en-US" w:eastAsia="zh-CN" w:bidi="ar"/>
              </w:rPr>
              <w:t>15</w:t>
            </w:r>
            <w:r>
              <w:rPr>
                <w:rFonts w:hint="eastAsia" w:ascii="宋体" w:hAnsi="宋体" w:eastAsia="宋体" w:cs="宋体"/>
                <w:i w:val="0"/>
                <w:iCs w:val="0"/>
                <w:color w:val="auto"/>
                <w:kern w:val="0"/>
                <w:sz w:val="24"/>
                <w:szCs w:val="24"/>
                <w:highlight w:val="none"/>
                <w:u w:val="none"/>
                <w:lang w:val="en-US" w:eastAsia="zh-CN" w:bidi="ar"/>
              </w:rPr>
              <w:t>G，并发连接数≥</w:t>
            </w:r>
            <w:r>
              <w:rPr>
                <w:rFonts w:hint="eastAsia" w:ascii="宋体" w:hAnsi="宋体" w:cs="宋体"/>
                <w:i w:val="0"/>
                <w:iCs w:val="0"/>
                <w:color w:val="auto"/>
                <w:kern w:val="0"/>
                <w:sz w:val="24"/>
                <w:szCs w:val="24"/>
                <w:highlight w:val="none"/>
                <w:u w:val="none"/>
                <w:lang w:val="en-US" w:eastAsia="zh-CN" w:bidi="ar"/>
              </w:rPr>
              <w:t>8</w:t>
            </w:r>
            <w:r>
              <w:rPr>
                <w:rFonts w:hint="eastAsia" w:ascii="宋体" w:hAnsi="宋体" w:eastAsia="宋体" w:cs="宋体"/>
                <w:i w:val="0"/>
                <w:iCs w:val="0"/>
                <w:color w:val="auto"/>
                <w:kern w:val="0"/>
                <w:sz w:val="24"/>
                <w:szCs w:val="24"/>
                <w:highlight w:val="none"/>
                <w:u w:val="none"/>
                <w:lang w:val="en-US" w:eastAsia="zh-CN" w:bidi="ar"/>
              </w:rPr>
              <w:t>00万，HTTP新建连接数≥1</w:t>
            </w:r>
            <w:r>
              <w:rPr>
                <w:rFonts w:hint="eastAsia" w:ascii="宋体" w:hAnsi="宋体" w:cs="宋体"/>
                <w:i w:val="0"/>
                <w:iCs w:val="0"/>
                <w:color w:val="auto"/>
                <w:kern w:val="0"/>
                <w:sz w:val="24"/>
                <w:szCs w:val="24"/>
                <w:highlight w:val="none"/>
                <w:u w:val="none"/>
                <w:lang w:val="en-US" w:eastAsia="zh-CN" w:bidi="ar"/>
              </w:rPr>
              <w:t>6</w:t>
            </w:r>
            <w:r>
              <w:rPr>
                <w:rFonts w:hint="eastAsia" w:ascii="宋体" w:hAnsi="宋体" w:eastAsia="宋体" w:cs="宋体"/>
                <w:i w:val="0"/>
                <w:iCs w:val="0"/>
                <w:color w:val="auto"/>
                <w:kern w:val="0"/>
                <w:sz w:val="24"/>
                <w:szCs w:val="24"/>
                <w:highlight w:val="none"/>
                <w:u w:val="none"/>
                <w:lang w:val="en-US" w:eastAsia="zh-CN" w:bidi="ar"/>
              </w:rPr>
              <w:t>万；内存≥</w:t>
            </w:r>
            <w:r>
              <w:rPr>
                <w:rFonts w:hint="eastAsia" w:ascii="宋体" w:hAnsi="宋体" w:cs="宋体"/>
                <w:i w:val="0"/>
                <w:iCs w:val="0"/>
                <w:color w:val="auto"/>
                <w:kern w:val="0"/>
                <w:sz w:val="24"/>
                <w:szCs w:val="24"/>
                <w:highlight w:val="none"/>
                <w:u w:val="none"/>
                <w:lang w:val="en-US" w:eastAsia="zh-CN" w:bidi="ar"/>
              </w:rPr>
              <w:t>16</w:t>
            </w:r>
            <w:r>
              <w:rPr>
                <w:rFonts w:hint="eastAsia" w:ascii="宋体" w:hAnsi="宋体" w:eastAsia="宋体" w:cs="宋体"/>
                <w:i w:val="0"/>
                <w:iCs w:val="0"/>
                <w:color w:val="auto"/>
                <w:kern w:val="0"/>
                <w:sz w:val="24"/>
                <w:szCs w:val="24"/>
                <w:highlight w:val="none"/>
                <w:u w:val="none"/>
                <w:lang w:val="en-US" w:eastAsia="zh-CN" w:bidi="ar"/>
              </w:rPr>
              <w:t>G，硬盘≥128G SSD，</w:t>
            </w:r>
            <w:r>
              <w:rPr>
                <w:rFonts w:hint="eastAsia" w:cs="宋体"/>
                <w:i w:val="0"/>
                <w:iCs w:val="0"/>
                <w:color w:val="auto"/>
                <w:kern w:val="0"/>
                <w:sz w:val="24"/>
                <w:szCs w:val="24"/>
                <w:highlight w:val="none"/>
                <w:u w:val="none"/>
                <w:lang w:val="en-US" w:eastAsia="zh-CN" w:bidi="ar"/>
              </w:rPr>
              <w:t>冗余</w:t>
            </w:r>
            <w:r>
              <w:rPr>
                <w:rFonts w:hint="eastAsia" w:ascii="宋体" w:hAnsi="宋体" w:eastAsia="宋体" w:cs="宋体"/>
                <w:i w:val="0"/>
                <w:iCs w:val="0"/>
                <w:color w:val="auto"/>
                <w:kern w:val="0"/>
                <w:sz w:val="24"/>
                <w:szCs w:val="24"/>
                <w:highlight w:val="none"/>
                <w:u w:val="none"/>
                <w:lang w:val="en-US" w:eastAsia="zh-CN" w:bidi="ar"/>
              </w:rPr>
              <w:t>电源，接口≥6千兆电口。</w:t>
            </w:r>
            <w:r>
              <w:rPr>
                <w:rFonts w:hint="eastAsia" w:ascii="宋体" w:hAnsi="宋体" w:eastAsia="宋体" w:cs="宋体"/>
                <w:i w:val="0"/>
                <w:iCs w:val="0"/>
                <w:color w:val="auto"/>
                <w:kern w:val="0"/>
                <w:sz w:val="24"/>
                <w:szCs w:val="24"/>
                <w:highlight w:val="none"/>
                <w:u w:val="none"/>
                <w:lang w:val="en-US" w:eastAsia="zh-CN" w:bidi="ar"/>
              </w:rPr>
              <w:t>含IPS、防病毒规则库三年升级、五年硬件原厂质保服务。</w:t>
            </w:r>
          </w:p>
        </w:tc>
      </w:tr>
      <w:tr w14:paraId="63265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41BB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83" w:type="pct"/>
            <w:vMerge w:val="restart"/>
            <w:tcBorders>
              <w:top w:val="single" w:color="000000" w:sz="4" w:space="0"/>
              <w:left w:val="single" w:color="000000" w:sz="4" w:space="0"/>
              <w:right w:val="single" w:color="000000" w:sz="4" w:space="0"/>
            </w:tcBorders>
            <w:shd w:val="clear" w:color="auto" w:fill="auto"/>
            <w:noWrap/>
            <w:vAlign w:val="center"/>
          </w:tcPr>
          <w:p w14:paraId="30052EB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D25C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产品支持路由模式、透明模式、虚拟网线模式、旁路镜像模式等多种部署方式。</w:t>
            </w:r>
          </w:p>
        </w:tc>
      </w:tr>
      <w:tr w14:paraId="288AF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5B32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83" w:type="pct"/>
            <w:vMerge w:val="continue"/>
            <w:tcBorders>
              <w:left w:val="single" w:color="000000" w:sz="4" w:space="0"/>
              <w:right w:val="single" w:color="000000" w:sz="4" w:space="0"/>
            </w:tcBorders>
            <w:shd w:val="clear" w:color="auto" w:fill="auto"/>
            <w:noWrap/>
            <w:vAlign w:val="center"/>
          </w:tcPr>
          <w:p w14:paraId="42388EC4">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EB60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产品支持基于网络区域、网络对象、MAC地址、服务、应用、域名等维度进行访问控制策略设置。</w:t>
            </w:r>
          </w:p>
        </w:tc>
      </w:tr>
      <w:tr w14:paraId="34597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9684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883" w:type="pct"/>
            <w:vMerge w:val="continue"/>
            <w:tcBorders>
              <w:left w:val="single" w:color="000000" w:sz="4" w:space="0"/>
              <w:right w:val="single" w:color="000000" w:sz="4" w:space="0"/>
            </w:tcBorders>
            <w:shd w:val="clear" w:color="auto" w:fill="auto"/>
            <w:noWrap/>
            <w:vAlign w:val="center"/>
          </w:tcPr>
          <w:p w14:paraId="059958CA">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39F0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产品支持勒索病毒检测与防御功能。</w:t>
            </w:r>
          </w:p>
        </w:tc>
      </w:tr>
      <w:tr w14:paraId="6C3CD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8FCC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883" w:type="pct"/>
            <w:vMerge w:val="continue"/>
            <w:tcBorders>
              <w:left w:val="single" w:color="000000" w:sz="4" w:space="0"/>
              <w:right w:val="single" w:color="000000" w:sz="4" w:space="0"/>
            </w:tcBorders>
            <w:shd w:val="clear" w:color="auto" w:fill="auto"/>
            <w:noWrap/>
            <w:vAlign w:val="center"/>
          </w:tcPr>
          <w:p w14:paraId="6555900B">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CF54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产品支持对压缩病毒文件进行检测和拦截，压缩层数支持15层及以上。</w:t>
            </w:r>
          </w:p>
        </w:tc>
      </w:tr>
      <w:tr w14:paraId="28EEC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1194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883" w:type="pct"/>
            <w:vMerge w:val="continue"/>
            <w:tcBorders>
              <w:left w:val="single" w:color="000000" w:sz="4" w:space="0"/>
              <w:right w:val="single" w:color="000000" w:sz="4" w:space="0"/>
            </w:tcBorders>
            <w:shd w:val="clear" w:color="auto" w:fill="auto"/>
            <w:noWrap/>
            <w:vAlign w:val="center"/>
          </w:tcPr>
          <w:p w14:paraId="1B23269A">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E65F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产品支持https解密功能，支持TCP代理和SSL代理。</w:t>
            </w:r>
          </w:p>
        </w:tc>
      </w:tr>
      <w:tr w14:paraId="73D4C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21F0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883" w:type="pct"/>
            <w:vMerge w:val="continue"/>
            <w:tcBorders>
              <w:left w:val="single" w:color="000000" w:sz="4" w:space="0"/>
              <w:right w:val="single" w:color="000000" w:sz="4" w:space="0"/>
            </w:tcBorders>
            <w:shd w:val="clear" w:color="auto" w:fill="auto"/>
            <w:noWrap/>
            <w:vAlign w:val="center"/>
          </w:tcPr>
          <w:p w14:paraId="3187FB33">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B4D1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产品支持云端未知威胁主动探测技术，实现5min内未知威胁情报全网设备下发。</w:t>
            </w:r>
          </w:p>
        </w:tc>
      </w:tr>
      <w:tr w14:paraId="0FBAA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D3D0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883" w:type="pct"/>
            <w:vMerge w:val="continue"/>
            <w:tcBorders>
              <w:left w:val="single" w:color="000000" w:sz="4" w:space="0"/>
              <w:right w:val="single" w:color="000000" w:sz="4" w:space="0"/>
            </w:tcBorders>
            <w:shd w:val="clear" w:color="auto" w:fill="auto"/>
            <w:noWrap/>
            <w:vAlign w:val="center"/>
          </w:tcPr>
          <w:p w14:paraId="246E2944">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3542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产品支持杀毒白名单设置，可以例外排除特定MD5和URL的病毒文件，针对特定文件不进行查杀。</w:t>
            </w:r>
          </w:p>
        </w:tc>
      </w:tr>
      <w:tr w14:paraId="410B3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C7FA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883" w:type="pct"/>
            <w:vMerge w:val="continue"/>
            <w:tcBorders>
              <w:left w:val="single" w:color="000000" w:sz="4" w:space="0"/>
              <w:right w:val="single" w:color="000000" w:sz="4" w:space="0"/>
            </w:tcBorders>
            <w:shd w:val="clear" w:color="auto" w:fill="auto"/>
            <w:noWrap/>
            <w:vAlign w:val="center"/>
          </w:tcPr>
          <w:p w14:paraId="1314B92B">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A50E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产品应具备独立的勒索病毒防护模块，非普通防病毒功能，支持对特定的业务进行勒索风险自动化评估，并依据评估结果自动生成防护策略。</w:t>
            </w:r>
          </w:p>
        </w:tc>
      </w:tr>
      <w:tr w14:paraId="26F48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4054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883" w:type="pct"/>
            <w:vMerge w:val="continue"/>
            <w:tcBorders>
              <w:left w:val="single" w:color="000000" w:sz="4" w:space="0"/>
              <w:right w:val="single" w:color="000000" w:sz="4" w:space="0"/>
            </w:tcBorders>
            <w:shd w:val="clear" w:color="auto" w:fill="auto"/>
            <w:noWrap/>
            <w:vAlign w:val="center"/>
          </w:tcPr>
          <w:p w14:paraId="1E1FACD7">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2CAB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产品内置不低于16000种漏洞规则，同时支持在控制台界面通过漏洞ID、漏洞名称、危险等级、漏洞CVE标识、漏洞描述等条件查询漏洞特征信息，支持用户自定义IPS规则。</w:t>
            </w:r>
          </w:p>
        </w:tc>
      </w:tr>
      <w:tr w14:paraId="79F02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1B0A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883" w:type="pct"/>
            <w:vMerge w:val="continue"/>
            <w:tcBorders>
              <w:left w:val="single" w:color="000000" w:sz="4" w:space="0"/>
              <w:right w:val="single" w:color="000000" w:sz="4" w:space="0"/>
            </w:tcBorders>
            <w:shd w:val="clear" w:color="auto" w:fill="auto"/>
            <w:noWrap/>
            <w:vAlign w:val="center"/>
          </w:tcPr>
          <w:p w14:paraId="410F0968">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8EEFA">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产品支持基于IMAP、FTP、RDP、VNC、SSH、TELNET、ORACLE、MYSQL、MSSQL等应用协议进行深度检测与防护。</w:t>
            </w:r>
          </w:p>
        </w:tc>
      </w:tr>
      <w:tr w14:paraId="532CD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D463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883" w:type="pct"/>
            <w:vMerge w:val="continue"/>
            <w:tcBorders>
              <w:left w:val="single" w:color="000000" w:sz="4" w:space="0"/>
              <w:right w:val="single" w:color="000000" w:sz="4" w:space="0"/>
            </w:tcBorders>
            <w:shd w:val="clear" w:color="auto" w:fill="auto"/>
            <w:noWrap/>
            <w:vAlign w:val="center"/>
          </w:tcPr>
          <w:p w14:paraId="642D1C5E">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4547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产品支持策略生命周期管理功能，支持对安全策略修改的时间、原因、变更类型进行统一管理，便于策略的运维与管理。</w:t>
            </w:r>
          </w:p>
        </w:tc>
      </w:tr>
      <w:tr w14:paraId="3B091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FA9B1">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w:t>
            </w:r>
          </w:p>
        </w:tc>
        <w:tc>
          <w:tcPr>
            <w:tcW w:w="883" w:type="pct"/>
            <w:vMerge w:val="continue"/>
            <w:tcBorders>
              <w:left w:val="single" w:color="000000" w:sz="4" w:space="0"/>
              <w:right w:val="single" w:color="000000" w:sz="4" w:space="0"/>
            </w:tcBorders>
            <w:shd w:val="clear" w:color="auto" w:fill="auto"/>
            <w:noWrap/>
            <w:vAlign w:val="center"/>
          </w:tcPr>
          <w:p w14:paraId="0C4118C8">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CFAA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color w:val="auto"/>
                <w:sz w:val="24"/>
                <w:szCs w:val="24"/>
                <w:highlight w:val="none"/>
              </w:rPr>
              <w:t>产品支持云威胁情报网关技术</w:t>
            </w:r>
            <w:r>
              <w:rPr>
                <w:rFonts w:hint="eastAsia"/>
                <w:color w:val="auto"/>
                <w:sz w:val="24"/>
                <w:szCs w:val="24"/>
                <w:highlight w:val="none"/>
                <w:lang w:eastAsia="zh-CN"/>
              </w:rPr>
              <w:t>。</w:t>
            </w:r>
          </w:p>
        </w:tc>
      </w:tr>
      <w:tr w14:paraId="21CF3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02970">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w:t>
            </w:r>
          </w:p>
        </w:tc>
        <w:tc>
          <w:tcPr>
            <w:tcW w:w="883" w:type="pct"/>
            <w:vMerge w:val="continue"/>
            <w:tcBorders>
              <w:left w:val="single" w:color="000000" w:sz="4" w:space="0"/>
              <w:bottom w:val="single" w:color="000000" w:sz="4" w:space="0"/>
              <w:right w:val="single" w:color="000000" w:sz="4" w:space="0"/>
            </w:tcBorders>
            <w:shd w:val="clear" w:color="auto" w:fill="auto"/>
            <w:noWrap/>
            <w:vAlign w:val="center"/>
          </w:tcPr>
          <w:p w14:paraId="2EA44FFE">
            <w:pPr>
              <w:jc w:val="center"/>
              <w:rPr>
                <w:rFonts w:hint="eastAsia" w:ascii="宋体" w:hAnsi="宋体" w:eastAsia="宋体" w:cs="宋体"/>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0398C">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color w:val="auto"/>
                <w:sz w:val="24"/>
                <w:szCs w:val="24"/>
                <w:highlight w:val="none"/>
              </w:rPr>
              <w:t>为提高我院运维人员处置效率，产品支持与医院现有“外网服务器防病毒aES（系统版本为6.0.2）”联动管理，可在防火墙产品完成终端安全策略设置</w:t>
            </w:r>
            <w:r>
              <w:rPr>
                <w:rFonts w:hint="eastAsia"/>
                <w:color w:val="auto"/>
                <w:sz w:val="24"/>
                <w:szCs w:val="24"/>
                <w:highlight w:val="none"/>
                <w:lang w:eastAsia="zh-CN"/>
              </w:rPr>
              <w:t>。</w:t>
            </w:r>
          </w:p>
        </w:tc>
      </w:tr>
    </w:tbl>
    <w:p w14:paraId="251A5D40">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2.2.6 WEB应用防火墙</w:t>
      </w:r>
    </w:p>
    <w:tbl>
      <w:tblPr>
        <w:tblStyle w:val="3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37"/>
        <w:gridCol w:w="1808"/>
        <w:gridCol w:w="7486"/>
      </w:tblGrid>
      <w:tr w14:paraId="6A057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413" w:type="pct"/>
            <w:shd w:val="clear" w:color="auto" w:fill="auto"/>
            <w:vAlign w:val="center"/>
          </w:tcPr>
          <w:p w14:paraId="72C8B47E">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92" w:type="pct"/>
            <w:shd w:val="clear" w:color="auto" w:fill="auto"/>
            <w:vAlign w:val="center"/>
          </w:tcPr>
          <w:p w14:paraId="78DF533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693" w:type="pct"/>
            <w:shd w:val="clear" w:color="auto" w:fill="auto"/>
            <w:vAlign w:val="center"/>
          </w:tcPr>
          <w:p w14:paraId="0DD625DE">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指标要求</w:t>
            </w:r>
          </w:p>
        </w:tc>
      </w:tr>
      <w:tr w14:paraId="12C0D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13" w:type="pct"/>
            <w:shd w:val="clear" w:color="auto" w:fill="auto"/>
            <w:vAlign w:val="center"/>
          </w:tcPr>
          <w:p w14:paraId="0D585E7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92" w:type="pct"/>
            <w:shd w:val="clear" w:color="auto" w:fill="auto"/>
            <w:vAlign w:val="center"/>
          </w:tcPr>
          <w:p w14:paraId="678BAA6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性能要求</w:t>
            </w:r>
          </w:p>
        </w:tc>
        <w:tc>
          <w:tcPr>
            <w:tcW w:w="3693" w:type="pct"/>
            <w:shd w:val="clear" w:color="auto" w:fill="auto"/>
            <w:vAlign w:val="center"/>
          </w:tcPr>
          <w:p w14:paraId="09D9049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配置国产芯片并搭载国产操作系统正版授权，内存≥32G，网络层吞吐量≥16Gbps，应用层吞吐量≥2.7Gbps；≥6*千兆电口 ，≥4*万兆光口，硬盘 ≥256GSSD+≥4T SATA；冗余电源。提供五年原厂规则库升级、软硬件质保。</w:t>
            </w:r>
          </w:p>
        </w:tc>
      </w:tr>
      <w:tr w14:paraId="0BE0B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413" w:type="pct"/>
            <w:shd w:val="clear" w:color="auto" w:fill="auto"/>
            <w:vAlign w:val="center"/>
          </w:tcPr>
          <w:p w14:paraId="24280B0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92" w:type="pct"/>
            <w:vMerge w:val="restart"/>
            <w:shd w:val="clear" w:color="auto" w:fill="auto"/>
            <w:vAlign w:val="center"/>
          </w:tcPr>
          <w:p w14:paraId="2D1D930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3693" w:type="pct"/>
            <w:shd w:val="clear" w:color="auto" w:fill="auto"/>
            <w:vAlign w:val="top"/>
          </w:tcPr>
          <w:p w14:paraId="18597EF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为避免业务请求包含完整SQL语言从而导致WAF大量误报，要求货物检测引擎支持自动区分注入型/非注入型攻击，可自动放行非注入型SQL、XSS等。</w:t>
            </w:r>
          </w:p>
        </w:tc>
      </w:tr>
      <w:tr w14:paraId="1CE7D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13" w:type="pct"/>
            <w:shd w:val="clear" w:color="auto" w:fill="auto"/>
            <w:vAlign w:val="center"/>
          </w:tcPr>
          <w:p w14:paraId="1341F9F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92" w:type="pct"/>
            <w:vMerge w:val="continue"/>
            <w:shd w:val="clear" w:color="auto" w:fill="auto"/>
            <w:vAlign w:val="center"/>
          </w:tcPr>
          <w:p w14:paraId="0896D641">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top"/>
          </w:tcPr>
          <w:p w14:paraId="61040BA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可结合业务正常需求，设定各种业务层面的安全防护策略，为业务系统提供更加细粒度防护，支持基于Session、请求体中任意key长度等不少于30个匹配特征进行规则配置，并可对特征进行任意“与”、“或”关系组合，满足复杂业务场景下的攻击防护需求。</w:t>
            </w:r>
          </w:p>
        </w:tc>
      </w:tr>
      <w:tr w14:paraId="78B2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13" w:type="pct"/>
            <w:shd w:val="clear" w:color="auto" w:fill="auto"/>
            <w:vAlign w:val="center"/>
          </w:tcPr>
          <w:p w14:paraId="40EB554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892" w:type="pct"/>
            <w:vMerge w:val="continue"/>
            <w:shd w:val="clear" w:color="auto" w:fill="auto"/>
            <w:vAlign w:val="center"/>
          </w:tcPr>
          <w:p w14:paraId="575CBC32">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top"/>
          </w:tcPr>
          <w:p w14:paraId="1EE8341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支持自定义规则检测前对请求进行解码，解码类型包括：Base64解码、十六进制解码等不少于5种，可根据业务系统编码类型进行配置，快速实现新爆发漏洞的防护。</w:t>
            </w:r>
          </w:p>
        </w:tc>
      </w:tr>
      <w:tr w14:paraId="61DAE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413" w:type="pct"/>
            <w:shd w:val="clear" w:color="auto" w:fill="auto"/>
            <w:vAlign w:val="center"/>
          </w:tcPr>
          <w:p w14:paraId="3041999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892" w:type="pct"/>
            <w:vMerge w:val="continue"/>
            <w:shd w:val="clear" w:color="auto" w:fill="auto"/>
            <w:vAlign w:val="center"/>
          </w:tcPr>
          <w:p w14:paraId="0C699C16">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top"/>
          </w:tcPr>
          <w:p w14:paraId="6D91AF9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支持针对一些可疑的攻击或大规模攻击，当超过命中自定义规则设置阈值时，可基于用户、IP、Session限频或拦截。</w:t>
            </w:r>
          </w:p>
        </w:tc>
      </w:tr>
      <w:tr w14:paraId="7E6DE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413" w:type="pct"/>
            <w:shd w:val="clear" w:color="auto" w:fill="auto"/>
            <w:vAlign w:val="center"/>
          </w:tcPr>
          <w:p w14:paraId="282353B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892" w:type="pct"/>
            <w:vMerge w:val="continue"/>
            <w:shd w:val="clear" w:color="auto" w:fill="auto"/>
            <w:vAlign w:val="center"/>
          </w:tcPr>
          <w:p w14:paraId="70045535">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top"/>
          </w:tcPr>
          <w:p w14:paraId="4588FE8A">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支持访问控制功能，可按照国家、省进行地址访问限制，防止区域性攻击对Web网站造成影响</w:t>
            </w:r>
          </w:p>
        </w:tc>
      </w:tr>
      <w:tr w14:paraId="0C877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13" w:type="pct"/>
            <w:shd w:val="clear" w:color="auto" w:fill="auto"/>
            <w:vAlign w:val="center"/>
          </w:tcPr>
          <w:p w14:paraId="09C9A22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892" w:type="pct"/>
            <w:vMerge w:val="continue"/>
            <w:shd w:val="clear" w:color="auto" w:fill="auto"/>
            <w:vAlign w:val="center"/>
          </w:tcPr>
          <w:p w14:paraId="3CBFB20A">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top"/>
          </w:tcPr>
          <w:p w14:paraId="70AFA59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支持WAF能力原子化可编排，支持可视化显示WAF检测流程，可在不同的检测点直接插入业务规则，可按照业务场景自动调整检测流程，满足业务差异化防护需求。</w:t>
            </w:r>
          </w:p>
        </w:tc>
      </w:tr>
      <w:tr w14:paraId="5CBF9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413" w:type="pct"/>
            <w:shd w:val="clear" w:color="auto" w:fill="auto"/>
            <w:vAlign w:val="center"/>
          </w:tcPr>
          <w:p w14:paraId="46B35A2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892" w:type="pct"/>
            <w:vMerge w:val="continue"/>
            <w:shd w:val="clear" w:color="auto" w:fill="auto"/>
            <w:vAlign w:val="center"/>
          </w:tcPr>
          <w:p w14:paraId="4243F412">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top"/>
          </w:tcPr>
          <w:p w14:paraId="4633B77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支持告警日志中自动提取攻击payload，并可自动解码明文展示，帮助安全人员快速定位攻击。</w:t>
            </w:r>
          </w:p>
        </w:tc>
      </w:tr>
      <w:tr w14:paraId="0D79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13" w:type="pct"/>
            <w:shd w:val="clear" w:color="auto" w:fill="auto"/>
            <w:vAlign w:val="center"/>
          </w:tcPr>
          <w:p w14:paraId="4DA902E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892" w:type="pct"/>
            <w:vMerge w:val="continue"/>
            <w:shd w:val="clear" w:color="auto" w:fill="auto"/>
            <w:vAlign w:val="center"/>
          </w:tcPr>
          <w:p w14:paraId="7188AAA2">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top"/>
          </w:tcPr>
          <w:p w14:paraId="73EBEC6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攻击检测日志拥有丰富的筛选条件，并支持筛选规则保存为筛选历史，下次查询可直接选择已保存的筛选规则或在筛选历史中点击历史筛选条件进行日志查询，便于安全人员快速筛选关注日志信息。</w:t>
            </w:r>
          </w:p>
        </w:tc>
      </w:tr>
      <w:tr w14:paraId="2D861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13" w:type="pct"/>
            <w:shd w:val="clear" w:color="auto" w:fill="auto"/>
            <w:vAlign w:val="center"/>
          </w:tcPr>
          <w:p w14:paraId="18D21DF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892" w:type="pct"/>
            <w:vMerge w:val="continue"/>
            <w:shd w:val="clear" w:color="auto" w:fill="auto"/>
            <w:vAlign w:val="center"/>
          </w:tcPr>
          <w:p w14:paraId="2AA6A3F1">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top"/>
          </w:tcPr>
          <w:p w14:paraId="74A9978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支持自动汇聚相关攻击事件，将同一来源、相同类型攻击自动汇聚成一条告警数据，并显示攻击次数。便于安全人员快速锁定大范围攻击发生的时间节点及攻击源。</w:t>
            </w:r>
          </w:p>
        </w:tc>
      </w:tr>
      <w:tr w14:paraId="5B399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413" w:type="pct"/>
            <w:shd w:val="clear" w:color="auto" w:fill="auto"/>
            <w:vAlign w:val="center"/>
          </w:tcPr>
          <w:p w14:paraId="4F082D1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892" w:type="pct"/>
            <w:vMerge w:val="continue"/>
            <w:shd w:val="clear" w:color="auto" w:fill="auto"/>
            <w:vAlign w:val="center"/>
          </w:tcPr>
          <w:p w14:paraId="4C6B7A54">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top"/>
          </w:tcPr>
          <w:p w14:paraId="0C25086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拥有多种源IP获取方式，可从Socket、X-Forwarded-For的任意层中或自定义配置HTTP头任意值获取源IP，包括IPV6。</w:t>
            </w:r>
          </w:p>
        </w:tc>
      </w:tr>
      <w:tr w14:paraId="6757D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413" w:type="pct"/>
            <w:shd w:val="clear" w:color="auto" w:fill="auto"/>
            <w:vAlign w:val="center"/>
          </w:tcPr>
          <w:p w14:paraId="24E306F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892" w:type="pct"/>
            <w:vMerge w:val="continue"/>
            <w:shd w:val="clear" w:color="auto" w:fill="auto"/>
            <w:vAlign w:val="center"/>
          </w:tcPr>
          <w:p w14:paraId="47E6F17A">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top"/>
          </w:tcPr>
          <w:p w14:paraId="031ACFE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支持实时防护状态监控，实时上报检测节点每秒检测数、平均检测耗时，转发节点每秒新建连接数、平均处理延迟和并发连接数，并可图形化展示。</w:t>
            </w:r>
          </w:p>
        </w:tc>
      </w:tr>
      <w:tr w14:paraId="55454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13" w:type="pct"/>
            <w:shd w:val="clear" w:color="auto" w:fill="auto"/>
            <w:vAlign w:val="center"/>
          </w:tcPr>
          <w:p w14:paraId="7DF1448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892" w:type="pct"/>
            <w:vMerge w:val="continue"/>
            <w:shd w:val="clear" w:color="auto" w:fill="auto"/>
            <w:vAlign w:val="center"/>
          </w:tcPr>
          <w:p w14:paraId="1A0D9B45">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top"/>
          </w:tcPr>
          <w:p w14:paraId="72B33B0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支持一键生成并可导出WAF管理平台安全基线检查报告，动态检查WAF管理平台的安全合规性，检查内容至少应包含：密码强度、会话超时、账号锁定、口令存储方式等，保证WAF管理平台自身满足合规要求。</w:t>
            </w:r>
          </w:p>
        </w:tc>
      </w:tr>
    </w:tbl>
    <w:p w14:paraId="518E4FAC">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2.2.7 零信任平台</w:t>
      </w:r>
    </w:p>
    <w:tbl>
      <w:tblPr>
        <w:tblStyle w:val="3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0"/>
        <w:gridCol w:w="1808"/>
        <w:gridCol w:w="7483"/>
      </w:tblGrid>
      <w:tr w14:paraId="12520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0653B">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7FEA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EC22B">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技术规格要求</w:t>
            </w:r>
          </w:p>
        </w:tc>
      </w:tr>
      <w:tr w14:paraId="5D9CD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E5D4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678D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整体要求</w:t>
            </w: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D8B1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提供分离式架构部署，提供零信任控制中心和代理网关硬件，并提供≥五年原厂质保服务。</w:t>
            </w:r>
          </w:p>
        </w:tc>
      </w:tr>
      <w:tr w14:paraId="3B394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9AEA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92" w:type="pct"/>
            <w:vMerge w:val="restart"/>
            <w:tcBorders>
              <w:top w:val="single" w:color="000000" w:sz="4" w:space="0"/>
              <w:left w:val="single" w:color="000000" w:sz="4" w:space="0"/>
              <w:right w:val="single" w:color="000000" w:sz="4" w:space="0"/>
            </w:tcBorders>
            <w:shd w:val="clear" w:color="auto" w:fill="auto"/>
            <w:vAlign w:val="center"/>
          </w:tcPr>
          <w:p w14:paraId="2D4F69F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控制中心要求</w:t>
            </w: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EBA8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硬件规格要求：内存≥16G；硬盘容量≥128G SSD；配置冗余电源；≥6个千兆电口，≥4个千兆光口SFP口；配置国产芯片并搭载国产操作系统正版授权。</w:t>
            </w:r>
          </w:p>
        </w:tc>
      </w:tr>
      <w:tr w14:paraId="7C0C0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9CAF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92" w:type="pct"/>
            <w:vMerge w:val="continue"/>
            <w:tcBorders>
              <w:left w:val="single" w:color="000000" w:sz="4" w:space="0"/>
              <w:right w:val="single" w:color="000000" w:sz="4" w:space="0"/>
            </w:tcBorders>
            <w:shd w:val="clear" w:color="auto" w:fill="auto"/>
            <w:vAlign w:val="center"/>
          </w:tcPr>
          <w:p w14:paraId="01ABDDD6">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9851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支持最大并发用户数（个）≥2500，本次提供≥800套的接入授权。</w:t>
            </w:r>
          </w:p>
        </w:tc>
      </w:tr>
      <w:tr w14:paraId="04066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02AD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892" w:type="pct"/>
            <w:vMerge w:val="continue"/>
            <w:tcBorders>
              <w:left w:val="single" w:color="000000" w:sz="4" w:space="0"/>
              <w:right w:val="single" w:color="000000" w:sz="4" w:space="0"/>
            </w:tcBorders>
            <w:shd w:val="clear" w:color="auto" w:fill="auto"/>
            <w:vAlign w:val="center"/>
          </w:tcPr>
          <w:p w14:paraId="2913FC95">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DE2AA">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为满足多样化安全便捷认证，支持多因子认证认证方式：本地账号密码认证、LDAP/AD认证、OAuth2.0标准协议的票据认证、Radius账号认证、HTTPS帐号认证、证书主认证、证书辅认证、短信主认证、短信辅认证、标准Radius令牌认证、第三方令牌认证、TOTP动态令牌认证等认证方式，并可与企业微信、阿里钉钉、飞书结合实现扫码认证，支持飞书用户或个人微信企业号通过H5接入；并提供与医院现有短信平台对接服务。</w:t>
            </w:r>
          </w:p>
        </w:tc>
      </w:tr>
      <w:tr w14:paraId="7E5EC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29B5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892" w:type="pct"/>
            <w:vMerge w:val="continue"/>
            <w:tcBorders>
              <w:left w:val="single" w:color="000000" w:sz="4" w:space="0"/>
              <w:right w:val="single" w:color="000000" w:sz="4" w:space="0"/>
            </w:tcBorders>
            <w:shd w:val="clear" w:color="auto" w:fill="auto"/>
            <w:vAlign w:val="center"/>
          </w:tcPr>
          <w:p w14:paraId="6DDEE9E3">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69FC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系统内置常见攻击工具进程黑名单，管理员可基于内置的名单进行增减，匹配上此名单的进程访问零信任系统时会被打上标签，以方便快速定位排查问题终端。</w:t>
            </w:r>
          </w:p>
        </w:tc>
      </w:tr>
      <w:tr w14:paraId="03D9E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339B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892" w:type="pct"/>
            <w:vMerge w:val="continue"/>
            <w:tcBorders>
              <w:left w:val="single" w:color="000000" w:sz="4" w:space="0"/>
              <w:right w:val="single" w:color="000000" w:sz="4" w:space="0"/>
            </w:tcBorders>
            <w:shd w:val="clear" w:color="auto" w:fill="auto"/>
            <w:vAlign w:val="center"/>
          </w:tcPr>
          <w:p w14:paraId="56E9C8AB">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4EC5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支持优化TCP协议，增强隧道抗丢包、抗抖动特性，实现弱网环境访问加速。</w:t>
            </w:r>
          </w:p>
        </w:tc>
      </w:tr>
      <w:tr w14:paraId="40CA4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57B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892" w:type="pct"/>
            <w:vMerge w:val="continue"/>
            <w:tcBorders>
              <w:left w:val="single" w:color="000000" w:sz="4" w:space="0"/>
              <w:right w:val="single" w:color="000000" w:sz="4" w:space="0"/>
            </w:tcBorders>
            <w:shd w:val="clear" w:color="auto" w:fill="auto"/>
            <w:vAlign w:val="center"/>
          </w:tcPr>
          <w:p w14:paraId="064CF482">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D6A5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支持将短隧道资源新建连接耗时优化至 0RTT，大幅降低业务访问的网络时延，实现同等网络环境下访问速度达到直连访问。</w:t>
            </w:r>
          </w:p>
        </w:tc>
      </w:tr>
      <w:tr w14:paraId="0040D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8EDD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892" w:type="pct"/>
            <w:vMerge w:val="continue"/>
            <w:tcBorders>
              <w:left w:val="single" w:color="000000" w:sz="4" w:space="0"/>
              <w:right w:val="single" w:color="000000" w:sz="4" w:space="0"/>
            </w:tcBorders>
            <w:shd w:val="clear" w:color="auto" w:fill="auto"/>
            <w:vAlign w:val="center"/>
          </w:tcPr>
          <w:p w14:paraId="1E7661EA">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D3CB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为有效抵御恶意软件和有针对性</w:t>
            </w:r>
            <w:r>
              <w:rPr>
                <w:rFonts w:hint="eastAsia" w:ascii="宋体" w:hAnsi="宋体" w:cs="宋体"/>
                <w:i w:val="0"/>
                <w:iCs w:val="0"/>
                <w:color w:val="auto"/>
                <w:kern w:val="0"/>
                <w:sz w:val="24"/>
                <w:szCs w:val="24"/>
                <w:highlight w:val="none"/>
                <w:u w:val="none"/>
                <w:lang w:val="en-US" w:eastAsia="zh-CN" w:bidi="ar"/>
              </w:rPr>
              <w:t>的</w:t>
            </w:r>
            <w:r>
              <w:rPr>
                <w:rFonts w:hint="eastAsia" w:ascii="宋体" w:hAnsi="宋体" w:eastAsia="宋体" w:cs="宋体"/>
                <w:i w:val="0"/>
                <w:iCs w:val="0"/>
                <w:color w:val="auto"/>
                <w:kern w:val="0"/>
                <w:sz w:val="24"/>
                <w:szCs w:val="24"/>
                <w:highlight w:val="none"/>
                <w:u w:val="none"/>
                <w:lang w:val="en-US" w:eastAsia="zh-CN" w:bidi="ar"/>
              </w:rPr>
              <w:t>攻击，WEB资源发布时应支持到URL路径级别，且支持配置URL路径规则。黑名单模式下，用户只能访问不在黑名单内的路径；白名单模式下，用户只能访问白名单内的路径。为简化管理员配置，URL黑白名单应支持 * ? 等通配符配置。</w:t>
            </w:r>
          </w:p>
        </w:tc>
      </w:tr>
      <w:tr w14:paraId="5124A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6FB8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892" w:type="pct"/>
            <w:vMerge w:val="continue"/>
            <w:tcBorders>
              <w:left w:val="single" w:color="000000" w:sz="4" w:space="0"/>
              <w:right w:val="single" w:color="000000" w:sz="4" w:space="0"/>
            </w:tcBorders>
            <w:shd w:val="clear" w:color="auto" w:fill="auto"/>
            <w:vAlign w:val="center"/>
          </w:tcPr>
          <w:p w14:paraId="37AB6B95">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1461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支持直接在应用授权界面为单一应用或某个应用分类分配用户授权，支持直接授权给用户所在的组织架构、用户关联的角色或用户本身，可展示应用直接授权的组织架构、授权角色或用户数量。</w:t>
            </w:r>
          </w:p>
        </w:tc>
      </w:tr>
      <w:tr w14:paraId="241AD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5DC4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892" w:type="pct"/>
            <w:vMerge w:val="continue"/>
            <w:tcBorders>
              <w:left w:val="single" w:color="000000" w:sz="4" w:space="0"/>
              <w:right w:val="single" w:color="000000" w:sz="4" w:space="0"/>
            </w:tcBorders>
            <w:shd w:val="clear" w:color="auto" w:fill="auto"/>
            <w:vAlign w:val="center"/>
          </w:tcPr>
          <w:p w14:paraId="762EBF85">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6694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多线路接入单网关访问业务的场景，支持时延优先的选路模式，首次接入时客户端以最低时延线路接入访问业务，后续客户端进行周期性探测线路时延，当时延超出设定值时判定为恶化线路。为排除线路探测时的临时网络波动，需多次探测为恶化线路时再进行线路切换，确认可切换后智能切换至当前最优时延的线路上。</w:t>
            </w:r>
          </w:p>
        </w:tc>
      </w:tr>
      <w:tr w14:paraId="10FA5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892F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892" w:type="pct"/>
            <w:vMerge w:val="continue"/>
            <w:tcBorders>
              <w:left w:val="single" w:color="000000" w:sz="4" w:space="0"/>
              <w:right w:val="single" w:color="000000" w:sz="4" w:space="0"/>
            </w:tcBorders>
            <w:shd w:val="clear" w:color="auto" w:fill="auto"/>
            <w:vAlign w:val="center"/>
          </w:tcPr>
          <w:p w14:paraId="740F9AA3">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6CDD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为方便管理员统筹查看管理零信任系统的整体运行状态，支持对设备自身的安全状态和策略配置进行巡检，对设备的整体状态进行打分，统计所有检查的正常项、异常项和告警项，并输出巡检报告。</w:t>
            </w:r>
          </w:p>
        </w:tc>
      </w:tr>
      <w:tr w14:paraId="6E7E0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55C0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892" w:type="pct"/>
            <w:vMerge w:val="continue"/>
            <w:tcBorders>
              <w:left w:val="single" w:color="000000" w:sz="4" w:space="0"/>
              <w:right w:val="single" w:color="000000" w:sz="4" w:space="0"/>
            </w:tcBorders>
            <w:shd w:val="clear" w:color="auto" w:fill="auto"/>
            <w:vAlign w:val="center"/>
          </w:tcPr>
          <w:p w14:paraId="22EF33E4">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C5EB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color w:val="auto"/>
                <w:sz w:val="24"/>
                <w:szCs w:val="24"/>
                <w:highlight w:val="none"/>
              </w:rPr>
              <w:t>为保障用户在国产化终端上的正常业务访问，零信任客户端应兼容主流国产硬件CPU的国产操作系统终端</w:t>
            </w:r>
            <w:r>
              <w:rPr>
                <w:rFonts w:hint="eastAsia"/>
                <w:color w:val="auto"/>
                <w:sz w:val="24"/>
                <w:szCs w:val="24"/>
                <w:highlight w:val="none"/>
                <w:lang w:eastAsia="zh-CN"/>
              </w:rPr>
              <w:t>。</w:t>
            </w:r>
          </w:p>
        </w:tc>
      </w:tr>
      <w:tr w14:paraId="40F2F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C11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892" w:type="pct"/>
            <w:vMerge w:val="continue"/>
            <w:tcBorders>
              <w:left w:val="single" w:color="000000" w:sz="4" w:space="0"/>
              <w:right w:val="single" w:color="000000" w:sz="4" w:space="0"/>
            </w:tcBorders>
            <w:shd w:val="clear" w:color="auto" w:fill="auto"/>
            <w:vAlign w:val="center"/>
          </w:tcPr>
          <w:p w14:paraId="24EDBFA6">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8A13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color w:val="auto"/>
                <w:sz w:val="24"/>
                <w:szCs w:val="24"/>
                <w:highlight w:val="none"/>
              </w:rPr>
              <w:t>为了使系统资源利用最大化，本地集群与分布式集群下各节点的零信任授权数均可共享使用</w:t>
            </w:r>
            <w:r>
              <w:rPr>
                <w:rFonts w:hint="eastAsia"/>
                <w:color w:val="auto"/>
                <w:sz w:val="24"/>
                <w:szCs w:val="24"/>
                <w:highlight w:val="none"/>
                <w:lang w:eastAsia="zh-CN"/>
              </w:rPr>
              <w:t>。</w:t>
            </w:r>
          </w:p>
        </w:tc>
      </w:tr>
      <w:tr w14:paraId="7F1E5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956E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892" w:type="pct"/>
            <w:vMerge w:val="continue"/>
            <w:tcBorders>
              <w:left w:val="single" w:color="000000" w:sz="4" w:space="0"/>
              <w:right w:val="single" w:color="000000" w:sz="4" w:space="0"/>
            </w:tcBorders>
            <w:shd w:val="clear" w:color="auto" w:fill="auto"/>
            <w:vAlign w:val="center"/>
          </w:tcPr>
          <w:p w14:paraId="06747334">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B680C">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color w:val="auto"/>
                <w:sz w:val="24"/>
                <w:szCs w:val="24"/>
                <w:highlight w:val="none"/>
              </w:rPr>
              <w:t>支持与医院现有外网服务器防病毒aES（系统版本为6.0.2）联动</w:t>
            </w:r>
            <w:r>
              <w:rPr>
                <w:rFonts w:hint="eastAsia"/>
                <w:color w:val="auto"/>
                <w:sz w:val="24"/>
                <w:szCs w:val="24"/>
                <w:highlight w:val="none"/>
                <w:lang w:eastAsia="zh-CN"/>
              </w:rPr>
              <w:t>。</w:t>
            </w:r>
          </w:p>
        </w:tc>
      </w:tr>
      <w:tr w14:paraId="32855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9F1C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892" w:type="pct"/>
            <w:vMerge w:val="continue"/>
            <w:tcBorders>
              <w:left w:val="single" w:color="000000" w:sz="4" w:space="0"/>
              <w:bottom w:val="single" w:color="000000" w:sz="4" w:space="0"/>
              <w:right w:val="single" w:color="000000" w:sz="4" w:space="0"/>
            </w:tcBorders>
            <w:shd w:val="clear" w:color="auto" w:fill="auto"/>
            <w:vAlign w:val="center"/>
          </w:tcPr>
          <w:p w14:paraId="1DC9BB8B">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6AD0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color w:val="auto"/>
                <w:sz w:val="24"/>
                <w:szCs w:val="24"/>
                <w:highlight w:val="none"/>
              </w:rPr>
              <w:t>为强化系统认证安全性，可配置在触发异常环境的条件时，用户需完成增强认证才可登录。</w:t>
            </w:r>
          </w:p>
        </w:tc>
      </w:tr>
      <w:tr w14:paraId="2A5B9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A9A9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8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33164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代理网关要求</w:t>
            </w: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8FB0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硬件规格要求：内存≥16G；冗余电源配置；硬盘容量≥128G SSD，≥6个千兆电口、≥4个千兆光口；加密流量≥300Mbps；配置国产芯片并搭载国产操作系统正版授权。</w:t>
            </w:r>
          </w:p>
        </w:tc>
      </w:tr>
      <w:tr w14:paraId="7D242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8CB5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17</w:t>
            </w:r>
          </w:p>
        </w:tc>
        <w:tc>
          <w:tcPr>
            <w:tcW w:w="8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C77DD">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CD89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用户安全日志提取，审计中心应将具有异常登录行为的用户日志自动打标签为用户安全日志，以便于管理员快速审计定位。用户安全日志包括但不限于：帐号安全（应包含帐号首次登录、异常时间登录、非常用地点登录、弱密码登录、爆破登录、闲置帐号登录、帐号在新终端登录等）、中间人攻击、SPA安全（应包含SPA端口扫描、SPA爆破攻击、SPA敲门伪造、SPA重放攻击、SPA安全码泄漏等）、cookie劫持等。</w:t>
            </w:r>
          </w:p>
        </w:tc>
      </w:tr>
      <w:tr w14:paraId="03DB5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D3ED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w:t>
            </w:r>
          </w:p>
        </w:tc>
        <w:tc>
          <w:tcPr>
            <w:tcW w:w="8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E476A">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504C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支持将用户访问零信任系统的WEB资源访问流量解密后镜像给外部网络流量分析系统，如态势感知等设备，以完善系统的用户行为审计溯源能力，提升设备自身的安全性。</w:t>
            </w:r>
          </w:p>
        </w:tc>
      </w:tr>
      <w:tr w14:paraId="1B6A5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5B13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19</w:t>
            </w:r>
          </w:p>
        </w:tc>
        <w:tc>
          <w:tcPr>
            <w:tcW w:w="8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6652B">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07DE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支持检查设备是否开启自动备份功能。</w:t>
            </w:r>
          </w:p>
        </w:tc>
      </w:tr>
      <w:tr w14:paraId="36DC6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FBD3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w:t>
            </w:r>
          </w:p>
        </w:tc>
        <w:tc>
          <w:tcPr>
            <w:tcW w:w="8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19F7D">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4F8C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包括但不限于：支持对剩余日志空间进行检查；支持检查是否了虚拟IP功能。</w:t>
            </w:r>
          </w:p>
        </w:tc>
      </w:tr>
      <w:tr w14:paraId="0094C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BC90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8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066D5">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BB4A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支持配置同IP用户连续登录错误超过上限时锁定IP，并于指定时长后自动恢复。</w:t>
            </w:r>
          </w:p>
        </w:tc>
      </w:tr>
      <w:tr w14:paraId="46354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2937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22</w:t>
            </w:r>
          </w:p>
        </w:tc>
        <w:tc>
          <w:tcPr>
            <w:tcW w:w="8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D33D4">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E335C">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支持中国商用密码标准，支持加密算法SM2、SM3、SM4。</w:t>
            </w:r>
          </w:p>
        </w:tc>
      </w:tr>
      <w:tr w14:paraId="4CA72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E261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23</w:t>
            </w:r>
          </w:p>
        </w:tc>
        <w:tc>
          <w:tcPr>
            <w:tcW w:w="8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11D35">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2A05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支持启用接入控制台的IP限制，启用后只有名单内的IP地址才能接入访问零信任控制台。</w:t>
            </w:r>
          </w:p>
        </w:tc>
      </w:tr>
      <w:tr w14:paraId="295DD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34B26">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24</w:t>
            </w:r>
          </w:p>
        </w:tc>
        <w:tc>
          <w:tcPr>
            <w:tcW w:w="8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245A4">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BF75C">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支持开启图形校验码；支持连续输错密码后锁定IP；支持配置会话超时注销。</w:t>
            </w:r>
          </w:p>
        </w:tc>
      </w:tr>
      <w:tr w14:paraId="6B433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5F84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25</w:t>
            </w:r>
          </w:p>
        </w:tc>
        <w:tc>
          <w:tcPr>
            <w:tcW w:w="8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5965A">
            <w:pPr>
              <w:jc w:val="center"/>
              <w:rPr>
                <w:rFonts w:hint="eastAsia" w:ascii="宋体" w:hAnsi="宋体" w:eastAsia="宋体" w:cs="宋体"/>
                <w:b/>
                <w:bCs/>
                <w:i w:val="0"/>
                <w:iCs w:val="0"/>
                <w:color w:val="auto"/>
                <w:sz w:val="24"/>
                <w:szCs w:val="24"/>
                <w:highlight w:val="none"/>
                <w:u w:val="none"/>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334DC">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支持配置是否允许SSH、ping等远程运维连接设备。</w:t>
            </w:r>
          </w:p>
        </w:tc>
      </w:tr>
    </w:tbl>
    <w:p w14:paraId="196E7EBB">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2.2.8 内网安全探针</w:t>
      </w:r>
    </w:p>
    <w:tbl>
      <w:tblPr>
        <w:tblStyle w:val="3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5"/>
        <w:gridCol w:w="1808"/>
        <w:gridCol w:w="7488"/>
      </w:tblGrid>
      <w:tr w14:paraId="0B2A8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0B68A">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CC16A">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F9449">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指标要求</w:t>
            </w:r>
          </w:p>
        </w:tc>
      </w:tr>
      <w:tr w14:paraId="19FBE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9B56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EF75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硬件要求</w:t>
            </w: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top"/>
          </w:tcPr>
          <w:p w14:paraId="1C436A1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网络层吞吐量≥1Gbps，含电源，接口≥8千兆电口+≥2万兆光口SFP+；含三年特征库升级和五年原厂质保服务。</w:t>
            </w:r>
          </w:p>
        </w:tc>
      </w:tr>
      <w:tr w14:paraId="4FE8A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278C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92" w:type="pct"/>
            <w:vMerge w:val="restart"/>
            <w:tcBorders>
              <w:top w:val="single" w:color="000000" w:sz="4" w:space="0"/>
              <w:left w:val="single" w:color="000000" w:sz="4" w:space="0"/>
              <w:right w:val="single" w:color="000000" w:sz="4" w:space="0"/>
            </w:tcBorders>
            <w:shd w:val="clear" w:color="auto" w:fill="auto"/>
            <w:vAlign w:val="center"/>
          </w:tcPr>
          <w:p w14:paraId="7066824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AA20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命令注入检测、PHP代码检测、XSS攻击检测、Webshell上传检测、SQL注入检测、XXE攻击检测、JAVA代码检测、SQL非注入型检测、MYSQL解析增强、php反序列化检测等自定义配置启用，针对命令注入检测、SQL注入检测等类型支持自定义高检出、低误报模式。</w:t>
            </w:r>
          </w:p>
        </w:tc>
      </w:tr>
      <w:tr w14:paraId="40079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7455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92" w:type="pct"/>
            <w:vMerge w:val="continue"/>
            <w:tcBorders>
              <w:left w:val="single" w:color="000000" w:sz="4" w:space="0"/>
              <w:right w:val="single" w:color="000000" w:sz="4" w:space="0"/>
            </w:tcBorders>
            <w:shd w:val="clear" w:color="auto" w:fill="auto"/>
            <w:vAlign w:val="center"/>
          </w:tcPr>
          <w:p w14:paraId="3EE85145">
            <w:pPr>
              <w:jc w:val="center"/>
              <w:rPr>
                <w:rFonts w:hint="eastAsia" w:ascii="宋体" w:hAnsi="宋体" w:eastAsia="宋体" w:cs="宋体"/>
                <w:i w:val="0"/>
                <w:iCs w:val="0"/>
                <w:color w:val="auto"/>
                <w:sz w:val="24"/>
                <w:szCs w:val="24"/>
                <w:highlight w:val="none"/>
                <w:u w:val="none"/>
              </w:rPr>
            </w:pP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1A7E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支持Database漏洞攻击、DNS漏洞攻击、FTP漏洞攻击、Mail漏洞攻击、Media漏洞攻击、Network Device、Shellcode漏洞攻击、System漏洞攻击、Telnet漏洞攻击、Tftp漏洞攻击、Web漏洞攻击、IPS云防护等服务漏洞攻击检测。</w:t>
            </w:r>
          </w:p>
        </w:tc>
      </w:tr>
      <w:tr w14:paraId="0934E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6E6E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892" w:type="pct"/>
            <w:vMerge w:val="continue"/>
            <w:tcBorders>
              <w:left w:val="single" w:color="000000" w:sz="4" w:space="0"/>
              <w:right w:val="single" w:color="000000" w:sz="4" w:space="0"/>
            </w:tcBorders>
            <w:shd w:val="clear" w:color="auto" w:fill="auto"/>
            <w:vAlign w:val="center"/>
          </w:tcPr>
          <w:p w14:paraId="243BA5B4">
            <w:pPr>
              <w:jc w:val="center"/>
              <w:rPr>
                <w:rFonts w:hint="eastAsia" w:ascii="宋体" w:hAnsi="宋体" w:eastAsia="宋体" w:cs="宋体"/>
                <w:i w:val="0"/>
                <w:iCs w:val="0"/>
                <w:color w:val="auto"/>
                <w:sz w:val="24"/>
                <w:szCs w:val="24"/>
                <w:highlight w:val="none"/>
                <w:u w:val="none"/>
              </w:rPr>
            </w:pP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BD0F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支持传输协议审计日志，包括https、http、DNS、邮件协议审计日志、SMB、AD域、WEB登录、FTP、TELNET、ICMP 、SNMP 、SSL 、SSH、SIP 、ONVIF 、NFS 、SOCKS 、dhcp、netbios_nbns、流量元数据审计、数据库审计协议等。</w:t>
            </w:r>
          </w:p>
        </w:tc>
      </w:tr>
      <w:tr w14:paraId="67C5A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CD77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892" w:type="pct"/>
            <w:vMerge w:val="continue"/>
            <w:tcBorders>
              <w:left w:val="single" w:color="000000" w:sz="4" w:space="0"/>
              <w:right w:val="single" w:color="000000" w:sz="4" w:space="0"/>
            </w:tcBorders>
            <w:shd w:val="clear" w:color="auto" w:fill="auto"/>
            <w:vAlign w:val="center"/>
          </w:tcPr>
          <w:p w14:paraId="6254DD6B">
            <w:pPr>
              <w:jc w:val="center"/>
              <w:rPr>
                <w:rFonts w:hint="eastAsia" w:ascii="宋体" w:hAnsi="宋体" w:eastAsia="宋体" w:cs="宋体"/>
                <w:i w:val="0"/>
                <w:iCs w:val="0"/>
                <w:color w:val="auto"/>
                <w:sz w:val="24"/>
                <w:szCs w:val="24"/>
                <w:highlight w:val="none"/>
                <w:u w:val="none"/>
              </w:rPr>
            </w:pP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05C2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内置URL库、IPS漏洞特征识别库、应用识别库、WEB应用防护识别库、僵尸网络识别库、实时漏洞分析识别库、白名单库。</w:t>
            </w:r>
          </w:p>
        </w:tc>
      </w:tr>
      <w:tr w14:paraId="03E19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8C16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892" w:type="pct"/>
            <w:vMerge w:val="continue"/>
            <w:tcBorders>
              <w:left w:val="single" w:color="000000" w:sz="4" w:space="0"/>
              <w:right w:val="single" w:color="000000" w:sz="4" w:space="0"/>
            </w:tcBorders>
            <w:shd w:val="clear" w:color="auto" w:fill="auto"/>
            <w:vAlign w:val="center"/>
          </w:tcPr>
          <w:p w14:paraId="1C033920">
            <w:pPr>
              <w:jc w:val="center"/>
              <w:rPr>
                <w:rFonts w:hint="eastAsia" w:ascii="宋体" w:hAnsi="宋体" w:eastAsia="宋体" w:cs="宋体"/>
                <w:i w:val="0"/>
                <w:iCs w:val="0"/>
                <w:color w:val="auto"/>
                <w:sz w:val="24"/>
                <w:szCs w:val="24"/>
                <w:highlight w:val="none"/>
                <w:u w:val="none"/>
              </w:rPr>
            </w:pP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FF62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支持流量抓包分析，基于五元组灵活抓取数据包，可定义配置源IP、源端口、目的IP和目的端口、传输层协议选择添加抓包任务，并支持带标签抓取vlan、mpls等协议数据包，帮助安全工程师高效分析威胁。</w:t>
            </w:r>
          </w:p>
        </w:tc>
      </w:tr>
      <w:tr w14:paraId="6C4E7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DEFA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892" w:type="pct"/>
            <w:vMerge w:val="continue"/>
            <w:tcBorders>
              <w:left w:val="single" w:color="000000" w:sz="4" w:space="0"/>
              <w:right w:val="single" w:color="000000" w:sz="4" w:space="0"/>
            </w:tcBorders>
            <w:shd w:val="clear" w:color="auto" w:fill="auto"/>
            <w:vAlign w:val="center"/>
          </w:tcPr>
          <w:p w14:paraId="2ED222B5">
            <w:pPr>
              <w:jc w:val="center"/>
              <w:rPr>
                <w:rFonts w:hint="eastAsia" w:ascii="宋体" w:hAnsi="宋体" w:eastAsia="宋体" w:cs="宋体"/>
                <w:i w:val="0"/>
                <w:iCs w:val="0"/>
                <w:color w:val="auto"/>
                <w:sz w:val="24"/>
                <w:szCs w:val="24"/>
                <w:highlight w:val="none"/>
                <w:u w:val="none"/>
              </w:rPr>
            </w:pP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3B28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支持将安全日志，审计日志上报给现有的MSS安全运营平台，提供统一展示和检索入口，同时作为数据源提供事件举证信息。（需分别提供投标产品和安全运营平台功能截图证明并加盖公章）</w:t>
            </w:r>
          </w:p>
        </w:tc>
      </w:tr>
      <w:tr w14:paraId="5BCB2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1669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892" w:type="pct"/>
            <w:vMerge w:val="continue"/>
            <w:tcBorders>
              <w:left w:val="single" w:color="000000" w:sz="4" w:space="0"/>
              <w:right w:val="single" w:color="000000" w:sz="4" w:space="0"/>
            </w:tcBorders>
            <w:shd w:val="clear" w:color="auto" w:fill="auto"/>
            <w:vAlign w:val="center"/>
          </w:tcPr>
          <w:p w14:paraId="2EC0EE3B">
            <w:pPr>
              <w:jc w:val="center"/>
              <w:rPr>
                <w:rFonts w:hint="eastAsia" w:ascii="宋体" w:hAnsi="宋体" w:eastAsia="宋体" w:cs="宋体"/>
                <w:i w:val="0"/>
                <w:iCs w:val="0"/>
                <w:color w:val="auto"/>
                <w:sz w:val="24"/>
                <w:szCs w:val="24"/>
                <w:highlight w:val="none"/>
                <w:u w:val="none"/>
              </w:rPr>
            </w:pP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93A1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通过与现有外网服务器防病毒aES进行日志关联聚合，在现有MSS安全运营平台上可以实现进程级取证，失陷主机定位更精准，并以可视化图谱直观清晰地展示出完整的攻击链，帮助快速找到症结，大幅提升事件检测、溯源取证、闭环处置效果。（需分别提供投标产品和安全运营平台功能截图证明并加盖公章）</w:t>
            </w:r>
          </w:p>
        </w:tc>
      </w:tr>
      <w:tr w14:paraId="4ABE0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698EE">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9</w:t>
            </w:r>
          </w:p>
        </w:tc>
        <w:tc>
          <w:tcPr>
            <w:tcW w:w="892" w:type="pct"/>
            <w:vMerge w:val="continue"/>
            <w:tcBorders>
              <w:left w:val="single" w:color="000000" w:sz="4" w:space="0"/>
              <w:bottom w:val="single" w:color="000000" w:sz="4" w:space="0"/>
              <w:right w:val="single" w:color="000000" w:sz="4" w:space="0"/>
            </w:tcBorders>
            <w:shd w:val="clear" w:color="auto" w:fill="auto"/>
            <w:vAlign w:val="center"/>
          </w:tcPr>
          <w:p w14:paraId="3945E9D4">
            <w:pPr>
              <w:jc w:val="center"/>
              <w:rPr>
                <w:rFonts w:hint="eastAsia" w:ascii="宋体" w:hAnsi="宋体" w:eastAsia="宋体" w:cs="宋体"/>
                <w:i w:val="0"/>
                <w:iCs w:val="0"/>
                <w:color w:val="auto"/>
                <w:sz w:val="24"/>
                <w:szCs w:val="24"/>
                <w:highlight w:val="none"/>
                <w:u w:val="none"/>
              </w:rPr>
            </w:pPr>
          </w:p>
        </w:tc>
        <w:tc>
          <w:tcPr>
            <w:tcW w:w="36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49B3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color w:val="auto"/>
                <w:sz w:val="24"/>
                <w:szCs w:val="24"/>
                <w:highlight w:val="none"/>
              </w:rPr>
              <w:t>支持将流量还原的文件发送至沙盒分析</w:t>
            </w:r>
            <w:r>
              <w:rPr>
                <w:rFonts w:hint="eastAsia"/>
                <w:color w:val="auto"/>
                <w:sz w:val="24"/>
                <w:szCs w:val="24"/>
                <w:highlight w:val="none"/>
                <w:lang w:eastAsia="zh-CN"/>
              </w:rPr>
              <w:t>。</w:t>
            </w:r>
          </w:p>
        </w:tc>
      </w:tr>
    </w:tbl>
    <w:p w14:paraId="1F5165EA">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2.2.9 外网安全探针</w:t>
      </w:r>
    </w:p>
    <w:tbl>
      <w:tblPr>
        <w:tblStyle w:val="3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21"/>
        <w:gridCol w:w="1824"/>
        <w:gridCol w:w="7486"/>
      </w:tblGrid>
      <w:tr w14:paraId="37659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405" w:type="pct"/>
            <w:shd w:val="clear" w:color="auto" w:fill="auto"/>
            <w:noWrap/>
            <w:vAlign w:val="center"/>
          </w:tcPr>
          <w:p w14:paraId="6ED2072F">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900" w:type="pct"/>
            <w:shd w:val="clear" w:color="auto" w:fill="auto"/>
            <w:vAlign w:val="center"/>
          </w:tcPr>
          <w:p w14:paraId="31A21981">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693" w:type="pct"/>
            <w:shd w:val="clear" w:color="auto" w:fill="auto"/>
            <w:noWrap/>
            <w:vAlign w:val="center"/>
          </w:tcPr>
          <w:p w14:paraId="4175F036">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指标要求</w:t>
            </w:r>
          </w:p>
        </w:tc>
      </w:tr>
      <w:tr w14:paraId="664BD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05" w:type="pct"/>
            <w:shd w:val="clear" w:color="auto" w:fill="auto"/>
            <w:noWrap/>
            <w:vAlign w:val="center"/>
          </w:tcPr>
          <w:p w14:paraId="5B73F31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900" w:type="pct"/>
            <w:shd w:val="clear" w:color="auto" w:fill="auto"/>
            <w:vAlign w:val="center"/>
          </w:tcPr>
          <w:p w14:paraId="432BC5E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硬件要求</w:t>
            </w:r>
          </w:p>
        </w:tc>
        <w:tc>
          <w:tcPr>
            <w:tcW w:w="3693" w:type="pct"/>
            <w:shd w:val="clear" w:color="auto" w:fill="auto"/>
            <w:vAlign w:val="top"/>
          </w:tcPr>
          <w:p w14:paraId="7150828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网络层吞吐量≥500Mbps，接口≥6千兆电口，含电源；含三年特征库升级和五年原厂质保服务。(投标探针与本次招标的内网安全探针同</w:t>
            </w:r>
            <w:r>
              <w:rPr>
                <w:rFonts w:hint="eastAsia" w:cs="宋体"/>
                <w:i w:val="0"/>
                <w:iCs w:val="0"/>
                <w:color w:val="auto"/>
                <w:kern w:val="0"/>
                <w:sz w:val="24"/>
                <w:szCs w:val="24"/>
                <w:highlight w:val="none"/>
                <w:u w:val="none"/>
                <w:lang w:val="en-US" w:eastAsia="zh-CN" w:bidi="ar"/>
              </w:rPr>
              <w:t>架构</w:t>
            </w:r>
            <w:r>
              <w:rPr>
                <w:rFonts w:hint="eastAsia" w:ascii="宋体" w:hAnsi="宋体" w:eastAsia="宋体" w:cs="宋体"/>
                <w:i w:val="0"/>
                <w:iCs w:val="0"/>
                <w:color w:val="auto"/>
                <w:kern w:val="0"/>
                <w:sz w:val="24"/>
                <w:szCs w:val="24"/>
                <w:highlight w:val="none"/>
                <w:u w:val="none"/>
                <w:lang w:val="en-US" w:eastAsia="zh-CN" w:bidi="ar"/>
              </w:rPr>
              <w:t>，提供承诺函)</w:t>
            </w:r>
          </w:p>
        </w:tc>
      </w:tr>
      <w:tr w14:paraId="2A5C4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05" w:type="pct"/>
            <w:shd w:val="clear" w:color="auto" w:fill="auto"/>
            <w:noWrap/>
            <w:vAlign w:val="center"/>
          </w:tcPr>
          <w:p w14:paraId="553BBBF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900" w:type="pct"/>
            <w:vMerge w:val="restart"/>
            <w:shd w:val="clear" w:color="auto" w:fill="auto"/>
            <w:vAlign w:val="center"/>
          </w:tcPr>
          <w:p w14:paraId="789FBA3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3693" w:type="pct"/>
            <w:shd w:val="clear" w:color="auto" w:fill="auto"/>
            <w:vAlign w:val="center"/>
          </w:tcPr>
          <w:p w14:paraId="070F7B0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命令注入检测、PHP代码检测、XSS攻击检测、Webshell上传检测、SQL注入检测、XXE攻击检测、JAVA代码检测、SQL非注入型检测、MYSQL解析增强、php反序列化检测等自定义配置启用，针对命令注入检测、SQL注入检测等类型支持自定义高检出、低误报模式。</w:t>
            </w:r>
          </w:p>
        </w:tc>
      </w:tr>
      <w:tr w14:paraId="55B87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05" w:type="pct"/>
            <w:shd w:val="clear" w:color="auto" w:fill="auto"/>
            <w:noWrap/>
            <w:vAlign w:val="center"/>
          </w:tcPr>
          <w:p w14:paraId="3246359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900" w:type="pct"/>
            <w:vMerge w:val="continue"/>
            <w:shd w:val="clear" w:color="auto" w:fill="auto"/>
            <w:vAlign w:val="center"/>
          </w:tcPr>
          <w:p w14:paraId="37B385B8">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center"/>
          </w:tcPr>
          <w:p w14:paraId="1AE285B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支持Database漏洞攻击、DNS漏洞攻击、FTP漏洞攻击、Mail漏洞攻击、Media漏洞攻击、Network Device、Shellcode漏洞攻击、System漏洞攻击、Telnet漏洞攻击、Tftp漏洞攻击、Web漏洞攻击、IPS云防护等服务漏洞攻击检测。</w:t>
            </w:r>
          </w:p>
        </w:tc>
      </w:tr>
      <w:tr w14:paraId="38BE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05" w:type="pct"/>
            <w:shd w:val="clear" w:color="auto" w:fill="auto"/>
            <w:noWrap/>
            <w:vAlign w:val="center"/>
          </w:tcPr>
          <w:p w14:paraId="7C805C4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900" w:type="pct"/>
            <w:vMerge w:val="continue"/>
            <w:shd w:val="clear" w:color="auto" w:fill="auto"/>
            <w:vAlign w:val="center"/>
          </w:tcPr>
          <w:p w14:paraId="731E4D2C">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center"/>
          </w:tcPr>
          <w:p w14:paraId="5536A26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支持检测出网络中的网络拓扑设备进行绘制，更直观可视化查看网络整体情况。</w:t>
            </w:r>
          </w:p>
        </w:tc>
      </w:tr>
      <w:tr w14:paraId="7E8D1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05" w:type="pct"/>
            <w:shd w:val="clear" w:color="auto" w:fill="auto"/>
            <w:noWrap/>
            <w:vAlign w:val="center"/>
          </w:tcPr>
          <w:p w14:paraId="6E71A06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900" w:type="pct"/>
            <w:vMerge w:val="continue"/>
            <w:shd w:val="clear" w:color="auto" w:fill="auto"/>
            <w:vAlign w:val="center"/>
          </w:tcPr>
          <w:p w14:paraId="43757D6C">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center"/>
          </w:tcPr>
          <w:p w14:paraId="7B724D8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支持基于IP和域名的旁路阻断，能够在实时镜像的流量中发现恶意IP并实现实时阻断，支持24小时/7天/最近30天/永久或者自定义时间阻断威胁。</w:t>
            </w:r>
          </w:p>
        </w:tc>
      </w:tr>
      <w:tr w14:paraId="53617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05" w:type="pct"/>
            <w:shd w:val="clear" w:color="auto" w:fill="auto"/>
            <w:noWrap/>
            <w:vAlign w:val="center"/>
          </w:tcPr>
          <w:p w14:paraId="6353076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900" w:type="pct"/>
            <w:vMerge w:val="continue"/>
            <w:shd w:val="clear" w:color="auto" w:fill="auto"/>
            <w:vAlign w:val="center"/>
          </w:tcPr>
          <w:p w14:paraId="17848201">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center"/>
          </w:tcPr>
          <w:p w14:paraId="577D8C7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支持5种场景的日志传输模式,包含标准模式、精简模式、高级模式、局域网模式、自定义模式，适应不同应用场景需求。</w:t>
            </w:r>
          </w:p>
        </w:tc>
      </w:tr>
      <w:tr w14:paraId="06B97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05" w:type="pct"/>
            <w:shd w:val="clear" w:color="auto" w:fill="auto"/>
            <w:noWrap/>
            <w:vAlign w:val="center"/>
          </w:tcPr>
          <w:p w14:paraId="08E47CF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900" w:type="pct"/>
            <w:vMerge w:val="continue"/>
            <w:shd w:val="clear" w:color="auto" w:fill="auto"/>
            <w:vAlign w:val="center"/>
          </w:tcPr>
          <w:p w14:paraId="5FDD9DC8">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center"/>
          </w:tcPr>
          <w:p w14:paraId="616B6D6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支持传输协议审计日志，包括https、http、DNS、邮件协议审计日志、SMB、AD域、WEB登录、FTP、TELNET、ICMP 、SNMP 、SSL 、SSH、SIP 、ONVIF 、NFS 、SOCKS 、dhcp、netbios_nbns、流量元数据审计、数据库审计协议等。</w:t>
            </w:r>
          </w:p>
        </w:tc>
      </w:tr>
      <w:tr w14:paraId="7264A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05" w:type="pct"/>
            <w:shd w:val="clear" w:color="auto" w:fill="auto"/>
            <w:noWrap/>
            <w:vAlign w:val="center"/>
          </w:tcPr>
          <w:p w14:paraId="6B7B32C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900" w:type="pct"/>
            <w:vMerge w:val="continue"/>
            <w:shd w:val="clear" w:color="auto" w:fill="auto"/>
            <w:vAlign w:val="center"/>
          </w:tcPr>
          <w:p w14:paraId="68807663">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center"/>
          </w:tcPr>
          <w:p w14:paraId="467DCDD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支持将流量还原的文件发送至沙盒分析；可支持安天追影高级鉴定系统第三方沙盒对接。</w:t>
            </w:r>
          </w:p>
        </w:tc>
      </w:tr>
      <w:tr w14:paraId="7A25A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05" w:type="pct"/>
            <w:shd w:val="clear" w:color="auto" w:fill="auto"/>
            <w:noWrap/>
            <w:vAlign w:val="center"/>
          </w:tcPr>
          <w:p w14:paraId="554B756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900" w:type="pct"/>
            <w:vMerge w:val="continue"/>
            <w:shd w:val="clear" w:color="auto" w:fill="auto"/>
            <w:vAlign w:val="center"/>
          </w:tcPr>
          <w:p w14:paraId="51D7494E">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center"/>
          </w:tcPr>
          <w:p w14:paraId="66F22E2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内置URL库、IPS漏洞特征识别库、应用识别库、WEB应用防护识别库、僵尸网络识别库、实时漏洞分析识别库、白名单库。</w:t>
            </w:r>
          </w:p>
        </w:tc>
      </w:tr>
      <w:tr w14:paraId="65718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05" w:type="pct"/>
            <w:shd w:val="clear" w:color="auto" w:fill="auto"/>
            <w:noWrap/>
            <w:vAlign w:val="center"/>
          </w:tcPr>
          <w:p w14:paraId="1641BEB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900" w:type="pct"/>
            <w:vMerge w:val="continue"/>
            <w:shd w:val="clear" w:color="auto" w:fill="auto"/>
            <w:vAlign w:val="center"/>
          </w:tcPr>
          <w:p w14:paraId="38AFEE57">
            <w:pPr>
              <w:jc w:val="center"/>
              <w:rPr>
                <w:rFonts w:hint="eastAsia" w:ascii="宋体" w:hAnsi="宋体" w:eastAsia="宋体" w:cs="宋体"/>
                <w:i w:val="0"/>
                <w:iCs w:val="0"/>
                <w:color w:val="auto"/>
                <w:sz w:val="24"/>
                <w:szCs w:val="24"/>
                <w:highlight w:val="none"/>
                <w:u w:val="none"/>
              </w:rPr>
            </w:pPr>
          </w:p>
        </w:tc>
        <w:tc>
          <w:tcPr>
            <w:tcW w:w="3693" w:type="pct"/>
            <w:shd w:val="clear" w:color="auto" w:fill="auto"/>
            <w:vAlign w:val="center"/>
          </w:tcPr>
          <w:p w14:paraId="04358FF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支持流量抓包分析，基于五元组灵活抓取数据包，可定义配置源IP、源端口、目的IP和目的端口、传输层协议选择添加抓包任务，并支持带标签抓取vlan、mpls等协议数据包，帮助安全工程师高效分析威胁。</w:t>
            </w:r>
          </w:p>
        </w:tc>
      </w:tr>
    </w:tbl>
    <w:p w14:paraId="4D3892A8">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2.2.10 外网服务器防病毒</w:t>
      </w:r>
    </w:p>
    <w:tbl>
      <w:tblPr>
        <w:tblStyle w:val="3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7"/>
        <w:gridCol w:w="1840"/>
        <w:gridCol w:w="7484"/>
      </w:tblGrid>
      <w:tr w14:paraId="5D1CA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39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D3704C">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908" w:type="pct"/>
            <w:tcBorders>
              <w:top w:val="single" w:color="000000" w:sz="8" w:space="0"/>
              <w:left w:val="nil"/>
              <w:bottom w:val="single" w:color="000000" w:sz="8" w:space="0"/>
              <w:right w:val="single" w:color="000000" w:sz="8" w:space="0"/>
            </w:tcBorders>
            <w:shd w:val="clear" w:color="auto" w:fill="auto"/>
            <w:noWrap/>
            <w:vAlign w:val="center"/>
          </w:tcPr>
          <w:p w14:paraId="2CA385A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693" w:type="pct"/>
            <w:tcBorders>
              <w:top w:val="single" w:color="000000" w:sz="8" w:space="0"/>
              <w:left w:val="nil"/>
              <w:bottom w:val="single" w:color="000000" w:sz="8" w:space="0"/>
              <w:right w:val="single" w:color="000000" w:sz="8" w:space="0"/>
            </w:tcBorders>
            <w:shd w:val="clear" w:color="auto" w:fill="auto"/>
            <w:noWrap/>
            <w:vAlign w:val="center"/>
          </w:tcPr>
          <w:p w14:paraId="2B66B261">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指标要求</w:t>
            </w:r>
          </w:p>
        </w:tc>
      </w:tr>
      <w:tr w14:paraId="3BDA5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398" w:type="pct"/>
            <w:tcBorders>
              <w:top w:val="nil"/>
              <w:left w:val="single" w:color="000000" w:sz="8" w:space="0"/>
              <w:bottom w:val="single" w:color="000000" w:sz="8" w:space="0"/>
              <w:right w:val="single" w:color="000000" w:sz="8" w:space="0"/>
            </w:tcBorders>
            <w:shd w:val="clear" w:color="auto" w:fill="auto"/>
            <w:noWrap/>
            <w:vAlign w:val="center"/>
          </w:tcPr>
          <w:p w14:paraId="7DB31A1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908" w:type="pct"/>
            <w:tcBorders>
              <w:top w:val="nil"/>
              <w:left w:val="nil"/>
              <w:bottom w:val="single" w:color="000000" w:sz="8" w:space="0"/>
              <w:right w:val="single" w:color="000000" w:sz="8" w:space="0"/>
            </w:tcBorders>
            <w:shd w:val="clear" w:color="auto" w:fill="auto"/>
            <w:noWrap/>
            <w:vAlign w:val="center"/>
          </w:tcPr>
          <w:p w14:paraId="1D91A2D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规格要求</w:t>
            </w:r>
          </w:p>
        </w:tc>
        <w:tc>
          <w:tcPr>
            <w:tcW w:w="3693" w:type="pct"/>
            <w:tcBorders>
              <w:top w:val="nil"/>
              <w:left w:val="nil"/>
              <w:bottom w:val="single" w:color="000000" w:sz="8" w:space="0"/>
              <w:right w:val="single" w:color="000000" w:sz="8" w:space="0"/>
            </w:tcBorders>
            <w:shd w:val="clear" w:color="auto" w:fill="auto"/>
            <w:vAlign w:val="center"/>
          </w:tcPr>
          <w:p w14:paraId="1868D14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对现有外网服务器防病毒aES（系统版本为6.0.2），提供扩容授权至≥40个服务器全量版授权，提供三年原厂升级服务。</w:t>
            </w:r>
          </w:p>
        </w:tc>
      </w:tr>
    </w:tbl>
    <w:p w14:paraId="3AE4047D">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2.2.11 外网终端防病毒</w:t>
      </w:r>
    </w:p>
    <w:tbl>
      <w:tblPr>
        <w:tblStyle w:val="3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7"/>
        <w:gridCol w:w="1840"/>
        <w:gridCol w:w="7484"/>
      </w:tblGrid>
      <w:tr w14:paraId="756B9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39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78753FD">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908" w:type="pct"/>
            <w:tcBorders>
              <w:top w:val="single" w:color="000000" w:sz="8" w:space="0"/>
              <w:left w:val="nil"/>
              <w:bottom w:val="single" w:color="000000" w:sz="8" w:space="0"/>
              <w:right w:val="single" w:color="000000" w:sz="8" w:space="0"/>
            </w:tcBorders>
            <w:shd w:val="clear" w:color="auto" w:fill="auto"/>
            <w:noWrap/>
            <w:vAlign w:val="center"/>
          </w:tcPr>
          <w:p w14:paraId="2975713F">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693" w:type="pct"/>
            <w:tcBorders>
              <w:top w:val="single" w:color="000000" w:sz="8" w:space="0"/>
              <w:left w:val="nil"/>
              <w:bottom w:val="single" w:color="000000" w:sz="8" w:space="0"/>
              <w:right w:val="single" w:color="000000" w:sz="8" w:space="0"/>
            </w:tcBorders>
            <w:shd w:val="clear" w:color="auto" w:fill="auto"/>
            <w:noWrap/>
            <w:vAlign w:val="center"/>
          </w:tcPr>
          <w:p w14:paraId="4A60457E">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指标要求</w:t>
            </w:r>
          </w:p>
        </w:tc>
      </w:tr>
      <w:tr w14:paraId="6217C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398" w:type="pct"/>
            <w:tcBorders>
              <w:top w:val="nil"/>
              <w:left w:val="single" w:color="000000" w:sz="8" w:space="0"/>
              <w:bottom w:val="single" w:color="000000" w:sz="8" w:space="0"/>
              <w:right w:val="single" w:color="000000" w:sz="8" w:space="0"/>
            </w:tcBorders>
            <w:shd w:val="clear" w:color="auto" w:fill="auto"/>
            <w:noWrap/>
            <w:vAlign w:val="center"/>
          </w:tcPr>
          <w:p w14:paraId="7811315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908" w:type="pct"/>
            <w:tcBorders>
              <w:top w:val="nil"/>
              <w:left w:val="nil"/>
              <w:bottom w:val="single" w:color="000000" w:sz="8" w:space="0"/>
              <w:right w:val="single" w:color="000000" w:sz="8" w:space="0"/>
            </w:tcBorders>
            <w:shd w:val="clear" w:color="auto" w:fill="auto"/>
            <w:noWrap/>
            <w:vAlign w:val="center"/>
          </w:tcPr>
          <w:p w14:paraId="53FE841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规格要求</w:t>
            </w:r>
          </w:p>
        </w:tc>
        <w:tc>
          <w:tcPr>
            <w:tcW w:w="3693" w:type="pct"/>
            <w:tcBorders>
              <w:top w:val="nil"/>
              <w:left w:val="nil"/>
              <w:bottom w:val="single" w:color="000000" w:sz="8" w:space="0"/>
              <w:right w:val="single" w:color="000000" w:sz="8" w:space="0"/>
            </w:tcBorders>
            <w:shd w:val="clear" w:color="auto" w:fill="auto"/>
            <w:vAlign w:val="center"/>
          </w:tcPr>
          <w:p w14:paraId="0C5AC90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对现有外网服务器防病毒aES（系统版本为6.0.2），提供扩容授权≥200个PC全量版授权，提供三年原厂升级服务。</w:t>
            </w:r>
          </w:p>
        </w:tc>
      </w:tr>
    </w:tbl>
    <w:p w14:paraId="25DBE442">
      <w:pPr>
        <w:tabs>
          <w:tab w:val="left" w:pos="540"/>
        </w:tabs>
        <w:spacing w:line="360" w:lineRule="auto"/>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2.2.12堡垒机</w:t>
      </w:r>
    </w:p>
    <w:tbl>
      <w:tblPr>
        <w:tblStyle w:val="3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7"/>
        <w:gridCol w:w="1840"/>
        <w:gridCol w:w="7484"/>
      </w:tblGrid>
      <w:tr w14:paraId="73F4B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B2B8F">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9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DFCF7">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指标项</w:t>
            </w:r>
          </w:p>
        </w:tc>
        <w:tc>
          <w:tcPr>
            <w:tcW w:w="3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E5311">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指标要求</w:t>
            </w:r>
          </w:p>
        </w:tc>
      </w:tr>
      <w:tr w14:paraId="46416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2B7E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9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1B5C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规格要求</w:t>
            </w: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D25F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软件部署，提供授权资产数≥500个,并发字符连接最大数≥500个,并发图形连接最大数≥100个；提供三年原厂升级服务。</w:t>
            </w:r>
          </w:p>
        </w:tc>
      </w:tr>
      <w:tr w14:paraId="6805E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B269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90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34B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功能要求</w:t>
            </w: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2127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支持用户多角色划分功能，如系统管理员、部门管理员、运维员、审计管理员、密码管理员等，对各类角色需要进行细粒度的权限管理；支持自定义用户权限。</w:t>
            </w:r>
          </w:p>
        </w:tc>
      </w:tr>
      <w:tr w14:paraId="58FEE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1A1D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D27A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91AE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支持用户的批量导入/导出；用户列表支持显示用户状态；支持用户安全策略功能，如用户有效期、用户登录时间限制、用户登录IP范围、用户登录MAC限制等。</w:t>
            </w:r>
          </w:p>
        </w:tc>
      </w:tr>
      <w:tr w14:paraId="23901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77F8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919BD">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D9BFA">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手机APP动态口令认证方式登录堡垒机，新用户首次登录后需强制绑定APP动态口令；支持钉钉/企业微信扫码认证方式登录堡垒机；支持AD、LDAP、RADIUS、吉大正元、北京CA、深圳CA、认证系统联动登录堡垒机；支持多个AD域认证源；支持自动同步AD/LDAP用户。</w:t>
            </w:r>
          </w:p>
        </w:tc>
      </w:tr>
      <w:tr w14:paraId="24B23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DDF9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D2293">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1BE6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支持常用的运维协议：SSH、TELNET、RDP、VNC、FTP、SFTP、rlogin、X11；可通过应用发布的方式进行协议扩展，如数据库Oracle、MSSQL、MySQL、VMware vSphere Client、浏览器等客户端工具。</w:t>
            </w:r>
          </w:p>
        </w:tc>
      </w:tr>
      <w:tr w14:paraId="73CFC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4102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7B8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9A6C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支持密码工单管理，可通过工单申请相应资源的密码，支持通过邮件的方式通知管理员及申请人；支持密码工单授权到期后的自动改密。</w:t>
            </w:r>
          </w:p>
        </w:tc>
      </w:tr>
      <w:tr w14:paraId="07281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3A64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EAE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55A2B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支持对已纳管的主机进行主机账号扫描，发现主机上未纳管到堡垒机的账号，同时记录相关账号名称、使用协议；发现的账号支持一键纳管至堡垒机中，并可将结果进行导出。</w:t>
            </w:r>
          </w:p>
        </w:tc>
      </w:tr>
      <w:tr w14:paraId="54B78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10E1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D193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9BAB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6B8A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648F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5C00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30A8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支持对已纳管的主机进行连通性状态检查，可检验该设备与堡垒机的IP连通性与可连端口，并可将结果进行导出。</w:t>
            </w:r>
          </w:p>
        </w:tc>
      </w:tr>
      <w:tr w14:paraId="42019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40F1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2C8B3">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60D2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支持对主机账号状态进行检查，记录账户、密码是否验证、是否托管、密码复杂度（可根据设置的密码检查策略判断是否为弱密码）、上次登录时间、上次改密时间、账户过期时间等，并可将结果进行导出。</w:t>
            </w:r>
          </w:p>
        </w:tc>
      </w:tr>
      <w:tr w14:paraId="74315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13B0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F000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134A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支持定期自动修改windows服务器、网络设备、linux/unix等目标设备密码功能，且自动改密不借助于Agent，无需开放445、135、139等高危端口。</w:t>
            </w:r>
          </w:p>
        </w:tc>
      </w:tr>
      <w:tr w14:paraId="1F170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BC77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69224">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E0EC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支持对常见数据库及国产数据库的自动改密功能，包括DB2、oracle、mysql、sqlserver、PG、人大金仓、GBase8a、GBase8s、达梦数据库等。</w:t>
            </w:r>
          </w:p>
        </w:tc>
      </w:tr>
      <w:tr w14:paraId="3D7C2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72A1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393A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D93C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支持B/S架构进行堡垒机运维管理，至少支持使用IE、谷歌、火狐、Microsoft Edge等浏览器打开堡垒机的Web页面直接调用如：mstsc、VNC、Xshell、SecureCRT、Putty、winscp、flashFXP、FileZilla、SecureFX等本地运维客户端工具。</w:t>
            </w:r>
          </w:p>
        </w:tc>
      </w:tr>
      <w:tr w14:paraId="6BABB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A01B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6351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E5C2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支持Windows/macOS/UOS /麒麟等国产操作系统下C/S架构的堡垒机专用客户端登录堡垒机并进行管理及运维操作。</w:t>
            </w:r>
          </w:p>
        </w:tc>
      </w:tr>
      <w:tr w14:paraId="47AD0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E634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9CE44">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608B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对运维操作会话的在线监控、实时阻断；支持录像慢速/快速回放、支持记录起止时间、来源用户、来源IP、目标设备、协议/应用类型、命令记录、操作内容（如对文件的上传、下载、删除、修改等操作等）的详细行为日志。</w:t>
            </w:r>
          </w:p>
        </w:tc>
      </w:tr>
      <w:tr w14:paraId="45E9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2818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9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BBF3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3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8813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置根据运维人员生成各种维度的分析报表，维度包含运维次数、时长、运维时长、活动时长、会话大小、字符命令数、传输文件数、来源IP访问数、运维时间分布等。可分别从全局及平均值、最大值、最小值、单次运维、单个会话等角度提供；内置丰富的报表统计模板，可点击曲线图进行数据钻取分析，且支持PDF、DOC、HTML格式导出。</w:t>
            </w:r>
          </w:p>
        </w:tc>
      </w:tr>
    </w:tbl>
    <w:p w14:paraId="46092E84">
      <w:pPr>
        <w:pStyle w:val="202"/>
        <w:spacing w:line="440" w:lineRule="exact"/>
        <w:rPr>
          <w:rFonts w:hint="eastAsia" w:ascii="宋体" w:hAnsi="宋体" w:cs="宋体"/>
          <w:bCs/>
          <w:color w:val="auto"/>
          <w:sz w:val="24"/>
          <w:szCs w:val="24"/>
          <w:highlight w:val="none"/>
          <w:lang w:val="en-US" w:eastAsia="zh-CN"/>
        </w:rPr>
      </w:pPr>
    </w:p>
    <w:p w14:paraId="39619BEF">
      <w:pPr>
        <w:spacing w:line="360" w:lineRule="auto"/>
        <w:jc w:val="center"/>
        <w:rPr>
          <w:rFonts w:hint="eastAsia" w:ascii="黑体" w:hAnsi="黑体" w:eastAsia="黑体"/>
          <w:i w:val="0"/>
          <w:iCs w:val="0"/>
          <w:color w:val="auto"/>
          <w:sz w:val="24"/>
          <w:szCs w:val="24"/>
          <w:highlight w:val="none"/>
        </w:rPr>
      </w:pPr>
    </w:p>
    <w:p w14:paraId="2112F8A3">
      <w:pPr>
        <w:spacing w:line="360" w:lineRule="auto"/>
        <w:jc w:val="center"/>
        <w:rPr>
          <w:rFonts w:ascii="宋体" w:hAnsi="宋体"/>
          <w:bCs/>
          <w:i w:val="0"/>
          <w:iCs w:val="0"/>
          <w:color w:val="auto"/>
          <w:sz w:val="24"/>
          <w:szCs w:val="24"/>
          <w:highlight w:val="none"/>
        </w:rPr>
      </w:pPr>
      <w:r>
        <w:rPr>
          <w:rFonts w:hint="eastAsia" w:ascii="黑体" w:hAnsi="黑体" w:eastAsia="黑体"/>
          <w:i w:val="0"/>
          <w:iCs w:val="0"/>
          <w:color w:val="auto"/>
          <w:sz w:val="24"/>
          <w:szCs w:val="24"/>
          <w:highlight w:val="none"/>
        </w:rPr>
        <w:t>第二部分  有关说明</w:t>
      </w:r>
    </w:p>
    <w:p w14:paraId="25BA5C30">
      <w:pPr>
        <w:tabs>
          <w:tab w:val="left" w:pos="540"/>
        </w:tabs>
        <w:spacing w:line="360" w:lineRule="auto"/>
        <w:ind w:firstLine="480"/>
        <w:rPr>
          <w:rFonts w:hint="eastAsia" w:eastAsia="宋体"/>
          <w:color w:val="auto"/>
          <w:sz w:val="24"/>
          <w:szCs w:val="24"/>
          <w:highlight w:val="none"/>
          <w:lang w:eastAsia="zh-CN"/>
        </w:rPr>
      </w:pPr>
      <w:r>
        <w:rPr>
          <w:rFonts w:hint="eastAsia"/>
          <w:color w:val="auto"/>
          <w:sz w:val="24"/>
          <w:szCs w:val="24"/>
          <w:highlight w:val="none"/>
          <w:lang w:eastAsia="zh-CN"/>
        </w:rPr>
        <w:t>（一）说明：</w:t>
      </w:r>
    </w:p>
    <w:p w14:paraId="3D4E2D9D">
      <w:pPr>
        <w:tabs>
          <w:tab w:val="left" w:pos="540"/>
        </w:tabs>
        <w:spacing w:line="360" w:lineRule="auto"/>
        <w:ind w:firstLine="480"/>
        <w:rPr>
          <w:color w:val="auto"/>
          <w:sz w:val="24"/>
          <w:szCs w:val="24"/>
          <w:highlight w:val="none"/>
        </w:rPr>
      </w:pPr>
      <w:r>
        <w:rPr>
          <w:rFonts w:hint="eastAsia"/>
          <w:color w:val="auto"/>
          <w:sz w:val="24"/>
          <w:szCs w:val="24"/>
          <w:highlight w:val="none"/>
        </w:rPr>
        <w:t>1、所有</w:t>
      </w:r>
      <w:r>
        <w:rPr>
          <w:rFonts w:hint="eastAsia"/>
          <w:color w:val="auto"/>
          <w:sz w:val="24"/>
          <w:szCs w:val="24"/>
          <w:highlight w:val="none"/>
          <w:lang w:val="en-US" w:eastAsia="zh-CN"/>
        </w:rPr>
        <w:t>硬件产品</w:t>
      </w:r>
      <w:r>
        <w:rPr>
          <w:rFonts w:hint="eastAsia"/>
          <w:color w:val="auto"/>
          <w:sz w:val="24"/>
          <w:szCs w:val="24"/>
          <w:highlight w:val="none"/>
        </w:rPr>
        <w:t>必须为原厂全新产品，并符合相关的质量检测标准及具有合法手续的产品，不得使用库存时间超过6个月的产品或部件。</w:t>
      </w:r>
    </w:p>
    <w:p w14:paraId="5C55234A">
      <w:pPr>
        <w:tabs>
          <w:tab w:val="left" w:pos="540"/>
        </w:tabs>
        <w:spacing w:line="360" w:lineRule="auto"/>
        <w:ind w:firstLine="480"/>
        <w:rPr>
          <w:color w:val="auto"/>
          <w:sz w:val="24"/>
          <w:szCs w:val="24"/>
          <w:highlight w:val="none"/>
        </w:rPr>
      </w:pPr>
      <w:r>
        <w:rPr>
          <w:rFonts w:hint="eastAsia"/>
          <w:color w:val="auto"/>
          <w:sz w:val="24"/>
          <w:szCs w:val="24"/>
          <w:highlight w:val="none"/>
        </w:rPr>
        <w:t>2、投标人应按采购人提供的标的物清单以及相关技术资料，根据现行市场价格并考虑项目实施过程中的风险因素，综合报价。</w:t>
      </w:r>
    </w:p>
    <w:p w14:paraId="7043D666">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、投标总报价一次报定，包括：</w:t>
      </w:r>
    </w:p>
    <w:p w14:paraId="4753E76C">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.1设备价格(包括全套设备、配套项目及软件、随设备应提交的备品备件和专用工具的价格以及资料费用)；</w:t>
      </w:r>
    </w:p>
    <w:p w14:paraId="497250AD">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.2各投标人应根据技术规范对所提供的标的物清单进行核实，如发现与提供的标的物清单不符或者标的物清单中有遗漏的，应在投标澄清时以书面形式向 采购人提出，如投标人未予核实或未能核实出与本招标文件提供的标的物清单不符，则应按提供的标的物清单进行报价，同时应承担在中标后不得更新或增添设备的风险(除非增添的设备是免费的),并确保实现招标文件所规定的全部使用功能。</w:t>
      </w:r>
    </w:p>
    <w:p w14:paraId="60FB4E78">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.3投标人负有确保所供设备质量达到设计要求不可推卸的责任，供货范围包括设备主机及正常运行须配套的全部附件、质保期内备品备件及调试所需全部 辅材。</w:t>
      </w:r>
    </w:p>
    <w:p w14:paraId="79D751A3">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.4供货范围还包括清单中虽未列入，但项目实施时必须的设备附件、材料，投标人均应纳入投标设备清单，货款计入投标总价，投资人不再承担因投标人漏报而增加的费用。</w:t>
      </w:r>
    </w:p>
    <w:p w14:paraId="051D5BC4">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.5包装、运输、装卸、现场保管费、保险费(指设备运抵现场所发生的费用）；</w:t>
      </w:r>
    </w:p>
    <w:p w14:paraId="5BE2172A">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.6技术培训服务(说明服务内容）</w:t>
      </w:r>
    </w:p>
    <w:p w14:paraId="0CEAB139">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.7投标人须负责设备的安装、调试、常规操作及维修的培训至业主满意为止，该工作包含在投标报价内。</w:t>
      </w:r>
    </w:p>
    <w:p w14:paraId="654FDA91">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投标人须明确所投产品的品牌、型号、规格和外形、尺寸、安装尺寸、重量及一些必须说明的技术参数，以及使用的材料的清单，同时明确生产厂家、型号规格等，并提供详细的技术参数及性能说明书及能保证采购设备的正常安装、调试和运行全套资料。</w:t>
      </w:r>
    </w:p>
    <w:p w14:paraId="18C65AE1">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、投标人必须承诺招标文件中提出的全部技术规格与要求，如果其中某些条款不响应时，应在文件中逐条列出，未列出的视同响应。</w:t>
      </w:r>
    </w:p>
    <w:p w14:paraId="4AFD1666">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6</w:t>
      </w:r>
      <w:r>
        <w:rPr>
          <w:rFonts w:hint="eastAsia"/>
          <w:color w:val="auto"/>
          <w:sz w:val="24"/>
          <w:szCs w:val="24"/>
          <w:highlight w:val="none"/>
        </w:rPr>
        <w:t>、投标人负责进行设备安装调试，并提供项目所在地维修机构情况。</w:t>
      </w:r>
    </w:p>
    <w:p w14:paraId="34366405">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、技术服务要求：</w:t>
      </w:r>
    </w:p>
    <w:p w14:paraId="16DC931C">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.1.设备到货后应立即派员开箱安装、调试。</w:t>
      </w:r>
    </w:p>
    <w:p w14:paraId="5E0AD315">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.2.投标方应提供必备的技术资料。</w:t>
      </w:r>
    </w:p>
    <w:p w14:paraId="34DBCEA5">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、投标人必须承诺招标文件中提出的全部技术规格与要求；如果以其中某些条款不响应时，应在文件中逐条列出，未列出的视同响应。</w:t>
      </w:r>
    </w:p>
    <w:p w14:paraId="46E091F5">
      <w:pPr>
        <w:tabs>
          <w:tab w:val="left" w:pos="540"/>
        </w:tabs>
        <w:spacing w:line="360" w:lineRule="auto"/>
        <w:ind w:firstLine="480"/>
        <w:rPr>
          <w:color w:val="auto"/>
          <w:sz w:val="24"/>
          <w:szCs w:val="24"/>
          <w:highlight w:val="none"/>
        </w:rPr>
      </w:pPr>
      <w:r>
        <w:rPr>
          <w:rFonts w:hint="eastAsia"/>
          <w:color w:val="auto"/>
          <w:sz w:val="24"/>
          <w:szCs w:val="24"/>
          <w:highlight w:val="none"/>
          <w:lang w:val="en-US" w:eastAsia="zh-CN"/>
        </w:rPr>
        <w:t>9</w:t>
      </w:r>
      <w:r>
        <w:rPr>
          <w:rFonts w:hint="eastAsia"/>
          <w:color w:val="auto"/>
          <w:sz w:val="24"/>
          <w:szCs w:val="24"/>
          <w:highlight w:val="none"/>
        </w:rPr>
        <w:t>、投标文件以中文资料为准。</w:t>
      </w:r>
    </w:p>
    <w:p w14:paraId="714A26ED">
      <w:pPr>
        <w:tabs>
          <w:tab w:val="left" w:pos="540"/>
        </w:tabs>
        <w:spacing w:line="360" w:lineRule="auto"/>
        <w:ind w:firstLine="480"/>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0</w:t>
      </w:r>
      <w:r>
        <w:rPr>
          <w:rFonts w:hint="eastAsia"/>
          <w:color w:val="auto"/>
          <w:sz w:val="24"/>
          <w:szCs w:val="24"/>
          <w:highlight w:val="none"/>
        </w:rPr>
        <w:t>、通过中国海关报关验放进入中国境内且产自中国境外的产品不在本项目的报价范围。</w:t>
      </w:r>
    </w:p>
    <w:p w14:paraId="1D3B0D0C">
      <w:pPr>
        <w:tabs>
          <w:tab w:val="left" w:pos="540"/>
        </w:tabs>
        <w:spacing w:line="360" w:lineRule="auto"/>
        <w:ind w:firstLine="480"/>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1</w:t>
      </w:r>
      <w:r>
        <w:rPr>
          <w:rFonts w:hint="eastAsia"/>
          <w:color w:val="auto"/>
          <w:sz w:val="24"/>
          <w:szCs w:val="24"/>
          <w:highlight w:val="none"/>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A00D9C5">
      <w:pPr>
        <w:tabs>
          <w:tab w:val="left" w:pos="540"/>
        </w:tabs>
        <w:spacing w:line="360" w:lineRule="auto"/>
        <w:ind w:firstLine="480"/>
        <w:rPr>
          <w:color w:val="auto"/>
          <w:sz w:val="24"/>
          <w:szCs w:val="24"/>
          <w:highlight w:val="none"/>
        </w:rPr>
      </w:pPr>
      <w:r>
        <w:rPr>
          <w:rFonts w:hint="eastAsia"/>
          <w:color w:val="auto"/>
          <w:sz w:val="24"/>
          <w:szCs w:val="24"/>
          <w:highlight w:val="none"/>
        </w:rPr>
        <w:t>(二)验收：</w:t>
      </w:r>
    </w:p>
    <w:p w14:paraId="6F8088D0">
      <w:pPr>
        <w:tabs>
          <w:tab w:val="left" w:pos="540"/>
        </w:tabs>
        <w:spacing w:line="360" w:lineRule="auto"/>
        <w:ind w:firstLine="480"/>
        <w:rPr>
          <w:color w:val="auto"/>
          <w:sz w:val="24"/>
          <w:szCs w:val="24"/>
          <w:highlight w:val="none"/>
        </w:rPr>
      </w:pPr>
      <w:r>
        <w:rPr>
          <w:rFonts w:hint="eastAsia"/>
          <w:color w:val="auto"/>
          <w:sz w:val="24"/>
          <w:szCs w:val="24"/>
          <w:highlight w:val="none"/>
        </w:rPr>
        <w:t>1、本项目为运行手续齐备的交钥匙工程，投标人须负责本项目设备运行可能产生但未列入清单的一切费用；</w:t>
      </w:r>
    </w:p>
    <w:p w14:paraId="5FBE1117">
      <w:pPr>
        <w:tabs>
          <w:tab w:val="left" w:pos="540"/>
        </w:tabs>
        <w:spacing w:line="360" w:lineRule="auto"/>
        <w:ind w:firstLine="480"/>
        <w:rPr>
          <w:color w:val="auto"/>
          <w:sz w:val="24"/>
          <w:szCs w:val="24"/>
          <w:highlight w:val="none"/>
        </w:rPr>
      </w:pPr>
      <w:r>
        <w:rPr>
          <w:rFonts w:hint="eastAsia"/>
          <w:color w:val="auto"/>
          <w:sz w:val="24"/>
          <w:szCs w:val="24"/>
          <w:highlight w:val="none"/>
        </w:rPr>
        <w:t>2、设备到达采购人现场前，应提前7天通知采购人做好接收准备，设备到达现场后由采购人会同有关单位和人员根据清单进行现场质量检验和验收；</w:t>
      </w:r>
    </w:p>
    <w:p w14:paraId="388016EE">
      <w:pPr>
        <w:tabs>
          <w:tab w:val="left" w:pos="540"/>
        </w:tabs>
        <w:spacing w:line="360" w:lineRule="auto"/>
        <w:ind w:firstLine="480"/>
        <w:rPr>
          <w:color w:val="auto"/>
          <w:sz w:val="24"/>
          <w:szCs w:val="24"/>
          <w:highlight w:val="none"/>
        </w:rPr>
      </w:pPr>
      <w:r>
        <w:rPr>
          <w:rFonts w:hint="eastAsia"/>
          <w:color w:val="auto"/>
          <w:sz w:val="24"/>
          <w:szCs w:val="24"/>
          <w:highlight w:val="none"/>
        </w:rPr>
        <w:t>3、验收标准：根据中国政府颁布的相关国家标准和行业标准的规定；根据招标文件、中标单位的投标文件、双方签订的合同文件及其附件；由采购方及相关部门到场进行验收通过。</w:t>
      </w:r>
    </w:p>
    <w:p w14:paraId="0D451BAC">
      <w:pPr>
        <w:tabs>
          <w:tab w:val="left" w:pos="540"/>
        </w:tabs>
        <w:spacing w:line="360" w:lineRule="auto"/>
        <w:ind w:firstLine="480"/>
        <w:rPr>
          <w:color w:val="auto"/>
          <w:sz w:val="24"/>
          <w:szCs w:val="24"/>
          <w:highlight w:val="none"/>
        </w:rPr>
      </w:pPr>
      <w:r>
        <w:rPr>
          <w:rFonts w:hint="eastAsia"/>
          <w:color w:val="auto"/>
          <w:sz w:val="24"/>
          <w:szCs w:val="24"/>
          <w:highlight w:val="none"/>
        </w:rPr>
        <w:t>4、验收期限自标的物安装、调试完成之日起，试运行一个月内。特殊情况需延长的，双方应特别约定。</w:t>
      </w:r>
    </w:p>
    <w:p w14:paraId="41864125">
      <w:pPr>
        <w:tabs>
          <w:tab w:val="left" w:pos="540"/>
        </w:tabs>
        <w:spacing w:line="360" w:lineRule="auto"/>
        <w:ind w:firstLine="480"/>
        <w:rPr>
          <w:color w:val="auto"/>
          <w:sz w:val="24"/>
          <w:szCs w:val="24"/>
          <w:highlight w:val="none"/>
        </w:rPr>
      </w:pPr>
      <w:r>
        <w:rPr>
          <w:rFonts w:hint="eastAsia"/>
          <w:color w:val="auto"/>
          <w:sz w:val="24"/>
          <w:szCs w:val="24"/>
          <w:highlight w:val="none"/>
        </w:rPr>
        <w:t>(三)知识产权：</w:t>
      </w:r>
    </w:p>
    <w:p w14:paraId="112BF2A5">
      <w:pPr>
        <w:tabs>
          <w:tab w:val="left" w:pos="540"/>
        </w:tabs>
        <w:spacing w:line="360" w:lineRule="auto"/>
        <w:ind w:firstLine="480"/>
        <w:rPr>
          <w:color w:val="auto"/>
          <w:sz w:val="24"/>
          <w:szCs w:val="24"/>
          <w:highlight w:val="none"/>
        </w:rPr>
      </w:pPr>
      <w:r>
        <w:rPr>
          <w:rFonts w:hint="eastAsia"/>
          <w:color w:val="auto"/>
          <w:sz w:val="24"/>
          <w:szCs w:val="24"/>
          <w:highlight w:val="none"/>
        </w:rPr>
        <w:t>投标人应保证采购方免除且供方承担由于采购方在其本国使用该设备或设备任何一部分时而引起第三方提出的侵犯专利权、商标权或工业设计权的起诉、行动、行政程序索赔、请求等以及采购方为此而产生的损失和损害、费用和支出(包括律师费)。</w:t>
      </w:r>
    </w:p>
    <w:p w14:paraId="360AD81A">
      <w:pPr>
        <w:tabs>
          <w:tab w:val="left" w:pos="540"/>
        </w:tabs>
        <w:spacing w:line="360" w:lineRule="auto"/>
        <w:ind w:firstLine="480"/>
        <w:rPr>
          <w:color w:val="auto"/>
          <w:sz w:val="24"/>
          <w:szCs w:val="24"/>
          <w:highlight w:val="none"/>
        </w:rPr>
      </w:pPr>
      <w:r>
        <w:rPr>
          <w:rFonts w:hint="eastAsia"/>
          <w:color w:val="auto"/>
          <w:sz w:val="24"/>
          <w:szCs w:val="24"/>
          <w:highlight w:val="none"/>
        </w:rPr>
        <w:t>(四)质量保证：</w:t>
      </w:r>
    </w:p>
    <w:p w14:paraId="29ADAE35">
      <w:pPr>
        <w:tabs>
          <w:tab w:val="left" w:pos="540"/>
        </w:tabs>
        <w:spacing w:line="360" w:lineRule="auto"/>
        <w:ind w:firstLine="480"/>
        <w:rPr>
          <w:color w:val="auto"/>
          <w:sz w:val="24"/>
          <w:szCs w:val="24"/>
          <w:highlight w:val="none"/>
        </w:rPr>
      </w:pPr>
      <w:r>
        <w:rPr>
          <w:rFonts w:hint="eastAsia"/>
          <w:color w:val="auto"/>
          <w:sz w:val="24"/>
          <w:szCs w:val="24"/>
          <w:highlight w:val="none"/>
        </w:rPr>
        <w:t>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083CEF65">
      <w:pPr>
        <w:tabs>
          <w:tab w:val="left" w:pos="540"/>
        </w:tabs>
        <w:spacing w:line="360" w:lineRule="auto"/>
        <w:ind w:firstLine="480"/>
        <w:rPr>
          <w:color w:val="auto"/>
          <w:sz w:val="24"/>
          <w:szCs w:val="24"/>
          <w:highlight w:val="none"/>
        </w:rPr>
      </w:pPr>
      <w:r>
        <w:rPr>
          <w:rFonts w:hint="eastAsia"/>
          <w:color w:val="auto"/>
          <w:sz w:val="24"/>
          <w:szCs w:val="24"/>
          <w:highlight w:val="none"/>
        </w:rPr>
        <w:t>2、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18FA49D3">
      <w:pPr>
        <w:tabs>
          <w:tab w:val="left" w:pos="540"/>
        </w:tabs>
        <w:spacing w:line="360" w:lineRule="auto"/>
        <w:ind w:firstLine="480"/>
        <w:rPr>
          <w:color w:val="auto"/>
          <w:sz w:val="24"/>
          <w:szCs w:val="24"/>
          <w:highlight w:val="none"/>
        </w:rPr>
      </w:pPr>
      <w:r>
        <w:rPr>
          <w:rFonts w:hint="eastAsia"/>
          <w:color w:val="auto"/>
          <w:sz w:val="24"/>
          <w:szCs w:val="24"/>
          <w:highlight w:val="none"/>
        </w:rPr>
        <w:t>3、若货物验收时产品质量不能满足要求，采购单位有权要求对标的物进行更换或退货，同时有权提出索赔，所产生的一切费用(含所有检验费用)由中标单位承担。</w:t>
      </w:r>
    </w:p>
    <w:p w14:paraId="24A0F586">
      <w:pPr>
        <w:tabs>
          <w:tab w:val="left" w:pos="540"/>
        </w:tabs>
        <w:spacing w:line="360" w:lineRule="auto"/>
        <w:ind w:firstLine="480"/>
        <w:rPr>
          <w:color w:val="auto"/>
          <w:sz w:val="24"/>
          <w:szCs w:val="24"/>
          <w:highlight w:val="none"/>
        </w:rPr>
      </w:pPr>
      <w:r>
        <w:rPr>
          <w:rFonts w:hint="eastAsia"/>
          <w:color w:val="auto"/>
          <w:sz w:val="24"/>
          <w:szCs w:val="24"/>
          <w:highlight w:val="none"/>
        </w:rPr>
        <w:t>(五)售后服务：</w:t>
      </w:r>
    </w:p>
    <w:p w14:paraId="53CD7558">
      <w:pPr>
        <w:tabs>
          <w:tab w:val="left" w:pos="540"/>
        </w:tabs>
        <w:spacing w:line="360" w:lineRule="auto"/>
        <w:ind w:firstLine="480"/>
        <w:rPr>
          <w:color w:val="auto"/>
          <w:sz w:val="24"/>
          <w:szCs w:val="24"/>
          <w:highlight w:val="none"/>
        </w:rPr>
      </w:pPr>
      <w:r>
        <w:rPr>
          <w:rFonts w:hint="eastAsia"/>
          <w:color w:val="auto"/>
          <w:sz w:val="24"/>
          <w:szCs w:val="24"/>
          <w:highlight w:val="none"/>
        </w:rPr>
        <w:t>1、按采购方的需求及时到货，中标单位需负责包括设备、配套设备材料及辅配件的供货、安装、调试、售后服务、技术培训、验收合格等交付使用前的一切费用。除非项目需求有变动，否则采购单位不再向中标单位支付任何费用。</w:t>
      </w:r>
    </w:p>
    <w:p w14:paraId="0515C1C0">
      <w:pPr>
        <w:tabs>
          <w:tab w:val="left" w:pos="540"/>
        </w:tabs>
        <w:spacing w:line="360" w:lineRule="auto"/>
        <w:ind w:firstLine="480"/>
        <w:rPr>
          <w:color w:val="auto"/>
          <w:sz w:val="24"/>
          <w:szCs w:val="24"/>
          <w:highlight w:val="none"/>
        </w:rPr>
      </w:pPr>
      <w:r>
        <w:rPr>
          <w:rFonts w:hint="eastAsia"/>
          <w:color w:val="auto"/>
          <w:sz w:val="24"/>
          <w:szCs w:val="24"/>
          <w:highlight w:val="none"/>
        </w:rPr>
        <w:t>2、质保期：</w:t>
      </w:r>
      <w:r>
        <w:rPr>
          <w:rFonts w:hint="eastAsia"/>
          <w:bCs/>
          <w:color w:val="auto"/>
          <w:sz w:val="24"/>
          <w:highlight w:val="none"/>
        </w:rPr>
        <w:t>自</w:t>
      </w:r>
      <w:r>
        <w:rPr>
          <w:rFonts w:hint="eastAsia"/>
          <w:bCs/>
          <w:color w:val="auto"/>
          <w:sz w:val="24"/>
          <w:highlight w:val="none"/>
          <w:lang w:val="en-US" w:eastAsia="zh-CN"/>
        </w:rPr>
        <w:t>验收合格</w:t>
      </w:r>
      <w:r>
        <w:rPr>
          <w:rFonts w:hint="eastAsia"/>
          <w:bCs/>
          <w:color w:val="auto"/>
          <w:sz w:val="24"/>
          <w:highlight w:val="none"/>
        </w:rPr>
        <w:t>之日起软件3年，硬件5年。维保期内，供应商需保证7*24小时的服务响应，响应时间不得低于如下标准：接到医院方的通知后1小时内必须做出明确的响应和安排；需提供现场服务的，服务团队须在2小时内达到故障现场；4小时内做出故障诊断报告，常规故障8小时内必须解决</w:t>
      </w:r>
      <w:r>
        <w:rPr>
          <w:rFonts w:hint="eastAsia"/>
          <w:color w:val="auto"/>
          <w:sz w:val="24"/>
          <w:szCs w:val="24"/>
          <w:highlight w:val="none"/>
        </w:rPr>
        <w:t>。</w:t>
      </w:r>
    </w:p>
    <w:p w14:paraId="51FA77F3">
      <w:pPr>
        <w:tabs>
          <w:tab w:val="left" w:pos="540"/>
        </w:tabs>
        <w:spacing w:line="360" w:lineRule="auto"/>
        <w:ind w:firstLine="480"/>
        <w:rPr>
          <w:rFonts w:hint="eastAsia" w:eastAsia="宋体"/>
          <w:color w:val="auto"/>
          <w:sz w:val="24"/>
          <w:szCs w:val="24"/>
          <w:highlight w:val="none"/>
          <w:lang w:eastAsia="zh-CN"/>
        </w:rPr>
      </w:pPr>
      <w:r>
        <w:rPr>
          <w:rFonts w:hint="eastAsia"/>
          <w:color w:val="auto"/>
          <w:sz w:val="24"/>
          <w:szCs w:val="24"/>
          <w:highlight w:val="none"/>
        </w:rPr>
        <w:t>3、此项目所有软硬件产品授权最终用户为“无锡市惠山区人民医院”</w:t>
      </w:r>
      <w:r>
        <w:rPr>
          <w:rFonts w:hint="eastAsia"/>
          <w:color w:val="auto"/>
          <w:sz w:val="24"/>
          <w:szCs w:val="24"/>
          <w:highlight w:val="none"/>
          <w:lang w:eastAsia="zh-CN"/>
        </w:rPr>
        <w:t>。</w:t>
      </w:r>
    </w:p>
    <w:p w14:paraId="6C22B1C7">
      <w:pPr>
        <w:tabs>
          <w:tab w:val="left" w:pos="540"/>
        </w:tabs>
        <w:spacing w:line="360" w:lineRule="auto"/>
        <w:ind w:firstLine="480"/>
        <w:rPr>
          <w:color w:val="auto"/>
          <w:sz w:val="24"/>
          <w:szCs w:val="24"/>
          <w:highlight w:val="none"/>
        </w:rPr>
      </w:pPr>
      <w:r>
        <w:rPr>
          <w:rFonts w:hint="eastAsia"/>
          <w:color w:val="auto"/>
          <w:sz w:val="24"/>
          <w:szCs w:val="24"/>
          <w:highlight w:val="none"/>
        </w:rPr>
        <w:t>4、</w:t>
      </w:r>
      <w:r>
        <w:rPr>
          <w:rFonts w:hint="eastAsia"/>
          <w:color w:val="auto"/>
          <w:sz w:val="24"/>
          <w:szCs w:val="24"/>
          <w:highlight w:val="none"/>
          <w:lang w:val="en-US" w:eastAsia="zh-CN"/>
        </w:rPr>
        <w:t>投标时提供承诺函，</w:t>
      </w:r>
      <w:r>
        <w:rPr>
          <w:rFonts w:hint="eastAsia"/>
          <w:color w:val="auto"/>
          <w:sz w:val="24"/>
          <w:szCs w:val="24"/>
          <w:highlight w:val="none"/>
        </w:rPr>
        <w:t>承诺中标后提供原厂针对本次项目所有产品质保服务承诺函原件。（注：中标公示后签订合同前3个工作日内须提供原厂针对本次项目所有产品质保服务承诺函原件，中标人未按规定时间提供授权视为主动放弃中标资格）</w:t>
      </w:r>
    </w:p>
    <w:p w14:paraId="056AD046">
      <w:pPr>
        <w:tabs>
          <w:tab w:val="left" w:pos="540"/>
        </w:tabs>
        <w:spacing w:line="360" w:lineRule="auto"/>
        <w:ind w:firstLine="480"/>
        <w:rPr>
          <w:color w:val="auto"/>
          <w:sz w:val="24"/>
          <w:szCs w:val="24"/>
          <w:highlight w:val="none"/>
        </w:rPr>
      </w:pPr>
      <w:r>
        <w:rPr>
          <w:rFonts w:hint="eastAsia"/>
          <w:color w:val="auto"/>
          <w:sz w:val="24"/>
          <w:szCs w:val="24"/>
          <w:highlight w:val="none"/>
        </w:rPr>
        <w:t>(六)交货时间及地点：</w:t>
      </w:r>
    </w:p>
    <w:p w14:paraId="2AA257D3">
      <w:pPr>
        <w:tabs>
          <w:tab w:val="left" w:pos="540"/>
        </w:tabs>
        <w:spacing w:line="360" w:lineRule="auto"/>
        <w:ind w:firstLine="480"/>
        <w:rPr>
          <w:color w:val="auto"/>
          <w:sz w:val="24"/>
          <w:szCs w:val="24"/>
          <w:highlight w:val="none"/>
        </w:rPr>
      </w:pPr>
      <w:r>
        <w:rPr>
          <w:rFonts w:hint="eastAsia"/>
          <w:color w:val="auto"/>
          <w:sz w:val="24"/>
          <w:szCs w:val="24"/>
          <w:highlight w:val="none"/>
        </w:rPr>
        <w:t>1、合同履行期限：</w:t>
      </w:r>
      <w:r>
        <w:rPr>
          <w:rFonts w:hint="eastAsia"/>
          <w:b/>
          <w:bCs/>
          <w:color w:val="auto"/>
          <w:sz w:val="24"/>
          <w:szCs w:val="24"/>
          <w:highlight w:val="none"/>
          <w:lang w:eastAsia="zh-CN"/>
        </w:rPr>
        <w:t>合同签订生效后6个月内交付</w:t>
      </w:r>
      <w:r>
        <w:rPr>
          <w:rFonts w:hint="eastAsia"/>
          <w:color w:val="auto"/>
          <w:sz w:val="24"/>
          <w:szCs w:val="24"/>
          <w:highlight w:val="none"/>
        </w:rPr>
        <w:t>。</w:t>
      </w:r>
    </w:p>
    <w:p w14:paraId="1910500C">
      <w:pPr>
        <w:tabs>
          <w:tab w:val="left" w:pos="540"/>
        </w:tabs>
        <w:spacing w:line="360" w:lineRule="auto"/>
        <w:ind w:firstLine="480"/>
        <w:rPr>
          <w:color w:val="auto"/>
          <w:sz w:val="24"/>
          <w:szCs w:val="24"/>
          <w:highlight w:val="none"/>
        </w:rPr>
      </w:pPr>
      <w:r>
        <w:rPr>
          <w:rFonts w:hint="eastAsia"/>
          <w:color w:val="auto"/>
          <w:sz w:val="24"/>
          <w:szCs w:val="24"/>
          <w:highlight w:val="none"/>
        </w:rPr>
        <w:t>2、交货时间以采购人接到书面通知为准开始计算时间，如中标单位未接到采购人书面通知自行送货，由此引起的责任和损失由中标单位负责。</w:t>
      </w:r>
    </w:p>
    <w:p w14:paraId="4C0AE2DF">
      <w:pPr>
        <w:tabs>
          <w:tab w:val="left" w:pos="540"/>
        </w:tabs>
        <w:spacing w:line="360" w:lineRule="auto"/>
        <w:ind w:firstLine="480"/>
        <w:rPr>
          <w:rFonts w:hint="eastAsia"/>
          <w:color w:val="auto"/>
          <w:sz w:val="24"/>
          <w:szCs w:val="24"/>
          <w:highlight w:val="none"/>
        </w:rPr>
      </w:pPr>
      <w:r>
        <w:rPr>
          <w:rFonts w:hint="eastAsia"/>
          <w:color w:val="auto"/>
          <w:sz w:val="24"/>
          <w:szCs w:val="24"/>
          <w:highlight w:val="none"/>
        </w:rPr>
        <w:t>3、交货及安装地点：采购人指定地点。</w:t>
      </w:r>
    </w:p>
    <w:p w14:paraId="359ED187">
      <w:pPr>
        <w:tabs>
          <w:tab w:val="left" w:pos="540"/>
        </w:tabs>
        <w:spacing w:line="360" w:lineRule="auto"/>
        <w:ind w:firstLine="480"/>
        <w:rPr>
          <w:rFonts w:hint="eastAsia"/>
          <w:color w:val="auto"/>
          <w:sz w:val="24"/>
          <w:szCs w:val="24"/>
          <w:highlight w:val="none"/>
          <w:lang w:val="en-US" w:eastAsia="zh-CN"/>
        </w:rPr>
      </w:pPr>
      <w:r>
        <w:rPr>
          <w:rFonts w:hint="eastAsia"/>
          <w:color w:val="auto"/>
          <w:sz w:val="24"/>
          <w:szCs w:val="24"/>
          <w:highlight w:val="none"/>
          <w:lang w:eastAsia="zh-CN"/>
        </w:rPr>
        <w:t>（</w:t>
      </w:r>
      <w:r>
        <w:rPr>
          <w:rFonts w:hint="eastAsia"/>
          <w:color w:val="auto"/>
          <w:sz w:val="24"/>
          <w:szCs w:val="24"/>
          <w:highlight w:val="none"/>
          <w:lang w:val="en-US" w:eastAsia="zh-CN"/>
        </w:rPr>
        <w:t>七</w:t>
      </w:r>
      <w:r>
        <w:rPr>
          <w:rFonts w:hint="eastAsia"/>
          <w:color w:val="auto"/>
          <w:sz w:val="24"/>
          <w:szCs w:val="24"/>
          <w:highlight w:val="none"/>
          <w:lang w:eastAsia="zh-CN"/>
        </w:rPr>
        <w:t>）</w:t>
      </w:r>
      <w:r>
        <w:rPr>
          <w:rFonts w:hint="eastAsia"/>
          <w:color w:val="auto"/>
          <w:sz w:val="24"/>
          <w:szCs w:val="24"/>
          <w:highlight w:val="none"/>
          <w:lang w:val="en-US" w:eastAsia="zh-CN"/>
        </w:rPr>
        <w:t>付款相关：</w:t>
      </w:r>
    </w:p>
    <w:p w14:paraId="0844BBE6">
      <w:pPr>
        <w:spacing w:line="360" w:lineRule="auto"/>
        <w:ind w:firstLine="480"/>
        <w:rPr>
          <w:color w:val="auto"/>
          <w:sz w:val="24"/>
          <w:szCs w:val="24"/>
          <w:highlight w:val="none"/>
        </w:rPr>
      </w:pPr>
      <w:r>
        <w:rPr>
          <w:rFonts w:hint="eastAsia"/>
          <w:color w:val="auto"/>
          <w:sz w:val="24"/>
          <w:szCs w:val="24"/>
          <w:highlight w:val="none"/>
        </w:rPr>
        <w:t>合同签订生效后且提供全额发票后30个工作日内支付合同金额的40%，项目实施完毕后，验收确认后30个工作日内，支付合同金额的30%，质保期满后30个工作日内，支付合同金额的30%。</w:t>
      </w:r>
    </w:p>
    <w:p w14:paraId="0194A230">
      <w:pPr>
        <w:rPr>
          <w:rFonts w:hint="eastAsia" w:ascii="宋体" w:hAnsi="宋体" w:eastAsia="宋体" w:cs="宋体"/>
          <w:color w:val="auto"/>
          <w:highlight w:val="none"/>
        </w:rPr>
      </w:pPr>
    </w:p>
    <w:p w14:paraId="6082DA08">
      <w:pPr>
        <w:spacing w:line="360" w:lineRule="auto"/>
        <w:ind w:firstLine="600"/>
        <w:jc w:val="center"/>
        <w:rPr>
          <w:rFonts w:hint="eastAsia" w:ascii="黑体" w:hAnsi="黑体" w:eastAsia="黑体" w:cs="Times New Roman"/>
          <w:i w:val="0"/>
          <w:iCs w:val="0"/>
          <w:color w:val="auto"/>
          <w:sz w:val="24"/>
          <w:szCs w:val="24"/>
          <w:highlight w:val="none"/>
        </w:rPr>
      </w:pPr>
      <w:r>
        <w:rPr>
          <w:rFonts w:hint="eastAsia" w:ascii="黑体" w:hAnsi="黑体" w:eastAsia="黑体" w:cs="Times New Roman"/>
          <w:i w:val="0"/>
          <w:iCs w:val="0"/>
          <w:color w:val="auto"/>
          <w:sz w:val="24"/>
          <w:szCs w:val="24"/>
          <w:highlight w:val="none"/>
        </w:rPr>
        <w:t>第三部分  政府采购政策（包括但不限于下列具体政策要求）</w:t>
      </w:r>
    </w:p>
    <w:p w14:paraId="256BED04">
      <w:pPr>
        <w:numPr>
          <w:ilvl w:val="1"/>
          <w:numId w:val="0"/>
        </w:numPr>
        <w:tabs>
          <w:tab w:val="left" w:pos="525"/>
          <w:tab w:val="left" w:pos="945"/>
        </w:tabs>
        <w:spacing w:line="360" w:lineRule="auto"/>
        <w:ind w:left="0" w:leftChars="0" w:firstLine="525"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1.</w:t>
      </w:r>
      <w:r>
        <w:rPr>
          <w:rFonts w:hint="eastAsia" w:ascii="宋体"/>
          <w:bCs/>
          <w:i w:val="0"/>
          <w:iCs w:val="0"/>
          <w:color w:val="auto"/>
          <w:sz w:val="24"/>
          <w:szCs w:val="24"/>
          <w:highlight w:val="none"/>
        </w:rPr>
        <w:t>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F8A344D">
      <w:pPr>
        <w:spacing w:line="360" w:lineRule="auto"/>
        <w:ind w:firstLine="480"/>
        <w:rPr>
          <w:color w:val="auto"/>
          <w:sz w:val="24"/>
          <w:szCs w:val="24"/>
          <w:highlight w:val="none"/>
        </w:rPr>
      </w:pPr>
      <w:r>
        <w:rPr>
          <w:rFonts w:hint="eastAsia"/>
          <w:color w:val="auto"/>
          <w:sz w:val="24"/>
          <w:szCs w:val="24"/>
          <w:highlight w:val="none"/>
        </w:rPr>
        <w:t>包装必须与运输方式相适应，包装方式的确定由中标单位负责；由于不适当的包装而造成货物在运输过程中有任何损坏由中标单位负责。</w:t>
      </w:r>
    </w:p>
    <w:p w14:paraId="5EA6A251">
      <w:pPr>
        <w:spacing w:line="360" w:lineRule="auto"/>
        <w:ind w:firstLine="480"/>
        <w:rPr>
          <w:color w:val="auto"/>
          <w:sz w:val="24"/>
          <w:szCs w:val="24"/>
          <w:highlight w:val="none"/>
        </w:rPr>
      </w:pPr>
      <w:r>
        <w:rPr>
          <w:rFonts w:hint="eastAsia"/>
          <w:color w:val="auto"/>
          <w:sz w:val="24"/>
          <w:szCs w:val="24"/>
          <w:highlight w:val="none"/>
        </w:rPr>
        <w:t>包装应足以承受整个过程中的运输、转运、装卸、储存等，充分考虑到运输途中的各种情况（如暴露于恶劣气候等）和无锡地区的气候特点。</w:t>
      </w:r>
    </w:p>
    <w:p w14:paraId="4E6FC92B">
      <w:pPr>
        <w:spacing w:line="360" w:lineRule="auto"/>
        <w:ind w:firstLine="480"/>
        <w:rPr>
          <w:rFonts w:hint="eastAsia" w:ascii="宋体" w:hAnsi="Times New Roman" w:eastAsia="宋体" w:cs="Times New Roman"/>
          <w:bCs/>
          <w:i w:val="0"/>
          <w:iCs w:val="0"/>
          <w:color w:val="auto"/>
          <w:sz w:val="24"/>
          <w:szCs w:val="24"/>
          <w:highlight w:val="none"/>
          <w:lang w:val="en-US" w:eastAsia="zh-CN" w:bidi="ar-SA"/>
        </w:rPr>
      </w:pPr>
      <w:r>
        <w:rPr>
          <w:rFonts w:hint="eastAsia"/>
          <w:color w:val="auto"/>
          <w:sz w:val="24"/>
          <w:szCs w:val="24"/>
          <w:highlight w:val="none"/>
        </w:rPr>
        <w:t>包装费、运费、保险费及其他相关费用应在产品总价中包括。凡因包装或标志不当导致的货物损坏或丢失，或因此引起的事故，均应乙方承担全部责任和由此发生的相关费用。</w:t>
      </w:r>
    </w:p>
    <w:p w14:paraId="033D77F6">
      <w:pPr>
        <w:numPr>
          <w:ilvl w:val="1"/>
          <w:numId w:val="0"/>
        </w:numPr>
        <w:tabs>
          <w:tab w:val="left" w:pos="525"/>
          <w:tab w:val="left" w:pos="945"/>
        </w:tabs>
        <w:spacing w:line="360" w:lineRule="auto"/>
        <w:ind w:left="0" w:leftChars="0" w:firstLine="525"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2.</w:t>
      </w:r>
      <w:r>
        <w:rPr>
          <w:rFonts w:hint="eastAsia"/>
          <w:i w:val="0"/>
          <w:iCs w:val="0"/>
          <w:color w:val="auto"/>
          <w:sz w:val="24"/>
          <w:szCs w:val="24"/>
          <w:highlight w:val="none"/>
        </w:rPr>
        <w:t>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59BF964">
      <w:pPr>
        <w:numPr>
          <w:ilvl w:val="1"/>
          <w:numId w:val="0"/>
        </w:numPr>
        <w:tabs>
          <w:tab w:val="left" w:pos="525"/>
          <w:tab w:val="left" w:pos="945"/>
        </w:tabs>
        <w:spacing w:line="360" w:lineRule="auto"/>
        <w:ind w:left="0" w:leftChars="0" w:firstLine="525" w:firstLineChars="0"/>
        <w:rPr>
          <w:rFonts w:ascii="宋体" w:hAnsi="宋体" w:cs="宋体"/>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bidi="ar-SA"/>
        </w:rPr>
        <w:t>3.</w:t>
      </w:r>
      <w:r>
        <w:rPr>
          <w:rFonts w:hint="eastAsia" w:ascii="宋体"/>
          <w:bCs/>
          <w:i w:val="0"/>
          <w:iCs w:val="0"/>
          <w:color w:val="auto"/>
          <w:sz w:val="24"/>
          <w:szCs w:val="24"/>
          <w:highlight w:val="none"/>
        </w:rPr>
        <w:t>根据国家扶持中小企业的有关政策，在我中心组织的采购项目中标的供应商，如需要政府采购合同融资，请按锡财购【2022】7号文件执行。</w:t>
      </w:r>
    </w:p>
    <w:p w14:paraId="5EAF341C">
      <w:pPr>
        <w:tabs>
          <w:tab w:val="left" w:pos="525"/>
          <w:tab w:val="left" w:pos="630"/>
          <w:tab w:val="left" w:pos="735"/>
          <w:tab w:val="left" w:pos="945"/>
          <w:tab w:val="left" w:pos="1080"/>
        </w:tabs>
        <w:spacing w:line="360" w:lineRule="auto"/>
        <w:ind w:firstLine="480"/>
        <w:rPr>
          <w:rFonts w:ascii="宋体"/>
          <w:bCs/>
          <w:i w:val="0"/>
          <w:iCs w:val="0"/>
          <w:color w:val="auto"/>
          <w:sz w:val="24"/>
          <w:szCs w:val="24"/>
          <w:highlight w:val="none"/>
        </w:rPr>
      </w:pPr>
      <w:r>
        <w:rPr>
          <w:rFonts w:hint="eastAsia" w:ascii="宋体"/>
          <w:bCs/>
          <w:i w:val="0"/>
          <w:iCs w:val="0"/>
          <w:color w:val="auto"/>
          <w:sz w:val="24"/>
          <w:szCs w:val="24"/>
          <w:highlight w:val="none"/>
        </w:rPr>
        <w:t>合同融资</w:t>
      </w:r>
      <w:r>
        <w:rPr>
          <w:rFonts w:ascii="宋体"/>
          <w:bCs/>
          <w:i w:val="0"/>
          <w:iCs w:val="0"/>
          <w:color w:val="auto"/>
          <w:sz w:val="24"/>
          <w:szCs w:val="24"/>
          <w:highlight w:val="none"/>
        </w:rPr>
        <w:t>,</w:t>
      </w:r>
      <w:r>
        <w:rPr>
          <w:rFonts w:hint="eastAsia" w:ascii="宋体"/>
          <w:bCs/>
          <w:i w:val="0"/>
          <w:iCs w:val="0"/>
          <w:color w:val="auto"/>
          <w:sz w:val="24"/>
          <w:szCs w:val="24"/>
          <w:highlight w:val="none"/>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i w:val="0"/>
          <w:iCs w:val="0"/>
          <w:color w:val="auto"/>
          <w:sz w:val="24"/>
          <w:szCs w:val="24"/>
          <w:highlight w:val="none"/>
        </w:rPr>
        <w:t>“苏采云”系统</w:t>
      </w:r>
      <w:r>
        <w:rPr>
          <w:rFonts w:hint="eastAsia" w:ascii="宋体"/>
          <w:bCs/>
          <w:i w:val="0"/>
          <w:iCs w:val="0"/>
          <w:color w:val="auto"/>
          <w:sz w:val="24"/>
          <w:szCs w:val="24"/>
          <w:highlight w:val="none"/>
        </w:rPr>
        <w:t>凭政府采购中标、成交通知书或政府采购合同向采购人提出此合同有融资需求，采购人在</w:t>
      </w:r>
      <w:r>
        <w:rPr>
          <w:rFonts w:hint="eastAsia" w:ascii="宋体" w:hAnsi="宋体"/>
          <w:bCs/>
          <w:i w:val="0"/>
          <w:iCs w:val="0"/>
          <w:color w:val="auto"/>
          <w:sz w:val="24"/>
          <w:szCs w:val="24"/>
          <w:highlight w:val="none"/>
        </w:rPr>
        <w:t>“苏采云”系统</w:t>
      </w:r>
      <w:r>
        <w:rPr>
          <w:rFonts w:hint="eastAsia" w:ascii="宋体"/>
          <w:bCs/>
          <w:i w:val="0"/>
          <w:iCs w:val="0"/>
          <w:color w:val="auto"/>
          <w:sz w:val="24"/>
          <w:szCs w:val="24"/>
          <w:highlight w:val="none"/>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2CE762EC">
      <w:pPr>
        <w:tabs>
          <w:tab w:val="left" w:pos="525"/>
          <w:tab w:val="left" w:pos="630"/>
          <w:tab w:val="left" w:pos="735"/>
          <w:tab w:val="left" w:pos="945"/>
          <w:tab w:val="left" w:pos="1080"/>
        </w:tabs>
        <w:spacing w:line="360" w:lineRule="auto"/>
        <w:ind w:firstLine="480"/>
        <w:rPr>
          <w:rFonts w:ascii="宋体"/>
          <w:bCs/>
          <w:i w:val="0"/>
          <w:iCs w:val="0"/>
          <w:color w:val="auto"/>
          <w:sz w:val="24"/>
          <w:szCs w:val="24"/>
          <w:highlight w:val="none"/>
        </w:rPr>
      </w:pPr>
      <w:r>
        <w:rPr>
          <w:rFonts w:hint="eastAsia" w:ascii="宋体"/>
          <w:bCs/>
          <w:i w:val="0"/>
          <w:iCs w:val="0"/>
          <w:color w:val="auto"/>
          <w:sz w:val="24"/>
          <w:szCs w:val="24"/>
          <w:highlight w:val="none"/>
        </w:rPr>
        <w:t>中标、成交供应商可根据自身情况，自行决定是否选择采用合同融资形式， 在无锡政府采购网——政采贷专栏提供的银行名录内自主选择合作银行。</w:t>
      </w:r>
    </w:p>
    <w:p w14:paraId="14E73FC8">
      <w:pPr>
        <w:numPr>
          <w:ilvl w:val="1"/>
          <w:numId w:val="0"/>
        </w:numPr>
        <w:tabs>
          <w:tab w:val="left" w:pos="525"/>
          <w:tab w:val="left" w:pos="945"/>
        </w:tabs>
        <w:spacing w:line="360" w:lineRule="auto"/>
        <w:ind w:left="0" w:leftChars="0" w:firstLine="525" w:firstLineChars="0"/>
        <w:rPr>
          <w:rFonts w:ascii="宋体" w:hAnsi="宋体" w:cs="宋体"/>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bidi="ar-SA"/>
        </w:rPr>
        <w:t>4.</w:t>
      </w:r>
      <w:r>
        <w:rPr>
          <w:rFonts w:hint="eastAsia" w:ascii="宋体"/>
          <w:bCs/>
          <w:i w:val="0"/>
          <w:iCs w:val="0"/>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047F651">
      <w:pPr>
        <w:numPr>
          <w:ilvl w:val="1"/>
          <w:numId w:val="0"/>
        </w:numPr>
        <w:tabs>
          <w:tab w:val="left" w:pos="525"/>
          <w:tab w:val="left" w:pos="945"/>
        </w:tabs>
        <w:spacing w:line="360" w:lineRule="auto"/>
        <w:ind w:left="0" w:leftChars="0" w:firstLine="480"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5.</w:t>
      </w:r>
      <w:r>
        <w:rPr>
          <w:rFonts w:hint="eastAsia" w:ascii="宋体" w:hAnsi="宋体" w:cs="宋体"/>
          <w:i w:val="0"/>
          <w:iCs w:val="0"/>
          <w:color w:val="auto"/>
          <w:sz w:val="24"/>
          <w:szCs w:val="24"/>
          <w:highlight w:val="none"/>
        </w:rPr>
        <w:t>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i w:val="0"/>
          <w:iCs w:val="0"/>
          <w:color w:val="auto"/>
          <w:sz w:val="24"/>
          <w:szCs w:val="24"/>
          <w:highlight w:val="none"/>
        </w:rPr>
        <w:t>采购人可在合同中约定，</w:t>
      </w:r>
      <w:r>
        <w:rPr>
          <w:rFonts w:hint="eastAsia" w:ascii="宋体" w:hAnsi="宋体" w:cs="宋体"/>
          <w:i w:val="0"/>
          <w:iCs w:val="0"/>
          <w:color w:val="auto"/>
          <w:sz w:val="24"/>
          <w:szCs w:val="24"/>
          <w:highlight w:val="none"/>
        </w:rPr>
        <w:t>在</w:t>
      </w:r>
      <w:r>
        <w:rPr>
          <w:rFonts w:hint="eastAsia" w:ascii="宋体"/>
          <w:bCs/>
          <w:i w:val="0"/>
          <w:iCs w:val="0"/>
          <w:color w:val="auto"/>
          <w:sz w:val="24"/>
          <w:szCs w:val="24"/>
          <w:highlight w:val="none"/>
        </w:rPr>
        <w:t>履约验收管理时，可对所提供的七种软硬件进行验收，必要时可以委托依法取得检测、认证资质的机构进行检测、认证。</w:t>
      </w:r>
    </w:p>
    <w:p w14:paraId="0EDAD2FB">
      <w:pPr>
        <w:numPr>
          <w:ilvl w:val="1"/>
          <w:numId w:val="0"/>
        </w:numPr>
        <w:tabs>
          <w:tab w:val="left" w:pos="525"/>
          <w:tab w:val="left" w:pos="945"/>
        </w:tabs>
        <w:spacing w:line="360" w:lineRule="auto"/>
        <w:ind w:left="0" w:leftChars="0" w:firstLine="480"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6.</w:t>
      </w:r>
      <w:r>
        <w:rPr>
          <w:rFonts w:hint="eastAsia" w:ascii="宋体"/>
          <w:bCs/>
          <w:i w:val="0"/>
          <w:iCs w:val="0"/>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57ACCF1">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7.</w:t>
      </w:r>
      <w:r>
        <w:rPr>
          <w:rFonts w:hint="eastAsia" w:ascii="宋体"/>
          <w:bCs/>
          <w:i w:val="0"/>
          <w:iCs w:val="0"/>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w:t>
      </w:r>
      <w:r>
        <w:rPr>
          <w:rFonts w:hint="eastAsia" w:ascii="宋体" w:hAnsi="Times New Roman" w:eastAsia="宋体" w:cs="Times New Roman"/>
          <w:bCs/>
          <w:i w:val="0"/>
          <w:iCs w:val="0"/>
          <w:color w:val="auto"/>
          <w:sz w:val="24"/>
          <w:szCs w:val="24"/>
          <w:highlight w:val="none"/>
        </w:rPr>
        <w:t>采购合同变更公告，但涉及国家秘密、商业秘密的信息和其他依法不得公开的信息除外。</w:t>
      </w:r>
    </w:p>
    <w:p w14:paraId="4AB0C1E6">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cs="Times New Roman"/>
          <w:bCs/>
          <w:i w:val="0"/>
          <w:iCs w:val="0"/>
          <w:color w:val="auto"/>
          <w:sz w:val="24"/>
          <w:szCs w:val="24"/>
          <w:highlight w:val="none"/>
          <w:lang w:val="en-US" w:eastAsia="zh-CN" w:bidi="ar-SA"/>
        </w:rPr>
        <w:t>8.</w:t>
      </w:r>
      <w:r>
        <w:rPr>
          <w:rFonts w:hint="eastAsia" w:ascii="宋体" w:hAnsi="宋体"/>
          <w:bCs/>
          <w:color w:val="auto"/>
          <w:sz w:val="24"/>
          <w:highlight w:val="none"/>
        </w:rPr>
        <w:t>政府采购中实施本国产品标准及相关政策</w:t>
      </w:r>
    </w:p>
    <w:p w14:paraId="3AF3A07B">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1）</w:t>
      </w:r>
      <w:r>
        <w:rPr>
          <w:rFonts w:hint="eastAsia" w:ascii="宋体" w:hAnsi="宋体"/>
          <w:bCs/>
          <w:color w:val="auto"/>
          <w:sz w:val="24"/>
          <w:highlight w:val="none"/>
        </w:rPr>
        <w:t>本项目对采购本国产品给予政策支持，具体内容见招标文件“第五章 评</w:t>
      </w:r>
      <w:r>
        <w:rPr>
          <w:rFonts w:hint="eastAsia" w:ascii="宋体" w:hAnsi="宋体"/>
          <w:bCs/>
          <w:color w:val="auto"/>
          <w:sz w:val="24"/>
          <w:highlight w:val="none"/>
          <w:lang w:eastAsia="zh-CN"/>
        </w:rPr>
        <w:t>分</w:t>
      </w:r>
      <w:r>
        <w:rPr>
          <w:rFonts w:hint="eastAsia" w:ascii="宋体" w:hAnsi="宋体"/>
          <w:bCs/>
          <w:color w:val="auto"/>
          <w:sz w:val="24"/>
          <w:highlight w:val="none"/>
        </w:rPr>
        <w:t>方法与评</w:t>
      </w:r>
      <w:r>
        <w:rPr>
          <w:rFonts w:hint="eastAsia" w:ascii="宋体" w:hAnsi="宋体"/>
          <w:bCs/>
          <w:color w:val="auto"/>
          <w:sz w:val="24"/>
          <w:highlight w:val="none"/>
          <w:lang w:eastAsia="zh-CN"/>
        </w:rPr>
        <w:t>分</w:t>
      </w:r>
      <w:r>
        <w:rPr>
          <w:rFonts w:hint="eastAsia" w:ascii="宋体" w:hAnsi="宋体"/>
          <w:bCs/>
          <w:color w:val="auto"/>
          <w:sz w:val="24"/>
          <w:highlight w:val="none"/>
        </w:rPr>
        <w:t>标准”。</w:t>
      </w:r>
    </w:p>
    <w:p w14:paraId="784FA4DB">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2</w:t>
      </w:r>
      <w:r>
        <w:rPr>
          <w:rFonts w:hint="eastAsia" w:ascii="宋体" w:hAnsi="宋体"/>
          <w:bCs/>
          <w:color w:val="auto"/>
          <w:sz w:val="24"/>
          <w:highlight w:val="none"/>
          <w:lang w:eastAsia="zh-CN"/>
        </w:rPr>
        <w:t>）</w:t>
      </w:r>
      <w:r>
        <w:rPr>
          <w:rFonts w:hint="eastAsia" w:ascii="宋体" w:hAnsi="宋体"/>
          <w:bCs/>
          <w:color w:val="auto"/>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F085">
      <w:pPr>
        <w:numPr>
          <w:ilvl w:val="1"/>
          <w:numId w:val="0"/>
        </w:numPr>
        <w:tabs>
          <w:tab w:val="left" w:pos="525"/>
          <w:tab w:val="left" w:pos="630"/>
          <w:tab w:val="left" w:pos="735"/>
          <w:tab w:val="left" w:pos="945"/>
        </w:tabs>
        <w:spacing w:line="360" w:lineRule="auto"/>
        <w:ind w:firstLine="480"/>
        <w:rPr>
          <w:rFonts w:hint="default" w:ascii="宋体" w:cs="Times New Roman"/>
          <w:bCs/>
          <w:i w:val="0"/>
          <w:iCs w:val="0"/>
          <w:color w:val="auto"/>
          <w:sz w:val="24"/>
          <w:szCs w:val="24"/>
          <w:highlight w:val="none"/>
          <w:lang w:val="en-US" w:eastAsia="zh-CN" w:bidi="ar-SA"/>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3</w:t>
      </w:r>
      <w:r>
        <w:rPr>
          <w:rFonts w:hint="eastAsia" w:ascii="宋体" w:hAnsi="宋体"/>
          <w:bCs/>
          <w:color w:val="auto"/>
          <w:sz w:val="24"/>
          <w:highlight w:val="none"/>
          <w:lang w:eastAsia="zh-CN"/>
        </w:rPr>
        <w:t>）</w:t>
      </w:r>
      <w:r>
        <w:rPr>
          <w:rFonts w:hint="eastAsia" w:ascii="宋体" w:hAnsi="宋体"/>
          <w:bCs/>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9982500">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i w:val="0"/>
          <w:iCs w:val="0"/>
          <w:color w:val="auto"/>
          <w:sz w:val="24"/>
          <w:szCs w:val="24"/>
          <w:highlight w:val="none"/>
        </w:rPr>
      </w:pPr>
      <w:r>
        <w:rPr>
          <w:rFonts w:hint="eastAsia" w:ascii="宋体" w:cs="Times New Roman"/>
          <w:bCs/>
          <w:i w:val="0"/>
          <w:iCs w:val="0"/>
          <w:color w:val="auto"/>
          <w:sz w:val="24"/>
          <w:szCs w:val="24"/>
          <w:highlight w:val="none"/>
          <w:lang w:val="en-US" w:eastAsia="zh-CN" w:bidi="ar-SA"/>
        </w:rPr>
        <w:t>9</w:t>
      </w:r>
      <w:r>
        <w:rPr>
          <w:rFonts w:hint="eastAsia" w:ascii="宋体" w:hAnsi="Times New Roman" w:eastAsia="宋体" w:cs="Times New Roman"/>
          <w:bCs/>
          <w:i w:val="0"/>
          <w:iCs w:val="0"/>
          <w:color w:val="auto"/>
          <w:sz w:val="24"/>
          <w:szCs w:val="24"/>
          <w:highlight w:val="none"/>
          <w:lang w:val="en-US" w:eastAsia="zh-CN" w:bidi="ar-SA"/>
        </w:rPr>
        <w:t>.</w:t>
      </w:r>
      <w:r>
        <w:rPr>
          <w:rFonts w:hint="eastAsia" w:ascii="宋体" w:hAnsi="Times New Roman" w:eastAsia="宋体" w:cs="Times New Roman"/>
          <w:bCs/>
          <w:i w:val="0"/>
          <w:iCs w:val="0"/>
          <w:color w:val="auto"/>
          <w:sz w:val="24"/>
          <w:szCs w:val="24"/>
          <w:highlight w:val="none"/>
        </w:rPr>
        <w:t>采购人原则上应当自收到发票后10个工作日内将资金支付到合同约定的供应商账户。</w:t>
      </w:r>
    </w:p>
    <w:p w14:paraId="67B2D6E3">
      <w:pPr>
        <w:rPr>
          <w:color w:val="auto"/>
        </w:rPr>
      </w:pPr>
    </w:p>
    <w:p w14:paraId="55D6CF1B">
      <w:pPr>
        <w:pStyle w:val="186"/>
        <w:pageBreakBefore/>
        <w:rPr>
          <w:rFonts w:hint="eastAsia" w:ascii="黑体" w:hAnsi="黑体" w:eastAsia="黑体"/>
          <w:b w:val="0"/>
          <w:i w:val="0"/>
          <w:iCs w:val="0"/>
          <w:color w:val="auto"/>
          <w:sz w:val="32"/>
          <w:szCs w:val="32"/>
          <w:highlight w:val="none"/>
          <w:lang w:eastAsia="zh-CN"/>
        </w:rPr>
      </w:pPr>
      <w:r>
        <w:rPr>
          <w:rFonts w:hint="eastAsia" w:ascii="黑体" w:hAnsi="黑体" w:eastAsia="黑体"/>
          <w:b w:val="0"/>
          <w:i w:val="0"/>
          <w:iCs w:val="0"/>
          <w:color w:val="auto"/>
          <w:sz w:val="32"/>
          <w:szCs w:val="32"/>
          <w:highlight w:val="none"/>
          <w:lang w:eastAsia="zh-CN"/>
        </w:rPr>
        <w:t>第四章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合同书（格式文本）</w:t>
      </w:r>
      <w:bookmarkEnd w:id="133"/>
    </w:p>
    <w:p w14:paraId="1A901542">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以下为中标后签订本项目合同的通用条款，中标人不得提出实质性的修改。</w:t>
      </w:r>
    </w:p>
    <w:p w14:paraId="131FD46E">
      <w:pPr>
        <w:spacing w:line="400" w:lineRule="exact"/>
        <w:ind w:firstLine="602"/>
        <w:jc w:val="center"/>
        <w:rPr>
          <w:rFonts w:ascii="宋体" w:hAnsi="宋体"/>
          <w:b/>
          <w:bCs/>
          <w:color w:val="auto"/>
          <w:sz w:val="30"/>
          <w:szCs w:val="20"/>
          <w:highlight w:val="none"/>
        </w:rPr>
      </w:pPr>
      <w:r>
        <w:rPr>
          <w:rFonts w:hint="eastAsia" w:ascii="宋体" w:hAnsi="宋体"/>
          <w:b/>
          <w:color w:val="auto"/>
          <w:sz w:val="30"/>
          <w:highlight w:val="none"/>
        </w:rPr>
        <w:t>江苏省政府采购合同（货物）（合同编号）</w:t>
      </w:r>
    </w:p>
    <w:p w14:paraId="4FE4A46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项目名称：                                       项目编号：</w:t>
      </w:r>
    </w:p>
    <w:p w14:paraId="6F829B3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甲方：（买方、需方、采购人）_________</w:t>
      </w:r>
    </w:p>
    <w:p w14:paraId="5AEBCAD3">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乙方：（卖方、供方、供应商）_________</w:t>
      </w:r>
    </w:p>
    <w:p w14:paraId="2E444BBE">
      <w:pPr>
        <w:spacing w:line="400" w:lineRule="exact"/>
        <w:ind w:firstLine="480"/>
        <w:rPr>
          <w:rFonts w:ascii="宋体" w:hAnsi="宋体" w:cs="Courier New"/>
          <w:b/>
          <w:color w:val="auto"/>
          <w:sz w:val="24"/>
          <w:szCs w:val="24"/>
          <w:highlight w:val="none"/>
        </w:rPr>
      </w:pP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rPr>
        <w:t>无锡市</w:t>
      </w:r>
      <w:r>
        <w:rPr>
          <w:rFonts w:hint="eastAsia" w:ascii="宋体" w:hAnsi="宋体" w:cs="Courier New"/>
          <w:color w:val="auto"/>
          <w:sz w:val="24"/>
          <w:szCs w:val="24"/>
          <w:highlight w:val="none"/>
          <w:lang w:eastAsia="zh-CN"/>
        </w:rPr>
        <w:t>惠山区政府</w:t>
      </w:r>
      <w:r>
        <w:rPr>
          <w:rFonts w:hint="eastAsia" w:ascii="宋体" w:hAnsi="宋体" w:cs="Courier New"/>
          <w:color w:val="auto"/>
          <w:sz w:val="24"/>
          <w:szCs w:val="24"/>
          <w:highlight w:val="none"/>
        </w:rPr>
        <w:t>中心</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项目公开招标的结果，签署本合同。</w:t>
      </w:r>
    </w:p>
    <w:p w14:paraId="188EA0EA">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一、</w:t>
      </w:r>
      <w:r>
        <w:rPr>
          <w:rFonts w:hint="eastAsia" w:ascii="宋体" w:hAnsi="宋体" w:cs="Courier New"/>
          <w:b/>
          <w:color w:val="auto"/>
          <w:sz w:val="24"/>
          <w:szCs w:val="24"/>
          <w:highlight w:val="none"/>
        </w:rPr>
        <w:t>合同</w:t>
      </w:r>
      <w:r>
        <w:rPr>
          <w:rFonts w:ascii="宋体" w:hAnsi="宋体" w:cs="Courier New"/>
          <w:b/>
          <w:color w:val="auto"/>
          <w:sz w:val="24"/>
          <w:szCs w:val="24"/>
          <w:highlight w:val="none"/>
        </w:rPr>
        <w:t>内容</w:t>
      </w:r>
    </w:p>
    <w:p w14:paraId="7F8C0EA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p>
    <w:p w14:paraId="2A71C59A">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 xml:space="preserve"> 标的质量：</w:t>
      </w:r>
    </w:p>
    <w:p w14:paraId="55ACBDA4">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1.3 标的数量（规模）：</w:t>
      </w:r>
    </w:p>
    <w:p w14:paraId="55E75A5E">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1.4 履行时间（期限）：</w:t>
      </w:r>
    </w:p>
    <w:p w14:paraId="75B4200A">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1.5 履行地点：</w:t>
      </w:r>
    </w:p>
    <w:p w14:paraId="62310660">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 履行方式：</w:t>
      </w:r>
    </w:p>
    <w:p w14:paraId="2F567AC7">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1.7 包装方式：</w:t>
      </w:r>
    </w:p>
    <w:p w14:paraId="073121C9">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二、合同金额</w:t>
      </w:r>
    </w:p>
    <w:p w14:paraId="3E4C65E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2.1</w:t>
      </w:r>
      <w:r>
        <w:rPr>
          <w:rFonts w:hAnsi="宋体"/>
          <w:color w:val="auto"/>
          <w:sz w:val="24"/>
          <w:szCs w:val="24"/>
          <w:highlight w:val="none"/>
        </w:rPr>
        <w:t>本合同金额为（大写）： _____________</w:t>
      </w:r>
      <w:r>
        <w:rPr>
          <w:rFonts w:hint="eastAsia" w:hAnsi="宋体"/>
          <w:color w:val="auto"/>
          <w:sz w:val="24"/>
          <w:szCs w:val="24"/>
          <w:highlight w:val="none"/>
        </w:rPr>
        <w:t>圆</w:t>
      </w:r>
      <w:r>
        <w:rPr>
          <w:rFonts w:hAnsi="宋体"/>
          <w:color w:val="auto"/>
          <w:sz w:val="24"/>
          <w:szCs w:val="24"/>
          <w:highlight w:val="none"/>
        </w:rPr>
        <w:t>（______元）人民币</w:t>
      </w:r>
      <w:r>
        <w:rPr>
          <w:rFonts w:hint="eastAsia" w:hAnsi="宋体"/>
          <w:color w:val="auto"/>
          <w:sz w:val="24"/>
          <w:szCs w:val="24"/>
          <w:highlight w:val="none"/>
        </w:rPr>
        <w:t>或其他币种</w:t>
      </w:r>
      <w:r>
        <w:rPr>
          <w:rFonts w:hAnsi="宋体"/>
          <w:color w:val="auto"/>
          <w:sz w:val="24"/>
          <w:szCs w:val="24"/>
          <w:highlight w:val="none"/>
        </w:rPr>
        <w:t>。</w:t>
      </w:r>
    </w:p>
    <w:p w14:paraId="39225755">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三、技术资料</w:t>
      </w:r>
    </w:p>
    <w:p w14:paraId="7AF78C3F">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3.1乙方应按招标文件规定的时间向甲方提供使用货物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的有关技术资料。</w:t>
      </w:r>
    </w:p>
    <w:p w14:paraId="3F5CB9A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AB26F8C">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四、知识产权</w:t>
      </w:r>
    </w:p>
    <w:p w14:paraId="41CCCE37">
      <w:pPr>
        <w:spacing w:line="400" w:lineRule="exact"/>
        <w:ind w:firstLine="480"/>
        <w:rPr>
          <w:rFonts w:hint="eastAsia" w:ascii="宋体" w:hAnsi="宋体"/>
          <w:color w:val="auto"/>
          <w:sz w:val="24"/>
          <w:highlight w:val="none"/>
        </w:rPr>
      </w:pPr>
      <w:r>
        <w:rPr>
          <w:rFonts w:hAnsi="宋体"/>
          <w:color w:val="auto"/>
          <w:sz w:val="24"/>
          <w:szCs w:val="24"/>
          <w:highlight w:val="none"/>
        </w:rPr>
        <w:t>4.1乙</w:t>
      </w:r>
      <w:r>
        <w:rPr>
          <w:rFonts w:hint="eastAsia" w:ascii="宋体" w:hAnsi="宋体"/>
          <w:color w:val="auto"/>
          <w:sz w:val="24"/>
          <w:highlight w:val="none"/>
        </w:rPr>
        <w:t>方应保证甲方在使用、接受本合同货物</w:t>
      </w:r>
      <w:r>
        <w:rPr>
          <w:rFonts w:hint="eastAsia" w:hAnsi="宋体"/>
          <w:color w:val="auto"/>
          <w:sz w:val="24"/>
          <w:szCs w:val="24"/>
          <w:highlight w:val="none"/>
        </w:rPr>
        <w:t>（包含与货物相关的服务）</w:t>
      </w:r>
      <w:r>
        <w:rPr>
          <w:rFonts w:hint="eastAsia" w:ascii="宋体" w:hAnsi="宋体"/>
          <w:color w:val="auto"/>
          <w:sz w:val="24"/>
          <w:highlight w:val="none"/>
        </w:rPr>
        <w:t>或其任何一部分时不受第三方提出侵犯其专利权、版权、商标权和工业设计权等知识产权的起诉。一旦出现侵权，由乙方负全部责任。</w:t>
      </w:r>
    </w:p>
    <w:p w14:paraId="275F292D">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（注：采购项目如涉及采购标的的知识产权归属、处理的，如订购、设计、定制开发的信息化建设项目等，应当约定知识产权的归属和处理方式）</w:t>
      </w:r>
    </w:p>
    <w:p w14:paraId="43B817D5">
      <w:pPr>
        <w:spacing w:line="400" w:lineRule="exact"/>
        <w:ind w:firstLine="482"/>
        <w:rPr>
          <w:rFonts w:ascii="宋体" w:hAnsi="宋体" w:cs="Courier New"/>
          <w:color w:val="auto"/>
          <w:sz w:val="24"/>
          <w:szCs w:val="24"/>
          <w:highlight w:val="none"/>
          <w:u w:val="single"/>
        </w:rPr>
      </w:pPr>
      <w:r>
        <w:rPr>
          <w:rFonts w:ascii="宋体" w:hAnsi="宋体" w:cs="Courier New"/>
          <w:b/>
          <w:color w:val="auto"/>
          <w:sz w:val="24"/>
          <w:szCs w:val="24"/>
          <w:highlight w:val="none"/>
        </w:rPr>
        <w:t>五、产权担保</w:t>
      </w:r>
    </w:p>
    <w:p w14:paraId="3965F99C">
      <w:pPr>
        <w:spacing w:line="400" w:lineRule="exact"/>
        <w:ind w:firstLine="480"/>
        <w:rPr>
          <w:rFonts w:ascii="宋体" w:hAnsi="宋体" w:cs="Courier New"/>
          <w:color w:val="auto"/>
          <w:sz w:val="24"/>
          <w:szCs w:val="24"/>
          <w:highlight w:val="none"/>
          <w:u w:val="single"/>
        </w:rPr>
      </w:pPr>
      <w:r>
        <w:rPr>
          <w:rFonts w:ascii="宋体" w:hAnsi="宋体" w:cs="Courier New"/>
          <w:color w:val="auto"/>
          <w:sz w:val="24"/>
          <w:szCs w:val="24"/>
          <w:highlight w:val="none"/>
        </w:rPr>
        <w:t>5.1 乙方保证所交付的货物</w:t>
      </w:r>
      <w:r>
        <w:rPr>
          <w:rFonts w:hint="eastAsia" w:ascii="宋体" w:hAnsi="宋体" w:cs="Courier New"/>
          <w:color w:val="auto"/>
          <w:sz w:val="24"/>
          <w:szCs w:val="24"/>
          <w:highlight w:val="none"/>
        </w:rPr>
        <w:t>（包含与货物相关的服务）</w:t>
      </w:r>
      <w:r>
        <w:rPr>
          <w:rFonts w:ascii="宋体" w:hAnsi="宋体" w:cs="Courier New"/>
          <w:color w:val="auto"/>
          <w:sz w:val="24"/>
          <w:szCs w:val="24"/>
          <w:highlight w:val="none"/>
        </w:rPr>
        <w:t>的所有权完全属于乙方且无任何抵押、查封等产权瑕疵。</w:t>
      </w:r>
    </w:p>
    <w:p w14:paraId="17872E3F">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六、履约保证金</w:t>
      </w:r>
    </w:p>
    <w:p w14:paraId="17147A51">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6.1 乙方交纳人民币__元作为本合同的履约保证金。</w:t>
      </w:r>
      <w:r>
        <w:rPr>
          <w:rFonts w:hint="eastAsia" w:ascii="宋体" w:hAnsi="宋体" w:cs="Courier New"/>
          <w:color w:val="auto"/>
          <w:sz w:val="24"/>
          <w:szCs w:val="24"/>
          <w:highlight w:val="none"/>
        </w:rPr>
        <w:t>（不得超过合同金额的10%）</w:t>
      </w:r>
    </w:p>
    <w:p w14:paraId="7A3B15D5">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6.2合同履行结束后，甲方应及时退还交纳的履约保证金。</w:t>
      </w:r>
    </w:p>
    <w:p w14:paraId="12A849D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6.2.1履约保证金退还方式：</w:t>
      </w:r>
    </w:p>
    <w:p w14:paraId="11C76E4B">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6.2.2履约保证金退还时间：</w:t>
      </w:r>
    </w:p>
    <w:p w14:paraId="690789E3">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6.2.3履约保证金退还条件：</w:t>
      </w:r>
    </w:p>
    <w:p w14:paraId="2859656D">
      <w:pPr>
        <w:spacing w:line="40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6.2.4履约保证金不予退还的情形：</w:t>
      </w:r>
    </w:p>
    <w:p w14:paraId="739ADB2A">
      <w:pPr>
        <w:spacing w:line="400" w:lineRule="exact"/>
        <w:ind w:firstLine="482"/>
        <w:rPr>
          <w:rFonts w:ascii="宋体" w:hAnsi="宋体" w:eastAsia="仿宋_GB2312"/>
          <w:b/>
          <w:color w:val="auto"/>
          <w:sz w:val="24"/>
          <w:szCs w:val="24"/>
          <w:highlight w:val="none"/>
        </w:rPr>
      </w:pPr>
      <w:r>
        <w:rPr>
          <w:rFonts w:hint="eastAsia" w:ascii="宋体" w:hAnsi="宋体"/>
          <w:b/>
          <w:color w:val="auto"/>
          <w:sz w:val="24"/>
          <w:szCs w:val="24"/>
          <w:highlight w:val="none"/>
        </w:rPr>
        <w:t>七、合同转包或分包</w:t>
      </w:r>
    </w:p>
    <w:p w14:paraId="6E48677B">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7.1乙方不得将合同标的转包给他人履行。</w:t>
      </w:r>
    </w:p>
    <w:p w14:paraId="5586A514">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7.2乙方应按招标文件要求，如项目不允许分包的，乙方不得将合同标的分包给他人履行；如项目允许分包的，乙方应当按照投标文件中提供的分包意向协议履行合同。</w:t>
      </w:r>
    </w:p>
    <w:p w14:paraId="607DF5DA">
      <w:pPr>
        <w:spacing w:line="400" w:lineRule="exact"/>
        <w:ind w:firstLine="480"/>
        <w:rPr>
          <w:rFonts w:ascii="宋体" w:hAnsi="宋体" w:eastAsia="仿宋_GB2312"/>
          <w:color w:val="auto"/>
          <w:sz w:val="24"/>
          <w:szCs w:val="24"/>
          <w:highlight w:val="none"/>
        </w:rPr>
      </w:pPr>
      <w:r>
        <w:rPr>
          <w:rFonts w:ascii="宋体" w:hAnsi="宋体"/>
          <w:color w:val="auto"/>
          <w:sz w:val="24"/>
          <w:szCs w:val="24"/>
          <w:highlight w:val="none"/>
        </w:rPr>
        <w:t>7.3</w:t>
      </w:r>
      <w:r>
        <w:rPr>
          <w:rFonts w:hint="eastAsia" w:ascii="宋体" w:hAnsi="宋体"/>
          <w:color w:val="auto"/>
          <w:sz w:val="24"/>
          <w:szCs w:val="24"/>
          <w:highlight w:val="none"/>
        </w:rPr>
        <w:t>乙方如有转包或未经甲方同意的分包行为，甲方有权给予终止合同。</w:t>
      </w:r>
    </w:p>
    <w:p w14:paraId="64836895">
      <w:pPr>
        <w:spacing w:line="400" w:lineRule="exact"/>
        <w:ind w:firstLine="482"/>
        <w:rPr>
          <w:rFonts w:ascii="宋体" w:hAnsi="宋体" w:cs="Courier New"/>
          <w:b/>
          <w:color w:val="auto"/>
          <w:sz w:val="24"/>
          <w:szCs w:val="24"/>
          <w:highlight w:val="none"/>
        </w:rPr>
      </w:pPr>
      <w:r>
        <w:rPr>
          <w:rFonts w:hint="eastAsia" w:ascii="宋体" w:hAnsi="宋体" w:cs="Courier New"/>
          <w:b/>
          <w:color w:val="auto"/>
          <w:sz w:val="24"/>
          <w:szCs w:val="24"/>
          <w:highlight w:val="none"/>
        </w:rPr>
        <w:t>八</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合同款项</w:t>
      </w:r>
      <w:r>
        <w:rPr>
          <w:rFonts w:ascii="宋体" w:hAnsi="宋体" w:cs="Courier New"/>
          <w:b/>
          <w:color w:val="auto"/>
          <w:sz w:val="24"/>
          <w:szCs w:val="24"/>
          <w:highlight w:val="none"/>
        </w:rPr>
        <w:t>支付</w:t>
      </w:r>
    </w:p>
    <w:p w14:paraId="408864A2">
      <w:pPr>
        <w:spacing w:line="400" w:lineRule="exact"/>
        <w:ind w:firstLine="480"/>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.1</w:t>
      </w:r>
      <w:r>
        <w:rPr>
          <w:rFonts w:hint="eastAsia" w:ascii="宋体" w:hAnsi="宋体" w:cs="Courier New"/>
          <w:bCs/>
          <w:color w:val="auto"/>
          <w:sz w:val="24"/>
          <w:szCs w:val="24"/>
          <w:highlight w:val="none"/>
        </w:rPr>
        <w:t>合同款项的支付方式及进度安排</w:t>
      </w:r>
    </w:p>
    <w:p w14:paraId="4E87A1B6">
      <w:pPr>
        <w:spacing w:line="400" w:lineRule="exact"/>
        <w:ind w:firstLine="480"/>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8．1.1预付款支付时间：合同签订后</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日内，预付款支付比例：合同金额的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w:t>
      </w:r>
    </w:p>
    <w:p w14:paraId="723FEBCF">
      <w:pPr>
        <w:spacing w:line="400" w:lineRule="exact"/>
        <w:ind w:firstLine="480"/>
        <w:rPr>
          <w:rFonts w:hint="eastAsia" w:ascii="宋体" w:hAnsi="宋体" w:cs="Courier New"/>
          <w:color w:val="auto"/>
          <w:sz w:val="24"/>
          <w:szCs w:val="24"/>
          <w:highlight w:val="none"/>
        </w:rPr>
      </w:pPr>
      <w:r>
        <w:rPr>
          <w:rFonts w:hint="eastAsia" w:ascii="宋体" w:hAnsi="宋体" w:cs="Courier New"/>
          <w:bCs/>
          <w:color w:val="auto"/>
          <w:sz w:val="24"/>
          <w:szCs w:val="24"/>
          <w:highlight w:val="none"/>
        </w:rPr>
        <w:t>8.1.2尾款支付时间：产品验收通过,采购人收到发票后10个工作日内，尾款支付比例：合同金额的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w:t>
      </w:r>
    </w:p>
    <w:p w14:paraId="72380D6F">
      <w:pPr>
        <w:spacing w:line="400" w:lineRule="exact"/>
        <w:ind w:firstLine="480"/>
        <w:rPr>
          <w:rFonts w:ascii="宋体" w:hAnsi="宋体" w:cs="Courier New"/>
          <w:bCs/>
          <w:color w:val="auto"/>
          <w:sz w:val="24"/>
          <w:szCs w:val="24"/>
          <w:highlight w:val="none"/>
        </w:rPr>
      </w:pPr>
      <w:r>
        <w:rPr>
          <w:rFonts w:hint="eastAsia" w:ascii="宋体" w:hAnsi="宋体" w:cs="Courier New"/>
          <w:bCs/>
          <w:color w:val="auto"/>
          <w:sz w:val="24"/>
          <w:szCs w:val="24"/>
          <w:highlight w:val="none"/>
        </w:rPr>
        <w:t>8</w:t>
      </w:r>
      <w:r>
        <w:rPr>
          <w:rFonts w:ascii="宋体" w:hAnsi="宋体" w:cs="Courier New"/>
          <w:bCs/>
          <w:color w:val="auto"/>
          <w:sz w:val="24"/>
          <w:szCs w:val="24"/>
          <w:highlight w:val="none"/>
        </w:rPr>
        <w:t>.2</w:t>
      </w:r>
      <w:r>
        <w:rPr>
          <w:rFonts w:ascii="宋体" w:hAnsi="宋体" w:cs="Courier New"/>
          <w:color w:val="auto"/>
          <w:sz w:val="24"/>
          <w:szCs w:val="24"/>
          <w:highlight w:val="none"/>
        </w:rPr>
        <w:t>当采购数量与实际使用数量不一致时，</w:t>
      </w:r>
      <w:r>
        <w:rPr>
          <w:rFonts w:hint="eastAsia" w:ascii="宋体" w:hAnsi="宋体" w:cs="Courier New"/>
          <w:color w:val="auto"/>
          <w:sz w:val="24"/>
          <w:szCs w:val="24"/>
          <w:highlight w:val="none"/>
        </w:rPr>
        <w:t>乙方</w:t>
      </w:r>
      <w:r>
        <w:rPr>
          <w:rFonts w:ascii="宋体" w:hAnsi="宋体" w:cs="Courier New"/>
          <w:color w:val="auto"/>
          <w:sz w:val="24"/>
          <w:szCs w:val="24"/>
          <w:highlight w:val="none"/>
        </w:rPr>
        <w:t>应根据实际使用量供货，合同的最终结算金额按实际使用量乘以成交单价进行计算。</w:t>
      </w:r>
    </w:p>
    <w:p w14:paraId="0A454827">
      <w:pPr>
        <w:spacing w:line="400" w:lineRule="exact"/>
        <w:ind w:firstLine="482"/>
        <w:rPr>
          <w:rFonts w:ascii="宋体" w:hAnsi="宋体" w:eastAsia="仿宋_GB2312"/>
          <w:b/>
          <w:color w:val="auto"/>
          <w:sz w:val="24"/>
          <w:szCs w:val="24"/>
          <w:highlight w:val="none"/>
        </w:rPr>
      </w:pPr>
      <w:r>
        <w:rPr>
          <w:rFonts w:hint="eastAsia" w:ascii="宋体" w:hAnsi="宋体"/>
          <w:b/>
          <w:color w:val="auto"/>
          <w:sz w:val="24"/>
          <w:szCs w:val="24"/>
          <w:highlight w:val="none"/>
        </w:rPr>
        <w:t>九、税费</w:t>
      </w:r>
    </w:p>
    <w:p w14:paraId="375A42A7">
      <w:pPr>
        <w:spacing w:line="400" w:lineRule="exact"/>
        <w:ind w:firstLine="480"/>
        <w:rPr>
          <w:rFonts w:ascii="宋体" w:hAnsi="宋体" w:eastAsia="仿宋_GB2312"/>
          <w:color w:val="auto"/>
          <w:sz w:val="24"/>
          <w:szCs w:val="24"/>
          <w:highlight w:val="none"/>
        </w:rPr>
      </w:pPr>
      <w:r>
        <w:rPr>
          <w:rFonts w:hint="eastAsia" w:ascii="宋体" w:hAnsi="宋体"/>
          <w:color w:val="auto"/>
          <w:sz w:val="24"/>
          <w:szCs w:val="24"/>
          <w:highlight w:val="none"/>
        </w:rPr>
        <w:t>9</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742036C8">
      <w:pPr>
        <w:spacing w:line="400" w:lineRule="exact"/>
        <w:ind w:firstLine="482"/>
        <w:rPr>
          <w:rFonts w:ascii="宋体" w:hAnsi="宋体" w:cs="Courier New"/>
          <w:color w:val="auto"/>
          <w:sz w:val="24"/>
          <w:szCs w:val="24"/>
          <w:highlight w:val="none"/>
        </w:rPr>
      </w:pPr>
      <w:r>
        <w:rPr>
          <w:rFonts w:ascii="宋体" w:hAnsi="宋体" w:cs="Courier New"/>
          <w:b/>
          <w:color w:val="auto"/>
          <w:sz w:val="24"/>
          <w:szCs w:val="24"/>
          <w:highlight w:val="none"/>
        </w:rPr>
        <w:t>十、质量</w:t>
      </w:r>
      <w:r>
        <w:rPr>
          <w:rFonts w:hint="eastAsia" w:ascii="宋体" w:hAnsi="宋体" w:cs="Courier New"/>
          <w:b/>
          <w:color w:val="auto"/>
          <w:sz w:val="24"/>
          <w:szCs w:val="24"/>
          <w:highlight w:val="none"/>
        </w:rPr>
        <w:t>保修范围和保修期</w:t>
      </w:r>
      <w:r>
        <w:rPr>
          <w:rFonts w:ascii="宋体" w:hAnsi="宋体" w:cs="Courier New"/>
          <w:b/>
          <w:color w:val="auto"/>
          <w:sz w:val="24"/>
          <w:szCs w:val="24"/>
          <w:highlight w:val="none"/>
        </w:rPr>
        <w:t>及售后服务</w:t>
      </w:r>
    </w:p>
    <w:p w14:paraId="19BBDD8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.1 乙方应按招标文件规定的货物性能、技术要求、质量标准向甲方提供未经使用的全新产品。</w:t>
      </w:r>
    </w:p>
    <w:p w14:paraId="3EA168B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.2 乙方提供的货物在质量期内因货物本身的质量问题发生故障，乙方应负责免费更换。对达不到技术要求者，根据实际情况，经双方协商，可按以下办法处理：</w:t>
      </w:r>
    </w:p>
    <w:p w14:paraId="791F99B4">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⑴更换：由乙方承担所发生的全部费用。</w:t>
      </w:r>
    </w:p>
    <w:p w14:paraId="190F18D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⑵贬值处理：由甲乙双方合议定价。</w:t>
      </w:r>
    </w:p>
    <w:p w14:paraId="3E40B0B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⑶退货处理：乙方应退还甲方支付的合同款，同时应承担该货物的直接费用（运输、保险、检验、货款利息及银行手续费等）。</w:t>
      </w:r>
    </w:p>
    <w:p w14:paraId="430CA6E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.3 如在使用过程中发生质量问题，乙方在接到甲方通知后在_________小时内到达甲方现场。</w:t>
      </w:r>
    </w:p>
    <w:p w14:paraId="4937E74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.4 在质保期内，乙方应对货物出现的质量及安全问题负责处理解决并承担一切费用。</w:t>
      </w:r>
    </w:p>
    <w:p w14:paraId="55F276F9">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0</w:t>
      </w:r>
      <w:r>
        <w:rPr>
          <w:rFonts w:ascii="宋体" w:hAnsi="宋体" w:cs="Courier New"/>
          <w:color w:val="auto"/>
          <w:sz w:val="24"/>
          <w:szCs w:val="24"/>
          <w:highlight w:val="none"/>
        </w:rPr>
        <w:t>.5上述的货物免费保修期为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年（自交货验收合格之日起计），因人为因素出现的故障不在免费保修范围内。超过保修期的机器设备，终生维修，维修时只收部件成本费。</w:t>
      </w:r>
    </w:p>
    <w:p w14:paraId="3464457B">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一</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项目</w:t>
      </w:r>
      <w:r>
        <w:rPr>
          <w:rFonts w:ascii="宋体" w:hAnsi="宋体" w:cs="Courier New"/>
          <w:b/>
          <w:color w:val="auto"/>
          <w:sz w:val="24"/>
          <w:szCs w:val="24"/>
          <w:highlight w:val="none"/>
        </w:rPr>
        <w:t>验收</w:t>
      </w:r>
    </w:p>
    <w:p w14:paraId="48B2B9B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11.1 甲方依法组织履约验收工作。</w:t>
      </w:r>
    </w:p>
    <w:p w14:paraId="10DF42B4">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6520AAC">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11.3 对于实际使用人和甲方分离的项目，甲方邀请实际使用人参与验收。</w:t>
      </w:r>
    </w:p>
    <w:p w14:paraId="7CAA479B">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11.4 如有必要，甲方邀请参加本项目的其他供应商或第三方专业机构及专家参与验收，相关意见将作为验收书的参考资料。</w:t>
      </w:r>
    </w:p>
    <w:p w14:paraId="427AD379">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57E98CE">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094629A">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二</w:t>
      </w:r>
      <w:r>
        <w:rPr>
          <w:rFonts w:ascii="宋体" w:hAnsi="宋体" w:cs="Courier New"/>
          <w:b/>
          <w:color w:val="auto"/>
          <w:sz w:val="24"/>
          <w:szCs w:val="24"/>
          <w:highlight w:val="none"/>
        </w:rPr>
        <w:t>、货物</w:t>
      </w:r>
      <w:r>
        <w:rPr>
          <w:rFonts w:hint="eastAsia" w:ascii="宋体" w:hAnsi="宋体" w:cs="Courier New"/>
          <w:b/>
          <w:color w:val="auto"/>
          <w:sz w:val="24"/>
          <w:szCs w:val="24"/>
          <w:highlight w:val="none"/>
        </w:rPr>
        <w:t>的</w:t>
      </w:r>
      <w:r>
        <w:rPr>
          <w:rFonts w:ascii="宋体" w:hAnsi="宋体" w:cs="Courier New"/>
          <w:b/>
          <w:color w:val="auto"/>
          <w:sz w:val="24"/>
          <w:szCs w:val="24"/>
          <w:highlight w:val="none"/>
        </w:rPr>
        <w:t>包装、发运及运输</w:t>
      </w:r>
    </w:p>
    <w:p w14:paraId="4449C62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乙方对货物的包装应符合《商品包装政府采购需求标准（试行）》、《快递包装政府采购需求标准（试行）》的规定。</w:t>
      </w:r>
    </w:p>
    <w:p w14:paraId="49ABB9F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.2 使用说明书、质量检验证明书、随配附件和工具以及清单一并附于货物内。</w:t>
      </w:r>
    </w:p>
    <w:p w14:paraId="006B082D">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.3 乙方在货物发运手续办理完毕后24小时内或货到甲方48小时前通知甲方，以准备接货。</w:t>
      </w:r>
    </w:p>
    <w:p w14:paraId="0870EB93">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.4 货物在交付甲方前发生的风险均由乙方负责。</w:t>
      </w:r>
    </w:p>
    <w:p w14:paraId="568767B9">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2</w:t>
      </w:r>
      <w:r>
        <w:rPr>
          <w:rFonts w:ascii="宋体" w:hAnsi="宋体" w:cs="Courier New"/>
          <w:color w:val="auto"/>
          <w:sz w:val="24"/>
          <w:szCs w:val="24"/>
          <w:highlight w:val="none"/>
        </w:rPr>
        <w:t>.5 货物在规定的交付期限内由乙方送达甲方指定的地点视为交付，乙方同时需通知甲方货物已送达。</w:t>
      </w:r>
    </w:p>
    <w:p w14:paraId="1670F914">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三</w:t>
      </w:r>
      <w:r>
        <w:rPr>
          <w:rFonts w:ascii="宋体" w:hAnsi="宋体" w:cs="Courier New"/>
          <w:b/>
          <w:color w:val="auto"/>
          <w:sz w:val="24"/>
          <w:szCs w:val="24"/>
          <w:highlight w:val="none"/>
        </w:rPr>
        <w:t>、违约责任</w:t>
      </w:r>
    </w:p>
    <w:p w14:paraId="7607E4F7">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的违约金。</w:t>
      </w:r>
    </w:p>
    <w:p w14:paraId="799784D0">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向乙方支付违约金。</w:t>
      </w:r>
    </w:p>
    <w:p w14:paraId="4B23EB26">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p>
    <w:p w14:paraId="767F5391">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w:t>
      </w:r>
      <w:r>
        <w:rPr>
          <w:rFonts w:ascii="宋体" w:hAnsi="宋体" w:cs="Courier New"/>
          <w:color w:val="auto"/>
          <w:sz w:val="24"/>
          <w:szCs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46B0A76">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四</w:t>
      </w:r>
      <w:r>
        <w:rPr>
          <w:rFonts w:ascii="宋体" w:hAnsi="宋体" w:cs="Courier New"/>
          <w:b/>
          <w:color w:val="auto"/>
          <w:sz w:val="24"/>
          <w:szCs w:val="24"/>
          <w:highlight w:val="none"/>
        </w:rPr>
        <w:t>、不可抗力事件处理</w:t>
      </w:r>
    </w:p>
    <w:p w14:paraId="7A67442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.1 在合同有效期内，任何一方因不可抗力事件导致不能履行合同，则合同履行期可延长，其延长期与不可抗力影响期相同。</w:t>
      </w:r>
    </w:p>
    <w:p w14:paraId="5D5EDAEE">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.2 不可抗力事件发生后，应立即通知对方，并寄送有关权威机构出具的证明。</w:t>
      </w:r>
    </w:p>
    <w:p w14:paraId="54999C86">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w:t>
      </w:r>
      <w:r>
        <w:rPr>
          <w:rFonts w:ascii="宋体" w:hAnsi="宋体" w:cs="Courier New"/>
          <w:color w:val="auto"/>
          <w:sz w:val="24"/>
          <w:szCs w:val="24"/>
          <w:highlight w:val="none"/>
        </w:rPr>
        <w:t>.3 不可抗力事件延续120天以上，双方应通过友好协商，确定是否继续履行合同。</w:t>
      </w:r>
    </w:p>
    <w:p w14:paraId="04CC04D3">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五</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解决争议的方法</w:t>
      </w:r>
    </w:p>
    <w:p w14:paraId="47ABB6E4">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5</w:t>
      </w:r>
      <w:r>
        <w:rPr>
          <w:rFonts w:ascii="宋体" w:hAnsi="宋体" w:cs="Courier New"/>
          <w:color w:val="auto"/>
          <w:sz w:val="24"/>
          <w:szCs w:val="24"/>
          <w:highlight w:val="none"/>
        </w:rPr>
        <w:t>.1</w:t>
      </w:r>
      <w:r>
        <w:rPr>
          <w:rFonts w:hint="eastAsia" w:ascii="宋体" w:hAnsi="宋体" w:cs="Courier New"/>
          <w:color w:val="auto"/>
          <w:sz w:val="24"/>
          <w:szCs w:val="24"/>
          <w:highlight w:val="none"/>
        </w:rPr>
        <w:t>甲乙</w:t>
      </w:r>
      <w:r>
        <w:rPr>
          <w:rFonts w:ascii="宋体" w:hAnsi="宋体" w:cs="Courier New"/>
          <w:color w:val="auto"/>
          <w:sz w:val="24"/>
          <w:szCs w:val="24"/>
          <w:highlight w:val="none"/>
        </w:rPr>
        <w:t>双方</w:t>
      </w:r>
      <w:r>
        <w:rPr>
          <w:rFonts w:hint="eastAsia" w:ascii="宋体" w:hAnsi="宋体" w:cs="Courier New"/>
          <w:color w:val="auto"/>
          <w:sz w:val="24"/>
          <w:szCs w:val="24"/>
          <w:highlight w:val="none"/>
        </w:rPr>
        <w:t>因</w:t>
      </w:r>
      <w:r>
        <w:rPr>
          <w:rFonts w:ascii="宋体" w:hAnsi="宋体" w:cs="Courier New"/>
          <w:color w:val="auto"/>
          <w:sz w:val="24"/>
          <w:szCs w:val="24"/>
          <w:highlight w:val="none"/>
        </w:rPr>
        <w:t>合同</w:t>
      </w:r>
      <w:r>
        <w:rPr>
          <w:rFonts w:hint="eastAsia" w:ascii="宋体" w:hAnsi="宋体" w:cs="Courier New"/>
          <w:color w:val="auto"/>
          <w:sz w:val="24"/>
          <w:szCs w:val="24"/>
          <w:highlight w:val="none"/>
        </w:rPr>
        <w:t>签订、履行而</w:t>
      </w:r>
      <w:r>
        <w:rPr>
          <w:rFonts w:ascii="宋体" w:hAnsi="宋体" w:cs="Courier New"/>
          <w:color w:val="auto"/>
          <w:sz w:val="24"/>
          <w:szCs w:val="24"/>
          <w:highlight w:val="none"/>
        </w:rPr>
        <w:t>发生的一切争议，应通过</w:t>
      </w:r>
      <w:r>
        <w:rPr>
          <w:rFonts w:hint="eastAsia" w:ascii="宋体" w:hAnsi="宋体" w:cs="Courier New"/>
          <w:color w:val="auto"/>
          <w:sz w:val="24"/>
          <w:szCs w:val="24"/>
          <w:highlight w:val="none"/>
        </w:rPr>
        <w:t>友好</w:t>
      </w:r>
      <w:r>
        <w:rPr>
          <w:rFonts w:ascii="宋体" w:hAnsi="宋体" w:cs="Courier New"/>
          <w:color w:val="auto"/>
          <w:sz w:val="24"/>
          <w:szCs w:val="24"/>
          <w:highlight w:val="none"/>
        </w:rPr>
        <w:t>协商解决。如协商不成</w:t>
      </w:r>
      <w:r>
        <w:rPr>
          <w:rFonts w:hint="eastAsia" w:ascii="宋体" w:hAnsi="宋体" w:cs="Courier New"/>
          <w:color w:val="auto"/>
          <w:sz w:val="24"/>
          <w:szCs w:val="24"/>
          <w:highlight w:val="none"/>
        </w:rPr>
        <w:t>由甲方住所地人民</w:t>
      </w:r>
      <w:r>
        <w:rPr>
          <w:rFonts w:ascii="宋体" w:hAnsi="宋体" w:cs="Courier New"/>
          <w:color w:val="auto"/>
          <w:sz w:val="24"/>
          <w:szCs w:val="24"/>
          <w:highlight w:val="none"/>
        </w:rPr>
        <w:t>法院</w:t>
      </w:r>
      <w:r>
        <w:rPr>
          <w:rFonts w:hint="eastAsia" w:ascii="宋体" w:hAnsi="宋体" w:cs="Courier New"/>
          <w:color w:val="auto"/>
          <w:sz w:val="24"/>
          <w:szCs w:val="24"/>
          <w:highlight w:val="none"/>
        </w:rPr>
        <w:t>管辖。</w:t>
      </w:r>
    </w:p>
    <w:p w14:paraId="1436288D">
      <w:pPr>
        <w:spacing w:line="400" w:lineRule="exact"/>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六</w:t>
      </w:r>
      <w:r>
        <w:rPr>
          <w:rFonts w:ascii="宋体" w:hAnsi="宋体" w:cs="Courier New"/>
          <w:b/>
          <w:color w:val="auto"/>
          <w:sz w:val="24"/>
          <w:szCs w:val="24"/>
          <w:highlight w:val="none"/>
        </w:rPr>
        <w:t>、合同生效及其它</w:t>
      </w:r>
    </w:p>
    <w:p w14:paraId="52EA546C">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.1 合同经双方法定代表人或授权委托代</w:t>
      </w:r>
      <w:r>
        <w:rPr>
          <w:rFonts w:hint="eastAsia" w:ascii="宋体" w:hAnsi="宋体" w:cs="Courier New"/>
          <w:color w:val="auto"/>
          <w:sz w:val="24"/>
          <w:szCs w:val="24"/>
          <w:highlight w:val="none"/>
        </w:rPr>
        <w:t>表</w:t>
      </w:r>
      <w:r>
        <w:rPr>
          <w:rFonts w:ascii="宋体" w:hAnsi="宋体" w:cs="Courier New"/>
          <w:color w:val="auto"/>
          <w:sz w:val="24"/>
          <w:szCs w:val="24"/>
          <w:highlight w:val="none"/>
        </w:rPr>
        <w:t>人签字并加盖单位公章后生效。</w:t>
      </w:r>
    </w:p>
    <w:p w14:paraId="74F1BFFA">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.2本合同未尽事宜，遵照</w:t>
      </w:r>
      <w:r>
        <w:rPr>
          <w:rFonts w:hint="eastAsia" w:ascii="宋体" w:hAnsi="宋体" w:cs="Courier New"/>
          <w:color w:val="auto"/>
          <w:sz w:val="24"/>
          <w:szCs w:val="24"/>
          <w:highlight w:val="none"/>
        </w:rPr>
        <w:t>《中华人民共和国民法典》、《中华人民共和国政府采购法》</w:t>
      </w:r>
      <w:r>
        <w:rPr>
          <w:rFonts w:ascii="宋体" w:hAnsi="宋体" w:cs="Courier New"/>
          <w:color w:val="auto"/>
          <w:sz w:val="24"/>
          <w:szCs w:val="24"/>
          <w:highlight w:val="none"/>
        </w:rPr>
        <w:t>有关条文执行。</w:t>
      </w:r>
    </w:p>
    <w:p w14:paraId="7729BB28">
      <w:pPr>
        <w:spacing w:line="400" w:lineRule="exact"/>
        <w:ind w:firstLine="48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w:t>
      </w:r>
      <w:r>
        <w:rPr>
          <w:rFonts w:ascii="宋体" w:hAnsi="宋体" w:cs="Courier New"/>
          <w:color w:val="auto"/>
          <w:sz w:val="24"/>
          <w:szCs w:val="24"/>
          <w:highlight w:val="none"/>
        </w:rPr>
        <w:t>.</w:t>
      </w:r>
      <w:r>
        <w:rPr>
          <w:rFonts w:hint="eastAsia" w:ascii="宋体" w:hAnsi="宋体" w:cs="Courier New"/>
          <w:color w:val="auto"/>
          <w:sz w:val="24"/>
          <w:szCs w:val="24"/>
          <w:highlight w:val="none"/>
        </w:rPr>
        <w:t>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两</w:t>
      </w:r>
      <w:r>
        <w:rPr>
          <w:rFonts w:ascii="宋体" w:hAnsi="宋体" w:cs="Courier New"/>
          <w:color w:val="auto"/>
          <w:sz w:val="24"/>
          <w:szCs w:val="24"/>
          <w:highlight w:val="none"/>
        </w:rPr>
        <w:t>份，具有同等法律效力，甲</w:t>
      </w:r>
      <w:r>
        <w:rPr>
          <w:rFonts w:hint="eastAsia" w:ascii="宋体" w:hAnsi="宋体" w:cs="Courier New"/>
          <w:color w:val="auto"/>
          <w:sz w:val="24"/>
          <w:szCs w:val="24"/>
          <w:highlight w:val="none"/>
        </w:rPr>
        <w:t>方、</w:t>
      </w:r>
      <w:r>
        <w:rPr>
          <w:rFonts w:ascii="宋体" w:hAnsi="宋体" w:cs="Courier New"/>
          <w:color w:val="auto"/>
          <w:sz w:val="24"/>
          <w:szCs w:val="24"/>
          <w:highlight w:val="none"/>
        </w:rPr>
        <w:t>乙方各执一份。</w:t>
      </w:r>
    </w:p>
    <w:p w14:paraId="33C52672">
      <w:pPr>
        <w:spacing w:line="400" w:lineRule="exact"/>
        <w:ind w:left="480" w:hanging="480"/>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p>
    <w:p w14:paraId="59603044">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p>
    <w:p w14:paraId="1448C569">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w:t>
      </w:r>
    </w:p>
    <w:p w14:paraId="7EBF2A58">
      <w:pPr>
        <w:spacing w:line="400" w:lineRule="exact"/>
        <w:ind w:firstLine="240"/>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p>
    <w:p w14:paraId="6A15BFD7">
      <w:pPr>
        <w:spacing w:line="400" w:lineRule="exact"/>
        <w:jc w:val="center"/>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p>
    <w:p w14:paraId="750D366D">
      <w:pPr>
        <w:spacing w:line="400" w:lineRule="exact"/>
        <w:jc w:val="center"/>
        <w:rPr>
          <w:rFonts w:hint="eastAsia" w:ascii="宋体" w:hAnsi="宋体" w:cs="Courier New"/>
          <w:color w:val="auto"/>
          <w:sz w:val="24"/>
          <w:szCs w:val="24"/>
          <w:highlight w:val="none"/>
        </w:rPr>
      </w:pPr>
    </w:p>
    <w:p w14:paraId="441EDECA">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日</w:t>
      </w:r>
    </w:p>
    <w:p w14:paraId="29AC848D">
      <w:pPr>
        <w:spacing w:line="400" w:lineRule="exact"/>
        <w:ind w:firstLine="480"/>
        <w:rPr>
          <w:rFonts w:hint="eastAsia" w:ascii="宋体" w:hAnsi="宋体" w:cs="Courier New"/>
          <w:color w:val="auto"/>
          <w:sz w:val="24"/>
          <w:szCs w:val="24"/>
          <w:highlight w:val="none"/>
        </w:rPr>
      </w:pPr>
    </w:p>
    <w:p w14:paraId="0A0E10A5">
      <w:pPr>
        <w:spacing w:line="400" w:lineRule="exact"/>
        <w:ind w:firstLine="480"/>
        <w:rPr>
          <w:rFonts w:ascii="宋体" w:hAnsi="宋体"/>
          <w:bCs/>
          <w:color w:val="auto"/>
          <w:sz w:val="24"/>
          <w:szCs w:val="24"/>
          <w:highlight w:val="none"/>
        </w:rPr>
      </w:pPr>
      <w:r>
        <w:rPr>
          <w:rFonts w:hint="eastAsia" w:ascii="宋体" w:hAnsi="宋体" w:cs="Courier New"/>
          <w:color w:val="auto"/>
          <w:sz w:val="24"/>
          <w:szCs w:val="24"/>
          <w:highlight w:val="none"/>
        </w:rPr>
        <w:t>注：采购人也可参考财政部制定的《政府采购货物买卖合同（试行）》使用，《政府采购货物买卖合同（试行）》电子版请登录中国政府采购网（www.ccgp.gov.cn）下载。</w:t>
      </w:r>
    </w:p>
    <w:p w14:paraId="4C712195">
      <w:pPr>
        <w:pStyle w:val="186"/>
        <w:pageBreakBefore/>
        <w:rPr>
          <w:rFonts w:hint="eastAsia" w:ascii="黑体" w:eastAsia="黑体"/>
          <w:bCs w:val="0"/>
          <w:i w:val="0"/>
          <w:iCs w:val="0"/>
          <w:color w:val="auto"/>
          <w:sz w:val="28"/>
          <w:szCs w:val="28"/>
          <w:highlight w:val="none"/>
          <w:lang w:eastAsia="zh-CN"/>
        </w:rPr>
      </w:pPr>
      <w:r>
        <w:rPr>
          <w:rFonts w:hint="eastAsia" w:ascii="黑体" w:hAnsi="黑体" w:eastAsia="黑体"/>
          <w:b w:val="0"/>
          <w:i w:val="0"/>
          <w:iCs w:val="0"/>
          <w:color w:val="auto"/>
          <w:sz w:val="32"/>
          <w:szCs w:val="32"/>
          <w:highlight w:val="none"/>
          <w:lang w:eastAsia="zh-CN"/>
        </w:rPr>
        <w:t>第五章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lang w:eastAsia="zh-CN"/>
        </w:rPr>
        <w:t>评分方法与评分标准</w:t>
      </w:r>
    </w:p>
    <w:p w14:paraId="5F09124A">
      <w:pPr>
        <w:pStyle w:val="364"/>
        <w:spacing w:before="0" w:after="0" w:line="500" w:lineRule="exact"/>
        <w:ind w:firstLine="602"/>
        <w:rPr>
          <w:rFonts w:hint="eastAsia" w:cs="Arial"/>
          <w:b/>
          <w:i w:val="0"/>
          <w:iCs w:val="0"/>
          <w:color w:val="auto"/>
          <w:sz w:val="30"/>
          <w:szCs w:val="30"/>
          <w:highlight w:val="none"/>
        </w:rPr>
      </w:pPr>
      <w:r>
        <w:rPr>
          <w:rFonts w:hint="eastAsia" w:cs="Arial"/>
          <w:b/>
          <w:i w:val="0"/>
          <w:iCs w:val="0"/>
          <w:color w:val="auto"/>
          <w:sz w:val="30"/>
          <w:szCs w:val="30"/>
          <w:highlight w:val="none"/>
        </w:rPr>
        <w:t>第一部分  评标方法</w:t>
      </w:r>
    </w:p>
    <w:p w14:paraId="38DD5824">
      <w:pPr>
        <w:pStyle w:val="364"/>
        <w:spacing w:before="0" w:after="0" w:line="500" w:lineRule="exact"/>
        <w:rPr>
          <w:rFonts w:hint="eastAsia" w:cs="Arial"/>
          <w:i w:val="0"/>
          <w:iCs w:val="0"/>
          <w:color w:val="auto"/>
          <w:highlight w:val="none"/>
        </w:rPr>
      </w:pPr>
      <w:r>
        <w:rPr>
          <w:rFonts w:hint="eastAsia" w:cs="Arial"/>
          <w:i w:val="0"/>
          <w:iCs w:val="0"/>
          <w:color w:val="auto"/>
          <w:highlight w:val="none"/>
        </w:rPr>
        <w:t>投标人通过初审的，方可进入比较与评价程序。</w:t>
      </w:r>
    </w:p>
    <w:p w14:paraId="2243B992">
      <w:pPr>
        <w:pStyle w:val="364"/>
        <w:spacing w:before="0" w:after="0" w:line="500" w:lineRule="exact"/>
        <w:rPr>
          <w:rFonts w:hint="eastAsia" w:cs="Arial"/>
          <w:i w:val="0"/>
          <w:iCs w:val="0"/>
          <w:color w:val="auto"/>
          <w:highlight w:val="none"/>
        </w:rPr>
      </w:pPr>
      <w:r>
        <w:rPr>
          <w:rFonts w:hint="eastAsia" w:cs="Arial"/>
          <w:i w:val="0"/>
          <w:iCs w:val="0"/>
          <w:color w:val="auto"/>
          <w:highlight w:val="none"/>
        </w:rPr>
        <w:t>比较与评价采用综合评分法。</w:t>
      </w:r>
    </w:p>
    <w:p w14:paraId="4D704ACD">
      <w:pPr>
        <w:pStyle w:val="364"/>
        <w:spacing w:before="0" w:after="0" w:line="500" w:lineRule="exact"/>
        <w:rPr>
          <w:rStyle w:val="239"/>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798E84CD">
      <w:pPr>
        <w:pStyle w:val="364"/>
        <w:spacing w:before="0" w:after="0" w:line="500" w:lineRule="exact"/>
        <w:rPr>
          <w:rFonts w:hint="eastAsia" w:cs="Arial"/>
          <w:i w:val="0"/>
          <w:iCs w:val="0"/>
          <w:color w:val="auto"/>
          <w:highlight w:val="none"/>
          <w:shd w:val="clear" w:color="FFFFFF" w:fill="D9D9D9"/>
        </w:rPr>
      </w:pPr>
      <w:r>
        <w:rPr>
          <w:rFonts w:hint="eastAsia" w:ascii="宋体" w:hAnsi="宋体"/>
          <w:bCs/>
          <w:i w:val="0"/>
          <w:iCs w:val="0"/>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3B9CF560">
      <w:pPr>
        <w:jc w:val="left"/>
        <w:rPr>
          <w:rFonts w:hint="eastAsia" w:ascii="黑体" w:eastAsia="黑体"/>
          <w:bCs/>
          <w:i w:val="0"/>
          <w:iCs w:val="0"/>
          <w:color w:val="auto"/>
          <w:sz w:val="24"/>
          <w:szCs w:val="24"/>
          <w:highlight w:val="none"/>
        </w:rPr>
      </w:pPr>
    </w:p>
    <w:p w14:paraId="51333295">
      <w:pPr>
        <w:jc w:val="left"/>
        <w:rPr>
          <w:rFonts w:hint="eastAsia" w:ascii="黑体" w:eastAsia="黑体"/>
          <w:bCs/>
          <w:i w:val="0"/>
          <w:iCs w:val="0"/>
          <w:color w:val="auto"/>
          <w:sz w:val="24"/>
          <w:szCs w:val="24"/>
          <w:highlight w:val="none"/>
        </w:rPr>
      </w:pPr>
    </w:p>
    <w:p w14:paraId="7E00CD77">
      <w:pPr>
        <w:jc w:val="left"/>
        <w:rPr>
          <w:rFonts w:hint="eastAsia" w:ascii="黑体" w:eastAsia="黑体"/>
          <w:bCs/>
          <w:i w:val="0"/>
          <w:iCs w:val="0"/>
          <w:color w:val="auto"/>
          <w:sz w:val="24"/>
          <w:szCs w:val="24"/>
          <w:highlight w:val="none"/>
        </w:rPr>
      </w:pPr>
    </w:p>
    <w:p w14:paraId="6C7EF5A9">
      <w:pPr>
        <w:jc w:val="left"/>
        <w:rPr>
          <w:rFonts w:hint="eastAsia" w:ascii="黑体" w:eastAsia="黑体"/>
          <w:bCs/>
          <w:i w:val="0"/>
          <w:iCs w:val="0"/>
          <w:color w:val="auto"/>
          <w:sz w:val="24"/>
          <w:szCs w:val="24"/>
          <w:highlight w:val="none"/>
        </w:rPr>
      </w:pPr>
    </w:p>
    <w:p w14:paraId="3697FD97">
      <w:pPr>
        <w:jc w:val="left"/>
        <w:rPr>
          <w:rFonts w:hint="eastAsia" w:ascii="黑体" w:eastAsia="黑体"/>
          <w:bCs/>
          <w:i w:val="0"/>
          <w:iCs w:val="0"/>
          <w:color w:val="auto"/>
          <w:sz w:val="24"/>
          <w:szCs w:val="24"/>
          <w:highlight w:val="none"/>
        </w:rPr>
      </w:pPr>
    </w:p>
    <w:p w14:paraId="14329CE1">
      <w:pPr>
        <w:jc w:val="left"/>
        <w:rPr>
          <w:rFonts w:hint="eastAsia" w:ascii="黑体" w:eastAsia="黑体"/>
          <w:bCs/>
          <w:i w:val="0"/>
          <w:iCs w:val="0"/>
          <w:color w:val="auto"/>
          <w:sz w:val="24"/>
          <w:szCs w:val="24"/>
          <w:highlight w:val="none"/>
        </w:rPr>
      </w:pPr>
    </w:p>
    <w:p w14:paraId="7541459C">
      <w:pPr>
        <w:jc w:val="left"/>
        <w:rPr>
          <w:rFonts w:hint="eastAsia" w:ascii="黑体" w:eastAsia="黑体"/>
          <w:bCs/>
          <w:i w:val="0"/>
          <w:iCs w:val="0"/>
          <w:color w:val="auto"/>
          <w:sz w:val="24"/>
          <w:szCs w:val="24"/>
          <w:highlight w:val="none"/>
        </w:rPr>
      </w:pPr>
    </w:p>
    <w:p w14:paraId="570FAAF8">
      <w:pPr>
        <w:jc w:val="left"/>
        <w:rPr>
          <w:rFonts w:hint="eastAsia" w:ascii="黑体" w:eastAsia="黑体"/>
          <w:bCs/>
          <w:i w:val="0"/>
          <w:iCs w:val="0"/>
          <w:color w:val="auto"/>
          <w:sz w:val="24"/>
          <w:szCs w:val="24"/>
          <w:highlight w:val="none"/>
        </w:rPr>
      </w:pPr>
    </w:p>
    <w:p w14:paraId="66313574">
      <w:pPr>
        <w:jc w:val="left"/>
        <w:rPr>
          <w:rFonts w:hint="eastAsia" w:ascii="黑体" w:eastAsia="黑体"/>
          <w:bCs/>
          <w:i w:val="0"/>
          <w:iCs w:val="0"/>
          <w:color w:val="auto"/>
          <w:sz w:val="24"/>
          <w:szCs w:val="24"/>
          <w:highlight w:val="none"/>
        </w:rPr>
      </w:pPr>
    </w:p>
    <w:p w14:paraId="3FADCE3A">
      <w:pPr>
        <w:jc w:val="left"/>
        <w:rPr>
          <w:rFonts w:hint="eastAsia" w:ascii="黑体" w:eastAsia="黑体"/>
          <w:bCs/>
          <w:i w:val="0"/>
          <w:iCs w:val="0"/>
          <w:color w:val="auto"/>
          <w:sz w:val="24"/>
          <w:szCs w:val="24"/>
          <w:highlight w:val="none"/>
        </w:rPr>
      </w:pPr>
    </w:p>
    <w:p w14:paraId="47B8B330">
      <w:pPr>
        <w:jc w:val="left"/>
        <w:rPr>
          <w:rFonts w:hint="eastAsia" w:ascii="黑体" w:eastAsia="黑体"/>
          <w:bCs/>
          <w:i w:val="0"/>
          <w:iCs w:val="0"/>
          <w:color w:val="auto"/>
          <w:sz w:val="24"/>
          <w:szCs w:val="24"/>
          <w:highlight w:val="none"/>
        </w:rPr>
      </w:pPr>
    </w:p>
    <w:p w14:paraId="53E08BD5">
      <w:pPr>
        <w:jc w:val="left"/>
        <w:rPr>
          <w:rFonts w:hint="eastAsia" w:ascii="黑体" w:eastAsia="黑体"/>
          <w:bCs/>
          <w:i w:val="0"/>
          <w:iCs w:val="0"/>
          <w:color w:val="auto"/>
          <w:sz w:val="24"/>
          <w:szCs w:val="24"/>
          <w:highlight w:val="none"/>
        </w:rPr>
      </w:pPr>
    </w:p>
    <w:p w14:paraId="3DA07846">
      <w:pPr>
        <w:jc w:val="left"/>
        <w:rPr>
          <w:rFonts w:hint="eastAsia" w:ascii="黑体" w:eastAsia="黑体"/>
          <w:bCs/>
          <w:i w:val="0"/>
          <w:iCs w:val="0"/>
          <w:color w:val="auto"/>
          <w:sz w:val="24"/>
          <w:szCs w:val="24"/>
          <w:highlight w:val="none"/>
        </w:rPr>
      </w:pPr>
    </w:p>
    <w:p w14:paraId="2257CDA6">
      <w:pPr>
        <w:jc w:val="left"/>
        <w:rPr>
          <w:rFonts w:hint="eastAsia" w:ascii="黑体" w:eastAsia="黑体"/>
          <w:bCs/>
          <w:i w:val="0"/>
          <w:iCs w:val="0"/>
          <w:color w:val="auto"/>
          <w:sz w:val="24"/>
          <w:szCs w:val="24"/>
          <w:highlight w:val="none"/>
        </w:rPr>
      </w:pPr>
    </w:p>
    <w:p w14:paraId="58B38424">
      <w:pPr>
        <w:jc w:val="left"/>
        <w:rPr>
          <w:rFonts w:hint="eastAsia" w:ascii="黑体" w:eastAsia="黑体"/>
          <w:bCs/>
          <w:i w:val="0"/>
          <w:iCs w:val="0"/>
          <w:color w:val="auto"/>
          <w:sz w:val="24"/>
          <w:szCs w:val="24"/>
          <w:highlight w:val="none"/>
        </w:rPr>
      </w:pPr>
    </w:p>
    <w:p w14:paraId="6DA8F5D1">
      <w:pPr>
        <w:jc w:val="left"/>
        <w:rPr>
          <w:rFonts w:hint="eastAsia" w:ascii="黑体" w:eastAsia="黑体"/>
          <w:bCs/>
          <w:i w:val="0"/>
          <w:iCs w:val="0"/>
          <w:color w:val="auto"/>
          <w:sz w:val="24"/>
          <w:szCs w:val="24"/>
          <w:highlight w:val="none"/>
        </w:rPr>
      </w:pPr>
    </w:p>
    <w:p w14:paraId="6559470D">
      <w:pPr>
        <w:jc w:val="left"/>
        <w:rPr>
          <w:rFonts w:hint="eastAsia" w:ascii="黑体" w:eastAsia="黑体"/>
          <w:bCs/>
          <w:i w:val="0"/>
          <w:iCs w:val="0"/>
          <w:color w:val="auto"/>
          <w:sz w:val="24"/>
          <w:szCs w:val="24"/>
          <w:highlight w:val="none"/>
        </w:rPr>
      </w:pPr>
    </w:p>
    <w:p w14:paraId="40FCC0C6">
      <w:pPr>
        <w:jc w:val="left"/>
        <w:rPr>
          <w:rFonts w:hint="eastAsia" w:ascii="黑体" w:eastAsia="黑体"/>
          <w:bCs/>
          <w:i w:val="0"/>
          <w:iCs w:val="0"/>
          <w:color w:val="auto"/>
          <w:sz w:val="24"/>
          <w:szCs w:val="24"/>
          <w:highlight w:val="none"/>
        </w:rPr>
      </w:pPr>
    </w:p>
    <w:p w14:paraId="6D9C49BA">
      <w:pPr>
        <w:jc w:val="left"/>
        <w:rPr>
          <w:rFonts w:hint="eastAsia" w:ascii="黑体" w:eastAsia="黑体"/>
          <w:bCs/>
          <w:i w:val="0"/>
          <w:iCs w:val="0"/>
          <w:color w:val="auto"/>
          <w:sz w:val="24"/>
          <w:szCs w:val="24"/>
          <w:highlight w:val="none"/>
        </w:rPr>
      </w:pPr>
    </w:p>
    <w:p w14:paraId="020BA3F2">
      <w:pPr>
        <w:jc w:val="left"/>
        <w:rPr>
          <w:rFonts w:hint="eastAsia" w:ascii="黑体" w:eastAsia="黑体"/>
          <w:bCs/>
          <w:i w:val="0"/>
          <w:iCs w:val="0"/>
          <w:color w:val="auto"/>
          <w:sz w:val="24"/>
          <w:szCs w:val="24"/>
          <w:highlight w:val="none"/>
        </w:rPr>
      </w:pPr>
    </w:p>
    <w:p w14:paraId="75993900">
      <w:pPr>
        <w:jc w:val="left"/>
        <w:rPr>
          <w:rFonts w:hint="eastAsia" w:ascii="黑体" w:eastAsia="黑体"/>
          <w:bCs/>
          <w:i w:val="0"/>
          <w:iCs w:val="0"/>
          <w:color w:val="auto"/>
          <w:sz w:val="24"/>
          <w:szCs w:val="24"/>
          <w:highlight w:val="none"/>
        </w:rPr>
      </w:pPr>
    </w:p>
    <w:p w14:paraId="7B6148EE">
      <w:pPr>
        <w:pStyle w:val="38"/>
        <w:rPr>
          <w:rFonts w:hint="eastAsia"/>
          <w:i w:val="0"/>
          <w:iCs w:val="0"/>
          <w:color w:val="auto"/>
          <w:highlight w:val="none"/>
        </w:rPr>
      </w:pPr>
    </w:p>
    <w:p w14:paraId="15458D4B">
      <w:pPr>
        <w:jc w:val="left"/>
        <w:rPr>
          <w:rFonts w:hint="eastAsia" w:ascii="黑体" w:eastAsia="黑体"/>
          <w:bCs/>
          <w:i w:val="0"/>
          <w:iCs w:val="0"/>
          <w:color w:val="auto"/>
          <w:sz w:val="24"/>
          <w:szCs w:val="24"/>
          <w:highlight w:val="none"/>
        </w:rPr>
      </w:pPr>
    </w:p>
    <w:p w14:paraId="7E41CC46">
      <w:pPr>
        <w:jc w:val="left"/>
        <w:rPr>
          <w:rFonts w:hint="eastAsia" w:ascii="黑体" w:eastAsia="黑体"/>
          <w:bCs/>
          <w:i w:val="0"/>
          <w:iCs w:val="0"/>
          <w:color w:val="auto"/>
          <w:sz w:val="24"/>
          <w:szCs w:val="24"/>
          <w:highlight w:val="none"/>
        </w:rPr>
      </w:pPr>
    </w:p>
    <w:p w14:paraId="5F4812CA">
      <w:pPr>
        <w:jc w:val="left"/>
        <w:rPr>
          <w:rFonts w:hint="eastAsia" w:ascii="黑体" w:eastAsia="黑体"/>
          <w:bCs/>
          <w:i w:val="0"/>
          <w:iCs w:val="0"/>
          <w:color w:val="auto"/>
          <w:sz w:val="24"/>
          <w:szCs w:val="24"/>
          <w:highlight w:val="none"/>
        </w:rPr>
      </w:pPr>
    </w:p>
    <w:p w14:paraId="11B91065">
      <w:pPr>
        <w:pStyle w:val="364"/>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t>第二部分  评标标准</w:t>
      </w:r>
    </w:p>
    <w:p w14:paraId="74BD5130">
      <w:pPr>
        <w:pStyle w:val="364"/>
        <w:spacing w:before="0" w:after="0" w:line="500" w:lineRule="exact"/>
        <w:ind w:firstLine="562"/>
        <w:rPr>
          <w:rFonts w:hint="eastAsia" w:ascii="宋体" w:hAnsi="宋体"/>
          <w:b/>
          <w:i w:val="0"/>
          <w:iCs w:val="0"/>
          <w:color w:val="auto"/>
          <w:sz w:val="28"/>
          <w:szCs w:val="28"/>
          <w:highlight w:val="none"/>
        </w:rPr>
      </w:pPr>
      <w:r>
        <w:rPr>
          <w:rFonts w:hint="eastAsia" w:ascii="宋体" w:hAnsi="宋体"/>
          <w:b/>
          <w:i w:val="0"/>
          <w:iCs w:val="0"/>
          <w:color w:val="auto"/>
          <w:sz w:val="28"/>
          <w:szCs w:val="28"/>
          <w:highlight w:val="none"/>
        </w:rPr>
        <w:t>一、落实政府采购政策的价格调整</w:t>
      </w:r>
    </w:p>
    <w:p w14:paraId="20C5EBEB">
      <w:pPr>
        <w:spacing w:line="500" w:lineRule="exact"/>
        <w:ind w:firstLine="482"/>
        <w:jc w:val="left"/>
        <w:rPr>
          <w:rFonts w:hint="eastAsia" w:ascii="宋体" w:hAnsi="宋体"/>
          <w:b/>
          <w:bCs/>
          <w:i w:val="0"/>
          <w:iCs w:val="0"/>
          <w:color w:val="auto"/>
          <w:sz w:val="24"/>
          <w:szCs w:val="24"/>
          <w:highlight w:val="none"/>
        </w:rPr>
      </w:pPr>
      <w:r>
        <w:rPr>
          <w:rFonts w:hint="eastAsia" w:ascii="宋体" w:hAnsi="宋体"/>
          <w:b/>
          <w:bCs/>
          <w:i w:val="0"/>
          <w:iCs w:val="0"/>
          <w:color w:val="auto"/>
          <w:sz w:val="24"/>
          <w:szCs w:val="24"/>
          <w:highlight w:val="none"/>
        </w:rPr>
        <w:t>小微型企业价格扣除：专门面向中小/小微企业的项目不做价格扣除。</w:t>
      </w:r>
    </w:p>
    <w:p w14:paraId="68CED2C5">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1.对小型和微型企业产品的价格给予10</w:t>
      </w:r>
      <w:r>
        <w:rPr>
          <w:rFonts w:ascii="宋体" w:hAnsi="宋体"/>
          <w:bCs/>
          <w:i w:val="0"/>
          <w:iCs w:val="0"/>
          <w:color w:val="auto"/>
          <w:sz w:val="24"/>
          <w:szCs w:val="24"/>
          <w:highlight w:val="none"/>
        </w:rPr>
        <w:t>%</w:t>
      </w:r>
      <w:r>
        <w:rPr>
          <w:rFonts w:hint="eastAsia" w:ascii="宋体" w:hAnsi="宋体"/>
          <w:bCs/>
          <w:i w:val="0"/>
          <w:iCs w:val="0"/>
          <w:color w:val="auto"/>
          <w:sz w:val="24"/>
          <w:szCs w:val="24"/>
          <w:highlight w:val="none"/>
        </w:rPr>
        <w:t>的扣除，用扣除后的价格参与评审。参加投标的中小企业，应当按照《政府采购促进中小企业发展管理办法》</w:t>
      </w:r>
      <w:r>
        <w:rPr>
          <w:rFonts w:ascii="宋体" w:hAnsi="宋体"/>
          <w:bCs/>
          <w:i w:val="0"/>
          <w:iCs w:val="0"/>
          <w:color w:val="auto"/>
          <w:sz w:val="24"/>
          <w:szCs w:val="24"/>
          <w:highlight w:val="none"/>
        </w:rPr>
        <w:t>（财库﹝2020﹞46 号）</w:t>
      </w:r>
      <w:r>
        <w:rPr>
          <w:rFonts w:hint="eastAsia" w:ascii="宋体" w:hAnsi="宋体"/>
          <w:bCs/>
          <w:i w:val="0"/>
          <w:iCs w:val="0"/>
          <w:color w:val="auto"/>
          <w:sz w:val="24"/>
          <w:szCs w:val="24"/>
          <w:highlight w:val="none"/>
        </w:rPr>
        <w:t>的规定提供《中小企业声明函》（中小企业划型标准详见《关于印发中小企业划型标准规定的通知》工信部联企业〔</w:t>
      </w:r>
      <w:r>
        <w:rPr>
          <w:rFonts w:ascii="宋体" w:hAnsi="宋体"/>
          <w:bCs/>
          <w:i w:val="0"/>
          <w:iCs w:val="0"/>
          <w:color w:val="auto"/>
          <w:sz w:val="24"/>
          <w:szCs w:val="24"/>
          <w:highlight w:val="none"/>
        </w:rPr>
        <w:t>2011</w:t>
      </w:r>
      <w:r>
        <w:rPr>
          <w:rFonts w:hint="eastAsia" w:ascii="宋体" w:hAnsi="宋体"/>
          <w:bCs/>
          <w:i w:val="0"/>
          <w:iCs w:val="0"/>
          <w:color w:val="auto"/>
          <w:sz w:val="24"/>
          <w:szCs w:val="24"/>
          <w:highlight w:val="none"/>
        </w:rPr>
        <w:t>〕</w:t>
      </w:r>
      <w:r>
        <w:rPr>
          <w:rFonts w:ascii="宋体" w:hAnsi="宋体"/>
          <w:bCs/>
          <w:i w:val="0"/>
          <w:iCs w:val="0"/>
          <w:color w:val="auto"/>
          <w:sz w:val="24"/>
          <w:szCs w:val="24"/>
          <w:highlight w:val="none"/>
        </w:rPr>
        <w:t>300</w:t>
      </w:r>
      <w:r>
        <w:rPr>
          <w:rFonts w:hint="eastAsia" w:ascii="宋体" w:hAnsi="宋体"/>
          <w:bCs/>
          <w:i w:val="0"/>
          <w:iCs w:val="0"/>
          <w:color w:val="auto"/>
          <w:sz w:val="24"/>
          <w:szCs w:val="24"/>
          <w:highlight w:val="none"/>
        </w:rPr>
        <w:t>号）。</w:t>
      </w:r>
    </w:p>
    <w:p w14:paraId="63B65A6F">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7DE33C50">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8EADB3B">
      <w:pPr>
        <w:spacing w:line="500" w:lineRule="exact"/>
        <w:ind w:firstLine="480"/>
        <w:jc w:val="lef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4.残疾人福利单位、监狱企业属于小型、微型企业的，不重复享受政策。</w:t>
      </w:r>
    </w:p>
    <w:p w14:paraId="4AA81ACD">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5.如允许联合体投标的项目，且存在联合投标的</w:t>
      </w:r>
      <w:r>
        <w:rPr>
          <w:rFonts w:ascii="宋体" w:hAnsi="宋体"/>
          <w:bCs/>
          <w:i w:val="0"/>
          <w:iCs w:val="0"/>
          <w:color w:val="auto"/>
          <w:sz w:val="24"/>
          <w:szCs w:val="24"/>
          <w:highlight w:val="none"/>
        </w:rPr>
        <w:t>，联合协议中约定，小型、微型企业（</w:t>
      </w:r>
      <w:r>
        <w:rPr>
          <w:rFonts w:hint="eastAsia" w:ascii="宋体" w:hAnsi="宋体"/>
          <w:bCs/>
          <w:i w:val="0"/>
          <w:iCs w:val="0"/>
          <w:color w:val="auto"/>
          <w:sz w:val="24"/>
          <w:szCs w:val="24"/>
          <w:highlight w:val="none"/>
        </w:rPr>
        <w:t>监狱</w:t>
      </w:r>
      <w:r>
        <w:rPr>
          <w:rFonts w:ascii="宋体" w:hAnsi="宋体"/>
          <w:bCs/>
          <w:i w:val="0"/>
          <w:iCs w:val="0"/>
          <w:color w:val="auto"/>
          <w:sz w:val="24"/>
          <w:szCs w:val="24"/>
          <w:highlight w:val="none"/>
        </w:rPr>
        <w:t>企业、残疾人福利性单位视同小型、微型企业，下同）</w:t>
      </w:r>
      <w:r>
        <w:rPr>
          <w:rFonts w:hint="eastAsia" w:ascii="宋体" w:hAnsi="宋体"/>
          <w:bCs/>
          <w:i w:val="0"/>
          <w:iCs w:val="0"/>
          <w:color w:val="auto"/>
          <w:sz w:val="24"/>
          <w:szCs w:val="24"/>
          <w:highlight w:val="none"/>
        </w:rPr>
        <w:t>的</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合同</w:t>
      </w:r>
      <w:r>
        <w:rPr>
          <w:rFonts w:ascii="宋体" w:hAnsi="宋体"/>
          <w:bCs/>
          <w:i w:val="0"/>
          <w:iCs w:val="0"/>
          <w:color w:val="auto"/>
          <w:sz w:val="24"/>
          <w:szCs w:val="24"/>
          <w:highlight w:val="none"/>
        </w:rPr>
        <w:t>金额占到联合体协议合同总金额</w:t>
      </w:r>
      <w:r>
        <w:rPr>
          <w:rFonts w:hint="eastAsia" w:ascii="宋体" w:hAnsi="宋体"/>
          <w:bCs/>
          <w:i w:val="0"/>
          <w:iCs w:val="0"/>
          <w:color w:val="auto"/>
          <w:sz w:val="24"/>
          <w:szCs w:val="24"/>
          <w:highlight w:val="none"/>
        </w:rPr>
        <w:t>30</w:t>
      </w:r>
      <w:r>
        <w:rPr>
          <w:rFonts w:ascii="宋体" w:hAnsi="宋体"/>
          <w:bCs/>
          <w:i w:val="0"/>
          <w:iCs w:val="0"/>
          <w:color w:val="auto"/>
          <w:sz w:val="24"/>
          <w:szCs w:val="24"/>
          <w:highlight w:val="none"/>
        </w:rPr>
        <w:t>%以上的，可给予联合体</w:t>
      </w:r>
      <w:r>
        <w:rPr>
          <w:rFonts w:hint="eastAsia" w:ascii="宋体" w:hAnsi="宋体"/>
          <w:bCs/>
          <w:i w:val="0"/>
          <w:iCs w:val="0"/>
          <w:color w:val="auto"/>
          <w:sz w:val="24"/>
          <w:szCs w:val="24"/>
          <w:highlight w:val="none"/>
        </w:rPr>
        <w:t>4</w:t>
      </w:r>
      <w:r>
        <w:rPr>
          <w:rFonts w:ascii="宋体" w:hAnsi="宋体"/>
          <w:bCs/>
          <w:i w:val="0"/>
          <w:iCs w:val="0"/>
          <w:color w:val="auto"/>
          <w:sz w:val="24"/>
          <w:szCs w:val="24"/>
          <w:highlight w:val="none"/>
        </w:rPr>
        <w:t>%的价格扣除，</w:t>
      </w:r>
      <w:r>
        <w:rPr>
          <w:rFonts w:hint="eastAsia" w:ascii="宋体" w:hAnsi="宋体"/>
          <w:bCs/>
          <w:i w:val="0"/>
          <w:iCs w:val="0"/>
          <w:color w:val="auto"/>
          <w:sz w:val="24"/>
          <w:szCs w:val="24"/>
          <w:highlight w:val="none"/>
        </w:rPr>
        <w:t>用扣除后的价格参与评审。投标人须在《联合</w:t>
      </w:r>
      <w:r>
        <w:rPr>
          <w:rFonts w:ascii="宋体" w:hAnsi="宋体"/>
          <w:bCs/>
          <w:i w:val="0"/>
          <w:iCs w:val="0"/>
          <w:color w:val="auto"/>
          <w:sz w:val="24"/>
          <w:szCs w:val="24"/>
          <w:highlight w:val="none"/>
        </w:rPr>
        <w:t>体各方共同</w:t>
      </w:r>
      <w:r>
        <w:rPr>
          <w:rFonts w:hint="eastAsia" w:ascii="宋体" w:hAnsi="宋体"/>
          <w:bCs/>
          <w:i w:val="0"/>
          <w:iCs w:val="0"/>
          <w:color w:val="auto"/>
          <w:sz w:val="24"/>
          <w:szCs w:val="24"/>
          <w:highlight w:val="none"/>
        </w:rPr>
        <w:t>投标</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》中明确，否则不得享受价格扣除。</w:t>
      </w:r>
    </w:p>
    <w:p w14:paraId="60AE246F">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联合体</w:t>
      </w:r>
      <w:r>
        <w:rPr>
          <w:rFonts w:ascii="宋体" w:hAnsi="宋体"/>
          <w:bCs/>
          <w:i w:val="0"/>
          <w:iCs w:val="0"/>
          <w:color w:val="auto"/>
          <w:sz w:val="24"/>
          <w:szCs w:val="24"/>
          <w:highlight w:val="none"/>
        </w:rPr>
        <w:t>各方均为小型、微型企业的，联合体视同为小型、微型企业按规定享受价格扣除</w:t>
      </w:r>
      <w:r>
        <w:rPr>
          <w:rFonts w:hint="eastAsia" w:ascii="宋体" w:hAnsi="宋体"/>
          <w:bCs/>
          <w:i w:val="0"/>
          <w:iCs w:val="0"/>
          <w:color w:val="auto"/>
          <w:sz w:val="24"/>
          <w:szCs w:val="24"/>
          <w:highlight w:val="none"/>
        </w:rPr>
        <w:t>。</w:t>
      </w:r>
    </w:p>
    <w:p w14:paraId="7571F080">
      <w:pPr>
        <w:spacing w:line="500" w:lineRule="exact"/>
        <w:ind w:firstLine="480"/>
        <w:jc w:val="left"/>
        <w:rPr>
          <w:i w:val="0"/>
          <w:iCs w:val="0"/>
          <w:color w:val="auto"/>
          <w:highlight w:val="none"/>
        </w:rPr>
      </w:pPr>
      <w:r>
        <w:rPr>
          <w:rFonts w:hint="eastAsia" w:ascii="宋体" w:hAnsi="宋体"/>
          <w:bCs/>
          <w:i w:val="0"/>
          <w:iCs w:val="0"/>
          <w:color w:val="auto"/>
          <w:sz w:val="24"/>
          <w:szCs w:val="24"/>
          <w:highlight w:val="none"/>
        </w:rPr>
        <w:t>组成联合体的小微企业与联合体内其他企业之间存在直接控股、管理关系的，不享受价格扣除。组成</w:t>
      </w:r>
      <w:r>
        <w:rPr>
          <w:rFonts w:ascii="宋体" w:hAnsi="宋体"/>
          <w:bCs/>
          <w:i w:val="0"/>
          <w:iCs w:val="0"/>
          <w:color w:val="auto"/>
          <w:sz w:val="24"/>
          <w:szCs w:val="24"/>
          <w:highlight w:val="none"/>
        </w:rPr>
        <w:t>联合体的法人与参加联合体的小型、微型企业之间存在投资关系的，不得享受价格扣除</w:t>
      </w:r>
      <w:r>
        <w:rPr>
          <w:rFonts w:hint="eastAsia" w:ascii="宋体" w:hAnsi="宋体"/>
          <w:bCs/>
          <w:i w:val="0"/>
          <w:iCs w:val="0"/>
          <w:color w:val="auto"/>
          <w:sz w:val="24"/>
          <w:szCs w:val="24"/>
          <w:highlight w:val="none"/>
        </w:rPr>
        <w:t>。投标人</w:t>
      </w:r>
      <w:r>
        <w:rPr>
          <w:rFonts w:ascii="宋体" w:hAnsi="宋体"/>
          <w:bCs/>
          <w:i w:val="0"/>
          <w:iCs w:val="0"/>
          <w:color w:val="auto"/>
          <w:sz w:val="24"/>
          <w:szCs w:val="24"/>
          <w:highlight w:val="none"/>
        </w:rPr>
        <w:t>须在</w:t>
      </w:r>
      <w:r>
        <w:rPr>
          <w:rFonts w:hint="eastAsia" w:ascii="宋体" w:hAnsi="宋体"/>
          <w:bCs/>
          <w:i w:val="0"/>
          <w:iCs w:val="0"/>
          <w:color w:val="auto"/>
          <w:sz w:val="24"/>
          <w:szCs w:val="24"/>
          <w:highlight w:val="none"/>
        </w:rPr>
        <w:t>《联合</w:t>
      </w:r>
      <w:r>
        <w:rPr>
          <w:rFonts w:ascii="宋体" w:hAnsi="宋体"/>
          <w:bCs/>
          <w:i w:val="0"/>
          <w:iCs w:val="0"/>
          <w:color w:val="auto"/>
          <w:sz w:val="24"/>
          <w:szCs w:val="24"/>
          <w:highlight w:val="none"/>
        </w:rPr>
        <w:t>体各方共同</w:t>
      </w:r>
      <w:r>
        <w:rPr>
          <w:rFonts w:hint="eastAsia" w:ascii="宋体" w:hAnsi="宋体"/>
          <w:bCs/>
          <w:i w:val="0"/>
          <w:iCs w:val="0"/>
          <w:color w:val="auto"/>
          <w:sz w:val="24"/>
          <w:szCs w:val="24"/>
          <w:highlight w:val="none"/>
        </w:rPr>
        <w:t>投标</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》中</w:t>
      </w:r>
      <w:r>
        <w:rPr>
          <w:rFonts w:ascii="宋体" w:hAnsi="宋体"/>
          <w:bCs/>
          <w:i w:val="0"/>
          <w:iCs w:val="0"/>
          <w:color w:val="auto"/>
          <w:sz w:val="24"/>
          <w:szCs w:val="24"/>
          <w:highlight w:val="none"/>
        </w:rPr>
        <w:t>明确联合体各方是否存在</w:t>
      </w:r>
      <w:r>
        <w:rPr>
          <w:rFonts w:hint="eastAsia" w:ascii="宋体" w:hAnsi="宋体"/>
          <w:bCs/>
          <w:i w:val="0"/>
          <w:iCs w:val="0"/>
          <w:color w:val="auto"/>
          <w:sz w:val="24"/>
          <w:szCs w:val="24"/>
          <w:highlight w:val="none"/>
        </w:rPr>
        <w:t>上述</w:t>
      </w:r>
      <w:r>
        <w:rPr>
          <w:rFonts w:ascii="宋体" w:hAnsi="宋体"/>
          <w:bCs/>
          <w:i w:val="0"/>
          <w:iCs w:val="0"/>
          <w:color w:val="auto"/>
          <w:sz w:val="24"/>
          <w:szCs w:val="24"/>
          <w:highlight w:val="none"/>
        </w:rPr>
        <w:t>关系，如未进行明确的亦不得享受价格扣除</w:t>
      </w:r>
      <w:r>
        <w:rPr>
          <w:rFonts w:hint="eastAsia" w:ascii="宋体" w:hAnsi="宋体"/>
          <w:bCs/>
          <w:i w:val="0"/>
          <w:iCs w:val="0"/>
          <w:color w:val="auto"/>
          <w:sz w:val="24"/>
          <w:szCs w:val="24"/>
          <w:highlight w:val="none"/>
        </w:rPr>
        <w:t>。</w:t>
      </w:r>
    </w:p>
    <w:p w14:paraId="3717690D">
      <w:pPr>
        <w:keepNext w:val="0"/>
        <w:keepLines w:val="0"/>
        <w:pageBreakBefore w:val="0"/>
        <w:widowControl w:val="0"/>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采购本国产品的支持政策</w:t>
      </w:r>
    </w:p>
    <w:p w14:paraId="158497A3">
      <w:pPr>
        <w:keepNext w:val="0"/>
        <w:keepLines w:val="0"/>
        <w:pageBreakBefore w:val="0"/>
        <w:widowControl w:val="0"/>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75530E9B">
      <w:pPr>
        <w:keepNext w:val="0"/>
        <w:keepLines w:val="0"/>
        <w:pageBreakBefore w:val="0"/>
        <w:widowControl w:val="0"/>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381BD03">
      <w:pPr>
        <w:keepNext w:val="0"/>
        <w:keepLines w:val="0"/>
        <w:pageBreakBefore w:val="0"/>
        <w:widowControl w:val="0"/>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.3供应商需按照招标文件的要求提供《关于符合本国产品标准的声明函》（以下简称《声明函》），如不提供将不享受本国产品价格评审优惠。</w:t>
      </w:r>
    </w:p>
    <w:p w14:paraId="0D4250D3">
      <w:pPr>
        <w:keepNext w:val="0"/>
        <w:keepLines w:val="0"/>
        <w:pageBreakBefore w:val="0"/>
        <w:widowControl w:val="0"/>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97C2405">
      <w:pPr>
        <w:spacing w:line="500" w:lineRule="exact"/>
        <w:ind w:firstLine="480"/>
        <w:jc w:val="left"/>
        <w:rPr>
          <w:color w:val="auto"/>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4037559">
      <w:pPr>
        <w:jc w:val="left"/>
        <w:rPr>
          <w:rFonts w:hint="eastAsia" w:ascii="黑体" w:eastAsia="黑体"/>
          <w:bCs/>
          <w:i w:val="0"/>
          <w:iCs w:val="0"/>
          <w:color w:val="auto"/>
          <w:sz w:val="24"/>
          <w:szCs w:val="24"/>
          <w:highlight w:val="none"/>
        </w:rPr>
      </w:pPr>
    </w:p>
    <w:p w14:paraId="040907A4">
      <w:pPr>
        <w:jc w:val="left"/>
        <w:rPr>
          <w:rFonts w:hint="eastAsia" w:ascii="黑体" w:eastAsia="黑体"/>
          <w:bCs/>
          <w:i w:val="0"/>
          <w:iCs w:val="0"/>
          <w:color w:val="auto"/>
          <w:sz w:val="24"/>
          <w:szCs w:val="24"/>
          <w:highlight w:val="none"/>
        </w:rPr>
      </w:pPr>
    </w:p>
    <w:p w14:paraId="200B907A">
      <w:pPr>
        <w:jc w:val="left"/>
        <w:rPr>
          <w:rFonts w:hint="eastAsia" w:ascii="黑体" w:eastAsia="黑体"/>
          <w:bCs/>
          <w:i w:val="0"/>
          <w:iCs w:val="0"/>
          <w:color w:val="auto"/>
          <w:sz w:val="24"/>
          <w:szCs w:val="24"/>
          <w:highlight w:val="none"/>
        </w:rPr>
      </w:pPr>
    </w:p>
    <w:p w14:paraId="739F78AF">
      <w:pPr>
        <w:jc w:val="left"/>
        <w:rPr>
          <w:rFonts w:hint="eastAsia" w:ascii="黑体" w:eastAsia="黑体"/>
          <w:bCs/>
          <w:i w:val="0"/>
          <w:iCs w:val="0"/>
          <w:color w:val="auto"/>
          <w:sz w:val="24"/>
          <w:szCs w:val="24"/>
          <w:highlight w:val="none"/>
        </w:rPr>
      </w:pPr>
    </w:p>
    <w:p w14:paraId="32C8BF5B">
      <w:pPr>
        <w:jc w:val="left"/>
        <w:rPr>
          <w:rFonts w:hint="eastAsia" w:ascii="黑体" w:eastAsia="黑体"/>
          <w:bCs/>
          <w:i w:val="0"/>
          <w:iCs w:val="0"/>
          <w:color w:val="auto"/>
          <w:sz w:val="24"/>
          <w:szCs w:val="24"/>
          <w:highlight w:val="none"/>
        </w:rPr>
      </w:pPr>
    </w:p>
    <w:p w14:paraId="27244127">
      <w:pPr>
        <w:jc w:val="left"/>
        <w:rPr>
          <w:rFonts w:hint="eastAsia" w:ascii="黑体" w:eastAsia="黑体"/>
          <w:bCs/>
          <w:i w:val="0"/>
          <w:iCs w:val="0"/>
          <w:color w:val="auto"/>
          <w:sz w:val="24"/>
          <w:szCs w:val="24"/>
          <w:highlight w:val="none"/>
        </w:rPr>
      </w:pPr>
    </w:p>
    <w:p w14:paraId="00B2695C">
      <w:pPr>
        <w:jc w:val="left"/>
        <w:rPr>
          <w:rFonts w:hint="eastAsia" w:ascii="黑体" w:eastAsia="黑体"/>
          <w:bCs/>
          <w:i w:val="0"/>
          <w:iCs w:val="0"/>
          <w:color w:val="auto"/>
          <w:sz w:val="24"/>
          <w:szCs w:val="24"/>
          <w:highlight w:val="none"/>
        </w:rPr>
      </w:pPr>
    </w:p>
    <w:p w14:paraId="03740ECA">
      <w:pPr>
        <w:jc w:val="left"/>
        <w:rPr>
          <w:rFonts w:hint="eastAsia" w:ascii="黑体" w:eastAsia="黑体"/>
          <w:bCs/>
          <w:i w:val="0"/>
          <w:iCs w:val="0"/>
          <w:color w:val="auto"/>
          <w:sz w:val="24"/>
          <w:szCs w:val="24"/>
          <w:highlight w:val="none"/>
        </w:rPr>
      </w:pPr>
    </w:p>
    <w:p w14:paraId="0F1B035A">
      <w:pPr>
        <w:jc w:val="left"/>
        <w:rPr>
          <w:rFonts w:hint="eastAsia" w:ascii="黑体" w:eastAsia="黑体"/>
          <w:bCs/>
          <w:i w:val="0"/>
          <w:iCs w:val="0"/>
          <w:color w:val="auto"/>
          <w:sz w:val="24"/>
          <w:szCs w:val="24"/>
          <w:highlight w:val="none"/>
        </w:rPr>
      </w:pPr>
    </w:p>
    <w:p w14:paraId="2F2319C8">
      <w:pPr>
        <w:jc w:val="left"/>
        <w:rPr>
          <w:rFonts w:hint="eastAsia" w:ascii="黑体" w:eastAsia="黑体"/>
          <w:bCs/>
          <w:i w:val="0"/>
          <w:iCs w:val="0"/>
          <w:color w:val="auto"/>
          <w:sz w:val="24"/>
          <w:szCs w:val="24"/>
          <w:highlight w:val="none"/>
        </w:rPr>
      </w:pPr>
    </w:p>
    <w:p w14:paraId="166F7B08">
      <w:pPr>
        <w:jc w:val="left"/>
        <w:rPr>
          <w:rFonts w:hint="eastAsia" w:ascii="黑体" w:eastAsia="黑体"/>
          <w:bCs/>
          <w:i w:val="0"/>
          <w:iCs w:val="0"/>
          <w:color w:val="auto"/>
          <w:sz w:val="24"/>
          <w:szCs w:val="24"/>
          <w:highlight w:val="none"/>
        </w:rPr>
      </w:pPr>
    </w:p>
    <w:p w14:paraId="3AA77795">
      <w:pPr>
        <w:jc w:val="left"/>
        <w:rPr>
          <w:rFonts w:hint="eastAsia" w:ascii="黑体" w:eastAsia="黑体"/>
          <w:bCs/>
          <w:i w:val="0"/>
          <w:iCs w:val="0"/>
          <w:color w:val="auto"/>
          <w:sz w:val="24"/>
          <w:szCs w:val="24"/>
          <w:highlight w:val="none"/>
        </w:rPr>
      </w:pPr>
    </w:p>
    <w:p w14:paraId="5A0201D6">
      <w:pPr>
        <w:jc w:val="left"/>
        <w:rPr>
          <w:rFonts w:hint="eastAsia" w:ascii="黑体" w:eastAsia="黑体"/>
          <w:bCs/>
          <w:i w:val="0"/>
          <w:iCs w:val="0"/>
          <w:color w:val="auto"/>
          <w:sz w:val="24"/>
          <w:szCs w:val="24"/>
          <w:highlight w:val="none"/>
        </w:rPr>
      </w:pPr>
    </w:p>
    <w:p w14:paraId="61877E77">
      <w:pPr>
        <w:jc w:val="left"/>
        <w:rPr>
          <w:rFonts w:hint="eastAsia" w:ascii="黑体" w:eastAsia="黑体"/>
          <w:bCs/>
          <w:i w:val="0"/>
          <w:iCs w:val="0"/>
          <w:color w:val="auto"/>
          <w:sz w:val="24"/>
          <w:szCs w:val="24"/>
          <w:highlight w:val="none"/>
        </w:rPr>
      </w:pPr>
    </w:p>
    <w:p w14:paraId="28F18AF5">
      <w:pPr>
        <w:jc w:val="left"/>
        <w:rPr>
          <w:rFonts w:hint="eastAsia" w:ascii="黑体" w:eastAsia="黑体"/>
          <w:bCs/>
          <w:i w:val="0"/>
          <w:iCs w:val="0"/>
          <w:color w:val="auto"/>
          <w:sz w:val="24"/>
          <w:szCs w:val="24"/>
          <w:highlight w:val="none"/>
        </w:rPr>
      </w:pPr>
    </w:p>
    <w:p w14:paraId="35CBD3F1">
      <w:pPr>
        <w:jc w:val="left"/>
        <w:rPr>
          <w:rFonts w:hint="eastAsia" w:ascii="黑体" w:eastAsia="黑体"/>
          <w:bCs/>
          <w:i w:val="0"/>
          <w:iCs w:val="0"/>
          <w:color w:val="auto"/>
          <w:sz w:val="24"/>
          <w:szCs w:val="24"/>
          <w:highlight w:val="none"/>
        </w:rPr>
      </w:pPr>
    </w:p>
    <w:p w14:paraId="33F589E3">
      <w:pPr>
        <w:jc w:val="left"/>
        <w:rPr>
          <w:rFonts w:hint="eastAsia" w:ascii="黑体" w:eastAsia="黑体"/>
          <w:bCs/>
          <w:i w:val="0"/>
          <w:iCs w:val="0"/>
          <w:color w:val="auto"/>
          <w:sz w:val="24"/>
          <w:szCs w:val="24"/>
          <w:highlight w:val="none"/>
        </w:rPr>
      </w:pPr>
    </w:p>
    <w:p w14:paraId="6F0E6659">
      <w:pPr>
        <w:jc w:val="left"/>
        <w:rPr>
          <w:rFonts w:hint="eastAsia" w:ascii="黑体" w:eastAsia="黑体"/>
          <w:bCs/>
          <w:i w:val="0"/>
          <w:iCs w:val="0"/>
          <w:color w:val="auto"/>
          <w:sz w:val="24"/>
          <w:szCs w:val="24"/>
          <w:highlight w:val="none"/>
        </w:rPr>
      </w:pPr>
    </w:p>
    <w:p w14:paraId="35E3F31A">
      <w:pPr>
        <w:jc w:val="left"/>
        <w:rPr>
          <w:rFonts w:hint="eastAsia" w:ascii="黑体" w:eastAsia="黑体"/>
          <w:bCs/>
          <w:i w:val="0"/>
          <w:iCs w:val="0"/>
          <w:color w:val="auto"/>
          <w:sz w:val="24"/>
          <w:szCs w:val="24"/>
          <w:highlight w:val="none"/>
        </w:rPr>
      </w:pPr>
    </w:p>
    <w:p w14:paraId="17858D81">
      <w:pPr>
        <w:pStyle w:val="364"/>
        <w:keepNext w:val="0"/>
        <w:keepLines w:val="0"/>
        <w:pageBreakBefore w:val="0"/>
        <w:widowControl w:val="0"/>
        <w:spacing w:before="0" w:after="0" w:line="500" w:lineRule="exact"/>
        <w:ind w:left="0" w:firstLine="360"/>
        <w:rPr>
          <w:rFonts w:hint="eastAsia" w:ascii="宋体" w:hAnsi="宋体"/>
          <w:i w:val="0"/>
          <w:iCs w:val="0"/>
          <w:color w:val="auto"/>
          <w:highlight w:val="none"/>
          <w:shd w:val="clear" w:color="FFFFFF" w:fill="D9D9D9"/>
        </w:rPr>
      </w:pPr>
      <w:r>
        <w:rPr>
          <w:rFonts w:hint="eastAsia" w:ascii="宋体" w:hAnsi="宋体"/>
          <w:b/>
          <w:i w:val="0"/>
          <w:iCs w:val="0"/>
          <w:color w:val="auto"/>
          <w:sz w:val="28"/>
          <w:szCs w:val="28"/>
          <w:highlight w:val="none"/>
        </w:rPr>
        <w:t>二、评分标准</w:t>
      </w:r>
    </w:p>
    <w:p w14:paraId="2BF8C71A">
      <w:pPr>
        <w:keepNext w:val="0"/>
        <w:keepLines w:val="0"/>
        <w:pageBreakBefore w:val="0"/>
        <w:widowControl w:val="0"/>
        <w:tabs>
          <w:tab w:val="left" w:pos="945"/>
          <w:tab w:val="left" w:pos="1155"/>
        </w:tabs>
        <w:spacing w:line="500" w:lineRule="exact"/>
        <w:ind w:left="0" w:firstLine="480"/>
        <w:rPr>
          <w:rFonts w:ascii="宋体" w:hAnsi="宋体"/>
          <w:b/>
          <w:bCs/>
          <w:i w:val="0"/>
          <w:iCs w:val="0"/>
          <w:color w:val="auto"/>
          <w:sz w:val="24"/>
          <w:szCs w:val="24"/>
          <w:highlight w:val="none"/>
        </w:rPr>
      </w:pPr>
      <w:r>
        <w:rPr>
          <w:rFonts w:hint="eastAsia" w:ascii="宋体" w:hAnsi="宋体"/>
          <w:b/>
          <w:bCs/>
          <w:i w:val="0"/>
          <w:iCs w:val="0"/>
          <w:color w:val="auto"/>
          <w:sz w:val="24"/>
          <w:szCs w:val="24"/>
          <w:highlight w:val="none"/>
          <w:lang w:eastAsia="zh-CN"/>
        </w:rPr>
        <w:t>（一）</w:t>
      </w:r>
      <w:r>
        <w:rPr>
          <w:rFonts w:hint="eastAsia" w:ascii="宋体" w:hAnsi="宋体"/>
          <w:b/>
          <w:bCs/>
          <w:i w:val="0"/>
          <w:iCs w:val="0"/>
          <w:color w:val="auto"/>
          <w:sz w:val="24"/>
          <w:szCs w:val="24"/>
          <w:highlight w:val="none"/>
        </w:rPr>
        <w:t>价格（</w:t>
      </w:r>
      <w:r>
        <w:rPr>
          <w:rFonts w:hint="eastAsia" w:ascii="宋体" w:hAnsi="宋体"/>
          <w:b/>
          <w:bCs/>
          <w:i w:val="0"/>
          <w:iCs w:val="0"/>
          <w:color w:val="auto"/>
          <w:sz w:val="24"/>
          <w:szCs w:val="24"/>
          <w:highlight w:val="none"/>
          <w:lang w:val="en-US" w:eastAsia="zh-CN"/>
        </w:rPr>
        <w:t>30</w:t>
      </w:r>
      <w:r>
        <w:rPr>
          <w:rFonts w:hint="eastAsia" w:ascii="宋体" w:hAnsi="宋体"/>
          <w:b/>
          <w:bCs/>
          <w:i w:val="0"/>
          <w:iCs w:val="0"/>
          <w:color w:val="auto"/>
          <w:sz w:val="24"/>
          <w:szCs w:val="24"/>
          <w:highlight w:val="none"/>
        </w:rPr>
        <w:t>分）：</w:t>
      </w:r>
    </w:p>
    <w:p w14:paraId="16DE20D2">
      <w:pPr>
        <w:keepNext w:val="0"/>
        <w:keepLines w:val="0"/>
        <w:pageBreakBefore w:val="0"/>
        <w:widowControl w:val="0"/>
        <w:tabs>
          <w:tab w:val="left" w:pos="945"/>
          <w:tab w:val="left" w:pos="1155"/>
        </w:tabs>
        <w:spacing w:line="500" w:lineRule="exact"/>
        <w:ind w:left="0"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采用低价优先法计算，即满足招标文件要求且投标价格最低的投标报价为评标基准价，其价格分为满分。其他投标人的价格分统一按照下列公式计算：</w:t>
      </w:r>
    </w:p>
    <w:p w14:paraId="7BF0F828">
      <w:pPr>
        <w:keepNext w:val="0"/>
        <w:keepLines w:val="0"/>
        <w:pageBreakBefore w:val="0"/>
        <w:widowControl w:val="0"/>
        <w:spacing w:line="500" w:lineRule="exact"/>
        <w:ind w:left="0"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投标报价得分</w:t>
      </w:r>
      <w:r>
        <w:rPr>
          <w:rFonts w:ascii="宋体" w:hAnsi="宋体"/>
          <w:bCs/>
          <w:i w:val="0"/>
          <w:iCs w:val="0"/>
          <w:color w:val="auto"/>
          <w:sz w:val="24"/>
          <w:szCs w:val="24"/>
          <w:highlight w:val="none"/>
        </w:rPr>
        <w:t>=(</w:t>
      </w:r>
      <w:r>
        <w:rPr>
          <w:rFonts w:hint="eastAsia" w:ascii="宋体" w:hAnsi="宋体"/>
          <w:bCs/>
          <w:i w:val="0"/>
          <w:iCs w:val="0"/>
          <w:color w:val="auto"/>
          <w:sz w:val="24"/>
          <w:szCs w:val="24"/>
          <w:highlight w:val="none"/>
        </w:rPr>
        <w:t>评标基准价／投标报价</w:t>
      </w:r>
      <w:r>
        <w:rPr>
          <w:rFonts w:ascii="宋体" w:hAnsi="宋体"/>
          <w:bCs/>
          <w:i w:val="0"/>
          <w:iCs w:val="0"/>
          <w:color w:val="auto"/>
          <w:sz w:val="24"/>
          <w:szCs w:val="24"/>
          <w:highlight w:val="none"/>
        </w:rPr>
        <w:t>)</w:t>
      </w:r>
      <w:r>
        <w:rPr>
          <w:rFonts w:hint="eastAsia" w:ascii="宋体" w:hAnsi="宋体"/>
          <w:bCs/>
          <w:i w:val="0"/>
          <w:iCs w:val="0"/>
          <w:color w:val="auto"/>
          <w:sz w:val="24"/>
          <w:szCs w:val="24"/>
          <w:highlight w:val="none"/>
        </w:rPr>
        <w:t>×价格权值×</w:t>
      </w:r>
      <w:r>
        <w:rPr>
          <w:rFonts w:ascii="宋体" w:hAnsi="宋体"/>
          <w:bCs/>
          <w:i w:val="0"/>
          <w:iCs w:val="0"/>
          <w:color w:val="auto"/>
          <w:sz w:val="24"/>
          <w:szCs w:val="24"/>
          <w:highlight w:val="none"/>
        </w:rPr>
        <w:t>100</w:t>
      </w:r>
      <w:r>
        <w:rPr>
          <w:rFonts w:hint="eastAsia" w:ascii="宋体" w:hAnsi="宋体"/>
          <w:bCs/>
          <w:i w:val="0"/>
          <w:iCs w:val="0"/>
          <w:color w:val="auto"/>
          <w:sz w:val="24"/>
          <w:szCs w:val="24"/>
          <w:highlight w:val="none"/>
        </w:rPr>
        <w:t>。</w:t>
      </w:r>
    </w:p>
    <w:p w14:paraId="7694D8D9">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关于价格扣除详见本章第二部分“一、落实政府采购政策的价格调整”。</w:t>
      </w:r>
    </w:p>
    <w:p w14:paraId="303C35AC">
      <w:pPr>
        <w:spacing w:line="360" w:lineRule="auto"/>
        <w:ind w:firstLine="480"/>
        <w:rPr>
          <w:rFonts w:hint="eastAsia"/>
          <w:b/>
          <w:bCs/>
          <w:color w:val="auto"/>
          <w:sz w:val="24"/>
          <w:szCs w:val="24"/>
          <w:highlight w:val="none"/>
        </w:rPr>
      </w:pPr>
      <w:r>
        <w:rPr>
          <w:rFonts w:hint="eastAsia"/>
          <w:b/>
          <w:bCs/>
          <w:color w:val="auto"/>
          <w:sz w:val="24"/>
          <w:szCs w:val="24"/>
          <w:highlight w:val="none"/>
        </w:rPr>
        <w:t>（</w:t>
      </w:r>
      <w:r>
        <w:rPr>
          <w:rFonts w:hint="eastAsia"/>
          <w:b/>
          <w:bCs/>
          <w:color w:val="auto"/>
          <w:sz w:val="24"/>
          <w:szCs w:val="24"/>
          <w:highlight w:val="none"/>
          <w:lang w:eastAsia="zh-CN"/>
        </w:rPr>
        <w:t>二</w:t>
      </w:r>
      <w:r>
        <w:rPr>
          <w:rFonts w:hint="eastAsia"/>
          <w:b/>
          <w:bCs/>
          <w:color w:val="auto"/>
          <w:sz w:val="24"/>
          <w:szCs w:val="24"/>
          <w:highlight w:val="none"/>
        </w:rPr>
        <w:t>）投标供应商综合实力（</w:t>
      </w:r>
      <w:r>
        <w:rPr>
          <w:rFonts w:hint="eastAsia"/>
          <w:b/>
          <w:bCs/>
          <w:color w:val="auto"/>
          <w:sz w:val="24"/>
          <w:szCs w:val="24"/>
          <w:highlight w:val="none"/>
          <w:lang w:val="en-US" w:eastAsia="zh-CN"/>
        </w:rPr>
        <w:t>6</w:t>
      </w:r>
      <w:r>
        <w:rPr>
          <w:rFonts w:hint="eastAsia"/>
          <w:b/>
          <w:bCs/>
          <w:color w:val="auto"/>
          <w:sz w:val="24"/>
          <w:szCs w:val="24"/>
          <w:highlight w:val="none"/>
        </w:rPr>
        <w:t>分）</w:t>
      </w:r>
    </w:p>
    <w:p w14:paraId="20C31D0E">
      <w:pPr>
        <w:spacing w:line="360" w:lineRule="auto"/>
        <w:ind w:firstLine="480"/>
        <w:rPr>
          <w:color w:val="auto"/>
          <w:sz w:val="24"/>
          <w:szCs w:val="24"/>
          <w:highlight w:val="none"/>
        </w:rPr>
      </w:pPr>
      <w:r>
        <w:rPr>
          <w:color w:val="auto"/>
          <w:sz w:val="24"/>
          <w:szCs w:val="24"/>
          <w:highlight w:val="none"/>
        </w:rPr>
        <w:t>1</w:t>
      </w:r>
      <w:r>
        <w:rPr>
          <w:rFonts w:hint="eastAsia"/>
          <w:color w:val="auto"/>
          <w:sz w:val="24"/>
          <w:szCs w:val="24"/>
          <w:highlight w:val="none"/>
        </w:rPr>
        <w:t>）类似业绩（</w:t>
      </w:r>
      <w:r>
        <w:rPr>
          <w:rFonts w:hint="eastAsia"/>
          <w:color w:val="auto"/>
          <w:sz w:val="24"/>
          <w:szCs w:val="24"/>
          <w:highlight w:val="none"/>
          <w:lang w:val="en-US" w:eastAsia="zh-CN"/>
        </w:rPr>
        <w:t>3</w:t>
      </w:r>
      <w:r>
        <w:rPr>
          <w:rFonts w:hint="eastAsia"/>
          <w:color w:val="auto"/>
          <w:sz w:val="24"/>
          <w:szCs w:val="24"/>
          <w:highlight w:val="none"/>
        </w:rPr>
        <w:t>分）：投标</w:t>
      </w:r>
      <w:r>
        <w:rPr>
          <w:rFonts w:hint="eastAsia"/>
          <w:color w:val="auto"/>
          <w:sz w:val="24"/>
          <w:szCs w:val="24"/>
          <w:highlight w:val="none"/>
          <w:lang w:val="en-US" w:eastAsia="zh-CN"/>
        </w:rPr>
        <w:t>供应商自2023</w:t>
      </w:r>
      <w:r>
        <w:rPr>
          <w:rFonts w:hint="eastAsia"/>
          <w:color w:val="auto"/>
          <w:sz w:val="24"/>
          <w:szCs w:val="24"/>
          <w:highlight w:val="none"/>
        </w:rPr>
        <w:t>年1月1日（以合同签订日期为准）以来具有类似</w:t>
      </w:r>
      <w:r>
        <w:rPr>
          <w:rFonts w:hint="eastAsia"/>
          <w:color w:val="auto"/>
          <w:sz w:val="24"/>
          <w:szCs w:val="24"/>
          <w:highlight w:val="none"/>
          <w:lang w:val="en-US" w:eastAsia="zh-CN"/>
        </w:rPr>
        <w:t>项目建设</w:t>
      </w:r>
      <w:r>
        <w:rPr>
          <w:rFonts w:hint="eastAsia"/>
          <w:color w:val="auto"/>
          <w:sz w:val="24"/>
          <w:szCs w:val="24"/>
          <w:highlight w:val="none"/>
        </w:rPr>
        <w:t>案例（提供合同原件扫描件），每提供1个项目案例业绩得</w:t>
      </w:r>
      <w:r>
        <w:rPr>
          <w:rFonts w:hint="eastAsia"/>
          <w:color w:val="auto"/>
          <w:sz w:val="24"/>
          <w:szCs w:val="24"/>
          <w:highlight w:val="none"/>
          <w:lang w:val="en-US" w:eastAsia="zh-CN"/>
        </w:rPr>
        <w:t>1</w:t>
      </w:r>
      <w:r>
        <w:rPr>
          <w:rFonts w:hint="eastAsia"/>
          <w:color w:val="auto"/>
          <w:sz w:val="24"/>
          <w:szCs w:val="24"/>
          <w:highlight w:val="none"/>
        </w:rPr>
        <w:t>分，最高得</w:t>
      </w:r>
      <w:r>
        <w:rPr>
          <w:rFonts w:hint="eastAsia"/>
          <w:color w:val="auto"/>
          <w:sz w:val="24"/>
          <w:szCs w:val="24"/>
          <w:highlight w:val="none"/>
          <w:lang w:val="en-US" w:eastAsia="zh-CN"/>
        </w:rPr>
        <w:t>3</w:t>
      </w:r>
      <w:r>
        <w:rPr>
          <w:rFonts w:hint="eastAsia"/>
          <w:color w:val="auto"/>
          <w:sz w:val="24"/>
          <w:szCs w:val="24"/>
          <w:highlight w:val="none"/>
        </w:rPr>
        <w:t>分，未提供不得分。</w:t>
      </w:r>
    </w:p>
    <w:p w14:paraId="331044E3">
      <w:pPr>
        <w:spacing w:line="360" w:lineRule="auto"/>
        <w:ind w:firstLine="480"/>
        <w:rPr>
          <w:color w:val="auto"/>
          <w:sz w:val="24"/>
          <w:szCs w:val="24"/>
          <w:highlight w:val="none"/>
        </w:rPr>
      </w:pPr>
      <w:r>
        <w:rPr>
          <w:color w:val="auto"/>
          <w:sz w:val="24"/>
          <w:szCs w:val="24"/>
          <w:highlight w:val="none"/>
        </w:rPr>
        <w:t>2</w:t>
      </w:r>
      <w:r>
        <w:rPr>
          <w:rFonts w:hint="eastAsia"/>
          <w:color w:val="auto"/>
          <w:sz w:val="24"/>
          <w:szCs w:val="24"/>
          <w:highlight w:val="none"/>
        </w:rPr>
        <w:t>）认证证书（</w:t>
      </w:r>
      <w:r>
        <w:rPr>
          <w:rFonts w:hint="eastAsia"/>
          <w:color w:val="auto"/>
          <w:sz w:val="24"/>
          <w:szCs w:val="24"/>
          <w:highlight w:val="none"/>
          <w:lang w:val="en-US" w:eastAsia="zh-CN"/>
        </w:rPr>
        <w:t>3</w:t>
      </w:r>
      <w:r>
        <w:rPr>
          <w:rFonts w:hint="eastAsia"/>
          <w:color w:val="auto"/>
          <w:sz w:val="24"/>
          <w:szCs w:val="24"/>
          <w:highlight w:val="none"/>
        </w:rPr>
        <w:t>分）：</w:t>
      </w:r>
      <w:r>
        <w:rPr>
          <w:rFonts w:hint="eastAsia"/>
          <w:bCs/>
          <w:color w:val="auto"/>
          <w:sz w:val="24"/>
          <w:szCs w:val="24"/>
          <w:highlight w:val="none"/>
        </w:rPr>
        <w:t>投标供应商</w:t>
      </w:r>
      <w:r>
        <w:rPr>
          <w:rFonts w:hint="eastAsia"/>
          <w:color w:val="auto"/>
          <w:sz w:val="24"/>
          <w:szCs w:val="24"/>
          <w:highlight w:val="none"/>
        </w:rPr>
        <w:t>具有有效的业务连续性管理体系认证证书、数据存储安全管理体系认证证书、供应链安全管理体系认证证书的，每个得</w:t>
      </w:r>
      <w:r>
        <w:rPr>
          <w:rFonts w:hint="eastAsia"/>
          <w:color w:val="auto"/>
          <w:sz w:val="24"/>
          <w:szCs w:val="24"/>
          <w:highlight w:val="none"/>
          <w:lang w:val="en-US" w:eastAsia="zh-CN"/>
        </w:rPr>
        <w:t>1</w:t>
      </w:r>
      <w:r>
        <w:rPr>
          <w:rFonts w:hint="eastAsia"/>
          <w:color w:val="auto"/>
          <w:sz w:val="24"/>
          <w:szCs w:val="24"/>
          <w:highlight w:val="none"/>
        </w:rPr>
        <w:t>分，最高得</w:t>
      </w:r>
      <w:r>
        <w:rPr>
          <w:rFonts w:hint="eastAsia"/>
          <w:color w:val="auto"/>
          <w:sz w:val="24"/>
          <w:szCs w:val="24"/>
          <w:highlight w:val="none"/>
          <w:lang w:val="en-US" w:eastAsia="zh-CN"/>
        </w:rPr>
        <w:t>3</w:t>
      </w:r>
      <w:r>
        <w:rPr>
          <w:rFonts w:hint="eastAsia"/>
          <w:color w:val="auto"/>
          <w:sz w:val="24"/>
          <w:szCs w:val="24"/>
          <w:highlight w:val="none"/>
        </w:rPr>
        <w:t>分。投标文件中须提供以下资料之一：①以上证书原件扫描件并签章；②认证机构的官方网站或中国国家认证认可监督管理委员会官方网站（www.cnca.gov.cn）查证该认证为有效状态信息的网页截图并签章，不提供不得分。</w:t>
      </w:r>
    </w:p>
    <w:p w14:paraId="5F70F8A1">
      <w:pPr>
        <w:spacing w:line="360" w:lineRule="auto"/>
        <w:ind w:firstLine="480"/>
        <w:rPr>
          <w:b/>
          <w:bCs/>
          <w:color w:val="auto"/>
          <w:sz w:val="24"/>
          <w:szCs w:val="24"/>
          <w:highlight w:val="none"/>
        </w:rPr>
      </w:pPr>
      <w:r>
        <w:rPr>
          <w:rFonts w:hint="eastAsia"/>
          <w:b/>
          <w:bCs/>
          <w:color w:val="auto"/>
          <w:sz w:val="24"/>
          <w:szCs w:val="24"/>
          <w:highlight w:val="none"/>
        </w:rPr>
        <w:t>（</w:t>
      </w:r>
      <w:r>
        <w:rPr>
          <w:rFonts w:hint="eastAsia"/>
          <w:b/>
          <w:bCs/>
          <w:color w:val="auto"/>
          <w:sz w:val="24"/>
          <w:szCs w:val="24"/>
          <w:highlight w:val="none"/>
          <w:lang w:eastAsia="zh-CN"/>
        </w:rPr>
        <w:t>三</w:t>
      </w:r>
      <w:r>
        <w:rPr>
          <w:rFonts w:hint="eastAsia"/>
          <w:b/>
          <w:bCs/>
          <w:color w:val="auto"/>
          <w:sz w:val="24"/>
          <w:szCs w:val="24"/>
          <w:highlight w:val="none"/>
        </w:rPr>
        <w:t>）重点技术指标或功能响应情况（</w:t>
      </w:r>
      <w:r>
        <w:rPr>
          <w:rFonts w:hint="eastAsia"/>
          <w:b/>
          <w:bCs/>
          <w:color w:val="auto"/>
          <w:sz w:val="24"/>
          <w:szCs w:val="24"/>
          <w:highlight w:val="none"/>
          <w:lang w:val="en-US" w:eastAsia="zh-CN"/>
        </w:rPr>
        <w:t>24</w:t>
      </w:r>
      <w:r>
        <w:rPr>
          <w:rFonts w:hint="eastAsia"/>
          <w:b/>
          <w:bCs/>
          <w:color w:val="auto"/>
          <w:sz w:val="24"/>
          <w:szCs w:val="24"/>
          <w:highlight w:val="none"/>
        </w:rPr>
        <w:t>分）</w:t>
      </w:r>
    </w:p>
    <w:p w14:paraId="327FFE7C">
      <w:pPr>
        <w:spacing w:line="360" w:lineRule="auto"/>
        <w:ind w:firstLine="480"/>
        <w:rPr>
          <w:rFonts w:cs="仿宋"/>
          <w:b/>
          <w:bCs/>
          <w:color w:val="auto"/>
          <w:sz w:val="24"/>
          <w:szCs w:val="24"/>
          <w:highlight w:val="none"/>
        </w:rPr>
      </w:pPr>
      <w:r>
        <w:rPr>
          <w:rFonts w:hint="eastAsia" w:cs="仿宋"/>
          <w:b/>
          <w:bCs/>
          <w:color w:val="auto"/>
          <w:sz w:val="24"/>
          <w:szCs w:val="24"/>
          <w:highlight w:val="none"/>
        </w:rPr>
        <w:t>投标人需逐条针对以下技术按要求响应并提供证明材料，满分</w:t>
      </w:r>
      <w:r>
        <w:rPr>
          <w:rFonts w:hint="eastAsia" w:cs="仿宋"/>
          <w:b/>
          <w:bCs/>
          <w:color w:val="auto"/>
          <w:sz w:val="24"/>
          <w:szCs w:val="24"/>
          <w:highlight w:val="none"/>
          <w:lang w:val="en-US" w:eastAsia="zh-CN"/>
        </w:rPr>
        <w:t>24</w:t>
      </w:r>
      <w:r>
        <w:rPr>
          <w:rFonts w:hint="eastAsia" w:cs="仿宋"/>
          <w:b/>
          <w:bCs/>
          <w:color w:val="auto"/>
          <w:sz w:val="24"/>
          <w:szCs w:val="24"/>
          <w:highlight w:val="none"/>
        </w:rPr>
        <w:t>分，具体如下：</w:t>
      </w:r>
    </w:p>
    <w:p w14:paraId="2CBF37F6">
      <w:pPr>
        <w:spacing w:line="360" w:lineRule="auto"/>
        <w:ind w:firstLine="480"/>
        <w:rPr>
          <w:rFonts w:hint="default" w:eastAsia="宋体"/>
          <w:b/>
          <w:bCs/>
          <w:color w:val="auto"/>
          <w:sz w:val="24"/>
          <w:szCs w:val="24"/>
          <w:highlight w:val="none"/>
          <w:lang w:val="en-US" w:eastAsia="zh-CN"/>
        </w:rPr>
      </w:pPr>
      <w:r>
        <w:rPr>
          <w:rFonts w:hint="eastAsia"/>
          <w:b/>
          <w:bCs/>
          <w:color w:val="auto"/>
          <w:sz w:val="24"/>
          <w:szCs w:val="24"/>
          <w:highlight w:val="none"/>
        </w:rPr>
        <w:t>1）内网服务器防病毒</w:t>
      </w:r>
      <w:r>
        <w:rPr>
          <w:rFonts w:hint="eastAsia"/>
          <w:b/>
          <w:bCs/>
          <w:color w:val="auto"/>
          <w:sz w:val="24"/>
          <w:szCs w:val="24"/>
          <w:highlight w:val="none"/>
          <w:lang w:eastAsia="zh-CN"/>
        </w:rPr>
        <w:t>（</w:t>
      </w:r>
      <w:r>
        <w:rPr>
          <w:rFonts w:hint="eastAsia"/>
          <w:b/>
          <w:bCs/>
          <w:color w:val="auto"/>
          <w:sz w:val="24"/>
          <w:szCs w:val="24"/>
          <w:highlight w:val="none"/>
          <w:lang w:val="en-US" w:eastAsia="zh-CN"/>
        </w:rPr>
        <w:t>8分）</w:t>
      </w:r>
    </w:p>
    <w:p w14:paraId="319FB80B">
      <w:pPr>
        <w:spacing w:line="360" w:lineRule="auto"/>
        <w:ind w:firstLine="480"/>
        <w:rPr>
          <w:rFonts w:hint="eastAsia"/>
          <w:color w:val="auto"/>
          <w:sz w:val="24"/>
          <w:szCs w:val="24"/>
          <w:highlight w:val="none"/>
        </w:rPr>
      </w:pPr>
      <w:r>
        <w:rPr>
          <w:rFonts w:hint="eastAsia"/>
          <w:color w:val="auto"/>
          <w:sz w:val="24"/>
          <w:szCs w:val="24"/>
          <w:highlight w:val="none"/>
          <w:lang w:val="en-US" w:eastAsia="zh-CN"/>
        </w:rPr>
        <w:t>A.</w:t>
      </w:r>
      <w:r>
        <w:rPr>
          <w:rFonts w:hint="eastAsia"/>
          <w:color w:val="auto"/>
          <w:sz w:val="24"/>
          <w:szCs w:val="24"/>
          <w:highlight w:val="none"/>
        </w:rPr>
        <w:t>支持windows服务器RDP远程登录保护，</w:t>
      </w:r>
      <w:r>
        <w:rPr>
          <w:rFonts w:hint="eastAsia"/>
          <w:color w:val="auto"/>
          <w:sz w:val="24"/>
          <w:szCs w:val="24"/>
          <w:highlight w:val="none"/>
          <w:lang w:val="en-US" w:eastAsia="zh-CN"/>
        </w:rPr>
        <w:t>基础项不得分；在这基础上额外能提供</w:t>
      </w:r>
      <w:r>
        <w:rPr>
          <w:rFonts w:hint="eastAsia"/>
          <w:color w:val="auto"/>
          <w:sz w:val="24"/>
          <w:szCs w:val="24"/>
          <w:highlight w:val="none"/>
        </w:rPr>
        <w:t>可开启RDP远程登录二次认证，以防止黑客对服务器的入侵</w:t>
      </w:r>
      <w:r>
        <w:rPr>
          <w:rFonts w:hint="eastAsia"/>
          <w:color w:val="auto"/>
          <w:sz w:val="24"/>
          <w:szCs w:val="24"/>
          <w:highlight w:val="none"/>
          <w:lang w:val="en-US" w:eastAsia="zh-CN"/>
        </w:rPr>
        <w:t>功能</w:t>
      </w:r>
      <w:r>
        <w:rPr>
          <w:rFonts w:hint="eastAsia"/>
          <w:color w:val="auto"/>
          <w:sz w:val="24"/>
          <w:szCs w:val="24"/>
          <w:highlight w:val="none"/>
          <w:lang w:eastAsia="zh-CN"/>
        </w:rPr>
        <w:t>，</w:t>
      </w:r>
      <w:r>
        <w:rPr>
          <w:rFonts w:hint="eastAsia"/>
          <w:color w:val="auto"/>
          <w:sz w:val="24"/>
          <w:szCs w:val="24"/>
          <w:highlight w:val="none"/>
          <w:lang w:val="en-US" w:eastAsia="zh-CN"/>
        </w:rPr>
        <w:t>得2分</w:t>
      </w:r>
      <w:r>
        <w:rPr>
          <w:rFonts w:hint="eastAsia"/>
          <w:color w:val="auto"/>
          <w:sz w:val="24"/>
          <w:szCs w:val="24"/>
          <w:highlight w:val="none"/>
        </w:rPr>
        <w:t>。（提供产品功能截图证明并加盖供应商公章）</w:t>
      </w:r>
    </w:p>
    <w:p w14:paraId="76C57758">
      <w:pPr>
        <w:spacing w:line="360" w:lineRule="auto"/>
        <w:ind w:firstLine="480"/>
        <w:rPr>
          <w:rFonts w:hint="eastAsia"/>
          <w:color w:val="auto"/>
          <w:sz w:val="24"/>
          <w:szCs w:val="24"/>
          <w:highlight w:val="none"/>
        </w:rPr>
      </w:pPr>
      <w:r>
        <w:rPr>
          <w:rFonts w:hint="eastAsia"/>
          <w:color w:val="auto"/>
          <w:sz w:val="24"/>
          <w:szCs w:val="24"/>
          <w:highlight w:val="none"/>
          <w:lang w:val="en-US" w:eastAsia="zh-CN"/>
        </w:rPr>
        <w:t>B.</w:t>
      </w:r>
      <w:r>
        <w:rPr>
          <w:rFonts w:hint="eastAsia"/>
          <w:color w:val="auto"/>
          <w:sz w:val="24"/>
          <w:szCs w:val="24"/>
          <w:highlight w:val="none"/>
        </w:rPr>
        <w:t>支持Linux服务器SSH远程登录保护，</w:t>
      </w:r>
      <w:r>
        <w:rPr>
          <w:rFonts w:hint="eastAsia"/>
          <w:color w:val="auto"/>
          <w:sz w:val="24"/>
          <w:szCs w:val="24"/>
          <w:highlight w:val="none"/>
          <w:lang w:val="en-US" w:eastAsia="zh-CN"/>
        </w:rPr>
        <w:t>基础项不得分；在这基础上额外能提供</w:t>
      </w:r>
      <w:r>
        <w:rPr>
          <w:rFonts w:hint="eastAsia"/>
          <w:color w:val="auto"/>
          <w:sz w:val="24"/>
          <w:szCs w:val="24"/>
          <w:highlight w:val="none"/>
        </w:rPr>
        <w:t>可开启SSH远程登录二次认证，以防止黑客利用弱密码脆弱性对服务器的入侵；支持设置验证码验证或自定义密码验证，支持设置登录认证提示、生效时间段和免二次认证白名单</w:t>
      </w:r>
      <w:r>
        <w:rPr>
          <w:rFonts w:hint="eastAsia"/>
          <w:color w:val="auto"/>
          <w:sz w:val="24"/>
          <w:szCs w:val="24"/>
          <w:highlight w:val="none"/>
          <w:lang w:eastAsia="zh-CN"/>
        </w:rPr>
        <w:t>，</w:t>
      </w:r>
      <w:r>
        <w:rPr>
          <w:rFonts w:hint="eastAsia"/>
          <w:color w:val="auto"/>
          <w:sz w:val="24"/>
          <w:szCs w:val="24"/>
          <w:highlight w:val="none"/>
          <w:lang w:val="en-US" w:eastAsia="zh-CN"/>
        </w:rPr>
        <w:t>得2分</w:t>
      </w:r>
      <w:r>
        <w:rPr>
          <w:rFonts w:hint="eastAsia"/>
          <w:color w:val="auto"/>
          <w:sz w:val="24"/>
          <w:szCs w:val="24"/>
          <w:highlight w:val="none"/>
        </w:rPr>
        <w:t>。（提供产品功能截图证明并加盖公章）</w:t>
      </w:r>
    </w:p>
    <w:p w14:paraId="1A3EC255">
      <w:pPr>
        <w:spacing w:line="360" w:lineRule="auto"/>
        <w:ind w:firstLine="480"/>
        <w:rPr>
          <w:rFonts w:hint="eastAsia"/>
          <w:color w:val="auto"/>
          <w:sz w:val="24"/>
          <w:szCs w:val="24"/>
          <w:highlight w:val="none"/>
        </w:rPr>
      </w:pPr>
      <w:r>
        <w:rPr>
          <w:rFonts w:hint="eastAsia"/>
          <w:color w:val="auto"/>
          <w:sz w:val="24"/>
          <w:szCs w:val="24"/>
          <w:highlight w:val="none"/>
          <w:lang w:val="en-US" w:eastAsia="zh-CN"/>
        </w:rPr>
        <w:t>C.</w:t>
      </w:r>
      <w:r>
        <w:rPr>
          <w:rFonts w:hint="eastAsia"/>
          <w:color w:val="auto"/>
          <w:sz w:val="24"/>
          <w:szCs w:val="24"/>
          <w:highlight w:val="none"/>
        </w:rPr>
        <w:t>支持联动我院现有的MSS安全运营平台，当安全运营平台发现病毒事件可自动下发策略给“内网服务器防病毒”进行隔离主机，</w:t>
      </w:r>
      <w:r>
        <w:rPr>
          <w:rFonts w:hint="eastAsia"/>
          <w:color w:val="auto"/>
          <w:sz w:val="24"/>
          <w:szCs w:val="24"/>
          <w:highlight w:val="none"/>
          <w:lang w:val="en-US" w:eastAsia="zh-CN"/>
        </w:rPr>
        <w:t>基础项不得分；在这基础上额外能提供</w:t>
      </w:r>
      <w:r>
        <w:rPr>
          <w:rFonts w:hint="eastAsia"/>
          <w:color w:val="auto"/>
          <w:sz w:val="24"/>
          <w:szCs w:val="24"/>
          <w:highlight w:val="none"/>
        </w:rPr>
        <w:t>支持隔离主机的管理，展示隔离主机的详细信息，包括主机名、操作人、处置时间、隔离状态和联动设备等，可对已隔离主机进行解除隔离</w:t>
      </w:r>
      <w:r>
        <w:rPr>
          <w:rFonts w:hint="eastAsia"/>
          <w:color w:val="auto"/>
          <w:sz w:val="24"/>
          <w:szCs w:val="24"/>
          <w:highlight w:val="none"/>
          <w:lang w:eastAsia="zh-CN"/>
        </w:rPr>
        <w:t>，</w:t>
      </w:r>
      <w:r>
        <w:rPr>
          <w:rFonts w:hint="eastAsia"/>
          <w:color w:val="auto"/>
          <w:sz w:val="24"/>
          <w:szCs w:val="24"/>
          <w:highlight w:val="none"/>
          <w:lang w:val="en-US" w:eastAsia="zh-CN"/>
        </w:rPr>
        <w:t>得4分</w:t>
      </w:r>
      <w:r>
        <w:rPr>
          <w:rFonts w:hint="eastAsia"/>
          <w:color w:val="auto"/>
          <w:sz w:val="24"/>
          <w:szCs w:val="24"/>
          <w:highlight w:val="none"/>
        </w:rPr>
        <w:t>。（提供投标产品和安全运营平台功能截图证明并加盖供应商公章）</w:t>
      </w:r>
    </w:p>
    <w:p w14:paraId="28197BDC">
      <w:pPr>
        <w:spacing w:line="360" w:lineRule="auto"/>
        <w:ind w:firstLine="480"/>
        <w:rPr>
          <w:b/>
          <w:bCs/>
          <w:color w:val="auto"/>
          <w:sz w:val="24"/>
          <w:szCs w:val="24"/>
          <w:highlight w:val="none"/>
        </w:rPr>
      </w:pPr>
      <w:r>
        <w:rPr>
          <w:rFonts w:hint="eastAsia"/>
          <w:b/>
          <w:bCs/>
          <w:color w:val="auto"/>
          <w:sz w:val="24"/>
          <w:szCs w:val="24"/>
          <w:highlight w:val="none"/>
        </w:rPr>
        <w:t>2）外网边界防火墙（</w:t>
      </w:r>
      <w:r>
        <w:rPr>
          <w:rFonts w:hint="eastAsia"/>
          <w:b/>
          <w:bCs/>
          <w:color w:val="auto"/>
          <w:sz w:val="24"/>
          <w:szCs w:val="24"/>
          <w:highlight w:val="none"/>
          <w:lang w:val="en-US" w:eastAsia="zh-CN"/>
        </w:rPr>
        <w:t>6</w:t>
      </w:r>
      <w:r>
        <w:rPr>
          <w:rFonts w:hint="eastAsia"/>
          <w:b/>
          <w:bCs/>
          <w:color w:val="auto"/>
          <w:sz w:val="24"/>
          <w:szCs w:val="24"/>
          <w:highlight w:val="none"/>
        </w:rPr>
        <w:t>分）</w:t>
      </w:r>
    </w:p>
    <w:p w14:paraId="5B344BCF">
      <w:pPr>
        <w:spacing w:line="360" w:lineRule="auto"/>
        <w:ind w:firstLine="480"/>
        <w:rPr>
          <w:rFonts w:hint="eastAsia"/>
          <w:color w:val="auto"/>
          <w:sz w:val="24"/>
          <w:szCs w:val="24"/>
          <w:highlight w:val="none"/>
        </w:rPr>
      </w:pPr>
      <w:r>
        <w:rPr>
          <w:rFonts w:hint="eastAsia"/>
          <w:color w:val="auto"/>
          <w:sz w:val="24"/>
          <w:szCs w:val="24"/>
          <w:highlight w:val="none"/>
          <w:lang w:val="en-US" w:eastAsia="zh-CN"/>
        </w:rPr>
        <w:t>A.</w:t>
      </w:r>
      <w:r>
        <w:rPr>
          <w:rFonts w:hint="eastAsia"/>
          <w:color w:val="auto"/>
          <w:sz w:val="24"/>
          <w:szCs w:val="24"/>
          <w:highlight w:val="none"/>
        </w:rPr>
        <w:t>产品支持云威胁情报网关技术，</w:t>
      </w:r>
      <w:r>
        <w:rPr>
          <w:rFonts w:hint="eastAsia"/>
          <w:color w:val="auto"/>
          <w:sz w:val="24"/>
          <w:szCs w:val="24"/>
          <w:highlight w:val="none"/>
          <w:lang w:val="en-US" w:eastAsia="zh-CN"/>
        </w:rPr>
        <w:t>基础项不得分；在这基础上额外能提供</w:t>
      </w:r>
      <w:r>
        <w:rPr>
          <w:rFonts w:hint="eastAsia"/>
          <w:color w:val="auto"/>
          <w:sz w:val="24"/>
          <w:szCs w:val="24"/>
          <w:highlight w:val="none"/>
        </w:rPr>
        <w:t>实现对威胁流量就近进行实时检测&amp;拦截，实现失陷外联实时阻断，保护资产安全</w:t>
      </w:r>
      <w:r>
        <w:rPr>
          <w:rFonts w:hint="eastAsia"/>
          <w:color w:val="auto"/>
          <w:sz w:val="24"/>
          <w:szCs w:val="24"/>
          <w:highlight w:val="none"/>
          <w:lang w:eastAsia="zh-CN"/>
        </w:rPr>
        <w:t>，</w:t>
      </w:r>
      <w:r>
        <w:rPr>
          <w:rFonts w:hint="eastAsia"/>
          <w:color w:val="auto"/>
          <w:sz w:val="24"/>
          <w:szCs w:val="24"/>
          <w:highlight w:val="none"/>
          <w:lang w:val="en-US" w:eastAsia="zh-CN"/>
        </w:rPr>
        <w:t>得2分</w:t>
      </w:r>
      <w:r>
        <w:rPr>
          <w:rFonts w:hint="eastAsia"/>
          <w:color w:val="auto"/>
          <w:sz w:val="24"/>
          <w:szCs w:val="24"/>
          <w:highlight w:val="none"/>
        </w:rPr>
        <w:t>。（需提供具备CMA/CNAS标识的第三方检测报告截图，</w:t>
      </w:r>
      <w:r>
        <w:rPr>
          <w:rFonts w:hint="eastAsia"/>
          <w:color w:val="auto"/>
          <w:sz w:val="24"/>
          <w:szCs w:val="24"/>
          <w:highlight w:val="none"/>
          <w:lang w:val="en-US" w:eastAsia="zh-CN"/>
        </w:rPr>
        <w:t>并</w:t>
      </w:r>
      <w:r>
        <w:rPr>
          <w:rFonts w:hint="eastAsia"/>
          <w:color w:val="auto"/>
          <w:sz w:val="24"/>
          <w:szCs w:val="24"/>
          <w:highlight w:val="none"/>
        </w:rPr>
        <w:t>加盖供应商公章）</w:t>
      </w:r>
    </w:p>
    <w:p w14:paraId="69460E3E">
      <w:pPr>
        <w:spacing w:line="360" w:lineRule="auto"/>
        <w:ind w:firstLine="480"/>
        <w:rPr>
          <w:rFonts w:hint="eastAsia"/>
          <w:color w:val="auto"/>
          <w:sz w:val="24"/>
          <w:szCs w:val="24"/>
          <w:highlight w:val="none"/>
        </w:rPr>
      </w:pPr>
      <w:r>
        <w:rPr>
          <w:rFonts w:hint="eastAsia"/>
          <w:color w:val="auto"/>
          <w:sz w:val="24"/>
          <w:szCs w:val="24"/>
          <w:highlight w:val="none"/>
          <w:lang w:val="en-US" w:eastAsia="zh-CN"/>
        </w:rPr>
        <w:t>B.</w:t>
      </w:r>
      <w:r>
        <w:rPr>
          <w:rFonts w:hint="eastAsia"/>
          <w:color w:val="auto"/>
          <w:sz w:val="24"/>
          <w:szCs w:val="24"/>
          <w:highlight w:val="none"/>
        </w:rPr>
        <w:t>为提高我院运维人员处置效率，产品支持与医院现有“外网服务器防病毒aES（系统版本为6.0.2）”联动管理，可在防火墙产品完成终端安全策略设置，</w:t>
      </w:r>
      <w:r>
        <w:rPr>
          <w:rFonts w:hint="eastAsia"/>
          <w:color w:val="auto"/>
          <w:sz w:val="24"/>
          <w:szCs w:val="24"/>
          <w:highlight w:val="none"/>
          <w:lang w:val="en-US" w:eastAsia="zh-CN"/>
        </w:rPr>
        <w:t>基础项不得分；在这基础上额外能提供</w:t>
      </w:r>
      <w:r>
        <w:rPr>
          <w:rFonts w:hint="eastAsia"/>
          <w:color w:val="auto"/>
          <w:sz w:val="24"/>
          <w:szCs w:val="24"/>
          <w:highlight w:val="none"/>
        </w:rPr>
        <w:t>支持检测到C2通信时，手动或自动化联动“aES”做C2通信的封锁遏制，支持一键隔离终端恶意文件</w:t>
      </w:r>
      <w:r>
        <w:rPr>
          <w:rFonts w:hint="eastAsia"/>
          <w:color w:val="auto"/>
          <w:sz w:val="24"/>
          <w:szCs w:val="24"/>
          <w:highlight w:val="none"/>
          <w:lang w:val="en-US" w:eastAsia="zh-CN"/>
        </w:rPr>
        <w:t>功能</w:t>
      </w:r>
      <w:r>
        <w:rPr>
          <w:rFonts w:hint="eastAsia"/>
          <w:color w:val="auto"/>
          <w:sz w:val="24"/>
          <w:szCs w:val="24"/>
          <w:highlight w:val="none"/>
          <w:lang w:eastAsia="zh-CN"/>
        </w:rPr>
        <w:t>，</w:t>
      </w:r>
      <w:r>
        <w:rPr>
          <w:rFonts w:hint="eastAsia"/>
          <w:color w:val="auto"/>
          <w:sz w:val="24"/>
          <w:szCs w:val="24"/>
          <w:highlight w:val="none"/>
          <w:lang w:val="en-US" w:eastAsia="zh-CN"/>
        </w:rPr>
        <w:t>得4分</w:t>
      </w:r>
      <w:r>
        <w:rPr>
          <w:rFonts w:hint="eastAsia"/>
          <w:color w:val="auto"/>
          <w:sz w:val="24"/>
          <w:szCs w:val="24"/>
          <w:highlight w:val="none"/>
        </w:rPr>
        <w:t>。（提供截图证明并加盖供应商公章）</w:t>
      </w:r>
    </w:p>
    <w:p w14:paraId="3252EACE">
      <w:pPr>
        <w:spacing w:line="360" w:lineRule="auto"/>
        <w:ind w:firstLine="480"/>
        <w:rPr>
          <w:color w:val="auto"/>
          <w:sz w:val="24"/>
          <w:szCs w:val="24"/>
          <w:highlight w:val="none"/>
        </w:rPr>
      </w:pPr>
      <w:r>
        <w:rPr>
          <w:rFonts w:hint="eastAsia"/>
          <w:b/>
          <w:bCs/>
          <w:color w:val="auto"/>
          <w:sz w:val="24"/>
          <w:szCs w:val="24"/>
          <w:highlight w:val="none"/>
        </w:rPr>
        <w:t>3）零信任平台-“控制中心要求”（8分）</w:t>
      </w:r>
    </w:p>
    <w:p w14:paraId="56EA43F4">
      <w:pPr>
        <w:spacing w:line="360" w:lineRule="auto"/>
        <w:ind w:firstLine="480"/>
        <w:rPr>
          <w:rFonts w:hint="eastAsia"/>
          <w:color w:val="auto"/>
          <w:sz w:val="24"/>
          <w:szCs w:val="24"/>
          <w:highlight w:val="none"/>
        </w:rPr>
      </w:pPr>
      <w:r>
        <w:rPr>
          <w:rFonts w:hint="eastAsia"/>
          <w:color w:val="auto"/>
          <w:sz w:val="24"/>
          <w:szCs w:val="24"/>
          <w:highlight w:val="none"/>
          <w:lang w:val="en-US" w:eastAsia="zh-CN"/>
        </w:rPr>
        <w:t>A.</w:t>
      </w:r>
      <w:r>
        <w:rPr>
          <w:rFonts w:hint="eastAsia"/>
          <w:color w:val="auto"/>
          <w:sz w:val="24"/>
          <w:szCs w:val="24"/>
          <w:highlight w:val="none"/>
        </w:rPr>
        <w:t>为保障用户在国产化终端上的正常业务访问，零信任客户端应兼容主流国产硬件CPU的国产操作系统终端，</w:t>
      </w:r>
      <w:r>
        <w:rPr>
          <w:rFonts w:hint="eastAsia"/>
          <w:color w:val="auto"/>
          <w:sz w:val="24"/>
          <w:szCs w:val="24"/>
          <w:highlight w:val="none"/>
          <w:lang w:val="en-US" w:eastAsia="zh-CN"/>
        </w:rPr>
        <w:t>基础项不得分；在这基础上额外能</w:t>
      </w:r>
      <w:r>
        <w:rPr>
          <w:rFonts w:hint="eastAsia"/>
          <w:color w:val="auto"/>
          <w:sz w:val="24"/>
          <w:szCs w:val="24"/>
          <w:highlight w:val="none"/>
        </w:rPr>
        <w:t>需提供国产操作系统与零信任厂商的兼容性证明，包括但不限于麒麟V10×龙芯、麒麟V10×龙芯LoongArch、麒麟V10×飞腾、麒麟V10×鲲鹏、麒麟V10×兆芯、麒麟V10×海光、麒麟V10×海思麒麟；统信V20×龙芯（3A3000、3A4000）、统信V20×龙芯（3A5000）、统信V20×飞腾、统信V20×鲲鹏、统信V20×海光、统信V20×兆芯等</w:t>
      </w:r>
      <w:r>
        <w:rPr>
          <w:rFonts w:hint="eastAsia"/>
          <w:color w:val="auto"/>
          <w:sz w:val="24"/>
          <w:szCs w:val="24"/>
          <w:highlight w:val="none"/>
          <w:lang w:eastAsia="zh-CN"/>
        </w:rPr>
        <w:t>，</w:t>
      </w:r>
      <w:r>
        <w:rPr>
          <w:rFonts w:hint="eastAsia"/>
          <w:color w:val="auto"/>
          <w:sz w:val="24"/>
          <w:szCs w:val="24"/>
          <w:highlight w:val="none"/>
          <w:lang w:val="en-US" w:eastAsia="zh-CN"/>
        </w:rPr>
        <w:t>得2分</w:t>
      </w:r>
      <w:r>
        <w:rPr>
          <w:rFonts w:hint="eastAsia"/>
          <w:color w:val="auto"/>
          <w:sz w:val="24"/>
          <w:szCs w:val="24"/>
          <w:highlight w:val="none"/>
        </w:rPr>
        <w:t>。（提供设备生产商与上述操作系统提供商的兼容性证明文件并加盖供应商公章）</w:t>
      </w:r>
    </w:p>
    <w:p w14:paraId="2A9E4119">
      <w:pPr>
        <w:spacing w:line="360" w:lineRule="auto"/>
        <w:ind w:firstLine="480"/>
        <w:rPr>
          <w:rFonts w:hint="eastAsia"/>
          <w:color w:val="auto"/>
          <w:sz w:val="24"/>
          <w:szCs w:val="24"/>
          <w:highlight w:val="none"/>
        </w:rPr>
      </w:pPr>
      <w:r>
        <w:rPr>
          <w:rFonts w:hint="eastAsia"/>
          <w:color w:val="auto"/>
          <w:sz w:val="24"/>
          <w:szCs w:val="24"/>
          <w:highlight w:val="none"/>
          <w:lang w:val="en-US" w:eastAsia="zh-CN"/>
        </w:rPr>
        <w:t>B.</w:t>
      </w:r>
      <w:r>
        <w:rPr>
          <w:rFonts w:hint="eastAsia"/>
          <w:color w:val="auto"/>
          <w:sz w:val="24"/>
          <w:szCs w:val="24"/>
          <w:highlight w:val="none"/>
        </w:rPr>
        <w:t>为了使系统资源利用最大化，本地集群与分布式集群下各节点的零信任授权数均可共享使用，</w:t>
      </w:r>
      <w:r>
        <w:rPr>
          <w:rFonts w:hint="eastAsia"/>
          <w:color w:val="auto"/>
          <w:sz w:val="24"/>
          <w:szCs w:val="24"/>
          <w:highlight w:val="none"/>
          <w:lang w:val="en-US" w:eastAsia="zh-CN"/>
        </w:rPr>
        <w:t>基础项不得分；在这基础上额外能提供</w:t>
      </w:r>
      <w:r>
        <w:rPr>
          <w:rFonts w:hint="eastAsia"/>
          <w:color w:val="auto"/>
          <w:sz w:val="24"/>
          <w:szCs w:val="24"/>
          <w:highlight w:val="none"/>
        </w:rPr>
        <w:t>集群的总接入授权数是各节点授权数的总和</w:t>
      </w:r>
      <w:r>
        <w:rPr>
          <w:rFonts w:hint="eastAsia"/>
          <w:color w:val="auto"/>
          <w:sz w:val="24"/>
          <w:szCs w:val="24"/>
          <w:highlight w:val="none"/>
          <w:lang w:val="en-US" w:eastAsia="zh-CN"/>
        </w:rPr>
        <w:t>功能</w:t>
      </w:r>
      <w:r>
        <w:rPr>
          <w:rFonts w:hint="eastAsia"/>
          <w:color w:val="auto"/>
          <w:sz w:val="24"/>
          <w:szCs w:val="24"/>
          <w:highlight w:val="none"/>
          <w:lang w:eastAsia="zh-CN"/>
        </w:rPr>
        <w:t>，</w:t>
      </w:r>
      <w:r>
        <w:rPr>
          <w:rFonts w:hint="eastAsia"/>
          <w:color w:val="auto"/>
          <w:sz w:val="24"/>
          <w:szCs w:val="24"/>
          <w:highlight w:val="none"/>
          <w:lang w:val="en-US" w:eastAsia="zh-CN"/>
        </w:rPr>
        <w:t>得2分</w:t>
      </w:r>
      <w:r>
        <w:rPr>
          <w:rFonts w:hint="eastAsia"/>
          <w:color w:val="auto"/>
          <w:sz w:val="24"/>
          <w:szCs w:val="24"/>
          <w:highlight w:val="none"/>
        </w:rPr>
        <w:t>。（提供带有CMA标识的检测报告证明，至少包含报告首页，对应功能测试页和报告尾页，并加盖供应商公章）</w:t>
      </w:r>
    </w:p>
    <w:p w14:paraId="41598E57">
      <w:pPr>
        <w:spacing w:line="360" w:lineRule="auto"/>
        <w:ind w:firstLine="480"/>
        <w:rPr>
          <w:rFonts w:hint="eastAsia"/>
          <w:color w:val="auto"/>
          <w:sz w:val="24"/>
          <w:szCs w:val="24"/>
          <w:highlight w:val="none"/>
        </w:rPr>
      </w:pPr>
      <w:r>
        <w:rPr>
          <w:rFonts w:hint="eastAsia"/>
          <w:color w:val="auto"/>
          <w:sz w:val="24"/>
          <w:szCs w:val="24"/>
          <w:highlight w:val="none"/>
          <w:lang w:val="en-US" w:eastAsia="zh-CN"/>
        </w:rPr>
        <w:t>C.</w:t>
      </w:r>
      <w:r>
        <w:rPr>
          <w:rFonts w:hint="eastAsia"/>
          <w:color w:val="auto"/>
          <w:sz w:val="24"/>
          <w:szCs w:val="24"/>
          <w:highlight w:val="none"/>
        </w:rPr>
        <w:t>支持与医院现有外网服务器防病毒aES（系统版本为6.0.2）联动，</w:t>
      </w:r>
      <w:r>
        <w:rPr>
          <w:rFonts w:hint="eastAsia"/>
          <w:color w:val="auto"/>
          <w:sz w:val="24"/>
          <w:szCs w:val="24"/>
          <w:highlight w:val="none"/>
          <w:lang w:val="en-US" w:eastAsia="zh-CN"/>
        </w:rPr>
        <w:t>基础项不得分；在这基础上额外能提供</w:t>
      </w:r>
      <w:r>
        <w:rPr>
          <w:rFonts w:hint="eastAsia"/>
          <w:color w:val="auto"/>
          <w:sz w:val="24"/>
          <w:szCs w:val="24"/>
          <w:highlight w:val="none"/>
        </w:rPr>
        <w:t>实现对其进行管理和网络联通性测试、支持2种系统托盘融合后实现零信任工作台融合客户端认证入口效果</w:t>
      </w:r>
      <w:r>
        <w:rPr>
          <w:rFonts w:hint="eastAsia"/>
          <w:color w:val="auto"/>
          <w:sz w:val="24"/>
          <w:szCs w:val="24"/>
          <w:highlight w:val="none"/>
          <w:lang w:eastAsia="zh-CN"/>
        </w:rPr>
        <w:t>，</w:t>
      </w:r>
      <w:r>
        <w:rPr>
          <w:rFonts w:hint="eastAsia"/>
          <w:color w:val="auto"/>
          <w:sz w:val="24"/>
          <w:szCs w:val="24"/>
          <w:highlight w:val="none"/>
          <w:lang w:val="en-US" w:eastAsia="zh-CN"/>
        </w:rPr>
        <w:t>得2分</w:t>
      </w:r>
      <w:r>
        <w:rPr>
          <w:rFonts w:hint="eastAsia"/>
          <w:color w:val="auto"/>
          <w:sz w:val="24"/>
          <w:szCs w:val="24"/>
          <w:highlight w:val="none"/>
        </w:rPr>
        <w:t>。（提供产品功能截图并加盖供应商公章）</w:t>
      </w:r>
    </w:p>
    <w:p w14:paraId="6954C388">
      <w:pPr>
        <w:spacing w:line="360" w:lineRule="auto"/>
        <w:ind w:firstLine="480"/>
        <w:rPr>
          <w:rFonts w:hint="eastAsia"/>
          <w:color w:val="auto"/>
          <w:sz w:val="24"/>
          <w:szCs w:val="24"/>
          <w:highlight w:val="none"/>
        </w:rPr>
      </w:pPr>
      <w:r>
        <w:rPr>
          <w:rFonts w:hint="eastAsia"/>
          <w:color w:val="auto"/>
          <w:sz w:val="24"/>
          <w:szCs w:val="24"/>
          <w:highlight w:val="none"/>
          <w:lang w:val="en-US" w:eastAsia="zh-CN"/>
        </w:rPr>
        <w:t>D.</w:t>
      </w:r>
      <w:r>
        <w:rPr>
          <w:rFonts w:hint="eastAsia"/>
          <w:color w:val="auto"/>
          <w:sz w:val="24"/>
          <w:szCs w:val="24"/>
          <w:highlight w:val="none"/>
        </w:rPr>
        <w:t>为强化系统认证安全性，可配置在触发异常环境的条件时，用户需完成增强认证才可登录</w:t>
      </w:r>
      <w:r>
        <w:rPr>
          <w:rFonts w:hint="eastAsia"/>
          <w:color w:val="auto"/>
          <w:sz w:val="24"/>
          <w:szCs w:val="24"/>
          <w:highlight w:val="none"/>
          <w:lang w:eastAsia="zh-CN"/>
        </w:rPr>
        <w:t>，</w:t>
      </w:r>
      <w:r>
        <w:rPr>
          <w:rFonts w:hint="eastAsia"/>
          <w:color w:val="auto"/>
          <w:sz w:val="24"/>
          <w:szCs w:val="24"/>
          <w:highlight w:val="none"/>
          <w:lang w:val="en-US" w:eastAsia="zh-CN"/>
        </w:rPr>
        <w:t>基础项不得分；在这基础上额外能提供</w:t>
      </w:r>
      <w:r>
        <w:rPr>
          <w:rFonts w:hint="eastAsia"/>
          <w:color w:val="auto"/>
          <w:sz w:val="24"/>
          <w:szCs w:val="24"/>
          <w:highlight w:val="none"/>
        </w:rPr>
        <w:t>可配置的异常环境包括但不限于：</w:t>
      </w:r>
      <w:r>
        <w:rPr>
          <w:rFonts w:hint="eastAsia"/>
          <w:color w:val="auto"/>
          <w:sz w:val="24"/>
          <w:szCs w:val="24"/>
          <w:highlight w:val="none"/>
          <w:lang w:eastAsia="zh-CN"/>
        </w:rPr>
        <w:t>账</w:t>
      </w:r>
      <w:r>
        <w:rPr>
          <w:rFonts w:hint="eastAsia"/>
          <w:color w:val="auto"/>
          <w:sz w:val="24"/>
          <w:szCs w:val="24"/>
          <w:highlight w:val="none"/>
        </w:rPr>
        <w:t>号首次登录、帐号在该终端首次登录、闲置帐号登录、账号弱密码登录、异常时间段登录、账号在非常用地点登录</w:t>
      </w:r>
      <w:r>
        <w:rPr>
          <w:rFonts w:hint="eastAsia"/>
          <w:color w:val="auto"/>
          <w:sz w:val="24"/>
          <w:szCs w:val="24"/>
          <w:highlight w:val="none"/>
          <w:lang w:eastAsia="zh-CN"/>
        </w:rPr>
        <w:t>，</w:t>
      </w:r>
      <w:r>
        <w:rPr>
          <w:rFonts w:hint="eastAsia"/>
          <w:color w:val="auto"/>
          <w:sz w:val="24"/>
          <w:szCs w:val="24"/>
          <w:highlight w:val="none"/>
          <w:lang w:val="en-US" w:eastAsia="zh-CN"/>
        </w:rPr>
        <w:t>得2分</w:t>
      </w:r>
      <w:r>
        <w:rPr>
          <w:rFonts w:hint="eastAsia"/>
          <w:color w:val="auto"/>
          <w:sz w:val="24"/>
          <w:szCs w:val="24"/>
          <w:highlight w:val="none"/>
        </w:rPr>
        <w:t>。（提供带有CMA标识的检测报告证明，至少包含报告首页，对应功能测试页和报告尾页，并标注所在页码</w:t>
      </w:r>
      <w:r>
        <w:rPr>
          <w:rFonts w:hint="eastAsia"/>
          <w:color w:val="auto"/>
          <w:sz w:val="24"/>
          <w:szCs w:val="24"/>
          <w:highlight w:val="none"/>
          <w:lang w:eastAsia="zh-CN"/>
        </w:rPr>
        <w:t>，</w:t>
      </w:r>
      <w:r>
        <w:rPr>
          <w:rFonts w:hint="eastAsia"/>
          <w:color w:val="auto"/>
          <w:sz w:val="24"/>
          <w:szCs w:val="24"/>
          <w:highlight w:val="none"/>
          <w:lang w:val="en-US" w:eastAsia="zh-CN"/>
        </w:rPr>
        <w:t>并加盖供应商公章</w:t>
      </w:r>
      <w:r>
        <w:rPr>
          <w:rFonts w:hint="eastAsia"/>
          <w:color w:val="auto"/>
          <w:sz w:val="24"/>
          <w:szCs w:val="24"/>
          <w:highlight w:val="none"/>
        </w:rPr>
        <w:t>）</w:t>
      </w:r>
    </w:p>
    <w:p w14:paraId="482B0755">
      <w:pPr>
        <w:spacing w:line="360" w:lineRule="auto"/>
        <w:ind w:firstLine="480"/>
        <w:rPr>
          <w:b/>
          <w:bCs/>
          <w:color w:val="auto"/>
          <w:sz w:val="24"/>
          <w:szCs w:val="24"/>
          <w:highlight w:val="none"/>
        </w:rPr>
      </w:pPr>
      <w:r>
        <w:rPr>
          <w:rFonts w:hint="eastAsia"/>
          <w:b/>
          <w:bCs/>
          <w:color w:val="auto"/>
          <w:sz w:val="24"/>
          <w:szCs w:val="24"/>
          <w:highlight w:val="none"/>
        </w:rPr>
        <w:t>4）内网安全探针（</w:t>
      </w:r>
      <w:r>
        <w:rPr>
          <w:rFonts w:hint="eastAsia"/>
          <w:b/>
          <w:bCs/>
          <w:color w:val="auto"/>
          <w:sz w:val="24"/>
          <w:szCs w:val="24"/>
          <w:highlight w:val="none"/>
          <w:lang w:val="en-US" w:eastAsia="zh-CN"/>
        </w:rPr>
        <w:t>2</w:t>
      </w:r>
      <w:r>
        <w:rPr>
          <w:rFonts w:hint="eastAsia"/>
          <w:b/>
          <w:bCs/>
          <w:color w:val="auto"/>
          <w:sz w:val="24"/>
          <w:szCs w:val="24"/>
          <w:highlight w:val="none"/>
        </w:rPr>
        <w:t>分）</w:t>
      </w:r>
    </w:p>
    <w:p w14:paraId="0C8983B4">
      <w:pPr>
        <w:spacing w:line="360" w:lineRule="auto"/>
        <w:ind w:firstLine="480"/>
        <w:rPr>
          <w:color w:val="auto"/>
          <w:sz w:val="24"/>
          <w:szCs w:val="24"/>
          <w:highlight w:val="none"/>
        </w:rPr>
      </w:pPr>
      <w:r>
        <w:rPr>
          <w:rFonts w:hint="eastAsia"/>
          <w:color w:val="auto"/>
          <w:sz w:val="24"/>
          <w:szCs w:val="24"/>
          <w:highlight w:val="none"/>
          <w:lang w:val="en-US" w:eastAsia="zh-CN"/>
        </w:rPr>
        <w:t>A.</w:t>
      </w:r>
      <w:r>
        <w:rPr>
          <w:rFonts w:hint="eastAsia"/>
          <w:color w:val="auto"/>
          <w:sz w:val="24"/>
          <w:szCs w:val="24"/>
          <w:highlight w:val="none"/>
        </w:rPr>
        <w:t>支持将流量还原的文件发送至沙盒分析</w:t>
      </w:r>
      <w:r>
        <w:rPr>
          <w:rFonts w:hint="eastAsia"/>
          <w:color w:val="auto"/>
          <w:sz w:val="24"/>
          <w:szCs w:val="24"/>
          <w:highlight w:val="none"/>
          <w:lang w:eastAsia="zh-CN"/>
        </w:rPr>
        <w:t>，</w:t>
      </w:r>
      <w:r>
        <w:rPr>
          <w:rFonts w:hint="eastAsia"/>
          <w:color w:val="auto"/>
          <w:sz w:val="24"/>
          <w:szCs w:val="24"/>
          <w:highlight w:val="none"/>
          <w:lang w:val="en-US" w:eastAsia="zh-CN"/>
        </w:rPr>
        <w:t>基础项不得分；在这基础上额外能提供</w:t>
      </w:r>
      <w:r>
        <w:rPr>
          <w:rFonts w:hint="eastAsia"/>
          <w:color w:val="auto"/>
          <w:sz w:val="24"/>
          <w:szCs w:val="24"/>
          <w:highlight w:val="none"/>
        </w:rPr>
        <w:t>支持安天追影高级鉴定系统第三方沙盒对接</w:t>
      </w:r>
      <w:r>
        <w:rPr>
          <w:rFonts w:hint="eastAsia"/>
          <w:color w:val="auto"/>
          <w:sz w:val="24"/>
          <w:szCs w:val="24"/>
          <w:highlight w:val="none"/>
          <w:lang w:val="en-US" w:eastAsia="zh-CN"/>
        </w:rPr>
        <w:t>功能</w:t>
      </w:r>
      <w:r>
        <w:rPr>
          <w:rFonts w:hint="eastAsia"/>
          <w:color w:val="auto"/>
          <w:sz w:val="24"/>
          <w:szCs w:val="24"/>
          <w:highlight w:val="none"/>
          <w:lang w:eastAsia="zh-CN"/>
        </w:rPr>
        <w:t>，</w:t>
      </w:r>
      <w:r>
        <w:rPr>
          <w:rFonts w:hint="eastAsia"/>
          <w:color w:val="auto"/>
          <w:sz w:val="24"/>
          <w:szCs w:val="24"/>
          <w:highlight w:val="none"/>
          <w:lang w:val="en-US" w:eastAsia="zh-CN"/>
        </w:rPr>
        <w:t>得2分</w:t>
      </w:r>
      <w:r>
        <w:rPr>
          <w:rFonts w:hint="eastAsia"/>
          <w:color w:val="auto"/>
          <w:sz w:val="24"/>
          <w:szCs w:val="24"/>
          <w:highlight w:val="none"/>
        </w:rPr>
        <w:t>。（需提供产品功能截图证明并加盖</w:t>
      </w:r>
      <w:r>
        <w:rPr>
          <w:rFonts w:hint="eastAsia"/>
          <w:color w:val="auto"/>
          <w:sz w:val="24"/>
          <w:szCs w:val="24"/>
          <w:highlight w:val="none"/>
          <w:lang w:val="en-US" w:eastAsia="zh-CN"/>
        </w:rPr>
        <w:t>供应商</w:t>
      </w:r>
      <w:r>
        <w:rPr>
          <w:rFonts w:hint="eastAsia"/>
          <w:color w:val="auto"/>
          <w:sz w:val="24"/>
          <w:szCs w:val="24"/>
          <w:highlight w:val="none"/>
        </w:rPr>
        <w:t>公章）</w:t>
      </w:r>
    </w:p>
    <w:p w14:paraId="45818D42">
      <w:pPr>
        <w:spacing w:line="360" w:lineRule="auto"/>
        <w:ind w:firstLine="480"/>
        <w:rPr>
          <w:b/>
          <w:bCs/>
          <w:color w:val="auto"/>
          <w:sz w:val="24"/>
          <w:szCs w:val="24"/>
          <w:highlight w:val="none"/>
        </w:rPr>
      </w:pPr>
      <w:r>
        <w:rPr>
          <w:rFonts w:hint="eastAsia"/>
          <w:b/>
          <w:bCs/>
          <w:color w:val="auto"/>
          <w:sz w:val="24"/>
          <w:szCs w:val="24"/>
          <w:highlight w:val="none"/>
        </w:rPr>
        <w:t>（4）项目实施方案（</w:t>
      </w:r>
      <w:r>
        <w:rPr>
          <w:rFonts w:hint="eastAsia"/>
          <w:b/>
          <w:bCs/>
          <w:color w:val="auto"/>
          <w:sz w:val="24"/>
          <w:szCs w:val="24"/>
          <w:highlight w:val="none"/>
          <w:lang w:val="en-US" w:eastAsia="zh-CN"/>
        </w:rPr>
        <w:t>10</w:t>
      </w:r>
      <w:r>
        <w:rPr>
          <w:rFonts w:hint="eastAsia"/>
          <w:b/>
          <w:bCs/>
          <w:color w:val="auto"/>
          <w:sz w:val="24"/>
          <w:szCs w:val="24"/>
          <w:highlight w:val="none"/>
        </w:rPr>
        <w:t>分）</w:t>
      </w:r>
    </w:p>
    <w:p w14:paraId="4CD90F09">
      <w:pPr>
        <w:spacing w:line="360" w:lineRule="auto"/>
        <w:ind w:firstLine="480"/>
        <w:rPr>
          <w:color w:val="auto"/>
          <w:sz w:val="24"/>
          <w:szCs w:val="24"/>
          <w:highlight w:val="none"/>
        </w:rPr>
      </w:pPr>
      <w:r>
        <w:rPr>
          <w:rFonts w:hint="eastAsia"/>
          <w:color w:val="auto"/>
          <w:sz w:val="24"/>
          <w:szCs w:val="24"/>
          <w:highlight w:val="none"/>
        </w:rPr>
        <w:t>投标供应商</w:t>
      </w:r>
      <w:r>
        <w:rPr>
          <w:color w:val="auto"/>
          <w:sz w:val="24"/>
          <w:szCs w:val="24"/>
          <w:highlight w:val="none"/>
        </w:rPr>
        <w:t>针对本项目提供的</w:t>
      </w:r>
      <w:r>
        <w:rPr>
          <w:rFonts w:hint="eastAsia"/>
          <w:color w:val="auto"/>
          <w:sz w:val="24"/>
          <w:szCs w:val="24"/>
          <w:highlight w:val="none"/>
        </w:rPr>
        <w:t>项目实施</w:t>
      </w:r>
      <w:r>
        <w:rPr>
          <w:color w:val="auto"/>
          <w:sz w:val="24"/>
          <w:szCs w:val="24"/>
          <w:highlight w:val="none"/>
        </w:rPr>
        <w:t>方案包括下述</w:t>
      </w:r>
      <w:r>
        <w:rPr>
          <w:rFonts w:hint="eastAsia"/>
          <w:color w:val="auto"/>
          <w:sz w:val="24"/>
          <w:szCs w:val="24"/>
          <w:highlight w:val="none"/>
          <w:lang w:val="en-US" w:eastAsia="zh-CN"/>
        </w:rPr>
        <w:t>5</w:t>
      </w:r>
      <w:r>
        <w:rPr>
          <w:color w:val="auto"/>
          <w:sz w:val="24"/>
          <w:szCs w:val="24"/>
          <w:highlight w:val="none"/>
        </w:rPr>
        <w:t>项：①</w:t>
      </w:r>
      <w:r>
        <w:rPr>
          <w:rFonts w:hint="eastAsia"/>
          <w:color w:val="auto"/>
          <w:sz w:val="24"/>
          <w:szCs w:val="24"/>
          <w:highlight w:val="none"/>
          <w:lang w:val="en-US" w:eastAsia="zh-CN"/>
        </w:rPr>
        <w:t>项目现状描述；②</w:t>
      </w:r>
      <w:r>
        <w:rPr>
          <w:rFonts w:hint="eastAsia"/>
          <w:color w:val="auto"/>
          <w:sz w:val="24"/>
          <w:szCs w:val="24"/>
          <w:highlight w:val="none"/>
        </w:rPr>
        <w:t>项目实施</w:t>
      </w:r>
      <w:r>
        <w:rPr>
          <w:color w:val="auto"/>
          <w:sz w:val="24"/>
          <w:szCs w:val="24"/>
          <w:highlight w:val="none"/>
        </w:rPr>
        <w:t>进度计划</w:t>
      </w:r>
      <w:r>
        <w:rPr>
          <w:rFonts w:hint="eastAsia"/>
          <w:color w:val="auto"/>
          <w:sz w:val="24"/>
          <w:szCs w:val="24"/>
          <w:highlight w:val="none"/>
        </w:rPr>
        <w:t>；</w:t>
      </w:r>
      <w:r>
        <w:rPr>
          <w:rFonts w:hint="eastAsia"/>
          <w:color w:val="auto"/>
          <w:sz w:val="24"/>
          <w:szCs w:val="24"/>
          <w:highlight w:val="none"/>
          <w:lang w:val="en-US" w:eastAsia="zh-CN"/>
        </w:rPr>
        <w:t>③</w:t>
      </w:r>
      <w:r>
        <w:rPr>
          <w:color w:val="auto"/>
          <w:sz w:val="24"/>
          <w:szCs w:val="24"/>
          <w:highlight w:val="none"/>
        </w:rPr>
        <w:t>包装运输方案</w:t>
      </w:r>
      <w:r>
        <w:rPr>
          <w:rFonts w:hint="eastAsia"/>
          <w:color w:val="auto"/>
          <w:sz w:val="24"/>
          <w:szCs w:val="24"/>
          <w:highlight w:val="none"/>
        </w:rPr>
        <w:t>；</w:t>
      </w:r>
      <w:r>
        <w:rPr>
          <w:rFonts w:hint="eastAsia"/>
          <w:color w:val="auto"/>
          <w:sz w:val="24"/>
          <w:szCs w:val="24"/>
          <w:highlight w:val="none"/>
          <w:lang w:val="en-US" w:eastAsia="zh-CN"/>
        </w:rPr>
        <w:t>④</w:t>
      </w:r>
      <w:r>
        <w:rPr>
          <w:color w:val="auto"/>
          <w:sz w:val="24"/>
          <w:szCs w:val="24"/>
          <w:highlight w:val="none"/>
        </w:rPr>
        <w:t>安装调试流程</w:t>
      </w:r>
      <w:r>
        <w:rPr>
          <w:rFonts w:hint="eastAsia"/>
          <w:color w:val="auto"/>
          <w:sz w:val="24"/>
          <w:szCs w:val="24"/>
          <w:highlight w:val="none"/>
          <w:lang w:eastAsia="zh-CN"/>
        </w:rPr>
        <w:t>、</w:t>
      </w:r>
      <w:r>
        <w:rPr>
          <w:color w:val="auto"/>
          <w:sz w:val="24"/>
          <w:szCs w:val="24"/>
          <w:highlight w:val="none"/>
        </w:rPr>
        <w:t>技术重难点</w:t>
      </w:r>
      <w:r>
        <w:rPr>
          <w:rFonts w:hint="eastAsia"/>
          <w:color w:val="auto"/>
          <w:sz w:val="24"/>
          <w:szCs w:val="24"/>
          <w:highlight w:val="none"/>
        </w:rPr>
        <w:t>指导</w:t>
      </w:r>
      <w:r>
        <w:rPr>
          <w:rFonts w:hint="eastAsia"/>
          <w:color w:val="auto"/>
          <w:sz w:val="24"/>
          <w:szCs w:val="24"/>
          <w:highlight w:val="none"/>
          <w:lang w:val="en-US" w:eastAsia="zh-CN"/>
        </w:rPr>
        <w:t>及</w:t>
      </w:r>
      <w:r>
        <w:rPr>
          <w:color w:val="auto"/>
          <w:sz w:val="24"/>
          <w:szCs w:val="24"/>
          <w:highlight w:val="none"/>
        </w:rPr>
        <w:t>安装调试人员安排</w:t>
      </w:r>
      <w:r>
        <w:rPr>
          <w:rFonts w:hint="eastAsia"/>
          <w:color w:val="auto"/>
          <w:sz w:val="24"/>
          <w:szCs w:val="24"/>
          <w:highlight w:val="none"/>
        </w:rPr>
        <w:t>；</w:t>
      </w:r>
      <w:r>
        <w:rPr>
          <w:rFonts w:hint="eastAsia"/>
          <w:color w:val="auto"/>
          <w:sz w:val="24"/>
          <w:szCs w:val="24"/>
          <w:highlight w:val="none"/>
          <w:lang w:val="en-US" w:eastAsia="zh-CN"/>
        </w:rPr>
        <w:t>⑤</w:t>
      </w:r>
      <w:r>
        <w:rPr>
          <w:rFonts w:hint="eastAsia"/>
          <w:color w:val="auto"/>
          <w:sz w:val="24"/>
          <w:szCs w:val="24"/>
          <w:highlight w:val="none"/>
        </w:rPr>
        <w:t>质量保证措施。</w:t>
      </w:r>
    </w:p>
    <w:p w14:paraId="7164893D">
      <w:pPr>
        <w:tabs>
          <w:tab w:val="left" w:pos="945"/>
          <w:tab w:val="left" w:pos="1155"/>
        </w:tabs>
        <w:spacing w:line="360" w:lineRule="auto"/>
        <w:ind w:firstLine="482"/>
        <w:jc w:val="left"/>
        <w:rPr>
          <w:rFonts w:hint="eastAsia"/>
          <w:bCs/>
          <w:color w:val="auto"/>
          <w:sz w:val="24"/>
          <w:szCs w:val="24"/>
          <w:highlight w:val="none"/>
        </w:rPr>
      </w:pPr>
      <w:r>
        <w:rPr>
          <w:rFonts w:hint="eastAsia"/>
          <w:b w:val="0"/>
          <w:bCs/>
          <w:color w:val="auto"/>
          <w:sz w:val="24"/>
          <w:szCs w:val="24"/>
          <w:highlight w:val="none"/>
        </w:rPr>
        <w:t>投标供应商针</w:t>
      </w:r>
      <w:r>
        <w:rPr>
          <w:rFonts w:hint="eastAsia"/>
          <w:bCs/>
          <w:color w:val="auto"/>
          <w:sz w:val="24"/>
          <w:szCs w:val="24"/>
          <w:highlight w:val="none"/>
        </w:rPr>
        <w:t>对上述内容进行阐述，要求阐述内容合理、针对性强、切实可行有效。以上每点内容不存在瑕疵的得</w:t>
      </w:r>
      <w:r>
        <w:rPr>
          <w:rFonts w:hint="eastAsia"/>
          <w:bCs/>
          <w:color w:val="auto"/>
          <w:sz w:val="24"/>
          <w:szCs w:val="24"/>
          <w:highlight w:val="none"/>
          <w:lang w:val="en-US" w:eastAsia="zh-CN"/>
        </w:rPr>
        <w:t>2</w:t>
      </w:r>
      <w:r>
        <w:rPr>
          <w:rFonts w:hint="eastAsia"/>
          <w:bCs/>
          <w:color w:val="auto"/>
          <w:sz w:val="24"/>
          <w:szCs w:val="24"/>
          <w:highlight w:val="none"/>
        </w:rPr>
        <w:t>分，存在1处瑕疵的得</w:t>
      </w:r>
      <w:r>
        <w:rPr>
          <w:rFonts w:hint="eastAsia"/>
          <w:bCs/>
          <w:color w:val="auto"/>
          <w:sz w:val="24"/>
          <w:szCs w:val="24"/>
          <w:highlight w:val="none"/>
          <w:lang w:val="en-US" w:eastAsia="zh-CN"/>
        </w:rPr>
        <w:t>1</w:t>
      </w:r>
      <w:r>
        <w:rPr>
          <w:rFonts w:hint="eastAsia"/>
          <w:bCs/>
          <w:color w:val="auto"/>
          <w:sz w:val="24"/>
          <w:szCs w:val="24"/>
          <w:highlight w:val="none"/>
        </w:rPr>
        <w:t>分，存在2处瑕疵的，有基本的解释说明的得</w:t>
      </w:r>
      <w:r>
        <w:rPr>
          <w:rFonts w:hint="eastAsia"/>
          <w:bCs/>
          <w:color w:val="auto"/>
          <w:sz w:val="24"/>
          <w:szCs w:val="24"/>
          <w:highlight w:val="none"/>
          <w:lang w:val="en-US" w:eastAsia="zh-CN"/>
        </w:rPr>
        <w:t>0.5</w:t>
      </w:r>
      <w:r>
        <w:rPr>
          <w:rFonts w:hint="eastAsia"/>
          <w:bCs/>
          <w:color w:val="auto"/>
          <w:sz w:val="24"/>
          <w:szCs w:val="24"/>
          <w:highlight w:val="none"/>
        </w:rPr>
        <w:t>分，未进行阐述或不满足采购需求或内容存在2处以上瑕疵的得0分；本项共计</w:t>
      </w:r>
      <w:r>
        <w:rPr>
          <w:rFonts w:hint="eastAsia"/>
          <w:bCs/>
          <w:color w:val="auto"/>
          <w:sz w:val="24"/>
          <w:szCs w:val="24"/>
          <w:highlight w:val="none"/>
          <w:lang w:val="en-US" w:eastAsia="zh-CN"/>
        </w:rPr>
        <w:t>5</w:t>
      </w:r>
      <w:r>
        <w:rPr>
          <w:rFonts w:hint="eastAsia"/>
          <w:bCs/>
          <w:color w:val="auto"/>
          <w:sz w:val="24"/>
          <w:szCs w:val="24"/>
          <w:highlight w:val="none"/>
        </w:rPr>
        <w:t>点内容，本项最高得</w:t>
      </w:r>
      <w:r>
        <w:rPr>
          <w:rFonts w:hint="eastAsia"/>
          <w:bCs/>
          <w:color w:val="auto"/>
          <w:sz w:val="24"/>
          <w:szCs w:val="24"/>
          <w:highlight w:val="none"/>
          <w:lang w:val="en-US" w:eastAsia="zh-CN"/>
        </w:rPr>
        <w:t>10</w:t>
      </w:r>
      <w:r>
        <w:rPr>
          <w:rFonts w:hint="eastAsia"/>
          <w:bCs/>
          <w:color w:val="auto"/>
          <w:sz w:val="24"/>
          <w:szCs w:val="24"/>
          <w:highlight w:val="none"/>
        </w:rPr>
        <w:t>分。</w:t>
      </w:r>
    </w:p>
    <w:p w14:paraId="1FFF1CE8">
      <w:pPr>
        <w:spacing w:line="360" w:lineRule="auto"/>
        <w:ind w:firstLine="480"/>
        <w:rPr>
          <w:b/>
          <w:bCs/>
          <w:color w:val="auto"/>
          <w:sz w:val="24"/>
          <w:szCs w:val="24"/>
          <w:highlight w:val="none"/>
        </w:rPr>
      </w:pPr>
      <w:r>
        <w:rPr>
          <w:rFonts w:hint="eastAsia"/>
          <w:b/>
          <w:bCs/>
          <w:color w:val="auto"/>
          <w:sz w:val="24"/>
          <w:szCs w:val="24"/>
          <w:highlight w:val="none"/>
        </w:rPr>
        <w:t>（5）培训方案（</w:t>
      </w:r>
      <w:r>
        <w:rPr>
          <w:rFonts w:hint="eastAsia"/>
          <w:b/>
          <w:bCs/>
          <w:color w:val="auto"/>
          <w:sz w:val="24"/>
          <w:szCs w:val="24"/>
          <w:highlight w:val="none"/>
          <w:lang w:val="en-US" w:eastAsia="zh-CN"/>
        </w:rPr>
        <w:t>10</w:t>
      </w:r>
      <w:r>
        <w:rPr>
          <w:rFonts w:hint="eastAsia"/>
          <w:b/>
          <w:bCs/>
          <w:color w:val="auto"/>
          <w:sz w:val="24"/>
          <w:szCs w:val="24"/>
          <w:highlight w:val="none"/>
        </w:rPr>
        <w:t>分）</w:t>
      </w:r>
    </w:p>
    <w:p w14:paraId="6AFCBE03">
      <w:pPr>
        <w:spacing w:line="360" w:lineRule="auto"/>
        <w:ind w:firstLine="480"/>
        <w:rPr>
          <w:color w:val="auto"/>
          <w:sz w:val="24"/>
          <w:szCs w:val="24"/>
          <w:highlight w:val="none"/>
        </w:rPr>
      </w:pPr>
      <w:r>
        <w:rPr>
          <w:rFonts w:hint="eastAsia"/>
          <w:color w:val="auto"/>
          <w:sz w:val="24"/>
          <w:szCs w:val="24"/>
          <w:highlight w:val="none"/>
        </w:rPr>
        <w:t>投标供应商</w:t>
      </w:r>
      <w:r>
        <w:rPr>
          <w:color w:val="auto"/>
          <w:sz w:val="24"/>
          <w:szCs w:val="24"/>
          <w:highlight w:val="none"/>
        </w:rPr>
        <w:t>针对本项目提供的</w:t>
      </w:r>
      <w:r>
        <w:rPr>
          <w:rFonts w:hint="eastAsia"/>
          <w:color w:val="auto"/>
          <w:sz w:val="24"/>
          <w:szCs w:val="24"/>
          <w:highlight w:val="none"/>
        </w:rPr>
        <w:t>培训</w:t>
      </w:r>
      <w:r>
        <w:rPr>
          <w:color w:val="auto"/>
          <w:sz w:val="24"/>
          <w:szCs w:val="24"/>
          <w:highlight w:val="none"/>
        </w:rPr>
        <w:t>方案包括下述5项：①</w:t>
      </w:r>
      <w:r>
        <w:rPr>
          <w:rFonts w:hint="eastAsia"/>
          <w:color w:val="auto"/>
          <w:sz w:val="24"/>
          <w:szCs w:val="24"/>
          <w:highlight w:val="none"/>
          <w:lang w:val="en-US" w:eastAsia="zh-CN"/>
        </w:rPr>
        <w:t>培训计划</w:t>
      </w:r>
      <w:r>
        <w:rPr>
          <w:color w:val="auto"/>
          <w:sz w:val="24"/>
          <w:szCs w:val="24"/>
          <w:highlight w:val="none"/>
        </w:rPr>
        <w:t>；②</w:t>
      </w:r>
      <w:r>
        <w:rPr>
          <w:rFonts w:hint="eastAsia"/>
          <w:color w:val="auto"/>
          <w:sz w:val="24"/>
          <w:szCs w:val="24"/>
          <w:highlight w:val="none"/>
          <w:lang w:val="en-US" w:eastAsia="zh-CN"/>
        </w:rPr>
        <w:t>人员安排</w:t>
      </w:r>
      <w:r>
        <w:rPr>
          <w:color w:val="auto"/>
          <w:sz w:val="24"/>
          <w:szCs w:val="24"/>
          <w:highlight w:val="none"/>
        </w:rPr>
        <w:t>；③</w:t>
      </w:r>
      <w:r>
        <w:rPr>
          <w:rFonts w:hint="eastAsia"/>
          <w:color w:val="auto"/>
          <w:sz w:val="24"/>
          <w:szCs w:val="24"/>
          <w:highlight w:val="none"/>
          <w:lang w:val="en-US" w:eastAsia="zh-CN"/>
        </w:rPr>
        <w:t>课程安排</w:t>
      </w:r>
      <w:r>
        <w:rPr>
          <w:color w:val="auto"/>
          <w:sz w:val="24"/>
          <w:szCs w:val="24"/>
          <w:highlight w:val="none"/>
        </w:rPr>
        <w:t>；④常见故障的排除；⑤紧急情况的处理。</w:t>
      </w:r>
    </w:p>
    <w:p w14:paraId="38FDE980">
      <w:pPr>
        <w:tabs>
          <w:tab w:val="left" w:pos="945"/>
          <w:tab w:val="left" w:pos="1155"/>
        </w:tabs>
        <w:spacing w:line="360" w:lineRule="auto"/>
        <w:ind w:firstLine="482"/>
        <w:jc w:val="left"/>
        <w:rPr>
          <w:rFonts w:hint="eastAsia"/>
          <w:bCs/>
          <w:color w:val="auto"/>
          <w:sz w:val="24"/>
          <w:szCs w:val="24"/>
          <w:highlight w:val="none"/>
        </w:rPr>
      </w:pPr>
      <w:r>
        <w:rPr>
          <w:rFonts w:hint="eastAsia"/>
          <w:b w:val="0"/>
          <w:bCs/>
          <w:color w:val="auto"/>
          <w:sz w:val="24"/>
          <w:szCs w:val="24"/>
          <w:highlight w:val="none"/>
        </w:rPr>
        <w:t>投标供应商针</w:t>
      </w:r>
      <w:r>
        <w:rPr>
          <w:rFonts w:hint="eastAsia"/>
          <w:bCs/>
          <w:color w:val="auto"/>
          <w:sz w:val="24"/>
          <w:szCs w:val="24"/>
          <w:highlight w:val="none"/>
        </w:rPr>
        <w:t>对上述内容进行阐述，要求阐述内容合理、针对性强、切实可行有效。以上每点内容不存在瑕疵的得</w:t>
      </w:r>
      <w:r>
        <w:rPr>
          <w:rFonts w:hint="eastAsia"/>
          <w:bCs/>
          <w:color w:val="auto"/>
          <w:sz w:val="24"/>
          <w:szCs w:val="24"/>
          <w:highlight w:val="none"/>
          <w:lang w:val="en-US" w:eastAsia="zh-CN"/>
        </w:rPr>
        <w:t>2</w:t>
      </w:r>
      <w:r>
        <w:rPr>
          <w:rFonts w:hint="eastAsia"/>
          <w:bCs/>
          <w:color w:val="auto"/>
          <w:sz w:val="24"/>
          <w:szCs w:val="24"/>
          <w:highlight w:val="none"/>
        </w:rPr>
        <w:t>分，存在1处瑕疵的得</w:t>
      </w:r>
      <w:r>
        <w:rPr>
          <w:rFonts w:hint="eastAsia"/>
          <w:bCs/>
          <w:color w:val="auto"/>
          <w:sz w:val="24"/>
          <w:szCs w:val="24"/>
          <w:highlight w:val="none"/>
          <w:lang w:val="en-US" w:eastAsia="zh-CN"/>
        </w:rPr>
        <w:t>1</w:t>
      </w:r>
      <w:r>
        <w:rPr>
          <w:rFonts w:hint="eastAsia"/>
          <w:bCs/>
          <w:color w:val="auto"/>
          <w:sz w:val="24"/>
          <w:szCs w:val="24"/>
          <w:highlight w:val="none"/>
        </w:rPr>
        <w:t>分，存在2处瑕疵的，有基本的解释说明的得</w:t>
      </w:r>
      <w:r>
        <w:rPr>
          <w:rFonts w:hint="eastAsia"/>
          <w:bCs/>
          <w:color w:val="auto"/>
          <w:sz w:val="24"/>
          <w:szCs w:val="24"/>
          <w:highlight w:val="none"/>
          <w:lang w:val="en-US" w:eastAsia="zh-CN"/>
        </w:rPr>
        <w:t>0.5</w:t>
      </w:r>
      <w:r>
        <w:rPr>
          <w:rFonts w:hint="eastAsia"/>
          <w:bCs/>
          <w:color w:val="auto"/>
          <w:sz w:val="24"/>
          <w:szCs w:val="24"/>
          <w:highlight w:val="none"/>
        </w:rPr>
        <w:t>分，未进行阐述或不满足采购需求或内容存在2处以上瑕疵的得0分；本项共计</w:t>
      </w:r>
      <w:r>
        <w:rPr>
          <w:rFonts w:hint="eastAsia"/>
          <w:bCs/>
          <w:color w:val="auto"/>
          <w:sz w:val="24"/>
          <w:szCs w:val="24"/>
          <w:highlight w:val="none"/>
          <w:lang w:val="en-US" w:eastAsia="zh-CN"/>
        </w:rPr>
        <w:t>5</w:t>
      </w:r>
      <w:r>
        <w:rPr>
          <w:rFonts w:hint="eastAsia"/>
          <w:bCs/>
          <w:color w:val="auto"/>
          <w:sz w:val="24"/>
          <w:szCs w:val="24"/>
          <w:highlight w:val="none"/>
        </w:rPr>
        <w:t>点内容，本项最高得</w:t>
      </w:r>
      <w:r>
        <w:rPr>
          <w:rFonts w:hint="eastAsia"/>
          <w:bCs/>
          <w:color w:val="auto"/>
          <w:sz w:val="24"/>
          <w:szCs w:val="24"/>
          <w:highlight w:val="none"/>
          <w:lang w:val="en-US" w:eastAsia="zh-CN"/>
        </w:rPr>
        <w:t>10</w:t>
      </w:r>
      <w:r>
        <w:rPr>
          <w:rFonts w:hint="eastAsia"/>
          <w:bCs/>
          <w:color w:val="auto"/>
          <w:sz w:val="24"/>
          <w:szCs w:val="24"/>
          <w:highlight w:val="none"/>
        </w:rPr>
        <w:t>分。</w:t>
      </w:r>
    </w:p>
    <w:p w14:paraId="4B883086">
      <w:pPr>
        <w:spacing w:line="360" w:lineRule="auto"/>
        <w:ind w:firstLine="480"/>
        <w:rPr>
          <w:b/>
          <w:bCs/>
          <w:color w:val="auto"/>
          <w:sz w:val="24"/>
          <w:szCs w:val="24"/>
          <w:highlight w:val="none"/>
        </w:rPr>
      </w:pPr>
      <w:r>
        <w:rPr>
          <w:rFonts w:hint="eastAsia"/>
          <w:b/>
          <w:bCs/>
          <w:color w:val="auto"/>
          <w:sz w:val="24"/>
          <w:szCs w:val="24"/>
          <w:highlight w:val="none"/>
        </w:rPr>
        <w:t>（6）售后服务方案（</w:t>
      </w:r>
      <w:r>
        <w:rPr>
          <w:rFonts w:hint="eastAsia"/>
          <w:b/>
          <w:bCs/>
          <w:color w:val="auto"/>
          <w:sz w:val="24"/>
          <w:szCs w:val="24"/>
          <w:highlight w:val="none"/>
          <w:lang w:val="en-US" w:eastAsia="zh-CN"/>
        </w:rPr>
        <w:t>10</w:t>
      </w:r>
      <w:r>
        <w:rPr>
          <w:rFonts w:hint="eastAsia"/>
          <w:b/>
          <w:bCs/>
          <w:color w:val="auto"/>
          <w:sz w:val="24"/>
          <w:szCs w:val="24"/>
          <w:highlight w:val="none"/>
        </w:rPr>
        <w:t>分）</w:t>
      </w:r>
    </w:p>
    <w:p w14:paraId="0E937D9E">
      <w:pPr>
        <w:spacing w:line="360" w:lineRule="auto"/>
        <w:ind w:firstLine="480"/>
        <w:rPr>
          <w:color w:val="auto"/>
          <w:sz w:val="24"/>
          <w:szCs w:val="24"/>
          <w:highlight w:val="none"/>
        </w:rPr>
      </w:pPr>
      <w:r>
        <w:rPr>
          <w:rFonts w:hint="eastAsia"/>
          <w:color w:val="auto"/>
          <w:sz w:val="24"/>
          <w:szCs w:val="24"/>
          <w:highlight w:val="none"/>
        </w:rPr>
        <w:t>投标供应商</w:t>
      </w:r>
      <w:r>
        <w:rPr>
          <w:color w:val="auto"/>
          <w:sz w:val="24"/>
          <w:szCs w:val="24"/>
          <w:highlight w:val="none"/>
        </w:rPr>
        <w:t>针对本项目提供的售后服务方案包括下述</w:t>
      </w:r>
      <w:r>
        <w:rPr>
          <w:rFonts w:hint="eastAsia"/>
          <w:color w:val="auto"/>
          <w:sz w:val="24"/>
          <w:szCs w:val="24"/>
          <w:highlight w:val="none"/>
        </w:rPr>
        <w:t>5</w:t>
      </w:r>
      <w:r>
        <w:rPr>
          <w:color w:val="auto"/>
          <w:sz w:val="24"/>
          <w:szCs w:val="24"/>
          <w:highlight w:val="none"/>
        </w:rPr>
        <w:t>项：①</w:t>
      </w:r>
      <w:r>
        <w:rPr>
          <w:rFonts w:hint="eastAsia"/>
          <w:color w:val="auto"/>
          <w:sz w:val="24"/>
          <w:szCs w:val="24"/>
          <w:highlight w:val="none"/>
        </w:rPr>
        <w:t>售后</w:t>
      </w:r>
      <w:r>
        <w:rPr>
          <w:color w:val="auto"/>
          <w:sz w:val="24"/>
          <w:szCs w:val="24"/>
          <w:highlight w:val="none"/>
        </w:rPr>
        <w:t>服务体系</w:t>
      </w:r>
      <w:r>
        <w:rPr>
          <w:rFonts w:hint="eastAsia"/>
          <w:color w:val="auto"/>
          <w:sz w:val="24"/>
          <w:szCs w:val="24"/>
          <w:highlight w:val="none"/>
        </w:rPr>
        <w:t>；</w:t>
      </w:r>
      <w:r>
        <w:rPr>
          <w:color w:val="auto"/>
          <w:sz w:val="24"/>
          <w:szCs w:val="24"/>
          <w:highlight w:val="none"/>
        </w:rPr>
        <w:t>②</w:t>
      </w:r>
      <w:r>
        <w:rPr>
          <w:rFonts w:hint="eastAsia"/>
          <w:color w:val="auto"/>
          <w:sz w:val="24"/>
          <w:szCs w:val="24"/>
          <w:highlight w:val="none"/>
        </w:rPr>
        <w:t>售后</w:t>
      </w:r>
      <w:r>
        <w:rPr>
          <w:color w:val="auto"/>
          <w:sz w:val="24"/>
          <w:szCs w:val="24"/>
          <w:highlight w:val="none"/>
        </w:rPr>
        <w:t>服务内容</w:t>
      </w:r>
      <w:r>
        <w:rPr>
          <w:rFonts w:hint="eastAsia"/>
          <w:color w:val="auto"/>
          <w:sz w:val="24"/>
          <w:szCs w:val="24"/>
          <w:highlight w:val="none"/>
        </w:rPr>
        <w:t>；</w:t>
      </w:r>
      <w:r>
        <w:rPr>
          <w:color w:val="auto"/>
          <w:sz w:val="24"/>
          <w:szCs w:val="24"/>
          <w:highlight w:val="none"/>
        </w:rPr>
        <w:t>③故障解决方案</w:t>
      </w:r>
      <w:r>
        <w:rPr>
          <w:rFonts w:hint="eastAsia"/>
          <w:color w:val="auto"/>
          <w:sz w:val="24"/>
          <w:szCs w:val="24"/>
          <w:highlight w:val="none"/>
        </w:rPr>
        <w:t>；</w:t>
      </w:r>
      <w:r>
        <w:rPr>
          <w:color w:val="auto"/>
          <w:sz w:val="24"/>
          <w:szCs w:val="24"/>
          <w:highlight w:val="none"/>
        </w:rPr>
        <w:t>④专业技术人员保障及服务电话等</w:t>
      </w:r>
      <w:r>
        <w:rPr>
          <w:rFonts w:hint="eastAsia"/>
          <w:color w:val="auto"/>
          <w:sz w:val="24"/>
          <w:szCs w:val="24"/>
          <w:highlight w:val="none"/>
        </w:rPr>
        <w:t>；</w:t>
      </w:r>
      <w:r>
        <w:rPr>
          <w:color w:val="auto"/>
          <w:sz w:val="24"/>
          <w:szCs w:val="24"/>
          <w:highlight w:val="none"/>
        </w:rPr>
        <w:t>⑤响应时间及补救措施</w:t>
      </w:r>
      <w:r>
        <w:rPr>
          <w:rFonts w:hint="eastAsia"/>
          <w:color w:val="auto"/>
          <w:sz w:val="24"/>
          <w:szCs w:val="24"/>
          <w:highlight w:val="none"/>
        </w:rPr>
        <w:t>等。</w:t>
      </w:r>
    </w:p>
    <w:p w14:paraId="419E8B03">
      <w:pPr>
        <w:tabs>
          <w:tab w:val="left" w:pos="945"/>
          <w:tab w:val="left" w:pos="1155"/>
        </w:tabs>
        <w:spacing w:line="360" w:lineRule="auto"/>
        <w:ind w:firstLine="482"/>
        <w:jc w:val="left"/>
        <w:rPr>
          <w:rFonts w:hint="eastAsia"/>
          <w:bCs/>
          <w:color w:val="auto"/>
          <w:sz w:val="24"/>
          <w:szCs w:val="24"/>
          <w:highlight w:val="none"/>
        </w:rPr>
      </w:pPr>
      <w:r>
        <w:rPr>
          <w:rFonts w:hint="eastAsia"/>
          <w:b w:val="0"/>
          <w:bCs/>
          <w:color w:val="auto"/>
          <w:sz w:val="24"/>
          <w:szCs w:val="24"/>
          <w:highlight w:val="none"/>
        </w:rPr>
        <w:t>投标供应商针</w:t>
      </w:r>
      <w:r>
        <w:rPr>
          <w:rFonts w:hint="eastAsia"/>
          <w:bCs/>
          <w:color w:val="auto"/>
          <w:sz w:val="24"/>
          <w:szCs w:val="24"/>
          <w:highlight w:val="none"/>
        </w:rPr>
        <w:t>对上述内容进行阐述，要求阐述内容合理、针对性强、切实可行有效。以上每点内容不存在瑕疵的得</w:t>
      </w:r>
      <w:r>
        <w:rPr>
          <w:rFonts w:hint="eastAsia"/>
          <w:bCs/>
          <w:color w:val="auto"/>
          <w:sz w:val="24"/>
          <w:szCs w:val="24"/>
          <w:highlight w:val="none"/>
          <w:lang w:val="en-US" w:eastAsia="zh-CN"/>
        </w:rPr>
        <w:t>2</w:t>
      </w:r>
      <w:r>
        <w:rPr>
          <w:rFonts w:hint="eastAsia"/>
          <w:bCs/>
          <w:color w:val="auto"/>
          <w:sz w:val="24"/>
          <w:szCs w:val="24"/>
          <w:highlight w:val="none"/>
        </w:rPr>
        <w:t>分，存在1处瑕疵的得</w:t>
      </w:r>
      <w:r>
        <w:rPr>
          <w:rFonts w:hint="eastAsia"/>
          <w:bCs/>
          <w:color w:val="auto"/>
          <w:sz w:val="24"/>
          <w:szCs w:val="24"/>
          <w:highlight w:val="none"/>
          <w:lang w:val="en-US" w:eastAsia="zh-CN"/>
        </w:rPr>
        <w:t>1</w:t>
      </w:r>
      <w:r>
        <w:rPr>
          <w:rFonts w:hint="eastAsia"/>
          <w:bCs/>
          <w:color w:val="auto"/>
          <w:sz w:val="24"/>
          <w:szCs w:val="24"/>
          <w:highlight w:val="none"/>
        </w:rPr>
        <w:t>分，存在2处瑕疵的，有基本的解释说明的得</w:t>
      </w:r>
      <w:r>
        <w:rPr>
          <w:rFonts w:hint="eastAsia"/>
          <w:bCs/>
          <w:color w:val="auto"/>
          <w:sz w:val="24"/>
          <w:szCs w:val="24"/>
          <w:highlight w:val="none"/>
          <w:lang w:val="en-US" w:eastAsia="zh-CN"/>
        </w:rPr>
        <w:t>0.5</w:t>
      </w:r>
      <w:r>
        <w:rPr>
          <w:rFonts w:hint="eastAsia"/>
          <w:bCs/>
          <w:color w:val="auto"/>
          <w:sz w:val="24"/>
          <w:szCs w:val="24"/>
          <w:highlight w:val="none"/>
        </w:rPr>
        <w:t>分，未进行阐述或不满足采购需求或内容存在2处以上瑕疵的得0分；本项共计</w:t>
      </w:r>
      <w:r>
        <w:rPr>
          <w:rFonts w:hint="eastAsia"/>
          <w:bCs/>
          <w:color w:val="auto"/>
          <w:sz w:val="24"/>
          <w:szCs w:val="24"/>
          <w:highlight w:val="none"/>
          <w:lang w:val="en-US" w:eastAsia="zh-CN"/>
        </w:rPr>
        <w:t>5</w:t>
      </w:r>
      <w:r>
        <w:rPr>
          <w:rFonts w:hint="eastAsia"/>
          <w:bCs/>
          <w:color w:val="auto"/>
          <w:sz w:val="24"/>
          <w:szCs w:val="24"/>
          <w:highlight w:val="none"/>
        </w:rPr>
        <w:t>点内容，本项最高得</w:t>
      </w:r>
      <w:r>
        <w:rPr>
          <w:rFonts w:hint="eastAsia"/>
          <w:bCs/>
          <w:color w:val="auto"/>
          <w:sz w:val="24"/>
          <w:szCs w:val="24"/>
          <w:highlight w:val="none"/>
          <w:lang w:val="en-US" w:eastAsia="zh-CN"/>
        </w:rPr>
        <w:t>10</w:t>
      </w:r>
      <w:r>
        <w:rPr>
          <w:rFonts w:hint="eastAsia"/>
          <w:bCs/>
          <w:color w:val="auto"/>
          <w:sz w:val="24"/>
          <w:szCs w:val="24"/>
          <w:highlight w:val="none"/>
        </w:rPr>
        <w:t>分。</w:t>
      </w:r>
    </w:p>
    <w:p w14:paraId="2AC02591">
      <w:pPr>
        <w:spacing w:line="360" w:lineRule="auto"/>
        <w:ind w:firstLine="480"/>
        <w:rPr>
          <w:b/>
          <w:bCs/>
          <w:color w:val="auto"/>
          <w:sz w:val="24"/>
          <w:szCs w:val="24"/>
          <w:highlight w:val="none"/>
        </w:rPr>
      </w:pPr>
      <w:r>
        <w:rPr>
          <w:rFonts w:hint="eastAsia"/>
          <w:b/>
          <w:bCs/>
          <w:color w:val="auto"/>
          <w:sz w:val="24"/>
          <w:szCs w:val="24"/>
          <w:highlight w:val="none"/>
        </w:rPr>
        <w:t>（</w:t>
      </w:r>
      <w:r>
        <w:rPr>
          <w:rFonts w:hint="eastAsia"/>
          <w:b/>
          <w:bCs/>
          <w:color w:val="auto"/>
          <w:sz w:val="24"/>
          <w:szCs w:val="24"/>
          <w:highlight w:val="none"/>
          <w:lang w:val="en-US" w:eastAsia="zh-CN"/>
        </w:rPr>
        <w:t>7</w:t>
      </w:r>
      <w:r>
        <w:rPr>
          <w:rFonts w:hint="eastAsia"/>
          <w:b/>
          <w:bCs/>
          <w:color w:val="auto"/>
          <w:sz w:val="24"/>
          <w:szCs w:val="24"/>
          <w:highlight w:val="none"/>
        </w:rPr>
        <w:t>）</w:t>
      </w:r>
      <w:r>
        <w:rPr>
          <w:rFonts w:hint="eastAsia"/>
          <w:b/>
          <w:bCs/>
          <w:color w:val="auto"/>
          <w:sz w:val="24"/>
          <w:szCs w:val="24"/>
          <w:highlight w:val="none"/>
          <w:lang w:val="en-US" w:eastAsia="zh-CN"/>
        </w:rPr>
        <w:t>应急响应</w:t>
      </w:r>
      <w:r>
        <w:rPr>
          <w:rFonts w:hint="eastAsia"/>
          <w:b/>
          <w:bCs/>
          <w:color w:val="auto"/>
          <w:sz w:val="24"/>
          <w:szCs w:val="24"/>
          <w:highlight w:val="none"/>
        </w:rPr>
        <w:t>方案（</w:t>
      </w:r>
      <w:r>
        <w:rPr>
          <w:rFonts w:hint="eastAsia"/>
          <w:b/>
          <w:bCs/>
          <w:color w:val="auto"/>
          <w:sz w:val="24"/>
          <w:szCs w:val="24"/>
          <w:highlight w:val="none"/>
          <w:lang w:val="en-US" w:eastAsia="zh-CN"/>
        </w:rPr>
        <w:t>7</w:t>
      </w:r>
      <w:r>
        <w:rPr>
          <w:rFonts w:hint="eastAsia"/>
          <w:b/>
          <w:bCs/>
          <w:color w:val="auto"/>
          <w:sz w:val="24"/>
          <w:szCs w:val="24"/>
          <w:highlight w:val="none"/>
        </w:rPr>
        <w:t>分）</w:t>
      </w:r>
    </w:p>
    <w:p w14:paraId="4304C8F0">
      <w:pPr>
        <w:spacing w:line="360" w:lineRule="auto"/>
        <w:ind w:firstLine="480"/>
        <w:rPr>
          <w:color w:val="auto"/>
          <w:sz w:val="24"/>
          <w:szCs w:val="24"/>
          <w:highlight w:val="none"/>
        </w:rPr>
      </w:pPr>
      <w:r>
        <w:rPr>
          <w:rFonts w:hint="eastAsia"/>
          <w:color w:val="auto"/>
          <w:sz w:val="24"/>
          <w:szCs w:val="24"/>
          <w:highlight w:val="none"/>
        </w:rPr>
        <w:t>投标供应商</w:t>
      </w:r>
      <w:r>
        <w:rPr>
          <w:color w:val="auto"/>
          <w:sz w:val="24"/>
          <w:szCs w:val="24"/>
          <w:highlight w:val="none"/>
        </w:rPr>
        <w:t>针对本项目提供的</w:t>
      </w:r>
      <w:r>
        <w:rPr>
          <w:rFonts w:hint="eastAsia"/>
          <w:b w:val="0"/>
          <w:bCs w:val="0"/>
          <w:color w:val="auto"/>
          <w:sz w:val="24"/>
          <w:szCs w:val="24"/>
          <w:highlight w:val="none"/>
          <w:lang w:val="en-US" w:eastAsia="zh-CN"/>
        </w:rPr>
        <w:t>应急响应</w:t>
      </w:r>
      <w:r>
        <w:rPr>
          <w:color w:val="auto"/>
          <w:sz w:val="24"/>
          <w:szCs w:val="24"/>
          <w:highlight w:val="none"/>
        </w:rPr>
        <w:t>方案包括下述</w:t>
      </w:r>
      <w:r>
        <w:rPr>
          <w:rFonts w:hint="eastAsia"/>
          <w:color w:val="auto"/>
          <w:sz w:val="24"/>
          <w:szCs w:val="24"/>
          <w:highlight w:val="none"/>
          <w:lang w:val="en-US" w:eastAsia="zh-CN"/>
        </w:rPr>
        <w:t>4</w:t>
      </w:r>
      <w:r>
        <w:rPr>
          <w:color w:val="auto"/>
          <w:sz w:val="24"/>
          <w:szCs w:val="24"/>
          <w:highlight w:val="none"/>
        </w:rPr>
        <w:t>项：</w:t>
      </w:r>
      <w:r>
        <w:rPr>
          <w:rFonts w:hint="eastAsia"/>
          <w:color w:val="auto"/>
          <w:sz w:val="24"/>
          <w:szCs w:val="24"/>
          <w:highlight w:val="none"/>
        </w:rPr>
        <w:t>①应急组织体系；②重大情况处理；③应急保障措施；④应急响应方式等。</w:t>
      </w:r>
    </w:p>
    <w:p w14:paraId="4FDFB683">
      <w:pPr>
        <w:tabs>
          <w:tab w:val="left" w:pos="945"/>
          <w:tab w:val="left" w:pos="1155"/>
        </w:tabs>
        <w:spacing w:line="360" w:lineRule="auto"/>
        <w:ind w:firstLine="482"/>
        <w:jc w:val="left"/>
        <w:rPr>
          <w:rFonts w:hint="eastAsia"/>
          <w:bCs/>
          <w:color w:val="auto"/>
          <w:sz w:val="24"/>
          <w:szCs w:val="24"/>
          <w:highlight w:val="none"/>
        </w:rPr>
      </w:pPr>
      <w:r>
        <w:rPr>
          <w:rFonts w:hint="eastAsia"/>
          <w:b w:val="0"/>
          <w:bCs/>
          <w:color w:val="auto"/>
          <w:sz w:val="24"/>
          <w:szCs w:val="24"/>
          <w:highlight w:val="none"/>
        </w:rPr>
        <w:t>投标供应商针</w:t>
      </w:r>
      <w:r>
        <w:rPr>
          <w:rFonts w:hint="eastAsia"/>
          <w:bCs/>
          <w:color w:val="auto"/>
          <w:sz w:val="24"/>
          <w:szCs w:val="24"/>
          <w:highlight w:val="none"/>
        </w:rPr>
        <w:t>对上述内容进行阐述，要求阐述内容合理、针对性强、切实可行有效。以上每点内容不存在瑕疵的得</w:t>
      </w:r>
      <w:r>
        <w:rPr>
          <w:rFonts w:hint="eastAsia"/>
          <w:bCs/>
          <w:color w:val="auto"/>
          <w:sz w:val="24"/>
          <w:szCs w:val="24"/>
          <w:highlight w:val="none"/>
          <w:lang w:val="en-US" w:eastAsia="zh-CN"/>
        </w:rPr>
        <w:t>1.75</w:t>
      </w:r>
      <w:r>
        <w:rPr>
          <w:rFonts w:hint="eastAsia"/>
          <w:bCs/>
          <w:color w:val="auto"/>
          <w:sz w:val="24"/>
          <w:szCs w:val="24"/>
          <w:highlight w:val="none"/>
        </w:rPr>
        <w:t>分，存在1处瑕疵的得</w:t>
      </w:r>
      <w:r>
        <w:rPr>
          <w:rFonts w:hint="eastAsia"/>
          <w:bCs/>
          <w:color w:val="auto"/>
          <w:sz w:val="24"/>
          <w:szCs w:val="24"/>
          <w:highlight w:val="none"/>
          <w:lang w:val="en-US" w:eastAsia="zh-CN"/>
        </w:rPr>
        <w:t>1</w:t>
      </w:r>
      <w:r>
        <w:rPr>
          <w:rFonts w:hint="eastAsia"/>
          <w:bCs/>
          <w:color w:val="auto"/>
          <w:sz w:val="24"/>
          <w:szCs w:val="24"/>
          <w:highlight w:val="none"/>
        </w:rPr>
        <w:t>分，存在2处瑕疵的，有基本的解释说明的得</w:t>
      </w:r>
      <w:r>
        <w:rPr>
          <w:rFonts w:hint="eastAsia"/>
          <w:bCs/>
          <w:color w:val="auto"/>
          <w:sz w:val="24"/>
          <w:szCs w:val="24"/>
          <w:highlight w:val="none"/>
          <w:lang w:val="en-US" w:eastAsia="zh-CN"/>
        </w:rPr>
        <w:t>0.5</w:t>
      </w:r>
      <w:r>
        <w:rPr>
          <w:rFonts w:hint="eastAsia"/>
          <w:bCs/>
          <w:color w:val="auto"/>
          <w:sz w:val="24"/>
          <w:szCs w:val="24"/>
          <w:highlight w:val="none"/>
        </w:rPr>
        <w:t>分，未进行阐述或不满足采购需求或内容存在2处以上瑕疵的得0分；本项共计</w:t>
      </w:r>
      <w:r>
        <w:rPr>
          <w:rFonts w:hint="eastAsia"/>
          <w:bCs/>
          <w:color w:val="auto"/>
          <w:sz w:val="24"/>
          <w:szCs w:val="24"/>
          <w:highlight w:val="none"/>
          <w:lang w:val="en-US" w:eastAsia="zh-CN"/>
        </w:rPr>
        <w:t>4</w:t>
      </w:r>
      <w:r>
        <w:rPr>
          <w:rFonts w:hint="eastAsia"/>
          <w:bCs/>
          <w:color w:val="auto"/>
          <w:sz w:val="24"/>
          <w:szCs w:val="24"/>
          <w:highlight w:val="none"/>
        </w:rPr>
        <w:t>点内容，本项最高得</w:t>
      </w:r>
      <w:r>
        <w:rPr>
          <w:rFonts w:hint="eastAsia"/>
          <w:bCs/>
          <w:color w:val="auto"/>
          <w:sz w:val="24"/>
          <w:szCs w:val="24"/>
          <w:highlight w:val="none"/>
          <w:lang w:val="en-US" w:eastAsia="zh-CN"/>
        </w:rPr>
        <w:t>7</w:t>
      </w:r>
      <w:r>
        <w:rPr>
          <w:rFonts w:hint="eastAsia"/>
          <w:bCs/>
          <w:color w:val="auto"/>
          <w:sz w:val="24"/>
          <w:szCs w:val="24"/>
          <w:highlight w:val="none"/>
        </w:rPr>
        <w:t>分。</w:t>
      </w:r>
    </w:p>
    <w:p w14:paraId="6F4EA437">
      <w:pPr>
        <w:spacing w:line="360" w:lineRule="auto"/>
        <w:ind w:firstLine="480"/>
        <w:rPr>
          <w:rFonts w:hint="eastAsia"/>
          <w:bCs/>
          <w:color w:val="auto"/>
          <w:sz w:val="24"/>
          <w:szCs w:val="24"/>
          <w:highlight w:val="none"/>
        </w:rPr>
      </w:pPr>
      <w:r>
        <w:rPr>
          <w:rFonts w:hint="eastAsia"/>
          <w:bCs/>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C357755">
      <w:pPr>
        <w:pStyle w:val="369"/>
        <w:spacing w:line="360" w:lineRule="auto"/>
        <w:ind w:firstLine="241"/>
        <w:rPr>
          <w:rFonts w:hint="eastAsia" w:ascii="宋体" w:hAnsi="宋体"/>
          <w:b/>
          <w:bCs/>
          <w:color w:val="auto"/>
          <w:sz w:val="24"/>
          <w:szCs w:val="24"/>
          <w:highlight w:val="none"/>
        </w:rPr>
      </w:pPr>
      <w:r>
        <w:rPr>
          <w:rFonts w:hint="eastAsia" w:ascii="宋体" w:hAnsi="宋体"/>
          <w:b/>
          <w:bCs/>
          <w:color w:val="auto"/>
          <w:sz w:val="24"/>
          <w:szCs w:val="24"/>
          <w:highlight w:val="none"/>
        </w:rPr>
        <w:t>（</w:t>
      </w:r>
      <w:r>
        <w:rPr>
          <w:rFonts w:hint="eastAsia" w:ascii="宋体" w:hAnsi="宋体"/>
          <w:b/>
          <w:bCs/>
          <w:color w:val="auto"/>
          <w:sz w:val="24"/>
          <w:szCs w:val="24"/>
          <w:highlight w:val="none"/>
          <w:lang w:eastAsia="zh-CN"/>
        </w:rPr>
        <w:t>四</w:t>
      </w:r>
      <w:r>
        <w:rPr>
          <w:rFonts w:hint="eastAsia" w:ascii="宋体" w:hAnsi="宋体"/>
          <w:b/>
          <w:bCs/>
          <w:color w:val="auto"/>
          <w:sz w:val="24"/>
          <w:szCs w:val="24"/>
          <w:highlight w:val="none"/>
        </w:rPr>
        <w:t>）</w:t>
      </w:r>
      <w:bookmarkStart w:id="134" w:name="OLE_LINK41"/>
      <w:r>
        <w:rPr>
          <w:rFonts w:hint="eastAsia" w:ascii="宋体" w:hAnsi="宋体"/>
          <w:b/>
          <w:bCs/>
          <w:color w:val="auto"/>
          <w:sz w:val="24"/>
          <w:szCs w:val="24"/>
          <w:highlight w:val="none"/>
        </w:rPr>
        <w:t>政策性因素（</w:t>
      </w:r>
      <w:r>
        <w:rPr>
          <w:rFonts w:ascii="宋体" w:hAnsi="宋体"/>
          <w:b/>
          <w:bCs/>
          <w:color w:val="auto"/>
          <w:sz w:val="24"/>
          <w:szCs w:val="24"/>
          <w:highlight w:val="none"/>
        </w:rPr>
        <w:t>3</w:t>
      </w:r>
      <w:r>
        <w:rPr>
          <w:rFonts w:hint="eastAsia" w:ascii="宋体" w:hAnsi="宋体"/>
          <w:b/>
          <w:bCs/>
          <w:color w:val="auto"/>
          <w:sz w:val="24"/>
          <w:szCs w:val="24"/>
          <w:highlight w:val="none"/>
        </w:rPr>
        <w:t>分）</w:t>
      </w:r>
      <w:bookmarkEnd w:id="134"/>
    </w:p>
    <w:p w14:paraId="5771DCE4">
      <w:pPr>
        <w:tabs>
          <w:tab w:val="left" w:pos="945"/>
          <w:tab w:val="left" w:pos="1155"/>
        </w:tabs>
        <w:spacing w:line="360" w:lineRule="auto"/>
        <w:ind w:firstLine="480" w:firstLineChars="200"/>
        <w:rPr>
          <w:rFonts w:hint="eastAsia" w:ascii="宋体" w:hAnsi="宋体"/>
          <w:bCs/>
          <w:color w:val="auto"/>
          <w:sz w:val="24"/>
          <w:szCs w:val="24"/>
          <w:highlight w:val="none"/>
        </w:rPr>
      </w:pPr>
      <w:bookmarkStart w:id="135" w:name="OLE_LINK40"/>
      <w:r>
        <w:rPr>
          <w:rFonts w:hint="eastAsia" w:ascii="宋体" w:hAnsi="宋体" w:cs="宋体"/>
          <w:color w:val="auto"/>
          <w:sz w:val="24"/>
          <w:szCs w:val="24"/>
          <w:highlight w:val="none"/>
        </w:rPr>
        <w:t>依据财政部、发展改革委发布的《节能产品政府采购品目清单》和财政部、生态环境部发布的《</w:t>
      </w:r>
      <w:r>
        <w:rPr>
          <w:rFonts w:ascii="宋体" w:hAnsi="宋体" w:cs="宋体"/>
          <w:color w:val="auto"/>
          <w:sz w:val="24"/>
          <w:szCs w:val="24"/>
          <w:highlight w:val="none"/>
        </w:rPr>
        <w:t>环境标志产品政府采购品目清单</w:t>
      </w:r>
      <w:r>
        <w:rPr>
          <w:rFonts w:hint="eastAsia" w:ascii="宋体" w:hAnsi="宋体" w:cs="宋体"/>
          <w:color w:val="auto"/>
          <w:sz w:val="24"/>
          <w:szCs w:val="24"/>
          <w:highlight w:val="none"/>
        </w:rPr>
        <w:t>》，投标产品为政府采购</w:t>
      </w:r>
      <w:r>
        <w:rPr>
          <w:rFonts w:hint="eastAsia" w:ascii="宋体" w:hAnsi="宋体"/>
          <w:bCs/>
          <w:color w:val="auto"/>
          <w:sz w:val="24"/>
          <w:szCs w:val="24"/>
          <w:highlight w:val="none"/>
        </w:rPr>
        <w:t>节能（政府强制采购节能产品除外）、环保产品分别得1分（投标时须提供所投产品</w:t>
      </w:r>
      <w:r>
        <w:rPr>
          <w:rFonts w:hint="eastAsia" w:ascii="宋体" w:hAnsi="宋体" w:cs="宋体"/>
          <w:color w:val="auto"/>
          <w:sz w:val="24"/>
          <w:szCs w:val="24"/>
          <w:highlight w:val="none"/>
        </w:rPr>
        <w:t>由国家确定的认证机构出具的、处于有效期之内的节能产品认证证书复印件、环境标志产品认证证书</w:t>
      </w:r>
      <w:r>
        <w:rPr>
          <w:rFonts w:hint="eastAsia" w:ascii="宋体" w:hAnsi="宋体"/>
          <w:bCs/>
          <w:color w:val="auto"/>
          <w:sz w:val="24"/>
          <w:szCs w:val="24"/>
          <w:highlight w:val="none"/>
        </w:rPr>
        <w:t>复印件，否则不得分</w:t>
      </w:r>
      <w:r>
        <w:rPr>
          <w:rFonts w:ascii="宋体" w:hAnsi="宋体"/>
          <w:bCs/>
          <w:color w:val="auto"/>
          <w:sz w:val="24"/>
          <w:szCs w:val="24"/>
          <w:highlight w:val="none"/>
        </w:rPr>
        <w:t>）</w:t>
      </w:r>
      <w:r>
        <w:rPr>
          <w:rFonts w:hint="eastAsia" w:ascii="宋体" w:hAnsi="宋体"/>
          <w:bCs/>
          <w:color w:val="auto"/>
          <w:sz w:val="24"/>
          <w:szCs w:val="24"/>
          <w:highlight w:val="none"/>
        </w:rPr>
        <w:t>，本项最高得2分。</w:t>
      </w:r>
    </w:p>
    <w:p w14:paraId="0DAFE781">
      <w:pPr>
        <w:tabs>
          <w:tab w:val="left" w:pos="945"/>
          <w:tab w:val="left" w:pos="1155"/>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35"/>
    </w:p>
    <w:p w14:paraId="5EED63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481AC587">
      <w:pPr>
        <w:rPr>
          <w:color w:val="auto"/>
          <w:highlight w:val="none"/>
        </w:rPr>
      </w:pPr>
    </w:p>
    <w:p w14:paraId="09A67B71">
      <w:pPr>
        <w:pStyle w:val="38"/>
        <w:ind w:left="0" w:leftChars="0" w:firstLine="0" w:firstLineChars="0"/>
        <w:rPr>
          <w:rFonts w:hint="eastAsia" w:ascii="宋体" w:hAnsi="宋体" w:eastAsia="宋体"/>
          <w:bCs/>
          <w:i w:val="0"/>
          <w:iCs w:val="0"/>
          <w:color w:val="auto"/>
          <w:sz w:val="24"/>
          <w:szCs w:val="24"/>
          <w:highlight w:val="none"/>
          <w:u w:val="none"/>
          <w:lang w:val="en-US" w:eastAsia="zh-CN"/>
        </w:rPr>
      </w:pPr>
    </w:p>
    <w:p w14:paraId="55D0D078">
      <w:pPr>
        <w:rPr>
          <w:rFonts w:hint="eastAsia"/>
          <w:color w:val="auto"/>
          <w:highlight w:val="none"/>
          <w:lang w:val="en-US" w:eastAsia="zh-CN"/>
        </w:rPr>
      </w:pPr>
    </w:p>
    <w:p w14:paraId="3C024EAB">
      <w:pPr>
        <w:pStyle w:val="13"/>
        <w:rPr>
          <w:rFonts w:hint="eastAsia"/>
          <w:color w:val="auto"/>
          <w:highlight w:val="none"/>
          <w:lang w:val="en-US" w:eastAsia="zh-CN"/>
        </w:rPr>
      </w:pPr>
    </w:p>
    <w:p w14:paraId="7C14A247">
      <w:pPr>
        <w:pStyle w:val="13"/>
        <w:rPr>
          <w:rFonts w:hint="eastAsia"/>
          <w:color w:val="auto"/>
          <w:highlight w:val="none"/>
          <w:lang w:val="en-US" w:eastAsia="zh-CN"/>
        </w:rPr>
      </w:pPr>
    </w:p>
    <w:p w14:paraId="1044E629">
      <w:pPr>
        <w:pStyle w:val="13"/>
        <w:rPr>
          <w:rFonts w:hint="eastAsia"/>
          <w:color w:val="auto"/>
          <w:highlight w:val="none"/>
          <w:lang w:val="en-US" w:eastAsia="zh-CN"/>
        </w:rPr>
      </w:pPr>
    </w:p>
    <w:p w14:paraId="07BCEE1E">
      <w:pPr>
        <w:pStyle w:val="13"/>
        <w:rPr>
          <w:rFonts w:hint="eastAsia"/>
          <w:color w:val="auto"/>
          <w:highlight w:val="none"/>
          <w:lang w:val="en-US" w:eastAsia="zh-CN"/>
        </w:rPr>
      </w:pPr>
    </w:p>
    <w:p w14:paraId="395ADBBA">
      <w:pPr>
        <w:pStyle w:val="13"/>
        <w:rPr>
          <w:rFonts w:hint="eastAsia"/>
          <w:color w:val="auto"/>
          <w:highlight w:val="none"/>
          <w:lang w:val="en-US" w:eastAsia="zh-CN"/>
        </w:rPr>
      </w:pPr>
    </w:p>
    <w:p w14:paraId="664B6558">
      <w:pPr>
        <w:pStyle w:val="13"/>
        <w:rPr>
          <w:rFonts w:hint="eastAsia"/>
          <w:color w:val="auto"/>
          <w:highlight w:val="none"/>
          <w:lang w:val="en-US" w:eastAsia="zh-CN"/>
        </w:rPr>
      </w:pPr>
    </w:p>
    <w:p w14:paraId="2BF0E898">
      <w:pPr>
        <w:pStyle w:val="13"/>
        <w:rPr>
          <w:rFonts w:hint="eastAsia"/>
          <w:color w:val="auto"/>
          <w:highlight w:val="none"/>
          <w:lang w:val="en-US" w:eastAsia="zh-CN"/>
        </w:rPr>
      </w:pPr>
    </w:p>
    <w:p w14:paraId="18675194">
      <w:pPr>
        <w:pStyle w:val="13"/>
        <w:rPr>
          <w:rFonts w:hint="eastAsia"/>
          <w:color w:val="auto"/>
          <w:highlight w:val="none"/>
          <w:lang w:val="en-US" w:eastAsia="zh-CN"/>
        </w:rPr>
      </w:pPr>
    </w:p>
    <w:p w14:paraId="79C8F295">
      <w:pPr>
        <w:pStyle w:val="13"/>
        <w:rPr>
          <w:rFonts w:hint="eastAsia"/>
          <w:color w:val="auto"/>
          <w:highlight w:val="none"/>
          <w:lang w:val="en-US" w:eastAsia="zh-CN"/>
        </w:rPr>
      </w:pPr>
    </w:p>
    <w:p w14:paraId="79E4D556">
      <w:pPr>
        <w:pStyle w:val="13"/>
        <w:rPr>
          <w:rFonts w:hint="eastAsia"/>
          <w:color w:val="auto"/>
          <w:highlight w:val="none"/>
          <w:lang w:val="en-US" w:eastAsia="zh-CN"/>
        </w:rPr>
      </w:pPr>
    </w:p>
    <w:p w14:paraId="35DE4B7C">
      <w:pPr>
        <w:pStyle w:val="13"/>
        <w:rPr>
          <w:rFonts w:hint="eastAsia"/>
          <w:color w:val="auto"/>
          <w:highlight w:val="none"/>
          <w:lang w:val="en-US" w:eastAsia="zh-CN"/>
        </w:rPr>
      </w:pPr>
    </w:p>
    <w:p w14:paraId="34F45D0B">
      <w:pPr>
        <w:pStyle w:val="13"/>
        <w:rPr>
          <w:rFonts w:hint="eastAsia"/>
          <w:color w:val="auto"/>
          <w:highlight w:val="none"/>
          <w:lang w:val="en-US" w:eastAsia="zh-CN"/>
        </w:rPr>
      </w:pPr>
    </w:p>
    <w:p w14:paraId="3F3EA18A">
      <w:pPr>
        <w:pStyle w:val="13"/>
        <w:rPr>
          <w:rFonts w:hint="eastAsia"/>
          <w:color w:val="auto"/>
          <w:highlight w:val="none"/>
          <w:lang w:val="en-US" w:eastAsia="zh-CN"/>
        </w:rPr>
      </w:pPr>
    </w:p>
    <w:p w14:paraId="5E34F8AF">
      <w:pPr>
        <w:pStyle w:val="13"/>
        <w:rPr>
          <w:rFonts w:hint="eastAsia"/>
          <w:color w:val="auto"/>
          <w:highlight w:val="none"/>
          <w:lang w:val="en-US" w:eastAsia="zh-CN"/>
        </w:rPr>
      </w:pPr>
    </w:p>
    <w:p w14:paraId="54FA6EF0">
      <w:pPr>
        <w:pStyle w:val="13"/>
        <w:rPr>
          <w:rFonts w:hint="eastAsia"/>
          <w:color w:val="auto"/>
          <w:highlight w:val="none"/>
          <w:lang w:val="en-US" w:eastAsia="zh-CN"/>
        </w:rPr>
      </w:pPr>
    </w:p>
    <w:p w14:paraId="40534E71">
      <w:pPr>
        <w:pStyle w:val="13"/>
        <w:rPr>
          <w:rFonts w:hint="eastAsia"/>
          <w:color w:val="auto"/>
          <w:highlight w:val="none"/>
          <w:lang w:val="en-US" w:eastAsia="zh-CN"/>
        </w:rPr>
      </w:pPr>
    </w:p>
    <w:p w14:paraId="78691B56">
      <w:pPr>
        <w:pStyle w:val="13"/>
        <w:rPr>
          <w:rFonts w:hint="eastAsia"/>
          <w:color w:val="auto"/>
          <w:highlight w:val="none"/>
          <w:lang w:val="en-US" w:eastAsia="zh-CN"/>
        </w:rPr>
      </w:pPr>
    </w:p>
    <w:p w14:paraId="5AA5F6B9">
      <w:pPr>
        <w:pStyle w:val="13"/>
        <w:rPr>
          <w:rFonts w:hint="eastAsia"/>
          <w:color w:val="auto"/>
          <w:highlight w:val="none"/>
          <w:lang w:val="en-US" w:eastAsia="zh-CN"/>
        </w:rPr>
      </w:pPr>
    </w:p>
    <w:p w14:paraId="51A2DF0C">
      <w:pPr>
        <w:pStyle w:val="13"/>
        <w:rPr>
          <w:rFonts w:hint="eastAsia"/>
          <w:color w:val="auto"/>
          <w:highlight w:val="none"/>
          <w:lang w:val="en-US" w:eastAsia="zh-CN"/>
        </w:rPr>
      </w:pPr>
    </w:p>
    <w:p w14:paraId="7D35CC52">
      <w:pPr>
        <w:pStyle w:val="13"/>
        <w:rPr>
          <w:rFonts w:hint="eastAsia"/>
          <w:color w:val="auto"/>
          <w:highlight w:val="none"/>
          <w:lang w:val="en-US" w:eastAsia="zh-CN"/>
        </w:rPr>
      </w:pPr>
    </w:p>
    <w:p w14:paraId="6C0BC012">
      <w:pPr>
        <w:pStyle w:val="13"/>
        <w:rPr>
          <w:rFonts w:hint="eastAsia"/>
          <w:color w:val="auto"/>
          <w:highlight w:val="none"/>
          <w:lang w:val="en-US" w:eastAsia="zh-CN"/>
        </w:rPr>
      </w:pPr>
    </w:p>
    <w:p w14:paraId="68487BE3">
      <w:pPr>
        <w:pStyle w:val="13"/>
        <w:rPr>
          <w:rFonts w:hint="eastAsia"/>
          <w:color w:val="auto"/>
          <w:highlight w:val="none"/>
          <w:lang w:val="en-US" w:eastAsia="zh-CN"/>
        </w:rPr>
      </w:pPr>
    </w:p>
    <w:p w14:paraId="326796D3">
      <w:pPr>
        <w:pStyle w:val="13"/>
        <w:rPr>
          <w:rFonts w:hint="eastAsia"/>
          <w:color w:val="auto"/>
          <w:highlight w:val="none"/>
          <w:lang w:val="en-US" w:eastAsia="zh-CN"/>
        </w:rPr>
      </w:pPr>
    </w:p>
    <w:p w14:paraId="6149A796">
      <w:pPr>
        <w:pStyle w:val="13"/>
        <w:rPr>
          <w:rFonts w:hint="eastAsia"/>
          <w:color w:val="auto"/>
          <w:highlight w:val="none"/>
          <w:lang w:val="en-US" w:eastAsia="zh-CN"/>
        </w:rPr>
      </w:pPr>
    </w:p>
    <w:p w14:paraId="3C3A8A6B">
      <w:pPr>
        <w:pStyle w:val="13"/>
        <w:rPr>
          <w:rFonts w:hint="eastAsia"/>
          <w:color w:val="auto"/>
          <w:highlight w:val="none"/>
          <w:lang w:val="en-US" w:eastAsia="zh-CN"/>
        </w:rPr>
      </w:pPr>
    </w:p>
    <w:p w14:paraId="2AFEB180">
      <w:pPr>
        <w:rPr>
          <w:rFonts w:hint="eastAsia"/>
          <w:color w:val="auto"/>
          <w:highlight w:val="none"/>
          <w:lang w:val="en-US" w:eastAsia="zh-CN"/>
        </w:rPr>
      </w:pPr>
    </w:p>
    <w:p w14:paraId="274B9FEE">
      <w:pPr>
        <w:numPr>
          <w:ilvl w:val="0"/>
          <w:numId w:val="4"/>
        </w:numPr>
        <w:tabs>
          <w:tab w:val="left" w:pos="1050"/>
        </w:tabs>
        <w:spacing w:line="400" w:lineRule="exact"/>
        <w:jc w:val="center"/>
        <w:rPr>
          <w:rFonts w:hint="eastAsia" w:ascii="黑体" w:eastAsia="黑体"/>
          <w:bCs/>
          <w:i w:val="0"/>
          <w:iCs w:val="0"/>
          <w:color w:val="auto"/>
          <w:sz w:val="32"/>
          <w:szCs w:val="32"/>
          <w:highlight w:val="none"/>
        </w:rPr>
      </w:pPr>
      <w:bookmarkStart w:id="136" w:name="_Toc61444677"/>
      <w:r>
        <w:rPr>
          <w:rFonts w:hint="eastAsia" w:ascii="黑体" w:eastAsia="黑体"/>
          <w:bCs/>
          <w:i w:val="0"/>
          <w:iCs w:val="0"/>
          <w:color w:val="auto"/>
          <w:sz w:val="32"/>
          <w:szCs w:val="32"/>
          <w:highlight w:val="none"/>
        </w:rPr>
        <w:t xml:space="preserve"> 投标文件内容与格式</w:t>
      </w:r>
    </w:p>
    <w:p w14:paraId="52E8FCF9">
      <w:pPr>
        <w:pStyle w:val="364"/>
        <w:numPr>
          <w:ilvl w:val="0"/>
          <w:numId w:val="5"/>
        </w:numPr>
        <w:spacing w:before="0" w:after="0" w:line="500" w:lineRule="exact"/>
        <w:ind w:firstLine="602"/>
        <w:jc w:val="center"/>
        <w:rPr>
          <w:rFonts w:hint="eastAsia" w:cs="Arial"/>
          <w:b/>
          <w:i w:val="0"/>
          <w:iCs w:val="0"/>
          <w:color w:val="auto"/>
          <w:sz w:val="30"/>
          <w:szCs w:val="30"/>
          <w:highlight w:val="none"/>
        </w:rPr>
      </w:pPr>
      <w:r>
        <w:rPr>
          <w:rFonts w:hint="eastAsia" w:cs="Arial"/>
          <w:b/>
          <w:i w:val="0"/>
          <w:iCs w:val="0"/>
          <w:color w:val="auto"/>
          <w:sz w:val="30"/>
          <w:szCs w:val="30"/>
          <w:highlight w:val="none"/>
        </w:rPr>
        <w:t xml:space="preserve"> 投标文件内容</w:t>
      </w:r>
    </w:p>
    <w:p w14:paraId="468C422A">
      <w:pPr>
        <w:pStyle w:val="364"/>
        <w:spacing w:before="0" w:after="0" w:line="500" w:lineRule="exact"/>
        <w:ind w:firstLine="0"/>
        <w:rPr>
          <w:rFonts w:hint="eastAsia" w:cs="Arial"/>
          <w:b/>
          <w:i w:val="0"/>
          <w:iCs w:val="0"/>
          <w:color w:val="auto"/>
          <w:sz w:val="28"/>
          <w:szCs w:val="28"/>
          <w:highlight w:val="none"/>
        </w:rPr>
      </w:pPr>
      <w:r>
        <w:rPr>
          <w:b/>
          <w:i w:val="0"/>
          <w:iCs w:val="0"/>
          <w:color w:val="auto"/>
          <w:sz w:val="28"/>
          <w:szCs w:val="28"/>
          <w:highlight w:val="none"/>
        </w:rPr>
        <w:t>一、</w:t>
      </w:r>
      <w:r>
        <w:rPr>
          <w:rFonts w:hint="eastAsia"/>
          <w:b/>
          <w:i w:val="0"/>
          <w:iCs w:val="0"/>
          <w:color w:val="auto"/>
          <w:sz w:val="28"/>
          <w:szCs w:val="28"/>
          <w:highlight w:val="none"/>
        </w:rPr>
        <w:t>资格证明文件</w:t>
      </w:r>
    </w:p>
    <w:tbl>
      <w:tblPr>
        <w:tblStyle w:val="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5C845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2236AED5">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序号</w:t>
            </w:r>
          </w:p>
        </w:tc>
        <w:tc>
          <w:tcPr>
            <w:tcW w:w="6104" w:type="dxa"/>
            <w:noWrap w:val="0"/>
            <w:vAlign w:val="center"/>
          </w:tcPr>
          <w:p w14:paraId="42797103">
            <w:pPr>
              <w:pStyle w:val="364"/>
              <w:spacing w:before="0" w:after="0" w:line="240" w:lineRule="auto"/>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评审项及评审要求</w:t>
            </w:r>
          </w:p>
        </w:tc>
        <w:tc>
          <w:tcPr>
            <w:tcW w:w="2449" w:type="dxa"/>
            <w:noWrap w:val="0"/>
            <w:vAlign w:val="center"/>
          </w:tcPr>
          <w:p w14:paraId="04E27080">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审查因素</w:t>
            </w:r>
          </w:p>
        </w:tc>
      </w:tr>
      <w:tr w14:paraId="5E612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223BDADC">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1</w:t>
            </w:r>
          </w:p>
        </w:tc>
        <w:tc>
          <w:tcPr>
            <w:tcW w:w="6104" w:type="dxa"/>
            <w:noWrap w:val="0"/>
            <w:vAlign w:val="center"/>
          </w:tcPr>
          <w:p w14:paraId="52B96CF5">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467FC48F">
            <w:pPr>
              <w:pStyle w:val="364"/>
              <w:spacing w:before="0" w:after="0" w:line="240" w:lineRule="auto"/>
              <w:ind w:firstLine="0"/>
              <w:rPr>
                <w:rFonts w:hint="eastAsia" w:ascii="宋体" w:hAnsi="宋体" w:cs="宋体"/>
                <w:i w:val="0"/>
                <w:iCs w:val="0"/>
                <w:color w:val="auto"/>
                <w:highlight w:val="none"/>
              </w:rPr>
            </w:pPr>
            <w:r>
              <w:rPr>
                <w:rFonts w:hint="eastAsia" w:ascii="宋体" w:hAnsi="宋体" w:cs="宋体"/>
                <w:i w:val="0"/>
                <w:iCs w:val="0"/>
                <w:color w:val="auto"/>
                <w:highlight w:val="none"/>
              </w:rPr>
              <w:t>通用资格要求，详见第一章《投标邀请》</w:t>
            </w:r>
          </w:p>
        </w:tc>
      </w:tr>
      <w:tr w14:paraId="69074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724BFEAD">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2</w:t>
            </w:r>
          </w:p>
        </w:tc>
        <w:tc>
          <w:tcPr>
            <w:tcW w:w="6104" w:type="dxa"/>
            <w:noWrap w:val="0"/>
            <w:vAlign w:val="center"/>
          </w:tcPr>
          <w:p w14:paraId="0EE9B074">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《授权委托书》（给定格式；投标人如是自然人情形的</w:t>
            </w:r>
            <w:r>
              <w:rPr>
                <w:rFonts w:hint="eastAsia" w:ascii="宋体" w:hAnsi="宋体" w:cs="宋体"/>
                <w:i w:val="0"/>
                <w:iCs w:val="0"/>
                <w:color w:val="auto"/>
                <w:highlight w:val="none"/>
                <w:lang w:eastAsia="zh-CN"/>
              </w:rPr>
              <w:t>或法人亲自参与的</w:t>
            </w:r>
            <w:r>
              <w:rPr>
                <w:rFonts w:hint="eastAsia" w:ascii="宋体" w:hAnsi="宋体" w:cs="宋体"/>
                <w:i w:val="0"/>
                <w:iCs w:val="0"/>
                <w:color w:val="auto"/>
                <w:highlight w:val="none"/>
              </w:rPr>
              <w:t>，可不提供）。</w:t>
            </w:r>
          </w:p>
        </w:tc>
        <w:tc>
          <w:tcPr>
            <w:tcW w:w="2449" w:type="dxa"/>
            <w:vMerge w:val="continue"/>
            <w:noWrap w:val="0"/>
            <w:vAlign w:val="center"/>
          </w:tcPr>
          <w:p w14:paraId="45F066EA">
            <w:pPr>
              <w:pStyle w:val="364"/>
              <w:spacing w:before="0" w:after="0" w:line="240" w:lineRule="auto"/>
              <w:ind w:firstLine="0"/>
              <w:rPr>
                <w:rFonts w:hint="eastAsia" w:ascii="宋体" w:hAnsi="宋体" w:cs="宋体"/>
                <w:i w:val="0"/>
                <w:iCs w:val="0"/>
                <w:color w:val="auto"/>
                <w:highlight w:val="none"/>
              </w:rPr>
            </w:pPr>
          </w:p>
        </w:tc>
      </w:tr>
      <w:tr w14:paraId="45971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0F17A537">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3</w:t>
            </w:r>
          </w:p>
        </w:tc>
        <w:tc>
          <w:tcPr>
            <w:tcW w:w="6104" w:type="dxa"/>
            <w:noWrap w:val="0"/>
            <w:vAlign w:val="center"/>
          </w:tcPr>
          <w:p w14:paraId="07B78ED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39"/>
                <w:rFonts w:hint="eastAsia" w:ascii="宋体" w:hAnsi="宋体" w:cs="宋体"/>
                <w:i w:val="0"/>
                <w:iCs w:val="0"/>
                <w:color w:val="auto"/>
                <w:sz w:val="24"/>
                <w:szCs w:val="24"/>
                <w:highlight w:val="none"/>
              </w:rPr>
              <w:t>。</w:t>
            </w:r>
          </w:p>
        </w:tc>
        <w:tc>
          <w:tcPr>
            <w:tcW w:w="2449" w:type="dxa"/>
            <w:vMerge w:val="continue"/>
            <w:noWrap w:val="0"/>
            <w:vAlign w:val="center"/>
          </w:tcPr>
          <w:p w14:paraId="7513081F">
            <w:pPr>
              <w:pStyle w:val="364"/>
              <w:spacing w:before="0" w:after="0" w:line="240" w:lineRule="auto"/>
              <w:ind w:firstLine="0"/>
              <w:rPr>
                <w:rFonts w:hint="eastAsia" w:ascii="宋体" w:hAnsi="宋体" w:cs="宋体"/>
                <w:i w:val="0"/>
                <w:iCs w:val="0"/>
                <w:color w:val="auto"/>
                <w:highlight w:val="none"/>
              </w:rPr>
            </w:pPr>
          </w:p>
        </w:tc>
      </w:tr>
      <w:tr w14:paraId="17C01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2F5EDD3E">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4</w:t>
            </w:r>
          </w:p>
        </w:tc>
        <w:tc>
          <w:tcPr>
            <w:tcW w:w="6104" w:type="dxa"/>
            <w:noWrap w:val="0"/>
            <w:vAlign w:val="center"/>
          </w:tcPr>
          <w:p w14:paraId="38E95D0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5E7EE694">
            <w:pPr>
              <w:pStyle w:val="364"/>
              <w:spacing w:before="0" w:after="0" w:line="240" w:lineRule="auto"/>
              <w:ind w:firstLine="0"/>
              <w:rPr>
                <w:rFonts w:hint="eastAsia" w:ascii="宋体" w:hAnsi="宋体" w:cs="宋体"/>
                <w:i w:val="0"/>
                <w:iCs w:val="0"/>
                <w:color w:val="auto"/>
                <w:highlight w:val="none"/>
              </w:rPr>
            </w:pPr>
          </w:p>
        </w:tc>
      </w:tr>
      <w:tr w14:paraId="619DB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23D727A1">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5</w:t>
            </w:r>
          </w:p>
        </w:tc>
        <w:tc>
          <w:tcPr>
            <w:tcW w:w="6104" w:type="dxa"/>
            <w:noWrap w:val="0"/>
            <w:vAlign w:val="center"/>
          </w:tcPr>
          <w:p w14:paraId="1F7679BA">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5725840D">
            <w:pPr>
              <w:pStyle w:val="364"/>
              <w:spacing w:before="0" w:after="0" w:line="240" w:lineRule="auto"/>
              <w:ind w:firstLine="0"/>
              <w:rPr>
                <w:rFonts w:hint="eastAsia" w:ascii="宋体" w:hAnsi="宋体" w:cs="宋体"/>
                <w:i w:val="0"/>
                <w:iCs w:val="0"/>
                <w:color w:val="auto"/>
                <w:highlight w:val="none"/>
              </w:rPr>
            </w:pPr>
          </w:p>
        </w:tc>
      </w:tr>
      <w:tr w14:paraId="2FE8C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665DB792">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6</w:t>
            </w:r>
          </w:p>
        </w:tc>
        <w:tc>
          <w:tcPr>
            <w:tcW w:w="6104" w:type="dxa"/>
            <w:noWrap w:val="0"/>
            <w:vAlign w:val="center"/>
          </w:tcPr>
          <w:p w14:paraId="529E9CA9">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《资格声明函》（给定格式）。</w:t>
            </w:r>
          </w:p>
        </w:tc>
        <w:tc>
          <w:tcPr>
            <w:tcW w:w="2449" w:type="dxa"/>
            <w:vMerge w:val="continue"/>
            <w:noWrap w:val="0"/>
            <w:vAlign w:val="center"/>
          </w:tcPr>
          <w:p w14:paraId="1B6218AD">
            <w:pPr>
              <w:pStyle w:val="364"/>
              <w:spacing w:before="0" w:after="0" w:line="240" w:lineRule="auto"/>
              <w:ind w:firstLine="0"/>
              <w:rPr>
                <w:rFonts w:hint="eastAsia" w:ascii="宋体" w:hAnsi="宋体" w:cs="宋体"/>
                <w:i w:val="0"/>
                <w:iCs w:val="0"/>
                <w:color w:val="auto"/>
                <w:highlight w:val="none"/>
              </w:rPr>
            </w:pPr>
          </w:p>
        </w:tc>
      </w:tr>
      <w:tr w14:paraId="63D06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512FBBA5">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7</w:t>
            </w:r>
          </w:p>
        </w:tc>
        <w:tc>
          <w:tcPr>
            <w:tcW w:w="6104" w:type="dxa"/>
            <w:noWrap w:val="0"/>
            <w:vAlign w:val="center"/>
          </w:tcPr>
          <w:p w14:paraId="620D4486">
            <w:pPr>
              <w:widowControl/>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落实政府采购政策需满足的资格要求的证明文件（如有）。</w:t>
            </w:r>
          </w:p>
        </w:tc>
        <w:tc>
          <w:tcPr>
            <w:tcW w:w="2449" w:type="dxa"/>
            <w:vMerge w:val="continue"/>
            <w:noWrap w:val="0"/>
            <w:vAlign w:val="center"/>
          </w:tcPr>
          <w:p w14:paraId="428DFE47">
            <w:pPr>
              <w:pStyle w:val="364"/>
              <w:spacing w:before="0" w:after="0" w:line="240" w:lineRule="auto"/>
              <w:ind w:firstLine="0"/>
              <w:rPr>
                <w:rFonts w:ascii="宋体" w:hAnsi="宋体" w:cs="宋体"/>
                <w:i w:val="0"/>
                <w:iCs w:val="0"/>
                <w:color w:val="auto"/>
                <w:highlight w:val="none"/>
              </w:rPr>
            </w:pPr>
          </w:p>
        </w:tc>
      </w:tr>
      <w:tr w14:paraId="78200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8A80FAB">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8</w:t>
            </w:r>
          </w:p>
        </w:tc>
        <w:tc>
          <w:tcPr>
            <w:tcW w:w="6104" w:type="dxa"/>
            <w:noWrap w:val="0"/>
            <w:vAlign w:val="center"/>
          </w:tcPr>
          <w:p w14:paraId="1A526AE7">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本项目要求的特定资格证明</w:t>
            </w:r>
            <w:r>
              <w:rPr>
                <w:rFonts w:hint="eastAsia" w:ascii="宋体" w:hAnsi="宋体" w:cs="宋体"/>
                <w:i w:val="0"/>
                <w:iCs w:val="0"/>
                <w:color w:val="auto"/>
                <w:highlight w:val="none"/>
              </w:rPr>
              <w:t>文件（</w:t>
            </w:r>
            <w:r>
              <w:rPr>
                <w:rFonts w:hint="eastAsia" w:ascii="宋体" w:hAnsi="宋体" w:cs="宋体"/>
                <w:bCs/>
                <w:i w:val="0"/>
                <w:iCs w:val="0"/>
                <w:color w:val="auto"/>
                <w:highlight w:val="none"/>
              </w:rPr>
              <w:t>如有</w:t>
            </w:r>
            <w:r>
              <w:rPr>
                <w:rFonts w:hint="eastAsia" w:ascii="宋体" w:hAnsi="宋体" w:cs="宋体"/>
                <w:i w:val="0"/>
                <w:iCs w:val="0"/>
                <w:color w:val="auto"/>
                <w:highlight w:val="none"/>
              </w:rPr>
              <w:t>）。</w:t>
            </w:r>
          </w:p>
        </w:tc>
        <w:tc>
          <w:tcPr>
            <w:tcW w:w="2449" w:type="dxa"/>
            <w:noWrap w:val="0"/>
            <w:vAlign w:val="center"/>
          </w:tcPr>
          <w:p w14:paraId="7BB76F81">
            <w:pPr>
              <w:pStyle w:val="364"/>
              <w:spacing w:before="0" w:after="0" w:line="240" w:lineRule="auto"/>
              <w:ind w:firstLine="0"/>
              <w:rPr>
                <w:rFonts w:hint="eastAsia" w:ascii="宋体" w:hAnsi="宋体" w:cs="宋体"/>
                <w:bCs/>
                <w:i w:val="0"/>
                <w:iCs w:val="0"/>
                <w:color w:val="auto"/>
                <w:highlight w:val="none"/>
              </w:rPr>
            </w:pPr>
            <w:r>
              <w:rPr>
                <w:rFonts w:hint="eastAsia" w:ascii="宋体" w:hAnsi="宋体" w:cs="宋体"/>
                <w:i w:val="0"/>
                <w:iCs w:val="0"/>
                <w:color w:val="auto"/>
                <w:highlight w:val="none"/>
              </w:rPr>
              <w:t>特定资格要求，详见第一章《投标邀请》</w:t>
            </w:r>
          </w:p>
        </w:tc>
      </w:tr>
      <w:tr w14:paraId="20FC1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2C8AE1A3">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9</w:t>
            </w:r>
          </w:p>
        </w:tc>
        <w:tc>
          <w:tcPr>
            <w:tcW w:w="6104" w:type="dxa"/>
            <w:noWrap w:val="0"/>
            <w:vAlign w:val="center"/>
          </w:tcPr>
          <w:p w14:paraId="78D007E2">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《联合体协议》（如有，格式自拟）。</w:t>
            </w:r>
          </w:p>
        </w:tc>
        <w:tc>
          <w:tcPr>
            <w:tcW w:w="2449" w:type="dxa"/>
            <w:noWrap w:val="0"/>
            <w:vAlign w:val="center"/>
          </w:tcPr>
          <w:p w14:paraId="04D7507F">
            <w:pPr>
              <w:pStyle w:val="364"/>
              <w:spacing w:before="0" w:after="0" w:line="240" w:lineRule="auto"/>
              <w:ind w:firstLine="0"/>
              <w:rPr>
                <w:rFonts w:hint="eastAsia" w:ascii="宋体" w:hAnsi="宋体" w:cs="宋体"/>
                <w:i w:val="0"/>
                <w:iCs w:val="0"/>
                <w:color w:val="auto"/>
                <w:highlight w:val="none"/>
              </w:rPr>
            </w:pPr>
            <w:r>
              <w:rPr>
                <w:rFonts w:hint="eastAsia" w:ascii="宋体" w:hAnsi="宋体"/>
                <w:i w:val="0"/>
                <w:iCs w:val="0"/>
                <w:color w:val="auto"/>
                <w:highlight w:val="none"/>
              </w:rPr>
              <w:t>如接受联合体投标且投标人为联合体时</w:t>
            </w:r>
          </w:p>
        </w:tc>
      </w:tr>
    </w:tbl>
    <w:p w14:paraId="51A685B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5A7E003D">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1～6项必须全部按要求提供（有给定格式的，必须按给定格式的要求正确填报并提供，相应格式见本章第二部分），否则投标文件无效。</w:t>
      </w:r>
      <w:r>
        <w:rPr>
          <w:rFonts w:ascii="宋体" w:hAnsi="宋体"/>
          <w:i w:val="0"/>
          <w:iCs w:val="0"/>
          <w:color w:val="auto"/>
          <w:sz w:val="24"/>
          <w:szCs w:val="24"/>
          <w:highlight w:val="none"/>
        </w:rPr>
        <w:t>如遇年检、换证，则必须提供法定年检、换证单位出具的有效证明扫描件。</w:t>
      </w:r>
      <w:r>
        <w:rPr>
          <w:rFonts w:hint="eastAsia" w:ascii="宋体" w:hAnsi="宋体"/>
          <w:i w:val="0"/>
          <w:iCs w:val="0"/>
          <w:color w:val="auto"/>
          <w:sz w:val="24"/>
          <w:szCs w:val="24"/>
          <w:highlight w:val="none"/>
        </w:rPr>
        <w:t>其中</w:t>
      </w:r>
      <w:r>
        <w:rPr>
          <w:rFonts w:ascii="宋体" w:hAnsi="宋体"/>
          <w:i w:val="0"/>
          <w:iCs w:val="0"/>
          <w:color w:val="auto"/>
          <w:sz w:val="24"/>
          <w:szCs w:val="24"/>
          <w:highlight w:val="none"/>
        </w:rPr>
        <w:t>第</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5</w:t>
      </w:r>
      <w:r>
        <w:rPr>
          <w:rFonts w:ascii="宋体" w:hAnsi="宋体"/>
          <w:i w:val="0"/>
          <w:iCs w:val="0"/>
          <w:color w:val="auto"/>
          <w:sz w:val="24"/>
          <w:szCs w:val="24"/>
          <w:highlight w:val="none"/>
        </w:rPr>
        <w:t>项如遇有国家相关政策规定可不具备的（如依法享受缓缴、免缴税收、社会保障资金</w:t>
      </w:r>
      <w:r>
        <w:rPr>
          <w:rFonts w:hint="eastAsia" w:ascii="宋体" w:hAnsi="宋体"/>
          <w:i w:val="0"/>
          <w:iCs w:val="0"/>
          <w:color w:val="auto"/>
          <w:sz w:val="24"/>
          <w:szCs w:val="24"/>
          <w:highlight w:val="none"/>
        </w:rPr>
        <w:t>等</w:t>
      </w:r>
      <w:r>
        <w:rPr>
          <w:rFonts w:ascii="宋体" w:hAnsi="宋体"/>
          <w:i w:val="0"/>
          <w:iCs w:val="0"/>
          <w:color w:val="auto"/>
          <w:sz w:val="24"/>
          <w:szCs w:val="24"/>
          <w:highlight w:val="none"/>
        </w:rPr>
        <w:t>），必须提供相关政策规定或相关单位出具的有效证明扫描件；如因新成立</w:t>
      </w:r>
      <w:r>
        <w:rPr>
          <w:rFonts w:hint="eastAsia" w:ascii="宋体" w:hAnsi="宋体"/>
          <w:i w:val="0"/>
          <w:iCs w:val="0"/>
          <w:color w:val="auto"/>
          <w:sz w:val="24"/>
          <w:szCs w:val="24"/>
          <w:highlight w:val="none"/>
        </w:rPr>
        <w:t>确无法提供</w:t>
      </w:r>
      <w:r>
        <w:rPr>
          <w:rFonts w:ascii="宋体" w:hAnsi="宋体"/>
          <w:i w:val="0"/>
          <w:iCs w:val="0"/>
          <w:color w:val="auto"/>
          <w:sz w:val="24"/>
          <w:szCs w:val="24"/>
          <w:highlight w:val="none"/>
        </w:rPr>
        <w:t>的，可以不提供。</w:t>
      </w:r>
    </w:p>
    <w:p w14:paraId="726176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4D14963">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2.</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7项，如本项目有落实政府采购政策需满足的资格要求的（详见第一章《投标邀请》），必须提供相应证明文件，否则投标文件无效。</w:t>
      </w:r>
    </w:p>
    <w:p w14:paraId="6F10D3A9">
      <w:pPr>
        <w:spacing w:line="500" w:lineRule="exact"/>
        <w:ind w:firstLine="480"/>
        <w:rPr>
          <w:rFonts w:hint="eastAsia" w:ascii="宋体" w:hAnsi="宋体"/>
          <w:i w:val="0"/>
          <w:iCs w:val="0"/>
          <w:color w:val="auto"/>
          <w:sz w:val="24"/>
          <w:szCs w:val="24"/>
          <w:highlight w:val="none"/>
        </w:rPr>
      </w:pPr>
      <w:r>
        <w:rPr>
          <w:rFonts w:ascii="宋体" w:hAnsi="宋体"/>
          <w:i w:val="0"/>
          <w:iCs w:val="0"/>
          <w:color w:val="auto"/>
          <w:sz w:val="24"/>
          <w:szCs w:val="24"/>
          <w:highlight w:val="none"/>
        </w:rPr>
        <w:t>专门面向中小</w:t>
      </w:r>
      <w:r>
        <w:rPr>
          <w:rFonts w:hint="eastAsia" w:ascii="宋体" w:hAnsi="宋体"/>
          <w:i w:val="0"/>
          <w:iCs w:val="0"/>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1B642201">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3.</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8项，如本项目有特定资格要求的（详见第一章《投标邀请》），须提供相应的特定资格证明文件。</w:t>
      </w:r>
    </w:p>
    <w:p w14:paraId="16D4DEE0">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4.</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7CB3C7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如项目接受联合体投标且投标人为联合体时，</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中：第2、6项可由联合体主体单位（即联合体牵头人）代表联合体提供；第1、3、4、5、7（如有）、8（如有）项，联合体各方均须提供。</w:t>
      </w:r>
    </w:p>
    <w:p w14:paraId="436F3DC8">
      <w:pPr>
        <w:pStyle w:val="364"/>
        <w:numPr>
          <w:ilvl w:val="0"/>
          <w:numId w:val="0"/>
        </w:numPr>
        <w:spacing w:before="0" w:after="0" w:line="500" w:lineRule="exact"/>
        <w:jc w:val="both"/>
        <w:rPr>
          <w:rFonts w:hint="eastAsia" w:cs="Arial"/>
          <w:b/>
          <w:i w:val="0"/>
          <w:iCs w:val="0"/>
          <w:color w:val="auto"/>
          <w:sz w:val="30"/>
          <w:szCs w:val="30"/>
          <w:highlight w:val="none"/>
        </w:rPr>
      </w:pPr>
    </w:p>
    <w:p w14:paraId="39CD122F">
      <w:pPr>
        <w:pStyle w:val="364"/>
        <w:numPr>
          <w:ilvl w:val="0"/>
          <w:numId w:val="0"/>
        </w:numPr>
        <w:spacing w:before="0" w:after="0" w:line="500" w:lineRule="exact"/>
        <w:jc w:val="both"/>
        <w:rPr>
          <w:rFonts w:hint="eastAsia" w:cs="Arial"/>
          <w:b/>
          <w:i w:val="0"/>
          <w:iCs w:val="0"/>
          <w:color w:val="auto"/>
          <w:sz w:val="30"/>
          <w:szCs w:val="30"/>
          <w:highlight w:val="none"/>
        </w:rPr>
      </w:pPr>
    </w:p>
    <w:p w14:paraId="3C97BE16">
      <w:pPr>
        <w:pStyle w:val="364"/>
        <w:numPr>
          <w:ilvl w:val="0"/>
          <w:numId w:val="0"/>
        </w:numPr>
        <w:spacing w:before="0" w:after="0" w:line="500" w:lineRule="exact"/>
        <w:jc w:val="both"/>
        <w:rPr>
          <w:rFonts w:hint="eastAsia" w:cs="Arial"/>
          <w:b/>
          <w:i w:val="0"/>
          <w:iCs w:val="0"/>
          <w:color w:val="auto"/>
          <w:sz w:val="30"/>
          <w:szCs w:val="30"/>
          <w:highlight w:val="none"/>
        </w:rPr>
      </w:pPr>
    </w:p>
    <w:p w14:paraId="28BB9562">
      <w:pPr>
        <w:pStyle w:val="364"/>
        <w:numPr>
          <w:ilvl w:val="0"/>
          <w:numId w:val="0"/>
        </w:numPr>
        <w:spacing w:before="0" w:after="0" w:line="500" w:lineRule="exact"/>
        <w:jc w:val="both"/>
        <w:rPr>
          <w:rFonts w:hint="eastAsia" w:cs="Arial"/>
          <w:b/>
          <w:i w:val="0"/>
          <w:iCs w:val="0"/>
          <w:color w:val="auto"/>
          <w:sz w:val="30"/>
          <w:szCs w:val="30"/>
          <w:highlight w:val="none"/>
        </w:rPr>
      </w:pPr>
    </w:p>
    <w:p w14:paraId="30716C16">
      <w:pPr>
        <w:pStyle w:val="364"/>
        <w:numPr>
          <w:ilvl w:val="0"/>
          <w:numId w:val="0"/>
        </w:numPr>
        <w:spacing w:before="0" w:after="0" w:line="500" w:lineRule="exact"/>
        <w:jc w:val="both"/>
        <w:rPr>
          <w:rFonts w:hint="eastAsia" w:cs="Arial"/>
          <w:b/>
          <w:i w:val="0"/>
          <w:iCs w:val="0"/>
          <w:color w:val="auto"/>
          <w:sz w:val="30"/>
          <w:szCs w:val="30"/>
          <w:highlight w:val="none"/>
        </w:rPr>
      </w:pPr>
    </w:p>
    <w:p w14:paraId="19CF2209">
      <w:pPr>
        <w:pStyle w:val="364"/>
        <w:numPr>
          <w:ilvl w:val="0"/>
          <w:numId w:val="0"/>
        </w:numPr>
        <w:spacing w:before="0" w:after="0" w:line="500" w:lineRule="exact"/>
        <w:jc w:val="both"/>
        <w:rPr>
          <w:rFonts w:hint="eastAsia" w:cs="Arial"/>
          <w:b/>
          <w:i w:val="0"/>
          <w:iCs w:val="0"/>
          <w:color w:val="auto"/>
          <w:sz w:val="30"/>
          <w:szCs w:val="30"/>
          <w:highlight w:val="none"/>
        </w:rPr>
      </w:pPr>
    </w:p>
    <w:p w14:paraId="213E2330">
      <w:pPr>
        <w:pStyle w:val="364"/>
        <w:numPr>
          <w:ilvl w:val="0"/>
          <w:numId w:val="0"/>
        </w:numPr>
        <w:spacing w:before="0" w:after="0" w:line="500" w:lineRule="exact"/>
        <w:jc w:val="both"/>
        <w:rPr>
          <w:rFonts w:hint="eastAsia" w:cs="Arial"/>
          <w:b/>
          <w:i w:val="0"/>
          <w:iCs w:val="0"/>
          <w:color w:val="auto"/>
          <w:sz w:val="30"/>
          <w:szCs w:val="30"/>
          <w:highlight w:val="none"/>
        </w:rPr>
      </w:pPr>
    </w:p>
    <w:p w14:paraId="6CA448C9">
      <w:pPr>
        <w:pStyle w:val="364"/>
        <w:numPr>
          <w:ilvl w:val="0"/>
          <w:numId w:val="0"/>
        </w:numPr>
        <w:spacing w:before="0" w:after="0" w:line="500" w:lineRule="exact"/>
        <w:jc w:val="both"/>
        <w:rPr>
          <w:rFonts w:hint="eastAsia" w:cs="Arial"/>
          <w:b/>
          <w:i w:val="0"/>
          <w:iCs w:val="0"/>
          <w:color w:val="auto"/>
          <w:sz w:val="30"/>
          <w:szCs w:val="30"/>
          <w:highlight w:val="none"/>
        </w:rPr>
      </w:pPr>
    </w:p>
    <w:p w14:paraId="472E4FE7">
      <w:pPr>
        <w:pStyle w:val="364"/>
        <w:numPr>
          <w:ilvl w:val="0"/>
          <w:numId w:val="0"/>
        </w:numPr>
        <w:spacing w:before="0" w:after="0" w:line="500" w:lineRule="exact"/>
        <w:jc w:val="both"/>
        <w:rPr>
          <w:rFonts w:hint="eastAsia" w:cs="Arial"/>
          <w:b/>
          <w:i w:val="0"/>
          <w:iCs w:val="0"/>
          <w:color w:val="auto"/>
          <w:sz w:val="30"/>
          <w:szCs w:val="30"/>
          <w:highlight w:val="none"/>
        </w:rPr>
      </w:pPr>
    </w:p>
    <w:p w14:paraId="1D976812">
      <w:pPr>
        <w:pStyle w:val="364"/>
        <w:numPr>
          <w:ilvl w:val="0"/>
          <w:numId w:val="0"/>
        </w:numPr>
        <w:spacing w:before="0" w:after="0" w:line="500" w:lineRule="exact"/>
        <w:jc w:val="both"/>
        <w:rPr>
          <w:rFonts w:hint="eastAsia" w:cs="Arial"/>
          <w:b/>
          <w:i w:val="0"/>
          <w:iCs w:val="0"/>
          <w:color w:val="auto"/>
          <w:sz w:val="30"/>
          <w:szCs w:val="30"/>
          <w:highlight w:val="none"/>
        </w:rPr>
      </w:pPr>
    </w:p>
    <w:p w14:paraId="2B7C0578">
      <w:pPr>
        <w:rPr>
          <w:b/>
          <w:i w:val="0"/>
          <w:iCs w:val="0"/>
          <w:color w:val="auto"/>
          <w:sz w:val="28"/>
          <w:szCs w:val="28"/>
          <w:highlight w:val="none"/>
        </w:rPr>
      </w:pPr>
      <w:r>
        <w:rPr>
          <w:rFonts w:hint="eastAsia"/>
          <w:b/>
          <w:i w:val="0"/>
          <w:iCs w:val="0"/>
          <w:color w:val="auto"/>
          <w:sz w:val="28"/>
          <w:szCs w:val="28"/>
          <w:highlight w:val="none"/>
        </w:rPr>
        <w:t>二、符合性证明文件及其他证明文件</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525"/>
        <w:gridCol w:w="1549"/>
      </w:tblGrid>
      <w:tr w14:paraId="4E0AD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A850A0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序号</w:t>
            </w:r>
          </w:p>
        </w:tc>
        <w:tc>
          <w:tcPr>
            <w:tcW w:w="6525" w:type="dxa"/>
            <w:noWrap w:val="0"/>
            <w:vAlign w:val="center"/>
          </w:tcPr>
          <w:p w14:paraId="2E71ECE0">
            <w:pPr>
              <w:pStyle w:val="364"/>
              <w:spacing w:before="0" w:after="0" w:line="240" w:lineRule="auto"/>
              <w:ind w:firstLine="0"/>
              <w:jc w:val="center"/>
              <w:rPr>
                <w:rFonts w:hint="eastAsia" w:cs="Arial"/>
                <w:b/>
                <w:i w:val="0"/>
                <w:iCs w:val="0"/>
                <w:color w:val="auto"/>
                <w:highlight w:val="none"/>
              </w:rPr>
            </w:pPr>
            <w:r>
              <w:rPr>
                <w:rFonts w:hint="eastAsia" w:ascii="宋体" w:hAnsi="宋体" w:cs="宋体"/>
                <w:b/>
                <w:i w:val="0"/>
                <w:iCs w:val="0"/>
                <w:color w:val="auto"/>
                <w:highlight w:val="none"/>
              </w:rPr>
              <w:t>评审项及评审要求</w:t>
            </w:r>
          </w:p>
        </w:tc>
        <w:tc>
          <w:tcPr>
            <w:tcW w:w="1549" w:type="dxa"/>
            <w:noWrap w:val="0"/>
            <w:vAlign w:val="center"/>
          </w:tcPr>
          <w:p w14:paraId="3EFCBA6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审查因素</w:t>
            </w:r>
          </w:p>
        </w:tc>
      </w:tr>
      <w:tr w14:paraId="1734D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0E20153">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1</w:t>
            </w:r>
          </w:p>
        </w:tc>
        <w:tc>
          <w:tcPr>
            <w:tcW w:w="6525" w:type="dxa"/>
            <w:noWrap w:val="0"/>
            <w:vAlign w:val="center"/>
          </w:tcPr>
          <w:p w14:paraId="654D398E">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投标函（给定格式）</w:t>
            </w:r>
          </w:p>
        </w:tc>
        <w:tc>
          <w:tcPr>
            <w:tcW w:w="1549" w:type="dxa"/>
            <w:vMerge w:val="restart"/>
            <w:noWrap w:val="0"/>
            <w:vAlign w:val="center"/>
          </w:tcPr>
          <w:p w14:paraId="5F685053">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符合性证明文件</w:t>
            </w:r>
          </w:p>
        </w:tc>
      </w:tr>
      <w:tr w14:paraId="18F8F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5A9A9BC">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2</w:t>
            </w:r>
          </w:p>
        </w:tc>
        <w:tc>
          <w:tcPr>
            <w:tcW w:w="6525" w:type="dxa"/>
            <w:noWrap w:val="0"/>
            <w:vAlign w:val="center"/>
          </w:tcPr>
          <w:p w14:paraId="61B77AC9">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承诺书（给定格式）</w:t>
            </w:r>
          </w:p>
        </w:tc>
        <w:tc>
          <w:tcPr>
            <w:tcW w:w="1549" w:type="dxa"/>
            <w:vMerge w:val="continue"/>
            <w:noWrap w:val="0"/>
            <w:vAlign w:val="center"/>
          </w:tcPr>
          <w:p w14:paraId="0E702A22">
            <w:pPr>
              <w:pStyle w:val="364"/>
              <w:spacing w:before="0" w:after="0" w:line="240" w:lineRule="auto"/>
              <w:ind w:firstLine="0"/>
              <w:jc w:val="both"/>
              <w:rPr>
                <w:rFonts w:hint="eastAsia" w:cs="Arial"/>
                <w:i w:val="0"/>
                <w:iCs w:val="0"/>
                <w:color w:val="auto"/>
                <w:highlight w:val="none"/>
              </w:rPr>
            </w:pPr>
          </w:p>
        </w:tc>
      </w:tr>
      <w:tr w14:paraId="06D31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5E0CDE3">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3</w:t>
            </w:r>
          </w:p>
        </w:tc>
        <w:tc>
          <w:tcPr>
            <w:tcW w:w="6525" w:type="dxa"/>
            <w:noWrap w:val="0"/>
            <w:vAlign w:val="center"/>
          </w:tcPr>
          <w:p w14:paraId="53BEFA12">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开标一览表（给定格式）</w:t>
            </w:r>
          </w:p>
        </w:tc>
        <w:tc>
          <w:tcPr>
            <w:tcW w:w="1549" w:type="dxa"/>
            <w:vMerge w:val="continue"/>
            <w:noWrap w:val="0"/>
            <w:vAlign w:val="center"/>
          </w:tcPr>
          <w:p w14:paraId="7DD2889D">
            <w:pPr>
              <w:pStyle w:val="364"/>
              <w:spacing w:before="0" w:after="0" w:line="240" w:lineRule="auto"/>
              <w:ind w:firstLine="0"/>
              <w:jc w:val="both"/>
              <w:rPr>
                <w:rFonts w:hint="eastAsia" w:cs="Arial"/>
                <w:i w:val="0"/>
                <w:iCs w:val="0"/>
                <w:color w:val="auto"/>
                <w:highlight w:val="none"/>
              </w:rPr>
            </w:pPr>
          </w:p>
        </w:tc>
      </w:tr>
      <w:tr w14:paraId="5C38A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81C6E67">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4</w:t>
            </w:r>
          </w:p>
        </w:tc>
        <w:tc>
          <w:tcPr>
            <w:tcW w:w="6525" w:type="dxa"/>
            <w:noWrap w:val="0"/>
            <w:vAlign w:val="center"/>
          </w:tcPr>
          <w:p w14:paraId="72E04827">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分项报价表（给定格式）</w:t>
            </w:r>
          </w:p>
        </w:tc>
        <w:tc>
          <w:tcPr>
            <w:tcW w:w="1549" w:type="dxa"/>
            <w:vMerge w:val="continue"/>
            <w:noWrap w:val="0"/>
            <w:vAlign w:val="center"/>
          </w:tcPr>
          <w:p w14:paraId="673F15E5">
            <w:pPr>
              <w:pStyle w:val="364"/>
              <w:spacing w:before="0" w:after="0" w:line="240" w:lineRule="auto"/>
              <w:ind w:firstLine="0"/>
              <w:jc w:val="both"/>
              <w:rPr>
                <w:rFonts w:hint="eastAsia" w:cs="Arial"/>
                <w:i w:val="0"/>
                <w:iCs w:val="0"/>
                <w:color w:val="auto"/>
                <w:highlight w:val="none"/>
              </w:rPr>
            </w:pPr>
          </w:p>
        </w:tc>
      </w:tr>
      <w:tr w14:paraId="34F1A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EDB7D22">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5</w:t>
            </w:r>
          </w:p>
        </w:tc>
        <w:tc>
          <w:tcPr>
            <w:tcW w:w="6525" w:type="dxa"/>
            <w:noWrap w:val="0"/>
            <w:vAlign w:val="center"/>
          </w:tcPr>
          <w:p w14:paraId="7662686C">
            <w:pPr>
              <w:pStyle w:val="364"/>
              <w:spacing w:before="0" w:after="0" w:line="240" w:lineRule="auto"/>
              <w:ind w:firstLine="0"/>
              <w:jc w:val="both"/>
              <w:rPr>
                <w:rFonts w:ascii="宋体" w:hAnsi="宋体" w:cs="Arial"/>
                <w:i w:val="0"/>
                <w:iCs w:val="0"/>
                <w:color w:val="auto"/>
                <w:highlight w:val="none"/>
              </w:rPr>
            </w:pPr>
            <w:r>
              <w:rPr>
                <w:rFonts w:hint="eastAsia" w:ascii="宋体" w:hAnsi="宋体"/>
                <w:i w:val="0"/>
                <w:iCs w:val="0"/>
                <w:color w:val="auto"/>
                <w:highlight w:val="none"/>
              </w:rPr>
              <w:t>投标偏离表（给定格式）</w:t>
            </w:r>
          </w:p>
        </w:tc>
        <w:tc>
          <w:tcPr>
            <w:tcW w:w="1549" w:type="dxa"/>
            <w:vMerge w:val="continue"/>
            <w:noWrap w:val="0"/>
            <w:vAlign w:val="center"/>
          </w:tcPr>
          <w:p w14:paraId="490D33D8">
            <w:pPr>
              <w:pStyle w:val="364"/>
              <w:spacing w:before="0" w:after="0" w:line="240" w:lineRule="auto"/>
              <w:ind w:firstLine="0"/>
              <w:jc w:val="both"/>
              <w:rPr>
                <w:rFonts w:hint="eastAsia" w:cs="Arial"/>
                <w:i w:val="0"/>
                <w:iCs w:val="0"/>
                <w:color w:val="auto"/>
                <w:highlight w:val="none"/>
              </w:rPr>
            </w:pPr>
          </w:p>
        </w:tc>
      </w:tr>
      <w:tr w14:paraId="3464B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3B561392">
            <w:pPr>
              <w:pStyle w:val="364"/>
              <w:spacing w:before="0" w:after="0" w:line="240" w:lineRule="auto"/>
              <w:ind w:firstLine="0" w:firstLineChars="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6</w:t>
            </w:r>
          </w:p>
        </w:tc>
        <w:tc>
          <w:tcPr>
            <w:tcW w:w="6525" w:type="dxa"/>
            <w:noWrap w:val="0"/>
            <w:vAlign w:val="center"/>
          </w:tcPr>
          <w:p w14:paraId="2A989F7D">
            <w:pPr>
              <w:pStyle w:val="364"/>
              <w:spacing w:before="0" w:after="0" w:line="240" w:lineRule="auto"/>
              <w:ind w:firstLine="0"/>
              <w:jc w:val="both"/>
              <w:rPr>
                <w:rFonts w:hint="eastAsia" w:ascii="宋体" w:hAnsi="宋体"/>
                <w:i w:val="0"/>
                <w:iCs w:val="0"/>
                <w:color w:val="auto"/>
                <w:highlight w:val="none"/>
              </w:rPr>
            </w:pPr>
            <w:r>
              <w:rPr>
                <w:rFonts w:hint="eastAsia" w:ascii="宋体" w:hAnsi="宋体" w:eastAsia="宋体" w:cs="宋体"/>
                <w:i w:val="0"/>
                <w:iCs w:val="0"/>
                <w:color w:val="auto"/>
                <w:kern w:val="0"/>
                <w:sz w:val="24"/>
                <w:szCs w:val="24"/>
                <w:highlight w:val="none"/>
                <w:u w:val="none"/>
                <w:lang w:val="en-US" w:eastAsia="zh-CN" w:bidi="ar"/>
              </w:rPr>
              <w:t>内网终端防病毒授权要求：软件部署，提供PC防病毒软件授权≥800套，三年原厂升级服务。(投标产品与本次招标的“内网服务器防病毒”同</w:t>
            </w:r>
            <w:r>
              <w:rPr>
                <w:rFonts w:hint="eastAsia" w:cs="宋体"/>
                <w:i w:val="0"/>
                <w:iCs w:val="0"/>
                <w:color w:val="auto"/>
                <w:kern w:val="0"/>
                <w:sz w:val="24"/>
                <w:szCs w:val="24"/>
                <w:highlight w:val="none"/>
                <w:u w:val="none"/>
                <w:lang w:val="en-US" w:eastAsia="zh-CN" w:bidi="ar"/>
              </w:rPr>
              <w:t>架构</w:t>
            </w:r>
            <w:r>
              <w:rPr>
                <w:rFonts w:hint="eastAsia" w:ascii="宋体" w:hAnsi="宋体" w:eastAsia="宋体" w:cs="宋体"/>
                <w:i w:val="0"/>
                <w:iCs w:val="0"/>
                <w:color w:val="auto"/>
                <w:kern w:val="0"/>
                <w:sz w:val="24"/>
                <w:szCs w:val="24"/>
                <w:highlight w:val="none"/>
                <w:u w:val="none"/>
                <w:lang w:val="en-US" w:eastAsia="zh-CN" w:bidi="ar"/>
              </w:rPr>
              <w:t>，提供承诺函)</w:t>
            </w:r>
          </w:p>
        </w:tc>
        <w:tc>
          <w:tcPr>
            <w:tcW w:w="1549" w:type="dxa"/>
            <w:vMerge w:val="continue"/>
            <w:noWrap w:val="0"/>
            <w:vAlign w:val="center"/>
          </w:tcPr>
          <w:p w14:paraId="6A4525E8">
            <w:pPr>
              <w:pStyle w:val="364"/>
              <w:spacing w:before="0" w:after="0" w:line="240" w:lineRule="auto"/>
              <w:ind w:firstLine="0"/>
              <w:jc w:val="both"/>
              <w:rPr>
                <w:rFonts w:hint="eastAsia" w:cs="Arial"/>
                <w:i w:val="0"/>
                <w:iCs w:val="0"/>
                <w:color w:val="auto"/>
                <w:highlight w:val="none"/>
              </w:rPr>
            </w:pPr>
          </w:p>
        </w:tc>
      </w:tr>
      <w:tr w14:paraId="6D397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2F6586A1">
            <w:pPr>
              <w:pStyle w:val="364"/>
              <w:spacing w:before="0" w:after="0" w:line="240" w:lineRule="auto"/>
              <w:ind w:firstLine="0" w:firstLineChars="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7</w:t>
            </w:r>
          </w:p>
        </w:tc>
        <w:tc>
          <w:tcPr>
            <w:tcW w:w="6525" w:type="dxa"/>
            <w:noWrap w:val="0"/>
            <w:vAlign w:val="center"/>
          </w:tcPr>
          <w:p w14:paraId="426DBF95">
            <w:pPr>
              <w:pStyle w:val="364"/>
              <w:spacing w:before="0" w:after="0" w:line="240" w:lineRule="auto"/>
              <w:ind w:firstLine="0"/>
              <w:jc w:val="both"/>
              <w:rPr>
                <w:rFonts w:hint="eastAsia" w:ascii="宋体" w:hAnsi="宋体"/>
                <w:i w:val="0"/>
                <w:iCs w:val="0"/>
                <w:color w:val="auto"/>
                <w:highlight w:val="none"/>
              </w:rPr>
            </w:pPr>
            <w:r>
              <w:rPr>
                <w:rFonts w:hint="eastAsia" w:ascii="宋体" w:hAnsi="宋体" w:eastAsia="宋体" w:cs="宋体"/>
                <w:i w:val="0"/>
                <w:iCs w:val="0"/>
                <w:color w:val="auto"/>
                <w:kern w:val="0"/>
                <w:sz w:val="24"/>
                <w:szCs w:val="24"/>
                <w:highlight w:val="none"/>
                <w:u w:val="none"/>
                <w:lang w:val="en-US" w:eastAsia="zh-CN" w:bidi="ar"/>
              </w:rPr>
              <w:t>内网安全探针功能要求：支持将安全日志，审计日志上报给现有的MSS安全运营平台，提供统一展示和检索入口，同时作为数据源提供事件举证信息。（需分别提供投标产品和安全运营平台功能截图证明并加盖公章）</w:t>
            </w:r>
          </w:p>
        </w:tc>
        <w:tc>
          <w:tcPr>
            <w:tcW w:w="1549" w:type="dxa"/>
            <w:vMerge w:val="continue"/>
            <w:noWrap w:val="0"/>
            <w:vAlign w:val="center"/>
          </w:tcPr>
          <w:p w14:paraId="37FF0C5D">
            <w:pPr>
              <w:pStyle w:val="364"/>
              <w:spacing w:before="0" w:after="0" w:line="240" w:lineRule="auto"/>
              <w:ind w:firstLine="0"/>
              <w:jc w:val="both"/>
              <w:rPr>
                <w:rFonts w:hint="eastAsia" w:cs="Arial"/>
                <w:i w:val="0"/>
                <w:iCs w:val="0"/>
                <w:color w:val="auto"/>
                <w:highlight w:val="none"/>
              </w:rPr>
            </w:pPr>
          </w:p>
        </w:tc>
      </w:tr>
      <w:tr w14:paraId="3BE9C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F796CA2">
            <w:pPr>
              <w:pStyle w:val="364"/>
              <w:spacing w:before="0" w:after="0" w:line="240" w:lineRule="auto"/>
              <w:ind w:firstLine="0"/>
              <w:jc w:val="center"/>
              <w:rPr>
                <w:rFonts w:hint="eastAsia"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8</w:t>
            </w:r>
          </w:p>
        </w:tc>
        <w:tc>
          <w:tcPr>
            <w:tcW w:w="6525" w:type="dxa"/>
            <w:noWrap w:val="0"/>
            <w:vAlign w:val="center"/>
          </w:tcPr>
          <w:p w14:paraId="0D86AF7A">
            <w:pPr>
              <w:pStyle w:val="364"/>
              <w:spacing w:before="0" w:after="0" w:line="240" w:lineRule="auto"/>
              <w:ind w:firstLine="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内网安全探针功能要求：支持通过与现有外网服务器防病毒aES进行日志关联聚合，在现有MSS安全运营平台上可以实现进程级取证，失陷主机定位更精准，并以可视化图谱直观清晰地展示出完整的攻击链，帮助快速找到症结，大幅提升事件检测、溯源取证、闭环处置效果。（需分别提供投标产品和安全运营平台功能截图证明并加盖公章）</w:t>
            </w:r>
          </w:p>
        </w:tc>
        <w:tc>
          <w:tcPr>
            <w:tcW w:w="1549" w:type="dxa"/>
            <w:vMerge w:val="continue"/>
            <w:noWrap w:val="0"/>
            <w:vAlign w:val="center"/>
          </w:tcPr>
          <w:p w14:paraId="157855A5">
            <w:pPr>
              <w:pStyle w:val="364"/>
              <w:spacing w:before="0" w:after="0" w:line="240" w:lineRule="auto"/>
              <w:ind w:firstLine="0"/>
              <w:jc w:val="both"/>
              <w:rPr>
                <w:rFonts w:hint="eastAsia" w:cs="Arial"/>
                <w:i w:val="0"/>
                <w:iCs w:val="0"/>
                <w:color w:val="auto"/>
                <w:highlight w:val="none"/>
              </w:rPr>
            </w:pPr>
          </w:p>
        </w:tc>
      </w:tr>
      <w:tr w14:paraId="1133B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43085CA">
            <w:pPr>
              <w:pStyle w:val="364"/>
              <w:spacing w:before="0" w:after="0" w:line="240" w:lineRule="auto"/>
              <w:ind w:firstLine="0"/>
              <w:jc w:val="center"/>
              <w:rPr>
                <w:rFonts w:hint="eastAsia"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9</w:t>
            </w:r>
          </w:p>
        </w:tc>
        <w:tc>
          <w:tcPr>
            <w:tcW w:w="6525" w:type="dxa"/>
            <w:noWrap w:val="0"/>
            <w:vAlign w:val="center"/>
          </w:tcPr>
          <w:p w14:paraId="31CEA225">
            <w:pPr>
              <w:pStyle w:val="364"/>
              <w:spacing w:before="0" w:after="0" w:line="240" w:lineRule="auto"/>
              <w:ind w:firstLine="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外网安全探针硬件要求：网络层吞吐量≥500Mbps，接口≥6千兆电口，含电源；含三年特征库升级和五年原厂质保服务。(投标探针与本次招标的内网安全探针同</w:t>
            </w:r>
            <w:r>
              <w:rPr>
                <w:rFonts w:hint="eastAsia" w:cs="宋体"/>
                <w:i w:val="0"/>
                <w:iCs w:val="0"/>
                <w:color w:val="auto"/>
                <w:kern w:val="0"/>
                <w:sz w:val="24"/>
                <w:szCs w:val="24"/>
                <w:highlight w:val="none"/>
                <w:u w:val="none"/>
                <w:lang w:val="en-US" w:eastAsia="zh-CN" w:bidi="ar"/>
              </w:rPr>
              <w:t>架构</w:t>
            </w:r>
            <w:r>
              <w:rPr>
                <w:rFonts w:hint="eastAsia" w:ascii="宋体" w:hAnsi="宋体" w:eastAsia="宋体" w:cs="宋体"/>
                <w:i w:val="0"/>
                <w:iCs w:val="0"/>
                <w:color w:val="auto"/>
                <w:kern w:val="0"/>
                <w:sz w:val="24"/>
                <w:szCs w:val="24"/>
                <w:highlight w:val="none"/>
                <w:u w:val="none"/>
                <w:lang w:val="en-US" w:eastAsia="zh-CN" w:bidi="ar"/>
              </w:rPr>
              <w:t>，提供承诺函)</w:t>
            </w:r>
          </w:p>
        </w:tc>
        <w:tc>
          <w:tcPr>
            <w:tcW w:w="1549" w:type="dxa"/>
            <w:vMerge w:val="continue"/>
            <w:noWrap w:val="0"/>
            <w:vAlign w:val="center"/>
          </w:tcPr>
          <w:p w14:paraId="5E3B7CD8">
            <w:pPr>
              <w:pStyle w:val="364"/>
              <w:spacing w:before="0" w:after="0" w:line="240" w:lineRule="auto"/>
              <w:ind w:firstLine="0"/>
              <w:jc w:val="both"/>
              <w:rPr>
                <w:rFonts w:hint="eastAsia" w:cs="Arial"/>
                <w:i w:val="0"/>
                <w:iCs w:val="0"/>
                <w:color w:val="auto"/>
                <w:highlight w:val="none"/>
              </w:rPr>
            </w:pPr>
          </w:p>
        </w:tc>
      </w:tr>
      <w:tr w14:paraId="6751D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3096FB31">
            <w:pPr>
              <w:pStyle w:val="364"/>
              <w:spacing w:before="0" w:after="0" w:line="240" w:lineRule="auto"/>
              <w:ind w:firstLine="0" w:firstLineChars="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cs="Times New Roman"/>
                <w:i w:val="0"/>
                <w:iCs w:val="0"/>
                <w:color w:val="auto"/>
                <w:sz w:val="24"/>
                <w:szCs w:val="24"/>
                <w:highlight w:val="none"/>
                <w:lang w:val="en-US" w:eastAsia="zh-CN" w:bidi="ar-SA"/>
              </w:rPr>
              <w:t>10</w:t>
            </w:r>
          </w:p>
        </w:tc>
        <w:tc>
          <w:tcPr>
            <w:tcW w:w="6525" w:type="dxa"/>
            <w:noWrap w:val="0"/>
            <w:vAlign w:val="center"/>
          </w:tcPr>
          <w:p w14:paraId="6B8B13BA">
            <w:pPr>
              <w:pStyle w:val="364"/>
              <w:spacing w:before="0" w:after="0" w:line="240" w:lineRule="auto"/>
              <w:ind w:firstLine="0"/>
              <w:jc w:val="both"/>
              <w:rPr>
                <w:rFonts w:hint="eastAsia" w:ascii="宋体" w:hAnsi="宋体" w:eastAsia="宋体" w:cs="宋体"/>
                <w:i w:val="0"/>
                <w:iCs w:val="0"/>
                <w:color w:val="auto"/>
                <w:kern w:val="0"/>
                <w:sz w:val="24"/>
                <w:szCs w:val="24"/>
                <w:highlight w:val="none"/>
                <w:u w:val="none"/>
                <w:lang w:val="en-US" w:eastAsia="zh-CN" w:bidi="ar"/>
              </w:rPr>
            </w:pPr>
            <w:r>
              <w:rPr>
                <w:rFonts w:hint="eastAsia"/>
                <w:color w:val="auto"/>
                <w:sz w:val="24"/>
                <w:szCs w:val="24"/>
                <w:highlight w:val="none"/>
                <w:lang w:val="en-US" w:eastAsia="zh-CN"/>
              </w:rPr>
              <w:t>承诺函：</w:t>
            </w:r>
            <w:r>
              <w:rPr>
                <w:rFonts w:hint="eastAsia"/>
                <w:color w:val="auto"/>
                <w:sz w:val="24"/>
                <w:szCs w:val="24"/>
                <w:highlight w:val="none"/>
              </w:rPr>
              <w:t>承诺中标后提供原厂针对本次项目所有产品质保服务承诺函原件。</w:t>
            </w:r>
            <w:r>
              <w:rPr>
                <w:rFonts w:hint="eastAsia"/>
                <w:color w:val="auto"/>
                <w:sz w:val="24"/>
                <w:szCs w:val="24"/>
                <w:highlight w:val="none"/>
                <w:lang w:eastAsia="zh-CN"/>
              </w:rPr>
              <w:t>（格式自拟）</w:t>
            </w:r>
          </w:p>
        </w:tc>
        <w:tc>
          <w:tcPr>
            <w:tcW w:w="1549" w:type="dxa"/>
            <w:vMerge w:val="continue"/>
            <w:noWrap w:val="0"/>
            <w:vAlign w:val="center"/>
          </w:tcPr>
          <w:p w14:paraId="56FD85E6">
            <w:pPr>
              <w:pStyle w:val="364"/>
              <w:spacing w:before="0" w:after="0" w:line="240" w:lineRule="auto"/>
              <w:ind w:firstLine="0"/>
              <w:jc w:val="both"/>
              <w:rPr>
                <w:rFonts w:hint="eastAsia" w:cs="Arial"/>
                <w:i w:val="0"/>
                <w:iCs w:val="0"/>
                <w:color w:val="auto"/>
                <w:highlight w:val="none"/>
              </w:rPr>
            </w:pPr>
          </w:p>
        </w:tc>
      </w:tr>
      <w:tr w14:paraId="078D6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781C093B">
            <w:pPr>
              <w:pStyle w:val="364"/>
              <w:spacing w:before="0" w:after="0" w:line="240" w:lineRule="auto"/>
              <w:ind w:firstLine="0" w:firstLineChars="0"/>
              <w:jc w:val="center"/>
              <w:rPr>
                <w:rFonts w:hint="default"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11</w:t>
            </w:r>
          </w:p>
        </w:tc>
        <w:tc>
          <w:tcPr>
            <w:tcW w:w="6525" w:type="dxa"/>
            <w:noWrap w:val="0"/>
            <w:vAlign w:val="center"/>
          </w:tcPr>
          <w:p w14:paraId="0D5BD93A">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《评标方法与评标标准》中涉及的证明文件</w:t>
            </w:r>
          </w:p>
        </w:tc>
        <w:tc>
          <w:tcPr>
            <w:tcW w:w="1549" w:type="dxa"/>
            <w:vMerge w:val="restart"/>
            <w:noWrap w:val="0"/>
            <w:vAlign w:val="center"/>
          </w:tcPr>
          <w:p w14:paraId="2BAA61A1">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其他证明文件</w:t>
            </w:r>
          </w:p>
        </w:tc>
      </w:tr>
      <w:tr w14:paraId="2E471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C49F266">
            <w:pPr>
              <w:pStyle w:val="364"/>
              <w:spacing w:before="0" w:after="0" w:line="240" w:lineRule="auto"/>
              <w:ind w:firstLine="0"/>
              <w:jc w:val="center"/>
              <w:rPr>
                <w:rFonts w:hint="default"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12</w:t>
            </w:r>
          </w:p>
        </w:tc>
        <w:tc>
          <w:tcPr>
            <w:tcW w:w="6525" w:type="dxa"/>
            <w:noWrap w:val="0"/>
            <w:vAlign w:val="center"/>
          </w:tcPr>
          <w:p w14:paraId="770FE445">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其他投标人认为应附的文件（如有，自拟并自行添加）</w:t>
            </w:r>
          </w:p>
        </w:tc>
        <w:tc>
          <w:tcPr>
            <w:tcW w:w="1549" w:type="dxa"/>
            <w:vMerge w:val="continue"/>
            <w:noWrap w:val="0"/>
            <w:vAlign w:val="top"/>
          </w:tcPr>
          <w:p w14:paraId="61C2DE4D">
            <w:pPr>
              <w:pStyle w:val="364"/>
              <w:spacing w:before="0" w:after="0" w:line="240" w:lineRule="auto"/>
              <w:ind w:firstLine="0"/>
              <w:rPr>
                <w:rFonts w:hint="eastAsia" w:cs="Arial"/>
                <w:i w:val="0"/>
                <w:iCs w:val="0"/>
                <w:color w:val="auto"/>
                <w:highlight w:val="none"/>
              </w:rPr>
            </w:pPr>
          </w:p>
        </w:tc>
      </w:tr>
    </w:tbl>
    <w:p w14:paraId="7799638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6DBE0CB6">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hint="eastAsia" w:ascii="宋体" w:hAnsi="宋体"/>
          <w:i w:val="0"/>
          <w:iCs w:val="0"/>
          <w:color w:val="auto"/>
          <w:sz w:val="24"/>
          <w:szCs w:val="24"/>
          <w:highlight w:val="none"/>
        </w:rPr>
        <w:t>上述</w:t>
      </w:r>
      <w:r>
        <w:rPr>
          <w:rFonts w:hint="eastAsia" w:cs="Arial"/>
          <w:i w:val="0"/>
          <w:iCs w:val="0"/>
          <w:color w:val="auto"/>
          <w:sz w:val="24"/>
          <w:szCs w:val="24"/>
          <w:highlight w:val="none"/>
        </w:rPr>
        <w:t>符合性证明文件及其他证明文件</w:t>
      </w:r>
      <w:r>
        <w:rPr>
          <w:rFonts w:hint="eastAsia" w:ascii="宋体" w:hAnsi="宋体"/>
          <w:i w:val="0"/>
          <w:iCs w:val="0"/>
          <w:color w:val="auto"/>
          <w:sz w:val="24"/>
          <w:szCs w:val="24"/>
          <w:highlight w:val="none"/>
        </w:rPr>
        <w:t>1～</w:t>
      </w:r>
      <w:r>
        <w:rPr>
          <w:rFonts w:hint="eastAsia" w:ascii="宋体" w:hAnsi="宋体"/>
          <w:i w:val="0"/>
          <w:iCs w:val="0"/>
          <w:color w:val="auto"/>
          <w:sz w:val="24"/>
          <w:szCs w:val="24"/>
          <w:highlight w:val="none"/>
          <w:lang w:val="en-US" w:eastAsia="zh-CN"/>
        </w:rPr>
        <w:t>10</w:t>
      </w:r>
      <w:r>
        <w:rPr>
          <w:rFonts w:hint="eastAsia" w:ascii="宋体" w:hAnsi="宋体"/>
          <w:i w:val="0"/>
          <w:iCs w:val="0"/>
          <w:color w:val="auto"/>
          <w:sz w:val="24"/>
          <w:szCs w:val="24"/>
          <w:highlight w:val="none"/>
        </w:rPr>
        <w:t>项必须按要求全部提供（有给定格式的，必须按给定格式的要求正确填报并提供，相应格式见本章第二部分），否则投标文件无效。</w:t>
      </w:r>
    </w:p>
    <w:p w14:paraId="67B839B4">
      <w:pPr>
        <w:numPr>
          <w:ilvl w:val="0"/>
          <w:numId w:val="0"/>
        </w:numPr>
        <w:spacing w:line="500" w:lineRule="exact"/>
        <w:ind w:firstLine="480"/>
        <w:rPr>
          <w:rFonts w:hint="eastAsia" w:cs="Arial"/>
          <w:b/>
          <w:i w:val="0"/>
          <w:iCs w:val="0"/>
          <w:color w:val="auto"/>
          <w:sz w:val="30"/>
          <w:szCs w:val="30"/>
          <w:highlight w:val="none"/>
        </w:rPr>
      </w:pPr>
      <w:r>
        <w:rPr>
          <w:rFonts w:hint="eastAsia" w:ascii="宋体" w:hAnsi="宋体" w:cs="宋体"/>
          <w:i w:val="0"/>
          <w:iCs w:val="0"/>
          <w:color w:val="auto"/>
          <w:sz w:val="24"/>
          <w:szCs w:val="24"/>
          <w:highlight w:val="none"/>
          <w:lang w:val="en-US" w:eastAsia="zh-CN"/>
        </w:rPr>
        <w:t>2.</w:t>
      </w:r>
      <w:r>
        <w:rPr>
          <w:rFonts w:hint="eastAsia" w:ascii="宋体" w:hAnsi="宋体" w:cs="宋体"/>
          <w:i w:val="0"/>
          <w:iCs w:val="0"/>
          <w:color w:val="auto"/>
          <w:sz w:val="24"/>
          <w:szCs w:val="24"/>
          <w:highlight w:val="none"/>
        </w:rPr>
        <w:t>如项目接受联合体投标，且投标人为联合体时，上述</w:t>
      </w:r>
      <w:r>
        <w:rPr>
          <w:rFonts w:hint="eastAsia" w:cs="Arial"/>
          <w:i w:val="0"/>
          <w:iCs w:val="0"/>
          <w:color w:val="auto"/>
          <w:sz w:val="24"/>
          <w:szCs w:val="24"/>
          <w:highlight w:val="none"/>
        </w:rPr>
        <w:t>符合性证明文件及其他证明文件</w:t>
      </w:r>
      <w:r>
        <w:rPr>
          <w:rFonts w:hint="eastAsia" w:ascii="宋体" w:hAnsi="宋体" w:cs="宋体"/>
          <w:i w:val="0"/>
          <w:iCs w:val="0"/>
          <w:color w:val="auto"/>
          <w:sz w:val="24"/>
          <w:szCs w:val="24"/>
          <w:highlight w:val="none"/>
        </w:rPr>
        <w:t>第1～</w:t>
      </w:r>
      <w:r>
        <w:rPr>
          <w:rFonts w:hint="eastAsia" w:ascii="宋体" w:hAnsi="宋体" w:cs="宋体"/>
          <w:i w:val="0"/>
          <w:iCs w:val="0"/>
          <w:color w:val="auto"/>
          <w:sz w:val="24"/>
          <w:szCs w:val="24"/>
          <w:highlight w:val="none"/>
          <w:lang w:val="en-US" w:eastAsia="zh-CN"/>
        </w:rPr>
        <w:t>10</w:t>
      </w:r>
      <w:r>
        <w:rPr>
          <w:rFonts w:hint="eastAsia" w:ascii="宋体" w:hAnsi="宋体" w:cs="宋体"/>
          <w:i w:val="0"/>
          <w:iCs w:val="0"/>
          <w:color w:val="auto"/>
          <w:sz w:val="24"/>
          <w:szCs w:val="24"/>
          <w:highlight w:val="none"/>
        </w:rPr>
        <w:t>项可由联合体主体单位（即联合体牵头人）代表联合体提供。</w:t>
      </w:r>
      <w:bookmarkEnd w:id="136"/>
    </w:p>
    <w:p w14:paraId="5BFE90E6">
      <w:pPr>
        <w:jc w:val="both"/>
        <w:rPr>
          <w:rFonts w:hint="eastAsia" w:cs="Arial"/>
          <w:b/>
          <w:i w:val="0"/>
          <w:iCs w:val="0"/>
          <w:color w:val="auto"/>
          <w:sz w:val="30"/>
          <w:szCs w:val="30"/>
          <w:highlight w:val="none"/>
        </w:rPr>
      </w:pPr>
    </w:p>
    <w:p w14:paraId="1C441490">
      <w:pPr>
        <w:jc w:val="both"/>
        <w:rPr>
          <w:rFonts w:hint="eastAsia" w:cs="Arial"/>
          <w:b/>
          <w:i w:val="0"/>
          <w:iCs w:val="0"/>
          <w:color w:val="auto"/>
          <w:sz w:val="30"/>
          <w:szCs w:val="30"/>
          <w:highlight w:val="none"/>
        </w:rPr>
      </w:pPr>
    </w:p>
    <w:p w14:paraId="50106A14">
      <w:pPr>
        <w:ind w:firstLine="480"/>
        <w:jc w:val="center"/>
        <w:rPr>
          <w:rFonts w:hint="eastAsia" w:cs="Arial"/>
          <w:b/>
          <w:i w:val="0"/>
          <w:iCs w:val="0"/>
          <w:color w:val="auto"/>
          <w:sz w:val="30"/>
          <w:szCs w:val="30"/>
          <w:highlight w:val="none"/>
        </w:rPr>
      </w:pPr>
      <w:r>
        <w:rPr>
          <w:rFonts w:hint="eastAsia" w:cs="Arial"/>
          <w:b/>
          <w:i w:val="0"/>
          <w:iCs w:val="0"/>
          <w:color w:val="auto"/>
          <w:sz w:val="30"/>
          <w:szCs w:val="30"/>
          <w:highlight w:val="none"/>
        </w:rPr>
        <w:t>第二部分  投标文件格式</w:t>
      </w:r>
    </w:p>
    <w:p w14:paraId="15A7DF60">
      <w:pPr>
        <w:pStyle w:val="364"/>
        <w:spacing w:before="0" w:after="0"/>
        <w:ind w:firstLine="0"/>
        <w:rPr>
          <w:rFonts w:cs="Arial"/>
          <w:b/>
          <w:i w:val="0"/>
          <w:iCs w:val="0"/>
          <w:color w:val="auto"/>
          <w:sz w:val="28"/>
          <w:szCs w:val="28"/>
          <w:highlight w:val="none"/>
        </w:rPr>
      </w:pPr>
      <w:r>
        <w:rPr>
          <w:rFonts w:hint="eastAsia" w:cs="Arial"/>
          <w:b/>
          <w:i w:val="0"/>
          <w:iCs w:val="0"/>
          <w:color w:val="auto"/>
          <w:sz w:val="28"/>
          <w:szCs w:val="28"/>
          <w:highlight w:val="none"/>
        </w:rPr>
        <w:t>一、封面格式（参考格式）：</w:t>
      </w:r>
    </w:p>
    <w:p w14:paraId="3D98C20B">
      <w:pPr>
        <w:jc w:val="center"/>
        <w:rPr>
          <w:rFonts w:hint="eastAsia" w:ascii="宋体" w:hAnsi="宋体"/>
          <w:b/>
          <w:i w:val="0"/>
          <w:iCs w:val="0"/>
          <w:color w:val="auto"/>
          <w:sz w:val="72"/>
          <w:highlight w:val="none"/>
          <w:shd w:val="clear" w:color="FFFFFF" w:fill="D9D9D9"/>
        </w:rPr>
      </w:pPr>
    </w:p>
    <w:p w14:paraId="5559D0F8">
      <w:pPr>
        <w:jc w:val="center"/>
        <w:rPr>
          <w:rFonts w:hint="eastAsia" w:ascii="宋体" w:hAnsi="宋体"/>
          <w:b/>
          <w:i w:val="0"/>
          <w:iCs w:val="0"/>
          <w:color w:val="auto"/>
          <w:sz w:val="72"/>
          <w:highlight w:val="none"/>
          <w:shd w:val="clear" w:color="FFFFFF" w:fill="D9D9D9"/>
        </w:rPr>
      </w:pPr>
    </w:p>
    <w:p w14:paraId="45910353">
      <w:pPr>
        <w:jc w:val="center"/>
        <w:rPr>
          <w:rFonts w:hint="eastAsia" w:ascii="黑体" w:hAnsi="华文中宋" w:eastAsia="黑体"/>
          <w:bCs/>
          <w:i w:val="0"/>
          <w:iCs w:val="0"/>
          <w:color w:val="auto"/>
          <w:spacing w:val="20"/>
          <w:sz w:val="84"/>
          <w:szCs w:val="84"/>
          <w:highlight w:val="none"/>
        </w:rPr>
      </w:pPr>
      <w:r>
        <w:rPr>
          <w:rFonts w:hint="eastAsia" w:ascii="黑体" w:hAnsi="华文中宋" w:eastAsia="黑体"/>
          <w:bCs/>
          <w:i w:val="0"/>
          <w:iCs w:val="0"/>
          <w:color w:val="auto"/>
          <w:spacing w:val="20"/>
          <w:sz w:val="84"/>
          <w:szCs w:val="84"/>
          <w:highlight w:val="none"/>
        </w:rPr>
        <w:t>投  标  文  件</w:t>
      </w:r>
    </w:p>
    <w:p w14:paraId="3BE222A4">
      <w:pPr>
        <w:jc w:val="center"/>
        <w:rPr>
          <w:rFonts w:hint="eastAsia" w:ascii="宋体" w:hAnsi="宋体"/>
          <w:b/>
          <w:i w:val="0"/>
          <w:iCs w:val="0"/>
          <w:color w:val="auto"/>
          <w:sz w:val="72"/>
          <w:highlight w:val="none"/>
          <w:shd w:val="clear" w:color="FFFFFF" w:fill="D9D9D9"/>
        </w:rPr>
      </w:pPr>
    </w:p>
    <w:p w14:paraId="55147D41">
      <w:pPr>
        <w:jc w:val="center"/>
        <w:rPr>
          <w:rFonts w:hint="eastAsia" w:ascii="宋体" w:hAnsi="宋体"/>
          <w:b/>
          <w:i w:val="0"/>
          <w:iCs w:val="0"/>
          <w:color w:val="auto"/>
          <w:sz w:val="72"/>
          <w:highlight w:val="none"/>
          <w:shd w:val="clear" w:color="FFFFFF" w:fill="D9D9D9"/>
        </w:rPr>
      </w:pPr>
    </w:p>
    <w:p w14:paraId="17C1EB51">
      <w:pPr>
        <w:jc w:val="center"/>
        <w:rPr>
          <w:rFonts w:hint="eastAsia" w:ascii="宋体" w:hAnsi="宋体"/>
          <w:b/>
          <w:i w:val="0"/>
          <w:iCs w:val="0"/>
          <w:color w:val="auto"/>
          <w:sz w:val="72"/>
          <w:highlight w:val="none"/>
          <w:shd w:val="clear" w:color="FFFFFF" w:fill="D9D9D9"/>
        </w:rPr>
      </w:pPr>
    </w:p>
    <w:p w14:paraId="1452EB3E">
      <w:pPr>
        <w:jc w:val="center"/>
        <w:rPr>
          <w:rFonts w:hint="eastAsia" w:ascii="宋体" w:hAnsi="宋体"/>
          <w:b/>
          <w:i w:val="0"/>
          <w:iCs w:val="0"/>
          <w:color w:val="auto"/>
          <w:sz w:val="72"/>
          <w:highlight w:val="none"/>
          <w:shd w:val="clear" w:color="FFFFFF" w:fill="D9D9D9"/>
        </w:rPr>
      </w:pPr>
    </w:p>
    <w:p w14:paraId="6DE5415F">
      <w:pPr>
        <w:ind w:firstLine="18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项目编号：</w:t>
      </w:r>
      <w:r>
        <w:rPr>
          <w:rFonts w:hint="eastAsia" w:ascii="黑体" w:hAnsi="华文中宋" w:eastAsia="黑体" w:cs="Times New Roman"/>
          <w:bCs/>
          <w:i w:val="0"/>
          <w:iCs w:val="0"/>
          <w:color w:val="auto"/>
          <w:sz w:val="30"/>
          <w:szCs w:val="30"/>
          <w:highlight w:val="none"/>
          <w:lang w:eastAsia="zh-CN"/>
        </w:rPr>
        <w:t xml:space="preserve">JSZC-320206-JZCG-G2026-0015 </w:t>
      </w:r>
    </w:p>
    <w:p w14:paraId="70B61159">
      <w:pPr>
        <w:ind w:left="3289" w:hanging="15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项目名称：</w:t>
      </w:r>
      <w:r>
        <w:rPr>
          <w:rFonts w:hint="eastAsia" w:ascii="黑体" w:hAnsi="华文中宋" w:eastAsia="黑体" w:cs="Times New Roman"/>
          <w:bCs/>
          <w:i w:val="0"/>
          <w:iCs w:val="0"/>
          <w:color w:val="auto"/>
          <w:sz w:val="30"/>
          <w:szCs w:val="30"/>
          <w:highlight w:val="none"/>
          <w:lang w:eastAsia="zh-CN"/>
        </w:rPr>
        <w:t>无锡市惠山区人民医院网络安全设施建设项目</w:t>
      </w:r>
    </w:p>
    <w:p w14:paraId="3FA5EFB7">
      <w:pPr>
        <w:ind w:firstLine="1800"/>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投 标 人：</w:t>
      </w:r>
    </w:p>
    <w:p w14:paraId="5CA5728E">
      <w:pPr>
        <w:ind w:firstLine="1800"/>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日    期：</w:t>
      </w:r>
    </w:p>
    <w:p w14:paraId="0D7ADB78">
      <w:pPr>
        <w:pageBreakBefore/>
        <w:outlineLvl w:val="0"/>
        <w:rPr>
          <w:rFonts w:hint="eastAsia" w:ascii="黑体" w:hAnsi="宋体" w:eastAsia="黑体"/>
          <w:bCs/>
          <w:i w:val="0"/>
          <w:iCs w:val="0"/>
          <w:color w:val="auto"/>
          <w:sz w:val="24"/>
          <w:szCs w:val="24"/>
          <w:highlight w:val="none"/>
        </w:rPr>
      </w:pPr>
    </w:p>
    <w:p w14:paraId="1818110B">
      <w:pPr>
        <w:spacing w:line="440" w:lineRule="exact"/>
        <w:rPr>
          <w:rFonts w:hint="eastAsia" w:ascii="Arial" w:hAnsi="Arial"/>
          <w:b/>
          <w:i w:val="0"/>
          <w:iCs w:val="0"/>
          <w:color w:val="auto"/>
          <w:sz w:val="28"/>
          <w:szCs w:val="28"/>
          <w:highlight w:val="none"/>
        </w:rPr>
      </w:pPr>
      <w:bookmarkStart w:id="137" w:name="_Toc61444678"/>
      <w:r>
        <w:rPr>
          <w:rFonts w:hint="eastAsia" w:ascii="宋体" w:hAnsi="宋体" w:cs="宋体"/>
          <w:b/>
          <w:i w:val="0"/>
          <w:iCs w:val="0"/>
          <w:color w:val="auto"/>
          <w:sz w:val="28"/>
          <w:szCs w:val="28"/>
          <w:highlight w:val="none"/>
        </w:rPr>
        <w:t>二、授权委托书（给定格式）：</w:t>
      </w:r>
    </w:p>
    <w:p w14:paraId="0775CA35">
      <w:pPr>
        <w:jc w:val="center"/>
        <w:outlineLvl w:val="0"/>
        <w:rPr>
          <w:rFonts w:ascii="宋体" w:hAnsi="宋体"/>
          <w:i w:val="0"/>
          <w:iCs w:val="0"/>
          <w:color w:val="auto"/>
          <w:sz w:val="24"/>
          <w:highlight w:val="none"/>
          <w:shd w:val="clear" w:color="FFFFFF" w:fill="D9D9D9"/>
        </w:rPr>
      </w:pPr>
      <w:r>
        <w:rPr>
          <w:rFonts w:hint="eastAsia" w:ascii="黑体" w:eastAsia="黑体"/>
          <w:bCs/>
          <w:i w:val="0"/>
          <w:iCs w:val="0"/>
          <w:color w:val="auto"/>
          <w:sz w:val="28"/>
          <w:szCs w:val="28"/>
          <w:highlight w:val="none"/>
        </w:rPr>
        <w:t>授权委托书</w:t>
      </w:r>
    </w:p>
    <w:p w14:paraId="4B7028DA">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我公司（单位）针对</w:t>
      </w:r>
      <w:r>
        <w:rPr>
          <w:rFonts w:hint="eastAsia" w:ascii="黑体" w:eastAsia="黑体" w:cs="Times New Roman"/>
          <w:bCs/>
          <w:i w:val="0"/>
          <w:iCs w:val="0"/>
          <w:color w:val="auto"/>
          <w:sz w:val="24"/>
          <w:szCs w:val="24"/>
          <w:highlight w:val="none"/>
          <w:lang w:eastAsia="zh-CN"/>
        </w:rPr>
        <w:t>JSZC-320206-JZCG-G2026-0015</w:t>
      </w:r>
      <w:r>
        <w:rPr>
          <w:rFonts w:hint="eastAsia" w:ascii="宋体" w:hAnsi="宋体"/>
          <w:bCs/>
          <w:i w:val="0"/>
          <w:iCs w:val="0"/>
          <w:color w:val="auto"/>
          <w:sz w:val="24"/>
          <w:szCs w:val="24"/>
          <w:highlight w:val="none"/>
        </w:rPr>
        <w:t>项目，兹授权：</w:t>
      </w:r>
    </w:p>
    <w:p w14:paraId="4CA280D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被授权人的姓名：</w:t>
      </w:r>
      <w:r>
        <w:rPr>
          <w:rFonts w:hint="eastAsia"/>
          <w:i w:val="0"/>
          <w:iCs w:val="0"/>
          <w:color w:val="auto"/>
          <w:sz w:val="24"/>
          <w:szCs w:val="24"/>
          <w:highlight w:val="none"/>
          <w:u w:val="single"/>
        </w:rPr>
        <w:t xml:space="preserve">      </w:t>
      </w:r>
      <w:r>
        <w:rPr>
          <w:rFonts w:hint="eastAsia"/>
          <w:i w:val="0"/>
          <w:iCs w:val="0"/>
          <w:color w:val="auto"/>
          <w:sz w:val="24"/>
          <w:szCs w:val="24"/>
          <w:highlight w:val="none"/>
        </w:rPr>
        <w:t>；性别：</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；年龄：</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；职务：</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25A392B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被授权人的身份证号码：</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；联系方式：</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1471234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为我方合法代理人，以本单位名义全权处理</w:t>
      </w:r>
      <w:r>
        <w:rPr>
          <w:rFonts w:hint="eastAsia" w:ascii="宋体" w:hAnsi="宋体"/>
          <w:bCs/>
          <w:i w:val="0"/>
          <w:iCs w:val="0"/>
          <w:color w:val="auto"/>
          <w:sz w:val="24"/>
          <w:szCs w:val="24"/>
          <w:highlight w:val="none"/>
        </w:rPr>
        <w:t>针对本次项目的投标、参与开标、评标、签约等具体工作，并签署全部有关的文件、协议及合同以及其他</w:t>
      </w:r>
      <w:r>
        <w:rPr>
          <w:rFonts w:hint="eastAsia"/>
          <w:i w:val="0"/>
          <w:iCs w:val="0"/>
          <w:color w:val="auto"/>
          <w:sz w:val="24"/>
          <w:szCs w:val="24"/>
          <w:highlight w:val="none"/>
        </w:rPr>
        <w:t>一切与该项目采购有关的事务。</w:t>
      </w:r>
    </w:p>
    <w:p w14:paraId="63E9C70F">
      <w:pPr>
        <w:pStyle w:val="365"/>
        <w:keepNext w:val="0"/>
        <w:keepLines w:val="0"/>
        <w:pageBreakBefore w:val="0"/>
        <w:widowControl w:val="0"/>
        <w:spacing w:line="460" w:lineRule="exact"/>
        <w:ind w:firstLine="480"/>
        <w:rPr>
          <w:rFonts w:hint="eastAsia" w:ascii="宋体" w:hAnsi="宋体"/>
          <w:bCs/>
          <w:i w:val="0"/>
          <w:iCs w:val="0"/>
          <w:color w:val="auto"/>
          <w:sz w:val="24"/>
          <w:szCs w:val="24"/>
          <w:highlight w:val="none"/>
        </w:rPr>
      </w:pPr>
      <w:r>
        <w:rPr>
          <w:rFonts w:hint="eastAsia"/>
          <w:i w:val="0"/>
          <w:iCs w:val="0"/>
          <w:color w:val="auto"/>
          <w:sz w:val="24"/>
          <w:szCs w:val="24"/>
          <w:highlight w:val="none"/>
        </w:rPr>
        <w:t>本授权委托书自授权之日起生效，</w:t>
      </w:r>
      <w:r>
        <w:rPr>
          <w:rFonts w:hint="eastAsia" w:ascii="宋体" w:hAnsi="宋体"/>
          <w:bCs/>
          <w:i w:val="0"/>
          <w:iCs w:val="0"/>
          <w:color w:val="auto"/>
          <w:sz w:val="24"/>
          <w:szCs w:val="24"/>
          <w:highlight w:val="none"/>
        </w:rPr>
        <w:t>在撤销授权的书面通知送达你处以前，本授权书一直有效，被授权人签署的所有文件（在</w:t>
      </w:r>
      <w:r>
        <w:rPr>
          <w:rFonts w:hint="eastAsia"/>
          <w:i w:val="0"/>
          <w:iCs w:val="0"/>
          <w:color w:val="auto"/>
          <w:sz w:val="24"/>
          <w:szCs w:val="24"/>
          <w:highlight w:val="none"/>
        </w:rPr>
        <w:t>授权委托</w:t>
      </w:r>
      <w:r>
        <w:rPr>
          <w:rFonts w:hint="eastAsia" w:ascii="宋体" w:hAnsi="宋体"/>
          <w:bCs/>
          <w:i w:val="0"/>
          <w:iCs w:val="0"/>
          <w:color w:val="auto"/>
          <w:sz w:val="24"/>
          <w:szCs w:val="24"/>
          <w:highlight w:val="none"/>
        </w:rPr>
        <w:t>书有效期内签署的）不因授权的撤销而失效。</w:t>
      </w:r>
    </w:p>
    <w:p w14:paraId="4CCD747B">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特此授权委托。</w:t>
      </w:r>
    </w:p>
    <w:p w14:paraId="4DA9084E">
      <w:pPr>
        <w:pStyle w:val="365"/>
        <w:keepNext w:val="0"/>
        <w:keepLines w:val="0"/>
        <w:pageBreakBefore w:val="0"/>
        <w:widowControl w:val="0"/>
        <w:spacing w:line="460" w:lineRule="exact"/>
        <w:ind w:firstLine="0"/>
        <w:rPr>
          <w:rFonts w:hint="eastAsia"/>
          <w:i w:val="0"/>
          <w:iCs w:val="0"/>
          <w:color w:val="auto"/>
          <w:sz w:val="24"/>
          <w:szCs w:val="24"/>
          <w:highlight w:val="none"/>
          <w:u w:val="single"/>
        </w:rPr>
      </w:pPr>
      <w:r>
        <w:rPr>
          <w:rFonts w:hint="eastAsia"/>
          <w:i w:val="0"/>
          <w:iCs w:val="0"/>
          <w:color w:val="auto"/>
          <w:sz w:val="24"/>
          <w:szCs w:val="24"/>
          <w:highlight w:val="none"/>
        </w:rPr>
        <w:t>授权日期：</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w:t>
      </w:r>
      <w:r>
        <w:rPr>
          <w:rFonts w:hint="eastAsia"/>
          <w:i w:val="0"/>
          <w:iCs w:val="0"/>
          <w:color w:val="auto"/>
          <w:sz w:val="24"/>
          <w:szCs w:val="24"/>
          <w:highlight w:val="none"/>
          <w:u w:val="single"/>
        </w:rPr>
        <w:t xml:space="preserve">    </w:t>
      </w:r>
      <w:r>
        <w:rPr>
          <w:rFonts w:hint="eastAsia"/>
          <w:i w:val="0"/>
          <w:iCs w:val="0"/>
          <w:color w:val="auto"/>
          <w:sz w:val="24"/>
          <w:szCs w:val="24"/>
          <w:highlight w:val="none"/>
        </w:rPr>
        <w:t>月</w:t>
      </w:r>
      <w:r>
        <w:rPr>
          <w:rFonts w:hint="eastAsia"/>
          <w:i w:val="0"/>
          <w:iCs w:val="0"/>
          <w:color w:val="auto"/>
          <w:sz w:val="24"/>
          <w:szCs w:val="24"/>
          <w:highlight w:val="none"/>
          <w:u w:val="single"/>
        </w:rPr>
        <w:t xml:space="preserve">    </w:t>
      </w:r>
      <w:r>
        <w:rPr>
          <w:rFonts w:hint="eastAsia"/>
          <w:i w:val="0"/>
          <w:iCs w:val="0"/>
          <w:color w:val="auto"/>
          <w:sz w:val="24"/>
          <w:szCs w:val="24"/>
          <w:highlight w:val="none"/>
        </w:rPr>
        <w:t>日                     投标人名称</w:t>
      </w:r>
      <w:r>
        <w:rPr>
          <w:rFonts w:hint="eastAsia" w:ascii="宋体" w:hAnsi="宋体"/>
          <w:bCs/>
          <w:i w:val="0"/>
          <w:iCs w:val="0"/>
          <w:color w:val="auto"/>
          <w:sz w:val="24"/>
          <w:szCs w:val="24"/>
          <w:highlight w:val="none"/>
        </w:rPr>
        <w:t>（盖章）</w:t>
      </w:r>
      <w:r>
        <w:rPr>
          <w:rFonts w:hint="eastAsia"/>
          <w:i w:val="0"/>
          <w:iCs w:val="0"/>
          <w:color w:val="auto"/>
          <w:sz w:val="24"/>
          <w:szCs w:val="24"/>
          <w:highlight w:val="none"/>
        </w:rPr>
        <w:t>：</w:t>
      </w:r>
    </w:p>
    <w:p w14:paraId="1778EBEB">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i w:val="0"/>
          <w:iCs w:val="0"/>
          <w:color w:val="auto"/>
          <w:sz w:val="24"/>
          <w:szCs w:val="24"/>
          <w:highlight w:val="none"/>
        </w:rPr>
        <w:t>法定代表人签字：</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             被授权人签字：</w:t>
      </w:r>
      <w:r>
        <w:rPr>
          <w:rFonts w:hint="eastAsia"/>
          <w:i w:val="0"/>
          <w:iCs w:val="0"/>
          <w:color w:val="auto"/>
          <w:sz w:val="24"/>
          <w:szCs w:val="24"/>
          <w:highlight w:val="none"/>
          <w:u w:val="single"/>
        </w:rPr>
        <w:t xml:space="preserve">        </w:t>
      </w:r>
    </w:p>
    <w:p w14:paraId="5C67A88D">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ascii="宋体" w:hAnsi="宋体" w:cs="宋体"/>
          <w:b/>
          <w:i w:val="0"/>
          <w:iCs w:val="0"/>
          <w:color w:val="auto"/>
          <w:sz w:val="30"/>
          <w:highlight w:val="none"/>
        </w:rPr>
        <w:t>(被授权人身份证原件扫描件附后)</w:t>
      </w:r>
    </w:p>
    <w:p w14:paraId="4F555C0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说明：</w:t>
      </w:r>
    </w:p>
    <w:p w14:paraId="23E675B3">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1.</w:t>
      </w:r>
      <w:r>
        <w:rPr>
          <w:rFonts w:ascii="宋体" w:hAnsi="宋体"/>
          <w:i w:val="0"/>
          <w:iCs w:val="0"/>
          <w:color w:val="auto"/>
          <w:sz w:val="24"/>
          <w:szCs w:val="20"/>
          <w:highlight w:val="none"/>
        </w:rPr>
        <w:t>若</w:t>
      </w:r>
      <w:r>
        <w:rPr>
          <w:rFonts w:hint="eastAsia" w:ascii="宋体" w:hAnsi="宋体"/>
          <w:i w:val="0"/>
          <w:iCs w:val="0"/>
          <w:color w:val="auto"/>
          <w:sz w:val="24"/>
          <w:szCs w:val="20"/>
          <w:highlight w:val="none"/>
        </w:rPr>
        <w:t>投标人</w:t>
      </w:r>
      <w:r>
        <w:rPr>
          <w:rFonts w:ascii="宋体" w:hAnsi="宋体"/>
          <w:i w:val="0"/>
          <w:iCs w:val="0"/>
          <w:color w:val="auto"/>
          <w:sz w:val="24"/>
          <w:szCs w:val="20"/>
          <w:highlight w:val="none"/>
        </w:rPr>
        <w:t>为事业单位或其他组织或分支机构（仅</w:t>
      </w:r>
      <w:r>
        <w:rPr>
          <w:rFonts w:hint="eastAsia" w:ascii="宋体" w:hAnsi="宋体"/>
          <w:i w:val="0"/>
          <w:iCs w:val="0"/>
          <w:color w:val="auto"/>
          <w:sz w:val="24"/>
          <w:szCs w:val="20"/>
          <w:highlight w:val="none"/>
        </w:rPr>
        <w:t>限招标</w:t>
      </w:r>
      <w:r>
        <w:rPr>
          <w:rFonts w:ascii="宋体" w:hAnsi="宋体"/>
          <w:i w:val="0"/>
          <w:iCs w:val="0"/>
          <w:color w:val="auto"/>
          <w:sz w:val="24"/>
          <w:szCs w:val="20"/>
          <w:highlight w:val="none"/>
        </w:rPr>
        <w:t>文件注明允许分支机构</w:t>
      </w:r>
      <w:r>
        <w:rPr>
          <w:rFonts w:hint="eastAsia" w:ascii="宋体" w:hAnsi="宋体"/>
          <w:i w:val="0"/>
          <w:iCs w:val="0"/>
          <w:color w:val="auto"/>
          <w:sz w:val="24"/>
          <w:szCs w:val="20"/>
          <w:highlight w:val="none"/>
        </w:rPr>
        <w:t>投标情形</w:t>
      </w:r>
      <w:r>
        <w:rPr>
          <w:rFonts w:ascii="宋体" w:hAnsi="宋体"/>
          <w:i w:val="0"/>
          <w:iCs w:val="0"/>
          <w:color w:val="auto"/>
          <w:sz w:val="24"/>
          <w:szCs w:val="20"/>
          <w:highlight w:val="none"/>
        </w:rPr>
        <w:t>的），则法定代表人</w:t>
      </w:r>
      <w:r>
        <w:rPr>
          <w:rFonts w:hint="eastAsia" w:ascii="宋体" w:hAnsi="宋体"/>
          <w:i w:val="0"/>
          <w:iCs w:val="0"/>
          <w:color w:val="auto"/>
          <w:sz w:val="24"/>
          <w:szCs w:val="20"/>
          <w:highlight w:val="none"/>
        </w:rPr>
        <w:t>处</w:t>
      </w:r>
      <w:r>
        <w:rPr>
          <w:rFonts w:ascii="宋体" w:hAnsi="宋体"/>
          <w:i w:val="0"/>
          <w:iCs w:val="0"/>
          <w:color w:val="auto"/>
          <w:sz w:val="24"/>
          <w:szCs w:val="20"/>
          <w:highlight w:val="none"/>
        </w:rPr>
        <w:t>的签</w:t>
      </w:r>
      <w:r>
        <w:rPr>
          <w:rFonts w:hint="eastAsia" w:ascii="宋体" w:hAnsi="宋体"/>
          <w:i w:val="0"/>
          <w:iCs w:val="0"/>
          <w:color w:val="auto"/>
          <w:sz w:val="24"/>
          <w:szCs w:val="20"/>
          <w:highlight w:val="none"/>
        </w:rPr>
        <w:t>字</w:t>
      </w:r>
      <w:r>
        <w:rPr>
          <w:rFonts w:ascii="宋体" w:hAnsi="宋体"/>
          <w:i w:val="0"/>
          <w:iCs w:val="0"/>
          <w:color w:val="auto"/>
          <w:sz w:val="24"/>
          <w:szCs w:val="20"/>
          <w:highlight w:val="none"/>
        </w:rPr>
        <w:t>人可为单位负责人</w:t>
      </w:r>
      <w:r>
        <w:rPr>
          <w:rFonts w:hint="eastAsia" w:ascii="宋体" w:hAnsi="宋体"/>
          <w:i w:val="0"/>
          <w:iCs w:val="0"/>
          <w:color w:val="auto"/>
          <w:sz w:val="24"/>
          <w:szCs w:val="20"/>
          <w:highlight w:val="none"/>
        </w:rPr>
        <w:t>。</w:t>
      </w:r>
    </w:p>
    <w:p w14:paraId="669F6EA8">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2.</w:t>
      </w:r>
      <w:r>
        <w:rPr>
          <w:rFonts w:hint="eastAsia" w:ascii="宋体" w:hAnsi="宋体"/>
          <w:i w:val="0"/>
          <w:iCs w:val="0"/>
          <w:color w:val="auto"/>
          <w:sz w:val="24"/>
          <w:szCs w:val="20"/>
          <w:highlight w:val="none"/>
        </w:rPr>
        <w:t>当被授权人为法定代表人（或上述情况的单位负责人）时，只需在</w:t>
      </w:r>
      <w:r>
        <w:rPr>
          <w:rFonts w:ascii="宋体" w:hAnsi="宋体"/>
          <w:i w:val="0"/>
          <w:iCs w:val="0"/>
          <w:color w:val="auto"/>
          <w:sz w:val="24"/>
          <w:szCs w:val="20"/>
          <w:highlight w:val="none"/>
        </w:rPr>
        <w:t>法定代表人</w:t>
      </w:r>
      <w:r>
        <w:rPr>
          <w:rFonts w:hint="eastAsia" w:ascii="宋体" w:hAnsi="宋体"/>
          <w:i w:val="0"/>
          <w:iCs w:val="0"/>
          <w:color w:val="auto"/>
          <w:sz w:val="24"/>
          <w:szCs w:val="20"/>
          <w:highlight w:val="none"/>
        </w:rPr>
        <w:t>处签字即可。</w:t>
      </w:r>
    </w:p>
    <w:p w14:paraId="632B9D8A">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3.</w:t>
      </w:r>
      <w:r>
        <w:rPr>
          <w:rFonts w:hint="eastAsia" w:ascii="宋体" w:hAnsi="宋体"/>
          <w:i w:val="0"/>
          <w:iCs w:val="0"/>
          <w:color w:val="auto"/>
          <w:sz w:val="24"/>
          <w:szCs w:val="20"/>
          <w:highlight w:val="none"/>
        </w:rPr>
        <w:t>供应商为自然人情形的，可不提供本</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授权委托书</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w:t>
      </w:r>
    </w:p>
    <w:p w14:paraId="792A18BC">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bCs/>
          <w:i w:val="0"/>
          <w:iCs w:val="0"/>
          <w:color w:val="auto"/>
          <w:sz w:val="24"/>
          <w:szCs w:val="24"/>
          <w:highlight w:val="none"/>
          <w:lang w:val="en-US" w:eastAsia="zh-CN"/>
        </w:rPr>
        <w:t>4.</w:t>
      </w:r>
      <w:r>
        <w:rPr>
          <w:rFonts w:hint="eastAsia" w:ascii="宋体" w:hAnsi="宋体"/>
          <w:bCs/>
          <w:i w:val="0"/>
          <w:iCs w:val="0"/>
          <w:color w:val="auto"/>
          <w:sz w:val="24"/>
          <w:szCs w:val="24"/>
          <w:highlight w:val="none"/>
        </w:rPr>
        <w:t>被授权人为外籍、港、澳、台地区人士的，其身份证明须提供有效的护照或港澳同胞来往内地通行证、台湾同胞来往大陆通行证，或其它可在中国大陆有效居留的许可证明。</w:t>
      </w:r>
    </w:p>
    <w:p w14:paraId="14B97F5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0305772A">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EC1E2B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648CCA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2AD929B">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A2203E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53B16CA1">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412B128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760E5805">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990BA49">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8D32A7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C245244">
      <w:pPr>
        <w:pStyle w:val="365"/>
        <w:ind w:firstLine="0"/>
        <w:rPr>
          <w:rFonts w:hint="eastAsia" w:ascii="宋体" w:hAnsi="宋体" w:cs="宋体"/>
          <w:b/>
          <w:i w:val="0"/>
          <w:iCs w:val="0"/>
          <w:color w:val="auto"/>
          <w:szCs w:val="28"/>
          <w:highlight w:val="none"/>
        </w:rPr>
      </w:pPr>
      <w:r>
        <w:rPr>
          <w:rFonts w:hint="eastAsia" w:ascii="宋体" w:hAnsi="宋体" w:cs="宋体"/>
          <w:b/>
          <w:i w:val="0"/>
          <w:iCs w:val="0"/>
          <w:color w:val="auto"/>
          <w:szCs w:val="28"/>
          <w:highlight w:val="none"/>
        </w:rPr>
        <w:t>三、资格声明函（给定格式）：</w:t>
      </w:r>
    </w:p>
    <w:p w14:paraId="663C19A0">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资格声明函</w:t>
      </w:r>
    </w:p>
    <w:p w14:paraId="6C29D4B5">
      <w:pPr>
        <w:spacing w:line="480" w:lineRule="auto"/>
        <w:jc w:val="center"/>
        <w:rPr>
          <w:rFonts w:ascii="宋体"/>
          <w:bCs/>
          <w:i w:val="0"/>
          <w:iCs w:val="0"/>
          <w:color w:val="auto"/>
          <w:sz w:val="24"/>
          <w:szCs w:val="24"/>
          <w:highlight w:val="none"/>
        </w:rPr>
      </w:pPr>
    </w:p>
    <w:p w14:paraId="51A82378">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1554134D">
      <w:pPr>
        <w:spacing w:line="480" w:lineRule="auto"/>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w:t>
      </w:r>
      <w:r>
        <w:rPr>
          <w:rFonts w:hint="eastAsia" w:ascii="黑体" w:eastAsia="黑体" w:cs="Times New Roman"/>
          <w:bCs/>
          <w:i w:val="0"/>
          <w:iCs w:val="0"/>
          <w:color w:val="auto"/>
          <w:sz w:val="24"/>
          <w:szCs w:val="24"/>
          <w:highlight w:val="none"/>
          <w:lang w:eastAsia="zh-CN"/>
        </w:rPr>
        <w:t>JSZC-320206-JZCG-G2026-0015</w:t>
      </w:r>
      <w:r>
        <w:rPr>
          <w:rFonts w:hint="eastAsia" w:ascii="宋体" w:hAnsi="宋体"/>
          <w:bCs/>
          <w:i w:val="0"/>
          <w:iCs w:val="0"/>
          <w:color w:val="auto"/>
          <w:sz w:val="24"/>
          <w:szCs w:val="24"/>
          <w:highlight w:val="none"/>
        </w:rPr>
        <w:t>进行投标，并作如下声明</w:t>
      </w:r>
    </w:p>
    <w:p w14:paraId="18DD02D4">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44E8C7C7">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2.本公司（单位）具备本次项目履行合同所必需的设备和专业技术能力。</w:t>
      </w:r>
    </w:p>
    <w:p w14:paraId="35FFC0EC">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EFB0DE6">
      <w:pPr>
        <w:spacing w:line="480" w:lineRule="auto"/>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79CC8D09">
      <w:pPr>
        <w:spacing w:line="480" w:lineRule="auto"/>
        <w:rPr>
          <w:rFonts w:ascii="宋体"/>
          <w:bCs/>
          <w:i w:val="0"/>
          <w:iCs w:val="0"/>
          <w:color w:val="auto"/>
          <w:sz w:val="24"/>
          <w:szCs w:val="24"/>
          <w:highlight w:val="none"/>
        </w:rPr>
      </w:pPr>
    </w:p>
    <w:p w14:paraId="65FD321E">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bookmarkEnd w:id="137"/>
    <w:p w14:paraId="3414A281">
      <w:pPr>
        <w:spacing w:line="440" w:lineRule="exact"/>
        <w:rPr>
          <w:rFonts w:hint="eastAsia" w:ascii="宋体" w:hAnsi="宋体" w:cs="宋体"/>
          <w:b/>
          <w:i w:val="0"/>
          <w:iCs w:val="0"/>
          <w:color w:val="auto"/>
          <w:sz w:val="28"/>
          <w:szCs w:val="28"/>
          <w:highlight w:val="none"/>
        </w:rPr>
      </w:pPr>
    </w:p>
    <w:p w14:paraId="02BEFE9F">
      <w:pPr>
        <w:spacing w:line="440" w:lineRule="exact"/>
        <w:rPr>
          <w:rFonts w:hint="eastAsia" w:ascii="宋体" w:hAnsi="宋体" w:cs="宋体"/>
          <w:b/>
          <w:i w:val="0"/>
          <w:iCs w:val="0"/>
          <w:color w:val="auto"/>
          <w:sz w:val="28"/>
          <w:szCs w:val="28"/>
          <w:highlight w:val="none"/>
        </w:rPr>
      </w:pPr>
    </w:p>
    <w:p w14:paraId="2EB25F6C">
      <w:pPr>
        <w:spacing w:line="440" w:lineRule="exact"/>
        <w:rPr>
          <w:rFonts w:hint="eastAsia" w:ascii="宋体" w:hAnsi="宋体" w:cs="宋体"/>
          <w:b/>
          <w:i w:val="0"/>
          <w:iCs w:val="0"/>
          <w:color w:val="auto"/>
          <w:sz w:val="28"/>
          <w:szCs w:val="28"/>
          <w:highlight w:val="none"/>
        </w:rPr>
      </w:pPr>
    </w:p>
    <w:p w14:paraId="50A7701D">
      <w:pPr>
        <w:spacing w:line="440" w:lineRule="exact"/>
        <w:rPr>
          <w:rFonts w:hint="eastAsia" w:ascii="宋体" w:hAnsi="宋体" w:cs="宋体"/>
          <w:b/>
          <w:i w:val="0"/>
          <w:iCs w:val="0"/>
          <w:color w:val="auto"/>
          <w:sz w:val="28"/>
          <w:szCs w:val="28"/>
          <w:highlight w:val="none"/>
        </w:rPr>
      </w:pPr>
    </w:p>
    <w:p w14:paraId="2F667C0A">
      <w:pPr>
        <w:spacing w:line="440" w:lineRule="exact"/>
        <w:rPr>
          <w:rFonts w:hint="eastAsia" w:ascii="宋体" w:hAnsi="宋体" w:cs="宋体"/>
          <w:b/>
          <w:i w:val="0"/>
          <w:iCs w:val="0"/>
          <w:color w:val="auto"/>
          <w:sz w:val="28"/>
          <w:szCs w:val="28"/>
          <w:highlight w:val="none"/>
        </w:rPr>
      </w:pPr>
    </w:p>
    <w:p w14:paraId="060287DB">
      <w:pPr>
        <w:spacing w:line="440" w:lineRule="exact"/>
        <w:rPr>
          <w:rFonts w:hint="eastAsia" w:ascii="宋体" w:hAnsi="宋体" w:cs="宋体"/>
          <w:b/>
          <w:i w:val="0"/>
          <w:iCs w:val="0"/>
          <w:color w:val="auto"/>
          <w:sz w:val="28"/>
          <w:szCs w:val="28"/>
          <w:highlight w:val="none"/>
        </w:rPr>
      </w:pPr>
    </w:p>
    <w:p w14:paraId="49C868A9">
      <w:pPr>
        <w:spacing w:line="440" w:lineRule="exact"/>
        <w:rPr>
          <w:rFonts w:hint="eastAsia" w:ascii="宋体" w:hAnsi="宋体" w:cs="宋体"/>
          <w:b/>
          <w:i w:val="0"/>
          <w:iCs w:val="0"/>
          <w:color w:val="auto"/>
          <w:sz w:val="28"/>
          <w:szCs w:val="28"/>
          <w:highlight w:val="none"/>
        </w:rPr>
      </w:pPr>
    </w:p>
    <w:p w14:paraId="43961CBC">
      <w:pPr>
        <w:spacing w:line="440" w:lineRule="exact"/>
        <w:rPr>
          <w:rFonts w:hint="eastAsia" w:ascii="宋体" w:hAnsi="宋体" w:cs="宋体"/>
          <w:b/>
          <w:i w:val="0"/>
          <w:iCs w:val="0"/>
          <w:color w:val="auto"/>
          <w:sz w:val="28"/>
          <w:szCs w:val="28"/>
          <w:highlight w:val="none"/>
        </w:rPr>
      </w:pPr>
    </w:p>
    <w:p w14:paraId="20919C15">
      <w:pPr>
        <w:spacing w:line="440" w:lineRule="exact"/>
        <w:rPr>
          <w:rFonts w:hint="eastAsia" w:ascii="宋体" w:hAnsi="宋体" w:cs="宋体"/>
          <w:b/>
          <w:i w:val="0"/>
          <w:iCs w:val="0"/>
          <w:color w:val="auto"/>
          <w:sz w:val="28"/>
          <w:szCs w:val="28"/>
          <w:highlight w:val="none"/>
        </w:rPr>
      </w:pPr>
    </w:p>
    <w:p w14:paraId="1DB13793">
      <w:pPr>
        <w:spacing w:line="440" w:lineRule="exact"/>
        <w:rPr>
          <w:rFonts w:hint="eastAsia" w:ascii="宋体" w:hAnsi="宋体" w:cs="宋体"/>
          <w:b/>
          <w:i w:val="0"/>
          <w:iCs w:val="0"/>
          <w:color w:val="auto"/>
          <w:sz w:val="28"/>
          <w:szCs w:val="28"/>
          <w:highlight w:val="none"/>
        </w:rPr>
      </w:pPr>
    </w:p>
    <w:p w14:paraId="62D6A8FD">
      <w:pPr>
        <w:spacing w:line="440" w:lineRule="exact"/>
        <w:rPr>
          <w:rFonts w:hint="eastAsia" w:ascii="宋体" w:hAnsi="宋体" w:cs="宋体"/>
          <w:b/>
          <w:i w:val="0"/>
          <w:iCs w:val="0"/>
          <w:color w:val="auto"/>
          <w:sz w:val="28"/>
          <w:szCs w:val="28"/>
          <w:highlight w:val="none"/>
        </w:rPr>
      </w:pPr>
    </w:p>
    <w:p w14:paraId="75869EEA">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t>四、中小企业声明函（给定格式）：</w:t>
      </w:r>
    </w:p>
    <w:p w14:paraId="1B84614A">
      <w:pPr>
        <w:spacing w:line="360" w:lineRule="auto"/>
        <w:ind w:firstLine="560"/>
        <w:jc w:val="center"/>
        <w:rPr>
          <w:rFonts w:ascii="黑体" w:eastAsia="黑体"/>
          <w:bCs/>
          <w:i w:val="0"/>
          <w:iCs w:val="0"/>
          <w:color w:val="auto"/>
          <w:sz w:val="28"/>
          <w:szCs w:val="28"/>
          <w:highlight w:val="none"/>
        </w:rPr>
      </w:pPr>
      <w:r>
        <w:rPr>
          <w:rFonts w:ascii="黑体" w:eastAsia="黑体"/>
          <w:bCs/>
          <w:i w:val="0"/>
          <w:iCs w:val="0"/>
          <w:color w:val="auto"/>
          <w:sz w:val="28"/>
          <w:szCs w:val="28"/>
          <w:highlight w:val="none"/>
        </w:rPr>
        <w:t>中小企业声明函（</w:t>
      </w:r>
      <w:r>
        <w:rPr>
          <w:rFonts w:hint="eastAsia" w:ascii="黑体" w:eastAsia="黑体"/>
          <w:bCs/>
          <w:i w:val="0"/>
          <w:iCs w:val="0"/>
          <w:color w:val="auto"/>
          <w:sz w:val="28"/>
          <w:szCs w:val="28"/>
          <w:highlight w:val="none"/>
          <w:lang w:eastAsia="zh-CN"/>
        </w:rPr>
        <w:t>货物</w:t>
      </w:r>
      <w:r>
        <w:rPr>
          <w:rFonts w:ascii="黑体" w:eastAsia="黑体"/>
          <w:bCs/>
          <w:i w:val="0"/>
          <w:iCs w:val="0"/>
          <w:color w:val="auto"/>
          <w:sz w:val="28"/>
          <w:szCs w:val="28"/>
          <w:highlight w:val="none"/>
        </w:rPr>
        <w:t>）</w:t>
      </w:r>
    </w:p>
    <w:p w14:paraId="4834C46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bCs/>
          <w:i w:val="0"/>
          <w:iCs w:val="0"/>
          <w:color w:val="auto"/>
          <w:sz w:val="24"/>
          <w:szCs w:val="24"/>
          <w:highlight w:val="none"/>
        </w:rPr>
      </w:pPr>
      <w:bookmarkStart w:id="138" w:name="_Hlk159841372"/>
      <w:r>
        <w:rPr>
          <w:rFonts w:hint="eastAsia" w:ascii="宋体" w:hAnsi="宋体"/>
          <w:bCs/>
          <w:i w:val="0"/>
          <w:iCs w:val="0"/>
          <w:color w:val="auto"/>
          <w:sz w:val="24"/>
          <w:szCs w:val="24"/>
          <w:highlight w:val="none"/>
        </w:rPr>
        <w:t>本公司（联合体）郑重声明，根据《政府采购促进中小企业发展管理办法》（财库﹝2020﹞46号）的规定，本公司（联合体）参加</w:t>
      </w:r>
      <w:r>
        <w:rPr>
          <w:rFonts w:hint="eastAsia" w:ascii="宋体" w:hAnsi="宋体"/>
          <w:bCs/>
          <w:i w:val="0"/>
          <w:iCs w:val="0"/>
          <w:color w:val="auto"/>
          <w:sz w:val="24"/>
          <w:szCs w:val="24"/>
          <w:highlight w:val="none"/>
          <w:u w:val="single"/>
        </w:rPr>
        <w:t>（单位名称）</w:t>
      </w:r>
      <w:r>
        <w:rPr>
          <w:rFonts w:hint="eastAsia" w:ascii="宋体" w:hAnsi="宋体"/>
          <w:bCs/>
          <w:i w:val="0"/>
          <w:iCs w:val="0"/>
          <w:color w:val="auto"/>
          <w:sz w:val="24"/>
          <w:szCs w:val="24"/>
          <w:highlight w:val="none"/>
        </w:rPr>
        <w:t>的</w:t>
      </w:r>
      <w:r>
        <w:rPr>
          <w:rFonts w:hint="eastAsia" w:ascii="宋体" w:hAnsi="宋体"/>
          <w:bCs/>
          <w:i w:val="0"/>
          <w:iCs w:val="0"/>
          <w:color w:val="auto"/>
          <w:sz w:val="24"/>
          <w:szCs w:val="24"/>
          <w:highlight w:val="none"/>
          <w:u w:val="single"/>
        </w:rPr>
        <w:t>（项目名称）</w:t>
      </w:r>
      <w:r>
        <w:rPr>
          <w:rFonts w:hint="eastAsia" w:ascii="宋体" w:hAnsi="宋体"/>
          <w:bCs/>
          <w:i w:val="0"/>
          <w:iCs w:val="0"/>
          <w:color w:val="auto"/>
          <w:sz w:val="24"/>
          <w:szCs w:val="24"/>
          <w:highlight w:val="none"/>
        </w:rPr>
        <w:t>采购活动，提供的货物全部由符合政策要求的中小企业制造。相关企业（含联合体中的中小企业、签订分包意向协议的中小企业）的具体情况如下：</w:t>
      </w:r>
    </w:p>
    <w:bookmarkEnd w:id="138"/>
    <w:p w14:paraId="1F009FF4">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663733B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4945B28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49C6A2FF">
      <w:pPr>
        <w:spacing w:line="360" w:lineRule="auto"/>
        <w:ind w:firstLine="4800"/>
        <w:rPr>
          <w:rFonts w:hint="eastAsia" w:ascii="宋体" w:hAnsi="宋体"/>
          <w:bCs/>
          <w:i w:val="0"/>
          <w:iCs w:val="0"/>
          <w:color w:val="auto"/>
          <w:sz w:val="24"/>
          <w:szCs w:val="24"/>
          <w:highlight w:val="none"/>
        </w:rPr>
      </w:pPr>
    </w:p>
    <w:p w14:paraId="06B13E5E">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企业名称（盖章）：</w:t>
      </w:r>
    </w:p>
    <w:p w14:paraId="46D894DC">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6226A874">
      <w:pPr>
        <w:spacing w:line="360" w:lineRule="auto"/>
        <w:ind w:firstLine="420"/>
        <w:rPr>
          <w:rFonts w:hint="eastAsia"/>
          <w:i w:val="0"/>
          <w:iCs w:val="0"/>
          <w:color w:val="auto"/>
          <w:highlight w:val="none"/>
        </w:rPr>
      </w:pPr>
    </w:p>
    <w:p w14:paraId="44499276">
      <w:pPr>
        <w:spacing w:line="360" w:lineRule="auto"/>
        <w:ind w:firstLine="420"/>
        <w:rPr>
          <w:rFonts w:hint="eastAsia"/>
          <w:i w:val="0"/>
          <w:iCs w:val="0"/>
          <w:color w:val="auto"/>
          <w:highlight w:val="none"/>
        </w:rPr>
      </w:pPr>
      <w:r>
        <w:rPr>
          <w:rFonts w:hint="eastAsia"/>
          <w:i w:val="0"/>
          <w:iCs w:val="0"/>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i w:val="0"/>
          <w:iCs w:val="0"/>
          <w:color w:val="auto"/>
          <w:highlight w:val="none"/>
          <w:lang w:eastAsia="zh-CN"/>
        </w:rPr>
        <w:t>需</w:t>
      </w:r>
      <w:r>
        <w:rPr>
          <w:rFonts w:hint="eastAsia"/>
          <w:i w:val="0"/>
          <w:iCs w:val="0"/>
          <w:color w:val="auto"/>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72BB7276">
      <w:pPr>
        <w:spacing w:line="360" w:lineRule="auto"/>
        <w:ind w:firstLine="420"/>
        <w:rPr>
          <w:i w:val="0"/>
          <w:iCs w:val="0"/>
          <w:color w:val="auto"/>
          <w:highlight w:val="none"/>
        </w:rPr>
      </w:pPr>
      <w:r>
        <w:rPr>
          <w:rFonts w:hint="eastAsia"/>
          <w:i w:val="0"/>
          <w:iCs w:val="0"/>
          <w:color w:val="auto"/>
          <w:highlight w:val="none"/>
        </w:rPr>
        <w:t>（2）</w:t>
      </w:r>
      <w:r>
        <w:rPr>
          <w:i w:val="0"/>
          <w:iCs w:val="0"/>
          <w:color w:val="auto"/>
          <w:highlight w:val="none"/>
        </w:rPr>
        <w:t>从业人员、营业收入、资产总额填报上一年度数据，无上一年度数据的新成立企业可不填报。</w:t>
      </w:r>
    </w:p>
    <w:p w14:paraId="39403A69">
      <w:pPr>
        <w:spacing w:line="360" w:lineRule="auto"/>
        <w:ind w:firstLine="420"/>
        <w:rPr>
          <w:rFonts w:hint="eastAsia"/>
          <w:color w:val="auto"/>
          <w:highlight w:val="none"/>
        </w:rPr>
      </w:pPr>
      <w:r>
        <w:rPr>
          <w:rFonts w:hint="eastAsia"/>
          <w:i w:val="0"/>
          <w:iCs w:val="0"/>
          <w:color w:val="auto"/>
          <w:highlight w:val="none"/>
        </w:rPr>
        <w:t>（3）中标供应商的《</w:t>
      </w:r>
      <w:r>
        <w:rPr>
          <w:i w:val="0"/>
          <w:iCs w:val="0"/>
          <w:color w:val="auto"/>
          <w:highlight w:val="none"/>
        </w:rPr>
        <w:t>中小企业声明函</w:t>
      </w:r>
      <w:r>
        <w:rPr>
          <w:rFonts w:hint="eastAsia"/>
          <w:i w:val="0"/>
          <w:iCs w:val="0"/>
          <w:color w:val="auto"/>
          <w:highlight w:val="none"/>
        </w:rPr>
        <w:t>》将随中标公告进行公示。供应商按照本办法规定提供声明函内容不实的，属于提供虚假材料谋取中标、成交，依照《中华人民共和国政府采购法》等国家有关规定追究相应责任。</w:t>
      </w:r>
    </w:p>
    <w:p w14:paraId="68C1E49D">
      <w:pPr>
        <w:spacing w:line="360" w:lineRule="auto"/>
        <w:rPr>
          <w:rFonts w:hint="eastAsia"/>
          <w:b/>
          <w:i w:val="0"/>
          <w:iCs w:val="0"/>
          <w:color w:val="auto"/>
          <w:sz w:val="30"/>
          <w:szCs w:val="30"/>
          <w:highlight w:val="none"/>
        </w:rPr>
      </w:pPr>
    </w:p>
    <w:p w14:paraId="3ACF32D5">
      <w:pPr>
        <w:pStyle w:val="14"/>
        <w:rPr>
          <w:rFonts w:hint="eastAsia"/>
          <w:b/>
          <w:i w:val="0"/>
          <w:iCs w:val="0"/>
          <w:color w:val="auto"/>
          <w:sz w:val="30"/>
          <w:szCs w:val="30"/>
          <w:highlight w:val="none"/>
        </w:rPr>
      </w:pPr>
    </w:p>
    <w:p w14:paraId="0C3B7139">
      <w:pPr>
        <w:rPr>
          <w:rFonts w:hint="eastAsia"/>
          <w:b/>
          <w:i w:val="0"/>
          <w:iCs w:val="0"/>
          <w:color w:val="auto"/>
          <w:sz w:val="30"/>
          <w:szCs w:val="30"/>
          <w:highlight w:val="none"/>
        </w:rPr>
      </w:pPr>
    </w:p>
    <w:p w14:paraId="5EC2F670">
      <w:pPr>
        <w:pStyle w:val="14"/>
        <w:rPr>
          <w:rFonts w:hint="eastAsia"/>
          <w:b/>
          <w:i w:val="0"/>
          <w:iCs w:val="0"/>
          <w:color w:val="auto"/>
          <w:sz w:val="30"/>
          <w:szCs w:val="30"/>
          <w:highlight w:val="none"/>
        </w:rPr>
      </w:pPr>
    </w:p>
    <w:p w14:paraId="0C78DB02">
      <w:pPr>
        <w:rPr>
          <w:rFonts w:hint="eastAsia"/>
          <w:b/>
          <w:i w:val="0"/>
          <w:iCs w:val="0"/>
          <w:color w:val="auto"/>
          <w:sz w:val="30"/>
          <w:szCs w:val="30"/>
          <w:highlight w:val="none"/>
        </w:rPr>
      </w:pPr>
    </w:p>
    <w:p w14:paraId="718D09B1">
      <w:pPr>
        <w:pStyle w:val="14"/>
        <w:rPr>
          <w:rFonts w:hint="eastAsia"/>
          <w:b/>
          <w:i w:val="0"/>
          <w:iCs w:val="0"/>
          <w:color w:val="auto"/>
          <w:sz w:val="30"/>
          <w:szCs w:val="30"/>
          <w:highlight w:val="none"/>
        </w:rPr>
      </w:pPr>
    </w:p>
    <w:p w14:paraId="089BC552">
      <w:pPr>
        <w:rPr>
          <w:rFonts w:hint="eastAsia"/>
          <w:color w:val="auto"/>
          <w:highlight w:val="none"/>
        </w:rPr>
      </w:pPr>
    </w:p>
    <w:p w14:paraId="5F8BE424">
      <w:pPr>
        <w:pStyle w:val="14"/>
        <w:rPr>
          <w:rFonts w:hint="eastAsia"/>
          <w:color w:val="auto"/>
          <w:highlight w:val="none"/>
        </w:rPr>
      </w:pPr>
    </w:p>
    <w:p w14:paraId="4C7E5049">
      <w:pPr>
        <w:spacing w:line="360" w:lineRule="auto"/>
        <w:rPr>
          <w:rFonts w:hint="eastAsia" w:ascii="宋体" w:hAnsi="宋体" w:cs="宋体"/>
          <w:b/>
          <w:i w:val="0"/>
          <w:iCs w:val="0"/>
          <w:color w:val="auto"/>
          <w:sz w:val="30"/>
          <w:szCs w:val="30"/>
          <w:highlight w:val="none"/>
        </w:rPr>
      </w:pPr>
      <w:r>
        <w:rPr>
          <w:rFonts w:hint="eastAsia"/>
          <w:b/>
          <w:i w:val="0"/>
          <w:iCs w:val="0"/>
          <w:color w:val="auto"/>
          <w:sz w:val="30"/>
          <w:szCs w:val="30"/>
          <w:highlight w:val="none"/>
        </w:rPr>
        <w:t>五</w:t>
      </w:r>
      <w:r>
        <w:rPr>
          <w:rFonts w:hint="eastAsia" w:ascii="宋体" w:hAnsi="宋体" w:cs="宋体"/>
          <w:b/>
          <w:i w:val="0"/>
          <w:iCs w:val="0"/>
          <w:color w:val="auto"/>
          <w:sz w:val="30"/>
          <w:szCs w:val="30"/>
          <w:highlight w:val="none"/>
        </w:rPr>
        <w:t>、残疾人福利性单位声明函（给定格式）：</w:t>
      </w:r>
    </w:p>
    <w:p w14:paraId="2757F3AF">
      <w:pPr>
        <w:spacing w:line="440" w:lineRule="exact"/>
        <w:ind w:firstLine="482"/>
        <w:rPr>
          <w:rFonts w:ascii="Arial" w:hAnsi="Arial"/>
          <w:b/>
          <w:i w:val="0"/>
          <w:iCs w:val="0"/>
          <w:color w:val="auto"/>
          <w:sz w:val="24"/>
          <w:highlight w:val="none"/>
        </w:rPr>
      </w:pPr>
    </w:p>
    <w:p w14:paraId="5EE04E07">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残疾人福利性单位声明函</w:t>
      </w:r>
    </w:p>
    <w:p w14:paraId="4D028E76">
      <w:pPr>
        <w:jc w:val="center"/>
        <w:rPr>
          <w:rFonts w:ascii="黑体" w:eastAsia="黑体"/>
          <w:bCs/>
          <w:i w:val="0"/>
          <w:iCs w:val="0"/>
          <w:color w:val="auto"/>
          <w:sz w:val="28"/>
          <w:szCs w:val="28"/>
          <w:highlight w:val="none"/>
        </w:rPr>
      </w:pPr>
    </w:p>
    <w:p w14:paraId="5D8C23E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4030F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本单位对上述声明的真实性负责。如有虚假，将依法承担相应责任。</w:t>
      </w:r>
    </w:p>
    <w:p w14:paraId="5EBBA943">
      <w:pPr>
        <w:spacing w:line="580" w:lineRule="exact"/>
        <w:ind w:firstLine="480"/>
        <w:rPr>
          <w:rFonts w:ascii="宋体" w:hAnsi="宋体"/>
          <w:bCs/>
          <w:i w:val="0"/>
          <w:iCs w:val="0"/>
          <w:color w:val="auto"/>
          <w:sz w:val="24"/>
          <w:szCs w:val="24"/>
          <w:highlight w:val="none"/>
        </w:rPr>
      </w:pPr>
    </w:p>
    <w:p w14:paraId="3656CEE3">
      <w:pPr>
        <w:spacing w:line="580" w:lineRule="exact"/>
        <w:ind w:firstLine="480"/>
        <w:rPr>
          <w:rFonts w:ascii="宋体" w:hAnsi="宋体"/>
          <w:bCs/>
          <w:i w:val="0"/>
          <w:iCs w:val="0"/>
          <w:color w:val="auto"/>
          <w:sz w:val="24"/>
          <w:szCs w:val="24"/>
          <w:highlight w:val="none"/>
        </w:rPr>
      </w:pPr>
    </w:p>
    <w:p w14:paraId="6D17120A">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单位名称（盖章）：</w:t>
      </w:r>
    </w:p>
    <w:p w14:paraId="279BA36C">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2A4C8205">
      <w:pPr>
        <w:spacing w:line="360" w:lineRule="auto"/>
        <w:rPr>
          <w:rFonts w:hint="eastAsia"/>
          <w:b/>
          <w:i w:val="0"/>
          <w:iCs w:val="0"/>
          <w:color w:val="auto"/>
          <w:sz w:val="30"/>
          <w:szCs w:val="30"/>
          <w:highlight w:val="none"/>
        </w:rPr>
      </w:pPr>
    </w:p>
    <w:p w14:paraId="7CBCD6FB">
      <w:pPr>
        <w:spacing w:line="360" w:lineRule="auto"/>
        <w:rPr>
          <w:rFonts w:hint="eastAsia"/>
          <w:b/>
          <w:i w:val="0"/>
          <w:iCs w:val="0"/>
          <w:color w:val="auto"/>
          <w:sz w:val="30"/>
          <w:szCs w:val="30"/>
          <w:highlight w:val="none"/>
        </w:rPr>
      </w:pPr>
    </w:p>
    <w:p w14:paraId="4B767E2E">
      <w:pPr>
        <w:spacing w:line="360" w:lineRule="auto"/>
        <w:rPr>
          <w:rFonts w:hint="eastAsia"/>
          <w:b/>
          <w:i w:val="0"/>
          <w:iCs w:val="0"/>
          <w:color w:val="auto"/>
          <w:sz w:val="30"/>
          <w:szCs w:val="30"/>
          <w:highlight w:val="none"/>
        </w:rPr>
      </w:pPr>
    </w:p>
    <w:p w14:paraId="1EFAD1D5">
      <w:pPr>
        <w:spacing w:line="360" w:lineRule="auto"/>
        <w:rPr>
          <w:rFonts w:hint="eastAsia"/>
          <w:b/>
          <w:i w:val="0"/>
          <w:iCs w:val="0"/>
          <w:color w:val="auto"/>
          <w:sz w:val="30"/>
          <w:szCs w:val="30"/>
          <w:highlight w:val="none"/>
        </w:rPr>
      </w:pPr>
    </w:p>
    <w:p w14:paraId="6D1C0F50">
      <w:pPr>
        <w:spacing w:line="360" w:lineRule="auto"/>
        <w:rPr>
          <w:rFonts w:hint="eastAsia"/>
          <w:b/>
          <w:i w:val="0"/>
          <w:iCs w:val="0"/>
          <w:color w:val="auto"/>
          <w:sz w:val="30"/>
          <w:szCs w:val="30"/>
          <w:highlight w:val="none"/>
        </w:rPr>
      </w:pPr>
    </w:p>
    <w:p w14:paraId="4F5BF10D">
      <w:pPr>
        <w:spacing w:line="360" w:lineRule="auto"/>
        <w:rPr>
          <w:rFonts w:hint="eastAsia"/>
          <w:b/>
          <w:i w:val="0"/>
          <w:iCs w:val="0"/>
          <w:color w:val="auto"/>
          <w:sz w:val="30"/>
          <w:szCs w:val="30"/>
          <w:highlight w:val="none"/>
        </w:rPr>
      </w:pPr>
    </w:p>
    <w:p w14:paraId="521AD7A4">
      <w:pPr>
        <w:spacing w:line="360" w:lineRule="auto"/>
        <w:rPr>
          <w:rFonts w:hint="eastAsia"/>
          <w:b/>
          <w:i w:val="0"/>
          <w:iCs w:val="0"/>
          <w:color w:val="auto"/>
          <w:sz w:val="30"/>
          <w:szCs w:val="30"/>
          <w:highlight w:val="none"/>
        </w:rPr>
      </w:pPr>
    </w:p>
    <w:p w14:paraId="1AF96940">
      <w:pPr>
        <w:spacing w:line="360" w:lineRule="auto"/>
        <w:rPr>
          <w:rFonts w:hint="eastAsia"/>
          <w:b/>
          <w:i w:val="0"/>
          <w:iCs w:val="0"/>
          <w:color w:val="auto"/>
          <w:sz w:val="30"/>
          <w:szCs w:val="30"/>
          <w:highlight w:val="none"/>
        </w:rPr>
      </w:pPr>
    </w:p>
    <w:p w14:paraId="59F4A565">
      <w:pPr>
        <w:spacing w:line="360" w:lineRule="auto"/>
        <w:rPr>
          <w:rFonts w:hint="eastAsia"/>
          <w:b/>
          <w:i w:val="0"/>
          <w:iCs w:val="0"/>
          <w:color w:val="auto"/>
          <w:sz w:val="30"/>
          <w:szCs w:val="30"/>
          <w:highlight w:val="none"/>
        </w:rPr>
      </w:pPr>
    </w:p>
    <w:p w14:paraId="2B3BDB6B">
      <w:pPr>
        <w:spacing w:line="360" w:lineRule="auto"/>
        <w:rPr>
          <w:rFonts w:hint="eastAsia"/>
          <w:b/>
          <w:i w:val="0"/>
          <w:iCs w:val="0"/>
          <w:color w:val="auto"/>
          <w:sz w:val="30"/>
          <w:szCs w:val="30"/>
          <w:highlight w:val="none"/>
        </w:rPr>
      </w:pPr>
    </w:p>
    <w:p w14:paraId="097969C0">
      <w:pPr>
        <w:spacing w:line="360" w:lineRule="auto"/>
        <w:rPr>
          <w:rFonts w:hint="eastAsia"/>
          <w:b/>
          <w:i w:val="0"/>
          <w:iCs w:val="0"/>
          <w:color w:val="auto"/>
          <w:sz w:val="30"/>
          <w:szCs w:val="30"/>
          <w:highlight w:val="none"/>
        </w:rPr>
      </w:pPr>
    </w:p>
    <w:p w14:paraId="6A5F48B8">
      <w:pPr>
        <w:spacing w:line="360" w:lineRule="auto"/>
        <w:rPr>
          <w:rFonts w:hint="eastAsia"/>
          <w:b/>
          <w:i w:val="0"/>
          <w:iCs w:val="0"/>
          <w:color w:val="auto"/>
          <w:sz w:val="30"/>
          <w:szCs w:val="30"/>
          <w:highlight w:val="none"/>
        </w:rPr>
      </w:pPr>
    </w:p>
    <w:p w14:paraId="2F9A207C">
      <w:pPr>
        <w:spacing w:line="360" w:lineRule="auto"/>
        <w:rPr>
          <w:rFonts w:hint="eastAsia" w:eastAsia="宋体"/>
          <w:b/>
          <w:color w:val="auto"/>
          <w:sz w:val="30"/>
          <w:szCs w:val="30"/>
          <w:highlight w:val="none"/>
          <w:lang w:eastAsia="zh-CN"/>
        </w:rPr>
      </w:pPr>
      <w:r>
        <w:rPr>
          <w:rFonts w:hint="eastAsia"/>
          <w:b/>
          <w:color w:val="auto"/>
          <w:sz w:val="30"/>
          <w:szCs w:val="30"/>
          <w:highlight w:val="none"/>
          <w:lang w:val="en-US" w:eastAsia="zh-CN"/>
        </w:rPr>
        <w:t>六</w:t>
      </w:r>
      <w:r>
        <w:rPr>
          <w:rFonts w:hint="eastAsia"/>
          <w:b/>
          <w:color w:val="auto"/>
          <w:sz w:val="30"/>
          <w:szCs w:val="30"/>
          <w:highlight w:val="none"/>
          <w:lang w:eastAsia="zh-CN"/>
        </w:rPr>
        <w:t>、</w:t>
      </w:r>
      <w:r>
        <w:rPr>
          <w:rFonts w:hint="eastAsia"/>
          <w:b/>
          <w:color w:val="auto"/>
          <w:sz w:val="30"/>
          <w:szCs w:val="30"/>
          <w:highlight w:val="none"/>
        </w:rPr>
        <w:t>关于符合本国产品标准的声明函（</w:t>
      </w:r>
      <w:r>
        <w:rPr>
          <w:rFonts w:hint="eastAsia"/>
          <w:b/>
          <w:color w:val="auto"/>
          <w:sz w:val="30"/>
          <w:szCs w:val="30"/>
          <w:highlight w:val="none"/>
          <w:lang w:val="en-US" w:eastAsia="zh-CN"/>
        </w:rPr>
        <w:t>给定格式</w:t>
      </w:r>
      <w:r>
        <w:rPr>
          <w:rFonts w:hint="eastAsia"/>
          <w:b/>
          <w:color w:val="auto"/>
          <w:sz w:val="30"/>
          <w:szCs w:val="30"/>
          <w:highlight w:val="none"/>
        </w:rPr>
        <w:t>）</w:t>
      </w:r>
      <w:r>
        <w:rPr>
          <w:rFonts w:hint="eastAsia"/>
          <w:b/>
          <w:color w:val="auto"/>
          <w:sz w:val="30"/>
          <w:szCs w:val="30"/>
          <w:highlight w:val="none"/>
          <w:lang w:eastAsia="zh-CN"/>
        </w:rPr>
        <w:t>：</w:t>
      </w:r>
    </w:p>
    <w:p w14:paraId="6BF69482">
      <w:pPr>
        <w:pBdr>
          <w:top w:val="none" w:color="000000" w:sz="0" w:space="0"/>
          <w:left w:val="none" w:color="000000" w:sz="0" w:space="0"/>
          <w:bottom w:val="none" w:color="000000" w:sz="0" w:space="0"/>
          <w:right w:val="none" w:color="000000" w:sz="0" w:space="0"/>
        </w:pBdr>
        <w:spacing w:before="0" w:after="0"/>
        <w:ind w:left="0" w:right="0" w:firstLine="2711"/>
        <w:rPr>
          <w:color w:val="auto"/>
          <w:highlight w:val="none"/>
        </w:rPr>
      </w:pPr>
      <w:r>
        <w:rPr>
          <w:rFonts w:ascii="宋体" w:hAnsi="宋体" w:eastAsia="宋体" w:cs="宋体"/>
          <w:b/>
          <w:color w:val="auto"/>
          <w:sz w:val="30"/>
          <w:highlight w:val="none"/>
        </w:rPr>
        <w:t>关于符合本国产品标准的声明函</w:t>
      </w:r>
    </w:p>
    <w:p w14:paraId="7BD7ADBE">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 </w:t>
      </w:r>
    </w:p>
    <w:p w14:paraId="7B3D3A59">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3C000251">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7767696B">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1914A0AF">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4B8A638A">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4D239C3E">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6E5FA71D">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color w:val="auto"/>
          <w:highlight w:val="none"/>
        </w:rPr>
      </w:pPr>
      <w:r>
        <w:rPr>
          <w:rFonts w:ascii="宋体" w:hAnsi="宋体" w:eastAsia="宋体" w:cs="宋体"/>
          <w:color w:val="auto"/>
          <w:sz w:val="24"/>
          <w:highlight w:val="none"/>
        </w:rPr>
        <w:t>   公司（单位）名称（加盖CA电子公章）：　</w:t>
      </w:r>
    </w:p>
    <w:p w14:paraId="0DE7A455">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ascii="宋体" w:hAnsi="宋体" w:eastAsia="宋体" w:cs="宋体"/>
          <w:color w:val="auto"/>
          <w:sz w:val="24"/>
          <w:highlight w:val="none"/>
        </w:rPr>
        <w:t>           日期：　     年　  月　  日         </w:t>
      </w:r>
    </w:p>
    <w:p w14:paraId="6067F106">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C4BC63F">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5C57F23C">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23E97C2E">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41B96869">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38E06B9D">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532509F2">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4.该产品的关键组件要求实施前，“关键组件”栏可不填，下同。</w:t>
      </w:r>
    </w:p>
    <w:p w14:paraId="404F7B63">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5.该产品的关键工序要求实施前，“关键工序”栏可不填，下同。</w:t>
      </w:r>
    </w:p>
    <w:p w14:paraId="02882C6C">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094C904F">
      <w:pPr>
        <w:spacing w:line="360" w:lineRule="auto"/>
        <w:rPr>
          <w:rFonts w:hint="eastAsia"/>
          <w:b/>
          <w:i w:val="0"/>
          <w:iCs w:val="0"/>
          <w:color w:val="auto"/>
          <w:sz w:val="30"/>
          <w:szCs w:val="30"/>
          <w:highlight w:val="none"/>
        </w:rPr>
      </w:pPr>
    </w:p>
    <w:p w14:paraId="26D7957F">
      <w:pPr>
        <w:spacing w:line="360" w:lineRule="auto"/>
        <w:rPr>
          <w:rFonts w:hint="eastAsia"/>
          <w:b/>
          <w:i w:val="0"/>
          <w:iCs w:val="0"/>
          <w:color w:val="auto"/>
          <w:sz w:val="30"/>
          <w:szCs w:val="30"/>
          <w:highlight w:val="none"/>
        </w:rPr>
      </w:pPr>
    </w:p>
    <w:p w14:paraId="759E415C">
      <w:pPr>
        <w:spacing w:line="360" w:lineRule="auto"/>
        <w:rPr>
          <w:rFonts w:hint="eastAsia"/>
          <w:b/>
          <w:i w:val="0"/>
          <w:iCs w:val="0"/>
          <w:color w:val="auto"/>
          <w:sz w:val="30"/>
          <w:szCs w:val="30"/>
          <w:highlight w:val="none"/>
          <w:lang w:eastAsia="zh-CN"/>
        </w:rPr>
      </w:pPr>
    </w:p>
    <w:p w14:paraId="08F135A5">
      <w:pPr>
        <w:spacing w:line="360" w:lineRule="auto"/>
        <w:rPr>
          <w:rFonts w:hint="eastAsia"/>
          <w:b/>
          <w:i w:val="0"/>
          <w:iCs w:val="0"/>
          <w:color w:val="auto"/>
          <w:sz w:val="30"/>
          <w:szCs w:val="30"/>
          <w:highlight w:val="none"/>
          <w:lang w:eastAsia="zh-CN"/>
        </w:rPr>
      </w:pPr>
    </w:p>
    <w:p w14:paraId="2C9916E2">
      <w:pPr>
        <w:spacing w:line="360" w:lineRule="auto"/>
        <w:rPr>
          <w:rFonts w:hint="eastAsia"/>
          <w:b/>
          <w:i w:val="0"/>
          <w:iCs w:val="0"/>
          <w:color w:val="auto"/>
          <w:sz w:val="30"/>
          <w:szCs w:val="30"/>
          <w:highlight w:val="none"/>
          <w:lang w:eastAsia="zh-CN"/>
        </w:rPr>
      </w:pPr>
    </w:p>
    <w:p w14:paraId="143CFD24">
      <w:pPr>
        <w:spacing w:line="360" w:lineRule="auto"/>
        <w:rPr>
          <w:rFonts w:hint="eastAsia"/>
          <w:b/>
          <w:i w:val="0"/>
          <w:iCs w:val="0"/>
          <w:color w:val="auto"/>
          <w:sz w:val="30"/>
          <w:szCs w:val="30"/>
          <w:highlight w:val="none"/>
          <w:lang w:eastAsia="zh-CN"/>
        </w:rPr>
      </w:pPr>
    </w:p>
    <w:p w14:paraId="5577D53C">
      <w:pPr>
        <w:spacing w:line="360" w:lineRule="auto"/>
        <w:rPr>
          <w:rFonts w:hint="eastAsia"/>
          <w:b/>
          <w:i w:val="0"/>
          <w:iCs w:val="0"/>
          <w:color w:val="auto"/>
          <w:sz w:val="30"/>
          <w:szCs w:val="30"/>
          <w:highlight w:val="none"/>
          <w:lang w:eastAsia="zh-CN"/>
        </w:rPr>
      </w:pPr>
    </w:p>
    <w:p w14:paraId="59A6D4BE">
      <w:pPr>
        <w:spacing w:line="360" w:lineRule="auto"/>
        <w:rPr>
          <w:rFonts w:hint="eastAsia"/>
          <w:b/>
          <w:i w:val="0"/>
          <w:iCs w:val="0"/>
          <w:color w:val="auto"/>
          <w:sz w:val="30"/>
          <w:szCs w:val="30"/>
          <w:highlight w:val="none"/>
          <w:lang w:eastAsia="zh-CN"/>
        </w:rPr>
      </w:pPr>
    </w:p>
    <w:p w14:paraId="2844BCCB">
      <w:pPr>
        <w:spacing w:line="360" w:lineRule="auto"/>
        <w:rPr>
          <w:rFonts w:hint="eastAsia"/>
          <w:b/>
          <w:i w:val="0"/>
          <w:iCs w:val="0"/>
          <w:color w:val="auto"/>
          <w:sz w:val="30"/>
          <w:szCs w:val="30"/>
          <w:highlight w:val="none"/>
          <w:lang w:eastAsia="zh-CN"/>
        </w:rPr>
      </w:pPr>
    </w:p>
    <w:p w14:paraId="0C93CD16">
      <w:pPr>
        <w:spacing w:line="360" w:lineRule="auto"/>
        <w:rPr>
          <w:rFonts w:hint="eastAsia"/>
          <w:b/>
          <w:i w:val="0"/>
          <w:iCs w:val="0"/>
          <w:color w:val="auto"/>
          <w:sz w:val="30"/>
          <w:szCs w:val="30"/>
          <w:highlight w:val="none"/>
          <w:lang w:eastAsia="zh-CN"/>
        </w:rPr>
      </w:pPr>
    </w:p>
    <w:p w14:paraId="32912F9F">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七</w:t>
      </w:r>
      <w:r>
        <w:rPr>
          <w:b/>
          <w:i w:val="0"/>
          <w:iCs w:val="0"/>
          <w:color w:val="auto"/>
          <w:sz w:val="30"/>
          <w:szCs w:val="30"/>
          <w:highlight w:val="none"/>
        </w:rPr>
        <w:t>、投标函</w:t>
      </w:r>
      <w:r>
        <w:rPr>
          <w:rFonts w:hint="eastAsia"/>
          <w:b/>
          <w:i w:val="0"/>
          <w:iCs w:val="0"/>
          <w:color w:val="auto"/>
          <w:sz w:val="30"/>
          <w:szCs w:val="30"/>
          <w:highlight w:val="none"/>
        </w:rPr>
        <w:t>（给定格式）：</w:t>
      </w:r>
    </w:p>
    <w:p w14:paraId="7AFF5233">
      <w:pPr>
        <w:spacing w:line="360" w:lineRule="auto"/>
        <w:rPr>
          <w:rFonts w:hint="eastAsia"/>
          <w:b/>
          <w:i w:val="0"/>
          <w:iCs w:val="0"/>
          <w:color w:val="auto"/>
          <w:sz w:val="30"/>
          <w:szCs w:val="30"/>
          <w:highlight w:val="none"/>
        </w:rPr>
      </w:pPr>
    </w:p>
    <w:p w14:paraId="5C5FB2FE">
      <w:pPr>
        <w:spacing w:line="400" w:lineRule="exact"/>
        <w:jc w:val="center"/>
        <w:rPr>
          <w:rFonts w:ascii="宋体"/>
          <w:bCs/>
          <w:i w:val="0"/>
          <w:iCs w:val="0"/>
          <w:color w:val="auto"/>
          <w:sz w:val="24"/>
          <w:szCs w:val="24"/>
          <w:highlight w:val="none"/>
        </w:rPr>
      </w:pPr>
      <w:r>
        <w:rPr>
          <w:rFonts w:hint="eastAsia" w:ascii="黑体" w:eastAsia="黑体"/>
          <w:bCs/>
          <w:i w:val="0"/>
          <w:iCs w:val="0"/>
          <w:color w:val="auto"/>
          <w:sz w:val="28"/>
          <w:szCs w:val="28"/>
          <w:highlight w:val="none"/>
        </w:rPr>
        <w:t>投标函</w:t>
      </w:r>
    </w:p>
    <w:p w14:paraId="2E2A8183">
      <w:pPr>
        <w:spacing w:line="400" w:lineRule="exact"/>
        <w:rPr>
          <w:rFonts w:ascii="宋体"/>
          <w:bCs/>
          <w:i w:val="0"/>
          <w:iCs w:val="0"/>
          <w:color w:val="auto"/>
          <w:sz w:val="24"/>
          <w:szCs w:val="24"/>
          <w:highlight w:val="none"/>
        </w:rPr>
      </w:pPr>
      <w:r>
        <w:rPr>
          <w:rFonts w:hint="eastAsia" w:ascii="宋体" w:hAnsi="宋体"/>
          <w:bCs/>
          <w:i w:val="0"/>
          <w:iCs w:val="0"/>
          <w:color w:val="auto"/>
          <w:sz w:val="24"/>
          <w:szCs w:val="24"/>
          <w:highlight w:val="none"/>
        </w:rPr>
        <w:t>致</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2D453355">
      <w:pPr>
        <w:spacing w:line="400" w:lineRule="exact"/>
        <w:ind w:firstLine="480"/>
        <w:rPr>
          <w:rFonts w:ascii="宋体"/>
          <w:bCs/>
          <w:i w:val="0"/>
          <w:iCs w:val="0"/>
          <w:color w:val="auto"/>
          <w:sz w:val="24"/>
          <w:szCs w:val="24"/>
          <w:highlight w:val="none"/>
        </w:rPr>
      </w:pPr>
    </w:p>
    <w:p w14:paraId="19D4874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我方收到贵方</w:t>
      </w:r>
      <w:r>
        <w:rPr>
          <w:rFonts w:hint="eastAsia" w:ascii="黑体" w:eastAsia="黑体" w:cs="Times New Roman"/>
          <w:bCs/>
          <w:i w:val="0"/>
          <w:iCs w:val="0"/>
          <w:color w:val="auto"/>
          <w:sz w:val="24"/>
          <w:szCs w:val="24"/>
          <w:highlight w:val="none"/>
          <w:lang w:eastAsia="zh-CN"/>
        </w:rPr>
        <w:t>JSZC-320206-JZCG-G2026-0015</w:t>
      </w:r>
      <w:r>
        <w:rPr>
          <w:rFonts w:hint="eastAsia" w:ascii="宋体" w:hAnsi="宋体"/>
          <w:bCs/>
          <w:i w:val="0"/>
          <w:iCs w:val="0"/>
          <w:color w:val="auto"/>
          <w:sz w:val="24"/>
          <w:szCs w:val="24"/>
          <w:highlight w:val="none"/>
        </w:rPr>
        <w:t>招标文件，经仔细阅读和研究，我方决定参加此项目的投标。</w:t>
      </w:r>
    </w:p>
    <w:p w14:paraId="1736DCBD">
      <w:pPr>
        <w:numPr>
          <w:ilvl w:val="0"/>
          <w:numId w:val="0"/>
        </w:numPr>
        <w:tabs>
          <w:tab w:val="left" w:pos="315"/>
          <w:tab w:val="left" w:pos="840"/>
          <w:tab w:val="left" w:pos="945"/>
          <w:tab w:val="left" w:pos="1050"/>
          <w:tab w:val="left" w:pos="126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一、</w:t>
      </w:r>
      <w:r>
        <w:rPr>
          <w:rFonts w:hint="eastAsia" w:ascii="宋体" w:hAnsi="宋体"/>
          <w:bCs/>
          <w:i w:val="0"/>
          <w:iCs w:val="0"/>
          <w:color w:val="auto"/>
          <w:sz w:val="24"/>
          <w:szCs w:val="24"/>
          <w:highlight w:val="none"/>
        </w:rPr>
        <w:t>我方愿意按照招标文件的一切要求，提供本项目的投标，投标总价见《开标一览表》。</w:t>
      </w:r>
    </w:p>
    <w:p w14:paraId="6473F0D7">
      <w:pPr>
        <w:numPr>
          <w:ilvl w:val="0"/>
          <w:numId w:val="0"/>
        </w:numPr>
        <w:tabs>
          <w:tab w:val="left" w:pos="0"/>
          <w:tab w:val="left" w:pos="315"/>
          <w:tab w:val="left" w:pos="525"/>
          <w:tab w:val="left" w:pos="840"/>
          <w:tab w:val="left" w:pos="945"/>
          <w:tab w:val="left" w:pos="1050"/>
        </w:tabs>
        <w:spacing w:line="400" w:lineRule="exact"/>
        <w:ind w:firstLine="480"/>
        <w:rPr>
          <w:rStyle w:val="366"/>
          <w:bCs/>
          <w:i w:val="0"/>
          <w:iCs w:val="0"/>
          <w:color w:val="auto"/>
          <w:highlight w:val="none"/>
        </w:rPr>
      </w:pPr>
      <w:r>
        <w:rPr>
          <w:rFonts w:hint="eastAsia" w:ascii="宋体" w:hAnsi="宋体"/>
          <w:bCs/>
          <w:i w:val="0"/>
          <w:iCs w:val="0"/>
          <w:color w:val="auto"/>
          <w:sz w:val="24"/>
          <w:szCs w:val="24"/>
          <w:highlight w:val="none"/>
          <w:lang w:eastAsia="zh-CN"/>
        </w:rPr>
        <w:t>二、</w:t>
      </w:r>
      <w:r>
        <w:rPr>
          <w:rFonts w:hint="eastAsia" w:ascii="宋体" w:hAnsi="宋体"/>
          <w:bCs/>
          <w:i w:val="0"/>
          <w:iCs w:val="0"/>
          <w:color w:val="auto"/>
          <w:sz w:val="24"/>
          <w:szCs w:val="24"/>
          <w:highlight w:val="none"/>
        </w:rPr>
        <w:t>我方愿意提供</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在招标文件中要求的文件、资料。</w:t>
      </w:r>
    </w:p>
    <w:p w14:paraId="472BF136">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三、</w:t>
      </w:r>
      <w:r>
        <w:rPr>
          <w:rFonts w:hint="eastAsia" w:ascii="宋体" w:hAnsi="宋体"/>
          <w:bCs/>
          <w:i w:val="0"/>
          <w:iCs w:val="0"/>
          <w:color w:val="auto"/>
          <w:sz w:val="24"/>
          <w:szCs w:val="24"/>
          <w:highlight w:val="none"/>
        </w:rPr>
        <w:t>我方同意按招标文件中的规定，从规定的开标日期起遵循本投标文件，并在规定的投标有效期期满之前均具有约束力。</w:t>
      </w:r>
    </w:p>
    <w:p w14:paraId="69F85A59">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四、</w:t>
      </w:r>
      <w:r>
        <w:rPr>
          <w:rFonts w:hint="eastAsia" w:ascii="宋体" w:hAnsi="宋体"/>
          <w:bCs/>
          <w:i w:val="0"/>
          <w:iCs w:val="0"/>
          <w:color w:val="auto"/>
          <w:sz w:val="24"/>
          <w:szCs w:val="24"/>
          <w:highlight w:val="none"/>
        </w:rPr>
        <w:t>如果我方的投标文件被接受，我方将履行招标文件中规定的每一项要求，按期、按质、按量，完成交货任务。</w:t>
      </w:r>
    </w:p>
    <w:p w14:paraId="1328568B">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五、</w:t>
      </w:r>
      <w:r>
        <w:rPr>
          <w:rFonts w:hint="eastAsia" w:ascii="宋体" w:hAnsi="宋体"/>
          <w:bCs/>
          <w:i w:val="0"/>
          <w:iCs w:val="0"/>
          <w:color w:val="auto"/>
          <w:sz w:val="24"/>
          <w:szCs w:val="24"/>
          <w:highlight w:val="none"/>
        </w:rPr>
        <w:t>我方完全同意招标文件规定的决定中标者的方式。</w:t>
      </w:r>
    </w:p>
    <w:p w14:paraId="3453455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六、</w:t>
      </w:r>
      <w:r>
        <w:rPr>
          <w:rFonts w:hint="eastAsia" w:ascii="宋体" w:hAnsi="宋体"/>
          <w:bCs/>
          <w:i w:val="0"/>
          <w:iCs w:val="0"/>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i w:val="0"/>
          <w:iCs w:val="0"/>
          <w:color w:val="auto"/>
          <w:sz w:val="24"/>
          <w:szCs w:val="24"/>
          <w:highlight w:val="none"/>
        </w:rPr>
        <w:t>和</w:t>
      </w:r>
      <w:r>
        <w:rPr>
          <w:rFonts w:hint="eastAsia" w:ascii="宋体" w:hAnsi="宋体"/>
          <w:bCs/>
          <w:i w:val="0"/>
          <w:iCs w:val="0"/>
          <w:color w:val="auto"/>
          <w:sz w:val="24"/>
          <w:szCs w:val="24"/>
          <w:highlight w:val="none"/>
        </w:rPr>
        <w:t>合同条款履行自己的全部责任。</w:t>
      </w:r>
    </w:p>
    <w:p w14:paraId="4D705C4A">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七、</w:t>
      </w:r>
      <w:r>
        <w:rPr>
          <w:rFonts w:hint="eastAsia" w:ascii="宋体" w:hAnsi="宋体"/>
          <w:bCs/>
          <w:i w:val="0"/>
          <w:iCs w:val="0"/>
          <w:color w:val="auto"/>
          <w:sz w:val="24"/>
          <w:szCs w:val="24"/>
          <w:highlight w:val="none"/>
        </w:rPr>
        <w:t>我方认可并遵守招标文件的所有规定，放弃对招标文件提出质疑的权利。</w:t>
      </w:r>
    </w:p>
    <w:p w14:paraId="2962AF81">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八、</w:t>
      </w:r>
      <w:r>
        <w:rPr>
          <w:rFonts w:hint="eastAsia" w:ascii="宋体" w:hAnsi="宋体"/>
          <w:bCs/>
          <w:i w:val="0"/>
          <w:iCs w:val="0"/>
          <w:color w:val="auto"/>
          <w:sz w:val="24"/>
          <w:szCs w:val="24"/>
          <w:highlight w:val="none"/>
        </w:rPr>
        <w:t>如我方在投标截止期后撤回投标及中标后拒绝遵守投标承诺或拒绝在规定的时间内与采购人签订合同，则接受政府采购监督管理部门的处理。</w:t>
      </w:r>
    </w:p>
    <w:p w14:paraId="4DF7439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九、</w:t>
      </w:r>
      <w:r>
        <w:rPr>
          <w:rFonts w:hint="eastAsia" w:ascii="宋体" w:hAnsi="宋体"/>
          <w:bCs/>
          <w:i w:val="0"/>
          <w:iCs w:val="0"/>
          <w:color w:val="auto"/>
          <w:sz w:val="24"/>
          <w:szCs w:val="24"/>
          <w:highlight w:val="none"/>
        </w:rPr>
        <w:t>如果我方被确定为中标供应商，我方愿意</w:t>
      </w:r>
      <w:r>
        <w:rPr>
          <w:rFonts w:hint="eastAsia" w:ascii="宋体" w:hAnsi="宋体"/>
          <w:i w:val="0"/>
          <w:iCs w:val="0"/>
          <w:color w:val="auto"/>
          <w:sz w:val="24"/>
          <w:szCs w:val="24"/>
          <w:highlight w:val="none"/>
        </w:rPr>
        <w:t>向</w:t>
      </w:r>
      <w:r>
        <w:rPr>
          <w:rFonts w:hint="eastAsia" w:ascii="宋体" w:hAnsi="宋体"/>
          <w:bCs/>
          <w:i w:val="0"/>
          <w:iCs w:val="0"/>
          <w:color w:val="auto"/>
          <w:sz w:val="24"/>
          <w:szCs w:val="24"/>
          <w:highlight w:val="none"/>
        </w:rPr>
        <w:t>采购人交纳履约保证金。且我方如无不可抗力，又未履行招标文件、投标文件和合同条款的，一经查实，我方愿意赔偿由此而造成的一切损失，并同意接受按招标文件的相关要求对我方进行的处理。</w:t>
      </w:r>
    </w:p>
    <w:p w14:paraId="072F4983">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十、</w:t>
      </w:r>
      <w:r>
        <w:rPr>
          <w:rFonts w:hint="eastAsia" w:ascii="宋体" w:hAnsi="宋体"/>
          <w:bCs/>
          <w:i w:val="0"/>
          <w:iCs w:val="0"/>
          <w:color w:val="auto"/>
          <w:sz w:val="24"/>
          <w:szCs w:val="24"/>
          <w:highlight w:val="none"/>
        </w:rPr>
        <w:t>我方决不提供虚假材料谋取中标、决不采取不正当手段诋毁、排挤其他供应商、决不与采购人、其它供应商或者</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恶意串通、决不向采购人、</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19D0A0AF">
      <w:pPr>
        <w:spacing w:line="400" w:lineRule="exact"/>
        <w:ind w:firstLine="720"/>
        <w:rPr>
          <w:rFonts w:ascii="宋体"/>
          <w:bCs/>
          <w:i w:val="0"/>
          <w:iCs w:val="0"/>
          <w:color w:val="auto"/>
          <w:sz w:val="24"/>
          <w:szCs w:val="24"/>
          <w:highlight w:val="none"/>
        </w:rPr>
      </w:pPr>
    </w:p>
    <w:p w14:paraId="5C0345F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电话：</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 xml:space="preserve"> ；传真：</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；邮编：</w:t>
      </w:r>
      <w:r>
        <w:rPr>
          <w:rFonts w:hint="eastAsia" w:ascii="宋体" w:hAnsi="宋体"/>
          <w:bCs/>
          <w:i w:val="0"/>
          <w:iCs w:val="0"/>
          <w:color w:val="auto"/>
          <w:sz w:val="24"/>
          <w:szCs w:val="24"/>
          <w:highlight w:val="none"/>
          <w:u w:val="single"/>
        </w:rPr>
        <w:t xml:space="preserve">               </w:t>
      </w:r>
    </w:p>
    <w:p w14:paraId="0188C96E">
      <w:pPr>
        <w:spacing w:line="400" w:lineRule="exact"/>
        <w:ind w:firstLine="480"/>
        <w:rPr>
          <w:rFonts w:hint="eastAsia" w:ascii="宋体" w:hAnsi="宋体"/>
          <w:bCs/>
          <w:i w:val="0"/>
          <w:iCs w:val="0"/>
          <w:color w:val="auto"/>
          <w:sz w:val="24"/>
          <w:szCs w:val="24"/>
          <w:highlight w:val="none"/>
          <w:u w:val="single"/>
        </w:rPr>
      </w:pPr>
      <w:r>
        <w:rPr>
          <w:rFonts w:hint="eastAsia" w:ascii="宋体" w:hAnsi="宋体"/>
          <w:bCs/>
          <w:i w:val="0"/>
          <w:iCs w:val="0"/>
          <w:color w:val="auto"/>
          <w:sz w:val="24"/>
          <w:szCs w:val="24"/>
          <w:highlight w:val="none"/>
        </w:rPr>
        <w:t>通讯地址：</w:t>
      </w:r>
      <w:r>
        <w:rPr>
          <w:rFonts w:hint="eastAsia" w:ascii="宋体" w:hAnsi="宋体"/>
          <w:bCs/>
          <w:i w:val="0"/>
          <w:iCs w:val="0"/>
          <w:color w:val="auto"/>
          <w:sz w:val="24"/>
          <w:szCs w:val="24"/>
          <w:highlight w:val="none"/>
          <w:u w:val="single"/>
        </w:rPr>
        <w:t xml:space="preserve">                                                        </w:t>
      </w:r>
    </w:p>
    <w:p w14:paraId="6FB619CD">
      <w:pPr>
        <w:spacing w:line="400" w:lineRule="exact"/>
        <w:ind w:firstLine="480"/>
        <w:rPr>
          <w:rFonts w:ascii="宋体" w:hAnsi="宋体"/>
          <w:bCs/>
          <w:i w:val="0"/>
          <w:iCs w:val="0"/>
          <w:color w:val="auto"/>
          <w:sz w:val="24"/>
          <w:szCs w:val="24"/>
          <w:highlight w:val="none"/>
        </w:rPr>
      </w:pPr>
    </w:p>
    <w:p w14:paraId="42878873">
      <w:pPr>
        <w:spacing w:line="46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p w14:paraId="33713121">
      <w:pPr>
        <w:spacing w:line="360" w:lineRule="auto"/>
        <w:rPr>
          <w:rFonts w:hint="eastAsia"/>
          <w:b/>
          <w:i w:val="0"/>
          <w:iCs w:val="0"/>
          <w:color w:val="auto"/>
          <w:sz w:val="30"/>
          <w:szCs w:val="30"/>
          <w:highlight w:val="none"/>
        </w:rPr>
      </w:pPr>
    </w:p>
    <w:p w14:paraId="03504969">
      <w:pPr>
        <w:spacing w:line="360" w:lineRule="auto"/>
        <w:rPr>
          <w:rFonts w:hint="eastAsia"/>
          <w:b/>
          <w:i w:val="0"/>
          <w:iCs w:val="0"/>
          <w:color w:val="auto"/>
          <w:sz w:val="30"/>
          <w:szCs w:val="30"/>
          <w:highlight w:val="none"/>
        </w:rPr>
      </w:pPr>
    </w:p>
    <w:p w14:paraId="09497EA9">
      <w:pPr>
        <w:spacing w:line="360" w:lineRule="auto"/>
        <w:rPr>
          <w:rFonts w:hint="eastAsia"/>
          <w:b/>
          <w:i w:val="0"/>
          <w:iCs w:val="0"/>
          <w:color w:val="auto"/>
          <w:sz w:val="30"/>
          <w:szCs w:val="30"/>
          <w:highlight w:val="none"/>
        </w:rPr>
      </w:pPr>
    </w:p>
    <w:p w14:paraId="4A8A37AB">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八</w:t>
      </w:r>
      <w:r>
        <w:rPr>
          <w:rFonts w:hint="eastAsia"/>
          <w:b/>
          <w:i w:val="0"/>
          <w:iCs w:val="0"/>
          <w:color w:val="auto"/>
          <w:sz w:val="30"/>
          <w:szCs w:val="30"/>
          <w:highlight w:val="none"/>
        </w:rPr>
        <w:t>、承诺书（给定格式）：</w:t>
      </w:r>
    </w:p>
    <w:p w14:paraId="1F4A5A64">
      <w:pPr>
        <w:ind w:firstLine="602"/>
        <w:outlineLvl w:val="0"/>
        <w:rPr>
          <w:rFonts w:hint="eastAsia"/>
          <w:b/>
          <w:i w:val="0"/>
          <w:iCs w:val="0"/>
          <w:color w:val="auto"/>
          <w:sz w:val="30"/>
          <w:szCs w:val="30"/>
          <w:highlight w:val="none"/>
        </w:rPr>
      </w:pPr>
    </w:p>
    <w:p w14:paraId="34B379F1">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承诺书</w:t>
      </w:r>
    </w:p>
    <w:p w14:paraId="51C971B4">
      <w:pPr>
        <w:spacing w:line="480" w:lineRule="auto"/>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u w:val="single"/>
        </w:rPr>
        <w:t xml:space="preserve">                   </w:t>
      </w:r>
      <w:r>
        <w:rPr>
          <w:rFonts w:hint="eastAsia" w:ascii="宋体" w:hAnsi="宋体"/>
          <w:i w:val="0"/>
          <w:iCs w:val="0"/>
          <w:color w:val="auto"/>
          <w:sz w:val="24"/>
          <w:szCs w:val="24"/>
          <w:highlight w:val="none"/>
        </w:rPr>
        <w:t>（投标人名称）针</w:t>
      </w:r>
      <w:r>
        <w:rPr>
          <w:rFonts w:hint="eastAsia" w:ascii="宋体" w:hAnsi="宋体"/>
          <w:bCs/>
          <w:i w:val="0"/>
          <w:iCs w:val="0"/>
          <w:color w:val="auto"/>
          <w:sz w:val="24"/>
          <w:szCs w:val="24"/>
          <w:highlight w:val="none"/>
        </w:rPr>
        <w:t>对本项目</w:t>
      </w:r>
      <w:r>
        <w:rPr>
          <w:rFonts w:hint="eastAsia" w:ascii="黑体" w:eastAsia="黑体" w:cs="Times New Roman"/>
          <w:bCs/>
          <w:i w:val="0"/>
          <w:iCs w:val="0"/>
          <w:color w:val="auto"/>
          <w:sz w:val="24"/>
          <w:szCs w:val="24"/>
          <w:highlight w:val="none"/>
          <w:lang w:eastAsia="zh-CN"/>
        </w:rPr>
        <w:t>JSZC-320206-JZCG-G2026-0015</w:t>
      </w:r>
      <w:r>
        <w:rPr>
          <w:rFonts w:hint="eastAsia" w:ascii="宋体" w:hAnsi="宋体"/>
          <w:i w:val="0"/>
          <w:iCs w:val="0"/>
          <w:color w:val="auto"/>
          <w:sz w:val="24"/>
          <w:szCs w:val="24"/>
          <w:highlight w:val="none"/>
        </w:rPr>
        <w:t>在此对服务保障做如下承诺：</w:t>
      </w:r>
    </w:p>
    <w:p w14:paraId="290AABD9">
      <w:pPr>
        <w:spacing w:line="480" w:lineRule="auto"/>
        <w:ind w:firstLine="480"/>
        <w:rPr>
          <w:rFonts w:ascii="宋体"/>
          <w:bCs/>
          <w:i w:val="0"/>
          <w:iCs w:val="0"/>
          <w:color w:val="auto"/>
          <w:sz w:val="24"/>
          <w:szCs w:val="24"/>
          <w:highlight w:val="none"/>
          <w:u w:val="none"/>
        </w:rPr>
      </w:pPr>
      <w:r>
        <w:rPr>
          <w:rFonts w:ascii="宋体" w:hAnsi="宋体"/>
          <w:i w:val="0"/>
          <w:iCs w:val="0"/>
          <w:color w:val="auto"/>
          <w:sz w:val="24"/>
          <w:szCs w:val="24"/>
          <w:highlight w:val="none"/>
          <w:u w:val="none"/>
        </w:rPr>
        <w:t>1</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对本项目所提供的货物均为原厂全新合格品；</w:t>
      </w:r>
    </w:p>
    <w:p w14:paraId="5D5CFD55">
      <w:pPr>
        <w:spacing w:line="480" w:lineRule="auto"/>
        <w:ind w:firstLine="480"/>
        <w:rPr>
          <w:rFonts w:hint="eastAsia" w:ascii="宋体" w:hAnsi="宋体"/>
          <w:bCs/>
          <w:i w:val="0"/>
          <w:iCs w:val="0"/>
          <w:color w:val="auto"/>
          <w:sz w:val="24"/>
          <w:szCs w:val="24"/>
          <w:highlight w:val="none"/>
          <w:u w:val="none"/>
        </w:rPr>
      </w:pPr>
      <w:r>
        <w:rPr>
          <w:rFonts w:ascii="宋体" w:hAnsi="宋体"/>
          <w:bCs/>
          <w:i w:val="0"/>
          <w:iCs w:val="0"/>
          <w:color w:val="auto"/>
          <w:sz w:val="24"/>
          <w:szCs w:val="24"/>
          <w:highlight w:val="none"/>
          <w:u w:val="none"/>
        </w:rPr>
        <w:t>2</w:t>
      </w:r>
      <w:r>
        <w:rPr>
          <w:rFonts w:hint="eastAsia" w:ascii="宋体" w:hAnsi="宋体"/>
          <w:bCs/>
          <w:i w:val="0"/>
          <w:iCs w:val="0"/>
          <w:color w:val="auto"/>
          <w:sz w:val="24"/>
          <w:szCs w:val="24"/>
          <w:highlight w:val="none"/>
          <w:u w:val="none"/>
        </w:rPr>
        <w:t>．</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具备履行合同所必需的设备和专业技术能力；</w:t>
      </w:r>
    </w:p>
    <w:p w14:paraId="7230689D">
      <w:pPr>
        <w:spacing w:line="480" w:lineRule="auto"/>
        <w:ind w:firstLine="480"/>
        <w:rPr>
          <w:rFonts w:hint="eastAsia" w:ascii="宋体" w:hAnsi="宋体"/>
          <w:i w:val="0"/>
          <w:iCs w:val="0"/>
          <w:color w:val="auto"/>
          <w:sz w:val="24"/>
          <w:szCs w:val="24"/>
          <w:highlight w:val="none"/>
          <w:u w:val="none"/>
        </w:rPr>
      </w:pPr>
      <w:r>
        <w:rPr>
          <w:rFonts w:hint="eastAsia" w:ascii="宋体" w:hAnsi="宋体"/>
          <w:bCs/>
          <w:i w:val="0"/>
          <w:iCs w:val="0"/>
          <w:color w:val="auto"/>
          <w:sz w:val="24"/>
          <w:szCs w:val="24"/>
          <w:highlight w:val="none"/>
          <w:u w:val="none"/>
        </w:rPr>
        <w:t>3.</w:t>
      </w:r>
      <w:r>
        <w:rPr>
          <w:rFonts w:hint="eastAsia" w:ascii="宋体"/>
          <w:bCs/>
          <w:i w:val="0"/>
          <w:iCs w:val="0"/>
          <w:color w:val="auto"/>
          <w:szCs w:val="21"/>
          <w:highlight w:val="none"/>
          <w:u w:val="none"/>
        </w:rPr>
        <w:t xml:space="preserve"> </w:t>
      </w:r>
      <w:r>
        <w:rPr>
          <w:rFonts w:hint="eastAsia" w:ascii="宋体" w:hAnsi="宋体"/>
          <w:i w:val="0"/>
          <w:iCs w:val="0"/>
          <w:color w:val="auto"/>
          <w:sz w:val="24"/>
          <w:szCs w:val="24"/>
          <w:highlight w:val="none"/>
          <w:u w:val="none"/>
        </w:rPr>
        <w:t>本公司未被“</w:t>
      </w:r>
      <w:r>
        <w:rPr>
          <w:rFonts w:hint="eastAsia" w:ascii="宋体" w:hAnsi="宋体"/>
          <w:bCs/>
          <w:i w:val="0"/>
          <w:iCs w:val="0"/>
          <w:color w:val="auto"/>
          <w:sz w:val="24"/>
          <w:szCs w:val="24"/>
          <w:highlight w:val="none"/>
          <w:u w:val="none"/>
        </w:rPr>
        <w:t>信用中国</w:t>
      </w:r>
      <w:r>
        <w:rPr>
          <w:rFonts w:hint="eastAsia" w:ascii="宋体" w:hAnsi="宋体"/>
          <w:i w:val="0"/>
          <w:iCs w:val="0"/>
          <w:color w:val="auto"/>
          <w:sz w:val="24"/>
          <w:szCs w:val="24"/>
          <w:highlight w:val="none"/>
          <w:u w:val="none"/>
        </w:rPr>
        <w:t>”</w:t>
      </w:r>
      <w:r>
        <w:rPr>
          <w:rFonts w:hint="eastAsia" w:ascii="宋体" w:hAnsi="宋体"/>
          <w:bCs/>
          <w:i w:val="0"/>
          <w:iCs w:val="0"/>
          <w:color w:val="auto"/>
          <w:sz w:val="24"/>
          <w:szCs w:val="24"/>
          <w:highlight w:val="none"/>
          <w:u w:val="none"/>
        </w:rPr>
        <w:t>网站（www.creditchina.gov.cn）</w:t>
      </w:r>
      <w:r>
        <w:rPr>
          <w:rFonts w:hint="eastAsia" w:ascii="宋体" w:hAnsi="宋体"/>
          <w:i w:val="0"/>
          <w:iCs w:val="0"/>
          <w:color w:val="auto"/>
          <w:sz w:val="24"/>
          <w:szCs w:val="24"/>
          <w:highlight w:val="none"/>
          <w:u w:val="none"/>
        </w:rPr>
        <w:t>列入失信被执行人、重大税收违法案件当事人名单、政府采购严重违法失信行为记录名单。</w:t>
      </w:r>
    </w:p>
    <w:p w14:paraId="23ADCA5A">
      <w:pPr>
        <w:spacing w:line="360" w:lineRule="auto"/>
        <w:ind w:firstLine="480"/>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4、</w:t>
      </w:r>
    </w:p>
    <w:p w14:paraId="26A5BCE6">
      <w:pPr>
        <w:spacing w:line="360" w:lineRule="auto"/>
        <w:ind w:firstLine="480"/>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5、</w:t>
      </w:r>
    </w:p>
    <w:p w14:paraId="3730F71C">
      <w:pPr>
        <w:tabs>
          <w:tab w:val="left" w:pos="945"/>
        </w:tabs>
        <w:spacing w:line="360" w:lineRule="auto"/>
        <w:ind w:firstLine="465"/>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6、</w:t>
      </w:r>
    </w:p>
    <w:p w14:paraId="220C9B32">
      <w:pPr>
        <w:spacing w:line="480" w:lineRule="auto"/>
        <w:ind w:firstLine="960"/>
        <w:rPr>
          <w:rFonts w:hint="eastAsia" w:ascii="宋体" w:hAnsi="宋体"/>
          <w:bCs/>
          <w:i w:val="0"/>
          <w:iCs w:val="0"/>
          <w:color w:val="auto"/>
          <w:sz w:val="24"/>
          <w:szCs w:val="24"/>
          <w:highlight w:val="none"/>
        </w:rPr>
      </w:pPr>
      <w:r>
        <w:rPr>
          <w:rFonts w:ascii="宋体" w:hAnsi="宋体"/>
          <w:bCs/>
          <w:i w:val="0"/>
          <w:iCs w:val="0"/>
          <w:color w:val="auto"/>
          <w:sz w:val="24"/>
          <w:szCs w:val="24"/>
          <w:highlight w:val="none"/>
        </w:rPr>
        <w:t>…………………</w:t>
      </w:r>
    </w:p>
    <w:p w14:paraId="13801CAD">
      <w:pPr>
        <w:spacing w:line="480" w:lineRule="auto"/>
        <w:ind w:firstLine="480"/>
        <w:rPr>
          <w:rFonts w:hint="eastAsia" w:ascii="宋体" w:hAnsi="宋体"/>
          <w:i w:val="0"/>
          <w:iCs w:val="0"/>
          <w:color w:val="auto"/>
          <w:sz w:val="24"/>
          <w:szCs w:val="24"/>
          <w:highlight w:val="none"/>
          <w:u w:val="none"/>
        </w:rPr>
      </w:pPr>
    </w:p>
    <w:p w14:paraId="64D235DC">
      <w:pPr>
        <w:spacing w:line="480" w:lineRule="auto"/>
        <w:ind w:firstLine="96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u w:val="none"/>
        </w:rPr>
        <w:t>如违背上述承诺，本公司</w:t>
      </w:r>
      <w:r>
        <w:rPr>
          <w:rFonts w:hint="eastAsia" w:ascii="宋体" w:hAnsi="宋体"/>
          <w:i w:val="0"/>
          <w:iCs w:val="0"/>
          <w:color w:val="auto"/>
          <w:sz w:val="24"/>
          <w:szCs w:val="24"/>
          <w:highlight w:val="none"/>
          <w:u w:val="none"/>
        </w:rPr>
        <w:t>（单位）</w:t>
      </w:r>
      <w:r>
        <w:rPr>
          <w:rFonts w:hint="eastAsia" w:ascii="宋体" w:hAnsi="宋体"/>
          <w:bCs/>
          <w:i w:val="0"/>
          <w:iCs w:val="0"/>
          <w:color w:val="auto"/>
          <w:sz w:val="24"/>
          <w:szCs w:val="24"/>
          <w:highlight w:val="none"/>
          <w:u w:val="none"/>
        </w:rPr>
        <w:t>将承担一切法律责任。</w:t>
      </w:r>
      <w:r>
        <w:rPr>
          <w:rFonts w:hint="eastAsia" w:ascii="宋体" w:hAnsi="宋体"/>
          <w:bCs/>
          <w:i w:val="0"/>
          <w:iCs w:val="0"/>
          <w:color w:val="auto"/>
          <w:sz w:val="24"/>
          <w:szCs w:val="24"/>
          <w:highlight w:val="none"/>
        </w:rPr>
        <w:t>如违背上述承诺，本公司</w:t>
      </w:r>
      <w:r>
        <w:rPr>
          <w:rFonts w:hint="eastAsia" w:ascii="宋体" w:hAnsi="宋体"/>
          <w:i w:val="0"/>
          <w:iCs w:val="0"/>
          <w:color w:val="auto"/>
          <w:sz w:val="24"/>
          <w:szCs w:val="24"/>
          <w:highlight w:val="none"/>
        </w:rPr>
        <w:t>（单位）</w:t>
      </w:r>
      <w:r>
        <w:rPr>
          <w:rFonts w:hint="eastAsia" w:ascii="宋体" w:hAnsi="宋体"/>
          <w:bCs/>
          <w:i w:val="0"/>
          <w:iCs w:val="0"/>
          <w:color w:val="auto"/>
          <w:sz w:val="24"/>
          <w:szCs w:val="24"/>
          <w:highlight w:val="none"/>
        </w:rPr>
        <w:t>将承担一切法律责任。</w:t>
      </w:r>
    </w:p>
    <w:p w14:paraId="3D9DB347">
      <w:pPr>
        <w:spacing w:line="480" w:lineRule="auto"/>
        <w:rPr>
          <w:rFonts w:hint="eastAsia" w:ascii="宋体" w:hAnsi="宋体"/>
          <w:bCs/>
          <w:i w:val="0"/>
          <w:iCs w:val="0"/>
          <w:color w:val="auto"/>
          <w:sz w:val="24"/>
          <w:szCs w:val="24"/>
          <w:highlight w:val="none"/>
        </w:rPr>
      </w:pPr>
    </w:p>
    <w:p w14:paraId="4263D324">
      <w:pPr>
        <w:spacing w:line="480" w:lineRule="auto"/>
        <w:ind w:firstLine="372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投标人名称</w:t>
      </w:r>
      <w:r>
        <w:rPr>
          <w:rFonts w:hint="eastAsia" w:ascii="宋体" w:hAnsi="宋体"/>
          <w:bCs/>
          <w:i w:val="0"/>
          <w:iCs w:val="0"/>
          <w:color w:val="auto"/>
          <w:sz w:val="24"/>
          <w:szCs w:val="24"/>
          <w:highlight w:val="none"/>
        </w:rPr>
        <w:t>（盖章）：</w:t>
      </w:r>
    </w:p>
    <w:p w14:paraId="4544107D">
      <w:pPr>
        <w:spacing w:line="480" w:lineRule="auto"/>
        <w:ind w:firstLine="480"/>
        <w:rPr>
          <w:rFonts w:hint="eastAsia" w:ascii="宋体" w:hAnsi="宋体"/>
          <w:bCs/>
          <w:i w:val="0"/>
          <w:iCs w:val="0"/>
          <w:color w:val="auto"/>
          <w:sz w:val="24"/>
          <w:szCs w:val="24"/>
          <w:highlight w:val="none"/>
        </w:rPr>
      </w:pPr>
    </w:p>
    <w:p w14:paraId="413A4151">
      <w:pPr>
        <w:spacing w:line="480" w:lineRule="auto"/>
        <w:ind w:firstLine="420"/>
        <w:rPr>
          <w:rFonts w:ascii="宋体"/>
          <w:bCs/>
          <w:i w:val="0"/>
          <w:iCs w:val="0"/>
          <w:color w:val="auto"/>
          <w:sz w:val="24"/>
          <w:szCs w:val="24"/>
          <w:highlight w:val="none"/>
        </w:rPr>
      </w:pPr>
      <w:r>
        <w:rPr>
          <w:rFonts w:hint="eastAsia" w:ascii="宋体" w:hAnsi="宋体"/>
          <w:bCs/>
          <w:i w:val="0"/>
          <w:iCs w:val="0"/>
          <w:color w:val="auto"/>
          <w:highlight w:val="none"/>
        </w:rPr>
        <w:t>（注：以上内容由投标单位根据采购要求自行完善。）</w:t>
      </w:r>
    </w:p>
    <w:p w14:paraId="3AA49FC3">
      <w:pPr>
        <w:spacing w:line="480" w:lineRule="auto"/>
        <w:ind w:firstLine="480"/>
        <w:rPr>
          <w:rFonts w:ascii="宋体"/>
          <w:bCs/>
          <w:i w:val="0"/>
          <w:iCs w:val="0"/>
          <w:color w:val="auto"/>
          <w:sz w:val="24"/>
          <w:szCs w:val="24"/>
          <w:highlight w:val="none"/>
          <w:u w:val="none"/>
        </w:rPr>
      </w:pPr>
    </w:p>
    <w:p w14:paraId="45621758">
      <w:pPr>
        <w:spacing w:line="480" w:lineRule="auto"/>
        <w:ind w:firstLine="480"/>
        <w:rPr>
          <w:rFonts w:ascii="宋体"/>
          <w:bCs/>
          <w:i w:val="0"/>
          <w:iCs w:val="0"/>
          <w:color w:val="auto"/>
          <w:sz w:val="24"/>
          <w:szCs w:val="24"/>
          <w:highlight w:val="none"/>
          <w:u w:val="none"/>
        </w:rPr>
      </w:pPr>
    </w:p>
    <w:p w14:paraId="17CA5A85">
      <w:pPr>
        <w:spacing w:line="480" w:lineRule="auto"/>
        <w:ind w:firstLine="480"/>
        <w:rPr>
          <w:rFonts w:ascii="宋体"/>
          <w:bCs/>
          <w:i w:val="0"/>
          <w:iCs w:val="0"/>
          <w:color w:val="auto"/>
          <w:sz w:val="24"/>
          <w:szCs w:val="24"/>
          <w:highlight w:val="none"/>
          <w:u w:val="none"/>
        </w:rPr>
      </w:pPr>
    </w:p>
    <w:p w14:paraId="670B52DD">
      <w:pPr>
        <w:spacing w:line="480" w:lineRule="auto"/>
        <w:rPr>
          <w:rFonts w:hint="eastAsia" w:ascii="宋体" w:hAnsi="宋体"/>
          <w:i w:val="0"/>
          <w:iCs w:val="0"/>
          <w:color w:val="auto"/>
          <w:sz w:val="24"/>
          <w:szCs w:val="24"/>
          <w:highlight w:val="none"/>
        </w:rPr>
      </w:pPr>
    </w:p>
    <w:p w14:paraId="5C0F02E9">
      <w:pPr>
        <w:spacing w:line="480" w:lineRule="auto"/>
        <w:rPr>
          <w:rFonts w:hint="eastAsia" w:ascii="宋体" w:hAnsi="宋体"/>
          <w:i w:val="0"/>
          <w:iCs w:val="0"/>
          <w:color w:val="auto"/>
          <w:sz w:val="24"/>
          <w:szCs w:val="24"/>
          <w:highlight w:val="none"/>
        </w:rPr>
      </w:pPr>
    </w:p>
    <w:p w14:paraId="61A352A1">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九</w:t>
      </w:r>
      <w:r>
        <w:rPr>
          <w:rFonts w:hint="eastAsia"/>
          <w:b/>
          <w:i w:val="0"/>
          <w:iCs w:val="0"/>
          <w:color w:val="auto"/>
          <w:sz w:val="30"/>
          <w:szCs w:val="30"/>
          <w:highlight w:val="none"/>
        </w:rPr>
        <w:t>、开标一览表（给定格式）：</w:t>
      </w:r>
    </w:p>
    <w:p w14:paraId="2A1EDD8E">
      <w:pPr>
        <w:spacing w:line="440" w:lineRule="exact"/>
        <w:ind w:firstLine="482"/>
        <w:rPr>
          <w:rFonts w:hint="eastAsia" w:ascii="Arial" w:hAnsi="Arial"/>
          <w:b/>
          <w:i w:val="0"/>
          <w:iCs w:val="0"/>
          <w:color w:val="auto"/>
          <w:sz w:val="24"/>
          <w:highlight w:val="none"/>
        </w:rPr>
      </w:pPr>
    </w:p>
    <w:p w14:paraId="7957FD7E">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开标一览表</w:t>
      </w:r>
    </w:p>
    <w:p w14:paraId="557D1DB0">
      <w:pPr>
        <w:jc w:val="center"/>
        <w:outlineLvl w:val="0"/>
        <w:rPr>
          <w:rFonts w:ascii="黑体" w:eastAsia="黑体"/>
          <w:bCs/>
          <w:i w:val="0"/>
          <w:iCs w:val="0"/>
          <w:color w:val="auto"/>
          <w:sz w:val="28"/>
          <w:szCs w:val="28"/>
          <w:highlight w:val="none"/>
        </w:rPr>
      </w:pPr>
    </w:p>
    <w:p w14:paraId="55873DA3">
      <w:pPr>
        <w:spacing w:line="360" w:lineRule="auto"/>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 xml:space="preserve"> 项目编号：</w:t>
      </w:r>
      <w:r>
        <w:rPr>
          <w:rFonts w:hint="eastAsia" w:ascii="黑体" w:eastAsia="黑体" w:cs="Times New Roman"/>
          <w:bCs/>
          <w:i w:val="0"/>
          <w:iCs w:val="0"/>
          <w:color w:val="auto"/>
          <w:sz w:val="24"/>
          <w:szCs w:val="24"/>
          <w:highlight w:val="none"/>
          <w:lang w:eastAsia="zh-CN"/>
        </w:rPr>
        <w:t>JSZC-320206-JZCG-G2026-0015</w:t>
      </w:r>
    </w:p>
    <w:tbl>
      <w:tblPr>
        <w:tblStyle w:val="31"/>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4D1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14FFBEF4">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项目名称</w:t>
            </w:r>
          </w:p>
        </w:tc>
        <w:tc>
          <w:tcPr>
            <w:tcW w:w="3188" w:type="dxa"/>
            <w:noWrap w:val="0"/>
            <w:vAlign w:val="center"/>
          </w:tcPr>
          <w:p w14:paraId="0794C8B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投标总报价</w:t>
            </w:r>
            <w:r>
              <w:rPr>
                <w:rFonts w:ascii="宋体" w:hAnsi="宋体"/>
                <w:b/>
                <w:bCs/>
                <w:i w:val="0"/>
                <w:iCs w:val="0"/>
                <w:color w:val="auto"/>
                <w:sz w:val="24"/>
                <w:szCs w:val="24"/>
                <w:highlight w:val="none"/>
              </w:rPr>
              <w:t>(</w:t>
            </w:r>
            <w:r>
              <w:rPr>
                <w:rFonts w:hint="eastAsia" w:ascii="宋体" w:hAnsi="宋体"/>
                <w:b/>
                <w:bCs/>
                <w:i w:val="0"/>
                <w:iCs w:val="0"/>
                <w:color w:val="auto"/>
                <w:sz w:val="24"/>
                <w:szCs w:val="24"/>
                <w:highlight w:val="none"/>
              </w:rPr>
              <w:t>小写</w:t>
            </w:r>
            <w:r>
              <w:rPr>
                <w:rFonts w:ascii="宋体" w:hAnsi="宋体"/>
                <w:b/>
                <w:bCs/>
                <w:i w:val="0"/>
                <w:iCs w:val="0"/>
                <w:color w:val="auto"/>
                <w:sz w:val="24"/>
                <w:szCs w:val="24"/>
                <w:highlight w:val="none"/>
              </w:rPr>
              <w:t>)</w:t>
            </w:r>
          </w:p>
        </w:tc>
      </w:tr>
      <w:tr w14:paraId="213D9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715AB5BF">
            <w:pPr>
              <w:pStyle w:val="318"/>
              <w:spacing w:line="400" w:lineRule="exact"/>
              <w:jc w:val="center"/>
              <w:rPr>
                <w:rFonts w:hint="eastAsia" w:hAnsi="宋体" w:eastAsia="宋体"/>
                <w:bCs/>
                <w:i w:val="0"/>
                <w:iCs w:val="0"/>
                <w:color w:val="auto"/>
                <w:szCs w:val="24"/>
                <w:highlight w:val="none"/>
                <w:lang w:eastAsia="zh-CN"/>
              </w:rPr>
            </w:pPr>
            <w:r>
              <w:rPr>
                <w:rFonts w:hint="eastAsia" w:hAnsi="宋体"/>
                <w:bCs/>
                <w:i w:val="0"/>
                <w:iCs w:val="0"/>
                <w:color w:val="auto"/>
                <w:sz w:val="24"/>
                <w:szCs w:val="24"/>
                <w:highlight w:val="none"/>
                <w:lang w:eastAsia="zh-CN"/>
              </w:rPr>
              <w:t>无锡市惠山区人民医院网络安全设施建设项目</w:t>
            </w:r>
          </w:p>
        </w:tc>
        <w:tc>
          <w:tcPr>
            <w:tcW w:w="3188" w:type="dxa"/>
            <w:noWrap w:val="0"/>
            <w:vAlign w:val="center"/>
          </w:tcPr>
          <w:p w14:paraId="7EC0D965">
            <w:pPr>
              <w:pStyle w:val="318"/>
              <w:rPr>
                <w:rFonts w:hAnsi="宋体"/>
                <w:b/>
                <w:i w:val="0"/>
                <w:iCs w:val="0"/>
                <w:color w:val="auto"/>
                <w:szCs w:val="24"/>
                <w:highlight w:val="none"/>
              </w:rPr>
            </w:pPr>
          </w:p>
        </w:tc>
      </w:tr>
      <w:tr w14:paraId="384E3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26EDAC18">
            <w:pPr>
              <w:rPr>
                <w:rFonts w:ascii="宋体"/>
                <w:bCs/>
                <w:i w:val="0"/>
                <w:iCs w:val="0"/>
                <w:color w:val="auto"/>
                <w:sz w:val="24"/>
                <w:szCs w:val="24"/>
                <w:highlight w:val="none"/>
              </w:rPr>
            </w:pPr>
            <w:r>
              <w:rPr>
                <w:rFonts w:hint="eastAsia" w:ascii="黑体" w:eastAsia="黑体"/>
                <w:i w:val="0"/>
                <w:iCs w:val="0"/>
                <w:color w:val="auto"/>
                <w:sz w:val="24"/>
                <w:highlight w:val="none"/>
              </w:rPr>
              <w:t>投标总报价（大写）</w:t>
            </w:r>
            <w:r>
              <w:rPr>
                <w:rFonts w:hint="eastAsia" w:ascii="宋体" w:hAnsi="宋体"/>
                <w:bCs/>
                <w:i w:val="0"/>
                <w:iCs w:val="0"/>
                <w:color w:val="auto"/>
                <w:sz w:val="24"/>
                <w:szCs w:val="24"/>
                <w:highlight w:val="none"/>
              </w:rPr>
              <w:t>：　　　</w:t>
            </w:r>
          </w:p>
        </w:tc>
      </w:tr>
    </w:tbl>
    <w:p w14:paraId="6781C2CD">
      <w:pPr>
        <w:spacing w:line="400" w:lineRule="exac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2C815583">
      <w:pPr>
        <w:pageBreakBefore/>
        <w:numPr>
          <w:ilvl w:val="0"/>
          <w:numId w:val="0"/>
        </w:numPr>
        <w:outlineLvl w:val="0"/>
        <w:rPr>
          <w:rFonts w:hint="eastAsia"/>
          <w:b/>
          <w:i w:val="0"/>
          <w:iCs w:val="0"/>
          <w:color w:val="auto"/>
          <w:sz w:val="30"/>
          <w:szCs w:val="30"/>
          <w:highlight w:val="none"/>
        </w:rPr>
      </w:pPr>
      <w:r>
        <w:rPr>
          <w:rFonts w:hint="eastAsia" w:cs="Times New Roman"/>
          <w:b/>
          <w:i w:val="0"/>
          <w:iCs w:val="0"/>
          <w:color w:val="auto"/>
          <w:sz w:val="30"/>
          <w:szCs w:val="30"/>
          <w:lang w:val="en-US" w:eastAsia="zh-CN" w:bidi="ar-SA"/>
        </w:rPr>
        <w:t>十</w:t>
      </w:r>
      <w:r>
        <w:rPr>
          <w:rFonts w:hint="eastAsia" w:ascii="Times New Roman" w:hAnsi="Times New Roman" w:eastAsia="宋体" w:cs="Times New Roman"/>
          <w:b/>
          <w:i w:val="0"/>
          <w:iCs w:val="0"/>
          <w:color w:val="auto"/>
          <w:sz w:val="30"/>
          <w:szCs w:val="30"/>
          <w:lang w:val="en-US" w:eastAsia="zh-CN" w:bidi="ar-SA"/>
        </w:rPr>
        <w:t>、</w:t>
      </w:r>
      <w:r>
        <w:rPr>
          <w:rFonts w:hint="eastAsia"/>
          <w:b/>
          <w:i w:val="0"/>
          <w:iCs w:val="0"/>
          <w:color w:val="auto"/>
          <w:sz w:val="30"/>
          <w:szCs w:val="30"/>
          <w:highlight w:val="none"/>
        </w:rPr>
        <w:t>分项</w:t>
      </w:r>
      <w:r>
        <w:rPr>
          <w:b/>
          <w:i w:val="0"/>
          <w:iCs w:val="0"/>
          <w:color w:val="auto"/>
          <w:sz w:val="30"/>
          <w:szCs w:val="30"/>
          <w:highlight w:val="none"/>
        </w:rPr>
        <w:t>报价表</w:t>
      </w:r>
      <w:r>
        <w:rPr>
          <w:rFonts w:hint="eastAsia"/>
          <w:b/>
          <w:i w:val="0"/>
          <w:iCs w:val="0"/>
          <w:color w:val="auto"/>
          <w:sz w:val="30"/>
          <w:szCs w:val="30"/>
          <w:highlight w:val="none"/>
        </w:rPr>
        <w:t>（给定格式）：</w:t>
      </w:r>
    </w:p>
    <w:p w14:paraId="4BC5574F">
      <w:pPr>
        <w:spacing w:line="400" w:lineRule="exact"/>
        <w:jc w:val="center"/>
        <w:outlineLvl w:val="0"/>
        <w:rPr>
          <w:rFonts w:ascii="黑体" w:eastAsia="黑体"/>
          <w:bCs/>
          <w:i w:val="0"/>
          <w:iCs w:val="0"/>
          <w:color w:val="auto"/>
          <w:sz w:val="28"/>
          <w:szCs w:val="28"/>
          <w:highlight w:val="none"/>
          <w:u w:val="none"/>
        </w:rPr>
      </w:pPr>
      <w:r>
        <w:rPr>
          <w:rFonts w:hint="eastAsia"/>
          <w:i w:val="0"/>
          <w:iCs w:val="0"/>
          <w:color w:val="auto"/>
          <w:sz w:val="21"/>
          <w:highlight w:val="none"/>
          <w:lang w:val="en-US" w:eastAsia="zh-CN" w:bidi="ar-SA"/>
        </w:rPr>
        <w:tab/>
      </w:r>
      <w:r>
        <w:rPr>
          <w:rFonts w:hint="eastAsia" w:ascii="黑体" w:eastAsia="黑体"/>
          <w:bCs/>
          <w:i w:val="0"/>
          <w:iCs w:val="0"/>
          <w:color w:val="auto"/>
          <w:sz w:val="28"/>
          <w:szCs w:val="28"/>
          <w:highlight w:val="none"/>
          <w:u w:val="none"/>
          <w:lang w:eastAsia="zh-CN"/>
        </w:rPr>
        <w:t>分项</w:t>
      </w:r>
      <w:r>
        <w:rPr>
          <w:rFonts w:hint="eastAsia" w:ascii="黑体" w:eastAsia="黑体"/>
          <w:bCs/>
          <w:i w:val="0"/>
          <w:iCs w:val="0"/>
          <w:color w:val="auto"/>
          <w:sz w:val="28"/>
          <w:szCs w:val="28"/>
          <w:highlight w:val="none"/>
          <w:u w:val="none"/>
        </w:rPr>
        <w:t>报价表</w:t>
      </w:r>
    </w:p>
    <w:p w14:paraId="3D83C03A">
      <w:pPr>
        <w:spacing w:line="400" w:lineRule="exact"/>
        <w:rPr>
          <w:rFonts w:hint="eastAsia" w:ascii="黑体" w:eastAsia="黑体"/>
          <w:bCs/>
          <w:i w:val="0"/>
          <w:iCs w:val="0"/>
          <w:color w:val="auto"/>
          <w:sz w:val="24"/>
          <w:szCs w:val="24"/>
          <w:highlight w:val="none"/>
          <w:u w:val="none"/>
          <w:lang w:eastAsia="zh-CN"/>
        </w:rPr>
      </w:pPr>
      <w:r>
        <w:rPr>
          <w:rFonts w:hint="eastAsia" w:ascii="黑体" w:eastAsia="黑体"/>
          <w:bCs/>
          <w:i w:val="0"/>
          <w:iCs w:val="0"/>
          <w:color w:val="auto"/>
          <w:sz w:val="24"/>
          <w:szCs w:val="24"/>
          <w:highlight w:val="none"/>
        </w:rPr>
        <w:t>项目编号：</w:t>
      </w:r>
      <w:r>
        <w:rPr>
          <w:rFonts w:hint="eastAsia" w:ascii="黑体" w:eastAsia="黑体" w:cs="Times New Roman"/>
          <w:bCs/>
          <w:i w:val="0"/>
          <w:iCs w:val="0"/>
          <w:color w:val="auto"/>
          <w:sz w:val="24"/>
          <w:szCs w:val="24"/>
          <w:highlight w:val="none"/>
          <w:lang w:eastAsia="zh-CN"/>
        </w:rPr>
        <w:t>JSZC-320206-JZCG-G2026-0015</w:t>
      </w:r>
    </w:p>
    <w:tbl>
      <w:tblPr>
        <w:tblStyle w:val="31"/>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210"/>
        <w:gridCol w:w="840"/>
        <w:gridCol w:w="945"/>
        <w:gridCol w:w="3045"/>
        <w:gridCol w:w="525"/>
        <w:gridCol w:w="630"/>
        <w:gridCol w:w="1287"/>
        <w:gridCol w:w="708"/>
        <w:gridCol w:w="567"/>
        <w:gridCol w:w="798"/>
      </w:tblGrid>
      <w:tr w14:paraId="3419A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trPr>
        <w:tc>
          <w:tcPr>
            <w:tcW w:w="420" w:type="dxa"/>
            <w:noWrap w:val="0"/>
            <w:tcMar>
              <w:top w:w="15" w:type="dxa"/>
              <w:left w:w="15" w:type="dxa"/>
              <w:bottom w:w="0" w:type="dxa"/>
              <w:right w:w="15" w:type="dxa"/>
            </w:tcMar>
            <w:vAlign w:val="center"/>
          </w:tcPr>
          <w:p w14:paraId="58AD46AB">
            <w:pPr>
              <w:spacing w:before="5"/>
              <w:jc w:val="center"/>
              <w:rPr>
                <w:i w:val="0"/>
                <w:iCs w:val="0"/>
                <w:color w:val="auto"/>
                <w:sz w:val="18"/>
                <w:highlight w:val="none"/>
                <w:u w:val="none"/>
              </w:rPr>
            </w:pPr>
            <w:r>
              <w:rPr>
                <w:rFonts w:hint="eastAsia"/>
                <w:i w:val="0"/>
                <w:iCs w:val="0"/>
                <w:color w:val="auto"/>
                <w:sz w:val="18"/>
                <w:highlight w:val="none"/>
                <w:u w:val="none"/>
              </w:rPr>
              <w:t>序号</w:t>
            </w:r>
          </w:p>
        </w:tc>
        <w:tc>
          <w:tcPr>
            <w:tcW w:w="1050" w:type="dxa"/>
            <w:gridSpan w:val="2"/>
            <w:noWrap w:val="0"/>
            <w:tcMar>
              <w:top w:w="15" w:type="dxa"/>
              <w:left w:w="15" w:type="dxa"/>
              <w:bottom w:w="0" w:type="dxa"/>
              <w:right w:w="15" w:type="dxa"/>
            </w:tcMar>
            <w:vAlign w:val="center"/>
          </w:tcPr>
          <w:p w14:paraId="6812E6FA">
            <w:pPr>
              <w:spacing w:before="5"/>
              <w:jc w:val="center"/>
              <w:rPr>
                <w:i w:val="0"/>
                <w:iCs w:val="0"/>
                <w:color w:val="auto"/>
                <w:sz w:val="18"/>
                <w:highlight w:val="none"/>
                <w:u w:val="none"/>
              </w:rPr>
            </w:pPr>
            <w:r>
              <w:rPr>
                <w:rFonts w:hint="eastAsia"/>
                <w:i w:val="0"/>
                <w:iCs w:val="0"/>
                <w:color w:val="auto"/>
                <w:sz w:val="18"/>
                <w:highlight w:val="none"/>
                <w:u w:val="none"/>
              </w:rPr>
              <w:t>名称</w:t>
            </w:r>
          </w:p>
        </w:tc>
        <w:tc>
          <w:tcPr>
            <w:tcW w:w="945" w:type="dxa"/>
            <w:noWrap w:val="0"/>
            <w:tcMar>
              <w:top w:w="15" w:type="dxa"/>
              <w:left w:w="15" w:type="dxa"/>
              <w:bottom w:w="0" w:type="dxa"/>
              <w:right w:w="15" w:type="dxa"/>
            </w:tcMar>
            <w:vAlign w:val="center"/>
          </w:tcPr>
          <w:p w14:paraId="2CCF88D9">
            <w:pPr>
              <w:spacing w:before="5"/>
              <w:jc w:val="center"/>
              <w:rPr>
                <w:i w:val="0"/>
                <w:iCs w:val="0"/>
                <w:color w:val="auto"/>
                <w:sz w:val="18"/>
                <w:highlight w:val="none"/>
                <w:u w:val="none"/>
              </w:rPr>
            </w:pPr>
            <w:r>
              <w:rPr>
                <w:rFonts w:hint="eastAsia"/>
                <w:i w:val="0"/>
                <w:iCs w:val="0"/>
                <w:color w:val="auto"/>
                <w:sz w:val="18"/>
                <w:highlight w:val="none"/>
                <w:u w:val="none"/>
              </w:rPr>
              <w:t>品牌型号</w:t>
            </w:r>
          </w:p>
        </w:tc>
        <w:tc>
          <w:tcPr>
            <w:tcW w:w="3045" w:type="dxa"/>
            <w:noWrap w:val="0"/>
            <w:tcMar>
              <w:top w:w="15" w:type="dxa"/>
              <w:left w:w="15" w:type="dxa"/>
              <w:bottom w:w="0" w:type="dxa"/>
              <w:right w:w="15" w:type="dxa"/>
            </w:tcMar>
            <w:vAlign w:val="center"/>
          </w:tcPr>
          <w:p w14:paraId="2DD48165">
            <w:pPr>
              <w:spacing w:before="5"/>
              <w:jc w:val="center"/>
              <w:rPr>
                <w:i w:val="0"/>
                <w:iCs w:val="0"/>
                <w:color w:val="auto"/>
                <w:sz w:val="18"/>
                <w:highlight w:val="none"/>
                <w:u w:val="none"/>
              </w:rPr>
            </w:pPr>
            <w:r>
              <w:rPr>
                <w:rFonts w:hint="eastAsia"/>
                <w:i w:val="0"/>
                <w:iCs w:val="0"/>
                <w:color w:val="auto"/>
                <w:sz w:val="18"/>
                <w:highlight w:val="none"/>
                <w:u w:val="none"/>
              </w:rPr>
              <w:t>性能指标</w:t>
            </w:r>
          </w:p>
        </w:tc>
        <w:tc>
          <w:tcPr>
            <w:tcW w:w="525" w:type="dxa"/>
            <w:noWrap w:val="0"/>
            <w:tcMar>
              <w:top w:w="15" w:type="dxa"/>
              <w:left w:w="15" w:type="dxa"/>
              <w:bottom w:w="0" w:type="dxa"/>
              <w:right w:w="15" w:type="dxa"/>
            </w:tcMar>
            <w:vAlign w:val="center"/>
          </w:tcPr>
          <w:p w14:paraId="33DEDC29">
            <w:pPr>
              <w:spacing w:before="5"/>
              <w:jc w:val="center"/>
              <w:rPr>
                <w:i w:val="0"/>
                <w:iCs w:val="0"/>
                <w:color w:val="auto"/>
                <w:sz w:val="18"/>
                <w:highlight w:val="none"/>
                <w:u w:val="none"/>
              </w:rPr>
            </w:pPr>
            <w:r>
              <w:rPr>
                <w:rFonts w:hint="eastAsia"/>
                <w:i w:val="0"/>
                <w:iCs w:val="0"/>
                <w:color w:val="auto"/>
                <w:sz w:val="18"/>
                <w:highlight w:val="none"/>
                <w:u w:val="none"/>
              </w:rPr>
              <w:t>数量</w:t>
            </w:r>
          </w:p>
        </w:tc>
        <w:tc>
          <w:tcPr>
            <w:tcW w:w="630" w:type="dxa"/>
            <w:noWrap w:val="0"/>
            <w:tcMar>
              <w:top w:w="15" w:type="dxa"/>
              <w:left w:w="15" w:type="dxa"/>
              <w:bottom w:w="0" w:type="dxa"/>
              <w:right w:w="15" w:type="dxa"/>
            </w:tcMar>
            <w:vAlign w:val="center"/>
          </w:tcPr>
          <w:p w14:paraId="0FF753C1">
            <w:pPr>
              <w:spacing w:before="5"/>
              <w:jc w:val="center"/>
              <w:rPr>
                <w:i w:val="0"/>
                <w:iCs w:val="0"/>
                <w:color w:val="auto"/>
                <w:sz w:val="18"/>
                <w:highlight w:val="none"/>
                <w:u w:val="none"/>
              </w:rPr>
            </w:pPr>
            <w:r>
              <w:rPr>
                <w:rFonts w:hint="eastAsia"/>
                <w:i w:val="0"/>
                <w:iCs w:val="0"/>
                <w:color w:val="auto"/>
                <w:sz w:val="18"/>
                <w:highlight w:val="none"/>
                <w:u w:val="none"/>
              </w:rPr>
              <w:t>产地</w:t>
            </w:r>
          </w:p>
        </w:tc>
        <w:tc>
          <w:tcPr>
            <w:tcW w:w="1287" w:type="dxa"/>
            <w:noWrap w:val="0"/>
            <w:vAlign w:val="center"/>
          </w:tcPr>
          <w:p w14:paraId="55D3DFAA">
            <w:pPr>
              <w:spacing w:before="5"/>
              <w:jc w:val="center"/>
              <w:rPr>
                <w:i w:val="0"/>
                <w:iCs w:val="0"/>
                <w:color w:val="auto"/>
                <w:sz w:val="18"/>
                <w:highlight w:val="none"/>
                <w:u w:val="none"/>
              </w:rPr>
            </w:pPr>
            <w:r>
              <w:rPr>
                <w:rFonts w:hint="eastAsia"/>
                <w:i w:val="0"/>
                <w:iCs w:val="0"/>
                <w:color w:val="auto"/>
                <w:sz w:val="18"/>
                <w:highlight w:val="none"/>
                <w:u w:val="none"/>
              </w:rPr>
              <w:t>是否属于</w:t>
            </w:r>
            <w:r>
              <w:rPr>
                <w:i w:val="0"/>
                <w:iCs w:val="0"/>
                <w:color w:val="auto"/>
                <w:sz w:val="18"/>
                <w:highlight w:val="none"/>
                <w:u w:val="none"/>
              </w:rPr>
              <w:t xml:space="preserve">     </w:t>
            </w:r>
            <w:r>
              <w:rPr>
                <w:rFonts w:hint="eastAsia"/>
                <w:i w:val="0"/>
                <w:iCs w:val="0"/>
                <w:color w:val="auto"/>
                <w:sz w:val="18"/>
                <w:highlight w:val="none"/>
                <w:u w:val="none"/>
              </w:rPr>
              <w:t>小、微型企业产品</w:t>
            </w:r>
          </w:p>
        </w:tc>
        <w:tc>
          <w:tcPr>
            <w:tcW w:w="708" w:type="dxa"/>
            <w:noWrap w:val="0"/>
            <w:tcMar>
              <w:top w:w="15" w:type="dxa"/>
              <w:left w:w="15" w:type="dxa"/>
              <w:bottom w:w="0" w:type="dxa"/>
              <w:right w:w="15" w:type="dxa"/>
            </w:tcMar>
            <w:vAlign w:val="center"/>
          </w:tcPr>
          <w:p w14:paraId="04122761">
            <w:pPr>
              <w:spacing w:before="5"/>
              <w:jc w:val="center"/>
              <w:rPr>
                <w:i w:val="0"/>
                <w:iCs w:val="0"/>
                <w:color w:val="auto"/>
                <w:sz w:val="18"/>
                <w:highlight w:val="none"/>
                <w:u w:val="none"/>
              </w:rPr>
            </w:pPr>
            <w:r>
              <w:rPr>
                <w:rFonts w:hint="eastAsia"/>
                <w:i w:val="0"/>
                <w:iCs w:val="0"/>
                <w:color w:val="auto"/>
                <w:sz w:val="18"/>
                <w:highlight w:val="none"/>
                <w:u w:val="none"/>
              </w:rPr>
              <w:t>质保期</w:t>
            </w:r>
          </w:p>
        </w:tc>
        <w:tc>
          <w:tcPr>
            <w:tcW w:w="567" w:type="dxa"/>
            <w:noWrap w:val="0"/>
            <w:vAlign w:val="center"/>
          </w:tcPr>
          <w:p w14:paraId="499635D4">
            <w:pPr>
              <w:spacing w:before="5"/>
              <w:jc w:val="center"/>
              <w:rPr>
                <w:i w:val="0"/>
                <w:iCs w:val="0"/>
                <w:color w:val="auto"/>
                <w:sz w:val="18"/>
                <w:highlight w:val="none"/>
                <w:u w:val="none"/>
              </w:rPr>
            </w:pPr>
            <w:r>
              <w:rPr>
                <w:rFonts w:hint="eastAsia"/>
                <w:i w:val="0"/>
                <w:iCs w:val="0"/>
                <w:color w:val="auto"/>
                <w:sz w:val="18"/>
                <w:highlight w:val="none"/>
                <w:u w:val="none"/>
              </w:rPr>
              <w:t>单报价</w:t>
            </w:r>
          </w:p>
        </w:tc>
        <w:tc>
          <w:tcPr>
            <w:tcW w:w="798" w:type="dxa"/>
            <w:noWrap w:val="0"/>
            <w:vAlign w:val="center"/>
          </w:tcPr>
          <w:p w14:paraId="0A8971D7">
            <w:pPr>
              <w:spacing w:before="5"/>
              <w:jc w:val="center"/>
              <w:rPr>
                <w:i w:val="0"/>
                <w:iCs w:val="0"/>
                <w:color w:val="auto"/>
                <w:sz w:val="18"/>
                <w:highlight w:val="none"/>
                <w:u w:val="none"/>
              </w:rPr>
            </w:pPr>
            <w:r>
              <w:rPr>
                <w:rFonts w:hint="eastAsia"/>
                <w:i w:val="0"/>
                <w:iCs w:val="0"/>
                <w:color w:val="auto"/>
                <w:sz w:val="18"/>
                <w:highlight w:val="none"/>
                <w:u w:val="none"/>
              </w:rPr>
              <w:t>分项</w:t>
            </w:r>
            <w:r>
              <w:rPr>
                <w:i w:val="0"/>
                <w:iCs w:val="0"/>
                <w:color w:val="auto"/>
                <w:sz w:val="18"/>
                <w:highlight w:val="none"/>
                <w:u w:val="none"/>
              </w:rPr>
              <w:t xml:space="preserve">   </w:t>
            </w:r>
            <w:r>
              <w:rPr>
                <w:rFonts w:hint="eastAsia"/>
                <w:i w:val="0"/>
                <w:iCs w:val="0"/>
                <w:color w:val="auto"/>
                <w:sz w:val="18"/>
                <w:highlight w:val="none"/>
                <w:u w:val="none"/>
              </w:rPr>
              <w:t>总报价</w:t>
            </w:r>
          </w:p>
        </w:tc>
      </w:tr>
      <w:tr w14:paraId="5422F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trPr>
        <w:tc>
          <w:tcPr>
            <w:tcW w:w="420" w:type="dxa"/>
            <w:noWrap w:val="0"/>
            <w:tcMar>
              <w:top w:w="15" w:type="dxa"/>
              <w:left w:w="15" w:type="dxa"/>
              <w:bottom w:w="0" w:type="dxa"/>
              <w:right w:w="15" w:type="dxa"/>
            </w:tcMar>
            <w:vAlign w:val="center"/>
          </w:tcPr>
          <w:p w14:paraId="54C25707">
            <w:pPr>
              <w:pStyle w:val="216"/>
              <w:pBdr>
                <w:bottom w:val="none" w:color="000000" w:sz="0" w:space="0"/>
              </w:pBdr>
              <w:tabs>
                <w:tab w:val="clear" w:pos="4153"/>
                <w:tab w:val="clear" w:pos="8306"/>
              </w:tabs>
              <w:spacing w:before="5"/>
              <w:rPr>
                <w:rFonts w:ascii="宋体"/>
                <w:i w:val="0"/>
                <w:iCs w:val="0"/>
                <w:color w:val="auto"/>
                <w:szCs w:val="20"/>
                <w:highlight w:val="none"/>
                <w:u w:val="none"/>
                <w:lang w:val="en-US" w:eastAsia="zh-CN"/>
              </w:rPr>
            </w:pPr>
          </w:p>
        </w:tc>
        <w:tc>
          <w:tcPr>
            <w:tcW w:w="1050" w:type="dxa"/>
            <w:gridSpan w:val="2"/>
            <w:noWrap w:val="0"/>
            <w:tcMar>
              <w:top w:w="15" w:type="dxa"/>
              <w:left w:w="15" w:type="dxa"/>
              <w:bottom w:w="0" w:type="dxa"/>
              <w:right w:w="15" w:type="dxa"/>
            </w:tcMar>
            <w:vAlign w:val="center"/>
          </w:tcPr>
          <w:p w14:paraId="22CF60E7">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945" w:type="dxa"/>
            <w:noWrap w:val="0"/>
            <w:tcMar>
              <w:top w:w="15" w:type="dxa"/>
              <w:left w:w="15" w:type="dxa"/>
              <w:bottom w:w="0" w:type="dxa"/>
              <w:right w:w="15" w:type="dxa"/>
            </w:tcMar>
            <w:vAlign w:val="center"/>
          </w:tcPr>
          <w:p w14:paraId="6913CC4E">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3045" w:type="dxa"/>
            <w:noWrap w:val="0"/>
            <w:tcMar>
              <w:top w:w="15" w:type="dxa"/>
              <w:left w:w="15" w:type="dxa"/>
              <w:bottom w:w="0" w:type="dxa"/>
              <w:right w:w="15" w:type="dxa"/>
            </w:tcMar>
            <w:vAlign w:val="top"/>
          </w:tcPr>
          <w:p w14:paraId="4C2879F0">
            <w:pPr>
              <w:jc w:val="center"/>
              <w:rPr>
                <w:rFonts w:ascii="宋体"/>
                <w:bCs/>
                <w:i w:val="0"/>
                <w:iCs w:val="0"/>
                <w:color w:val="auto"/>
                <w:sz w:val="18"/>
                <w:highlight w:val="none"/>
                <w:u w:val="none"/>
              </w:rPr>
            </w:pPr>
          </w:p>
        </w:tc>
        <w:tc>
          <w:tcPr>
            <w:tcW w:w="525" w:type="dxa"/>
            <w:noWrap w:val="0"/>
            <w:tcMar>
              <w:top w:w="15" w:type="dxa"/>
              <w:left w:w="15" w:type="dxa"/>
              <w:bottom w:w="0" w:type="dxa"/>
              <w:right w:w="15" w:type="dxa"/>
            </w:tcMar>
            <w:vAlign w:val="center"/>
          </w:tcPr>
          <w:p w14:paraId="69A07DAF">
            <w:pPr>
              <w:jc w:val="center"/>
              <w:rPr>
                <w:rFonts w:ascii="宋体"/>
                <w:bCs/>
                <w:i w:val="0"/>
                <w:iCs w:val="0"/>
                <w:color w:val="auto"/>
                <w:sz w:val="18"/>
                <w:highlight w:val="none"/>
                <w:u w:val="none"/>
              </w:rPr>
            </w:pPr>
          </w:p>
        </w:tc>
        <w:tc>
          <w:tcPr>
            <w:tcW w:w="630" w:type="dxa"/>
            <w:noWrap w:val="0"/>
            <w:tcMar>
              <w:top w:w="15" w:type="dxa"/>
              <w:left w:w="15" w:type="dxa"/>
              <w:bottom w:w="0" w:type="dxa"/>
              <w:right w:w="15" w:type="dxa"/>
            </w:tcMar>
            <w:vAlign w:val="center"/>
          </w:tcPr>
          <w:p w14:paraId="6D7EC02F">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1287" w:type="dxa"/>
            <w:noWrap w:val="0"/>
            <w:vAlign w:val="center"/>
          </w:tcPr>
          <w:p w14:paraId="0CD8F4ED">
            <w:pPr>
              <w:jc w:val="center"/>
              <w:rPr>
                <w:rFonts w:ascii="黑体" w:hAnsi="宋体" w:eastAsia="黑体"/>
                <w:b/>
                <w:bCs/>
                <w:i w:val="0"/>
                <w:iCs w:val="0"/>
                <w:color w:val="auto"/>
                <w:sz w:val="24"/>
                <w:szCs w:val="24"/>
                <w:highlight w:val="none"/>
                <w:u w:val="none"/>
              </w:rPr>
            </w:pPr>
          </w:p>
        </w:tc>
        <w:tc>
          <w:tcPr>
            <w:tcW w:w="708" w:type="dxa"/>
            <w:noWrap w:val="0"/>
            <w:tcMar>
              <w:top w:w="15" w:type="dxa"/>
              <w:left w:w="15" w:type="dxa"/>
              <w:bottom w:w="0" w:type="dxa"/>
              <w:right w:w="15" w:type="dxa"/>
            </w:tcMar>
            <w:vAlign w:val="center"/>
          </w:tcPr>
          <w:p w14:paraId="3F455EAF">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567" w:type="dxa"/>
            <w:noWrap w:val="0"/>
            <w:vAlign w:val="center"/>
          </w:tcPr>
          <w:p w14:paraId="67D4B802">
            <w:pPr>
              <w:jc w:val="center"/>
              <w:rPr>
                <w:rFonts w:ascii="黑体" w:hAnsi="宋体" w:eastAsia="黑体"/>
                <w:b/>
                <w:bCs/>
                <w:i w:val="0"/>
                <w:iCs w:val="0"/>
                <w:color w:val="auto"/>
                <w:sz w:val="24"/>
                <w:szCs w:val="24"/>
                <w:highlight w:val="none"/>
                <w:u w:val="none"/>
              </w:rPr>
            </w:pPr>
          </w:p>
        </w:tc>
        <w:tc>
          <w:tcPr>
            <w:tcW w:w="798" w:type="dxa"/>
            <w:noWrap w:val="0"/>
            <w:vAlign w:val="center"/>
          </w:tcPr>
          <w:p w14:paraId="7B8015AA">
            <w:pPr>
              <w:jc w:val="center"/>
              <w:rPr>
                <w:rFonts w:ascii="黑体" w:hAnsi="宋体" w:eastAsia="黑体"/>
                <w:b/>
                <w:bCs/>
                <w:i w:val="0"/>
                <w:iCs w:val="0"/>
                <w:color w:val="auto"/>
                <w:sz w:val="24"/>
                <w:szCs w:val="24"/>
                <w:highlight w:val="none"/>
                <w:u w:val="none"/>
              </w:rPr>
            </w:pPr>
          </w:p>
        </w:tc>
      </w:tr>
      <w:tr w14:paraId="74EB1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trPr>
        <w:tc>
          <w:tcPr>
            <w:tcW w:w="420" w:type="dxa"/>
            <w:noWrap w:val="0"/>
            <w:tcMar>
              <w:top w:w="15" w:type="dxa"/>
              <w:left w:w="15" w:type="dxa"/>
              <w:bottom w:w="0" w:type="dxa"/>
              <w:right w:w="15" w:type="dxa"/>
            </w:tcMar>
            <w:vAlign w:val="center"/>
          </w:tcPr>
          <w:p w14:paraId="02FF22C4">
            <w:pPr>
              <w:jc w:val="center"/>
              <w:rPr>
                <w:rFonts w:ascii="宋体"/>
                <w:i w:val="0"/>
                <w:iCs w:val="0"/>
                <w:color w:val="auto"/>
                <w:sz w:val="18"/>
                <w:highlight w:val="none"/>
                <w:u w:val="none"/>
              </w:rPr>
            </w:pPr>
          </w:p>
        </w:tc>
        <w:tc>
          <w:tcPr>
            <w:tcW w:w="1050" w:type="dxa"/>
            <w:gridSpan w:val="2"/>
            <w:noWrap w:val="0"/>
            <w:tcMar>
              <w:top w:w="15" w:type="dxa"/>
              <w:left w:w="15" w:type="dxa"/>
              <w:bottom w:w="0" w:type="dxa"/>
              <w:right w:w="15" w:type="dxa"/>
            </w:tcMar>
            <w:vAlign w:val="center"/>
          </w:tcPr>
          <w:p w14:paraId="3F0029B8">
            <w:pPr>
              <w:jc w:val="center"/>
              <w:rPr>
                <w:rFonts w:ascii="宋体"/>
                <w:i w:val="0"/>
                <w:iCs w:val="0"/>
                <w:color w:val="auto"/>
                <w:highlight w:val="none"/>
                <w:u w:val="none"/>
              </w:rPr>
            </w:pPr>
          </w:p>
        </w:tc>
        <w:tc>
          <w:tcPr>
            <w:tcW w:w="945" w:type="dxa"/>
            <w:noWrap w:val="0"/>
            <w:tcMar>
              <w:top w:w="15" w:type="dxa"/>
              <w:left w:w="15" w:type="dxa"/>
              <w:bottom w:w="0" w:type="dxa"/>
              <w:right w:w="15" w:type="dxa"/>
            </w:tcMar>
            <w:vAlign w:val="center"/>
          </w:tcPr>
          <w:p w14:paraId="5A74C521">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3045" w:type="dxa"/>
            <w:noWrap w:val="0"/>
            <w:tcMar>
              <w:top w:w="15" w:type="dxa"/>
              <w:left w:w="15" w:type="dxa"/>
              <w:bottom w:w="0" w:type="dxa"/>
              <w:right w:w="15" w:type="dxa"/>
            </w:tcMar>
            <w:vAlign w:val="center"/>
          </w:tcPr>
          <w:p w14:paraId="07D65D0B">
            <w:pPr>
              <w:jc w:val="center"/>
              <w:rPr>
                <w:rFonts w:ascii="宋体"/>
                <w:bCs/>
                <w:i w:val="0"/>
                <w:iCs w:val="0"/>
                <w:color w:val="auto"/>
                <w:sz w:val="18"/>
                <w:highlight w:val="none"/>
                <w:u w:val="none"/>
              </w:rPr>
            </w:pPr>
          </w:p>
        </w:tc>
        <w:tc>
          <w:tcPr>
            <w:tcW w:w="525" w:type="dxa"/>
            <w:noWrap w:val="0"/>
            <w:tcMar>
              <w:top w:w="15" w:type="dxa"/>
              <w:left w:w="15" w:type="dxa"/>
              <w:bottom w:w="0" w:type="dxa"/>
              <w:right w:w="15" w:type="dxa"/>
            </w:tcMar>
            <w:vAlign w:val="center"/>
          </w:tcPr>
          <w:p w14:paraId="5584A905">
            <w:pPr>
              <w:jc w:val="center"/>
              <w:rPr>
                <w:rFonts w:ascii="宋体"/>
                <w:bCs/>
                <w:i w:val="0"/>
                <w:iCs w:val="0"/>
                <w:color w:val="auto"/>
                <w:sz w:val="18"/>
                <w:highlight w:val="none"/>
                <w:u w:val="none"/>
              </w:rPr>
            </w:pPr>
          </w:p>
        </w:tc>
        <w:tc>
          <w:tcPr>
            <w:tcW w:w="630" w:type="dxa"/>
            <w:noWrap w:val="0"/>
            <w:tcMar>
              <w:top w:w="15" w:type="dxa"/>
              <w:left w:w="15" w:type="dxa"/>
              <w:bottom w:w="0" w:type="dxa"/>
              <w:right w:w="15" w:type="dxa"/>
            </w:tcMar>
            <w:vAlign w:val="center"/>
          </w:tcPr>
          <w:p w14:paraId="5FFADC2E">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1287" w:type="dxa"/>
            <w:noWrap w:val="0"/>
            <w:vAlign w:val="center"/>
          </w:tcPr>
          <w:p w14:paraId="294B3E24">
            <w:pPr>
              <w:jc w:val="center"/>
              <w:rPr>
                <w:rFonts w:ascii="黑体" w:hAnsi="宋体" w:eastAsia="黑体"/>
                <w:b/>
                <w:bCs/>
                <w:i w:val="0"/>
                <w:iCs w:val="0"/>
                <w:color w:val="auto"/>
                <w:sz w:val="24"/>
                <w:szCs w:val="24"/>
                <w:highlight w:val="none"/>
                <w:u w:val="none"/>
              </w:rPr>
            </w:pPr>
          </w:p>
        </w:tc>
        <w:tc>
          <w:tcPr>
            <w:tcW w:w="708" w:type="dxa"/>
            <w:noWrap w:val="0"/>
            <w:tcMar>
              <w:top w:w="15" w:type="dxa"/>
              <w:left w:w="15" w:type="dxa"/>
              <w:bottom w:w="0" w:type="dxa"/>
              <w:right w:w="15" w:type="dxa"/>
            </w:tcMar>
            <w:vAlign w:val="center"/>
          </w:tcPr>
          <w:p w14:paraId="0ECE959D">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567" w:type="dxa"/>
            <w:noWrap w:val="0"/>
            <w:vAlign w:val="center"/>
          </w:tcPr>
          <w:p w14:paraId="78271E94">
            <w:pPr>
              <w:jc w:val="center"/>
              <w:rPr>
                <w:rFonts w:ascii="黑体" w:hAnsi="宋体" w:eastAsia="黑体"/>
                <w:b/>
                <w:bCs/>
                <w:i w:val="0"/>
                <w:iCs w:val="0"/>
                <w:color w:val="auto"/>
                <w:sz w:val="24"/>
                <w:szCs w:val="24"/>
                <w:highlight w:val="none"/>
                <w:u w:val="none"/>
              </w:rPr>
            </w:pPr>
          </w:p>
        </w:tc>
        <w:tc>
          <w:tcPr>
            <w:tcW w:w="798" w:type="dxa"/>
            <w:noWrap w:val="0"/>
            <w:vAlign w:val="center"/>
          </w:tcPr>
          <w:p w14:paraId="12E0514B">
            <w:pPr>
              <w:jc w:val="center"/>
              <w:rPr>
                <w:rFonts w:ascii="黑体" w:hAnsi="宋体" w:eastAsia="黑体"/>
                <w:b/>
                <w:bCs/>
                <w:i w:val="0"/>
                <w:iCs w:val="0"/>
                <w:color w:val="auto"/>
                <w:sz w:val="24"/>
                <w:szCs w:val="24"/>
                <w:highlight w:val="none"/>
                <w:u w:val="none"/>
              </w:rPr>
            </w:pPr>
          </w:p>
        </w:tc>
      </w:tr>
      <w:tr w14:paraId="20677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trPr>
        <w:tc>
          <w:tcPr>
            <w:tcW w:w="2415" w:type="dxa"/>
            <w:gridSpan w:val="4"/>
            <w:noWrap w:val="0"/>
            <w:tcMar>
              <w:top w:w="15" w:type="dxa"/>
              <w:left w:w="15" w:type="dxa"/>
              <w:bottom w:w="0" w:type="dxa"/>
              <w:right w:w="15" w:type="dxa"/>
            </w:tcMar>
            <w:vAlign w:val="center"/>
          </w:tcPr>
          <w:p w14:paraId="20C6ADCC">
            <w:pPr>
              <w:pStyle w:val="216"/>
              <w:pBdr>
                <w:bottom w:val="none" w:color="000000" w:sz="0" w:space="0"/>
              </w:pBdr>
              <w:tabs>
                <w:tab w:val="clear" w:pos="4153"/>
                <w:tab w:val="clear" w:pos="8306"/>
              </w:tabs>
              <w:rPr>
                <w:rFonts w:ascii="宋体"/>
                <w:b/>
                <w:bCs/>
                <w:i w:val="0"/>
                <w:iCs w:val="0"/>
                <w:color w:val="auto"/>
                <w:sz w:val="24"/>
                <w:szCs w:val="20"/>
                <w:highlight w:val="none"/>
                <w:u w:val="none"/>
                <w:lang w:val="en-US" w:eastAsia="zh-CN"/>
              </w:rPr>
            </w:pPr>
            <w:r>
              <w:rPr>
                <w:rFonts w:hint="eastAsia" w:ascii="宋体"/>
                <w:b/>
                <w:bCs/>
                <w:i w:val="0"/>
                <w:iCs w:val="0"/>
                <w:color w:val="auto"/>
                <w:sz w:val="24"/>
                <w:szCs w:val="20"/>
                <w:highlight w:val="none"/>
                <w:u w:val="none"/>
                <w:lang w:val="en-US" w:eastAsia="zh-CN"/>
              </w:rPr>
              <w:t>完工期/交货期</w:t>
            </w:r>
          </w:p>
        </w:tc>
        <w:tc>
          <w:tcPr>
            <w:tcW w:w="7560" w:type="dxa"/>
            <w:gridSpan w:val="7"/>
            <w:noWrap w:val="0"/>
            <w:tcMar>
              <w:top w:w="15" w:type="dxa"/>
              <w:left w:w="15" w:type="dxa"/>
              <w:bottom w:w="0" w:type="dxa"/>
              <w:right w:w="15" w:type="dxa"/>
            </w:tcMar>
            <w:vAlign w:val="center"/>
          </w:tcPr>
          <w:p w14:paraId="1DFC2F24">
            <w:pPr>
              <w:jc w:val="center"/>
              <w:rPr>
                <w:rFonts w:ascii="黑体" w:hAnsi="宋体" w:eastAsia="黑体"/>
                <w:b/>
                <w:bCs/>
                <w:i w:val="0"/>
                <w:iCs w:val="0"/>
                <w:color w:val="auto"/>
                <w:sz w:val="24"/>
                <w:szCs w:val="24"/>
                <w:highlight w:val="none"/>
                <w:u w:val="none"/>
              </w:rPr>
            </w:pPr>
            <w:r>
              <w:rPr>
                <w:rFonts w:hint="eastAsia" w:ascii="黑体" w:hAnsi="宋体" w:eastAsia="黑体"/>
                <w:b/>
                <w:bCs/>
                <w:i w:val="0"/>
                <w:iCs w:val="0"/>
                <w:color w:val="auto"/>
                <w:sz w:val="24"/>
                <w:szCs w:val="24"/>
                <w:highlight w:val="none"/>
                <w:u w:val="none"/>
              </w:rPr>
              <w:t>合同签订生效后的     日内完工。</w:t>
            </w:r>
          </w:p>
        </w:tc>
      </w:tr>
      <w:tr w14:paraId="7B73D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trPr>
        <w:tc>
          <w:tcPr>
            <w:tcW w:w="2415" w:type="dxa"/>
            <w:gridSpan w:val="4"/>
            <w:noWrap w:val="0"/>
            <w:tcMar>
              <w:top w:w="15" w:type="dxa"/>
              <w:left w:w="15" w:type="dxa"/>
              <w:bottom w:w="0" w:type="dxa"/>
              <w:right w:w="15" w:type="dxa"/>
            </w:tcMar>
            <w:vAlign w:val="center"/>
          </w:tcPr>
          <w:p w14:paraId="31795B64">
            <w:pPr>
              <w:pStyle w:val="216"/>
              <w:pBdr>
                <w:bottom w:val="none" w:color="000000" w:sz="0" w:space="0"/>
              </w:pBdr>
              <w:tabs>
                <w:tab w:val="clear" w:pos="4153"/>
                <w:tab w:val="clear" w:pos="8306"/>
              </w:tabs>
              <w:rPr>
                <w:rFonts w:ascii="宋体"/>
                <w:b/>
                <w:bCs/>
                <w:i w:val="0"/>
                <w:iCs w:val="0"/>
                <w:color w:val="auto"/>
                <w:sz w:val="24"/>
                <w:szCs w:val="20"/>
                <w:highlight w:val="none"/>
                <w:u w:val="none"/>
                <w:lang w:val="en-US" w:eastAsia="zh-CN"/>
              </w:rPr>
            </w:pPr>
            <w:r>
              <w:rPr>
                <w:rFonts w:hint="eastAsia" w:ascii="宋体"/>
                <w:b/>
                <w:bCs/>
                <w:i w:val="0"/>
                <w:iCs w:val="0"/>
                <w:color w:val="auto"/>
                <w:sz w:val="24"/>
                <w:szCs w:val="20"/>
                <w:highlight w:val="none"/>
                <w:u w:val="none"/>
                <w:lang w:val="en-US" w:eastAsia="zh-CN"/>
              </w:rPr>
              <w:t>项目整体免费质保期</w:t>
            </w:r>
          </w:p>
        </w:tc>
        <w:tc>
          <w:tcPr>
            <w:tcW w:w="7560" w:type="dxa"/>
            <w:gridSpan w:val="7"/>
            <w:noWrap w:val="0"/>
            <w:tcMar>
              <w:top w:w="15" w:type="dxa"/>
              <w:left w:w="15" w:type="dxa"/>
              <w:bottom w:w="0" w:type="dxa"/>
              <w:right w:w="15" w:type="dxa"/>
            </w:tcMar>
            <w:vAlign w:val="center"/>
          </w:tcPr>
          <w:p w14:paraId="58C4329A">
            <w:pPr>
              <w:jc w:val="left"/>
              <w:rPr>
                <w:rFonts w:ascii="黑体" w:hAnsi="宋体" w:eastAsia="黑体"/>
                <w:b/>
                <w:bCs/>
                <w:i w:val="0"/>
                <w:iCs w:val="0"/>
                <w:color w:val="auto"/>
                <w:sz w:val="24"/>
                <w:szCs w:val="24"/>
                <w:highlight w:val="none"/>
                <w:u w:val="none"/>
              </w:rPr>
            </w:pPr>
          </w:p>
        </w:tc>
      </w:tr>
      <w:tr w14:paraId="666AC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trPr>
        <w:tc>
          <w:tcPr>
            <w:tcW w:w="630" w:type="dxa"/>
            <w:gridSpan w:val="2"/>
            <w:vMerge w:val="restart"/>
            <w:noWrap w:val="0"/>
            <w:vAlign w:val="center"/>
          </w:tcPr>
          <w:p w14:paraId="3BB1157B">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服</w:t>
            </w:r>
          </w:p>
          <w:p w14:paraId="5B40C7A7">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务</w:t>
            </w:r>
          </w:p>
          <w:p w14:paraId="643D6152">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承</w:t>
            </w:r>
          </w:p>
          <w:p w14:paraId="427ED60C">
            <w:pPr>
              <w:pStyle w:val="223"/>
              <w:spacing w:line="400" w:lineRule="exact"/>
              <w:ind w:firstLine="120"/>
              <w:rPr>
                <w:rFonts w:ascii="宋体"/>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诺</w:t>
            </w:r>
          </w:p>
        </w:tc>
        <w:tc>
          <w:tcPr>
            <w:tcW w:w="9345" w:type="dxa"/>
            <w:gridSpan w:val="9"/>
            <w:noWrap w:val="0"/>
            <w:vAlign w:val="center"/>
          </w:tcPr>
          <w:p w14:paraId="0341964D">
            <w:pPr>
              <w:numPr>
                <w:ilvl w:val="0"/>
                <w:numId w:val="6"/>
              </w:numPr>
              <w:rPr>
                <w:rFonts w:ascii="宋体"/>
                <w:bCs/>
                <w:i w:val="0"/>
                <w:iCs w:val="0"/>
                <w:color w:val="auto"/>
                <w:sz w:val="24"/>
                <w:szCs w:val="24"/>
                <w:highlight w:val="none"/>
                <w:u w:val="none"/>
              </w:rPr>
            </w:pPr>
            <w:r>
              <w:rPr>
                <w:rFonts w:hint="eastAsia" w:ascii="宋体" w:hAnsi="宋体"/>
                <w:bCs/>
                <w:i w:val="0"/>
                <w:iCs w:val="0"/>
                <w:color w:val="auto"/>
                <w:sz w:val="24"/>
                <w:szCs w:val="24"/>
                <w:highlight w:val="none"/>
                <w:u w:val="none"/>
              </w:rPr>
              <w:t>质量</w:t>
            </w:r>
            <w:r>
              <w:rPr>
                <w:rFonts w:ascii="宋体" w:hAnsi="宋体"/>
                <w:bCs/>
                <w:i w:val="0"/>
                <w:iCs w:val="0"/>
                <w:color w:val="auto"/>
                <w:sz w:val="24"/>
                <w:szCs w:val="24"/>
                <w:highlight w:val="none"/>
                <w:u w:val="none"/>
              </w:rPr>
              <w:t xml:space="preserve"> 2.</w:t>
            </w:r>
            <w:r>
              <w:rPr>
                <w:rFonts w:hint="eastAsia" w:ascii="宋体" w:hAnsi="宋体"/>
                <w:bCs/>
                <w:i w:val="0"/>
                <w:iCs w:val="0"/>
                <w:color w:val="auto"/>
                <w:sz w:val="24"/>
                <w:szCs w:val="24"/>
                <w:highlight w:val="none"/>
                <w:u w:val="none"/>
              </w:rPr>
              <w:t>安装</w:t>
            </w:r>
            <w:r>
              <w:rPr>
                <w:rFonts w:ascii="宋体" w:hAnsi="宋体"/>
                <w:bCs/>
                <w:i w:val="0"/>
                <w:iCs w:val="0"/>
                <w:color w:val="auto"/>
                <w:sz w:val="24"/>
                <w:szCs w:val="24"/>
                <w:highlight w:val="none"/>
                <w:u w:val="none"/>
              </w:rPr>
              <w:t xml:space="preserve"> 3."</w:t>
            </w:r>
            <w:r>
              <w:rPr>
                <w:rFonts w:hint="eastAsia" w:ascii="宋体" w:hAnsi="宋体"/>
                <w:bCs/>
                <w:i w:val="0"/>
                <w:iCs w:val="0"/>
                <w:color w:val="auto"/>
                <w:sz w:val="24"/>
                <w:szCs w:val="24"/>
                <w:highlight w:val="none"/>
                <w:u w:val="none"/>
              </w:rPr>
              <w:t>三包</w:t>
            </w:r>
            <w:r>
              <w:rPr>
                <w:rFonts w:ascii="宋体" w:hAnsi="宋体"/>
                <w:bCs/>
                <w:i w:val="0"/>
                <w:iCs w:val="0"/>
                <w:color w:val="auto"/>
                <w:sz w:val="24"/>
                <w:szCs w:val="24"/>
                <w:highlight w:val="none"/>
                <w:u w:val="none"/>
              </w:rPr>
              <w:t>"(</w:t>
            </w:r>
            <w:r>
              <w:rPr>
                <w:rFonts w:hint="eastAsia" w:ascii="宋体" w:hAnsi="宋体"/>
                <w:bCs/>
                <w:i w:val="0"/>
                <w:iCs w:val="0"/>
                <w:color w:val="auto"/>
                <w:sz w:val="24"/>
                <w:szCs w:val="24"/>
                <w:highlight w:val="none"/>
                <w:u w:val="none"/>
              </w:rPr>
              <w:t>包修、包退、包换</w:t>
            </w:r>
            <w:r>
              <w:rPr>
                <w:rFonts w:ascii="宋体" w:hAnsi="宋体"/>
                <w:bCs/>
                <w:i w:val="0"/>
                <w:iCs w:val="0"/>
                <w:color w:val="auto"/>
                <w:sz w:val="24"/>
                <w:szCs w:val="24"/>
                <w:highlight w:val="none"/>
                <w:u w:val="none"/>
              </w:rPr>
              <w:t>)4</w:t>
            </w:r>
            <w:r>
              <w:rPr>
                <w:rFonts w:ascii="宋体"/>
                <w:bCs/>
                <w:i w:val="0"/>
                <w:iCs w:val="0"/>
                <w:color w:val="auto"/>
                <w:sz w:val="24"/>
                <w:szCs w:val="24"/>
                <w:highlight w:val="none"/>
                <w:u w:val="none"/>
              </w:rPr>
              <w:t>.</w:t>
            </w:r>
            <w:r>
              <w:rPr>
                <w:rFonts w:hint="eastAsia" w:ascii="宋体" w:hAnsi="宋体"/>
                <w:bCs/>
                <w:i w:val="0"/>
                <w:iCs w:val="0"/>
                <w:color w:val="auto"/>
                <w:sz w:val="24"/>
                <w:szCs w:val="24"/>
                <w:highlight w:val="none"/>
                <w:u w:val="none"/>
              </w:rPr>
              <w:t>其他承诺</w:t>
            </w:r>
          </w:p>
          <w:p w14:paraId="1A203A7E">
            <w:pPr>
              <w:rPr>
                <w:rFonts w:ascii="宋体"/>
                <w:bCs/>
                <w:i w:val="0"/>
                <w:iCs w:val="0"/>
                <w:color w:val="auto"/>
                <w:sz w:val="24"/>
                <w:szCs w:val="24"/>
                <w:highlight w:val="none"/>
                <w:u w:val="none"/>
              </w:rPr>
            </w:pPr>
            <w:r>
              <w:rPr>
                <w:rFonts w:hint="eastAsia" w:ascii="宋体" w:hAnsi="宋体"/>
                <w:bCs/>
                <w:i w:val="0"/>
                <w:iCs w:val="0"/>
                <w:color w:val="auto"/>
                <w:sz w:val="24"/>
                <w:szCs w:val="24"/>
                <w:highlight w:val="none"/>
                <w:u w:val="none"/>
              </w:rPr>
              <w:t>（以上是主要承诺，供投标人参考，投标人应在满足招标文件要求的基础上，根据自己单位的情况作出具体承诺）</w:t>
            </w:r>
          </w:p>
        </w:tc>
      </w:tr>
      <w:tr w14:paraId="32041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310" w:hRule="atLeast"/>
        </w:trPr>
        <w:tc>
          <w:tcPr>
            <w:tcW w:w="630" w:type="dxa"/>
            <w:gridSpan w:val="2"/>
            <w:vMerge w:val="continue"/>
            <w:noWrap w:val="0"/>
            <w:vAlign w:val="center"/>
          </w:tcPr>
          <w:p w14:paraId="5E0FE0CD">
            <w:pPr>
              <w:pStyle w:val="223"/>
              <w:spacing w:line="400" w:lineRule="exact"/>
              <w:rPr>
                <w:rFonts w:ascii="宋体"/>
                <w:bCs/>
                <w:i w:val="0"/>
                <w:iCs w:val="0"/>
                <w:color w:val="auto"/>
                <w:sz w:val="24"/>
                <w:szCs w:val="24"/>
                <w:highlight w:val="none"/>
                <w:u w:val="none"/>
                <w:lang w:val="en-US" w:eastAsia="zh-CN"/>
              </w:rPr>
            </w:pPr>
          </w:p>
        </w:tc>
        <w:tc>
          <w:tcPr>
            <w:tcW w:w="9345" w:type="dxa"/>
            <w:gridSpan w:val="9"/>
            <w:noWrap w:val="0"/>
            <w:vAlign w:val="center"/>
          </w:tcPr>
          <w:p w14:paraId="643843CF">
            <w:pPr>
              <w:rPr>
                <w:rFonts w:ascii="宋体"/>
                <w:bCs/>
                <w:i w:val="0"/>
                <w:iCs w:val="0"/>
                <w:color w:val="auto"/>
                <w:sz w:val="24"/>
                <w:szCs w:val="24"/>
                <w:highlight w:val="none"/>
                <w:u w:val="none"/>
              </w:rPr>
            </w:pPr>
          </w:p>
        </w:tc>
      </w:tr>
      <w:tr w14:paraId="7C89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88" w:hRule="atLeast"/>
        </w:trPr>
        <w:tc>
          <w:tcPr>
            <w:tcW w:w="9975" w:type="dxa"/>
            <w:gridSpan w:val="11"/>
            <w:noWrap w:val="0"/>
            <w:vAlign w:val="center"/>
          </w:tcPr>
          <w:p w14:paraId="0F5FF9BD">
            <w:pPr>
              <w:spacing w:line="400" w:lineRule="exact"/>
              <w:outlineLvl w:val="0"/>
              <w:rPr>
                <w:rFonts w:ascii="宋体"/>
                <w:bCs/>
                <w:i w:val="0"/>
                <w:iCs w:val="0"/>
                <w:color w:val="auto"/>
                <w:sz w:val="24"/>
                <w:szCs w:val="24"/>
                <w:highlight w:val="none"/>
                <w:u w:val="none"/>
              </w:rPr>
            </w:pPr>
            <w:r>
              <w:rPr>
                <w:rFonts w:hint="eastAsia" w:ascii="宋体" w:hAnsi="宋体"/>
                <w:bCs/>
                <w:color w:val="auto"/>
                <w:sz w:val="24"/>
                <w:szCs w:val="24"/>
                <w:highlight w:val="none"/>
              </w:rPr>
              <w:t>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w:t>
            </w:r>
          </w:p>
        </w:tc>
      </w:tr>
    </w:tbl>
    <w:p w14:paraId="0C9D9AC7">
      <w:pPr>
        <w:spacing w:before="5" w:line="560" w:lineRule="atLeast"/>
        <w:rPr>
          <w:b/>
          <w:bCs/>
          <w:i w:val="0"/>
          <w:iCs w:val="0"/>
          <w:color w:val="auto"/>
          <w:sz w:val="24"/>
          <w:szCs w:val="24"/>
          <w:highlight w:val="none"/>
          <w:u w:val="none"/>
        </w:rPr>
      </w:pPr>
      <w:r>
        <w:rPr>
          <w:rFonts w:hint="eastAsia"/>
          <w:b/>
          <w:bCs/>
          <w:i w:val="0"/>
          <w:iCs w:val="0"/>
          <w:color w:val="auto"/>
          <w:sz w:val="24"/>
          <w:szCs w:val="24"/>
          <w:highlight w:val="none"/>
          <w:u w:val="none"/>
        </w:rPr>
        <w:t>法定代表人或法定代表人授权代表签字或盖章：</w:t>
      </w:r>
    </w:p>
    <w:p w14:paraId="4A8A0E8D">
      <w:pPr>
        <w:spacing w:line="360" w:lineRule="exact"/>
        <w:outlineLvl w:val="0"/>
        <w:rPr>
          <w:rFonts w:ascii="宋体"/>
          <w:bCs/>
          <w:i w:val="0"/>
          <w:iCs w:val="0"/>
          <w:color w:val="auto"/>
          <w:szCs w:val="21"/>
          <w:highlight w:val="none"/>
          <w:u w:val="none"/>
        </w:rPr>
      </w:pPr>
      <w:r>
        <w:rPr>
          <w:rFonts w:hint="eastAsia" w:ascii="宋体" w:hAnsi="宋体"/>
          <w:b/>
          <w:i w:val="0"/>
          <w:iCs w:val="0"/>
          <w:color w:val="auto"/>
          <w:szCs w:val="21"/>
          <w:highlight w:val="none"/>
          <w:u w:val="none"/>
        </w:rPr>
        <w:t>注：</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1</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在“是否属于小、微型企业（或监狱企业、残疾人福利性单位）产品”栏内填写“是”或“否”。如填写“是”，</w:t>
      </w:r>
      <w:r>
        <w:rPr>
          <w:rFonts w:hint="eastAsia" w:ascii="宋体" w:hAnsi="宋体" w:cs="宋体"/>
          <w:i w:val="0"/>
          <w:iCs w:val="0"/>
          <w:color w:val="auto"/>
          <w:szCs w:val="21"/>
          <w:highlight w:val="none"/>
          <w:u w:val="none"/>
          <w:lang w:val="zh-CN"/>
        </w:rPr>
        <w:t xml:space="preserve"> 投标人本项目</w:t>
      </w:r>
      <w:r>
        <w:rPr>
          <w:rFonts w:ascii="宋体" w:hAnsi="宋体" w:cs="宋体"/>
          <w:i w:val="0"/>
          <w:iCs w:val="0"/>
          <w:color w:val="auto"/>
          <w:szCs w:val="21"/>
          <w:highlight w:val="none"/>
          <w:u w:val="none"/>
          <w:lang w:val="zh-CN"/>
        </w:rPr>
        <w:t>提供的货物全部由符合政策要求的中小企业制造</w:t>
      </w:r>
      <w:r>
        <w:rPr>
          <w:rFonts w:hint="eastAsia" w:ascii="宋体" w:hAnsi="宋体" w:cs="宋体"/>
          <w:i w:val="0"/>
          <w:iCs w:val="0"/>
          <w:color w:val="auto"/>
          <w:szCs w:val="21"/>
          <w:highlight w:val="none"/>
          <w:u w:val="none"/>
          <w:lang w:val="zh-CN"/>
        </w:rPr>
        <w:t>的，须提供按格式填写的《中小企业声明函》（货物）（《中小企业声明函》（货物）相应内容须与上表填列内容保持一致）；投标人本项目提供的</w:t>
      </w:r>
      <w:r>
        <w:rPr>
          <w:rFonts w:ascii="宋体" w:hAnsi="宋体" w:cs="宋体"/>
          <w:i w:val="0"/>
          <w:iCs w:val="0"/>
          <w:color w:val="auto"/>
          <w:szCs w:val="21"/>
          <w:highlight w:val="none"/>
          <w:u w:val="none"/>
          <w:lang w:val="zh-CN"/>
        </w:rPr>
        <w:t>服务全部由符合政策要求的中小企业承接</w:t>
      </w:r>
      <w:r>
        <w:rPr>
          <w:rFonts w:hint="eastAsia" w:ascii="宋体" w:hAnsi="宋体" w:cs="宋体"/>
          <w:i w:val="0"/>
          <w:iCs w:val="0"/>
          <w:color w:val="auto"/>
          <w:szCs w:val="21"/>
          <w:highlight w:val="none"/>
          <w:u w:val="none"/>
          <w:lang w:val="zh-CN"/>
        </w:rPr>
        <w:t>的，须提供按格式填写的《中小企业声明函》（服务）</w:t>
      </w:r>
      <w:r>
        <w:rPr>
          <w:rFonts w:ascii="宋体" w:hAnsi="宋体"/>
          <w:bCs/>
          <w:i w:val="0"/>
          <w:iCs w:val="0"/>
          <w:color w:val="auto"/>
          <w:szCs w:val="21"/>
          <w:highlight w:val="none"/>
          <w:u w:val="none"/>
        </w:rPr>
        <w:t>；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惠山区政府采购中心有权将相关内容进行公示。</w:t>
      </w:r>
    </w:p>
    <w:p w14:paraId="01A5C169">
      <w:pPr>
        <w:spacing w:line="360" w:lineRule="exact"/>
        <w:ind w:firstLine="315"/>
        <w:outlineLvl w:val="0"/>
        <w:rPr>
          <w:rFonts w:hint="eastAsia" w:ascii="宋体" w:hAnsi="宋体" w:eastAsia="宋体"/>
          <w:bCs/>
          <w:i w:val="0"/>
          <w:iCs w:val="0"/>
          <w:color w:val="auto"/>
          <w:szCs w:val="21"/>
          <w:highlight w:val="none"/>
          <w:u w:val="none"/>
          <w:lang w:eastAsia="zh-CN"/>
        </w:rPr>
      </w:pP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2</w:t>
      </w:r>
      <w:r>
        <w:rPr>
          <w:rFonts w:hint="eastAsia" w:ascii="宋体" w:hAnsi="宋体"/>
          <w:bCs/>
          <w:i w:val="0"/>
          <w:iCs w:val="0"/>
          <w:color w:val="auto"/>
          <w:szCs w:val="21"/>
          <w:highlight w:val="none"/>
          <w:u w:val="none"/>
        </w:rPr>
        <w:t>）投标人应当根据“项目技术要求和有关说明”的内容在上表中详细填写</w:t>
      </w:r>
      <w:r>
        <w:rPr>
          <w:rFonts w:hint="eastAsia" w:ascii="宋体" w:hAnsi="宋体"/>
          <w:bCs/>
          <w:i w:val="0"/>
          <w:iCs w:val="0"/>
          <w:color w:val="auto"/>
          <w:szCs w:val="21"/>
          <w:highlight w:val="none"/>
          <w:u w:val="none"/>
          <w:lang w:eastAsia="zh-CN"/>
        </w:rPr>
        <w:t>。</w:t>
      </w:r>
    </w:p>
    <w:p w14:paraId="7CC56196">
      <w:pPr>
        <w:spacing w:line="360" w:lineRule="exact"/>
        <w:ind w:firstLine="315"/>
        <w:outlineLvl w:val="0"/>
        <w:rPr>
          <w:rFonts w:hint="eastAsia" w:ascii="宋体" w:hAnsi="宋体" w:cs="Times New Roman"/>
          <w:bCs/>
          <w:i w:val="0"/>
          <w:iCs w:val="0"/>
          <w:color w:val="auto"/>
          <w:szCs w:val="21"/>
          <w:highlight w:val="none"/>
          <w:u w:val="none"/>
        </w:rPr>
      </w:pP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lang w:val="en-US" w:eastAsia="zh-CN"/>
        </w:rPr>
        <w:t>3</w:t>
      </w: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7EE0975">
      <w:pPr>
        <w:spacing w:line="360" w:lineRule="exact"/>
        <w:ind w:firstLine="315"/>
        <w:outlineLvl w:val="0"/>
        <w:rPr>
          <w:rFonts w:ascii="宋体" w:hAnsi="宋体"/>
          <w:bCs/>
          <w:i w:val="0"/>
          <w:iCs w:val="0"/>
          <w:color w:val="auto"/>
          <w:szCs w:val="21"/>
          <w:highlight w:val="none"/>
          <w:u w:val="none"/>
        </w:rPr>
      </w:pPr>
      <w:r>
        <w:rPr>
          <w:rFonts w:hint="eastAsia" w:ascii="宋体" w:hAnsi="宋体" w:cs="Times New Roman"/>
          <w:bCs/>
          <w:i w:val="0"/>
          <w:iCs w:val="0"/>
          <w:color w:val="auto"/>
          <w:szCs w:val="21"/>
          <w:highlight w:val="none"/>
          <w:u w:val="none"/>
        </w:rPr>
        <w:t>（</w:t>
      </w:r>
      <w:r>
        <w:rPr>
          <w:rFonts w:hint="eastAsia" w:ascii="宋体" w:hAnsi="宋体" w:cs="Times New Roman"/>
          <w:bCs/>
          <w:i w:val="0"/>
          <w:iCs w:val="0"/>
          <w:color w:val="auto"/>
          <w:szCs w:val="21"/>
          <w:highlight w:val="none"/>
          <w:u w:val="none"/>
          <w:lang w:val="en-US" w:eastAsia="zh-CN"/>
        </w:rPr>
        <w:t>4</w:t>
      </w:r>
      <w:r>
        <w:rPr>
          <w:rFonts w:hint="eastAsia" w:ascii="宋体" w:hAnsi="宋体" w:cs="Times New Roman"/>
          <w:bCs/>
          <w:i w:val="0"/>
          <w:iCs w:val="0"/>
          <w:color w:val="auto"/>
          <w:szCs w:val="21"/>
          <w:highlight w:val="none"/>
          <w:u w:val="none"/>
        </w:rPr>
        <w:t>）表格</w:t>
      </w:r>
      <w:r>
        <w:rPr>
          <w:rFonts w:hint="eastAsia" w:ascii="宋体" w:hAnsi="宋体"/>
          <w:bCs/>
          <w:i w:val="0"/>
          <w:iCs w:val="0"/>
          <w:color w:val="auto"/>
          <w:szCs w:val="21"/>
          <w:highlight w:val="none"/>
          <w:u w:val="none"/>
        </w:rPr>
        <w:t>不够可自行延长。</w:t>
      </w:r>
    </w:p>
    <w:p w14:paraId="698A087F">
      <w:pPr>
        <w:tabs>
          <w:tab w:val="left" w:pos="701"/>
        </w:tabs>
        <w:jc w:val="left"/>
        <w:rPr>
          <w:rFonts w:hint="eastAsia"/>
          <w:i w:val="0"/>
          <w:iCs w:val="0"/>
          <w:color w:val="auto"/>
          <w:sz w:val="21"/>
          <w:highlight w:val="none"/>
          <w:lang w:val="en-US" w:eastAsia="zh-CN" w:bidi="ar-SA"/>
        </w:rPr>
      </w:pPr>
    </w:p>
    <w:p w14:paraId="77FFC189">
      <w:pPr>
        <w:tabs>
          <w:tab w:val="left" w:pos="701"/>
        </w:tabs>
        <w:jc w:val="left"/>
        <w:rPr>
          <w:rFonts w:hint="eastAsia"/>
          <w:i w:val="0"/>
          <w:iCs w:val="0"/>
          <w:color w:val="auto"/>
          <w:sz w:val="21"/>
          <w:highlight w:val="none"/>
          <w:lang w:val="en-US" w:eastAsia="zh-CN" w:bidi="ar-SA"/>
        </w:rPr>
      </w:pPr>
    </w:p>
    <w:p w14:paraId="7D03C392">
      <w:pPr>
        <w:tabs>
          <w:tab w:val="left" w:pos="701"/>
        </w:tabs>
        <w:jc w:val="left"/>
        <w:rPr>
          <w:rFonts w:hint="eastAsia"/>
          <w:i w:val="0"/>
          <w:iCs w:val="0"/>
          <w:color w:val="auto"/>
          <w:sz w:val="21"/>
          <w:highlight w:val="none"/>
          <w:lang w:val="en-US" w:eastAsia="zh-CN" w:bidi="ar-SA"/>
        </w:rPr>
      </w:pPr>
    </w:p>
    <w:p w14:paraId="285E7241">
      <w:pPr>
        <w:tabs>
          <w:tab w:val="left" w:pos="701"/>
        </w:tabs>
        <w:jc w:val="left"/>
        <w:rPr>
          <w:rFonts w:hint="eastAsia"/>
          <w:i w:val="0"/>
          <w:iCs w:val="0"/>
          <w:color w:val="auto"/>
          <w:sz w:val="21"/>
          <w:highlight w:val="none"/>
          <w:lang w:val="en-US" w:eastAsia="zh-CN" w:bidi="ar-SA"/>
        </w:rPr>
      </w:pPr>
    </w:p>
    <w:p w14:paraId="770B735C">
      <w:pPr>
        <w:tabs>
          <w:tab w:val="left" w:pos="701"/>
        </w:tabs>
        <w:jc w:val="left"/>
        <w:rPr>
          <w:rFonts w:hint="eastAsia"/>
          <w:i w:val="0"/>
          <w:iCs w:val="0"/>
          <w:color w:val="auto"/>
          <w:sz w:val="21"/>
          <w:highlight w:val="none"/>
          <w:lang w:val="en-US" w:eastAsia="zh-CN" w:bidi="ar-SA"/>
        </w:rPr>
      </w:pPr>
    </w:p>
    <w:p w14:paraId="6DC22B5B">
      <w:pPr>
        <w:tabs>
          <w:tab w:val="left" w:pos="701"/>
        </w:tabs>
        <w:jc w:val="left"/>
        <w:rPr>
          <w:rFonts w:hint="eastAsia"/>
          <w:i w:val="0"/>
          <w:iCs w:val="0"/>
          <w:color w:val="auto"/>
          <w:sz w:val="21"/>
          <w:highlight w:val="none"/>
          <w:lang w:val="en-US" w:eastAsia="zh-CN" w:bidi="ar-SA"/>
        </w:rPr>
      </w:pPr>
    </w:p>
    <w:p w14:paraId="6F7DF116">
      <w:pPr>
        <w:tabs>
          <w:tab w:val="left" w:pos="701"/>
        </w:tabs>
        <w:jc w:val="left"/>
        <w:rPr>
          <w:rFonts w:hint="eastAsia"/>
          <w:i w:val="0"/>
          <w:iCs w:val="0"/>
          <w:color w:val="auto"/>
          <w:sz w:val="21"/>
          <w:highlight w:val="none"/>
          <w:lang w:val="en-US" w:eastAsia="zh-CN" w:bidi="ar-SA"/>
        </w:rPr>
      </w:pPr>
    </w:p>
    <w:p w14:paraId="62DED62F">
      <w:pPr>
        <w:tabs>
          <w:tab w:val="left" w:pos="701"/>
        </w:tabs>
        <w:jc w:val="left"/>
        <w:rPr>
          <w:rFonts w:hint="eastAsia"/>
          <w:i w:val="0"/>
          <w:iCs w:val="0"/>
          <w:color w:val="auto"/>
          <w:sz w:val="21"/>
          <w:highlight w:val="none"/>
          <w:lang w:val="en-US" w:eastAsia="zh-CN" w:bidi="ar-SA"/>
        </w:rPr>
      </w:pPr>
    </w:p>
    <w:p w14:paraId="54944FC2">
      <w:pPr>
        <w:tabs>
          <w:tab w:val="left" w:pos="701"/>
        </w:tabs>
        <w:jc w:val="left"/>
        <w:rPr>
          <w:rFonts w:hint="eastAsia"/>
          <w:i w:val="0"/>
          <w:iCs w:val="0"/>
          <w:color w:val="auto"/>
          <w:sz w:val="21"/>
          <w:highlight w:val="none"/>
          <w:lang w:val="en-US" w:eastAsia="zh-CN" w:bidi="ar-SA"/>
        </w:rPr>
      </w:pPr>
    </w:p>
    <w:p w14:paraId="014F4AAC">
      <w:pPr>
        <w:tabs>
          <w:tab w:val="left" w:pos="701"/>
        </w:tabs>
        <w:jc w:val="left"/>
        <w:rPr>
          <w:rFonts w:hint="eastAsia"/>
          <w:i w:val="0"/>
          <w:iCs w:val="0"/>
          <w:color w:val="auto"/>
          <w:sz w:val="21"/>
          <w:highlight w:val="none"/>
          <w:lang w:val="en-US" w:eastAsia="zh-CN" w:bidi="ar-SA"/>
        </w:rPr>
      </w:pPr>
    </w:p>
    <w:p w14:paraId="36E283A7">
      <w:pPr>
        <w:tabs>
          <w:tab w:val="left" w:pos="701"/>
        </w:tabs>
        <w:jc w:val="left"/>
        <w:rPr>
          <w:rFonts w:hint="eastAsia"/>
          <w:i w:val="0"/>
          <w:iCs w:val="0"/>
          <w:color w:val="auto"/>
          <w:sz w:val="21"/>
          <w:highlight w:val="none"/>
          <w:lang w:val="en-US" w:eastAsia="zh-CN" w:bidi="ar-SA"/>
        </w:rPr>
      </w:pPr>
    </w:p>
    <w:p w14:paraId="32CEBA57">
      <w:pPr>
        <w:tabs>
          <w:tab w:val="left" w:pos="701"/>
        </w:tabs>
        <w:jc w:val="left"/>
        <w:rPr>
          <w:rFonts w:hint="eastAsia"/>
          <w:i w:val="0"/>
          <w:iCs w:val="0"/>
          <w:color w:val="auto"/>
          <w:sz w:val="21"/>
          <w:highlight w:val="none"/>
          <w:lang w:val="en-US" w:eastAsia="zh-CN" w:bidi="ar-SA"/>
        </w:rPr>
      </w:pPr>
    </w:p>
    <w:p w14:paraId="543B8E07">
      <w:pPr>
        <w:tabs>
          <w:tab w:val="left" w:pos="701"/>
        </w:tabs>
        <w:jc w:val="left"/>
        <w:rPr>
          <w:rFonts w:hint="eastAsia"/>
          <w:i w:val="0"/>
          <w:iCs w:val="0"/>
          <w:color w:val="auto"/>
          <w:sz w:val="21"/>
          <w:highlight w:val="none"/>
          <w:lang w:val="en-US" w:eastAsia="zh-CN" w:bidi="ar-SA"/>
        </w:rPr>
      </w:pPr>
    </w:p>
    <w:p w14:paraId="03756C0B">
      <w:pPr>
        <w:tabs>
          <w:tab w:val="left" w:pos="701"/>
        </w:tabs>
        <w:jc w:val="left"/>
        <w:rPr>
          <w:rFonts w:hint="eastAsia"/>
          <w:i w:val="0"/>
          <w:iCs w:val="0"/>
          <w:color w:val="auto"/>
          <w:sz w:val="21"/>
          <w:highlight w:val="none"/>
          <w:lang w:val="en-US" w:eastAsia="zh-CN" w:bidi="ar-SA"/>
        </w:rPr>
      </w:pPr>
    </w:p>
    <w:p w14:paraId="7A8010F7">
      <w:pPr>
        <w:tabs>
          <w:tab w:val="left" w:pos="701"/>
        </w:tabs>
        <w:jc w:val="left"/>
        <w:rPr>
          <w:rFonts w:hint="eastAsia"/>
          <w:i w:val="0"/>
          <w:iCs w:val="0"/>
          <w:color w:val="auto"/>
          <w:sz w:val="21"/>
          <w:highlight w:val="none"/>
          <w:lang w:val="en-US" w:eastAsia="zh-CN" w:bidi="ar-SA"/>
        </w:rPr>
      </w:pPr>
    </w:p>
    <w:p w14:paraId="75926BB9">
      <w:pPr>
        <w:tabs>
          <w:tab w:val="left" w:pos="701"/>
        </w:tabs>
        <w:jc w:val="left"/>
        <w:rPr>
          <w:rFonts w:hint="eastAsia"/>
          <w:i w:val="0"/>
          <w:iCs w:val="0"/>
          <w:color w:val="auto"/>
          <w:sz w:val="21"/>
          <w:highlight w:val="none"/>
          <w:lang w:val="en-US" w:eastAsia="zh-CN" w:bidi="ar-SA"/>
        </w:rPr>
      </w:pPr>
    </w:p>
    <w:p w14:paraId="457810FD">
      <w:pPr>
        <w:tabs>
          <w:tab w:val="left" w:pos="701"/>
        </w:tabs>
        <w:jc w:val="left"/>
        <w:rPr>
          <w:rFonts w:hint="eastAsia"/>
          <w:i w:val="0"/>
          <w:iCs w:val="0"/>
          <w:color w:val="auto"/>
          <w:sz w:val="21"/>
          <w:highlight w:val="none"/>
          <w:lang w:val="en-US" w:eastAsia="zh-CN" w:bidi="ar-SA"/>
        </w:rPr>
      </w:pPr>
    </w:p>
    <w:p w14:paraId="456057AC">
      <w:pPr>
        <w:tabs>
          <w:tab w:val="left" w:pos="701"/>
        </w:tabs>
        <w:jc w:val="left"/>
        <w:rPr>
          <w:rFonts w:hint="eastAsia"/>
          <w:i w:val="0"/>
          <w:iCs w:val="0"/>
          <w:color w:val="auto"/>
          <w:sz w:val="21"/>
          <w:highlight w:val="none"/>
          <w:lang w:val="en-US" w:eastAsia="zh-CN" w:bidi="ar-SA"/>
        </w:rPr>
      </w:pPr>
    </w:p>
    <w:p w14:paraId="2E136493">
      <w:pPr>
        <w:tabs>
          <w:tab w:val="left" w:pos="701"/>
        </w:tabs>
        <w:jc w:val="left"/>
        <w:rPr>
          <w:rFonts w:hint="eastAsia"/>
          <w:i w:val="0"/>
          <w:iCs w:val="0"/>
          <w:color w:val="auto"/>
          <w:sz w:val="21"/>
          <w:highlight w:val="none"/>
          <w:lang w:val="en-US" w:eastAsia="zh-CN" w:bidi="ar-SA"/>
        </w:rPr>
      </w:pPr>
    </w:p>
    <w:p w14:paraId="20FC0A3C">
      <w:pPr>
        <w:tabs>
          <w:tab w:val="left" w:pos="701"/>
        </w:tabs>
        <w:jc w:val="left"/>
        <w:rPr>
          <w:rFonts w:hint="eastAsia"/>
          <w:i w:val="0"/>
          <w:iCs w:val="0"/>
          <w:color w:val="auto"/>
          <w:sz w:val="21"/>
          <w:highlight w:val="none"/>
          <w:lang w:val="en-US" w:eastAsia="zh-CN" w:bidi="ar-SA"/>
        </w:rPr>
      </w:pPr>
    </w:p>
    <w:p w14:paraId="29C1716D">
      <w:pPr>
        <w:tabs>
          <w:tab w:val="left" w:pos="701"/>
        </w:tabs>
        <w:jc w:val="left"/>
        <w:rPr>
          <w:rFonts w:hint="eastAsia"/>
          <w:i w:val="0"/>
          <w:iCs w:val="0"/>
          <w:color w:val="auto"/>
          <w:sz w:val="21"/>
          <w:highlight w:val="none"/>
          <w:lang w:val="en-US" w:eastAsia="zh-CN" w:bidi="ar-SA"/>
        </w:rPr>
      </w:pPr>
    </w:p>
    <w:p w14:paraId="77034EF4">
      <w:pPr>
        <w:tabs>
          <w:tab w:val="left" w:pos="701"/>
        </w:tabs>
        <w:jc w:val="left"/>
        <w:rPr>
          <w:rFonts w:hint="eastAsia"/>
          <w:i w:val="0"/>
          <w:iCs w:val="0"/>
          <w:color w:val="auto"/>
          <w:sz w:val="21"/>
          <w:highlight w:val="none"/>
          <w:lang w:val="en-US" w:eastAsia="zh-CN" w:bidi="ar-SA"/>
        </w:rPr>
      </w:pPr>
    </w:p>
    <w:p w14:paraId="6025974F">
      <w:pPr>
        <w:tabs>
          <w:tab w:val="left" w:pos="701"/>
        </w:tabs>
        <w:jc w:val="left"/>
        <w:rPr>
          <w:rFonts w:hint="eastAsia"/>
          <w:i w:val="0"/>
          <w:iCs w:val="0"/>
          <w:color w:val="auto"/>
          <w:sz w:val="21"/>
          <w:highlight w:val="none"/>
          <w:lang w:val="en-US" w:eastAsia="zh-CN" w:bidi="ar-SA"/>
        </w:rPr>
      </w:pPr>
    </w:p>
    <w:p w14:paraId="4AC5D36D">
      <w:pPr>
        <w:tabs>
          <w:tab w:val="left" w:pos="701"/>
        </w:tabs>
        <w:jc w:val="left"/>
        <w:rPr>
          <w:rFonts w:hint="eastAsia"/>
          <w:i w:val="0"/>
          <w:iCs w:val="0"/>
          <w:color w:val="auto"/>
          <w:sz w:val="21"/>
          <w:highlight w:val="none"/>
          <w:lang w:val="en-US" w:eastAsia="zh-CN" w:bidi="ar-SA"/>
        </w:rPr>
      </w:pPr>
    </w:p>
    <w:p w14:paraId="21385088">
      <w:pPr>
        <w:tabs>
          <w:tab w:val="left" w:pos="701"/>
        </w:tabs>
        <w:jc w:val="left"/>
        <w:rPr>
          <w:rFonts w:hint="eastAsia"/>
          <w:i w:val="0"/>
          <w:iCs w:val="0"/>
          <w:color w:val="auto"/>
          <w:sz w:val="21"/>
          <w:highlight w:val="none"/>
          <w:lang w:val="en-US" w:eastAsia="zh-CN" w:bidi="ar-SA"/>
        </w:rPr>
      </w:pPr>
    </w:p>
    <w:p w14:paraId="126258CD">
      <w:pPr>
        <w:tabs>
          <w:tab w:val="left" w:pos="701"/>
        </w:tabs>
        <w:jc w:val="left"/>
        <w:rPr>
          <w:rFonts w:hint="eastAsia"/>
          <w:i w:val="0"/>
          <w:iCs w:val="0"/>
          <w:color w:val="auto"/>
          <w:sz w:val="21"/>
          <w:highlight w:val="none"/>
          <w:lang w:val="en-US" w:eastAsia="zh-CN" w:bidi="ar-SA"/>
        </w:rPr>
      </w:pPr>
    </w:p>
    <w:p w14:paraId="5A0222FD">
      <w:pPr>
        <w:tabs>
          <w:tab w:val="left" w:pos="701"/>
        </w:tabs>
        <w:jc w:val="left"/>
        <w:rPr>
          <w:rFonts w:hint="eastAsia"/>
          <w:i w:val="0"/>
          <w:iCs w:val="0"/>
          <w:color w:val="auto"/>
          <w:sz w:val="21"/>
          <w:highlight w:val="none"/>
          <w:lang w:val="en-US" w:eastAsia="zh-CN" w:bidi="ar-SA"/>
        </w:rPr>
      </w:pPr>
    </w:p>
    <w:p w14:paraId="4ECD494D">
      <w:pPr>
        <w:tabs>
          <w:tab w:val="left" w:pos="701"/>
        </w:tabs>
        <w:jc w:val="left"/>
        <w:rPr>
          <w:rFonts w:hint="eastAsia"/>
          <w:i w:val="0"/>
          <w:iCs w:val="0"/>
          <w:color w:val="auto"/>
          <w:sz w:val="21"/>
          <w:highlight w:val="none"/>
          <w:lang w:val="en-US" w:eastAsia="zh-CN" w:bidi="ar-SA"/>
        </w:rPr>
      </w:pPr>
    </w:p>
    <w:p w14:paraId="437DBF71">
      <w:pPr>
        <w:tabs>
          <w:tab w:val="left" w:pos="701"/>
        </w:tabs>
        <w:jc w:val="left"/>
        <w:rPr>
          <w:rFonts w:hint="eastAsia"/>
          <w:i w:val="0"/>
          <w:iCs w:val="0"/>
          <w:color w:val="auto"/>
          <w:sz w:val="21"/>
          <w:highlight w:val="none"/>
          <w:lang w:val="en-US" w:eastAsia="zh-CN" w:bidi="ar-SA"/>
        </w:rPr>
      </w:pPr>
    </w:p>
    <w:p w14:paraId="694CCD1A">
      <w:pPr>
        <w:tabs>
          <w:tab w:val="left" w:pos="701"/>
        </w:tabs>
        <w:jc w:val="left"/>
        <w:rPr>
          <w:rFonts w:hint="eastAsia"/>
          <w:i w:val="0"/>
          <w:iCs w:val="0"/>
          <w:color w:val="auto"/>
          <w:sz w:val="21"/>
          <w:highlight w:val="none"/>
          <w:lang w:val="en-US" w:eastAsia="zh-CN" w:bidi="ar-SA"/>
        </w:rPr>
      </w:pPr>
    </w:p>
    <w:p w14:paraId="075A85E7">
      <w:pPr>
        <w:tabs>
          <w:tab w:val="left" w:pos="701"/>
        </w:tabs>
        <w:jc w:val="left"/>
        <w:rPr>
          <w:rFonts w:hint="eastAsia"/>
          <w:i w:val="0"/>
          <w:iCs w:val="0"/>
          <w:color w:val="auto"/>
          <w:sz w:val="21"/>
          <w:highlight w:val="none"/>
          <w:lang w:val="en-US" w:eastAsia="zh-CN" w:bidi="ar-SA"/>
        </w:rPr>
      </w:pPr>
    </w:p>
    <w:p w14:paraId="0219864A">
      <w:pPr>
        <w:tabs>
          <w:tab w:val="left" w:pos="701"/>
        </w:tabs>
        <w:jc w:val="left"/>
        <w:rPr>
          <w:rFonts w:hint="eastAsia"/>
          <w:i w:val="0"/>
          <w:iCs w:val="0"/>
          <w:color w:val="auto"/>
          <w:sz w:val="21"/>
          <w:highlight w:val="none"/>
          <w:lang w:val="en-US" w:eastAsia="zh-CN" w:bidi="ar-SA"/>
        </w:rPr>
      </w:pPr>
    </w:p>
    <w:p w14:paraId="7806C326">
      <w:pPr>
        <w:tabs>
          <w:tab w:val="left" w:pos="701"/>
        </w:tabs>
        <w:jc w:val="left"/>
        <w:rPr>
          <w:rFonts w:hint="eastAsia"/>
          <w:i w:val="0"/>
          <w:iCs w:val="0"/>
          <w:color w:val="auto"/>
          <w:sz w:val="21"/>
          <w:highlight w:val="none"/>
          <w:lang w:val="en-US" w:eastAsia="zh-CN" w:bidi="ar-SA"/>
        </w:rPr>
      </w:pPr>
    </w:p>
    <w:p w14:paraId="4FA0293B">
      <w:pPr>
        <w:tabs>
          <w:tab w:val="left" w:pos="701"/>
        </w:tabs>
        <w:jc w:val="left"/>
        <w:rPr>
          <w:rFonts w:hint="eastAsia"/>
          <w:i w:val="0"/>
          <w:iCs w:val="0"/>
          <w:color w:val="auto"/>
          <w:sz w:val="21"/>
          <w:highlight w:val="none"/>
          <w:lang w:val="en-US" w:eastAsia="zh-CN" w:bidi="ar-SA"/>
        </w:rPr>
      </w:pPr>
    </w:p>
    <w:p w14:paraId="6BB8FA26">
      <w:pPr>
        <w:tabs>
          <w:tab w:val="left" w:pos="701"/>
        </w:tabs>
        <w:jc w:val="left"/>
        <w:rPr>
          <w:rFonts w:hint="eastAsia"/>
          <w:i w:val="0"/>
          <w:iCs w:val="0"/>
          <w:color w:val="auto"/>
          <w:sz w:val="21"/>
          <w:highlight w:val="none"/>
          <w:lang w:val="en-US" w:eastAsia="zh-CN" w:bidi="ar-SA"/>
        </w:rPr>
      </w:pPr>
    </w:p>
    <w:p w14:paraId="0FE2A32D">
      <w:pPr>
        <w:tabs>
          <w:tab w:val="left" w:pos="701"/>
        </w:tabs>
        <w:jc w:val="left"/>
        <w:rPr>
          <w:rFonts w:hint="eastAsia"/>
          <w:i w:val="0"/>
          <w:iCs w:val="0"/>
          <w:color w:val="auto"/>
          <w:sz w:val="21"/>
          <w:highlight w:val="none"/>
          <w:lang w:val="en-US" w:eastAsia="zh-CN" w:bidi="ar-SA"/>
        </w:rPr>
      </w:pPr>
    </w:p>
    <w:p w14:paraId="057FA26F">
      <w:pPr>
        <w:tabs>
          <w:tab w:val="left" w:pos="701"/>
        </w:tabs>
        <w:jc w:val="left"/>
        <w:rPr>
          <w:rFonts w:hint="eastAsia"/>
          <w:i w:val="0"/>
          <w:iCs w:val="0"/>
          <w:color w:val="auto"/>
          <w:sz w:val="21"/>
          <w:highlight w:val="none"/>
          <w:lang w:val="en-US" w:eastAsia="zh-CN" w:bidi="ar-SA"/>
        </w:rPr>
      </w:pPr>
    </w:p>
    <w:p w14:paraId="3223B894">
      <w:pPr>
        <w:tabs>
          <w:tab w:val="left" w:pos="701"/>
        </w:tabs>
        <w:jc w:val="left"/>
        <w:rPr>
          <w:rFonts w:hint="eastAsia"/>
          <w:i w:val="0"/>
          <w:iCs w:val="0"/>
          <w:color w:val="auto"/>
          <w:sz w:val="21"/>
          <w:highlight w:val="none"/>
          <w:lang w:val="en-US" w:eastAsia="zh-CN" w:bidi="ar-SA"/>
        </w:rPr>
      </w:pPr>
    </w:p>
    <w:p w14:paraId="1B4C5AB0">
      <w:pPr>
        <w:tabs>
          <w:tab w:val="left" w:pos="701"/>
        </w:tabs>
        <w:jc w:val="left"/>
        <w:rPr>
          <w:rFonts w:hint="eastAsia"/>
          <w:i w:val="0"/>
          <w:iCs w:val="0"/>
          <w:color w:val="auto"/>
          <w:sz w:val="21"/>
          <w:highlight w:val="none"/>
          <w:lang w:val="en-US" w:eastAsia="zh-CN" w:bidi="ar-SA"/>
        </w:rPr>
      </w:pPr>
    </w:p>
    <w:p w14:paraId="7FFB6710">
      <w:pPr>
        <w:tabs>
          <w:tab w:val="left" w:pos="701"/>
        </w:tabs>
        <w:jc w:val="left"/>
        <w:rPr>
          <w:rFonts w:hint="eastAsia"/>
          <w:i w:val="0"/>
          <w:iCs w:val="0"/>
          <w:color w:val="auto"/>
          <w:sz w:val="21"/>
          <w:highlight w:val="none"/>
          <w:lang w:val="en-US" w:eastAsia="zh-CN" w:bidi="ar-SA"/>
        </w:rPr>
      </w:pPr>
    </w:p>
    <w:p w14:paraId="124920B3">
      <w:pPr>
        <w:tabs>
          <w:tab w:val="left" w:pos="701"/>
        </w:tabs>
        <w:jc w:val="left"/>
        <w:rPr>
          <w:rFonts w:hint="eastAsia"/>
          <w:i w:val="0"/>
          <w:iCs w:val="0"/>
          <w:color w:val="auto"/>
          <w:sz w:val="21"/>
          <w:highlight w:val="none"/>
          <w:lang w:val="en-US" w:eastAsia="zh-CN" w:bidi="ar-SA"/>
        </w:rPr>
      </w:pPr>
    </w:p>
    <w:p w14:paraId="0903573B">
      <w:pPr>
        <w:tabs>
          <w:tab w:val="left" w:pos="701"/>
        </w:tabs>
        <w:jc w:val="left"/>
        <w:rPr>
          <w:rFonts w:hint="eastAsia"/>
          <w:i w:val="0"/>
          <w:iCs w:val="0"/>
          <w:color w:val="auto"/>
          <w:sz w:val="21"/>
          <w:highlight w:val="none"/>
          <w:lang w:val="en-US" w:eastAsia="zh-CN" w:bidi="ar-SA"/>
        </w:rPr>
      </w:pPr>
    </w:p>
    <w:p w14:paraId="6640B4EE">
      <w:pPr>
        <w:tabs>
          <w:tab w:val="left" w:pos="701"/>
        </w:tabs>
        <w:jc w:val="left"/>
        <w:rPr>
          <w:rFonts w:hint="eastAsia"/>
          <w:i w:val="0"/>
          <w:iCs w:val="0"/>
          <w:color w:val="auto"/>
          <w:sz w:val="21"/>
          <w:highlight w:val="none"/>
          <w:lang w:val="en-US" w:eastAsia="zh-CN" w:bidi="ar-SA"/>
        </w:rPr>
      </w:pPr>
    </w:p>
    <w:p w14:paraId="0E37D323">
      <w:pPr>
        <w:tabs>
          <w:tab w:val="left" w:pos="701"/>
        </w:tabs>
        <w:jc w:val="left"/>
        <w:rPr>
          <w:rFonts w:hint="eastAsia"/>
          <w:i w:val="0"/>
          <w:iCs w:val="0"/>
          <w:color w:val="auto"/>
          <w:sz w:val="21"/>
          <w:highlight w:val="none"/>
          <w:lang w:val="en-US" w:eastAsia="zh-CN" w:bidi="ar-SA"/>
        </w:rPr>
      </w:pPr>
    </w:p>
    <w:p w14:paraId="6273AABA">
      <w:pPr>
        <w:tabs>
          <w:tab w:val="left" w:pos="701"/>
        </w:tabs>
        <w:jc w:val="left"/>
        <w:rPr>
          <w:rFonts w:hint="eastAsia"/>
          <w:i w:val="0"/>
          <w:iCs w:val="0"/>
          <w:color w:val="auto"/>
          <w:sz w:val="21"/>
          <w:highlight w:val="none"/>
          <w:lang w:val="en-US" w:eastAsia="zh-CN" w:bidi="ar-SA"/>
        </w:rPr>
      </w:pPr>
    </w:p>
    <w:p w14:paraId="7843E36B">
      <w:pPr>
        <w:tabs>
          <w:tab w:val="left" w:pos="701"/>
        </w:tabs>
        <w:jc w:val="left"/>
        <w:rPr>
          <w:rFonts w:hint="eastAsia"/>
          <w:i w:val="0"/>
          <w:iCs w:val="0"/>
          <w:color w:val="auto"/>
          <w:sz w:val="21"/>
          <w:highlight w:val="none"/>
          <w:lang w:val="en-US" w:eastAsia="zh-CN" w:bidi="ar-SA"/>
        </w:rPr>
      </w:pPr>
    </w:p>
    <w:p w14:paraId="3402F519">
      <w:pPr>
        <w:tabs>
          <w:tab w:val="left" w:pos="701"/>
        </w:tabs>
        <w:jc w:val="left"/>
        <w:rPr>
          <w:rFonts w:hint="eastAsia"/>
          <w:i w:val="0"/>
          <w:iCs w:val="0"/>
          <w:color w:val="auto"/>
          <w:sz w:val="21"/>
          <w:highlight w:val="none"/>
          <w:lang w:val="en-US" w:eastAsia="zh-CN" w:bidi="ar-SA"/>
        </w:rPr>
      </w:pPr>
    </w:p>
    <w:p w14:paraId="051507D3">
      <w:pPr>
        <w:tabs>
          <w:tab w:val="left" w:pos="701"/>
        </w:tabs>
        <w:jc w:val="left"/>
        <w:rPr>
          <w:rFonts w:hint="eastAsia"/>
          <w:i w:val="0"/>
          <w:iCs w:val="0"/>
          <w:color w:val="auto"/>
          <w:sz w:val="21"/>
          <w:highlight w:val="none"/>
          <w:lang w:val="en-US" w:eastAsia="zh-CN" w:bidi="ar-SA"/>
        </w:rPr>
      </w:pPr>
    </w:p>
    <w:p w14:paraId="57A6987D">
      <w:pPr>
        <w:tabs>
          <w:tab w:val="left" w:pos="701"/>
        </w:tabs>
        <w:jc w:val="left"/>
        <w:rPr>
          <w:rFonts w:hint="eastAsia"/>
          <w:i w:val="0"/>
          <w:iCs w:val="0"/>
          <w:color w:val="auto"/>
          <w:sz w:val="21"/>
          <w:highlight w:val="none"/>
          <w:lang w:val="en-US" w:eastAsia="zh-CN" w:bidi="ar-SA"/>
        </w:rPr>
      </w:pPr>
    </w:p>
    <w:p w14:paraId="4141EFA6">
      <w:pPr>
        <w:tabs>
          <w:tab w:val="left" w:pos="701"/>
        </w:tabs>
        <w:jc w:val="left"/>
        <w:rPr>
          <w:rFonts w:hint="eastAsia"/>
          <w:i w:val="0"/>
          <w:iCs w:val="0"/>
          <w:color w:val="auto"/>
          <w:sz w:val="21"/>
          <w:highlight w:val="none"/>
          <w:lang w:val="en-US" w:eastAsia="zh-CN" w:bidi="ar-SA"/>
        </w:rPr>
      </w:pPr>
    </w:p>
    <w:p w14:paraId="514E5A8E">
      <w:pPr>
        <w:tabs>
          <w:tab w:val="left" w:pos="701"/>
        </w:tabs>
        <w:jc w:val="left"/>
        <w:rPr>
          <w:rFonts w:hint="eastAsia"/>
          <w:i w:val="0"/>
          <w:iCs w:val="0"/>
          <w:color w:val="auto"/>
          <w:sz w:val="21"/>
          <w:highlight w:val="none"/>
          <w:lang w:val="en-US" w:eastAsia="zh-CN" w:bidi="ar-SA"/>
        </w:rPr>
      </w:pPr>
    </w:p>
    <w:p w14:paraId="31F109F8">
      <w:pPr>
        <w:tabs>
          <w:tab w:val="left" w:pos="701"/>
        </w:tabs>
        <w:jc w:val="left"/>
        <w:rPr>
          <w:rFonts w:hint="eastAsia"/>
          <w:i w:val="0"/>
          <w:iCs w:val="0"/>
          <w:color w:val="auto"/>
          <w:sz w:val="21"/>
          <w:highlight w:val="none"/>
          <w:lang w:val="en-US" w:eastAsia="zh-CN" w:bidi="ar-SA"/>
        </w:rPr>
      </w:pPr>
    </w:p>
    <w:p w14:paraId="02609F08">
      <w:pPr>
        <w:tabs>
          <w:tab w:val="left" w:pos="701"/>
        </w:tabs>
        <w:jc w:val="left"/>
        <w:rPr>
          <w:rFonts w:hint="eastAsia"/>
          <w:i w:val="0"/>
          <w:iCs w:val="0"/>
          <w:color w:val="auto"/>
          <w:sz w:val="21"/>
          <w:highlight w:val="none"/>
          <w:lang w:val="en-US" w:eastAsia="zh-CN" w:bidi="ar-SA"/>
        </w:rPr>
      </w:pPr>
    </w:p>
    <w:p w14:paraId="1CEA53E0">
      <w:pPr>
        <w:tabs>
          <w:tab w:val="left" w:pos="701"/>
        </w:tabs>
        <w:jc w:val="left"/>
        <w:rPr>
          <w:rFonts w:hint="eastAsia"/>
          <w:i w:val="0"/>
          <w:iCs w:val="0"/>
          <w:color w:val="auto"/>
          <w:sz w:val="21"/>
          <w:highlight w:val="none"/>
          <w:lang w:val="en-US" w:eastAsia="zh-CN" w:bidi="ar-SA"/>
        </w:rPr>
      </w:pPr>
    </w:p>
    <w:p w14:paraId="58BCD412">
      <w:pPr>
        <w:tabs>
          <w:tab w:val="left" w:pos="701"/>
        </w:tabs>
        <w:jc w:val="left"/>
        <w:rPr>
          <w:rFonts w:hint="eastAsia"/>
          <w:i w:val="0"/>
          <w:iCs w:val="0"/>
          <w:color w:val="auto"/>
          <w:sz w:val="21"/>
          <w:highlight w:val="none"/>
          <w:lang w:val="en-US" w:eastAsia="zh-CN" w:bidi="ar-SA"/>
        </w:rPr>
      </w:pPr>
    </w:p>
    <w:p w14:paraId="441CA001">
      <w:pPr>
        <w:tabs>
          <w:tab w:val="left" w:pos="701"/>
        </w:tabs>
        <w:jc w:val="left"/>
        <w:rPr>
          <w:rFonts w:hint="eastAsia"/>
          <w:i w:val="0"/>
          <w:iCs w:val="0"/>
          <w:color w:val="auto"/>
          <w:sz w:val="21"/>
          <w:highlight w:val="none"/>
          <w:lang w:val="en-US" w:eastAsia="zh-CN" w:bidi="ar-SA"/>
        </w:rPr>
      </w:pPr>
    </w:p>
    <w:p w14:paraId="79D37DE8">
      <w:pPr>
        <w:tabs>
          <w:tab w:val="left" w:pos="701"/>
        </w:tabs>
        <w:jc w:val="left"/>
        <w:rPr>
          <w:rFonts w:hint="eastAsia"/>
          <w:i w:val="0"/>
          <w:iCs w:val="0"/>
          <w:color w:val="auto"/>
          <w:sz w:val="21"/>
          <w:highlight w:val="none"/>
          <w:lang w:val="en-US" w:eastAsia="zh-CN" w:bidi="ar-SA"/>
        </w:rPr>
      </w:pPr>
    </w:p>
    <w:p w14:paraId="26AD6E4A">
      <w:pPr>
        <w:spacing w:line="360" w:lineRule="auto"/>
        <w:rPr>
          <w:rFonts w:hint="eastAsia"/>
          <w:b/>
          <w:i w:val="0"/>
          <w:iCs w:val="0"/>
          <w:color w:val="auto"/>
          <w:sz w:val="30"/>
          <w:szCs w:val="30"/>
          <w:highlight w:val="none"/>
        </w:rPr>
      </w:pPr>
      <w:r>
        <w:rPr>
          <w:rFonts w:hint="eastAsia"/>
          <w:b/>
          <w:i w:val="0"/>
          <w:iCs w:val="0"/>
          <w:color w:val="auto"/>
          <w:sz w:val="30"/>
          <w:szCs w:val="30"/>
          <w:highlight w:val="none"/>
        </w:rPr>
        <w:t>十</w:t>
      </w:r>
      <w:r>
        <w:rPr>
          <w:rFonts w:hint="eastAsia"/>
          <w:b/>
          <w:i w:val="0"/>
          <w:iCs w:val="0"/>
          <w:color w:val="auto"/>
          <w:sz w:val="30"/>
          <w:szCs w:val="30"/>
          <w:highlight w:val="none"/>
          <w:lang w:eastAsia="zh-CN"/>
        </w:rPr>
        <w:t>一</w:t>
      </w:r>
      <w:r>
        <w:rPr>
          <w:b/>
          <w:i w:val="0"/>
          <w:iCs w:val="0"/>
          <w:color w:val="auto"/>
          <w:sz w:val="30"/>
          <w:szCs w:val="30"/>
          <w:highlight w:val="none"/>
        </w:rPr>
        <w:t>、</w:t>
      </w:r>
      <w:r>
        <w:rPr>
          <w:rFonts w:hint="eastAsia"/>
          <w:b/>
          <w:i w:val="0"/>
          <w:iCs w:val="0"/>
          <w:color w:val="auto"/>
          <w:sz w:val="30"/>
          <w:szCs w:val="30"/>
          <w:highlight w:val="none"/>
        </w:rPr>
        <w:t>投标偏离表（给定格式）：</w:t>
      </w:r>
    </w:p>
    <w:p w14:paraId="6DCDA1A0">
      <w:pPr>
        <w:ind w:firstLine="490"/>
        <w:jc w:val="center"/>
        <w:outlineLvl w:val="0"/>
        <w:rPr>
          <w:rFonts w:ascii="黑体" w:eastAsia="黑体"/>
          <w:bCs/>
          <w:i w:val="0"/>
          <w:iCs w:val="0"/>
          <w:color w:val="auto"/>
          <w:sz w:val="28"/>
          <w:szCs w:val="28"/>
          <w:highlight w:val="none"/>
        </w:rPr>
      </w:pPr>
    </w:p>
    <w:p w14:paraId="4DBF3337">
      <w:pPr>
        <w:ind w:firstLine="490"/>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投标偏离表</w:t>
      </w:r>
    </w:p>
    <w:p w14:paraId="130F77F5">
      <w:pPr>
        <w:spacing w:line="400" w:lineRule="exact"/>
        <w:jc w:val="center"/>
        <w:outlineLvl w:val="0"/>
        <w:rPr>
          <w:rFonts w:ascii="黑体" w:eastAsia="黑体"/>
          <w:bCs/>
          <w:i w:val="0"/>
          <w:iCs w:val="0"/>
          <w:color w:val="auto"/>
          <w:sz w:val="28"/>
          <w:szCs w:val="28"/>
          <w:highlight w:val="none"/>
        </w:rPr>
      </w:pPr>
    </w:p>
    <w:p w14:paraId="056161AA">
      <w:pPr>
        <w:spacing w:line="400" w:lineRule="exact"/>
        <w:jc w:val="center"/>
        <w:outlineLvl w:val="0"/>
        <w:rPr>
          <w:rFonts w:ascii="黑体" w:eastAsia="黑体"/>
          <w:bCs/>
          <w:i w:val="0"/>
          <w:iCs w:val="0"/>
          <w:color w:val="auto"/>
          <w:sz w:val="28"/>
          <w:szCs w:val="28"/>
          <w:highlight w:val="none"/>
        </w:rPr>
      </w:pPr>
    </w:p>
    <w:p w14:paraId="250401EC">
      <w:pPr>
        <w:spacing w:line="400" w:lineRule="exact"/>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项目编号：</w:t>
      </w:r>
      <w:r>
        <w:rPr>
          <w:rFonts w:hint="eastAsia" w:ascii="黑体" w:eastAsia="黑体" w:cs="Times New Roman"/>
          <w:bCs/>
          <w:i w:val="0"/>
          <w:iCs w:val="0"/>
          <w:color w:val="auto"/>
          <w:sz w:val="24"/>
          <w:szCs w:val="24"/>
          <w:highlight w:val="none"/>
          <w:lang w:eastAsia="zh-CN"/>
        </w:rPr>
        <w:t>JSZC-320206-JZCG-G2026-0015</w:t>
      </w:r>
    </w:p>
    <w:tbl>
      <w:tblPr>
        <w:tblStyle w:val="31"/>
        <w:tblW w:w="9885" w:type="dxa"/>
        <w:jc w:val="center"/>
        <w:tblLayout w:type="fixed"/>
        <w:tblCellMar>
          <w:top w:w="15" w:type="dxa"/>
          <w:left w:w="15" w:type="dxa"/>
          <w:bottom w:w="0" w:type="dxa"/>
          <w:right w:w="15" w:type="dxa"/>
        </w:tblCellMar>
      </w:tblPr>
      <w:tblGrid>
        <w:gridCol w:w="1905"/>
        <w:gridCol w:w="2835"/>
        <w:gridCol w:w="2835"/>
        <w:gridCol w:w="2310"/>
      </w:tblGrid>
      <w:tr w14:paraId="11CECF62">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8EA3C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39913B8">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C48E1A3">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218B009">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偏离说明</w:t>
            </w:r>
          </w:p>
        </w:tc>
      </w:tr>
      <w:tr w14:paraId="6666347B">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9437794">
            <w:pPr>
              <w:jc w:val="cente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E603EB">
            <w:pP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6311C44">
            <w:pPr>
              <w:jc w:val="center"/>
              <w:rPr>
                <w:rFonts w:ascii="宋体"/>
                <w:bCs/>
                <w:i w:val="0"/>
                <w:iCs w:val="0"/>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117FB45">
            <w:pPr>
              <w:jc w:val="center"/>
              <w:rPr>
                <w:rFonts w:ascii="宋体"/>
                <w:bCs/>
                <w:i w:val="0"/>
                <w:iCs w:val="0"/>
                <w:color w:val="auto"/>
                <w:highlight w:val="none"/>
              </w:rPr>
            </w:pPr>
          </w:p>
        </w:tc>
      </w:tr>
    </w:tbl>
    <w:p w14:paraId="5BFEF24F">
      <w:pPr>
        <w:rPr>
          <w:rFonts w:hint="eastAsia" w:ascii="宋体" w:eastAsia="黑体"/>
          <w:b/>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52B97D6D">
      <w:pPr>
        <w:rPr>
          <w:rFonts w:ascii="宋体"/>
          <w:bCs/>
          <w:i w:val="0"/>
          <w:iCs w:val="0"/>
          <w:color w:val="auto"/>
          <w:sz w:val="30"/>
          <w:highlight w:val="none"/>
        </w:rPr>
      </w:pPr>
    </w:p>
    <w:p w14:paraId="0E186989">
      <w:pPr>
        <w:ind w:firstLine="420"/>
        <w:outlineLvl w:val="0"/>
        <w:rPr>
          <w:rFonts w:hint="eastAsia" w:ascii="宋体" w:hAnsi="宋体"/>
          <w:bCs/>
          <w:i w:val="0"/>
          <w:iCs w:val="0"/>
          <w:color w:val="auto"/>
          <w:sz w:val="24"/>
          <w:szCs w:val="24"/>
          <w:highlight w:val="none"/>
        </w:rPr>
      </w:pPr>
    </w:p>
    <w:p w14:paraId="734E1395">
      <w:pPr>
        <w:ind w:firstLine="420"/>
        <w:outlineLvl w:val="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注：（</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）本表不得删除；</w:t>
      </w:r>
    </w:p>
    <w:p w14:paraId="29AC1156">
      <w:pPr>
        <w:ind w:firstLine="420"/>
        <w:outlineLvl w:val="0"/>
        <w:rPr>
          <w:rFonts w:ascii="宋体" w:hAnsi="宋体"/>
          <w:bCs/>
          <w:i w:val="0"/>
          <w:iCs w:val="0"/>
          <w:color w:val="auto"/>
          <w:sz w:val="24"/>
          <w:szCs w:val="24"/>
          <w:highlight w:val="none"/>
        </w:rPr>
      </w:pPr>
      <w:r>
        <w:rPr>
          <w:rFonts w:ascii="宋体" w:hAnsi="宋体"/>
          <w:bCs/>
          <w:i w:val="0"/>
          <w:iCs w:val="0"/>
          <w:color w:val="auto"/>
          <w:sz w:val="24"/>
          <w:szCs w:val="24"/>
          <w:highlight w:val="none"/>
        </w:rPr>
        <w:t xml:space="preserve">   </w:t>
      </w:r>
      <w:r>
        <w:rPr>
          <w:rFonts w:hint="eastAsia" w:ascii="宋体" w:hAnsi="宋体"/>
          <w:bCs/>
          <w:i w:val="0"/>
          <w:iCs w:val="0"/>
          <w:color w:val="auto"/>
          <w:sz w:val="24"/>
          <w:szCs w:val="24"/>
          <w:highlight w:val="none"/>
        </w:rPr>
        <w:t>（</w:t>
      </w:r>
      <w:r>
        <w:rPr>
          <w:rFonts w:ascii="宋体" w:hAnsi="宋体"/>
          <w:bCs/>
          <w:i w:val="0"/>
          <w:iCs w:val="0"/>
          <w:color w:val="auto"/>
          <w:sz w:val="24"/>
          <w:szCs w:val="24"/>
          <w:highlight w:val="none"/>
        </w:rPr>
        <w:t>2</w:t>
      </w:r>
      <w:r>
        <w:rPr>
          <w:rFonts w:hint="eastAsia" w:ascii="宋体" w:hAnsi="宋体"/>
          <w:bCs/>
          <w:i w:val="0"/>
          <w:iCs w:val="0"/>
          <w:color w:val="auto"/>
          <w:sz w:val="24"/>
          <w:szCs w:val="24"/>
          <w:highlight w:val="none"/>
        </w:rPr>
        <w:t>）如无任何服务偏离，请于本表 “偏离说明”中注明“无偏离”；</w:t>
      </w:r>
    </w:p>
    <w:p w14:paraId="5BA63CD9">
      <w:pPr>
        <w:ind w:firstLine="420"/>
        <w:outlineLvl w:val="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   （3）如有服务偏离项，请于本表中列明偏离内容，如需要可自行延长，其余无偏离内容不须赘述。</w:t>
      </w:r>
    </w:p>
    <w:sectPr>
      <w:headerReference r:id="rId3" w:type="default"/>
      <w:footerReference r:id="rId4" w:type="default"/>
      <w:footerReference r:id="rId5" w:type="even"/>
      <w:pgSz w:w="11906" w:h="16838"/>
      <w:pgMar w:top="567" w:right="851" w:bottom="567" w:left="1134" w:header="624"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Times">
    <w:altName w:val="Times New Roman"/>
    <w:panose1 w:val="020206030504050203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Book Antiqua">
    <w:panose1 w:val="02040602050305030304"/>
    <w:charset w:val="00"/>
    <w:family w:val="auto"/>
    <w:pitch w:val="default"/>
    <w:sig w:usb0="00000287" w:usb1="00000000" w:usb2="00000000" w:usb3="00000000" w:csb0="2000009F" w:csb1="DFD70000"/>
  </w:font>
  <w:font w:name="Tahoma">
    <w:panose1 w:val="020B0604030504040204"/>
    <w:charset w:val="00"/>
    <w:family w:val="auto"/>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Univers">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45467">
    <w:pPr>
      <w:pStyle w:val="214"/>
      <w:jc w:val="center"/>
    </w:pPr>
    <w:r>
      <w:fldChar w:fldCharType="begin"/>
    </w:r>
    <w:r>
      <w:instrText xml:space="preserve">PAGE   \* MERGEFORMAT</w:instrText>
    </w:r>
    <w:r>
      <w:fldChar w:fldCharType="separate"/>
    </w:r>
    <w:r>
      <w:rPr>
        <w:lang w:val="zh-CN"/>
      </w:rPr>
      <w:t>33</w:t>
    </w:r>
    <w:r>
      <w:fldChar w:fldCharType="end"/>
    </w:r>
  </w:p>
  <w:p w14:paraId="4D3B124B">
    <w:pPr>
      <w:pStyle w:val="214"/>
      <w:jc w:val="center"/>
    </w:pPr>
  </w:p>
  <w:p w14:paraId="2B9CD0F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50C0">
    <w:pPr>
      <w:pStyle w:val="214"/>
      <w:framePr w:wrap="around" w:vAnchor="text" w:hAnchor="margin" w:xAlign="center" w:y="1"/>
      <w:rPr>
        <w:rStyle w:val="234"/>
      </w:rPr>
    </w:pPr>
    <w:r>
      <w:fldChar w:fldCharType="begin"/>
    </w:r>
    <w:r>
      <w:rPr>
        <w:rStyle w:val="234"/>
      </w:rPr>
      <w:instrText xml:space="preserve">PAGE  </w:instrText>
    </w:r>
    <w:r>
      <w:fldChar w:fldCharType="separate"/>
    </w:r>
    <w:r>
      <w:rPr>
        <w:rStyle w:val="234"/>
      </w:rPr>
      <w:t>1</w:t>
    </w:r>
    <w:r>
      <w:fldChar w:fldCharType="end"/>
    </w:r>
  </w:p>
  <w:p w14:paraId="785A3C7B">
    <w:pPr>
      <w:pStyle w:val="214"/>
      <w:ind w:right="360"/>
    </w:pPr>
  </w:p>
  <w:p w14:paraId="26B0B9DF"/>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FEADA">
    <w:pPr>
      <w:pStyle w:val="216"/>
      <w:jc w:val="left"/>
    </w:pPr>
    <w:r>
      <w:rPr>
        <w:rFonts w:hint="eastAsia" w:ascii="方正小标宋_GBK" w:hAnsi="华文中宋" w:eastAsia="方正小标宋_GBK"/>
        <w:bCs/>
        <w:szCs w:val="21"/>
        <w:lang w:eastAsia="zh-CN"/>
      </w:rPr>
      <w:t>JSZC-320206-JZCG-G2026-0015</w:t>
    </w:r>
    <w:r>
      <w:rPr>
        <w:rFonts w:hint="eastAsia" w:ascii="方正小标宋_GBK" w:hAnsi="华文中宋" w:eastAsia="方正小标宋_GBK" w:cs="Times New Roman"/>
        <w:bCs/>
        <w:szCs w:val="21"/>
        <w:lang w:eastAsia="zh-CN"/>
      </w:rPr>
      <w:t>无锡市惠山区人民医院网络安全设施建设项目</w:t>
    </w:r>
    <w:r>
      <w:rPr>
        <w:rFonts w:hint="eastAsia" w:ascii="方正小标宋_GBK" w:hAnsi="华文中宋" w:eastAsia="方正小标宋_GBK" w:cs="Times New Roman"/>
        <w:bCs/>
        <w:szCs w:val="21"/>
        <w:lang w:val="en-US" w:eastAsia="zh-CN"/>
      </w:rPr>
      <w:t xml:space="preserve">          </w:t>
    </w:r>
    <w:r>
      <w:rPr>
        <w:rFonts w:hint="eastAsia" w:eastAsia="方正小标宋_GBK"/>
        <w:lang w:val="en-US" w:eastAsia="zh-CN"/>
      </w:rPr>
      <w:t xml:space="preserve"> </w:t>
    </w:r>
    <w:r>
      <w:rPr>
        <w:rFonts w:hint="eastAsia" w:ascii="方正小标宋_GBK" w:hAnsi="华文中宋" w:eastAsia="方正小标宋_GBK"/>
        <w:bCs/>
        <w:szCs w:val="21"/>
      </w:rPr>
      <w:t>无锡市惠山区政府采购中心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ind w:left="840" w:hanging="360"/>
      </w:pPr>
      <w:rPr>
        <w:color w:val="000000"/>
      </w:rPr>
    </w:lvl>
    <w:lvl w:ilvl="1" w:tentative="0">
      <w:start w:val="1"/>
      <w:numFmt w:val="lowerLetter"/>
      <w:pStyle w:val="355"/>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3">
    <w:nsid w:val="0053208E"/>
    <w:multiLevelType w:val="multilevel"/>
    <w:tmpl w:val="0053208E"/>
    <w:lvl w:ilvl="0" w:tentative="0">
      <w:start w:val="1"/>
      <w:numFmt w:val="upperLetter"/>
      <w:pStyle w:val="19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248C179"/>
    <w:multiLevelType w:val="multilevel"/>
    <w:tmpl w:val="0248C179"/>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A241D34"/>
    <w:multiLevelType w:val="multilevel"/>
    <w:tmpl w:val="5A241D34"/>
    <w:lvl w:ilvl="0" w:tentative="0">
      <w:start w:val="1"/>
      <w:numFmt w:val="decimal"/>
      <w:lvlText w:val="%1."/>
      <w:lvlJc w:val="left"/>
      <w:pPr>
        <w:tabs>
          <w:tab w:val="left" w:pos="210"/>
        </w:tabs>
        <w:ind w:left="210" w:hanging="210"/>
      </w:pPr>
      <w:rPr>
        <w:rFonts w:ascii="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lvlOverride w:ilvl="0">
      <w:lvl w:ilvl="0" w:tentative="1">
        <w:start w:val="1"/>
        <w:numFmt w:val="decimal"/>
        <w:pStyle w:val="321"/>
        <w:lvlText w:val="第%1章"/>
        <w:lvlJc w:val="left"/>
        <w:pPr>
          <w:ind w:left="465" w:hanging="465"/>
        </w:pPr>
      </w:lvl>
    </w:lvlOverride>
    <w:lvlOverride w:ilvl="1">
      <w:lvl w:ilvl="1" w:tentative="1">
        <w:start w:val="1"/>
        <w:numFmt w:val="decimal"/>
        <w:pStyle w:val="283"/>
        <w:lvlText w:val="%1.%2"/>
        <w:lvlJc w:val="left"/>
        <w:pPr>
          <w:ind w:left="465" w:hanging="465"/>
        </w:pPr>
      </w:lvl>
    </w:lvlOverride>
    <w:lvlOverride w:ilvl="2">
      <w:lvl w:ilvl="2" w:tentative="1">
        <w:start w:val="1"/>
        <w:numFmt w:val="decimal"/>
        <w:pStyle w:val="322"/>
        <w:lvlText w:val="%1.%2.%3"/>
        <w:lvlJc w:val="left"/>
        <w:pPr>
          <w:ind w:left="720" w:hanging="720"/>
        </w:pPr>
      </w:lvl>
    </w:lvlOverride>
    <w:lvlOverride w:ilvl="3">
      <w:lvl w:ilvl="3" w:tentative="1">
        <w:start w:val="1"/>
        <w:numFmt w:val="decimal"/>
        <w:pStyle w:val="285"/>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1942"/>
    <w:rsid w:val="00496DA9"/>
    <w:rsid w:val="004A3368"/>
    <w:rsid w:val="00535E7A"/>
    <w:rsid w:val="008D484F"/>
    <w:rsid w:val="00E46AD2"/>
    <w:rsid w:val="00E61F93"/>
    <w:rsid w:val="01017684"/>
    <w:rsid w:val="01115B19"/>
    <w:rsid w:val="014D4677"/>
    <w:rsid w:val="016C71F3"/>
    <w:rsid w:val="016F283F"/>
    <w:rsid w:val="01AB7E6D"/>
    <w:rsid w:val="01DD71EC"/>
    <w:rsid w:val="01F40D1D"/>
    <w:rsid w:val="021B576C"/>
    <w:rsid w:val="024E1CE8"/>
    <w:rsid w:val="0252098B"/>
    <w:rsid w:val="025D7143"/>
    <w:rsid w:val="02875474"/>
    <w:rsid w:val="02897931"/>
    <w:rsid w:val="029403CC"/>
    <w:rsid w:val="02C80459"/>
    <w:rsid w:val="037D5D5F"/>
    <w:rsid w:val="03DD6186"/>
    <w:rsid w:val="043F347F"/>
    <w:rsid w:val="04836CFC"/>
    <w:rsid w:val="049C1B9D"/>
    <w:rsid w:val="04D27A5A"/>
    <w:rsid w:val="04D37589"/>
    <w:rsid w:val="0508013B"/>
    <w:rsid w:val="05154177"/>
    <w:rsid w:val="05544226"/>
    <w:rsid w:val="05552983"/>
    <w:rsid w:val="05572184"/>
    <w:rsid w:val="055B49B5"/>
    <w:rsid w:val="05D53C72"/>
    <w:rsid w:val="05DD246D"/>
    <w:rsid w:val="05F35877"/>
    <w:rsid w:val="061D1A01"/>
    <w:rsid w:val="064F49ED"/>
    <w:rsid w:val="065E7482"/>
    <w:rsid w:val="06900B3E"/>
    <w:rsid w:val="06CB3E2B"/>
    <w:rsid w:val="071E2D3E"/>
    <w:rsid w:val="0752156E"/>
    <w:rsid w:val="079E77B6"/>
    <w:rsid w:val="07DE071F"/>
    <w:rsid w:val="07E95AC0"/>
    <w:rsid w:val="08E458C1"/>
    <w:rsid w:val="09434CDD"/>
    <w:rsid w:val="09554A11"/>
    <w:rsid w:val="0985741A"/>
    <w:rsid w:val="09AB4631"/>
    <w:rsid w:val="0A03310D"/>
    <w:rsid w:val="0A8868ED"/>
    <w:rsid w:val="0ABF2726"/>
    <w:rsid w:val="0AEB73DB"/>
    <w:rsid w:val="0B293A5F"/>
    <w:rsid w:val="0B3D575C"/>
    <w:rsid w:val="0B4E71F6"/>
    <w:rsid w:val="0B662015"/>
    <w:rsid w:val="0B721CF9"/>
    <w:rsid w:val="0B7C44D7"/>
    <w:rsid w:val="0BBC0D77"/>
    <w:rsid w:val="0BDE31B1"/>
    <w:rsid w:val="0C1E558E"/>
    <w:rsid w:val="0C7041F5"/>
    <w:rsid w:val="0C7D22B4"/>
    <w:rsid w:val="0C9615C8"/>
    <w:rsid w:val="0CD30126"/>
    <w:rsid w:val="0CEA36C2"/>
    <w:rsid w:val="0D004C93"/>
    <w:rsid w:val="0D0B5F08"/>
    <w:rsid w:val="0D9755F8"/>
    <w:rsid w:val="0DEC0AFE"/>
    <w:rsid w:val="0DEE3D1F"/>
    <w:rsid w:val="0E010CC3"/>
    <w:rsid w:val="0E572FD9"/>
    <w:rsid w:val="0E664FCA"/>
    <w:rsid w:val="0E707BF7"/>
    <w:rsid w:val="0E821359"/>
    <w:rsid w:val="0EB67D00"/>
    <w:rsid w:val="0EED229A"/>
    <w:rsid w:val="0F207E9C"/>
    <w:rsid w:val="0F421593"/>
    <w:rsid w:val="0F6A1243"/>
    <w:rsid w:val="0F706100"/>
    <w:rsid w:val="0F7D081D"/>
    <w:rsid w:val="0F884C20"/>
    <w:rsid w:val="0F8C0A60"/>
    <w:rsid w:val="0FC52D16"/>
    <w:rsid w:val="0FD2073D"/>
    <w:rsid w:val="0FF94348"/>
    <w:rsid w:val="10390BE8"/>
    <w:rsid w:val="106317C1"/>
    <w:rsid w:val="10635C65"/>
    <w:rsid w:val="10AA3894"/>
    <w:rsid w:val="10B8333F"/>
    <w:rsid w:val="10C304B2"/>
    <w:rsid w:val="10DB6F0E"/>
    <w:rsid w:val="10E741A0"/>
    <w:rsid w:val="10EA5F52"/>
    <w:rsid w:val="10FE2C78"/>
    <w:rsid w:val="11036B0A"/>
    <w:rsid w:val="110411F6"/>
    <w:rsid w:val="11056D1C"/>
    <w:rsid w:val="111B02EE"/>
    <w:rsid w:val="117A5014"/>
    <w:rsid w:val="122D6FB1"/>
    <w:rsid w:val="123258EF"/>
    <w:rsid w:val="126A3816"/>
    <w:rsid w:val="1362330B"/>
    <w:rsid w:val="13E64BE3"/>
    <w:rsid w:val="13E9022F"/>
    <w:rsid w:val="13F14EFC"/>
    <w:rsid w:val="141334FE"/>
    <w:rsid w:val="14290F74"/>
    <w:rsid w:val="142B4CEC"/>
    <w:rsid w:val="14731F34"/>
    <w:rsid w:val="147E4E1C"/>
    <w:rsid w:val="14857D56"/>
    <w:rsid w:val="14C67113"/>
    <w:rsid w:val="14E11AFE"/>
    <w:rsid w:val="14E153AA"/>
    <w:rsid w:val="14F0383F"/>
    <w:rsid w:val="14F36F5F"/>
    <w:rsid w:val="15080B89"/>
    <w:rsid w:val="154712A7"/>
    <w:rsid w:val="154F67B8"/>
    <w:rsid w:val="156D4E90"/>
    <w:rsid w:val="15853F88"/>
    <w:rsid w:val="15A51F1D"/>
    <w:rsid w:val="15A85BD2"/>
    <w:rsid w:val="15EB4733"/>
    <w:rsid w:val="168C3D3A"/>
    <w:rsid w:val="16B26FFE"/>
    <w:rsid w:val="16D76A65"/>
    <w:rsid w:val="16E318AE"/>
    <w:rsid w:val="172577D0"/>
    <w:rsid w:val="173B3498"/>
    <w:rsid w:val="1763479D"/>
    <w:rsid w:val="17840AC6"/>
    <w:rsid w:val="17BB1EE3"/>
    <w:rsid w:val="17F959B3"/>
    <w:rsid w:val="18245CDA"/>
    <w:rsid w:val="18673E19"/>
    <w:rsid w:val="18A92683"/>
    <w:rsid w:val="18B03138"/>
    <w:rsid w:val="190B50EC"/>
    <w:rsid w:val="190B692E"/>
    <w:rsid w:val="193058E6"/>
    <w:rsid w:val="19502AFF"/>
    <w:rsid w:val="1A5959E3"/>
    <w:rsid w:val="1A96036F"/>
    <w:rsid w:val="1ABC669E"/>
    <w:rsid w:val="1B040045"/>
    <w:rsid w:val="1B065B6B"/>
    <w:rsid w:val="1B1C70FB"/>
    <w:rsid w:val="1B4F57C2"/>
    <w:rsid w:val="1B502A2B"/>
    <w:rsid w:val="1B632FBD"/>
    <w:rsid w:val="1B7D4D0E"/>
    <w:rsid w:val="1BAA0BEC"/>
    <w:rsid w:val="1BAA7F40"/>
    <w:rsid w:val="1BD21EF1"/>
    <w:rsid w:val="1BDE2644"/>
    <w:rsid w:val="1BE37C5A"/>
    <w:rsid w:val="1BEC2FB3"/>
    <w:rsid w:val="1BF16803"/>
    <w:rsid w:val="1C4A7CD9"/>
    <w:rsid w:val="1C5648D0"/>
    <w:rsid w:val="1C5C2071"/>
    <w:rsid w:val="1C9C036D"/>
    <w:rsid w:val="1D175E0D"/>
    <w:rsid w:val="1D5726AE"/>
    <w:rsid w:val="1D7154E5"/>
    <w:rsid w:val="1D8A2A83"/>
    <w:rsid w:val="1DE101C9"/>
    <w:rsid w:val="1E2106D1"/>
    <w:rsid w:val="1E6F1C79"/>
    <w:rsid w:val="1E8C6387"/>
    <w:rsid w:val="1ED3043E"/>
    <w:rsid w:val="1F1D16D5"/>
    <w:rsid w:val="1F31662D"/>
    <w:rsid w:val="1F837486"/>
    <w:rsid w:val="1F86409F"/>
    <w:rsid w:val="1F8D0609"/>
    <w:rsid w:val="1FA20D6F"/>
    <w:rsid w:val="1FC648F1"/>
    <w:rsid w:val="202D5948"/>
    <w:rsid w:val="202F16C0"/>
    <w:rsid w:val="2100305C"/>
    <w:rsid w:val="211441B8"/>
    <w:rsid w:val="21333432"/>
    <w:rsid w:val="216C57F6"/>
    <w:rsid w:val="217A4BBD"/>
    <w:rsid w:val="219A4027"/>
    <w:rsid w:val="21F229A5"/>
    <w:rsid w:val="224A5109"/>
    <w:rsid w:val="225B3EBB"/>
    <w:rsid w:val="225C42C2"/>
    <w:rsid w:val="228A0E2F"/>
    <w:rsid w:val="22FA4207"/>
    <w:rsid w:val="230E7CB2"/>
    <w:rsid w:val="233D2346"/>
    <w:rsid w:val="23525352"/>
    <w:rsid w:val="237613B4"/>
    <w:rsid w:val="23A128D5"/>
    <w:rsid w:val="23C16AD3"/>
    <w:rsid w:val="23C30A9D"/>
    <w:rsid w:val="23C465C3"/>
    <w:rsid w:val="240B5FA0"/>
    <w:rsid w:val="243F3E9B"/>
    <w:rsid w:val="24B14D99"/>
    <w:rsid w:val="24CF521F"/>
    <w:rsid w:val="24EE0220"/>
    <w:rsid w:val="251946ED"/>
    <w:rsid w:val="253357AE"/>
    <w:rsid w:val="253D487F"/>
    <w:rsid w:val="253F23A5"/>
    <w:rsid w:val="259B4D17"/>
    <w:rsid w:val="25D312AA"/>
    <w:rsid w:val="26154EB4"/>
    <w:rsid w:val="265A329C"/>
    <w:rsid w:val="26661BB3"/>
    <w:rsid w:val="2668592C"/>
    <w:rsid w:val="2683355D"/>
    <w:rsid w:val="268362C1"/>
    <w:rsid w:val="26E92866"/>
    <w:rsid w:val="26F70A5D"/>
    <w:rsid w:val="270A253F"/>
    <w:rsid w:val="27233601"/>
    <w:rsid w:val="278D78E5"/>
    <w:rsid w:val="27930786"/>
    <w:rsid w:val="27A504B9"/>
    <w:rsid w:val="27C070A1"/>
    <w:rsid w:val="27C60B5C"/>
    <w:rsid w:val="27DA4607"/>
    <w:rsid w:val="27E2742C"/>
    <w:rsid w:val="282F380E"/>
    <w:rsid w:val="28341F69"/>
    <w:rsid w:val="289B3D96"/>
    <w:rsid w:val="28C055AB"/>
    <w:rsid w:val="28CA0B7C"/>
    <w:rsid w:val="29387837"/>
    <w:rsid w:val="294E0E09"/>
    <w:rsid w:val="29567CBD"/>
    <w:rsid w:val="29A21154"/>
    <w:rsid w:val="2A0616E3"/>
    <w:rsid w:val="2A1C442B"/>
    <w:rsid w:val="2A3A138D"/>
    <w:rsid w:val="2A41786C"/>
    <w:rsid w:val="2AAD6003"/>
    <w:rsid w:val="2AB949A8"/>
    <w:rsid w:val="2B033E75"/>
    <w:rsid w:val="2B1B7EB7"/>
    <w:rsid w:val="2B402F95"/>
    <w:rsid w:val="2B4A5600"/>
    <w:rsid w:val="2B4C5D60"/>
    <w:rsid w:val="2BCC24B9"/>
    <w:rsid w:val="2C1D0F66"/>
    <w:rsid w:val="2C482B06"/>
    <w:rsid w:val="2C5801F0"/>
    <w:rsid w:val="2C8B0B3A"/>
    <w:rsid w:val="2D8549C8"/>
    <w:rsid w:val="2D8D5C78"/>
    <w:rsid w:val="2DC53663"/>
    <w:rsid w:val="2DFB7085"/>
    <w:rsid w:val="2EB97CA5"/>
    <w:rsid w:val="2EBA484A"/>
    <w:rsid w:val="2ED71392"/>
    <w:rsid w:val="2EFA558F"/>
    <w:rsid w:val="2F6F3887"/>
    <w:rsid w:val="2F736F4A"/>
    <w:rsid w:val="2FB27C17"/>
    <w:rsid w:val="2FC11C09"/>
    <w:rsid w:val="2FC70413"/>
    <w:rsid w:val="30764BE7"/>
    <w:rsid w:val="31201969"/>
    <w:rsid w:val="31230DCD"/>
    <w:rsid w:val="313A6116"/>
    <w:rsid w:val="3163566D"/>
    <w:rsid w:val="316433D0"/>
    <w:rsid w:val="318E2C8A"/>
    <w:rsid w:val="32831138"/>
    <w:rsid w:val="328C234A"/>
    <w:rsid w:val="32C428D3"/>
    <w:rsid w:val="32E13866"/>
    <w:rsid w:val="330E1609"/>
    <w:rsid w:val="33310B16"/>
    <w:rsid w:val="33353039"/>
    <w:rsid w:val="333C7F24"/>
    <w:rsid w:val="335F5F3F"/>
    <w:rsid w:val="338040E8"/>
    <w:rsid w:val="339935C8"/>
    <w:rsid w:val="33C6541B"/>
    <w:rsid w:val="33DB773D"/>
    <w:rsid w:val="33E16D1D"/>
    <w:rsid w:val="33FE342B"/>
    <w:rsid w:val="3409654F"/>
    <w:rsid w:val="34584E85"/>
    <w:rsid w:val="35466E38"/>
    <w:rsid w:val="355D6D9F"/>
    <w:rsid w:val="35B91D00"/>
    <w:rsid w:val="35E2382D"/>
    <w:rsid w:val="35F03248"/>
    <w:rsid w:val="36360D76"/>
    <w:rsid w:val="36453593"/>
    <w:rsid w:val="364A0BAA"/>
    <w:rsid w:val="36783969"/>
    <w:rsid w:val="368A369C"/>
    <w:rsid w:val="36975753"/>
    <w:rsid w:val="36B41CD5"/>
    <w:rsid w:val="37217B5C"/>
    <w:rsid w:val="37287910"/>
    <w:rsid w:val="378B6E72"/>
    <w:rsid w:val="37A45EE1"/>
    <w:rsid w:val="37F9067C"/>
    <w:rsid w:val="38111E79"/>
    <w:rsid w:val="382D0783"/>
    <w:rsid w:val="388D1833"/>
    <w:rsid w:val="38A10829"/>
    <w:rsid w:val="38F372D7"/>
    <w:rsid w:val="391159AF"/>
    <w:rsid w:val="3925145A"/>
    <w:rsid w:val="399975EE"/>
    <w:rsid w:val="39A86313"/>
    <w:rsid w:val="3A211C22"/>
    <w:rsid w:val="3A80103E"/>
    <w:rsid w:val="3A86417A"/>
    <w:rsid w:val="3AAB3F75"/>
    <w:rsid w:val="3AD722D6"/>
    <w:rsid w:val="3AE80991"/>
    <w:rsid w:val="3B0532F1"/>
    <w:rsid w:val="3B1B6E04"/>
    <w:rsid w:val="3B295232"/>
    <w:rsid w:val="3B3E6803"/>
    <w:rsid w:val="3B6C15C2"/>
    <w:rsid w:val="3B862684"/>
    <w:rsid w:val="3BAA5C47"/>
    <w:rsid w:val="3BAB1079"/>
    <w:rsid w:val="3BD76CB6"/>
    <w:rsid w:val="3BE0777E"/>
    <w:rsid w:val="3C2679C3"/>
    <w:rsid w:val="3C3975B5"/>
    <w:rsid w:val="3CFC0724"/>
    <w:rsid w:val="3D13665C"/>
    <w:rsid w:val="3D250CA1"/>
    <w:rsid w:val="3D6907A7"/>
    <w:rsid w:val="3DC53153"/>
    <w:rsid w:val="3E693B97"/>
    <w:rsid w:val="3EAD2DD1"/>
    <w:rsid w:val="3EB10138"/>
    <w:rsid w:val="3EC040FF"/>
    <w:rsid w:val="3F3C4ABD"/>
    <w:rsid w:val="3F52287D"/>
    <w:rsid w:val="3F6E3B5B"/>
    <w:rsid w:val="3F7647BE"/>
    <w:rsid w:val="3F854A01"/>
    <w:rsid w:val="3FAF7CCF"/>
    <w:rsid w:val="40104C12"/>
    <w:rsid w:val="406D5BC1"/>
    <w:rsid w:val="409018AF"/>
    <w:rsid w:val="40C00DC8"/>
    <w:rsid w:val="40E56788"/>
    <w:rsid w:val="413C4872"/>
    <w:rsid w:val="418E5503"/>
    <w:rsid w:val="41A03D74"/>
    <w:rsid w:val="41AA69A0"/>
    <w:rsid w:val="41AF6737"/>
    <w:rsid w:val="41BC5837"/>
    <w:rsid w:val="42935686"/>
    <w:rsid w:val="42B50A7D"/>
    <w:rsid w:val="43087E22"/>
    <w:rsid w:val="433B01F8"/>
    <w:rsid w:val="43455072"/>
    <w:rsid w:val="435629F7"/>
    <w:rsid w:val="43930B00"/>
    <w:rsid w:val="43D321DE"/>
    <w:rsid w:val="43D441A9"/>
    <w:rsid w:val="443864E5"/>
    <w:rsid w:val="443B5FD6"/>
    <w:rsid w:val="44663053"/>
    <w:rsid w:val="44894F93"/>
    <w:rsid w:val="44906321"/>
    <w:rsid w:val="44A678F3"/>
    <w:rsid w:val="44F3065E"/>
    <w:rsid w:val="450F2741"/>
    <w:rsid w:val="452E517F"/>
    <w:rsid w:val="453A0573"/>
    <w:rsid w:val="4598072C"/>
    <w:rsid w:val="459B7FA8"/>
    <w:rsid w:val="45A00D58"/>
    <w:rsid w:val="45DB7806"/>
    <w:rsid w:val="45E43797"/>
    <w:rsid w:val="45E71F71"/>
    <w:rsid w:val="464473C4"/>
    <w:rsid w:val="464C1D11"/>
    <w:rsid w:val="46A3677D"/>
    <w:rsid w:val="46BA58D8"/>
    <w:rsid w:val="46BC4A78"/>
    <w:rsid w:val="46C8055E"/>
    <w:rsid w:val="47024B89"/>
    <w:rsid w:val="4723522B"/>
    <w:rsid w:val="477E47F0"/>
    <w:rsid w:val="479A7464"/>
    <w:rsid w:val="47C22C96"/>
    <w:rsid w:val="487B4BF3"/>
    <w:rsid w:val="48981C49"/>
    <w:rsid w:val="48D55B16"/>
    <w:rsid w:val="48E56510"/>
    <w:rsid w:val="48F609CD"/>
    <w:rsid w:val="492E50F9"/>
    <w:rsid w:val="496A2D5C"/>
    <w:rsid w:val="49C64593"/>
    <w:rsid w:val="49E862B8"/>
    <w:rsid w:val="49EF6445"/>
    <w:rsid w:val="49F41101"/>
    <w:rsid w:val="4A4554B8"/>
    <w:rsid w:val="4A673681"/>
    <w:rsid w:val="4A705397"/>
    <w:rsid w:val="4A742241"/>
    <w:rsid w:val="4A834233"/>
    <w:rsid w:val="4AA14387"/>
    <w:rsid w:val="4AC705C3"/>
    <w:rsid w:val="4AC97E97"/>
    <w:rsid w:val="4ADA20A4"/>
    <w:rsid w:val="4AF40715"/>
    <w:rsid w:val="4B1749BC"/>
    <w:rsid w:val="4B17661E"/>
    <w:rsid w:val="4B75139B"/>
    <w:rsid w:val="4B95421D"/>
    <w:rsid w:val="4C5C3B7C"/>
    <w:rsid w:val="4C8A18A8"/>
    <w:rsid w:val="4C8D3147"/>
    <w:rsid w:val="4CA8697D"/>
    <w:rsid w:val="4CB22BAD"/>
    <w:rsid w:val="4CE511D4"/>
    <w:rsid w:val="4CE94821"/>
    <w:rsid w:val="4CF02261"/>
    <w:rsid w:val="4D1675E0"/>
    <w:rsid w:val="4D40640B"/>
    <w:rsid w:val="4D97427D"/>
    <w:rsid w:val="4D9A1FBF"/>
    <w:rsid w:val="4DCE1CDC"/>
    <w:rsid w:val="4E0336C0"/>
    <w:rsid w:val="4E571C5E"/>
    <w:rsid w:val="4E690324"/>
    <w:rsid w:val="4EA50C1B"/>
    <w:rsid w:val="4EBB043F"/>
    <w:rsid w:val="4EC8490A"/>
    <w:rsid w:val="4ED137BE"/>
    <w:rsid w:val="4EFB083B"/>
    <w:rsid w:val="4F164ECB"/>
    <w:rsid w:val="4F251D5C"/>
    <w:rsid w:val="4F3124AF"/>
    <w:rsid w:val="4F3501F1"/>
    <w:rsid w:val="4F642DD4"/>
    <w:rsid w:val="4F6B3C13"/>
    <w:rsid w:val="4F8847C5"/>
    <w:rsid w:val="4FB01626"/>
    <w:rsid w:val="4FDD2FC7"/>
    <w:rsid w:val="4FDF2564"/>
    <w:rsid w:val="4FE77820"/>
    <w:rsid w:val="50046EE9"/>
    <w:rsid w:val="5008608D"/>
    <w:rsid w:val="5011165E"/>
    <w:rsid w:val="501C27D5"/>
    <w:rsid w:val="50560C35"/>
    <w:rsid w:val="507702EA"/>
    <w:rsid w:val="507F7220"/>
    <w:rsid w:val="5086682B"/>
    <w:rsid w:val="508825A3"/>
    <w:rsid w:val="50C07F8E"/>
    <w:rsid w:val="50CA384D"/>
    <w:rsid w:val="50E53551"/>
    <w:rsid w:val="511F0CCF"/>
    <w:rsid w:val="51735001"/>
    <w:rsid w:val="518D173F"/>
    <w:rsid w:val="51AD7AEB"/>
    <w:rsid w:val="51F63F1B"/>
    <w:rsid w:val="521A547C"/>
    <w:rsid w:val="52291BFB"/>
    <w:rsid w:val="52792E56"/>
    <w:rsid w:val="528D3EA0"/>
    <w:rsid w:val="52BC67CA"/>
    <w:rsid w:val="52CF1AED"/>
    <w:rsid w:val="52EB0BC7"/>
    <w:rsid w:val="533308FD"/>
    <w:rsid w:val="537B1F4B"/>
    <w:rsid w:val="538E7ED0"/>
    <w:rsid w:val="540957A8"/>
    <w:rsid w:val="5422686A"/>
    <w:rsid w:val="54467240"/>
    <w:rsid w:val="54870688"/>
    <w:rsid w:val="552A59D6"/>
    <w:rsid w:val="554B7562"/>
    <w:rsid w:val="556C5FEF"/>
    <w:rsid w:val="55D343BA"/>
    <w:rsid w:val="562C39D0"/>
    <w:rsid w:val="5646208C"/>
    <w:rsid w:val="567B169F"/>
    <w:rsid w:val="568B6721"/>
    <w:rsid w:val="568E6439"/>
    <w:rsid w:val="569021B1"/>
    <w:rsid w:val="56DB78D0"/>
    <w:rsid w:val="570F43DF"/>
    <w:rsid w:val="57212E09"/>
    <w:rsid w:val="57715B3F"/>
    <w:rsid w:val="57776ECD"/>
    <w:rsid w:val="578E4942"/>
    <w:rsid w:val="58192A45"/>
    <w:rsid w:val="588C69A8"/>
    <w:rsid w:val="58BA08D1"/>
    <w:rsid w:val="59162714"/>
    <w:rsid w:val="59172716"/>
    <w:rsid w:val="59205A6E"/>
    <w:rsid w:val="596F4300"/>
    <w:rsid w:val="5983355E"/>
    <w:rsid w:val="59EE791A"/>
    <w:rsid w:val="5A0F3B18"/>
    <w:rsid w:val="5A776714"/>
    <w:rsid w:val="5AAF563E"/>
    <w:rsid w:val="5ADD24CF"/>
    <w:rsid w:val="5B35379B"/>
    <w:rsid w:val="5B7F09C0"/>
    <w:rsid w:val="5BD26DC8"/>
    <w:rsid w:val="5BEA6599"/>
    <w:rsid w:val="5C3E620B"/>
    <w:rsid w:val="5C471564"/>
    <w:rsid w:val="5C62639E"/>
    <w:rsid w:val="5C66635B"/>
    <w:rsid w:val="5C990449"/>
    <w:rsid w:val="5CDF79EE"/>
    <w:rsid w:val="5DF11787"/>
    <w:rsid w:val="5E231B5D"/>
    <w:rsid w:val="5E3653EC"/>
    <w:rsid w:val="5E483371"/>
    <w:rsid w:val="5F1F40D2"/>
    <w:rsid w:val="5F8D1984"/>
    <w:rsid w:val="5FAB005C"/>
    <w:rsid w:val="5FB0066B"/>
    <w:rsid w:val="6028645B"/>
    <w:rsid w:val="602A71D2"/>
    <w:rsid w:val="603E2C7E"/>
    <w:rsid w:val="604A33D1"/>
    <w:rsid w:val="606C1599"/>
    <w:rsid w:val="608250F0"/>
    <w:rsid w:val="60C863F4"/>
    <w:rsid w:val="60CF1B28"/>
    <w:rsid w:val="60F8107F"/>
    <w:rsid w:val="61047A23"/>
    <w:rsid w:val="611814CD"/>
    <w:rsid w:val="611D0AE5"/>
    <w:rsid w:val="612D7A16"/>
    <w:rsid w:val="61775A1A"/>
    <w:rsid w:val="61815EAF"/>
    <w:rsid w:val="61F53810"/>
    <w:rsid w:val="626253CB"/>
    <w:rsid w:val="626D33A6"/>
    <w:rsid w:val="62D358FF"/>
    <w:rsid w:val="62E80825"/>
    <w:rsid w:val="62ED08B8"/>
    <w:rsid w:val="63100901"/>
    <w:rsid w:val="63110A8B"/>
    <w:rsid w:val="6325060A"/>
    <w:rsid w:val="633E4315"/>
    <w:rsid w:val="639D5F0D"/>
    <w:rsid w:val="63E15DFA"/>
    <w:rsid w:val="63EB73BE"/>
    <w:rsid w:val="63F64AF7"/>
    <w:rsid w:val="641E0DFC"/>
    <w:rsid w:val="647B624F"/>
    <w:rsid w:val="64DE67DD"/>
    <w:rsid w:val="64F81CAE"/>
    <w:rsid w:val="65053D6A"/>
    <w:rsid w:val="65055B18"/>
    <w:rsid w:val="653E102A"/>
    <w:rsid w:val="65702E88"/>
    <w:rsid w:val="65B062FF"/>
    <w:rsid w:val="65FA13F5"/>
    <w:rsid w:val="66091638"/>
    <w:rsid w:val="662A7F2C"/>
    <w:rsid w:val="66326DE1"/>
    <w:rsid w:val="669E0B12"/>
    <w:rsid w:val="66AC6FB3"/>
    <w:rsid w:val="66B912B0"/>
    <w:rsid w:val="66C9026B"/>
    <w:rsid w:val="66CC2D91"/>
    <w:rsid w:val="66DC5708"/>
    <w:rsid w:val="66F81DD8"/>
    <w:rsid w:val="67003A08"/>
    <w:rsid w:val="671865AC"/>
    <w:rsid w:val="673B1CC5"/>
    <w:rsid w:val="678E44EB"/>
    <w:rsid w:val="679118E5"/>
    <w:rsid w:val="67927140"/>
    <w:rsid w:val="67C47F0C"/>
    <w:rsid w:val="67C779FD"/>
    <w:rsid w:val="680B78E9"/>
    <w:rsid w:val="68914EB4"/>
    <w:rsid w:val="68DB72BC"/>
    <w:rsid w:val="69092D7D"/>
    <w:rsid w:val="693B7B3B"/>
    <w:rsid w:val="697414BE"/>
    <w:rsid w:val="699D27C3"/>
    <w:rsid w:val="69AC2A06"/>
    <w:rsid w:val="69C812BA"/>
    <w:rsid w:val="6A3550F2"/>
    <w:rsid w:val="6A452A79"/>
    <w:rsid w:val="6AA81420"/>
    <w:rsid w:val="6AAB53B4"/>
    <w:rsid w:val="6AD40467"/>
    <w:rsid w:val="6AD404C6"/>
    <w:rsid w:val="6ADE12E5"/>
    <w:rsid w:val="6B581098"/>
    <w:rsid w:val="6BE62939"/>
    <w:rsid w:val="6BE91CF0"/>
    <w:rsid w:val="6C027255"/>
    <w:rsid w:val="6C271DDA"/>
    <w:rsid w:val="6C2C0FD1"/>
    <w:rsid w:val="6C615234"/>
    <w:rsid w:val="6C692E30"/>
    <w:rsid w:val="6C726189"/>
    <w:rsid w:val="6C7C2B64"/>
    <w:rsid w:val="6CAB3449"/>
    <w:rsid w:val="6CC22541"/>
    <w:rsid w:val="6D071EEA"/>
    <w:rsid w:val="6D502AE7"/>
    <w:rsid w:val="6D5B6C1D"/>
    <w:rsid w:val="6DA700B4"/>
    <w:rsid w:val="6DD93FE6"/>
    <w:rsid w:val="6DE22E9A"/>
    <w:rsid w:val="6DED4A0B"/>
    <w:rsid w:val="6E736A82"/>
    <w:rsid w:val="6EC62972"/>
    <w:rsid w:val="6EE36ECA"/>
    <w:rsid w:val="6FD25146"/>
    <w:rsid w:val="70253370"/>
    <w:rsid w:val="705D2CAC"/>
    <w:rsid w:val="706C2EEF"/>
    <w:rsid w:val="70A00DEB"/>
    <w:rsid w:val="70B0102E"/>
    <w:rsid w:val="70B2124A"/>
    <w:rsid w:val="715776FB"/>
    <w:rsid w:val="71915F81"/>
    <w:rsid w:val="71FB028A"/>
    <w:rsid w:val="72062ED0"/>
    <w:rsid w:val="72120104"/>
    <w:rsid w:val="72273572"/>
    <w:rsid w:val="724D0AFE"/>
    <w:rsid w:val="725B321B"/>
    <w:rsid w:val="72640322"/>
    <w:rsid w:val="727073F5"/>
    <w:rsid w:val="730D09BA"/>
    <w:rsid w:val="731700C0"/>
    <w:rsid w:val="73185E94"/>
    <w:rsid w:val="735E7467"/>
    <w:rsid w:val="73685DD0"/>
    <w:rsid w:val="736B56E0"/>
    <w:rsid w:val="73D34C4F"/>
    <w:rsid w:val="73E6120B"/>
    <w:rsid w:val="73EA4857"/>
    <w:rsid w:val="73FD740F"/>
    <w:rsid w:val="74040C07"/>
    <w:rsid w:val="740C2793"/>
    <w:rsid w:val="74185FD6"/>
    <w:rsid w:val="741C4C2C"/>
    <w:rsid w:val="749E3893"/>
    <w:rsid w:val="74A30C47"/>
    <w:rsid w:val="7505733F"/>
    <w:rsid w:val="75581C94"/>
    <w:rsid w:val="755C1784"/>
    <w:rsid w:val="75BF7F65"/>
    <w:rsid w:val="75CB06B8"/>
    <w:rsid w:val="75E6443D"/>
    <w:rsid w:val="760659DE"/>
    <w:rsid w:val="761B33ED"/>
    <w:rsid w:val="765D7E8B"/>
    <w:rsid w:val="766308F1"/>
    <w:rsid w:val="768D6460"/>
    <w:rsid w:val="76A07D97"/>
    <w:rsid w:val="771C1C9F"/>
    <w:rsid w:val="77567DA3"/>
    <w:rsid w:val="782B3690"/>
    <w:rsid w:val="790F43FB"/>
    <w:rsid w:val="7912614C"/>
    <w:rsid w:val="791D56CF"/>
    <w:rsid w:val="794519BF"/>
    <w:rsid w:val="795B7FA5"/>
    <w:rsid w:val="79EF1E68"/>
    <w:rsid w:val="7A207086"/>
    <w:rsid w:val="7A266805"/>
    <w:rsid w:val="7A3E3B4E"/>
    <w:rsid w:val="7A6A4943"/>
    <w:rsid w:val="7A756E44"/>
    <w:rsid w:val="7A8F43F6"/>
    <w:rsid w:val="7B114DBF"/>
    <w:rsid w:val="7B2E3D9A"/>
    <w:rsid w:val="7B452CBB"/>
    <w:rsid w:val="7B7A0BB6"/>
    <w:rsid w:val="7B83730E"/>
    <w:rsid w:val="7B875081"/>
    <w:rsid w:val="7B9A4DB4"/>
    <w:rsid w:val="7BC10593"/>
    <w:rsid w:val="7BD1532C"/>
    <w:rsid w:val="7C653614"/>
    <w:rsid w:val="7C914409"/>
    <w:rsid w:val="7CA12173"/>
    <w:rsid w:val="7CB43A32"/>
    <w:rsid w:val="7CEF376C"/>
    <w:rsid w:val="7CF84488"/>
    <w:rsid w:val="7D165E47"/>
    <w:rsid w:val="7D2D756F"/>
    <w:rsid w:val="7D6513F2"/>
    <w:rsid w:val="7D6B2EAC"/>
    <w:rsid w:val="7D817139"/>
    <w:rsid w:val="7D8950E1"/>
    <w:rsid w:val="7D8F021D"/>
    <w:rsid w:val="7DBC2D12"/>
    <w:rsid w:val="7E2968C4"/>
    <w:rsid w:val="7E7713DD"/>
    <w:rsid w:val="7EC01A44"/>
    <w:rsid w:val="7F231565"/>
    <w:rsid w:val="7F680BB6"/>
    <w:rsid w:val="7F802513"/>
    <w:rsid w:val="7FD37C9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rPr>
      <w:kern w:val="0"/>
      <w:sz w:val="20"/>
    </w:rPr>
  </w:style>
  <w:style w:type="paragraph" w:styleId="14">
    <w:name w:val="index 4"/>
    <w:basedOn w:val="1"/>
    <w:next w:val="1"/>
    <w:qFormat/>
    <w:uiPriority w:val="99"/>
    <w:pPr>
      <w:ind w:left="600" w:leftChars="600"/>
    </w:pPr>
    <w:rPr>
      <w:szCs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4"/>
    <w:semiHidden/>
    <w:unhideWhenUsed/>
    <w:qFormat/>
    <w:uiPriority w:val="99"/>
    <w:pPr>
      <w:spacing w:after="0" w:line="240" w:lineRule="auto"/>
    </w:pPr>
    <w:rPr>
      <w:sz w:val="20"/>
    </w:rPr>
  </w:style>
  <w:style w:type="paragraph" w:styleId="19">
    <w:name w:val="footer"/>
    <w:basedOn w:val="1"/>
    <w:link w:val="57"/>
    <w:unhideWhenUsed/>
    <w:qFormat/>
    <w:uiPriority w:val="99"/>
    <w:pPr>
      <w:tabs>
        <w:tab w:val="center" w:pos="7143"/>
        <w:tab w:val="right" w:pos="14287"/>
      </w:tabs>
      <w:spacing w:after="0" w:line="240" w:lineRule="auto"/>
    </w:pPr>
  </w:style>
  <w:style w:type="paragraph" w:styleId="20">
    <w:name w:val="header"/>
    <w:basedOn w:val="1"/>
    <w:link w:val="55"/>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0">
    <w:name w:val="Title"/>
    <w:basedOn w:val="1"/>
    <w:next w:val="1"/>
    <w:link w:val="49"/>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索引 41"/>
    <w:basedOn w:val="1"/>
    <w:next w:val="1"/>
    <w:qFormat/>
    <w:uiPriority w:val="99"/>
    <w:pPr>
      <w:ind w:left="600"/>
    </w:pPr>
    <w:rPr>
      <w:szCs w:val="24"/>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0"/>
    <w:qFormat/>
    <w:uiPriority w:val="99"/>
  </w:style>
  <w:style w:type="character" w:customStyle="1" w:styleId="56">
    <w:name w:val="Footer Char"/>
    <w:link w:val="19"/>
    <w:qFormat/>
    <w:uiPriority w:val="99"/>
  </w:style>
  <w:style w:type="character" w:customStyle="1" w:styleId="57">
    <w:name w:val="Caption Char"/>
    <w:link w:val="19"/>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qFormat/>
    <w:uiPriority w:val="99"/>
    <w:rPr>
      <w:sz w:val="18"/>
    </w:rPr>
  </w:style>
  <w:style w:type="character" w:customStyle="1" w:styleId="184">
    <w:name w:val="Endnote Text Char"/>
    <w:link w:val="18"/>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3"/>
    <w:qFormat/>
    <w:uiPriority w:val="0"/>
    <w:pPr>
      <w:keepNext/>
      <w:jc w:val="center"/>
      <w:outlineLvl w:val="0"/>
    </w:pPr>
    <w:rPr>
      <w:b/>
      <w:bCs/>
      <w:sz w:val="44"/>
      <w:szCs w:val="44"/>
    </w:rPr>
  </w:style>
  <w:style w:type="paragraph" w:customStyle="1" w:styleId="187">
    <w:name w:val="标题 21"/>
    <w:basedOn w:val="1"/>
    <w:next w:val="1"/>
    <w:link w:val="194"/>
    <w:qFormat/>
    <w:uiPriority w:val="0"/>
    <w:pPr>
      <w:keepNext/>
      <w:jc w:val="center"/>
      <w:outlineLvl w:val="1"/>
    </w:pPr>
    <w:rPr>
      <w:rFonts w:ascii="Cambria" w:hAnsi="Cambria"/>
      <w:b/>
      <w:bCs/>
      <w:sz w:val="32"/>
      <w:szCs w:val="32"/>
    </w:rPr>
  </w:style>
  <w:style w:type="paragraph" w:customStyle="1" w:styleId="188">
    <w:name w:val="标题 311"/>
    <w:basedOn w:val="1"/>
    <w:next w:val="1"/>
    <w:link w:val="195"/>
    <w:qFormat/>
    <w:uiPriority w:val="0"/>
    <w:pPr>
      <w:keepNext/>
      <w:jc w:val="center"/>
      <w:outlineLvl w:val="2"/>
    </w:pPr>
    <w:rPr>
      <w:b/>
      <w:bCs/>
      <w:sz w:val="32"/>
      <w:szCs w:val="32"/>
    </w:rPr>
  </w:style>
  <w:style w:type="paragraph" w:customStyle="1" w:styleId="189">
    <w:name w:val="标题 411"/>
    <w:basedOn w:val="1"/>
    <w:next w:val="1"/>
    <w:link w:val="196"/>
    <w:qFormat/>
    <w:uiPriority w:val="0"/>
    <w:pPr>
      <w:keepNext/>
      <w:jc w:val="center"/>
      <w:outlineLvl w:val="3"/>
    </w:pPr>
    <w:rPr>
      <w:rFonts w:ascii="Cambria" w:hAnsi="Cambria"/>
      <w:b/>
      <w:bCs/>
      <w:sz w:val="28"/>
      <w:szCs w:val="28"/>
    </w:rPr>
  </w:style>
  <w:style w:type="paragraph" w:customStyle="1" w:styleId="190">
    <w:name w:val="标题 51"/>
    <w:basedOn w:val="1"/>
    <w:next w:val="1"/>
    <w:link w:val="197"/>
    <w:qFormat/>
    <w:uiPriority w:val="0"/>
    <w:pPr>
      <w:keepNext/>
      <w:numPr>
        <w:ilvl w:val="0"/>
        <w:numId w:val="1"/>
      </w:numPr>
      <w:outlineLvl w:val="4"/>
    </w:pPr>
    <w:rPr>
      <w:rFonts w:ascii="楷体_GB2312" w:eastAsia="楷体_GB2312"/>
      <w:bCs/>
      <w:sz w:val="28"/>
    </w:rPr>
  </w:style>
  <w:style w:type="character" w:customStyle="1" w:styleId="191">
    <w:name w:val="默认段落字体11"/>
    <w:link w:val="1"/>
    <w:unhideWhenUsed/>
    <w:qFormat/>
    <w:uiPriority w:val="1"/>
  </w:style>
  <w:style w:type="table" w:customStyle="1" w:styleId="192">
    <w:name w:val="普通表格1"/>
    <w:unhideWhenUsed/>
    <w:qFormat/>
    <w:uiPriority w:val="99"/>
  </w:style>
  <w:style w:type="character" w:customStyle="1" w:styleId="193">
    <w:name w:val="标题 1 Char"/>
    <w:link w:val="186"/>
    <w:qFormat/>
    <w:uiPriority w:val="0"/>
    <w:rPr>
      <w:rFonts w:cs="Times New Roman"/>
      <w:b/>
      <w:bCs/>
      <w:sz w:val="44"/>
      <w:szCs w:val="44"/>
    </w:rPr>
  </w:style>
  <w:style w:type="character" w:customStyle="1" w:styleId="194">
    <w:name w:val="标题 2 Char"/>
    <w:link w:val="187"/>
    <w:semiHidden/>
    <w:qFormat/>
    <w:uiPriority w:val="0"/>
    <w:rPr>
      <w:rFonts w:ascii="Cambria" w:hAnsi="Cambria" w:eastAsia="宋体" w:cs="Times New Roman"/>
      <w:b/>
      <w:bCs/>
      <w:sz w:val="32"/>
      <w:szCs w:val="32"/>
    </w:rPr>
  </w:style>
  <w:style w:type="character" w:customStyle="1" w:styleId="195">
    <w:name w:val="标题 3 Char"/>
    <w:link w:val="188"/>
    <w:semiHidden/>
    <w:qFormat/>
    <w:uiPriority w:val="0"/>
    <w:rPr>
      <w:rFonts w:cs="Times New Roman"/>
      <w:b/>
      <w:bCs/>
      <w:sz w:val="32"/>
      <w:szCs w:val="32"/>
    </w:rPr>
  </w:style>
  <w:style w:type="character" w:customStyle="1" w:styleId="196">
    <w:name w:val="标题 4 Char"/>
    <w:link w:val="189"/>
    <w:semiHidden/>
    <w:qFormat/>
    <w:uiPriority w:val="0"/>
    <w:rPr>
      <w:rFonts w:ascii="Cambria" w:hAnsi="Cambria" w:eastAsia="宋体" w:cs="Times New Roman"/>
      <w:b/>
      <w:bCs/>
      <w:sz w:val="28"/>
      <w:szCs w:val="28"/>
    </w:rPr>
  </w:style>
  <w:style w:type="character" w:customStyle="1" w:styleId="197">
    <w:name w:val="标题 5 Char"/>
    <w:link w:val="190"/>
    <w:qFormat/>
    <w:uiPriority w:val="0"/>
    <w:rPr>
      <w:rFonts w:ascii="楷体_GB2312" w:eastAsia="楷体_GB2312"/>
      <w:bCs/>
      <w:sz w:val="28"/>
    </w:rPr>
  </w:style>
  <w:style w:type="paragraph" w:customStyle="1" w:styleId="198">
    <w:name w:val="正文缩进11"/>
    <w:basedOn w:val="1"/>
    <w:link w:val="199"/>
    <w:qFormat/>
    <w:uiPriority w:val="0"/>
    <w:pPr>
      <w:ind w:firstLine="420"/>
    </w:pPr>
  </w:style>
  <w:style w:type="character" w:customStyle="1" w:styleId="199">
    <w:name w:val="正文缩进 Char"/>
    <w:link w:val="198"/>
    <w:qFormat/>
    <w:uiPriority w:val="0"/>
    <w:rPr>
      <w:sz w:val="21"/>
    </w:rPr>
  </w:style>
  <w:style w:type="paragraph" w:customStyle="1" w:styleId="200">
    <w:name w:val="文档结构图1"/>
    <w:basedOn w:val="1"/>
    <w:link w:val="201"/>
    <w:semiHidden/>
    <w:qFormat/>
    <w:uiPriority w:val="0"/>
    <w:pPr>
      <w:shd w:val="clear" w:color="auto" w:fill="000080"/>
    </w:pPr>
    <w:rPr>
      <w:sz w:val="2"/>
    </w:rPr>
  </w:style>
  <w:style w:type="character" w:customStyle="1" w:styleId="201">
    <w:name w:val="文档结构图 Char"/>
    <w:link w:val="200"/>
    <w:semiHidden/>
    <w:qFormat/>
    <w:uiPriority w:val="0"/>
    <w:rPr>
      <w:rFonts w:cs="Times New Roman"/>
      <w:sz w:val="2"/>
    </w:rPr>
  </w:style>
  <w:style w:type="paragraph" w:customStyle="1" w:styleId="202">
    <w:name w:val="批注文字1"/>
    <w:basedOn w:val="1"/>
    <w:link w:val="203"/>
    <w:unhideWhenUsed/>
    <w:qFormat/>
    <w:uiPriority w:val="0"/>
    <w:pPr>
      <w:jc w:val="left"/>
    </w:pPr>
  </w:style>
  <w:style w:type="character" w:customStyle="1" w:styleId="203">
    <w:name w:val="批注文字 Char"/>
    <w:link w:val="202"/>
    <w:qFormat/>
    <w:uiPriority w:val="0"/>
    <w:rPr>
      <w:sz w:val="21"/>
    </w:rPr>
  </w:style>
  <w:style w:type="paragraph" w:customStyle="1" w:styleId="204">
    <w:name w:val="正文文本1"/>
    <w:basedOn w:val="1"/>
    <w:link w:val="205"/>
    <w:qFormat/>
    <w:uiPriority w:val="0"/>
    <w:rPr>
      <w:sz w:val="20"/>
    </w:rPr>
  </w:style>
  <w:style w:type="character" w:customStyle="1" w:styleId="205">
    <w:name w:val="正文文本 Char"/>
    <w:link w:val="204"/>
    <w:semiHidden/>
    <w:qFormat/>
    <w:uiPriority w:val="0"/>
    <w:rPr>
      <w:rFonts w:cs="Times New Roman"/>
      <w:sz w:val="20"/>
      <w:szCs w:val="20"/>
    </w:rPr>
  </w:style>
  <w:style w:type="paragraph" w:customStyle="1" w:styleId="206">
    <w:name w:val="正文文本缩进11"/>
    <w:basedOn w:val="1"/>
    <w:link w:val="207"/>
    <w:qFormat/>
    <w:uiPriority w:val="0"/>
    <w:pPr>
      <w:ind w:firstLine="576"/>
    </w:pPr>
    <w:rPr>
      <w:sz w:val="20"/>
    </w:rPr>
  </w:style>
  <w:style w:type="character" w:customStyle="1" w:styleId="207">
    <w:name w:val="正文文本缩进 Char"/>
    <w:link w:val="206"/>
    <w:semiHidden/>
    <w:qFormat/>
    <w:uiPriority w:val="0"/>
    <w:rPr>
      <w:rFonts w:cs="Times New Roman"/>
      <w:sz w:val="20"/>
      <w:szCs w:val="20"/>
    </w:rPr>
  </w:style>
  <w:style w:type="paragraph" w:customStyle="1" w:styleId="208">
    <w:name w:val="日期1"/>
    <w:basedOn w:val="1"/>
    <w:next w:val="1"/>
    <w:link w:val="209"/>
    <w:qFormat/>
    <w:uiPriority w:val="0"/>
    <w:rPr>
      <w:sz w:val="20"/>
    </w:rPr>
  </w:style>
  <w:style w:type="character" w:customStyle="1" w:styleId="209">
    <w:name w:val="日期 Char"/>
    <w:link w:val="208"/>
    <w:semiHidden/>
    <w:qFormat/>
    <w:uiPriority w:val="0"/>
    <w:rPr>
      <w:rFonts w:cs="Times New Roman"/>
      <w:sz w:val="20"/>
      <w:szCs w:val="20"/>
    </w:rPr>
  </w:style>
  <w:style w:type="paragraph" w:customStyle="1" w:styleId="210">
    <w:name w:val="正文文本缩进 21"/>
    <w:basedOn w:val="1"/>
    <w:link w:val="211"/>
    <w:qFormat/>
    <w:uiPriority w:val="0"/>
    <w:pPr>
      <w:ind w:left="900"/>
    </w:pPr>
    <w:rPr>
      <w:sz w:val="20"/>
    </w:rPr>
  </w:style>
  <w:style w:type="character" w:customStyle="1" w:styleId="211">
    <w:name w:val="正文文本缩进 2 Char"/>
    <w:link w:val="210"/>
    <w:semiHidden/>
    <w:qFormat/>
    <w:uiPriority w:val="0"/>
    <w:rPr>
      <w:rFonts w:cs="Times New Roman"/>
      <w:sz w:val="20"/>
      <w:szCs w:val="20"/>
    </w:rPr>
  </w:style>
  <w:style w:type="paragraph" w:customStyle="1" w:styleId="212">
    <w:name w:val="批注框文本1"/>
    <w:basedOn w:val="1"/>
    <w:link w:val="213"/>
    <w:unhideWhenUsed/>
    <w:qFormat/>
    <w:uiPriority w:val="99"/>
    <w:rPr>
      <w:sz w:val="18"/>
      <w:szCs w:val="18"/>
    </w:rPr>
  </w:style>
  <w:style w:type="character" w:customStyle="1" w:styleId="213">
    <w:name w:val="批注框文本 Char"/>
    <w:link w:val="212"/>
    <w:qFormat/>
    <w:uiPriority w:val="99"/>
    <w:rPr>
      <w:sz w:val="18"/>
      <w:szCs w:val="18"/>
    </w:rPr>
  </w:style>
  <w:style w:type="paragraph" w:customStyle="1" w:styleId="214">
    <w:name w:val="页脚1"/>
    <w:basedOn w:val="1"/>
    <w:link w:val="215"/>
    <w:qFormat/>
    <w:uiPriority w:val="99"/>
    <w:pPr>
      <w:tabs>
        <w:tab w:val="center" w:pos="4153"/>
        <w:tab w:val="right" w:pos="8306"/>
      </w:tabs>
      <w:jc w:val="left"/>
    </w:pPr>
    <w:rPr>
      <w:sz w:val="18"/>
      <w:szCs w:val="18"/>
    </w:rPr>
  </w:style>
  <w:style w:type="character" w:customStyle="1" w:styleId="215">
    <w:name w:val="页脚 Char"/>
    <w:link w:val="214"/>
    <w:qFormat/>
    <w:uiPriority w:val="99"/>
    <w:rPr>
      <w:rFonts w:cs="Times New Roman"/>
      <w:sz w:val="18"/>
      <w:szCs w:val="18"/>
    </w:rPr>
  </w:style>
  <w:style w:type="paragraph" w:customStyle="1" w:styleId="216">
    <w:name w:val="页眉1"/>
    <w:basedOn w:val="1"/>
    <w:link w:val="217"/>
    <w:qFormat/>
    <w:uiPriority w:val="99"/>
    <w:pPr>
      <w:pBdr>
        <w:bottom w:val="single" w:color="000000" w:sz="6" w:space="1"/>
      </w:pBdr>
      <w:tabs>
        <w:tab w:val="center" w:pos="4153"/>
        <w:tab w:val="right" w:pos="8306"/>
      </w:tabs>
      <w:jc w:val="center"/>
    </w:pPr>
    <w:rPr>
      <w:sz w:val="18"/>
      <w:szCs w:val="18"/>
    </w:rPr>
  </w:style>
  <w:style w:type="character" w:customStyle="1" w:styleId="217">
    <w:name w:val="页眉 Char"/>
    <w:link w:val="216"/>
    <w:qFormat/>
    <w:uiPriority w:val="99"/>
    <w:rPr>
      <w:rFonts w:cs="Times New Roman"/>
      <w:sz w:val="18"/>
      <w:szCs w:val="18"/>
    </w:rPr>
  </w:style>
  <w:style w:type="paragraph" w:customStyle="1" w:styleId="218">
    <w:name w:val="目录 11"/>
    <w:basedOn w:val="1"/>
    <w:next w:val="1"/>
    <w:qFormat/>
    <w:uiPriority w:val="39"/>
  </w:style>
  <w:style w:type="paragraph" w:customStyle="1" w:styleId="219">
    <w:name w:val="副标题1"/>
    <w:basedOn w:val="1"/>
    <w:next w:val="1"/>
    <w:link w:val="220"/>
    <w:qFormat/>
    <w:uiPriority w:val="11"/>
    <w:pPr>
      <w:spacing w:before="240" w:after="60" w:line="312" w:lineRule="auto"/>
      <w:jc w:val="center"/>
      <w:outlineLvl w:val="1"/>
    </w:pPr>
    <w:rPr>
      <w:rFonts w:ascii="Calibri Light" w:hAnsi="Calibri Light"/>
      <w:b/>
      <w:bCs/>
      <w:sz w:val="32"/>
      <w:szCs w:val="32"/>
    </w:rPr>
  </w:style>
  <w:style w:type="character" w:customStyle="1" w:styleId="220">
    <w:name w:val="副标题 Char"/>
    <w:link w:val="219"/>
    <w:qFormat/>
    <w:uiPriority w:val="11"/>
    <w:rPr>
      <w:rFonts w:ascii="Calibri Light" w:hAnsi="Calibri Light"/>
      <w:b/>
      <w:bCs/>
      <w:sz w:val="32"/>
      <w:szCs w:val="32"/>
    </w:rPr>
  </w:style>
  <w:style w:type="paragraph" w:customStyle="1" w:styleId="221">
    <w:name w:val="正文文本缩进 31"/>
    <w:basedOn w:val="1"/>
    <w:link w:val="222"/>
    <w:qFormat/>
    <w:uiPriority w:val="0"/>
    <w:pPr>
      <w:ind w:left="359" w:firstLine="359"/>
    </w:pPr>
    <w:rPr>
      <w:sz w:val="16"/>
      <w:szCs w:val="16"/>
    </w:rPr>
  </w:style>
  <w:style w:type="character" w:customStyle="1" w:styleId="222">
    <w:name w:val="正文文本缩进 3 Char"/>
    <w:link w:val="221"/>
    <w:semiHidden/>
    <w:qFormat/>
    <w:uiPriority w:val="0"/>
    <w:rPr>
      <w:rFonts w:cs="Times New Roman"/>
      <w:sz w:val="16"/>
      <w:szCs w:val="16"/>
    </w:rPr>
  </w:style>
  <w:style w:type="paragraph" w:customStyle="1" w:styleId="223">
    <w:name w:val="正文文本 21"/>
    <w:basedOn w:val="1"/>
    <w:link w:val="224"/>
    <w:qFormat/>
    <w:uiPriority w:val="0"/>
    <w:pPr>
      <w:spacing w:after="120" w:line="480" w:lineRule="auto"/>
    </w:pPr>
    <w:rPr>
      <w:sz w:val="20"/>
    </w:rPr>
  </w:style>
  <w:style w:type="character" w:customStyle="1" w:styleId="224">
    <w:name w:val="正文文本 2 Char"/>
    <w:link w:val="223"/>
    <w:semiHidden/>
    <w:qFormat/>
    <w:uiPriority w:val="0"/>
    <w:rPr>
      <w:rFonts w:cs="Times New Roman"/>
      <w:sz w:val="20"/>
      <w:szCs w:val="20"/>
    </w:rPr>
  </w:style>
  <w:style w:type="paragraph" w:customStyle="1" w:styleId="225">
    <w:name w:val="HTML 预设格式1"/>
    <w:basedOn w:val="1"/>
    <w:unhideWhenUsed/>
    <w:qFormat/>
    <w:uiPriority w:val="99"/>
    <w:rPr>
      <w:rFonts w:ascii="Courier New" w:hAnsi="Courier New" w:cs="Courier New"/>
      <w:sz w:val="20"/>
      <w:szCs w:val="20"/>
    </w:rPr>
  </w:style>
  <w:style w:type="paragraph" w:customStyle="1" w:styleId="226">
    <w:name w:val="普通(网站)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27">
    <w:name w:val="标题1"/>
    <w:basedOn w:val="1"/>
    <w:next w:val="1"/>
    <w:link w:val="228"/>
    <w:qFormat/>
    <w:uiPriority w:val="99"/>
    <w:pPr>
      <w:spacing w:before="240" w:after="60" w:line="336" w:lineRule="auto"/>
      <w:ind w:firstLine="200"/>
      <w:jc w:val="center"/>
      <w:outlineLvl w:val="0"/>
    </w:pPr>
    <w:rPr>
      <w:rFonts w:ascii="Cambria" w:hAnsi="Cambria"/>
      <w:b/>
      <w:bCs/>
      <w:sz w:val="32"/>
      <w:szCs w:val="32"/>
    </w:rPr>
  </w:style>
  <w:style w:type="character" w:customStyle="1" w:styleId="228">
    <w:name w:val="标题 Char"/>
    <w:link w:val="227"/>
    <w:qFormat/>
    <w:uiPriority w:val="99"/>
    <w:rPr>
      <w:rFonts w:ascii="Cambria" w:hAnsi="Cambria" w:cs="Cambria"/>
      <w:b/>
      <w:bCs/>
      <w:sz w:val="32"/>
      <w:szCs w:val="32"/>
    </w:rPr>
  </w:style>
  <w:style w:type="paragraph" w:customStyle="1" w:styleId="229">
    <w:name w:val="批注主题1"/>
    <w:basedOn w:val="202"/>
    <w:next w:val="202"/>
    <w:link w:val="230"/>
    <w:unhideWhenUsed/>
    <w:qFormat/>
    <w:uiPriority w:val="99"/>
    <w:rPr>
      <w:b/>
      <w:bCs/>
    </w:rPr>
  </w:style>
  <w:style w:type="character" w:customStyle="1" w:styleId="230">
    <w:name w:val="批注主题 Char"/>
    <w:link w:val="229"/>
    <w:semiHidden/>
    <w:qFormat/>
    <w:uiPriority w:val="99"/>
    <w:rPr>
      <w:b/>
      <w:bCs/>
      <w:sz w:val="21"/>
    </w:rPr>
  </w:style>
  <w:style w:type="paragraph" w:customStyle="1" w:styleId="231">
    <w:name w:val="正文首行缩进 211"/>
    <w:basedOn w:val="206"/>
    <w:qFormat/>
    <w:uiPriority w:val="99"/>
    <w:pPr>
      <w:widowControl w:val="0"/>
      <w:spacing w:after="120" w:line="240" w:lineRule="auto"/>
      <w:ind w:left="420" w:firstLine="420"/>
    </w:pPr>
    <w:rPr>
      <w:rFonts w:ascii="Times New Roman" w:hAnsi="Times New Roman"/>
      <w:spacing w:val="0"/>
      <w:sz w:val="20"/>
    </w:rPr>
  </w:style>
  <w:style w:type="table" w:customStyle="1" w:styleId="232">
    <w:name w:val="网格型1"/>
    <w:basedOn w:val="192"/>
    <w:qFormat/>
    <w:uiPriority w:val="0"/>
    <w:rPr>
      <w:rFonts w:ascii="Times" w:hAnsi="Times" w:cs="Times"/>
    </w:rPr>
  </w:style>
  <w:style w:type="character" w:customStyle="1" w:styleId="233">
    <w:name w:val="要点1"/>
    <w:link w:val="1"/>
    <w:qFormat/>
    <w:uiPriority w:val="0"/>
    <w:rPr>
      <w:rFonts w:cs="Times New Roman"/>
      <w:b/>
      <w:bCs/>
    </w:rPr>
  </w:style>
  <w:style w:type="character" w:customStyle="1" w:styleId="234">
    <w:name w:val="页码1"/>
    <w:link w:val="1"/>
    <w:qFormat/>
    <w:uiPriority w:val="0"/>
    <w:rPr>
      <w:rFonts w:cs="Times New Roman"/>
    </w:rPr>
  </w:style>
  <w:style w:type="character" w:customStyle="1" w:styleId="235">
    <w:name w:val="已访问的超链接1"/>
    <w:link w:val="1"/>
    <w:qFormat/>
    <w:uiPriority w:val="99"/>
    <w:rPr>
      <w:rFonts w:cs="Times New Roman"/>
      <w:color w:val="000000"/>
      <w:u w:val="none"/>
    </w:rPr>
  </w:style>
  <w:style w:type="character" w:customStyle="1" w:styleId="236">
    <w:name w:val="HTML 打字机11"/>
    <w:link w:val="1"/>
    <w:qFormat/>
    <w:uiPriority w:val="0"/>
    <w:rPr>
      <w:rFonts w:ascii="宋体" w:hAnsi="宋体" w:eastAsia="宋体" w:cs="宋体"/>
      <w:sz w:val="24"/>
      <w:szCs w:val="24"/>
    </w:rPr>
  </w:style>
  <w:style w:type="character" w:customStyle="1" w:styleId="237">
    <w:name w:val="超链接1"/>
    <w:link w:val="1"/>
    <w:qFormat/>
    <w:uiPriority w:val="99"/>
    <w:rPr>
      <w:rFonts w:cs="Times New Roman"/>
      <w:color w:val="000000"/>
      <w:u w:val="none"/>
    </w:rPr>
  </w:style>
  <w:style w:type="character" w:customStyle="1" w:styleId="238">
    <w:name w:val="批注引用11"/>
    <w:link w:val="1"/>
    <w:unhideWhenUsed/>
    <w:qFormat/>
    <w:uiPriority w:val="99"/>
    <w:rPr>
      <w:sz w:val="21"/>
      <w:szCs w:val="21"/>
    </w:rPr>
  </w:style>
  <w:style w:type="character" w:customStyle="1" w:styleId="239">
    <w:name w:val="批注引用1"/>
    <w:basedOn w:val="191"/>
    <w:link w:val="1"/>
    <w:semiHidden/>
    <w:qFormat/>
    <w:uiPriority w:val="0"/>
    <w:rPr>
      <w:sz w:val="21"/>
      <w:lang w:val="en-US" w:eastAsia="zh-CN" w:bidi="ar-SA"/>
    </w:rPr>
  </w:style>
  <w:style w:type="character" w:customStyle="1" w:styleId="240">
    <w:name w:val="style21"/>
    <w:link w:val="1"/>
    <w:qFormat/>
    <w:uiPriority w:val="99"/>
    <w:rPr>
      <w:sz w:val="22"/>
      <w:szCs w:val="22"/>
    </w:rPr>
  </w:style>
  <w:style w:type="character" w:customStyle="1" w:styleId="241">
    <w:name w:val="列出段落 字符"/>
    <w:link w:val="1"/>
    <w:qFormat/>
    <w:uiPriority w:val="34"/>
    <w:rPr>
      <w:sz w:val="21"/>
    </w:rPr>
  </w:style>
  <w:style w:type="character" w:customStyle="1" w:styleId="242">
    <w:name w:val="宋体&amp;Time5# Char"/>
    <w:link w:val="243"/>
    <w:qFormat/>
    <w:uiPriority w:val="0"/>
    <w:rPr>
      <w:rFonts w:ascii="Calibri" w:hAnsi="Calibri" w:eastAsia="Times New Roman"/>
      <w:sz w:val="21"/>
      <w:szCs w:val="21"/>
    </w:rPr>
  </w:style>
  <w:style w:type="paragraph" w:customStyle="1" w:styleId="243">
    <w:name w:val="宋体&amp;Time5#"/>
    <w:basedOn w:val="1"/>
    <w:link w:val="242"/>
    <w:qFormat/>
    <w:uiPriority w:val="0"/>
    <w:pPr>
      <w:jc w:val="center"/>
    </w:pPr>
    <w:rPr>
      <w:rFonts w:ascii="Calibri" w:hAnsi="Calibri" w:eastAsia="Times New Roman"/>
      <w:szCs w:val="21"/>
    </w:rPr>
  </w:style>
  <w:style w:type="character" w:customStyle="1" w:styleId="244">
    <w:name w:val="访问过的超链接1"/>
    <w:link w:val="1"/>
    <w:qFormat/>
    <w:uiPriority w:val="0"/>
    <w:rPr>
      <w:color w:val="000000"/>
      <w:u w:val="none"/>
    </w:rPr>
  </w:style>
  <w:style w:type="character" w:customStyle="1" w:styleId="245">
    <w:name w:val="列出段落 Char"/>
    <w:link w:val="246"/>
    <w:qFormat/>
    <w:uiPriority w:val="34"/>
    <w:rPr>
      <w:sz w:val="21"/>
    </w:rPr>
  </w:style>
  <w:style w:type="paragraph" w:customStyle="1" w:styleId="246">
    <w:name w:val="列出段落"/>
    <w:basedOn w:val="1"/>
    <w:link w:val="245"/>
    <w:qFormat/>
    <w:uiPriority w:val="34"/>
    <w:pPr>
      <w:ind w:firstLine="420"/>
    </w:pPr>
  </w:style>
  <w:style w:type="character" w:customStyle="1" w:styleId="247">
    <w:name w:val="case31"/>
    <w:link w:val="1"/>
    <w:qFormat/>
    <w:uiPriority w:val="0"/>
    <w:rPr>
      <w:rFonts w:cs="Times New Roman"/>
      <w:spacing w:val="390"/>
      <w:sz w:val="21"/>
      <w:szCs w:val="21"/>
    </w:rPr>
  </w:style>
  <w:style w:type="character" w:customStyle="1" w:styleId="248">
    <w:name w:val="_正文 Char"/>
    <w:link w:val="249"/>
    <w:qFormat/>
    <w:uiPriority w:val="0"/>
    <w:rPr>
      <w:rFonts w:ascii="微软雅黑" w:hAnsi="微软雅黑"/>
    </w:rPr>
  </w:style>
  <w:style w:type="paragraph" w:customStyle="1" w:styleId="249">
    <w:name w:val="_正文"/>
    <w:basedOn w:val="1"/>
    <w:link w:val="248"/>
    <w:qFormat/>
    <w:uiPriority w:val="0"/>
    <w:pPr>
      <w:widowControl/>
      <w:spacing w:line="360" w:lineRule="auto"/>
      <w:ind w:firstLine="200"/>
      <w:jc w:val="left"/>
    </w:pPr>
    <w:rPr>
      <w:rFonts w:ascii="微软雅黑" w:hAnsi="微软雅黑"/>
      <w:sz w:val="20"/>
    </w:rPr>
  </w:style>
  <w:style w:type="paragraph" w:customStyle="1" w:styleId="250">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5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2">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53">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54">
    <w:name w:val="样式 首行缩进:  2 字符"/>
    <w:basedOn w:val="1"/>
    <w:qFormat/>
    <w:uiPriority w:val="99"/>
    <w:pPr>
      <w:spacing w:line="288" w:lineRule="auto"/>
      <w:ind w:firstLine="200"/>
    </w:pPr>
    <w:rPr>
      <w:rFonts w:ascii="仿宋_GB2312" w:hAnsi="Times" w:eastAsia="仿宋_GB2312" w:cs="仿宋_GB2312"/>
      <w:sz w:val="32"/>
      <w:szCs w:val="32"/>
    </w:rPr>
  </w:style>
  <w:style w:type="paragraph" w:customStyle="1" w:styleId="255">
    <w:name w:val="font13"/>
    <w:basedOn w:val="1"/>
    <w:qFormat/>
    <w:uiPriority w:val="0"/>
    <w:pPr>
      <w:widowControl/>
      <w:spacing w:before="100" w:beforeAutospacing="1" w:after="100" w:afterAutospacing="1"/>
      <w:jc w:val="left"/>
    </w:pPr>
    <w:rPr>
      <w:i/>
      <w:iCs/>
      <w:sz w:val="36"/>
      <w:szCs w:val="36"/>
    </w:rPr>
  </w:style>
  <w:style w:type="paragraph" w:customStyle="1" w:styleId="256">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5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8">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2">
    <w:name w:val="样式 首行缩进:  2 字符1"/>
    <w:basedOn w:val="1"/>
    <w:qFormat/>
    <w:uiPriority w:val="99"/>
    <w:pPr>
      <w:spacing w:line="288" w:lineRule="auto"/>
      <w:ind w:firstLine="200"/>
    </w:pPr>
    <w:rPr>
      <w:rFonts w:ascii="仿宋_GB2312" w:hAnsi="Times" w:eastAsia="仿宋_GB2312" w:cs="仿宋_GB2312"/>
      <w:sz w:val="32"/>
      <w:szCs w:val="32"/>
    </w:rPr>
  </w:style>
  <w:style w:type="paragraph" w:customStyle="1" w:styleId="263">
    <w:name w:val="font7"/>
    <w:basedOn w:val="1"/>
    <w:qFormat/>
    <w:uiPriority w:val="0"/>
    <w:pPr>
      <w:widowControl/>
      <w:spacing w:before="100" w:beforeAutospacing="1" w:after="100" w:afterAutospacing="1"/>
      <w:jc w:val="left"/>
    </w:pPr>
    <w:rPr>
      <w:b/>
      <w:bCs/>
      <w:i/>
      <w:iCs/>
      <w:sz w:val="20"/>
    </w:rPr>
  </w:style>
  <w:style w:type="paragraph" w:customStyle="1" w:styleId="264">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65">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67">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8">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69">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71">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7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73">
    <w:name w:val="Table Description"/>
    <w:basedOn w:val="1"/>
    <w:next w:val="1"/>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74">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styleId="275">
    <w:name w:val="List Paragraph"/>
    <w:basedOn w:val="1"/>
    <w:qFormat/>
    <w:uiPriority w:val="0"/>
    <w:pPr>
      <w:ind w:firstLine="420"/>
    </w:pPr>
  </w:style>
  <w:style w:type="paragraph" w:customStyle="1" w:styleId="27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7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8">
    <w:name w:val="文件标题"/>
    <w:basedOn w:val="1"/>
    <w:qFormat/>
    <w:uiPriority w:val="99"/>
    <w:pPr>
      <w:spacing w:line="640" w:lineRule="exact"/>
      <w:jc w:val="center"/>
    </w:pPr>
    <w:rPr>
      <w:rFonts w:ascii="宋体" w:hAnsi="宋体" w:eastAsia="方正小标宋_GBK" w:cs="宋体"/>
      <w:sz w:val="44"/>
      <w:szCs w:val="44"/>
    </w:rPr>
  </w:style>
  <w:style w:type="paragraph" w:customStyle="1" w:styleId="279">
    <w:name w:val="文档正文"/>
    <w:basedOn w:val="1"/>
    <w:qFormat/>
    <w:uiPriority w:val="0"/>
    <w:pPr>
      <w:spacing w:line="312" w:lineRule="atLeast"/>
      <w:ind w:firstLine="567"/>
    </w:pPr>
    <w:rPr>
      <w:rFonts w:ascii="长城仿宋" w:eastAsia="长城仿宋"/>
      <w:sz w:val="28"/>
    </w:rPr>
  </w:style>
  <w:style w:type="paragraph" w:customStyle="1" w:styleId="28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1">
    <w:name w:val="font8"/>
    <w:basedOn w:val="1"/>
    <w:qFormat/>
    <w:uiPriority w:val="0"/>
    <w:pPr>
      <w:widowControl/>
      <w:spacing w:before="100" w:beforeAutospacing="1" w:after="100" w:afterAutospacing="1"/>
      <w:jc w:val="left"/>
    </w:pPr>
    <w:rPr>
      <w:rFonts w:ascii="宋体" w:hAnsi="宋体"/>
      <w:b/>
      <w:bCs/>
      <w:i/>
      <w:iCs/>
      <w:sz w:val="20"/>
    </w:rPr>
  </w:style>
  <w:style w:type="paragraph" w:customStyle="1" w:styleId="282">
    <w:name w:val="Figure Description"/>
    <w:next w:val="1"/>
    <w:qFormat/>
    <w:uiPriority w:val="0"/>
    <w:pPr>
      <w:keepNext/>
      <w:spacing w:before="320" w:after="80" w:line="240" w:lineRule="atLeast"/>
      <w:ind w:left="1701"/>
      <w:outlineLvl w:val="7"/>
    </w:pPr>
    <w:rPr>
      <w:rFonts w:hint="default" w:ascii="Times New Roman" w:hAnsi="Times New Roman" w:eastAsia="黑体" w:cs="Arial"/>
      <w:spacing w:val="-4"/>
      <w:sz w:val="21"/>
      <w:szCs w:val="21"/>
      <w:lang w:val="en-US" w:eastAsia="zh-CN" w:bidi="ar-SA"/>
    </w:rPr>
  </w:style>
  <w:style w:type="paragraph" w:customStyle="1" w:styleId="283">
    <w:name w:val="_标题 2"/>
    <w:basedOn w:val="187"/>
    <w:next w:val="249"/>
    <w:qFormat/>
    <w:uiPriority w:val="0"/>
    <w:pPr>
      <w:keepLines/>
      <w:widowControl/>
      <w:numPr>
        <w:ilvl w:val="1"/>
        <w:numId w:val="2"/>
      </w:numPr>
      <w:spacing w:before="260" w:after="260"/>
      <w:jc w:val="left"/>
    </w:pPr>
    <w:rPr>
      <w:rFonts w:ascii="微软雅黑" w:hAnsi="微软雅黑" w:eastAsia="宋体"/>
      <w:sz w:val="21"/>
      <w:szCs w:val="32"/>
    </w:rPr>
  </w:style>
  <w:style w:type="paragraph" w:customStyle="1" w:styleId="284">
    <w:name w:val="Block Label"/>
    <w:basedOn w:val="1"/>
    <w:next w:val="1"/>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85">
    <w:name w:val="_标题 4"/>
    <w:basedOn w:val="189"/>
    <w:next w:val="249"/>
    <w:qFormat/>
    <w:uiPriority w:val="0"/>
    <w:pPr>
      <w:keepLines/>
      <w:widowControl/>
      <w:numPr>
        <w:ilvl w:val="3"/>
        <w:numId w:val="2"/>
      </w:numPr>
      <w:spacing w:before="260" w:after="260" w:line="377" w:lineRule="auto"/>
      <w:ind w:left="0" w:firstLine="283"/>
      <w:jc w:val="left"/>
    </w:pPr>
    <w:rPr>
      <w:rFonts w:ascii="微软雅黑" w:hAnsi="微软雅黑" w:eastAsia="宋体"/>
      <w:color w:val="000000"/>
      <w:sz w:val="20"/>
      <w:szCs w:val="21"/>
    </w:rPr>
  </w:style>
  <w:style w:type="paragraph" w:customStyle="1" w:styleId="286">
    <w:name w:val="Char Char Char Char"/>
    <w:basedOn w:val="200"/>
    <w:qFormat/>
    <w:uiPriority w:val="0"/>
    <w:pPr>
      <w:spacing w:line="360" w:lineRule="auto"/>
    </w:pPr>
    <w:rPr>
      <w:rFonts w:ascii="Tahoma" w:hAnsi="Tahoma"/>
      <w:sz w:val="24"/>
      <w:szCs w:val="24"/>
    </w:rPr>
  </w:style>
  <w:style w:type="paragraph" w:customStyle="1" w:styleId="287">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88">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89">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0">
    <w:name w:val="默认段落字体 Para Char"/>
    <w:basedOn w:val="1"/>
    <w:qFormat/>
    <w:uiPriority w:val="0"/>
    <w:pPr>
      <w:tabs>
        <w:tab w:val="left" w:pos="552"/>
      </w:tabs>
      <w:ind w:left="552" w:hanging="420"/>
    </w:pPr>
    <w:rPr>
      <w:sz w:val="24"/>
      <w:szCs w:val="24"/>
    </w:rPr>
  </w:style>
  <w:style w:type="paragraph" w:customStyle="1" w:styleId="291">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2">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293">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4">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95">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29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99">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0">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1">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02">
    <w:name w:val="_Style 22"/>
    <w:basedOn w:val="1"/>
    <w:qFormat/>
    <w:uiPriority w:val="0"/>
    <w:pPr>
      <w:spacing w:line="300" w:lineRule="auto"/>
      <w:ind w:firstLine="200"/>
    </w:pPr>
    <w:rPr>
      <w:rFonts w:ascii="宋体" w:hAnsi="Calibri" w:eastAsia="等线"/>
      <w:sz w:val="24"/>
      <w:szCs w:val="22"/>
    </w:rPr>
  </w:style>
  <w:style w:type="paragraph" w:customStyle="1" w:styleId="30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4">
    <w:name w:val="Char Char1 Char Char Char Char"/>
    <w:basedOn w:val="200"/>
    <w:qFormat/>
    <w:uiPriority w:val="0"/>
    <w:pPr>
      <w:spacing w:line="436" w:lineRule="exact"/>
      <w:ind w:left="357"/>
      <w:jc w:val="left"/>
      <w:outlineLvl w:val="3"/>
    </w:pPr>
    <w:rPr>
      <w:rFonts w:ascii="Tahoma" w:hAnsi="Tahoma"/>
      <w:b/>
      <w:sz w:val="24"/>
      <w:szCs w:val="24"/>
    </w:rPr>
  </w:style>
  <w:style w:type="paragraph" w:customStyle="1" w:styleId="305">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07">
    <w:name w:val="font9"/>
    <w:basedOn w:val="1"/>
    <w:qFormat/>
    <w:uiPriority w:val="0"/>
    <w:pPr>
      <w:widowControl/>
      <w:spacing w:before="100" w:beforeAutospacing="1" w:after="100" w:afterAutospacing="1"/>
      <w:jc w:val="left"/>
    </w:pPr>
    <w:rPr>
      <w:b/>
      <w:bCs/>
      <w:sz w:val="20"/>
    </w:rPr>
  </w:style>
  <w:style w:type="paragraph" w:customStyle="1" w:styleId="308">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hint="default" w:ascii="Calibri" w:hAnsi="Calibri" w:eastAsia="宋体" w:cs="Calibri"/>
      <w:sz w:val="21"/>
      <w:szCs w:val="21"/>
      <w:lang w:val="en-US" w:eastAsia="zh-CN" w:bidi="ar-SA"/>
    </w:rPr>
  </w:style>
  <w:style w:type="paragraph" w:customStyle="1" w:styleId="309">
    <w:name w:val="_Style 1"/>
    <w:basedOn w:val="1"/>
    <w:qFormat/>
    <w:uiPriority w:val="99"/>
    <w:pPr>
      <w:ind w:firstLine="420"/>
    </w:pPr>
    <w:rPr>
      <w:szCs w:val="22"/>
    </w:rPr>
  </w:style>
  <w:style w:type="paragraph" w:customStyle="1" w:styleId="310">
    <w:name w:val="Body"/>
    <w:qFormat/>
    <w:uiPriority w:val="0"/>
    <w:pPr>
      <w:spacing w:before="130" w:after="130" w:line="260" w:lineRule="exact"/>
    </w:pPr>
    <w:rPr>
      <w:rFonts w:hint="default" w:ascii="Univers" w:hAnsi="Univers" w:eastAsia="宋体" w:cs="Times New Roman"/>
      <w:color w:val="000000"/>
      <w:sz w:val="22"/>
      <w:lang w:val="en-US" w:eastAsia="en-US" w:bidi="ar-SA"/>
    </w:rPr>
  </w:style>
  <w:style w:type="paragraph" w:customStyle="1" w:styleId="311">
    <w:name w:val="列出段落1"/>
    <w:basedOn w:val="1"/>
    <w:qFormat/>
    <w:uiPriority w:val="0"/>
    <w:pPr>
      <w:ind w:firstLine="420"/>
    </w:pPr>
    <w:rPr>
      <w:sz w:val="20"/>
    </w:rPr>
  </w:style>
  <w:style w:type="paragraph" w:customStyle="1" w:styleId="312">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1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4">
    <w:name w:val="font11"/>
    <w:basedOn w:val="1"/>
    <w:qFormat/>
    <w:uiPriority w:val="0"/>
    <w:pPr>
      <w:widowControl/>
      <w:spacing w:before="100" w:beforeAutospacing="1" w:after="100" w:afterAutospacing="1"/>
      <w:jc w:val="left"/>
    </w:pPr>
    <w:rPr>
      <w:b/>
      <w:bCs/>
      <w:sz w:val="18"/>
      <w:szCs w:val="18"/>
    </w:rPr>
  </w:style>
  <w:style w:type="paragraph" w:customStyle="1" w:styleId="31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6">
    <w:name w:val=" Char1"/>
    <w:basedOn w:val="1"/>
    <w:qFormat/>
    <w:uiPriority w:val="0"/>
    <w:pPr>
      <w:widowControl/>
      <w:spacing w:after="160" w:line="240" w:lineRule="exact"/>
      <w:jc w:val="left"/>
    </w:pPr>
  </w:style>
  <w:style w:type="paragraph" w:customStyle="1" w:styleId="317">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18">
    <w:name w:val="普通文字"/>
    <w:basedOn w:val="1"/>
    <w:next w:val="1"/>
    <w:qFormat/>
    <w:uiPriority w:val="0"/>
    <w:rPr>
      <w:rFonts w:ascii="宋体"/>
      <w:sz w:val="24"/>
    </w:rPr>
  </w:style>
  <w:style w:type="paragraph" w:customStyle="1" w:styleId="319">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2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1">
    <w:name w:val="_标题 1"/>
    <w:basedOn w:val="1"/>
    <w:next w:val="249"/>
    <w:qFormat/>
    <w:uiPriority w:val="0"/>
    <w:pPr>
      <w:keepNext/>
      <w:keepLines/>
      <w:pageBreakBefore/>
      <w:widowControl/>
      <w:numPr>
        <w:ilvl w:val="0"/>
        <w:numId w:val="2"/>
      </w:numPr>
      <w:spacing w:before="340" w:after="330"/>
      <w:ind w:firstLine="0"/>
      <w:jc w:val="center"/>
      <w:outlineLvl w:val="0"/>
    </w:pPr>
    <w:rPr>
      <w:rFonts w:ascii="微软雅黑" w:hAnsi="微软雅黑"/>
      <w:b/>
      <w:bCs/>
      <w:sz w:val="32"/>
      <w:szCs w:val="28"/>
    </w:rPr>
  </w:style>
  <w:style w:type="paragraph" w:customStyle="1" w:styleId="322">
    <w:name w:val="_标题 3"/>
    <w:basedOn w:val="188"/>
    <w:next w:val="249"/>
    <w:qFormat/>
    <w:uiPriority w:val="0"/>
    <w:pPr>
      <w:keepLines/>
      <w:widowControl/>
      <w:numPr>
        <w:ilvl w:val="2"/>
        <w:numId w:val="2"/>
      </w:numPr>
      <w:spacing w:before="260" w:after="260"/>
      <w:jc w:val="left"/>
    </w:pPr>
    <w:rPr>
      <w:rFonts w:ascii="微软雅黑" w:hAnsi="微软雅黑" w:eastAsia="宋体"/>
      <w:sz w:val="21"/>
      <w:szCs w:val="21"/>
    </w:rPr>
  </w:style>
  <w:style w:type="paragraph" w:customStyle="1" w:styleId="323">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24">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2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6">
    <w:name w:val="font14"/>
    <w:basedOn w:val="1"/>
    <w:qFormat/>
    <w:uiPriority w:val="0"/>
    <w:pPr>
      <w:widowControl/>
      <w:spacing w:before="100" w:beforeAutospacing="1" w:after="100" w:afterAutospacing="1"/>
      <w:jc w:val="left"/>
    </w:pPr>
    <w:rPr>
      <w:sz w:val="36"/>
      <w:szCs w:val="36"/>
    </w:rPr>
  </w:style>
  <w:style w:type="paragraph" w:customStyle="1" w:styleId="327">
    <w:name w:val="彩色列表 - 着色 11"/>
    <w:basedOn w:val="1"/>
    <w:qFormat/>
    <w:uiPriority w:val="34"/>
    <w:pPr>
      <w:ind w:firstLine="420"/>
    </w:pPr>
    <w:rPr>
      <w:szCs w:val="24"/>
    </w:rPr>
  </w:style>
  <w:style w:type="paragraph" w:customStyle="1" w:styleId="328">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29">
    <w:name w:val="正文文本 字符"/>
    <w:link w:val="1"/>
    <w:semiHidden/>
    <w:qFormat/>
    <w:uiPriority w:val="0"/>
    <w:rPr>
      <w:rFonts w:cs="Times New Roman"/>
      <w:sz w:val="20"/>
      <w:szCs w:val="20"/>
    </w:rPr>
  </w:style>
  <w:style w:type="character" w:customStyle="1" w:styleId="330">
    <w:name w:val="页脚 字符"/>
    <w:link w:val="1"/>
    <w:qFormat/>
    <w:uiPriority w:val="99"/>
    <w:rPr>
      <w:rFonts w:cs="Times New Roman"/>
      <w:sz w:val="18"/>
      <w:szCs w:val="18"/>
    </w:rPr>
  </w:style>
  <w:style w:type="character" w:customStyle="1" w:styleId="331">
    <w:name w:val="正文文本缩进 字符"/>
    <w:link w:val="1"/>
    <w:semiHidden/>
    <w:qFormat/>
    <w:uiPriority w:val="0"/>
    <w:rPr>
      <w:rFonts w:cs="Times New Roman"/>
      <w:sz w:val="20"/>
      <w:szCs w:val="20"/>
    </w:rPr>
  </w:style>
  <w:style w:type="character" w:customStyle="1" w:styleId="332">
    <w:name w:val="批注框文本 字符"/>
    <w:link w:val="1"/>
    <w:qFormat/>
    <w:uiPriority w:val="0"/>
    <w:rPr>
      <w:sz w:val="18"/>
      <w:szCs w:val="18"/>
    </w:rPr>
  </w:style>
  <w:style w:type="character" w:customStyle="1" w:styleId="333">
    <w:name w:val="批注主题 字符"/>
    <w:link w:val="1"/>
    <w:semiHidden/>
    <w:qFormat/>
    <w:uiPriority w:val="99"/>
    <w:rPr>
      <w:b/>
      <w:bCs/>
      <w:sz w:val="21"/>
    </w:rPr>
  </w:style>
  <w:style w:type="character" w:customStyle="1" w:styleId="334">
    <w:name w:val="正文文本缩进 2 字符"/>
    <w:link w:val="1"/>
    <w:semiHidden/>
    <w:qFormat/>
    <w:uiPriority w:val="0"/>
    <w:rPr>
      <w:rFonts w:cs="Times New Roman"/>
      <w:sz w:val="20"/>
      <w:szCs w:val="20"/>
    </w:rPr>
  </w:style>
  <w:style w:type="character" w:customStyle="1" w:styleId="335">
    <w:name w:val="正文文本 2 字符"/>
    <w:link w:val="1"/>
    <w:semiHidden/>
    <w:qFormat/>
    <w:uiPriority w:val="0"/>
    <w:rPr>
      <w:rFonts w:cs="Times New Roman"/>
      <w:sz w:val="20"/>
      <w:szCs w:val="20"/>
    </w:rPr>
  </w:style>
  <w:style w:type="character" w:customStyle="1" w:styleId="336">
    <w:name w:val="正文文本缩进 3 字符"/>
    <w:link w:val="1"/>
    <w:semiHidden/>
    <w:qFormat/>
    <w:uiPriority w:val="0"/>
    <w:rPr>
      <w:rFonts w:cs="Times New Roman"/>
      <w:sz w:val="16"/>
      <w:szCs w:val="16"/>
    </w:rPr>
  </w:style>
  <w:style w:type="character" w:customStyle="1" w:styleId="337">
    <w:name w:val="标题 字符"/>
    <w:link w:val="1"/>
    <w:qFormat/>
    <w:uiPriority w:val="99"/>
    <w:rPr>
      <w:rFonts w:ascii="Cambria" w:hAnsi="Cambria" w:cs="Cambria"/>
      <w:b/>
      <w:bCs/>
      <w:sz w:val="32"/>
      <w:szCs w:val="32"/>
    </w:rPr>
  </w:style>
  <w:style w:type="character" w:customStyle="1" w:styleId="338">
    <w:name w:val="文档结构图 字符"/>
    <w:link w:val="1"/>
    <w:semiHidden/>
    <w:qFormat/>
    <w:uiPriority w:val="0"/>
    <w:rPr>
      <w:rFonts w:cs="Times New Roman"/>
      <w:sz w:val="2"/>
    </w:rPr>
  </w:style>
  <w:style w:type="character" w:customStyle="1" w:styleId="339">
    <w:name w:val="日期 字符"/>
    <w:link w:val="1"/>
    <w:semiHidden/>
    <w:qFormat/>
    <w:uiPriority w:val="0"/>
    <w:rPr>
      <w:rFonts w:cs="Times New Roman"/>
      <w:sz w:val="20"/>
      <w:szCs w:val="20"/>
    </w:rPr>
  </w:style>
  <w:style w:type="character" w:customStyle="1" w:styleId="340">
    <w:name w:val="标题 2 字符"/>
    <w:link w:val="1"/>
    <w:semiHidden/>
    <w:qFormat/>
    <w:uiPriority w:val="0"/>
    <w:rPr>
      <w:rFonts w:ascii="Cambria" w:hAnsi="Cambria" w:eastAsia="宋体" w:cs="Times New Roman"/>
      <w:b/>
      <w:bCs/>
      <w:sz w:val="32"/>
      <w:szCs w:val="32"/>
    </w:rPr>
  </w:style>
  <w:style w:type="character" w:customStyle="1" w:styleId="341">
    <w:name w:val="副标题 字符"/>
    <w:link w:val="1"/>
    <w:qFormat/>
    <w:uiPriority w:val="11"/>
    <w:rPr>
      <w:rFonts w:ascii="Calibri Light" w:hAnsi="Calibri Light"/>
      <w:b/>
      <w:bCs/>
      <w:sz w:val="32"/>
      <w:szCs w:val="32"/>
    </w:rPr>
  </w:style>
  <w:style w:type="character" w:customStyle="1" w:styleId="342">
    <w:name w:val="标题 4 字符"/>
    <w:link w:val="1"/>
    <w:semiHidden/>
    <w:qFormat/>
    <w:uiPriority w:val="0"/>
    <w:rPr>
      <w:rFonts w:ascii="Cambria" w:hAnsi="Cambria" w:eastAsia="宋体" w:cs="Times New Roman"/>
      <w:b/>
      <w:bCs/>
      <w:sz w:val="28"/>
      <w:szCs w:val="28"/>
    </w:rPr>
  </w:style>
  <w:style w:type="character" w:customStyle="1" w:styleId="343">
    <w:name w:val="标题 1 字符"/>
    <w:link w:val="1"/>
    <w:qFormat/>
    <w:uiPriority w:val="0"/>
    <w:rPr>
      <w:rFonts w:cs="Times New Roman"/>
      <w:b/>
      <w:bCs/>
      <w:sz w:val="44"/>
      <w:szCs w:val="44"/>
    </w:rPr>
  </w:style>
  <w:style w:type="character" w:customStyle="1" w:styleId="344">
    <w:name w:val="标题 3 字符"/>
    <w:link w:val="1"/>
    <w:semiHidden/>
    <w:qFormat/>
    <w:uiPriority w:val="0"/>
    <w:rPr>
      <w:rFonts w:cs="Times New Roman"/>
      <w:b/>
      <w:bCs/>
      <w:sz w:val="32"/>
      <w:szCs w:val="32"/>
    </w:rPr>
  </w:style>
  <w:style w:type="character" w:customStyle="1" w:styleId="345">
    <w:name w:val="列出段落 字符1"/>
    <w:link w:val="1"/>
    <w:qFormat/>
    <w:uiPriority w:val="34"/>
    <w:rPr>
      <w:sz w:val="21"/>
    </w:rPr>
  </w:style>
  <w:style w:type="character" w:customStyle="1" w:styleId="346">
    <w:name w:val="标题 5 字符"/>
    <w:link w:val="1"/>
    <w:qFormat/>
    <w:uiPriority w:val="0"/>
    <w:rPr>
      <w:rFonts w:ascii="楷体_GB2312" w:eastAsia="楷体_GB2312"/>
      <w:bCs/>
      <w:sz w:val="28"/>
    </w:rPr>
  </w:style>
  <w:style w:type="character" w:customStyle="1" w:styleId="347">
    <w:name w:val="页眉 字符"/>
    <w:link w:val="1"/>
    <w:qFormat/>
    <w:uiPriority w:val="99"/>
    <w:rPr>
      <w:rFonts w:cs="Times New Roman"/>
      <w:sz w:val="18"/>
      <w:szCs w:val="18"/>
    </w:rPr>
  </w:style>
  <w:style w:type="character" w:customStyle="1" w:styleId="348">
    <w:name w:val="批注文字 字符"/>
    <w:link w:val="1"/>
    <w:semiHidden/>
    <w:qFormat/>
    <w:uiPriority w:val="99"/>
    <w:rPr>
      <w:sz w:val="21"/>
    </w:rPr>
  </w:style>
  <w:style w:type="paragraph" w:customStyle="1" w:styleId="349">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350">
    <w:name w:val="Char1 Char Char Char"/>
    <w:basedOn w:val="1"/>
    <w:qFormat/>
    <w:uiPriority w:val="0"/>
    <w:rPr>
      <w:rFonts w:ascii="Tahoma" w:hAnsi="Tahoma"/>
      <w:sz w:val="24"/>
    </w:rPr>
  </w:style>
  <w:style w:type="paragraph" w:customStyle="1" w:styleId="35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2">
    <w:name w:val="Normal_0_1"/>
    <w:qFormat/>
    <w:uiPriority w:val="0"/>
    <w:rPr>
      <w:rFonts w:hint="default" w:ascii="Calibri" w:hAnsi="Calibri" w:eastAsia="Times New Roman" w:cs="Times New Roman"/>
      <w:sz w:val="24"/>
      <w:szCs w:val="24"/>
      <w:lang w:val="en-US" w:eastAsia="zh-CN" w:bidi="ar-SA"/>
    </w:rPr>
  </w:style>
  <w:style w:type="paragraph" w:customStyle="1" w:styleId="353">
    <w:name w:val="段"/>
    <w:next w:val="1"/>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54">
    <w:name w:val="NormalCharacter1"/>
    <w:link w:val="1"/>
    <w:qFormat/>
    <w:uiPriority w:val="0"/>
  </w:style>
  <w:style w:type="paragraph" w:customStyle="1" w:styleId="355">
    <w:name w:val="02-标书-标题2"/>
    <w:qFormat/>
    <w:uiPriority w:val="0"/>
    <w:pPr>
      <w:numPr>
        <w:ilvl w:val="1"/>
        <w:numId w:val="3"/>
      </w:numPr>
      <w:spacing w:line="360" w:lineRule="auto"/>
      <w:outlineLvl w:val="1"/>
    </w:pPr>
    <w:rPr>
      <w:rFonts w:hint="default" w:ascii="黑体" w:hAnsi="宋体" w:eastAsia="黑体" w:cs="Calibri"/>
      <w:sz w:val="32"/>
      <w:szCs w:val="28"/>
      <w:lang w:val="en-US" w:eastAsia="zh-CN" w:bidi="ar-SA"/>
    </w:rPr>
  </w:style>
  <w:style w:type="character" w:customStyle="1" w:styleId="356">
    <w:name w:val="font101"/>
    <w:basedOn w:val="191"/>
    <w:link w:val="1"/>
    <w:qFormat/>
    <w:uiPriority w:val="0"/>
    <w:rPr>
      <w:rFonts w:ascii="Times New Roman" w:hAnsi="Times New Roman" w:cs="Times New Roman"/>
      <w:b/>
      <w:bCs/>
      <w:color w:val="FF0000"/>
      <w:sz w:val="16"/>
      <w:szCs w:val="16"/>
      <w:u w:val="none"/>
    </w:rPr>
  </w:style>
  <w:style w:type="paragraph" w:customStyle="1" w:styleId="357">
    <w:name w:val="Body text|1"/>
    <w:basedOn w:val="1"/>
    <w:qFormat/>
    <w:uiPriority w:val="0"/>
    <w:pPr>
      <w:spacing w:line="430" w:lineRule="auto"/>
      <w:ind w:firstLine="400"/>
    </w:pPr>
    <w:rPr>
      <w:rFonts w:ascii="宋体" w:hAnsi="宋体" w:cs="宋体"/>
      <w:sz w:val="42"/>
      <w:szCs w:val="42"/>
      <w:lang w:val="zh-TW" w:eastAsia="zh-TW" w:bidi="zh-TW"/>
    </w:rPr>
  </w:style>
  <w:style w:type="paragraph" w:customStyle="1" w:styleId="358">
    <w:name w:val="纯文本1"/>
    <w:basedOn w:val="1"/>
    <w:qFormat/>
    <w:uiPriority w:val="0"/>
    <w:rPr>
      <w:rFonts w:ascii="宋体" w:hAnsi="Courier New" w:eastAsia="楷体_GB2312" w:cs="宋体"/>
      <w:sz w:val="28"/>
    </w:rPr>
  </w:style>
  <w:style w:type="character" w:customStyle="1" w:styleId="359">
    <w:name w:val="默认段落字体1"/>
    <w:link w:val="1"/>
    <w:unhideWhenUsed/>
    <w:qFormat/>
    <w:uiPriority w:val="1"/>
  </w:style>
  <w:style w:type="paragraph" w:customStyle="1" w:styleId="360">
    <w:name w:val="标题 31"/>
    <w:basedOn w:val="1"/>
    <w:next w:val="36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361">
    <w:name w:val="正文缩进1"/>
    <w:basedOn w:val="1"/>
    <w:qFormat/>
    <w:uiPriority w:val="0"/>
    <w:pPr>
      <w:ind w:firstLine="420"/>
    </w:pPr>
    <w:rPr>
      <w:sz w:val="20"/>
    </w:rPr>
  </w:style>
  <w:style w:type="paragraph" w:customStyle="1" w:styleId="362">
    <w:name w:val="标题 41"/>
    <w:basedOn w:val="1"/>
    <w:next w:val="361"/>
    <w:qFormat/>
    <w:uiPriority w:val="0"/>
    <w:pPr>
      <w:keepNext/>
      <w:keepLines/>
      <w:spacing w:before="280" w:after="290" w:line="376" w:lineRule="auto"/>
      <w:outlineLvl w:val="3"/>
    </w:pPr>
    <w:rPr>
      <w:rFonts w:ascii="Arial" w:hAnsi="Arial" w:eastAsia="黑体"/>
      <w:b/>
      <w:bCs/>
      <w:sz w:val="28"/>
      <w:szCs w:val="28"/>
    </w:rPr>
  </w:style>
  <w:style w:type="paragraph" w:customStyle="1" w:styleId="363">
    <w:name w:val="Table Text"/>
    <w:basedOn w:val="1"/>
    <w:semiHidden/>
    <w:qFormat/>
    <w:uiPriority w:val="0"/>
    <w:rPr>
      <w:szCs w:val="21"/>
      <w:lang w:eastAsia="en-US"/>
    </w:rPr>
  </w:style>
  <w:style w:type="paragraph" w:customStyle="1" w:styleId="364">
    <w:name w:val="普通正文"/>
    <w:basedOn w:val="1"/>
    <w:qFormat/>
    <w:uiPriority w:val="0"/>
    <w:pPr>
      <w:spacing w:before="120" w:after="120" w:line="360" w:lineRule="auto"/>
      <w:ind w:firstLine="480"/>
      <w:jc w:val="left"/>
    </w:pPr>
    <w:rPr>
      <w:rFonts w:ascii="Arial" w:hAnsi="Arial"/>
      <w:sz w:val="24"/>
      <w:szCs w:val="24"/>
    </w:rPr>
  </w:style>
  <w:style w:type="paragraph" w:customStyle="1" w:styleId="365">
    <w:name w:val="Char"/>
    <w:basedOn w:val="1"/>
    <w:qFormat/>
    <w:uiPriority w:val="0"/>
    <w:pPr>
      <w:tabs>
        <w:tab w:val="left" w:pos="360"/>
      </w:tabs>
      <w:ind w:firstLine="200"/>
    </w:pPr>
    <w:rPr>
      <w:sz w:val="28"/>
      <w:szCs w:val="30"/>
    </w:rPr>
  </w:style>
  <w:style w:type="character" w:customStyle="1" w:styleId="366">
    <w:name w:val="HTML 打字机1"/>
    <w:link w:val="1"/>
    <w:qFormat/>
    <w:uiPriority w:val="99"/>
    <w:rPr>
      <w:rFonts w:ascii="宋体" w:hAnsi="宋体" w:eastAsia="宋体" w:cs="宋体"/>
      <w:sz w:val="24"/>
      <w:szCs w:val="24"/>
    </w:rPr>
  </w:style>
  <w:style w:type="paragraph" w:customStyle="1" w:styleId="367">
    <w:name w:val="Table Paragraph"/>
    <w:basedOn w:val="1"/>
    <w:qFormat/>
    <w:uiPriority w:val="1"/>
    <w:rPr>
      <w:rFonts w:ascii="宋体" w:hAnsi="宋体" w:cs="宋体"/>
      <w:szCs w:val="24"/>
      <w:lang w:val="zh-CN" w:bidi="zh-CN"/>
    </w:rPr>
  </w:style>
  <w:style w:type="paragraph" w:customStyle="1" w:styleId="368">
    <w:name w:val="_Style 14"/>
    <w:basedOn w:val="1"/>
    <w:next w:val="246"/>
    <w:qFormat/>
    <w:uiPriority w:val="99"/>
    <w:pPr>
      <w:ind w:firstLine="420"/>
    </w:pPr>
    <w:rPr>
      <w:rFonts w:ascii="宋体" w:hAnsi="宋体" w:cs="Times New Roman"/>
      <w:bCs/>
      <w:szCs w:val="32"/>
    </w:rPr>
  </w:style>
  <w:style w:type="paragraph" w:customStyle="1" w:styleId="369">
    <w:name w:val="List Paragraph1"/>
    <w:basedOn w:val="1"/>
    <w:qFormat/>
    <w:uiPriority w:val="0"/>
    <w:pPr>
      <w:ind w:firstLine="420"/>
    </w:pPr>
    <w:rPr>
      <w:szCs w:val="21"/>
    </w:rPr>
  </w:style>
  <w:style w:type="character" w:customStyle="1" w:styleId="370">
    <w:name w:val="font131"/>
    <w:basedOn w:val="191"/>
    <w:link w:val="1"/>
    <w:qFormat/>
    <w:uiPriority w:val="0"/>
    <w:rPr>
      <w:rFonts w:ascii="Calibri" w:hAnsi="Calibri" w:cs="Calibri"/>
      <w:color w:val="000000"/>
      <w:sz w:val="22"/>
      <w:szCs w:val="22"/>
      <w:u w:val="none"/>
    </w:rPr>
  </w:style>
  <w:style w:type="character" w:customStyle="1" w:styleId="371">
    <w:name w:val="font141"/>
    <w:basedOn w:val="191"/>
    <w:link w:val="1"/>
    <w:qFormat/>
    <w:uiPriority w:val="0"/>
    <w:rPr>
      <w:rFonts w:hint="eastAsia" w:ascii="宋体" w:hAnsi="宋体" w:eastAsia="宋体" w:cs="宋体"/>
      <w:color w:val="000000"/>
      <w:sz w:val="22"/>
      <w:szCs w:val="22"/>
      <w:u w:val="none"/>
    </w:rPr>
  </w:style>
  <w:style w:type="character" w:customStyle="1" w:styleId="372">
    <w:name w:val="font31"/>
    <w:basedOn w:val="191"/>
    <w:link w:val="1"/>
    <w:qFormat/>
    <w:uiPriority w:val="0"/>
    <w:rPr>
      <w:rFonts w:hint="eastAsia" w:ascii="楷体" w:hAnsi="楷体" w:eastAsia="楷体" w:cs="楷体"/>
      <w:color w:val="000000"/>
      <w:sz w:val="22"/>
      <w:szCs w:val="22"/>
      <w:u w:val="none"/>
    </w:rPr>
  </w:style>
  <w:style w:type="character" w:customStyle="1" w:styleId="373">
    <w:name w:val="font151"/>
    <w:basedOn w:val="191"/>
    <w:link w:val="1"/>
    <w:qFormat/>
    <w:uiPriority w:val="0"/>
    <w:rPr>
      <w:rFonts w:hint="eastAsia" w:ascii="宋体" w:hAnsi="宋体" w:eastAsia="宋体" w:cs="宋体"/>
      <w:color w:val="000000"/>
      <w:sz w:val="22"/>
      <w:szCs w:val="22"/>
      <w:u w:val="none"/>
    </w:rPr>
  </w:style>
  <w:style w:type="paragraph" w:customStyle="1" w:styleId="374">
    <w:name w:val="正文首行缩进 21"/>
    <w:basedOn w:val="375"/>
    <w:qFormat/>
    <w:uiPriority w:val="0"/>
    <w:pPr>
      <w:spacing w:line="360" w:lineRule="auto"/>
      <w:ind w:firstLine="420"/>
    </w:pPr>
    <w:rPr>
      <w:rFonts w:ascii="宋体" w:hAnsi="宋体" w:eastAsia="宋体"/>
      <w:szCs w:val="20"/>
    </w:rPr>
  </w:style>
  <w:style w:type="paragraph" w:customStyle="1" w:styleId="375">
    <w:name w:val="正文文本缩进1"/>
    <w:basedOn w:val="1"/>
    <w:next w:val="376"/>
    <w:qFormat/>
    <w:uiPriority w:val="0"/>
    <w:pPr>
      <w:ind w:firstLine="645"/>
    </w:pPr>
    <w:rPr>
      <w:rFonts w:ascii="楷体_GB2312" w:eastAsia="楷体_GB2312"/>
      <w:sz w:val="32"/>
      <w:szCs w:val="32"/>
    </w:rPr>
  </w:style>
  <w:style w:type="paragraph" w:customStyle="1" w:styleId="376">
    <w:name w:val="寄信人地址1"/>
    <w:basedOn w:val="1"/>
    <w:unhideWhenUsed/>
    <w:qFormat/>
    <w:uiPriority w:val="99"/>
    <w:rPr>
      <w:rFonts w:hint="eastAsia" w:ascii="Arial" w:hAnsi="Arial"/>
      <w:sz w:val="24"/>
    </w:rPr>
  </w:style>
  <w:style w:type="character" w:customStyle="1" w:styleId="377">
    <w:name w:val="font21"/>
    <w:basedOn w:val="191"/>
    <w:link w:val="1"/>
    <w:qFormat/>
    <w:uiPriority w:val="0"/>
    <w:rPr>
      <w:rFonts w:hint="eastAsia" w:ascii="宋体" w:hAnsi="宋体" w:eastAsia="宋体" w:cs="宋体"/>
      <w:b/>
      <w:bCs/>
      <w:color w:val="000000"/>
      <w:sz w:val="20"/>
      <w:szCs w:val="20"/>
      <w:u w:val="none"/>
    </w:rPr>
  </w:style>
  <w:style w:type="character" w:customStyle="1" w:styleId="378">
    <w:name w:val="font41"/>
    <w:basedOn w:val="191"/>
    <w:link w:val="1"/>
    <w:qFormat/>
    <w:uiPriority w:val="0"/>
    <w:rPr>
      <w:rFonts w:ascii="宋体" w:hAnsi="宋体" w:eastAsia="宋体" w:cs="宋体"/>
      <w:b/>
      <w:bCs/>
      <w:color w:val="000000"/>
      <w:sz w:val="20"/>
      <w:szCs w:val="20"/>
      <w:u w:val="none"/>
    </w:rPr>
  </w:style>
  <w:style w:type="character" w:customStyle="1" w:styleId="379">
    <w:name w:val="font51"/>
    <w:basedOn w:val="191"/>
    <w:link w:val="1"/>
    <w:qFormat/>
    <w:uiPriority w:val="0"/>
    <w:rPr>
      <w:rFonts w:ascii="等线" w:hAnsi="等线" w:eastAsia="等线" w:cs="等线"/>
      <w:b/>
      <w:bCs/>
      <w:color w:val="000000"/>
      <w:sz w:val="20"/>
      <w:szCs w:val="20"/>
      <w:u w:val="none"/>
    </w:rPr>
  </w:style>
  <w:style w:type="character" w:customStyle="1" w:styleId="380">
    <w:name w:val="fontstyle01"/>
    <w:link w:val="1"/>
    <w:qFormat/>
    <w:uiPriority w:val="0"/>
    <w:rPr>
      <w:rFonts w:hint="eastAsia" w:ascii="宋体" w:hAnsi="宋体" w:eastAsia="宋体"/>
      <w:color w:val="000000"/>
      <w:sz w:val="24"/>
      <w:szCs w:val="24"/>
    </w:rPr>
  </w:style>
  <w:style w:type="paragraph" w:customStyle="1" w:styleId="381">
    <w:name w:val="列表段落1"/>
    <w:qFormat/>
    <w:uiPriority w:val="0"/>
    <w:pPr>
      <w:widowControl w:val="0"/>
      <w:ind w:firstLine="420"/>
      <w:jc w:val="both"/>
    </w:pPr>
    <w:rPr>
      <w:rFonts w:hint="default" w:ascii="Times New Roman" w:hAnsi="Times New Roman" w:eastAsia="宋体" w:cs="Times New Roman"/>
      <w:sz w:val="21"/>
      <w:lang w:val="en-US" w:eastAsia="zh-CN" w:bidi="ar-SA"/>
    </w:rPr>
  </w:style>
  <w:style w:type="character" w:customStyle="1" w:styleId="382">
    <w:name w:val="font251"/>
    <w:basedOn w:val="191"/>
    <w:link w:val="1"/>
    <w:qFormat/>
    <w:uiPriority w:val="0"/>
    <w:rPr>
      <w:rFonts w:hint="eastAsia" w:ascii="宋体" w:hAnsi="宋体" w:eastAsia="宋体" w:cs="宋体"/>
      <w:color w:val="FF0000"/>
      <w:sz w:val="20"/>
      <w:szCs w:val="20"/>
      <w:u w:val="none"/>
    </w:rPr>
  </w:style>
  <w:style w:type="character" w:customStyle="1" w:styleId="383">
    <w:name w:val="font91"/>
    <w:basedOn w:val="33"/>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邀请招</Template>
  <Company>Lenov</Company>
  <Pages>60</Pages>
  <Words>39600</Words>
  <Characters>42891</Characters>
  <TotalTime>9</TotalTime>
  <ScaleCrop>false</ScaleCrop>
  <LinksUpToDate>false</LinksUpToDate>
  <CharactersWithSpaces>43744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dc:creator>
  <cp:lastModifiedBy>俊俊</cp:lastModifiedBy>
  <dcterms:modified xsi:type="dcterms:W3CDTF">2026-03-10T01:03:31Z</dcterms:modified>
  <dc:title>投标邀</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88452E9B3FF74BEE999B13DF2924B25C_13</vt:lpwstr>
  </property>
  <property fmtid="{D5CDD505-2E9C-101B-9397-08002B2CF9AE}" pid="4" name="KSOTemplateDocerSaveRecord">
    <vt:lpwstr>eyJoZGlkIjoiOWMyNDI3ZWI4YmM0NjdlMGViOTE3ODY3YTk2NzY2YzYiLCJ1c2VySWQiOiI5MjgxOTkyNDUifQ==</vt:lpwstr>
  </property>
</Properties>
</file>