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6A2406">
      <w:pPr>
        <w:autoSpaceDE w:val="0"/>
        <w:autoSpaceDN w:val="0"/>
        <w:adjustRightInd w:val="0"/>
        <w:spacing w:line="312" w:lineRule="auto"/>
        <w:jc w:val="center"/>
        <w:rPr>
          <w:rFonts w:ascii="宋体" w:hAnsi="宋体" w:cs="宋体"/>
          <w:b/>
          <w:color w:val="auto"/>
          <w:sz w:val="44"/>
          <w:szCs w:val="44"/>
          <w:highlight w:val="none"/>
        </w:rPr>
      </w:pPr>
    </w:p>
    <w:p w14:paraId="2286F01C">
      <w:pPr>
        <w:autoSpaceDE w:val="0"/>
        <w:autoSpaceDN w:val="0"/>
        <w:adjustRightInd w:val="0"/>
        <w:spacing w:line="312" w:lineRule="auto"/>
        <w:jc w:val="center"/>
        <w:rPr>
          <w:rFonts w:hint="eastAsia" w:ascii="宋体" w:hAnsi="宋体" w:cs="宋体"/>
          <w:b/>
          <w:color w:val="auto"/>
          <w:sz w:val="44"/>
          <w:szCs w:val="44"/>
          <w:highlight w:val="none"/>
          <w:lang w:eastAsia="zh-CN"/>
        </w:rPr>
      </w:pPr>
    </w:p>
    <w:p w14:paraId="386B63EF">
      <w:pPr>
        <w:adjustRightInd w:val="0"/>
        <w:spacing w:before="120" w:after="120" w:line="360" w:lineRule="auto"/>
        <w:jc w:val="center"/>
        <w:textAlignment w:val="baseline"/>
        <w:rPr>
          <w:rFonts w:hint="eastAsia" w:ascii="仿宋" w:hAnsi="仿宋" w:eastAsia="仿宋"/>
          <w:b/>
          <w:bCs/>
          <w:color w:val="auto"/>
          <w:kern w:val="0"/>
          <w:sz w:val="84"/>
          <w:szCs w:val="24"/>
          <w:highlight w:val="none"/>
          <w:lang w:eastAsia="zh-CN"/>
        </w:rPr>
      </w:pPr>
      <w:r>
        <w:rPr>
          <w:rFonts w:hint="eastAsia" w:ascii="仿宋" w:hAnsi="仿宋" w:eastAsia="仿宋"/>
          <w:b/>
          <w:bCs/>
          <w:color w:val="auto"/>
          <w:kern w:val="0"/>
          <w:sz w:val="52"/>
          <w:szCs w:val="52"/>
          <w:highlight w:val="none"/>
          <w:lang w:val="en-US" w:eastAsia="zh-CN"/>
        </w:rPr>
        <w:t>询价</w:t>
      </w:r>
      <w:r>
        <w:rPr>
          <w:rFonts w:hint="eastAsia" w:ascii="仿宋" w:hAnsi="仿宋" w:eastAsia="仿宋"/>
          <w:b/>
          <w:bCs/>
          <w:color w:val="auto"/>
          <w:kern w:val="0"/>
          <w:sz w:val="52"/>
          <w:szCs w:val="52"/>
          <w:highlight w:val="none"/>
        </w:rPr>
        <w:t>文件</w:t>
      </w:r>
    </w:p>
    <w:p w14:paraId="3993F641">
      <w:pPr>
        <w:pageBreakBefore w:val="0"/>
        <w:kinsoku/>
        <w:wordWrap/>
        <w:overflowPunct/>
        <w:topLinePunct w:val="0"/>
        <w:bidi w:val="0"/>
        <w:adjustRightInd w:val="0"/>
        <w:spacing w:before="120" w:after="120" w:line="536" w:lineRule="exact"/>
        <w:jc w:val="center"/>
        <w:textAlignment w:val="baseline"/>
        <w:rPr>
          <w:rFonts w:hint="eastAsia" w:ascii="仿宋" w:hAnsi="仿宋" w:eastAsia="仿宋" w:cs="Times New Roman"/>
          <w:b/>
          <w:bCs/>
          <w:color w:val="auto"/>
          <w:kern w:val="0"/>
          <w:sz w:val="32"/>
          <w:szCs w:val="24"/>
          <w:highlight w:val="none"/>
          <w:lang w:eastAsia="zh-CN"/>
        </w:rPr>
      </w:pPr>
      <w:r>
        <w:rPr>
          <w:rFonts w:hint="eastAsia" w:ascii="仿宋" w:hAnsi="仿宋" w:eastAsia="仿宋"/>
          <w:b/>
          <w:bCs/>
          <w:color w:val="auto"/>
          <w:kern w:val="0"/>
          <w:sz w:val="32"/>
          <w:szCs w:val="24"/>
          <w:highlight w:val="none"/>
        </w:rPr>
        <w:t>项目名称：</w:t>
      </w:r>
      <w:r>
        <w:rPr>
          <w:rFonts w:hint="eastAsia" w:ascii="仿宋" w:hAnsi="仿宋" w:eastAsia="仿宋"/>
          <w:b/>
          <w:bCs/>
          <w:color w:val="auto"/>
          <w:kern w:val="0"/>
          <w:sz w:val="32"/>
          <w:szCs w:val="24"/>
          <w:highlight w:val="none"/>
          <w:lang w:eastAsia="zh-CN"/>
        </w:rPr>
        <w:t>海安市2025年中央粮油生产保障专项-海安市蔬菜提质增效推进县项目物化补助采购（</w:t>
      </w:r>
      <w:r>
        <w:rPr>
          <w:rFonts w:hint="eastAsia" w:ascii="仿宋" w:hAnsi="仿宋" w:eastAsia="仿宋"/>
          <w:b/>
          <w:bCs/>
          <w:color w:val="auto"/>
          <w:kern w:val="0"/>
          <w:sz w:val="32"/>
          <w:szCs w:val="24"/>
          <w:highlight w:val="none"/>
          <w:lang w:val="en-US" w:eastAsia="zh-CN"/>
        </w:rPr>
        <w:t>六次</w:t>
      </w:r>
      <w:r>
        <w:rPr>
          <w:rFonts w:hint="eastAsia" w:ascii="仿宋" w:hAnsi="仿宋" w:eastAsia="仿宋"/>
          <w:b/>
          <w:bCs/>
          <w:color w:val="auto"/>
          <w:kern w:val="0"/>
          <w:sz w:val="32"/>
          <w:szCs w:val="24"/>
          <w:highlight w:val="none"/>
          <w:lang w:eastAsia="zh-CN"/>
        </w:rPr>
        <w:t>）</w:t>
      </w:r>
    </w:p>
    <w:p w14:paraId="326A2627">
      <w:pPr>
        <w:pageBreakBefore w:val="0"/>
        <w:kinsoku/>
        <w:wordWrap/>
        <w:overflowPunct/>
        <w:topLinePunct w:val="0"/>
        <w:bidi w:val="0"/>
        <w:adjustRightInd w:val="0"/>
        <w:spacing w:before="120" w:after="120" w:line="536" w:lineRule="exact"/>
        <w:jc w:val="center"/>
        <w:textAlignment w:val="baseline"/>
        <w:rPr>
          <w:rFonts w:hint="eastAsia" w:ascii="仿宋" w:hAnsi="仿宋" w:eastAsia="仿宋"/>
          <w:b/>
          <w:bCs/>
          <w:color w:val="auto"/>
          <w:kern w:val="0"/>
          <w:sz w:val="32"/>
          <w:szCs w:val="24"/>
          <w:highlight w:val="none"/>
          <w:lang w:eastAsia="zh-CN"/>
        </w:rPr>
      </w:pPr>
      <w:r>
        <w:rPr>
          <w:rFonts w:hint="eastAsia" w:ascii="仿宋" w:hAnsi="仿宋" w:eastAsia="仿宋"/>
          <w:b/>
          <w:bCs/>
          <w:color w:val="auto"/>
          <w:kern w:val="0"/>
          <w:sz w:val="32"/>
          <w:szCs w:val="24"/>
          <w:highlight w:val="none"/>
        </w:rPr>
        <w:t>项目编号：</w:t>
      </w:r>
      <w:r>
        <w:rPr>
          <w:rFonts w:hint="eastAsia" w:ascii="仿宋" w:hAnsi="仿宋" w:eastAsia="仿宋"/>
          <w:b/>
          <w:bCs/>
          <w:color w:val="auto"/>
          <w:kern w:val="0"/>
          <w:sz w:val="32"/>
          <w:szCs w:val="24"/>
          <w:highlight w:val="none"/>
          <w:lang w:eastAsia="zh-CN"/>
        </w:rPr>
        <w:t>JSZC-320685-HAZX-X2026-0008</w:t>
      </w:r>
    </w:p>
    <w:p w14:paraId="5960074C">
      <w:pPr>
        <w:pageBreakBefore w:val="0"/>
        <w:kinsoku/>
        <w:wordWrap/>
        <w:overflowPunct/>
        <w:topLinePunct w:val="0"/>
        <w:bidi w:val="0"/>
        <w:adjustRightInd w:val="0"/>
        <w:spacing w:before="120" w:after="120" w:line="536" w:lineRule="exact"/>
        <w:ind w:firstLine="1470" w:firstLineChars="700"/>
        <w:jc w:val="left"/>
        <w:textAlignment w:val="baseline"/>
        <w:rPr>
          <w:rFonts w:hint="eastAsia" w:ascii="仿宋" w:hAnsi="仿宋" w:eastAsia="仿宋"/>
          <w:b/>
          <w:color w:val="auto"/>
          <w:sz w:val="30"/>
          <w:szCs w:val="30"/>
          <w:highlight w:val="none"/>
        </w:rPr>
      </w:pPr>
      <w:r>
        <w:rPr>
          <w:rFonts w:hint="eastAsia" w:ascii="仿宋" w:hAnsi="仿宋" w:eastAsia="仿宋"/>
          <w:color w:val="auto"/>
          <w:szCs w:val="21"/>
          <w:highlight w:val="none"/>
        </w:rPr>
        <w:t xml:space="preserve">           </w:t>
      </w:r>
      <w:r>
        <w:rPr>
          <w:rFonts w:hint="eastAsia" w:ascii="仿宋" w:hAnsi="仿宋" w:eastAsia="仿宋"/>
          <w:b/>
          <w:color w:val="auto"/>
          <w:sz w:val="30"/>
          <w:szCs w:val="30"/>
          <w:highlight w:val="none"/>
        </w:rPr>
        <w:t xml:space="preserve">     </w:t>
      </w:r>
    </w:p>
    <w:p w14:paraId="48858650">
      <w:pPr>
        <w:pageBreakBefore w:val="0"/>
        <w:tabs>
          <w:tab w:val="left" w:pos="3390"/>
        </w:tabs>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tab/>
      </w:r>
    </w:p>
    <w:p w14:paraId="6D4AC6B5">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5B736213">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5532EDF2">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721DDA5E">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72FB47FE">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7ABF0788">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2568C11C">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48EAD633">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7C48F6B5">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1752E84E">
      <w:pPr>
        <w:pageBreakBefore w:val="0"/>
        <w:kinsoku/>
        <w:wordWrap/>
        <w:overflowPunct/>
        <w:topLinePunct w:val="0"/>
        <w:bidi w:val="0"/>
        <w:adjustRightInd w:val="0"/>
        <w:spacing w:line="536" w:lineRule="exact"/>
        <w:jc w:val="left"/>
        <w:textAlignment w:val="baseline"/>
        <w:rPr>
          <w:rFonts w:hint="eastAsia" w:ascii="仿宋" w:hAnsi="仿宋" w:eastAsia="仿宋"/>
          <w:color w:val="auto"/>
          <w:kern w:val="0"/>
          <w:sz w:val="24"/>
          <w:szCs w:val="24"/>
          <w:highlight w:val="none"/>
        </w:rPr>
      </w:pPr>
    </w:p>
    <w:p w14:paraId="17698CD8">
      <w:pPr>
        <w:pageBreakBefore w:val="0"/>
        <w:kinsoku/>
        <w:wordWrap/>
        <w:overflowPunct/>
        <w:topLinePunct w:val="0"/>
        <w:bidi w:val="0"/>
        <w:adjustRightInd w:val="0"/>
        <w:spacing w:before="120" w:after="120" w:line="536" w:lineRule="exact"/>
        <w:jc w:val="center"/>
        <w:textAlignment w:val="baseline"/>
        <w:rPr>
          <w:rFonts w:hint="eastAsia" w:ascii="仿宋" w:hAnsi="仿宋" w:eastAsia="仿宋"/>
          <w:b/>
          <w:bCs/>
          <w:color w:val="auto"/>
          <w:kern w:val="0"/>
          <w:sz w:val="32"/>
          <w:szCs w:val="24"/>
          <w:highlight w:val="none"/>
          <w:lang w:eastAsia="zh-CN"/>
        </w:rPr>
      </w:pPr>
      <w:r>
        <w:rPr>
          <w:rFonts w:hint="eastAsia" w:ascii="仿宋" w:hAnsi="仿宋" w:eastAsia="仿宋"/>
          <w:b/>
          <w:bCs/>
          <w:color w:val="auto"/>
          <w:kern w:val="0"/>
          <w:sz w:val="32"/>
          <w:szCs w:val="24"/>
          <w:highlight w:val="none"/>
        </w:rPr>
        <w:t>采购人：</w:t>
      </w:r>
      <w:r>
        <w:rPr>
          <w:rFonts w:hint="eastAsia" w:ascii="仿宋" w:hAnsi="仿宋" w:eastAsia="仿宋"/>
          <w:b/>
          <w:bCs/>
          <w:color w:val="auto"/>
          <w:kern w:val="0"/>
          <w:sz w:val="32"/>
          <w:szCs w:val="24"/>
          <w:highlight w:val="none"/>
          <w:lang w:eastAsia="zh-CN"/>
        </w:rPr>
        <w:t>海安市农业农村局</w:t>
      </w:r>
    </w:p>
    <w:p w14:paraId="42AE42AE">
      <w:pPr>
        <w:pageBreakBefore w:val="0"/>
        <w:kinsoku/>
        <w:wordWrap/>
        <w:overflowPunct/>
        <w:topLinePunct w:val="0"/>
        <w:bidi w:val="0"/>
        <w:adjustRightInd w:val="0"/>
        <w:spacing w:before="120" w:after="120" w:line="536" w:lineRule="exact"/>
        <w:jc w:val="center"/>
        <w:textAlignment w:val="baseline"/>
        <w:rPr>
          <w:rFonts w:hint="eastAsia" w:ascii="仿宋" w:hAnsi="仿宋" w:eastAsia="仿宋"/>
          <w:b/>
          <w:bCs/>
          <w:color w:val="auto"/>
          <w:kern w:val="0"/>
          <w:sz w:val="32"/>
          <w:szCs w:val="24"/>
          <w:highlight w:val="none"/>
        </w:rPr>
      </w:pPr>
      <w:r>
        <w:rPr>
          <w:rFonts w:hint="eastAsia" w:ascii="仿宋" w:hAnsi="仿宋" w:eastAsia="仿宋"/>
          <w:b/>
          <w:bCs/>
          <w:color w:val="auto"/>
          <w:kern w:val="0"/>
          <w:sz w:val="32"/>
          <w:szCs w:val="24"/>
          <w:highlight w:val="none"/>
        </w:rPr>
        <w:t>202</w:t>
      </w:r>
      <w:r>
        <w:rPr>
          <w:rFonts w:hint="eastAsia" w:ascii="仿宋" w:hAnsi="仿宋" w:eastAsia="仿宋"/>
          <w:b/>
          <w:bCs/>
          <w:color w:val="auto"/>
          <w:kern w:val="0"/>
          <w:sz w:val="32"/>
          <w:szCs w:val="24"/>
          <w:highlight w:val="none"/>
          <w:lang w:val="en-US" w:eastAsia="zh-CN"/>
        </w:rPr>
        <w:t>6</w:t>
      </w:r>
      <w:r>
        <w:rPr>
          <w:rFonts w:hint="eastAsia" w:ascii="仿宋" w:hAnsi="仿宋" w:eastAsia="仿宋"/>
          <w:b/>
          <w:bCs/>
          <w:color w:val="auto"/>
          <w:kern w:val="0"/>
          <w:sz w:val="32"/>
          <w:szCs w:val="24"/>
          <w:highlight w:val="none"/>
        </w:rPr>
        <w:t>年</w:t>
      </w:r>
      <w:r>
        <w:rPr>
          <w:rFonts w:hint="eastAsia" w:ascii="仿宋" w:hAnsi="仿宋" w:eastAsia="仿宋"/>
          <w:b/>
          <w:bCs/>
          <w:color w:val="auto"/>
          <w:kern w:val="0"/>
          <w:sz w:val="32"/>
          <w:szCs w:val="24"/>
          <w:highlight w:val="none"/>
          <w:lang w:val="en-US" w:eastAsia="zh-CN"/>
        </w:rPr>
        <w:t>4</w:t>
      </w:r>
      <w:r>
        <w:rPr>
          <w:rFonts w:hint="eastAsia" w:ascii="仿宋" w:hAnsi="仿宋" w:eastAsia="仿宋"/>
          <w:b/>
          <w:bCs/>
          <w:color w:val="auto"/>
          <w:kern w:val="0"/>
          <w:sz w:val="32"/>
          <w:szCs w:val="24"/>
          <w:highlight w:val="none"/>
        </w:rPr>
        <w:t>月</w:t>
      </w:r>
    </w:p>
    <w:p w14:paraId="2B715DC2">
      <w:pPr>
        <w:adjustRightInd w:val="0"/>
        <w:snapToGrid w:val="0"/>
        <w:spacing w:line="312" w:lineRule="auto"/>
        <w:ind w:left="-157" w:leftChars="-75" w:right="-600" w:rightChars="-286"/>
        <w:rPr>
          <w:rFonts w:ascii="Times New Roman" w:hAnsi="Times New Roman" w:eastAsia="方正仿宋_GBK"/>
          <w:b/>
          <w:color w:val="auto"/>
          <w:sz w:val="32"/>
          <w:szCs w:val="32"/>
          <w:highlight w:val="none"/>
        </w:rPr>
      </w:pPr>
    </w:p>
    <w:p w14:paraId="05B60C58">
      <w:pPr>
        <w:adjustRightInd w:val="0"/>
        <w:snapToGrid w:val="0"/>
        <w:spacing w:line="312" w:lineRule="auto"/>
        <w:ind w:left="-157" w:leftChars="-75" w:right="-600" w:rightChars="-286"/>
        <w:rPr>
          <w:rFonts w:ascii="Times New Roman" w:hAnsi="Times New Roman" w:eastAsia="方正仿宋_GBK"/>
          <w:color w:val="auto"/>
          <w:sz w:val="32"/>
          <w:szCs w:val="32"/>
          <w:highlight w:val="none"/>
        </w:rPr>
      </w:pPr>
    </w:p>
    <w:p w14:paraId="5C679CCF">
      <w:pPr>
        <w:adjustRightInd w:val="0"/>
        <w:snapToGrid w:val="0"/>
        <w:spacing w:line="312" w:lineRule="auto"/>
        <w:ind w:left="-157" w:leftChars="-75" w:right="-600" w:rightChars="-286"/>
        <w:rPr>
          <w:rFonts w:ascii="Times New Roman" w:hAnsi="Times New Roman" w:eastAsia="方正仿宋_GBK"/>
          <w:color w:val="auto"/>
          <w:sz w:val="32"/>
          <w:szCs w:val="32"/>
          <w:highlight w:val="none"/>
        </w:rPr>
        <w:sectPr>
          <w:pgSz w:w="11906" w:h="16838"/>
          <w:pgMar w:top="1440" w:right="1758" w:bottom="1440" w:left="1758" w:header="851" w:footer="992" w:gutter="0"/>
          <w:pgNumType w:start="0"/>
          <w:cols w:space="720" w:num="1"/>
          <w:docGrid w:type="linesAndChars" w:linePitch="312" w:charSpace="0"/>
        </w:sectPr>
      </w:pPr>
    </w:p>
    <w:p w14:paraId="53A8278E">
      <w:pPr>
        <w:autoSpaceDE w:val="0"/>
        <w:autoSpaceDN w:val="0"/>
        <w:adjustRightInd w:val="0"/>
        <w:snapToGrid w:val="0"/>
        <w:spacing w:line="360" w:lineRule="auto"/>
        <w:jc w:val="center"/>
        <w:outlineLvl w:val="0"/>
        <w:rPr>
          <w:rFonts w:ascii="方正黑体_GBK" w:hAnsi="宋体" w:eastAsia="方正黑体_GBK" w:cs="宋体"/>
          <w:bCs/>
          <w:color w:val="auto"/>
          <w:spacing w:val="7"/>
          <w:kern w:val="0"/>
          <w:sz w:val="44"/>
          <w:szCs w:val="44"/>
          <w:highlight w:val="none"/>
        </w:rPr>
      </w:pPr>
      <w:r>
        <w:rPr>
          <w:rFonts w:hint="eastAsia" w:ascii="方正黑体_GBK" w:hAnsi="宋体" w:eastAsia="方正黑体_GBK" w:cs="宋体"/>
          <w:bCs/>
          <w:color w:val="auto"/>
          <w:spacing w:val="7"/>
          <w:kern w:val="0"/>
          <w:sz w:val="44"/>
          <w:szCs w:val="44"/>
          <w:highlight w:val="none"/>
        </w:rPr>
        <w:t>目录</w:t>
      </w:r>
    </w:p>
    <w:p w14:paraId="1B19BCAD">
      <w:pPr>
        <w:autoSpaceDE w:val="0"/>
        <w:autoSpaceDN w:val="0"/>
        <w:adjustRightInd w:val="0"/>
        <w:snapToGrid w:val="0"/>
        <w:spacing w:line="360" w:lineRule="auto"/>
        <w:rPr>
          <w:rFonts w:ascii="方正黑体_GBK" w:hAnsi="宋体" w:eastAsia="方正黑体_GBK" w:cs="宋体"/>
          <w:bCs/>
          <w:color w:val="auto"/>
          <w:spacing w:val="7"/>
          <w:kern w:val="0"/>
          <w:sz w:val="28"/>
          <w:szCs w:val="28"/>
          <w:highlight w:val="none"/>
        </w:rPr>
      </w:pPr>
    </w:p>
    <w:p w14:paraId="2CE23D33">
      <w:pPr>
        <w:pStyle w:val="6"/>
        <w:adjustRightInd w:val="0"/>
        <w:snapToGrid w:val="0"/>
        <w:spacing w:after="0" w:line="360" w:lineRule="auto"/>
        <w:rPr>
          <w:color w:val="auto"/>
          <w:highlight w:val="none"/>
        </w:rPr>
      </w:pPr>
    </w:p>
    <w:p w14:paraId="5219870E">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第一部分  采购邀请</w:t>
      </w:r>
    </w:p>
    <w:p w14:paraId="1C397751">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第二部分  响应须知</w:t>
      </w:r>
    </w:p>
    <w:p w14:paraId="44E0149E">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第三部分  项目需求</w:t>
      </w:r>
    </w:p>
    <w:p w14:paraId="4BEA0A0A">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第四部分  响应文件组成</w:t>
      </w:r>
    </w:p>
    <w:p w14:paraId="3FCCDCF2">
      <w:pPr>
        <w:adjustRightInd w:val="0"/>
        <w:snapToGrid w:val="0"/>
        <w:spacing w:line="500" w:lineRule="exact"/>
        <w:jc w:val="center"/>
        <w:rPr>
          <w:rFonts w:ascii="宋体" w:hAnsi="宋体" w:cs="宋体"/>
          <w:b/>
          <w:bCs/>
          <w:color w:val="auto"/>
          <w:sz w:val="32"/>
          <w:szCs w:val="32"/>
          <w:highlight w:val="none"/>
        </w:rPr>
      </w:pPr>
      <w:r>
        <w:rPr>
          <w:rFonts w:hint="eastAsia" w:ascii="宋体" w:hAnsi="宋体" w:cs="宋体"/>
          <w:color w:val="auto"/>
          <w:spacing w:val="7"/>
          <w:kern w:val="0"/>
          <w:sz w:val="28"/>
          <w:szCs w:val="28"/>
          <w:highlight w:val="none"/>
        </w:rPr>
        <w:br w:type="page"/>
      </w:r>
      <w:bookmarkStart w:id="0" w:name="_Toc3520"/>
      <w:bookmarkStart w:id="1" w:name="_Toc82505651"/>
      <w:bookmarkStart w:id="2" w:name="OLE_LINK1"/>
      <w:r>
        <w:rPr>
          <w:rFonts w:hint="eastAsia" w:ascii="宋体" w:hAnsi="宋体" w:cs="宋体"/>
          <w:b/>
          <w:bCs/>
          <w:color w:val="auto"/>
          <w:sz w:val="32"/>
          <w:szCs w:val="32"/>
          <w:highlight w:val="none"/>
        </w:rPr>
        <w:t xml:space="preserve">第一部分  </w:t>
      </w:r>
      <w:bookmarkEnd w:id="0"/>
      <w:bookmarkEnd w:id="1"/>
      <w:r>
        <w:rPr>
          <w:rFonts w:hint="eastAsia" w:ascii="宋体" w:hAnsi="宋体" w:cs="宋体"/>
          <w:b/>
          <w:bCs/>
          <w:color w:val="auto"/>
          <w:sz w:val="32"/>
          <w:szCs w:val="32"/>
          <w:highlight w:val="none"/>
        </w:rPr>
        <w:t>采购邀请</w:t>
      </w:r>
    </w:p>
    <w:p w14:paraId="2E21ECBC">
      <w:pPr>
        <w:adjustRightInd w:val="0"/>
        <w:snapToGrid w:val="0"/>
        <w:spacing w:line="500" w:lineRule="exact"/>
        <w:ind w:firstLine="560" w:firstLineChars="200"/>
        <w:rPr>
          <w:rFonts w:hint="eastAsia" w:ascii="仿宋" w:hAnsi="仿宋" w:eastAsia="仿宋" w:cs="仿宋"/>
          <w:color w:val="auto"/>
          <w:sz w:val="28"/>
          <w:szCs w:val="28"/>
          <w:highlight w:val="none"/>
        </w:rPr>
      </w:pPr>
      <w:bookmarkStart w:id="3" w:name="OLE_LINK6"/>
      <w:bookmarkStart w:id="4" w:name="OLE_LINK2"/>
      <w:bookmarkStart w:id="5" w:name="OLE_LINK3"/>
      <w:bookmarkStart w:id="6" w:name="OLE_LINK5"/>
      <w:r>
        <w:rPr>
          <w:rFonts w:hint="eastAsia" w:ascii="仿宋" w:hAnsi="仿宋" w:eastAsia="仿宋" w:cs="仿宋"/>
          <w:color w:val="auto"/>
          <w:sz w:val="28"/>
          <w:szCs w:val="28"/>
          <w:highlight w:val="none"/>
        </w:rPr>
        <w:t>受海安市农业农村局的委托，海安中信会计师事务所有限公司就</w:t>
      </w:r>
      <w:r>
        <w:rPr>
          <w:rFonts w:hint="eastAsia" w:ascii="仿宋" w:hAnsi="仿宋" w:eastAsia="仿宋" w:cs="仿宋"/>
          <w:color w:val="auto"/>
          <w:sz w:val="28"/>
          <w:szCs w:val="28"/>
          <w:highlight w:val="none"/>
          <w:lang w:eastAsia="zh-CN"/>
        </w:rPr>
        <w:t>海安市2025年中央粮油生产保障专项-海安市蔬菜提质增效推进县项目物化补助采购</w:t>
      </w: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JSZC-320685-HAZX-X2026-0008</w:t>
      </w:r>
      <w:r>
        <w:rPr>
          <w:rFonts w:hint="eastAsia" w:ascii="仿宋" w:hAnsi="仿宋" w:eastAsia="仿宋" w:cs="仿宋"/>
          <w:color w:val="auto"/>
          <w:sz w:val="28"/>
          <w:szCs w:val="28"/>
          <w:highlight w:val="none"/>
        </w:rPr>
        <w:t>)进行询价采购，欢迎符合条件的供应商响应。</w:t>
      </w:r>
    </w:p>
    <w:p w14:paraId="14337FF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798FB240">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海安市2025年中央粮油生产保障专项-海安市蔬菜提质增效推进县项目物化补助采购</w:t>
      </w:r>
      <w:r>
        <w:rPr>
          <w:rFonts w:hint="eastAsia" w:ascii="仿宋" w:hAnsi="仿宋" w:eastAsia="仿宋" w:cs="仿宋"/>
          <w:color w:val="auto"/>
          <w:sz w:val="28"/>
          <w:szCs w:val="28"/>
          <w:highlight w:val="none"/>
        </w:rPr>
        <w:t>的潜在响应供应商应在</w:t>
      </w:r>
      <w:r>
        <w:rPr>
          <w:rFonts w:hint="eastAsia" w:ascii="仿宋" w:hAnsi="仿宋" w:eastAsia="仿宋" w:cs="仿宋"/>
          <w:color w:val="auto"/>
          <w:spacing w:val="7"/>
          <w:kern w:val="0"/>
          <w:sz w:val="28"/>
          <w:szCs w:val="28"/>
          <w:highlight w:val="none"/>
          <w:shd w:val="clear" w:color="auto" w:fill="FFFFFF"/>
        </w:rPr>
        <w:t>江苏政府采购网</w:t>
      </w:r>
      <w:r>
        <w:rPr>
          <w:rFonts w:hint="eastAsia" w:ascii="仿宋" w:hAnsi="仿宋" w:eastAsia="仿宋" w:cs="仿宋"/>
          <w:color w:val="auto"/>
          <w:sz w:val="28"/>
          <w:szCs w:val="28"/>
          <w:highlight w:val="none"/>
        </w:rPr>
        <w:t>获取采购文件，并于</w:t>
      </w:r>
      <w:r>
        <w:rPr>
          <w:rFonts w:hint="eastAsia" w:ascii="仿宋" w:hAnsi="仿宋" w:eastAsia="仿宋" w:cs="仿宋"/>
          <w:color w:val="auto"/>
          <w:sz w:val="28"/>
          <w:szCs w:val="28"/>
          <w:highlight w:val="none"/>
          <w:lang w:eastAsia="zh-CN"/>
        </w:rPr>
        <w:t>2026年4月</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lang w:val="en-US" w:eastAsia="zh-CN"/>
        </w:rPr>
        <w:t>09时00</w:t>
      </w:r>
      <w:r>
        <w:rPr>
          <w:rFonts w:hint="eastAsia" w:ascii="仿宋" w:hAnsi="仿宋" w:eastAsia="仿宋" w:cs="仿宋"/>
          <w:color w:val="auto"/>
          <w:sz w:val="28"/>
          <w:szCs w:val="28"/>
          <w:highlight w:val="none"/>
        </w:rPr>
        <w:t>分（北京时间）前递交响应响应文件。</w:t>
      </w:r>
    </w:p>
    <w:p w14:paraId="6833B2EF">
      <w:pPr>
        <w:adjustRightInd w:val="0"/>
        <w:snapToGrid w:val="0"/>
        <w:spacing w:line="500" w:lineRule="exact"/>
        <w:ind w:firstLine="562" w:firstLineChars="200"/>
        <w:rPr>
          <w:rFonts w:hint="eastAsia" w:ascii="仿宋" w:hAnsi="仿宋" w:eastAsia="仿宋" w:cs="仿宋"/>
          <w:b/>
          <w:bCs/>
          <w:color w:val="auto"/>
          <w:sz w:val="28"/>
          <w:szCs w:val="28"/>
          <w:highlight w:val="none"/>
        </w:rPr>
      </w:pPr>
      <w:bookmarkStart w:id="7" w:name="_Toc82505652"/>
      <w:r>
        <w:rPr>
          <w:rFonts w:hint="eastAsia" w:ascii="仿宋" w:hAnsi="仿宋" w:eastAsia="仿宋" w:cs="仿宋"/>
          <w:b/>
          <w:bCs/>
          <w:color w:val="auto"/>
          <w:sz w:val="28"/>
          <w:szCs w:val="28"/>
          <w:highlight w:val="none"/>
        </w:rPr>
        <w:t>一、项目基本情况</w:t>
      </w:r>
      <w:bookmarkEnd w:id="7"/>
    </w:p>
    <w:p w14:paraId="4C2DD08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JSZC-320685-HAZX-X2026-0008</w:t>
      </w:r>
    </w:p>
    <w:p w14:paraId="53079B9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eastAsia="zh-CN"/>
        </w:rPr>
        <w:t>海安市2025年中央粮油生产保障专项-海安市蔬菜提质增效推进县项目物化补助采购</w:t>
      </w:r>
    </w:p>
    <w:p w14:paraId="3A82BB9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项目类型：货物</w:t>
      </w:r>
    </w:p>
    <w:p w14:paraId="2F46194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所属行业：工业</w:t>
      </w:r>
    </w:p>
    <w:p w14:paraId="48F2EE6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预算金额：采购包</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5.212</w:t>
      </w:r>
      <w:r>
        <w:rPr>
          <w:rFonts w:hint="eastAsia" w:ascii="仿宋" w:hAnsi="仿宋" w:eastAsia="仿宋" w:cs="仿宋"/>
          <w:color w:val="auto"/>
          <w:sz w:val="28"/>
          <w:szCs w:val="28"/>
          <w:highlight w:val="none"/>
        </w:rPr>
        <w:t>万元</w:t>
      </w:r>
      <w:r>
        <w:rPr>
          <w:rFonts w:hint="eastAsia" w:ascii="仿宋" w:hAnsi="仿宋" w:eastAsia="仿宋" w:cs="仿宋"/>
          <w:color w:val="auto"/>
          <w:sz w:val="28"/>
          <w:szCs w:val="28"/>
          <w:highlight w:val="none"/>
          <w:lang w:eastAsia="zh-CN"/>
        </w:rPr>
        <w:t>。</w:t>
      </w:r>
    </w:p>
    <w:p w14:paraId="730508B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最高限价：</w:t>
      </w:r>
      <w:r>
        <w:rPr>
          <w:rFonts w:hint="eastAsia" w:ascii="仿宋" w:hAnsi="仿宋" w:eastAsia="仿宋" w:cs="仿宋"/>
          <w:color w:val="auto"/>
          <w:sz w:val="28"/>
          <w:szCs w:val="28"/>
          <w:highlight w:val="none"/>
        </w:rPr>
        <w:t>采购包</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：0.45万元/吨、5万元/吨</w:t>
      </w:r>
      <w:r>
        <w:rPr>
          <w:rFonts w:hint="eastAsia" w:ascii="仿宋" w:hAnsi="仿宋" w:eastAsia="仿宋" w:cs="仿宋"/>
          <w:color w:val="auto"/>
          <w:sz w:val="28"/>
          <w:szCs w:val="28"/>
          <w:highlight w:val="none"/>
          <w:lang w:eastAsia="zh-CN"/>
        </w:rPr>
        <w:t>。报价超过</w:t>
      </w:r>
      <w:r>
        <w:rPr>
          <w:rFonts w:hint="eastAsia" w:ascii="仿宋" w:hAnsi="仿宋" w:eastAsia="仿宋" w:cs="仿宋"/>
          <w:color w:val="auto"/>
          <w:sz w:val="28"/>
          <w:szCs w:val="28"/>
          <w:highlight w:val="none"/>
          <w:lang w:val="en-US" w:eastAsia="zh-CN"/>
        </w:rPr>
        <w:t>最高限价</w:t>
      </w:r>
      <w:r>
        <w:rPr>
          <w:rFonts w:hint="eastAsia" w:ascii="仿宋" w:hAnsi="仿宋" w:eastAsia="仿宋" w:cs="仿宋"/>
          <w:color w:val="auto"/>
          <w:sz w:val="28"/>
          <w:szCs w:val="28"/>
          <w:highlight w:val="none"/>
          <w:lang w:eastAsia="zh-CN"/>
        </w:rPr>
        <w:t>的将作为无效响应处理</w:t>
      </w:r>
    </w:p>
    <w:p w14:paraId="6629B84B">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采购需求：详见采购文件，请仔细研究。</w:t>
      </w:r>
    </w:p>
    <w:p w14:paraId="5675DE2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合同履行期限：详见采购文件。</w:t>
      </w:r>
    </w:p>
    <w:p w14:paraId="471CF4FB">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本项目不接受联合体投标。</w:t>
      </w:r>
    </w:p>
    <w:p w14:paraId="03FF635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本项目不接受进口产品参与。</w:t>
      </w:r>
    </w:p>
    <w:p w14:paraId="7F7F087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本项目不接受分包。</w:t>
      </w:r>
    </w:p>
    <w:p w14:paraId="5D37716A">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仿宋" w:hAnsi="仿宋" w:eastAsia="仿宋" w:cs="仿宋"/>
          <w:b/>
          <w:bCs/>
          <w:color w:val="auto"/>
          <w:sz w:val="28"/>
          <w:szCs w:val="28"/>
          <w:highlight w:val="none"/>
        </w:rPr>
      </w:pPr>
      <w:bookmarkStart w:id="8" w:name="_Toc35393791"/>
      <w:bookmarkStart w:id="9" w:name="_Toc38985264"/>
      <w:bookmarkStart w:id="10" w:name="_Toc28359003"/>
      <w:bookmarkStart w:id="11" w:name="_Toc28359080"/>
      <w:bookmarkStart w:id="12" w:name="_Toc35393622"/>
      <w:bookmarkStart w:id="13" w:name="_Toc82505653"/>
      <w:r>
        <w:rPr>
          <w:rFonts w:hint="eastAsia" w:ascii="仿宋" w:hAnsi="仿宋" w:eastAsia="仿宋" w:cs="仿宋"/>
          <w:b/>
          <w:bCs/>
          <w:color w:val="auto"/>
          <w:sz w:val="28"/>
          <w:szCs w:val="28"/>
          <w:highlight w:val="none"/>
        </w:rPr>
        <w:t>二、申请人的资格要求</w:t>
      </w:r>
      <w:bookmarkEnd w:id="8"/>
      <w:bookmarkEnd w:id="9"/>
      <w:bookmarkEnd w:id="10"/>
      <w:bookmarkEnd w:id="11"/>
      <w:bookmarkEnd w:id="12"/>
      <w:r>
        <w:rPr>
          <w:rFonts w:hint="eastAsia" w:ascii="仿宋" w:hAnsi="仿宋" w:eastAsia="仿宋" w:cs="仿宋"/>
          <w:b/>
          <w:bCs/>
          <w:color w:val="auto"/>
          <w:sz w:val="28"/>
          <w:szCs w:val="28"/>
          <w:highlight w:val="none"/>
        </w:rPr>
        <w:t>：</w:t>
      </w:r>
      <w:bookmarkEnd w:id="13"/>
    </w:p>
    <w:p w14:paraId="1AC6EF4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满足《中华人民共和国政府采购法》第二十二条规定，并提供相关材料:</w:t>
      </w:r>
    </w:p>
    <w:p w14:paraId="4F8CC32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(1)法人或者其他组织的营业执照等证明文件，自然人的身份证明； </w:t>
      </w:r>
    </w:p>
    <w:p w14:paraId="69EB507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上一年度的财务状况报告</w:t>
      </w:r>
      <w:r>
        <w:rPr>
          <w:rFonts w:hint="eastAsia" w:ascii="仿宋" w:hAnsi="仿宋" w:eastAsia="仿宋" w:cs="仿宋"/>
          <w:color w:val="auto"/>
          <w:sz w:val="28"/>
          <w:szCs w:val="28"/>
          <w:highlight w:val="none"/>
        </w:rPr>
        <w:t>（成立不满一年不需提供）；</w:t>
      </w:r>
    </w:p>
    <w:p w14:paraId="7796547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(3)依法缴纳税收和社会保障资金的相关材料；</w:t>
      </w:r>
    </w:p>
    <w:p w14:paraId="386670D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 </w:t>
      </w:r>
    </w:p>
    <w:p w14:paraId="0FA2D72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(5)参加政府采购活动前3年内在经营活动中没有重大违法记录的书面声明；</w:t>
      </w:r>
    </w:p>
    <w:p w14:paraId="328BD81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(6)法律、行政法规规定的其他条件。</w:t>
      </w:r>
    </w:p>
    <w:p w14:paraId="0135514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（二）落实政府采购政策需满足的资格要求：</w:t>
      </w:r>
      <w:r>
        <w:rPr>
          <w:rFonts w:hint="eastAsia" w:ascii="仿宋" w:hAnsi="仿宋" w:eastAsia="仿宋" w:cs="仿宋"/>
          <w:color w:val="auto"/>
          <w:sz w:val="28"/>
          <w:szCs w:val="28"/>
          <w:highlight w:val="none"/>
          <w:u w:val="single"/>
        </w:rPr>
        <w:t>本项目为专门面向中小微企业。（须按照财库〔2020〕46号文要求提供中小企业声明函。格式见附件）</w:t>
      </w:r>
      <w:r>
        <w:rPr>
          <w:rFonts w:hint="eastAsia" w:ascii="仿宋" w:hAnsi="仿宋" w:eastAsia="仿宋" w:cs="仿宋"/>
          <w:color w:val="auto"/>
          <w:sz w:val="28"/>
          <w:szCs w:val="28"/>
          <w:highlight w:val="none"/>
        </w:rPr>
        <w:t>；</w:t>
      </w:r>
    </w:p>
    <w:p w14:paraId="50AA4BA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4DDC33C">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本项目特定资格要求：</w:t>
      </w:r>
    </w:p>
    <w:p w14:paraId="52C756B9">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仿宋" w:hAnsi="仿宋" w:eastAsia="仿宋" w:cs="仿宋"/>
          <w:smallCaps/>
          <w:color w:val="auto"/>
          <w:sz w:val="28"/>
          <w:szCs w:val="28"/>
          <w:highlight w:val="none"/>
        </w:rPr>
      </w:pPr>
      <w:r>
        <w:rPr>
          <w:rFonts w:hint="eastAsia" w:ascii="仿宋" w:hAnsi="仿宋" w:eastAsia="仿宋" w:cs="仿宋"/>
          <w:smallCaps/>
          <w:color w:val="auto"/>
          <w:sz w:val="28"/>
          <w:szCs w:val="28"/>
          <w:highlight w:val="none"/>
          <w:lang w:val="en-US" w:eastAsia="zh-CN"/>
        </w:rPr>
        <w:t>提供有效的肥料登记证或备案证明（提供复印件并加盖响应供应商公章）。</w:t>
      </w:r>
    </w:p>
    <w:p w14:paraId="677FC70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b/>
          <w:bCs/>
          <w:color w:val="auto"/>
          <w:sz w:val="28"/>
          <w:szCs w:val="28"/>
          <w:highlight w:val="none"/>
        </w:rPr>
      </w:pPr>
      <w:bookmarkStart w:id="14" w:name="_Toc82505654"/>
      <w:r>
        <w:rPr>
          <w:rFonts w:hint="eastAsia" w:ascii="仿宋" w:hAnsi="仿宋" w:eastAsia="仿宋" w:cs="仿宋"/>
          <w:smallCaps/>
          <w:color w:val="auto"/>
          <w:sz w:val="28"/>
          <w:szCs w:val="28"/>
          <w:highlight w:val="none"/>
          <w:lang w:val="en-US" w:eastAsia="zh-CN"/>
        </w:rPr>
        <w:t xml:space="preserve"> </w:t>
      </w:r>
      <w:r>
        <w:rPr>
          <w:rFonts w:hint="eastAsia" w:ascii="仿宋" w:hAnsi="仿宋" w:eastAsia="仿宋" w:cs="仿宋"/>
          <w:b/>
          <w:bCs/>
          <w:color w:val="auto"/>
          <w:sz w:val="28"/>
          <w:szCs w:val="28"/>
          <w:highlight w:val="none"/>
        </w:rPr>
        <w:t>三、获取采购文件</w:t>
      </w:r>
      <w:bookmarkEnd w:id="14"/>
    </w:p>
    <w:p w14:paraId="773634A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 </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24</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rPr>
        <w:t xml:space="preserve">至 </w:t>
      </w:r>
      <w:r>
        <w:rPr>
          <w:rFonts w:hint="eastAsia" w:ascii="仿宋" w:hAnsi="仿宋" w:eastAsia="仿宋" w:cs="仿宋"/>
          <w:color w:val="auto"/>
          <w:sz w:val="28"/>
          <w:szCs w:val="28"/>
          <w:highlight w:val="none"/>
          <w:lang w:eastAsia="zh-CN"/>
        </w:rPr>
        <w:t>2026年4月</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rPr>
        <w:t>（北京时间）</w:t>
      </w:r>
    </w:p>
    <w:p w14:paraId="0CEEEF1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2.方式：在“江苏政府采购网”自行免费下载</w:t>
      </w:r>
    </w:p>
    <w:p w14:paraId="4AB65BF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bookmarkStart w:id="15" w:name="_Toc82505655"/>
      <w:r>
        <w:rPr>
          <w:rFonts w:hint="eastAsia" w:ascii="仿宋" w:hAnsi="仿宋" w:eastAsia="仿宋" w:cs="仿宋"/>
          <w:color w:val="auto"/>
          <w:sz w:val="28"/>
          <w:szCs w:val="28"/>
          <w:highlight w:val="none"/>
        </w:rPr>
        <w:t>获取方式：本项目采用网上注册登记方式。</w:t>
      </w:r>
    </w:p>
    <w:p w14:paraId="571D783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3.1潜在供应商访问电子招标响应交易平台的网络地址和方法：</w:t>
      </w:r>
    </w:p>
    <w:p w14:paraId="7463FED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5E92F0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3.2潜在供应商访问“苏采云”系统的网络地址和方法：“苏采云”系统的网址：http://jszfcg.jsczt.cn/。</w:t>
      </w:r>
    </w:p>
    <w:p w14:paraId="5CEC8EF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3.3“CA数字证书”的获取：</w:t>
      </w:r>
    </w:p>
    <w:p w14:paraId="3865159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供应商需办理“CA 数字证书”，CA办理指南及“苏采云”操作手册可至江苏省政府采购网—办事指南-资料下载中心下载。</w:t>
      </w:r>
    </w:p>
    <w:p w14:paraId="1E2C5B2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3.4采购文件（后缀名为“.kedt”）、供应商操作手册及政府采购客户端工具可通过“苏采云”系统--已报名项目--报名详情页面内相应链接进行下载。</w:t>
      </w:r>
    </w:p>
    <w:p w14:paraId="2145962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3.5招标代理机构（采购代理机构）将数据电文形式的采购文件加载至“苏采云”系统，供潜在供应商下载或者查阅。  </w:t>
      </w:r>
    </w:p>
    <w:p w14:paraId="1C6DF0F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3.6请潜在供应商提前安装相应的控件（详见《江苏省政府采购管理交易系统（苏采云）供应商操作手册》）并使用谷歌浏览器登录“苏采云”系统参与不见面开评标。</w:t>
      </w:r>
    </w:p>
    <w:p w14:paraId="45CCAE13">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注：如潜在供应商未按上述要求操作，将自行承担所产生的风险。</w:t>
      </w:r>
    </w:p>
    <w:p w14:paraId="6A96C086">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四、</w:t>
      </w:r>
      <w:bookmarkEnd w:id="15"/>
      <w:r>
        <w:rPr>
          <w:rFonts w:hint="eastAsia" w:ascii="仿宋" w:hAnsi="仿宋" w:eastAsia="仿宋" w:cs="仿宋"/>
          <w:b/>
          <w:bCs/>
          <w:color w:val="auto"/>
          <w:sz w:val="28"/>
          <w:szCs w:val="28"/>
          <w:highlight w:val="none"/>
        </w:rPr>
        <w:t>提交响应文件截止时间</w:t>
      </w:r>
    </w:p>
    <w:p w14:paraId="635F00C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00</w:t>
      </w:r>
      <w:r>
        <w:rPr>
          <w:rFonts w:hint="eastAsia" w:ascii="仿宋" w:hAnsi="仿宋" w:eastAsia="仿宋" w:cs="仿宋"/>
          <w:color w:val="auto"/>
          <w:sz w:val="28"/>
          <w:szCs w:val="28"/>
          <w:highlight w:val="none"/>
        </w:rPr>
        <w:t>分（北京时间）。（自</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文件开始发出之日起至供应商提交响应文件截止之日止，不得少于3个工作日）。</w:t>
      </w:r>
    </w:p>
    <w:p w14:paraId="1E48EC1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2.地点：“苏采云”政府采购交易系统网上开标大厅。</w:t>
      </w:r>
    </w:p>
    <w:p w14:paraId="578E8D5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865F8BE">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仿宋" w:hAnsi="仿宋" w:eastAsia="仿宋" w:cs="仿宋"/>
          <w:b/>
          <w:bCs/>
          <w:color w:val="auto"/>
          <w:sz w:val="28"/>
          <w:szCs w:val="28"/>
          <w:highlight w:val="none"/>
        </w:rPr>
      </w:pPr>
      <w:bookmarkStart w:id="16" w:name="_Toc82505657"/>
      <w:r>
        <w:rPr>
          <w:rFonts w:hint="eastAsia" w:ascii="仿宋" w:hAnsi="仿宋" w:eastAsia="仿宋" w:cs="仿宋"/>
          <w:b/>
          <w:bCs/>
          <w:color w:val="auto"/>
          <w:sz w:val="28"/>
          <w:szCs w:val="28"/>
          <w:highlight w:val="none"/>
        </w:rPr>
        <w:t>五、公告期限</w:t>
      </w:r>
      <w:bookmarkEnd w:id="16"/>
    </w:p>
    <w:p w14:paraId="61AF4B8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自本公告发布之日起3个工作日。</w:t>
      </w:r>
    </w:p>
    <w:p w14:paraId="30AB6927">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仿宋" w:hAnsi="仿宋" w:eastAsia="仿宋" w:cs="仿宋"/>
          <w:b/>
          <w:bCs/>
          <w:color w:val="auto"/>
          <w:sz w:val="28"/>
          <w:szCs w:val="28"/>
          <w:highlight w:val="none"/>
        </w:rPr>
      </w:pPr>
      <w:bookmarkStart w:id="17" w:name="_Toc82505658"/>
      <w:r>
        <w:rPr>
          <w:rFonts w:hint="eastAsia" w:ascii="仿宋" w:hAnsi="仿宋" w:eastAsia="仿宋" w:cs="仿宋"/>
          <w:b/>
          <w:bCs/>
          <w:color w:val="auto"/>
          <w:sz w:val="28"/>
          <w:szCs w:val="28"/>
          <w:highlight w:val="none"/>
        </w:rPr>
        <w:t>六、其他补充事宜</w:t>
      </w:r>
      <w:bookmarkEnd w:id="17"/>
    </w:p>
    <w:p w14:paraId="3950109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1.投标保证金：免收</w:t>
      </w:r>
      <w:r>
        <w:rPr>
          <w:rFonts w:hint="eastAsia" w:ascii="仿宋" w:hAnsi="仿宋" w:eastAsia="仿宋" w:cs="仿宋"/>
          <w:color w:val="auto"/>
          <w:sz w:val="28"/>
          <w:szCs w:val="28"/>
          <w:highlight w:val="none"/>
          <w:lang w:eastAsia="zh-CN"/>
        </w:rPr>
        <w:t>。</w:t>
      </w:r>
    </w:p>
    <w:p w14:paraId="4F96B29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2.项目开标活动模式：不见面远程开标模式，供应商在各自地点通过“苏采云”政府采购交易系统参加</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活动。</w:t>
      </w:r>
    </w:p>
    <w:p w14:paraId="6E64970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3.项目演示、样品、答辩等（如有请描述）：无</w:t>
      </w:r>
      <w:r>
        <w:rPr>
          <w:rFonts w:hint="eastAsia" w:ascii="仿宋" w:hAnsi="仿宋" w:eastAsia="仿宋" w:cs="仿宋"/>
          <w:color w:val="auto"/>
          <w:sz w:val="28"/>
          <w:szCs w:val="28"/>
          <w:highlight w:val="none"/>
          <w:lang w:eastAsia="zh-CN"/>
        </w:rPr>
        <w:t>。</w:t>
      </w:r>
    </w:p>
    <w:p w14:paraId="72AE7BF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4.对项目需求部分（供应商资格要求、项目需求、商务技术评分标准）的询问、质疑由采购人负责答复；对项目</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文件其它部分的询问请向</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文件制作人或项目</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经办人提出；对在“电子交易平台”操作阶段的询问请向交易系统软件维护人员提出。</w:t>
      </w:r>
    </w:p>
    <w:p w14:paraId="405BB56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5.供应商应依照规定提交各类声明函、承诺函，不再同时提供原件备查或提供有关部门出具的相关证明文件。但成交供应商应做好提交声明函、承诺</w:t>
      </w:r>
      <w:r>
        <w:rPr>
          <w:rFonts w:hint="eastAsia" w:ascii="仿宋" w:hAnsi="仿宋" w:eastAsia="仿宋" w:cs="仿宋"/>
          <w:color w:val="auto"/>
          <w:sz w:val="28"/>
          <w:szCs w:val="28"/>
          <w:highlight w:val="none"/>
          <w:lang w:eastAsia="zh-CN"/>
        </w:rPr>
        <w:t>函等</w:t>
      </w:r>
      <w:r>
        <w:rPr>
          <w:rFonts w:hint="eastAsia" w:ascii="仿宋" w:hAnsi="仿宋" w:eastAsia="仿宋" w:cs="仿宋"/>
          <w:color w:val="auto"/>
          <w:sz w:val="28"/>
          <w:szCs w:val="28"/>
          <w:highlight w:val="none"/>
        </w:rPr>
        <w:t>相应原件的核查准备；核查后发现虚假或违背承诺的，依照相关法律法规规定处理。</w:t>
      </w:r>
    </w:p>
    <w:p w14:paraId="38939CFB">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6.有关本次</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的事项若存在变动或修改，敬请及时关注采购人或采购代理机构在“江苏政府采购网”发布的更正公告。</w:t>
      </w:r>
    </w:p>
    <w:p w14:paraId="03E10C04">
      <w:pPr>
        <w:adjustRightInd w:val="0"/>
        <w:snapToGrid w:val="0"/>
        <w:spacing w:line="500" w:lineRule="exact"/>
        <w:ind w:firstLine="562" w:firstLineChars="200"/>
        <w:rPr>
          <w:rFonts w:hint="eastAsia" w:ascii="仿宋" w:hAnsi="仿宋" w:eastAsia="仿宋" w:cs="仿宋"/>
          <w:b/>
          <w:bCs/>
          <w:color w:val="auto"/>
          <w:sz w:val="28"/>
          <w:szCs w:val="28"/>
          <w:highlight w:val="none"/>
        </w:rPr>
      </w:pPr>
      <w:bookmarkStart w:id="18" w:name="_Toc82505660"/>
      <w:r>
        <w:rPr>
          <w:rFonts w:hint="eastAsia" w:ascii="仿宋" w:hAnsi="仿宋" w:eastAsia="仿宋" w:cs="仿宋"/>
          <w:b/>
          <w:bCs/>
          <w:color w:val="auto"/>
          <w:sz w:val="28"/>
          <w:szCs w:val="28"/>
          <w:highlight w:val="none"/>
        </w:rPr>
        <w:t>七、凡对本次采购提出询问，请按以下方式联系</w:t>
      </w:r>
      <w:bookmarkEnd w:id="18"/>
    </w:p>
    <w:p w14:paraId="36ECDB0E">
      <w:pPr>
        <w:adjustRightInd w:val="0"/>
        <w:snapToGrid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0BE01140">
      <w:pPr>
        <w:adjustRightInd w:val="0"/>
        <w:snapToGrid w:val="0"/>
        <w:spacing w:line="50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称：海安市农业农村局</w:t>
      </w:r>
    </w:p>
    <w:p w14:paraId="0DEE6462">
      <w:pPr>
        <w:adjustRightInd w:val="0"/>
        <w:snapToGrid w:val="0"/>
        <w:spacing w:line="50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址：海安市万星路89号</w:t>
      </w:r>
    </w:p>
    <w:p w14:paraId="01EB935F">
      <w:pPr>
        <w:adjustRightInd w:val="0"/>
        <w:snapToGrid w:val="0"/>
        <w:spacing w:line="500" w:lineRule="exact"/>
        <w:ind w:firstLine="840" w:firstLineChars="3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val="en-US" w:eastAsia="zh-CN"/>
        </w:rPr>
        <w:t>蔡广州</w:t>
      </w:r>
    </w:p>
    <w:p w14:paraId="4CBE430E">
      <w:pPr>
        <w:adjustRightInd w:val="0"/>
        <w:snapToGrid w:val="0"/>
        <w:spacing w:line="50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val="en-US" w:eastAsia="zh-CN"/>
        </w:rPr>
        <w:t xml:space="preserve">18962940909 </w:t>
      </w:r>
    </w:p>
    <w:p w14:paraId="560870D8">
      <w:pPr>
        <w:adjustRightInd w:val="0"/>
        <w:snapToGrid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46D6AC70">
      <w:pPr>
        <w:adjustRightInd w:val="0"/>
        <w:snapToGrid w:val="0"/>
        <w:spacing w:line="50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称：海安中信会计师事务所有限公司</w:t>
      </w:r>
    </w:p>
    <w:p w14:paraId="751B7D68">
      <w:pPr>
        <w:adjustRightInd w:val="0"/>
        <w:snapToGrid w:val="0"/>
        <w:spacing w:line="50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址：海安市江海东路10号</w:t>
      </w:r>
    </w:p>
    <w:p w14:paraId="24FD1CC7">
      <w:pPr>
        <w:adjustRightInd w:val="0"/>
        <w:snapToGrid w:val="0"/>
        <w:spacing w:line="50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联系人：谭勇</w:t>
      </w:r>
    </w:p>
    <w:p w14:paraId="491394D2">
      <w:pPr>
        <w:adjustRightInd w:val="0"/>
        <w:snapToGrid w:val="0"/>
        <w:spacing w:line="50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联系方式：15606278680</w:t>
      </w:r>
    </w:p>
    <w:p w14:paraId="0EE8CD30">
      <w:pPr>
        <w:adjustRightInd w:val="0"/>
        <w:snapToGrid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p>
    <w:p w14:paraId="43E37AE1">
      <w:pPr>
        <w:adjustRightInd w:val="0"/>
        <w:snapToGrid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文件制作人：谭勇15606278680</w:t>
      </w:r>
    </w:p>
    <w:p w14:paraId="624B5BAD">
      <w:pPr>
        <w:adjustRightInd w:val="0"/>
        <w:snapToGrid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经办人：谭勇15606278680</w:t>
      </w:r>
    </w:p>
    <w:p w14:paraId="2405834F">
      <w:pPr>
        <w:adjustRightInd w:val="0"/>
        <w:snapToGrid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交易系统软件维护人员：那工 0519-86722801、0519-86722806</w:t>
      </w:r>
    </w:p>
    <w:bookmarkEnd w:id="2"/>
    <w:bookmarkEnd w:id="3"/>
    <w:bookmarkEnd w:id="4"/>
    <w:bookmarkEnd w:id="5"/>
    <w:bookmarkEnd w:id="6"/>
    <w:p w14:paraId="3A8720C6">
      <w:pPr>
        <w:widowControl/>
        <w:jc w:val="left"/>
        <w:rPr>
          <w:rFonts w:hint="eastAsia" w:ascii="仿宋" w:hAnsi="仿宋" w:eastAsia="仿宋" w:cs="仿宋"/>
          <w:b/>
          <w:bCs/>
          <w:color w:val="auto"/>
          <w:sz w:val="24"/>
          <w:szCs w:val="24"/>
          <w:highlight w:val="none"/>
        </w:rPr>
      </w:pPr>
      <w:bookmarkStart w:id="19" w:name="_Toc82505664"/>
      <w:bookmarkStart w:id="20" w:name="_Toc11926"/>
      <w:r>
        <w:rPr>
          <w:rFonts w:hint="eastAsia" w:ascii="仿宋" w:hAnsi="仿宋" w:eastAsia="仿宋" w:cs="仿宋"/>
          <w:b/>
          <w:bCs/>
          <w:color w:val="auto"/>
          <w:sz w:val="24"/>
          <w:szCs w:val="24"/>
          <w:highlight w:val="none"/>
        </w:rPr>
        <w:br w:type="page"/>
      </w:r>
      <w:bookmarkStart w:id="60" w:name="_GoBack"/>
      <w:bookmarkEnd w:id="60"/>
    </w:p>
    <w:p w14:paraId="7C607097">
      <w:pPr>
        <w:adjustRightInd w:val="0"/>
        <w:snapToGrid w:val="0"/>
        <w:spacing w:line="50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第二部分  响应须知</w:t>
      </w:r>
      <w:bookmarkEnd w:id="19"/>
      <w:bookmarkEnd w:id="20"/>
    </w:p>
    <w:p w14:paraId="4C6F0724">
      <w:pPr>
        <w:keepLines w:val="0"/>
        <w:pageBreakBefore w:val="0"/>
        <w:widowControl/>
        <w:kinsoku/>
        <w:wordWrap/>
        <w:overflowPunct/>
        <w:topLinePunct w:val="0"/>
        <w:autoSpaceDE/>
        <w:autoSpaceDN/>
        <w:bidi w:val="0"/>
        <w:adjustRightInd w:val="0"/>
        <w:snapToGrid w:val="0"/>
        <w:spacing w:line="480" w:lineRule="exact"/>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一、总则</w:t>
      </w:r>
    </w:p>
    <w:p w14:paraId="7C5411C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bookmarkStart w:id="21" w:name="_Toc458694821"/>
      <w:bookmarkStart w:id="22" w:name="_Toc20823276"/>
      <w:bookmarkStart w:id="23" w:name="_Toc16938520"/>
      <w:bookmarkStart w:id="24" w:name="_Toc513029204"/>
      <w:r>
        <w:rPr>
          <w:rFonts w:hint="eastAsia" w:ascii="仿宋" w:hAnsi="仿宋" w:eastAsia="仿宋" w:cs="仿宋"/>
          <w:color w:val="auto"/>
          <w:sz w:val="28"/>
          <w:szCs w:val="28"/>
          <w:highlight w:val="none"/>
        </w:rPr>
        <w:t>1</w:t>
      </w:r>
      <w:bookmarkEnd w:id="21"/>
      <w:r>
        <w:rPr>
          <w:rFonts w:hint="eastAsia" w:ascii="仿宋" w:hAnsi="仿宋" w:eastAsia="仿宋" w:cs="仿宋"/>
          <w:color w:val="auto"/>
          <w:sz w:val="28"/>
          <w:szCs w:val="28"/>
          <w:highlight w:val="none"/>
        </w:rPr>
        <w:t>.采购方式</w:t>
      </w:r>
      <w:bookmarkEnd w:id="22"/>
      <w:bookmarkEnd w:id="23"/>
      <w:bookmarkEnd w:id="24"/>
    </w:p>
    <w:p w14:paraId="6BF5AE79">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本次采购采取询价方式，本询价文件仅适用于询价公告中所述项目。</w:t>
      </w:r>
    </w:p>
    <w:p w14:paraId="4F63275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bookmarkStart w:id="25" w:name="_Toc16938521"/>
      <w:bookmarkStart w:id="26" w:name="_Toc20823277"/>
      <w:bookmarkStart w:id="27" w:name="_Toc513029205"/>
      <w:r>
        <w:rPr>
          <w:rFonts w:hint="eastAsia" w:ascii="仿宋" w:hAnsi="仿宋" w:eastAsia="仿宋" w:cs="仿宋"/>
          <w:color w:val="auto"/>
          <w:sz w:val="28"/>
          <w:szCs w:val="28"/>
          <w:highlight w:val="none"/>
        </w:rPr>
        <w:t>2.合格的</w:t>
      </w:r>
      <w:bookmarkEnd w:id="25"/>
      <w:bookmarkEnd w:id="26"/>
      <w:bookmarkEnd w:id="27"/>
      <w:r>
        <w:rPr>
          <w:rFonts w:hint="eastAsia" w:ascii="仿宋" w:hAnsi="仿宋" w:eastAsia="仿宋" w:cs="仿宋"/>
          <w:color w:val="auto"/>
          <w:sz w:val="28"/>
          <w:szCs w:val="28"/>
          <w:highlight w:val="none"/>
        </w:rPr>
        <w:t>响应供应商</w:t>
      </w:r>
    </w:p>
    <w:p w14:paraId="7B7C7FDA">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2.1满足询价公告中供应商的资格要求的规定。</w:t>
      </w:r>
    </w:p>
    <w:p w14:paraId="130BB4E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2.2满足本文件实质性条款的规定。</w:t>
      </w:r>
    </w:p>
    <w:p w14:paraId="0C6E08C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bookmarkStart w:id="28" w:name="_Toc20823278"/>
      <w:bookmarkStart w:id="29" w:name="_Toc513029206"/>
      <w:bookmarkStart w:id="30" w:name="_Toc16938522"/>
      <w:r>
        <w:rPr>
          <w:rFonts w:hint="eastAsia" w:ascii="仿宋" w:hAnsi="仿宋" w:eastAsia="仿宋" w:cs="仿宋"/>
          <w:color w:val="auto"/>
          <w:sz w:val="28"/>
          <w:szCs w:val="28"/>
          <w:highlight w:val="none"/>
        </w:rPr>
        <w:t>3.适用法律</w:t>
      </w:r>
      <w:bookmarkEnd w:id="28"/>
      <w:bookmarkEnd w:id="29"/>
      <w:bookmarkEnd w:id="30"/>
    </w:p>
    <w:p w14:paraId="4562A99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本次询价采购及由此产生的合同受中华人民共和国有关的法律法规制约和保护。</w:t>
      </w:r>
    </w:p>
    <w:p w14:paraId="40F78E6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bookmarkStart w:id="31" w:name="_Toc20823279"/>
      <w:bookmarkStart w:id="32" w:name="_Toc16938523"/>
      <w:bookmarkStart w:id="33" w:name="_Toc513029207"/>
      <w:bookmarkStart w:id="34" w:name="_Toc462564067"/>
      <w:r>
        <w:rPr>
          <w:rFonts w:hint="eastAsia" w:ascii="仿宋" w:hAnsi="仿宋" w:eastAsia="仿宋" w:cs="仿宋"/>
          <w:color w:val="auto"/>
          <w:sz w:val="28"/>
          <w:szCs w:val="28"/>
          <w:highlight w:val="none"/>
        </w:rPr>
        <w:t>4.响应费用</w:t>
      </w:r>
      <w:bookmarkEnd w:id="31"/>
      <w:bookmarkEnd w:id="32"/>
      <w:bookmarkEnd w:id="33"/>
      <w:bookmarkEnd w:id="34"/>
    </w:p>
    <w:p w14:paraId="6226C48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4.1响应供应商应自行承担所有与参加响应有关的费用，无论响应过程中的做法和结果如何，采购人及代理机构在任何情况下均无义务和责任承担这些费用。</w:t>
      </w:r>
    </w:p>
    <w:p w14:paraId="1C9981B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4.2本次</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不收取标书工本费。</w:t>
      </w:r>
    </w:p>
    <w:p w14:paraId="0EB0BDA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本项目招标代理费按</w:t>
      </w:r>
      <w:r>
        <w:rPr>
          <w:rFonts w:hint="eastAsia" w:ascii="仿宋" w:hAnsi="仿宋" w:eastAsia="仿宋" w:cs="仿宋"/>
          <w:color w:val="auto"/>
          <w:sz w:val="28"/>
          <w:szCs w:val="28"/>
          <w:highlight w:val="none"/>
          <w:lang w:val="en-US" w:eastAsia="zh-CN"/>
        </w:rPr>
        <w:t>包1:20</w:t>
      </w:r>
      <w:r>
        <w:rPr>
          <w:rFonts w:hint="eastAsia" w:ascii="仿宋" w:hAnsi="仿宋" w:eastAsia="仿宋" w:cs="仿宋"/>
          <w:color w:val="auto"/>
          <w:sz w:val="28"/>
          <w:szCs w:val="28"/>
          <w:highlight w:val="none"/>
        </w:rPr>
        <w:t>00</w:t>
      </w:r>
      <w:r>
        <w:rPr>
          <w:rFonts w:hint="eastAsia" w:ascii="仿宋" w:hAnsi="仿宋" w:eastAsia="仿宋" w:cs="仿宋"/>
          <w:color w:val="auto"/>
          <w:sz w:val="28"/>
          <w:szCs w:val="28"/>
          <w:highlight w:val="none"/>
          <w:lang w:val="en-US" w:eastAsia="zh-CN"/>
        </w:rPr>
        <w:t>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由中标供应商支付，此费用综合考虑在投标报价内。</w:t>
      </w:r>
    </w:p>
    <w:p w14:paraId="13099951">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5.采购文件的约束力</w:t>
      </w:r>
    </w:p>
    <w:p w14:paraId="224BD89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响应供应商一旦参加本项目采购活动，即被认为接受了本询价采购文件的规定和约束。</w:t>
      </w:r>
    </w:p>
    <w:p w14:paraId="798D76E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6.采购文件的解释</w:t>
      </w:r>
    </w:p>
    <w:p w14:paraId="7218E46B">
      <w:pPr>
        <w:keepLines w:val="0"/>
        <w:pageBreakBefore w:val="0"/>
        <w:kinsoku/>
        <w:wordWrap/>
        <w:overflowPunct/>
        <w:topLinePunct w:val="0"/>
        <w:autoSpaceDE/>
        <w:autoSpaceDN/>
        <w:bidi w:val="0"/>
        <w:adjustRightInd w:val="0"/>
        <w:snapToGrid w:val="0"/>
        <w:spacing w:line="480" w:lineRule="exact"/>
        <w:ind w:firstLine="840" w:firstLineChars="3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本采购文件仅适用于本次询价采购，项目需求部分（供应商资格要求、项目需求）由采购人解释，其它部分由采购代理机构解释。</w:t>
      </w:r>
    </w:p>
    <w:p w14:paraId="0BDDCB04">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7.报价要求</w:t>
      </w:r>
    </w:p>
    <w:p w14:paraId="5EA278C9">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w:t>
      </w:r>
      <w:r>
        <w:rPr>
          <w:rFonts w:hint="eastAsia" w:ascii="仿宋" w:hAnsi="仿宋" w:eastAsia="仿宋" w:cs="仿宋"/>
          <w:b/>
          <w:bCs/>
          <w:color w:val="auto"/>
          <w:sz w:val="28"/>
          <w:szCs w:val="28"/>
          <w:highlight w:val="none"/>
        </w:rPr>
        <w:t>询价为一次性报价，响应供应商应一次性报出不得更改的价格。供应商的报价应包括本项目所有涉及的全部费用</w:t>
      </w:r>
      <w:r>
        <w:rPr>
          <w:rFonts w:hint="eastAsia" w:ascii="仿宋" w:hAnsi="仿宋" w:eastAsia="仿宋" w:cs="仿宋"/>
          <w:color w:val="auto"/>
          <w:sz w:val="28"/>
          <w:szCs w:val="28"/>
          <w:highlight w:val="none"/>
        </w:rPr>
        <w:t>。</w:t>
      </w:r>
    </w:p>
    <w:p w14:paraId="17F74CFA">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7.2采购人不接受任何可选择的报价，成交供应商不得在供货期间提出任何增加费用的要求。请各供应商在报价时充分考虑各种因素。</w:t>
      </w:r>
    </w:p>
    <w:p w14:paraId="6116EF3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7.3</w:t>
      </w:r>
      <w:r>
        <w:rPr>
          <w:rFonts w:hint="eastAsia" w:ascii="仿宋" w:hAnsi="仿宋" w:eastAsia="仿宋" w:cs="仿宋"/>
          <w:bCs/>
          <w:color w:val="auto"/>
          <w:sz w:val="28"/>
          <w:szCs w:val="28"/>
          <w:highlight w:val="none"/>
        </w:rPr>
        <w:t>询价小组认为响应供应商的报价明显低于其他通过资格性、符合性审查响应供应商的报价，有可能影响产品质量或者不能诚信履约的，将要求其在合理的时间内提供说明，必要时提交相关证明材料；响应供应商不能证明其报价合理性的，询价小组应当将其作为无效响应处理。</w:t>
      </w:r>
    </w:p>
    <w:p w14:paraId="18F835B9">
      <w:pPr>
        <w:keepLines w:val="0"/>
        <w:pageBreakBefore w:val="0"/>
        <w:widowControl/>
        <w:kinsoku/>
        <w:wordWrap/>
        <w:overflowPunct/>
        <w:topLinePunct w:val="0"/>
        <w:autoSpaceDE/>
        <w:autoSpaceDN/>
        <w:bidi w:val="0"/>
        <w:adjustRightInd w:val="0"/>
        <w:snapToGrid w:val="0"/>
        <w:spacing w:line="480" w:lineRule="exact"/>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二、采购文件</w:t>
      </w:r>
    </w:p>
    <w:p w14:paraId="35339996">
      <w:pPr>
        <w:keepLines w:val="0"/>
        <w:pageBreakBefore w:val="0"/>
        <w:widowControl/>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1.采购文件的构成</w:t>
      </w:r>
    </w:p>
    <w:p w14:paraId="3F2418A4">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1.1采购文件由以下部分组成：</w:t>
      </w:r>
    </w:p>
    <w:p w14:paraId="00C63A81">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（1）采购邀请</w:t>
      </w:r>
    </w:p>
    <w:p w14:paraId="008A520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（2）响应须知</w:t>
      </w:r>
    </w:p>
    <w:p w14:paraId="0BA2FE4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（3）项目需求</w:t>
      </w:r>
    </w:p>
    <w:p w14:paraId="765B71CC">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（4）响应响应文件组成</w:t>
      </w:r>
    </w:p>
    <w:p w14:paraId="212AB69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（5）附件（如有）</w:t>
      </w:r>
    </w:p>
    <w:p w14:paraId="42616A85">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请响应供应商仔细检查采购文件是否齐全，如有缺漏请立即与采购代理机构联系解决。</w:t>
      </w:r>
    </w:p>
    <w:p w14:paraId="67547964">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1.2</w:t>
      </w:r>
      <w:r>
        <w:rPr>
          <w:rFonts w:hint="eastAsia" w:ascii="仿宋" w:hAnsi="仿宋" w:eastAsia="仿宋" w:cs="仿宋"/>
          <w:color w:val="auto"/>
          <w:sz w:val="28"/>
          <w:szCs w:val="28"/>
          <w:highlight w:val="none"/>
        </w:rPr>
        <w:t>响应供应商应认真阅读采购文件中所有的事项、格式、条款和规范等要求，按采购文件要求和规定编制响应响应文件，并保证所提供的全部资料的真实性，以使其响应响应文件对采购文件做出实质性响应，否则其风险由响应供应商自行承担。</w:t>
      </w:r>
    </w:p>
    <w:p w14:paraId="2242DFA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2.询价采购文件的澄清</w:t>
      </w:r>
    </w:p>
    <w:p w14:paraId="5A35A9C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任何要求对采购文件进行澄清的响应供应商，应在响应截止期3日前按询价采购公告中的通讯地址，以书面形式通知采购人。采购人有权对发出的采购文件进行必要的澄清或修改。</w:t>
      </w:r>
    </w:p>
    <w:p w14:paraId="0D35A93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bookmarkStart w:id="35" w:name="_Toc513029212"/>
      <w:bookmarkStart w:id="36" w:name="_Toc462564071"/>
      <w:bookmarkStart w:id="37" w:name="_Toc16938528"/>
      <w:bookmarkStart w:id="38" w:name="_Toc20823284"/>
      <w:r>
        <w:rPr>
          <w:rFonts w:hint="eastAsia" w:ascii="仿宋" w:hAnsi="仿宋" w:eastAsia="仿宋" w:cs="仿宋"/>
          <w:color w:val="auto"/>
          <w:sz w:val="28"/>
          <w:szCs w:val="28"/>
          <w:highlight w:val="none"/>
        </w:rPr>
        <w:t>3.询价采购文件的修改</w:t>
      </w:r>
      <w:bookmarkEnd w:id="35"/>
      <w:bookmarkEnd w:id="36"/>
      <w:bookmarkEnd w:id="37"/>
      <w:bookmarkEnd w:id="38"/>
    </w:p>
    <w:p w14:paraId="3D780A9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3.1</w:t>
      </w:r>
      <w:r>
        <w:rPr>
          <w:rFonts w:hint="eastAsia" w:ascii="仿宋" w:hAnsi="仿宋" w:eastAsia="仿宋" w:cs="仿宋"/>
          <w:color w:val="auto"/>
          <w:sz w:val="28"/>
          <w:szCs w:val="28"/>
          <w:highlight w:val="none"/>
        </w:rPr>
        <w:t>在响应截止时间前，采购代理机构可以对采购文件进行修改。</w:t>
      </w:r>
    </w:p>
    <w:p w14:paraId="54DF4D5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3.2</w:t>
      </w:r>
      <w:r>
        <w:rPr>
          <w:rFonts w:hint="eastAsia" w:ascii="仿宋" w:hAnsi="仿宋" w:eastAsia="仿宋" w:cs="仿宋"/>
          <w:color w:val="auto"/>
          <w:sz w:val="28"/>
          <w:szCs w:val="28"/>
          <w:highlight w:val="none"/>
        </w:rPr>
        <w:t>采购代理机构有权按照法定的要求推迟响应截止日期和开标日期。</w:t>
      </w:r>
    </w:p>
    <w:p w14:paraId="67158AC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3.3</w:t>
      </w:r>
      <w:r>
        <w:rPr>
          <w:rFonts w:hint="eastAsia" w:ascii="仿宋" w:hAnsi="仿宋" w:eastAsia="仿宋" w:cs="仿宋"/>
          <w:color w:val="auto"/>
          <w:sz w:val="28"/>
          <w:szCs w:val="28"/>
          <w:highlight w:val="none"/>
        </w:rPr>
        <w:t>采购文件的修改将在江苏政府采购网公布，补充文件将作为采购文件的组成部分，并对响应供应商具有约束力，请供应商及时关注网站公告信息。</w:t>
      </w:r>
    </w:p>
    <w:p w14:paraId="78C968F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w:t>
      </w:r>
    </w:p>
    <w:p w14:paraId="0C916590">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49E4A43D">
      <w:pPr>
        <w:keepLines w:val="0"/>
        <w:pageBreakBefore w:val="0"/>
        <w:widowControl/>
        <w:kinsoku/>
        <w:wordWrap/>
        <w:overflowPunct/>
        <w:topLinePunct w:val="0"/>
        <w:autoSpaceDE/>
        <w:autoSpaceDN/>
        <w:bidi w:val="0"/>
        <w:adjustRightInd w:val="0"/>
        <w:snapToGrid w:val="0"/>
        <w:spacing w:line="480" w:lineRule="exact"/>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三、响应响应文件的编制</w:t>
      </w:r>
    </w:p>
    <w:p w14:paraId="5B6479A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bookmarkStart w:id="39" w:name="_Toc20823286"/>
      <w:bookmarkStart w:id="40" w:name="_Toc513029214"/>
      <w:bookmarkStart w:id="41" w:name="_Toc462564073"/>
      <w:bookmarkStart w:id="42" w:name="_Toc16938530"/>
      <w:r>
        <w:rPr>
          <w:rFonts w:hint="eastAsia" w:ascii="仿宋" w:hAnsi="仿宋" w:eastAsia="仿宋" w:cs="仿宋"/>
          <w:bCs/>
          <w:color w:val="auto"/>
          <w:sz w:val="28"/>
          <w:szCs w:val="28"/>
          <w:highlight w:val="none"/>
        </w:rPr>
        <w:t>1.响应响应文件的语言及度量衡单位</w:t>
      </w:r>
      <w:bookmarkEnd w:id="39"/>
      <w:bookmarkEnd w:id="40"/>
      <w:bookmarkEnd w:id="41"/>
      <w:bookmarkEnd w:id="42"/>
    </w:p>
    <w:p w14:paraId="5B380CF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1.1响应供应商提交的响应响应文件以及响应供应商与采购代理机构就有关响应的所有来往通知、函件和文件均应使用简体中文。</w:t>
      </w:r>
    </w:p>
    <w:p w14:paraId="71AC0BA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1.2除技术性能另有规定外，响应响应文件所使用的度量衡单位，均须采用国家法定计量单位。</w:t>
      </w:r>
    </w:p>
    <w:p w14:paraId="7872668F">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bookmarkStart w:id="43" w:name="_Toc462564074"/>
      <w:bookmarkStart w:id="44" w:name="_Toc16938531"/>
      <w:bookmarkStart w:id="45" w:name="_Toc20823287"/>
      <w:bookmarkStart w:id="46" w:name="_Toc513029215"/>
      <w:r>
        <w:rPr>
          <w:rFonts w:hint="eastAsia" w:ascii="仿宋" w:hAnsi="仿宋" w:eastAsia="仿宋" w:cs="仿宋"/>
          <w:bCs/>
          <w:color w:val="auto"/>
          <w:sz w:val="28"/>
          <w:szCs w:val="28"/>
          <w:highlight w:val="none"/>
        </w:rPr>
        <w:t>2.响应响应文件构成</w:t>
      </w:r>
      <w:bookmarkEnd w:id="43"/>
      <w:bookmarkEnd w:id="44"/>
      <w:bookmarkEnd w:id="45"/>
      <w:bookmarkEnd w:id="46"/>
    </w:p>
    <w:p w14:paraId="7E1028D0">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响应供应商应按“第四部分响应响应文件组成”要求编写响应响应文件。</w:t>
      </w:r>
    </w:p>
    <w:p w14:paraId="1EDA0E6C">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bookmarkStart w:id="47" w:name="_Hlt26670360"/>
      <w:bookmarkEnd w:id="47"/>
      <w:bookmarkStart w:id="48" w:name="_Hlt26954838"/>
      <w:bookmarkEnd w:id="48"/>
      <w:bookmarkStart w:id="49" w:name="_Hlt26668975"/>
      <w:bookmarkEnd w:id="49"/>
      <w:bookmarkStart w:id="50" w:name="_Toc49090511"/>
      <w:bookmarkStart w:id="51" w:name="_Toc14577360"/>
      <w:r>
        <w:rPr>
          <w:rFonts w:hint="eastAsia" w:ascii="仿宋" w:hAnsi="仿宋" w:eastAsia="仿宋" w:cs="仿宋"/>
          <w:bCs/>
          <w:color w:val="auto"/>
          <w:sz w:val="28"/>
          <w:szCs w:val="28"/>
          <w:highlight w:val="none"/>
        </w:rPr>
        <w:t>3.</w:t>
      </w:r>
      <w:r>
        <w:rPr>
          <w:rFonts w:hint="eastAsia" w:ascii="仿宋" w:hAnsi="仿宋" w:eastAsia="仿宋" w:cs="仿宋"/>
          <w:bCs/>
          <w:color w:val="auto"/>
          <w:sz w:val="28"/>
          <w:szCs w:val="28"/>
          <w:highlight w:val="none"/>
          <w:lang w:val="en-US" w:eastAsia="zh-CN"/>
        </w:rPr>
        <w:t>询价</w:t>
      </w:r>
      <w:r>
        <w:rPr>
          <w:rFonts w:hint="eastAsia" w:ascii="仿宋" w:hAnsi="仿宋" w:eastAsia="仿宋" w:cs="仿宋"/>
          <w:bCs/>
          <w:color w:val="auto"/>
          <w:sz w:val="28"/>
          <w:szCs w:val="28"/>
          <w:highlight w:val="none"/>
        </w:rPr>
        <w:t>有效期</w:t>
      </w:r>
      <w:bookmarkEnd w:id="50"/>
      <w:bookmarkEnd w:id="51"/>
    </w:p>
    <w:p w14:paraId="6A35D1D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询价</w:t>
      </w:r>
      <w:r>
        <w:rPr>
          <w:rFonts w:hint="eastAsia" w:ascii="仿宋" w:hAnsi="仿宋" w:eastAsia="仿宋" w:cs="仿宋"/>
          <w:bCs/>
          <w:color w:val="auto"/>
          <w:sz w:val="28"/>
          <w:szCs w:val="28"/>
          <w:highlight w:val="none"/>
        </w:rPr>
        <w:t>有效期为采购人规定的提交响应文件截止之日后</w:t>
      </w:r>
      <w:r>
        <w:rPr>
          <w:rFonts w:hint="eastAsia" w:ascii="仿宋" w:hAnsi="仿宋" w:eastAsia="仿宋" w:cs="仿宋"/>
          <w:bCs/>
          <w:color w:val="auto"/>
          <w:sz w:val="28"/>
          <w:szCs w:val="28"/>
          <w:highlight w:val="none"/>
          <w:u w:val="single"/>
        </w:rPr>
        <w:t>六十（60）</w:t>
      </w:r>
      <w:r>
        <w:rPr>
          <w:rFonts w:hint="eastAsia" w:ascii="仿宋" w:hAnsi="仿宋" w:eastAsia="仿宋" w:cs="仿宋"/>
          <w:bCs/>
          <w:color w:val="auto"/>
          <w:sz w:val="28"/>
          <w:szCs w:val="28"/>
          <w:highlight w:val="none"/>
        </w:rPr>
        <w:t>天。</w:t>
      </w:r>
      <w:r>
        <w:rPr>
          <w:rFonts w:hint="eastAsia" w:ascii="仿宋" w:hAnsi="仿宋" w:eastAsia="仿宋" w:cs="仿宋"/>
          <w:bCs/>
          <w:color w:val="auto"/>
          <w:sz w:val="28"/>
          <w:szCs w:val="28"/>
          <w:highlight w:val="none"/>
          <w:lang w:val="en-US" w:eastAsia="zh-CN"/>
        </w:rPr>
        <w:t>询价</w:t>
      </w:r>
      <w:r>
        <w:rPr>
          <w:rFonts w:hint="eastAsia" w:ascii="仿宋" w:hAnsi="仿宋" w:eastAsia="仿宋" w:cs="仿宋"/>
          <w:bCs/>
          <w:color w:val="auto"/>
          <w:sz w:val="28"/>
          <w:szCs w:val="28"/>
          <w:highlight w:val="none"/>
        </w:rPr>
        <w:t>有效期比规定短的将被视为非实质性响应</w:t>
      </w:r>
      <w:r>
        <w:rPr>
          <w:rFonts w:hint="eastAsia" w:ascii="仿宋" w:hAnsi="仿宋" w:eastAsia="仿宋" w:cs="仿宋"/>
          <w:bCs/>
          <w:color w:val="auto"/>
          <w:sz w:val="28"/>
          <w:szCs w:val="28"/>
          <w:highlight w:val="none"/>
          <w:lang w:val="en-US" w:eastAsia="zh-CN"/>
        </w:rPr>
        <w:t>询价</w:t>
      </w:r>
      <w:r>
        <w:rPr>
          <w:rFonts w:hint="eastAsia" w:ascii="仿宋" w:hAnsi="仿宋" w:eastAsia="仿宋" w:cs="仿宋"/>
          <w:bCs/>
          <w:color w:val="auto"/>
          <w:sz w:val="28"/>
          <w:szCs w:val="28"/>
          <w:highlight w:val="none"/>
        </w:rPr>
        <w:t>文件而予以拒绝。</w:t>
      </w:r>
    </w:p>
    <w:p w14:paraId="22E9C72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4.响应有效期的延长</w:t>
      </w:r>
    </w:p>
    <w:p w14:paraId="01E9F81A">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在特殊情况下，采购代理机构于原响应有效期满之前，可向响应供应商提出延长响应有效期的要求。这种要求与答复均应采用书面形式。响应供应商可以拒绝采购代理机构的这一要求而放弃响应，同意延长响应有效期的响应供应商既不能要求也不允许修改其响应响应文件。受响应有效期约束的所有权利与义务均延长至新的有效期。</w:t>
      </w:r>
    </w:p>
    <w:p w14:paraId="396C5CA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5.电子响应文件其他要求</w:t>
      </w:r>
    </w:p>
    <w:p w14:paraId="028E9AC8">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5.1电子招标投标交易平台（即“苏采云”系统）相关要求是本采购文件的组成部分。</w:t>
      </w:r>
    </w:p>
    <w:p w14:paraId="4A241D5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5.2供应商应对CA证书妥善保管，如被他人盗用投标，因此带来的结果均由供应商自行承担。</w:t>
      </w:r>
    </w:p>
    <w:p w14:paraId="48FD0A2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5.3供应商应当对采购文件提出的实质性要求和条件作出实质性响应，并在电子投标系统逐条应答。</w:t>
      </w:r>
    </w:p>
    <w:p w14:paraId="63BB8E1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5.4供应商应对要求提供的响应文件（如资质证书、资格证书）、技术资料（如白皮书、彩页、手册、检测报告等）扫描上传至投标系统。 </w:t>
      </w:r>
    </w:p>
    <w:p w14:paraId="42AA47D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5B6A98C1">
      <w:pPr>
        <w:keepLines w:val="0"/>
        <w:pageBreakBefore w:val="0"/>
        <w:widowControl/>
        <w:kinsoku/>
        <w:wordWrap/>
        <w:overflowPunct/>
        <w:topLinePunct w:val="0"/>
        <w:autoSpaceDE/>
        <w:autoSpaceDN/>
        <w:bidi w:val="0"/>
        <w:adjustRightInd w:val="0"/>
        <w:snapToGrid w:val="0"/>
        <w:spacing w:line="480" w:lineRule="exact"/>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四、响应响应文件的递交</w:t>
      </w:r>
    </w:p>
    <w:p w14:paraId="4D543D1A">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1.电子响应文件的递交</w:t>
      </w:r>
    </w:p>
    <w:p w14:paraId="2D498BB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1.1供应商应当按照《操作手册》规定，在提交响应文件截止时间前制作并上传电子响应文件</w:t>
      </w:r>
      <w:r>
        <w:rPr>
          <w:rFonts w:hint="eastAsia" w:ascii="仿宋" w:hAnsi="仿宋" w:eastAsia="仿宋" w:cs="仿宋"/>
          <w:b/>
          <w:bCs/>
          <w:color w:val="auto"/>
          <w:sz w:val="28"/>
          <w:szCs w:val="28"/>
          <w:highlight w:val="none"/>
        </w:rPr>
        <w:t>。</w:t>
      </w:r>
    </w:p>
    <w:p w14:paraId="3170387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2.提交响应文件截止时间</w:t>
      </w:r>
    </w:p>
    <w:p w14:paraId="1AC3F97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供应商上传电子响应响应文件的时间不得迟于采购公告中规定的响应响应文件提交截止时间。供应商应充分考虑到网络环境、网络带宽等风险因素，如因供应商自身原因造成的电子响应响应文件上传不成功由供应商自行承担全部责任。</w:t>
      </w:r>
    </w:p>
    <w:p w14:paraId="1B50A0A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2.2采购代理机构可以按照规定，通过修改采购文件酌情延长响应截止日期，在此情况下，供应商的所有权利和义务以及供应商受制的截止日期均应以延长后新的截止日期为准</w:t>
      </w:r>
    </w:p>
    <w:p w14:paraId="634E431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3.响应文件的密封（加密）要求：</w:t>
      </w:r>
    </w:p>
    <w:p w14:paraId="7D3BF5DC">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32960C50">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3.2供应商须通过“苏采云”系统提供的政府采购客户端工具（使用“CA数字证书”）加盖电子签章。</w:t>
      </w:r>
    </w:p>
    <w:p w14:paraId="3198FB81">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说明：供应商应在用CA数字证书以及自备的能够登录“苏采云”系统的电脑，在达到开标时间后，使用CA数字证书解密各自响应文件。</w:t>
      </w:r>
    </w:p>
    <w:p w14:paraId="4A10DA4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3.3供应商未按规定加密的响应文件，“苏采云”系统应当拒收并提示。</w:t>
      </w:r>
    </w:p>
    <w:p w14:paraId="35938C51">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bookmarkStart w:id="52" w:name="_Toc16938543"/>
      <w:bookmarkStart w:id="53" w:name="_Toc20823299"/>
      <w:bookmarkStart w:id="54" w:name="_Toc513029227"/>
      <w:r>
        <w:rPr>
          <w:rFonts w:hint="eastAsia" w:ascii="仿宋" w:hAnsi="仿宋" w:eastAsia="仿宋" w:cs="仿宋"/>
          <w:bCs/>
          <w:color w:val="auto"/>
          <w:sz w:val="28"/>
          <w:szCs w:val="28"/>
          <w:highlight w:val="none"/>
        </w:rPr>
        <w:t>4.响应响应文件</w:t>
      </w:r>
      <w:bookmarkEnd w:id="52"/>
      <w:bookmarkEnd w:id="53"/>
      <w:bookmarkEnd w:id="54"/>
      <w:r>
        <w:rPr>
          <w:rFonts w:hint="eastAsia" w:ascii="仿宋" w:hAnsi="仿宋" w:eastAsia="仿宋" w:cs="仿宋"/>
          <w:bCs/>
          <w:color w:val="auto"/>
          <w:sz w:val="28"/>
          <w:szCs w:val="28"/>
          <w:highlight w:val="none"/>
        </w:rPr>
        <w:t>的拒收</w:t>
      </w:r>
    </w:p>
    <w:p w14:paraId="1C95F31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采购代理机构拒绝接收在其规定的响应文件提交截止时间后上传的任何响应文件。</w:t>
      </w:r>
      <w:bookmarkStart w:id="55" w:name="_Toc20823300"/>
      <w:bookmarkStart w:id="56" w:name="_Toc513029228"/>
      <w:bookmarkStart w:id="57" w:name="_Toc16938544"/>
    </w:p>
    <w:p w14:paraId="74630BD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5.响应响应文件的修改</w:t>
      </w:r>
      <w:bookmarkEnd w:id="55"/>
      <w:bookmarkEnd w:id="56"/>
      <w:bookmarkEnd w:id="57"/>
    </w:p>
    <w:p w14:paraId="6ABA122C">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5.1响应文件的撤回</w:t>
      </w:r>
    </w:p>
    <w:p w14:paraId="792ABDF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5.1.1电子响应文件的撤回</w:t>
      </w:r>
    </w:p>
    <w:p w14:paraId="5C3B5AE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供应商可在响应文件提交截止时间前，撤回其电子响应文件，具体操作方法见《江苏省政府采购（供应商）CA数字证书及电子签章办理指南》。</w:t>
      </w:r>
    </w:p>
    <w:p w14:paraId="5EA9BF4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5.1.2供应商撤回电子响应文件，则认为其不再参与本项目响应活动。</w:t>
      </w:r>
    </w:p>
    <w:p w14:paraId="78CD323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5.2响应文件的修改</w:t>
      </w:r>
    </w:p>
    <w:p w14:paraId="5D6A1C2F">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供应商可在响应文件提交截止时间前，对其电子响应文件进行修改。</w:t>
      </w:r>
    </w:p>
    <w:p w14:paraId="1DB0E96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5.3在响应文件提交截止时间之后，供应商不得对其电子响应文件作任何修改。</w:t>
      </w:r>
    </w:p>
    <w:p w14:paraId="7B143E6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5.4在响应文件截止时间至响应文件中规定的响应有效期满之间的这段时间内，供应商不得撤回其响应文件。</w:t>
      </w:r>
    </w:p>
    <w:p w14:paraId="428C611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五、询价采购程序</w:t>
      </w:r>
    </w:p>
    <w:p w14:paraId="7089F6AC">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1.开标仪式</w:t>
      </w:r>
    </w:p>
    <w:p w14:paraId="152C5C3C">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1.1采购代理机构将在公告中规定的时间和地点组织开标仪式。</w:t>
      </w:r>
    </w:p>
    <w:p w14:paraId="0F42080E">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当天各供应商及时登录不见面开标大厅，响应文件递交截止时间后，采购人将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19E8F4D">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1.2文件解密工作由采购代理机构组织。</w:t>
      </w:r>
    </w:p>
    <w:p w14:paraId="10834440">
      <w:pPr>
        <w:keepLines w:val="0"/>
        <w:pageBreakBefore w:val="0"/>
        <w:kinsoku/>
        <w:wordWrap/>
        <w:overflowPunct/>
        <w:topLinePunct w:val="0"/>
        <w:autoSpaceDE/>
        <w:autoSpaceDN/>
        <w:bidi w:val="0"/>
        <w:adjustRightInd w:val="0"/>
        <w:snapToGrid w:val="0"/>
        <w:spacing w:line="480" w:lineRule="exact"/>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2.询价小组</w:t>
      </w:r>
    </w:p>
    <w:p w14:paraId="29487347">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2.1开标仪式后，采购代理机构将立即组织询价小组进行评标。</w:t>
      </w:r>
    </w:p>
    <w:p w14:paraId="178A3226">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2.2询价小组由政府采购评审专家和采购人代表组成，且人员构成符合政府采购有关规定。</w:t>
      </w:r>
    </w:p>
    <w:p w14:paraId="364198DA">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2.3询价小组应当按照客观、公正、审慎的原则评审响应供应商的响应响应文件。</w:t>
      </w:r>
    </w:p>
    <w:p w14:paraId="7F19D52D">
      <w:pPr>
        <w:keepLines w:val="0"/>
        <w:pageBreakBefore w:val="0"/>
        <w:kinsoku/>
        <w:wordWrap/>
        <w:overflowPunct/>
        <w:topLinePunct w:val="0"/>
        <w:autoSpaceDE/>
        <w:autoSpaceDN/>
        <w:bidi w:val="0"/>
        <w:adjustRightInd w:val="0"/>
        <w:snapToGrid w:val="0"/>
        <w:spacing w:line="480" w:lineRule="exact"/>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3.响应的澄清</w:t>
      </w:r>
    </w:p>
    <w:p w14:paraId="2EE48409">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3.1评审期间，为有助于对响应响应文件的审查、评价和比较，询价小组有权要求供应商对其响应响应文件进行澄清，但并非对每个供应商都作澄清要求。</w:t>
      </w:r>
    </w:p>
    <w:p w14:paraId="302CF87F">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3.2接到询价小组澄清要求的供应商应派人按询价小组规定的时间和格式作出澄清，澄清的内容作为响应响应文件的补充部分，但响应的价格和实质性的内容不得做任何更改。</w:t>
      </w:r>
    </w:p>
    <w:p w14:paraId="7955145A">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3.3接到询价小组澄清要求的供应商如未按规定做出澄清，其风险由供应商自行承担。</w:t>
      </w:r>
    </w:p>
    <w:p w14:paraId="3C59A9D7">
      <w:pPr>
        <w:keepLines w:val="0"/>
        <w:pageBreakBefore w:val="0"/>
        <w:kinsoku/>
        <w:wordWrap/>
        <w:overflowPunct/>
        <w:topLinePunct w:val="0"/>
        <w:autoSpaceDE/>
        <w:autoSpaceDN/>
        <w:bidi w:val="0"/>
        <w:adjustRightInd w:val="0"/>
        <w:snapToGrid w:val="0"/>
        <w:spacing w:line="480" w:lineRule="exact"/>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4.对响应响应文件的初审</w:t>
      </w:r>
    </w:p>
    <w:p w14:paraId="05340D15">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4.1响应响应文件初审分为资格性检查和符合性检查。</w:t>
      </w:r>
    </w:p>
    <w:p w14:paraId="03D1B43B">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（1）资格性检查：依据法律法规和采购文件的规定，对响应响应文件中的资格证明文件等进行审查，以确定供应商是否具备参加询价的资格。</w:t>
      </w:r>
    </w:p>
    <w:p w14:paraId="23A294F2">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询价小组在进行资格性审查的同时，将在“信用中国”网站对供应商是否被列入失信被执行人、重大税收违法案件当事人名单、政府采购严重失信行为记录名单情况进行查询，以确定供应商是否具备参加询价的资格。</w:t>
      </w:r>
    </w:p>
    <w:p w14:paraId="2A763D9F">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062EE91">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资格性审查未通过的响应供应商作无效响应处理。</w:t>
      </w:r>
    </w:p>
    <w:p w14:paraId="464D4FBD">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（2）符合性检查：依据采购文件的规定，从响应响应文件的有效性、完整性和对采购文件的响应程度进行审查，以确定是否对采购文件的实质性要求作出响应。符合性审查未通过的响应供应商作无效响应处理。</w:t>
      </w:r>
    </w:p>
    <w:p w14:paraId="07334CD6">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（3）未通过资格性审查或符合性审查的响应供应商，采购代理机构将告知其未通过资格性审查或符合性审查的原因。</w:t>
      </w:r>
    </w:p>
    <w:p w14:paraId="49A87EFD">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w:t>
      </w:r>
      <w:r>
        <w:rPr>
          <w:rFonts w:hint="eastAsia" w:ascii="仿宋" w:hAnsi="仿宋" w:eastAsia="仿宋" w:cs="仿宋"/>
          <w:bCs/>
          <w:color w:val="auto"/>
          <w:sz w:val="28"/>
          <w:szCs w:val="28"/>
          <w:highlight w:val="none"/>
        </w:rPr>
        <w:t>询价小组将对确定为实质性响应的响应进行进一步审核，看其是否有计算</w:t>
      </w:r>
      <w:r>
        <w:rPr>
          <w:rFonts w:hint="eastAsia" w:ascii="仿宋" w:hAnsi="仿宋" w:eastAsia="仿宋" w:cs="仿宋"/>
          <w:color w:val="auto"/>
          <w:sz w:val="28"/>
          <w:szCs w:val="28"/>
          <w:highlight w:val="none"/>
        </w:rPr>
        <w:t>上或累加上的算术错误，修正错误的原则如下：</w:t>
      </w:r>
    </w:p>
    <w:p w14:paraId="4768EF7E">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（1）响应文件中报价总表内容与响应文件中相应内容不一致的，以报价总表为准。</w:t>
      </w:r>
    </w:p>
    <w:p w14:paraId="4132331C">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465FE606">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（3）总价金额与按单价汇总金额不一致的，以单价金额计算结果为准。</w:t>
      </w:r>
    </w:p>
    <w:p w14:paraId="263A2A1F">
      <w:pPr>
        <w:keepLines w:val="0"/>
        <w:pageBreakBefore w:val="0"/>
        <w:kinsoku/>
        <w:wordWrap/>
        <w:overflowPunct/>
        <w:topLinePunct w:val="0"/>
        <w:autoSpaceDE/>
        <w:autoSpaceDN/>
        <w:bidi w:val="0"/>
        <w:adjustRightInd w:val="0"/>
        <w:snapToGrid w:val="0"/>
        <w:spacing w:line="480" w:lineRule="exact"/>
        <w:ind w:firstLine="42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同时出现两种以上错误的，按照前款规定的顺序修正。</w:t>
      </w:r>
    </w:p>
    <w:p w14:paraId="0C1CC2DB">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4.3询价小组将按上述修正错误的方法调整响应响应文件中的响应报价，并告知响应供应商，调整后的价格应对响应供应商具有约束力。如果响应供应商不接受修正后的价格，则其响应将被拒绝。</w:t>
      </w:r>
    </w:p>
    <w:p w14:paraId="18BC5CB7">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4.4本采购项目为一个完整标的，询价小组不接受不完整的响应报价。响应供应商或其授权委托人必须对所有项目分别报单价，并合计总价。询价小组有权将未按规定填写的报价视为无效响应。</w:t>
      </w:r>
    </w:p>
    <w:p w14:paraId="6534C48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4.5询价小组允许修正响应响应文件中不构成重大偏离的、微小的、非正规的、不一致的或不规则的地方，但这些修改不能影响任何响应供应商相应的名次排列。</w:t>
      </w:r>
    </w:p>
    <w:p w14:paraId="63666D0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4.6响应供应商在询价采购活动全过程中应保持通讯畅通，并安排专人与采购代理机构及询价小组联系。</w:t>
      </w:r>
    </w:p>
    <w:p w14:paraId="58959A16">
      <w:pPr>
        <w:keepLines w:val="0"/>
        <w:pageBreakBefore w:val="0"/>
        <w:kinsoku/>
        <w:wordWrap/>
        <w:overflowPunct/>
        <w:topLinePunct w:val="0"/>
        <w:autoSpaceDE/>
        <w:autoSpaceDN/>
        <w:bidi w:val="0"/>
        <w:adjustRightInd w:val="0"/>
        <w:snapToGri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5.无效响应及废标情形</w:t>
      </w:r>
    </w:p>
    <w:p w14:paraId="3224102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5.1符合下列情形之一者，响应供应商响应无效：</w:t>
      </w:r>
    </w:p>
    <w:p w14:paraId="1814238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（1）响应供应商未按本采购文件要求上传响应响应文件电子文档的，或上传的文件打不开的；</w:t>
      </w:r>
    </w:p>
    <w:p w14:paraId="72D11BF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（2）同一响应供应商提交两个（含两个）以上不同的响应报价的；</w:t>
      </w:r>
    </w:p>
    <w:p w14:paraId="1D7F428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（3）响应供应商不具备采购文件中规定资格要求的；</w:t>
      </w:r>
    </w:p>
    <w:p w14:paraId="622CDC65">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（4）响应供应商的报价超过了采购预算或最高限价的；</w:t>
      </w:r>
    </w:p>
    <w:p w14:paraId="45BAA151">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（5）未通过资格性、符合性审查的；</w:t>
      </w:r>
    </w:p>
    <w:p w14:paraId="26A6C05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（6）不符合询价采购文件中规定的其他实质性要求和条件的；</w:t>
      </w:r>
    </w:p>
    <w:p w14:paraId="5359FCB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3F68609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r>
        <w:rPr>
          <w:rFonts w:hint="eastAsia" w:ascii="仿宋" w:hAnsi="仿宋" w:eastAsia="仿宋" w:cs="仿宋"/>
          <w:bCs/>
          <w:color w:val="auto"/>
          <w:sz w:val="28"/>
          <w:szCs w:val="28"/>
          <w:highlight w:val="none"/>
        </w:rPr>
        <w:t>响应响应文件含有采购人不能接受的附加条件的；</w:t>
      </w:r>
    </w:p>
    <w:p w14:paraId="40486F08">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bCs/>
          <w:color w:val="auto"/>
          <w:sz w:val="28"/>
          <w:szCs w:val="28"/>
          <w:highlight w:val="none"/>
        </w:rPr>
        <w:t>本项目采购产品被财政部、国家发改委、生态环境部等列入“节能产品品目清单”、“环境标志产品品目清单”强制采购范围，而供应商所响应产品不在强制采购范围内的。（响应产品如属于政府强制采购节能产品品目清单范围内，响应响应文件中必须提供国家确定的认证机构出具的、处于有效期之内的该节能产品认证证书图片）</w:t>
      </w:r>
      <w:r>
        <w:rPr>
          <w:rFonts w:hint="eastAsia" w:ascii="仿宋" w:hAnsi="仿宋" w:eastAsia="仿宋" w:cs="仿宋"/>
          <w:color w:val="auto"/>
          <w:sz w:val="28"/>
          <w:szCs w:val="28"/>
          <w:highlight w:val="none"/>
        </w:rPr>
        <w:t>；</w:t>
      </w:r>
    </w:p>
    <w:p w14:paraId="189A326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bCs/>
          <w:color w:val="auto"/>
          <w:sz w:val="28"/>
          <w:szCs w:val="28"/>
          <w:highlight w:val="none"/>
        </w:rPr>
        <w:t>响应响应文件未按照采购文件要求加盖电子签章</w:t>
      </w:r>
      <w:r>
        <w:rPr>
          <w:rFonts w:hint="eastAsia" w:ascii="仿宋" w:hAnsi="仿宋" w:eastAsia="仿宋" w:cs="仿宋"/>
          <w:color w:val="auto"/>
          <w:sz w:val="28"/>
          <w:szCs w:val="28"/>
          <w:highlight w:val="none"/>
        </w:rPr>
        <w:t>；</w:t>
      </w:r>
    </w:p>
    <w:p w14:paraId="6D7A1D9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r>
        <w:rPr>
          <w:rFonts w:hint="eastAsia" w:ascii="仿宋" w:hAnsi="仿宋" w:eastAsia="仿宋" w:cs="仿宋"/>
          <w:bCs/>
          <w:color w:val="auto"/>
          <w:sz w:val="28"/>
          <w:szCs w:val="28"/>
          <w:highlight w:val="none"/>
        </w:rPr>
        <w:t>其他法律、法规及本采购文件规定的属无效响应的情形</w:t>
      </w:r>
      <w:r>
        <w:rPr>
          <w:rFonts w:hint="eastAsia" w:ascii="仿宋" w:hAnsi="仿宋" w:eastAsia="仿宋" w:cs="仿宋"/>
          <w:color w:val="auto"/>
          <w:sz w:val="28"/>
          <w:szCs w:val="28"/>
          <w:highlight w:val="none"/>
        </w:rPr>
        <w:t>。</w:t>
      </w:r>
    </w:p>
    <w:p w14:paraId="153A856A">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5.2符合下列情形之一者，本采购项目废标：</w:t>
      </w:r>
    </w:p>
    <w:p w14:paraId="046D7890">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bCs/>
          <w:color w:val="auto"/>
          <w:sz w:val="28"/>
          <w:szCs w:val="28"/>
          <w:highlight w:val="none"/>
        </w:rPr>
        <w:t>符合专业条件的供应商或者对采购文件作实质响应的供应商不足三家的</w:t>
      </w:r>
      <w:r>
        <w:rPr>
          <w:rFonts w:hint="eastAsia" w:ascii="仿宋" w:hAnsi="仿宋" w:eastAsia="仿宋" w:cs="仿宋"/>
          <w:color w:val="auto"/>
          <w:sz w:val="28"/>
          <w:szCs w:val="28"/>
          <w:highlight w:val="none"/>
        </w:rPr>
        <w:t>；</w:t>
      </w:r>
    </w:p>
    <w:p w14:paraId="76237B5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（2）所有合格响应供应商的报价均超过本项目预算金额或最高限价的；</w:t>
      </w:r>
    </w:p>
    <w:p w14:paraId="2B0F2C95">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（3）出现影响采购公正的违法、违规行为的；</w:t>
      </w:r>
    </w:p>
    <w:p w14:paraId="4D07ADEF">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（4）因重大变故，采购任务取消的；</w:t>
      </w:r>
    </w:p>
    <w:p w14:paraId="640EBFA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废标后，对于特殊紧急的采购项目，经监管部门批准后采购人可直接改变采购方式，现场继续组织采购活动。</w:t>
      </w:r>
    </w:p>
    <w:p w14:paraId="6B8E84F2">
      <w:pPr>
        <w:keepLines w:val="0"/>
        <w:pageBreakBefore w:val="0"/>
        <w:numPr>
          <w:ilvl w:val="0"/>
          <w:numId w:val="1"/>
        </w:numPr>
        <w:kinsoku/>
        <w:wordWrap/>
        <w:overflowPunct/>
        <w:topLinePunct w:val="0"/>
        <w:autoSpaceDE/>
        <w:autoSpaceDN/>
        <w:bidi w:val="0"/>
        <w:adjustRightInd w:val="0"/>
        <w:snapToGri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响应文件线上格式要求</w:t>
      </w:r>
    </w:p>
    <w:p w14:paraId="0B6527D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6.1供应商应当通过“苏采云”系统提交数据电文形式的响应文件（即电子投标）。</w:t>
      </w:r>
    </w:p>
    <w:p w14:paraId="48A7E42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6.2通过“苏采云”系统提交政府采购客户端工具导出加密的响应文件</w:t>
      </w:r>
      <w:r>
        <w:rPr>
          <w:rFonts w:hint="eastAsia" w:ascii="仿宋" w:hAnsi="仿宋" w:eastAsia="仿宋" w:cs="仿宋"/>
          <w:color w:val="auto"/>
          <w:sz w:val="28"/>
          <w:szCs w:val="28"/>
          <w:highlight w:val="none"/>
          <w:lang w:eastAsia="zh-CN"/>
        </w:rPr>
        <w:t>。</w:t>
      </w:r>
    </w:p>
    <w:p w14:paraId="5389F1DA">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6.3本项目采用线上投标，即供应商响应文件从政府采购客户端工具制作通过“苏采云”系统提交，未提供线上响应文件的，投标无效。</w:t>
      </w:r>
    </w:p>
    <w:p w14:paraId="1E6C8A47">
      <w:pPr>
        <w:keepLines w:val="0"/>
        <w:pageBreakBefore w:val="0"/>
        <w:kinsoku/>
        <w:wordWrap/>
        <w:overflowPunct/>
        <w:topLinePunct w:val="0"/>
        <w:autoSpaceDE/>
        <w:autoSpaceDN/>
        <w:bidi w:val="0"/>
        <w:adjustRightInd w:val="0"/>
        <w:snapToGri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七、成交原则</w:t>
      </w:r>
    </w:p>
    <w:p w14:paraId="74C05554">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1.确定成交单位</w:t>
      </w:r>
    </w:p>
    <w:p w14:paraId="5AE1B4F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r>
        <w:rPr>
          <w:rFonts w:hint="eastAsia" w:ascii="仿宋" w:hAnsi="仿宋" w:eastAsia="仿宋" w:cs="仿宋"/>
          <w:b/>
          <w:bCs/>
          <w:color w:val="auto"/>
          <w:sz w:val="28"/>
          <w:szCs w:val="28"/>
          <w:highlight w:val="none"/>
        </w:rPr>
        <w:t>询价小组将从质量和服务均能满足采购文件实质性响应要求的供应商中，按照报价由低到高顺序推荐3名成交候选供应商，并编写评审报告。采购人从评审报告提出的成交候选供应商中，根据质量和服务均能满足采购文件实质性响应要求且报价最低的原则确定成交供应商或授权询价小组直接确定成交供应商</w:t>
      </w:r>
      <w:r>
        <w:rPr>
          <w:rFonts w:hint="eastAsia" w:ascii="仿宋" w:hAnsi="仿宋" w:eastAsia="仿宋" w:cs="仿宋"/>
          <w:color w:val="auto"/>
          <w:sz w:val="28"/>
          <w:szCs w:val="28"/>
          <w:highlight w:val="none"/>
        </w:rPr>
        <w:t>。</w:t>
      </w:r>
    </w:p>
    <w:p w14:paraId="6D4B1E26">
      <w:pPr>
        <w:keepLines w:val="0"/>
        <w:pageBreakBefore w:val="0"/>
        <w:kinsoku/>
        <w:wordWrap/>
        <w:overflowPunct/>
        <w:topLinePunct w:val="0"/>
        <w:autoSpaceDE/>
        <w:autoSpaceDN/>
        <w:bidi w:val="0"/>
        <w:adjustRightInd w:val="0"/>
        <w:snapToGri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1.2政府采购政策功能落实</w:t>
      </w:r>
    </w:p>
    <w:p w14:paraId="28CB42AA">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对小微型企业、监狱企业和残疾人福利单位的价格扣除</w:t>
      </w:r>
    </w:p>
    <w:p w14:paraId="7E89A1F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 1 \* GB3 \* MERGEFORMAT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供应商需按照《政府采购促进中小企业发展管理办法》（财库﹝2020﹞46号）的规定提供相应的《中小企业声明函》。</w:t>
      </w:r>
    </w:p>
    <w:p w14:paraId="338C5E5F">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②企业标准请参照《关于印发中小企业划型标准规定的通知》（工信部联企业[2011]300号）文件规定自行填写。</w:t>
      </w:r>
    </w:p>
    <w:p w14:paraId="2DC67173">
      <w:pPr>
        <w:keepLines w:val="0"/>
        <w:pageBreakBefore w:val="0"/>
        <w:kinsoku/>
        <w:wordWrap/>
        <w:overflowPunct/>
        <w:topLinePunct w:val="0"/>
        <w:autoSpaceDE/>
        <w:autoSpaceDN/>
        <w:bidi w:val="0"/>
        <w:adjustRightInd w:val="0"/>
        <w:snapToGri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③专门面向中小微企业采购的项目或者采购包，不再执行价格评审优惠的扶持政策。</w:t>
      </w:r>
    </w:p>
    <w:p w14:paraId="42EC93AF">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④在政府采购活动中残疾人福利性单位、监狱企业视同小型、微型企业。</w:t>
      </w:r>
    </w:p>
    <w:p w14:paraId="16EBC10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1.3如出现供应商最低报价相同的情况，则优先采购“环境标志产品”或“节能产品”。</w:t>
      </w:r>
    </w:p>
    <w:p w14:paraId="126C22C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（1）如出现最低报价相同，且响应产品均属于“环境标志产品”和“节能产品”，则将优先采购交货期短者。</w:t>
      </w:r>
    </w:p>
    <w:p w14:paraId="58823079">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（2）如出现最低报价相同，且响应产品不能同时满足“环境标志产品”和“节能产品”（只能满足其中一项），则将优先采购交货期短者。</w:t>
      </w:r>
    </w:p>
    <w:p w14:paraId="6E341621">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1.4如出现供应商最低报价相同的情况，且响应产品均不是“环境标志产品”或“节能产品”，则将优先采购交货期短者。</w:t>
      </w:r>
    </w:p>
    <w:p w14:paraId="3E4F4EF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对于同时列入环境标志产品政府采购品目清单和节能产品政府采购品目清单的产品，则其优先于只列入其中一个品目清单的产品。</w:t>
      </w:r>
    </w:p>
    <w:p w14:paraId="6207F1CF">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环境标志产品是指列入财政部、生态环境部最新公布的《环境标志产品政府采购品目清单》内的产品。</w:t>
      </w:r>
    </w:p>
    <w:p w14:paraId="31F05959">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节能产品是指列入财政部、国家发改委最新公布的《节能产品政府采购品目清单》内的产品。</w:t>
      </w:r>
    </w:p>
    <w:p w14:paraId="70605F98">
      <w:pPr>
        <w:keepLines w:val="0"/>
        <w:pageBreakBefore w:val="0"/>
        <w:kinsoku/>
        <w:wordWrap/>
        <w:overflowPunct/>
        <w:topLinePunct w:val="0"/>
        <w:autoSpaceDE/>
        <w:autoSpaceDN/>
        <w:bidi w:val="0"/>
        <w:adjustRightInd w:val="0"/>
        <w:snapToGri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注意：响应主要产品如为节能及环境标志产品的，响应供应商必须提供有关证明材料。</w:t>
      </w:r>
    </w:p>
    <w:p w14:paraId="6FAB959F">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1.5成交结果公告</w:t>
      </w:r>
    </w:p>
    <w:p w14:paraId="781E77C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采购代理机构将在“江苏政府采购网”发布成交公告，公告期限为1个工作日。</w:t>
      </w:r>
    </w:p>
    <w:p w14:paraId="590E29BB">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 若有充分证据证明，成交供应商出现下列情况之一的，一经查实，将被取消成交资格：</w:t>
      </w:r>
    </w:p>
    <w:p w14:paraId="7A03630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（1）提供虚假材料谋取中标的；</w:t>
      </w:r>
    </w:p>
    <w:p w14:paraId="3906C05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（2）向采购人、采购代理机构行贿或者提供其他不正当利益的；</w:t>
      </w:r>
    </w:p>
    <w:p w14:paraId="027C19C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（3）恶意竞争，响应总报价明显低于其自身合理成本且又无法提供证明的；</w:t>
      </w:r>
    </w:p>
    <w:p w14:paraId="25B1C23A">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（4）属于本文件规定的无效条件，但在评审过程中又未被询价小组发现的；</w:t>
      </w:r>
    </w:p>
    <w:p w14:paraId="26D51D35">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（5）与采购人或者其他供应商恶意串通的；</w:t>
      </w:r>
    </w:p>
    <w:p w14:paraId="3FEB65C2">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（6）采取不正当手段诋毁、排挤其他供应商的；</w:t>
      </w:r>
    </w:p>
    <w:p w14:paraId="7197C6DF">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（7）如有涉及对采购文件实质性内容的隐瞒、欺诈或违法违规行为的。</w:t>
      </w:r>
    </w:p>
    <w:p w14:paraId="13205C8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1.7有下列情形之一的，视为响应供应商串通响应，响应无效：</w:t>
      </w:r>
    </w:p>
    <w:p w14:paraId="6F6B32AC">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（1）不同响应供应商的响应响应文件由同一单位或者个人编制；</w:t>
      </w:r>
    </w:p>
    <w:p w14:paraId="038E4808">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（2）不同响应供应商委托同一单位或者个人办理响应事宜；</w:t>
      </w:r>
    </w:p>
    <w:p w14:paraId="2F53C011">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（3）不同响应供应商的响应响应文件载明的项目管理成员或者联系人员为同一人；</w:t>
      </w:r>
    </w:p>
    <w:p w14:paraId="3B2FC840">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（4）不同响应供应商的响应响应文件异常一致或者响应报价呈规律性差异；</w:t>
      </w:r>
    </w:p>
    <w:p w14:paraId="209DCC54">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（5）不同响应供应商的响应响应文件相互混装。</w:t>
      </w:r>
    </w:p>
    <w:p w14:paraId="1B16DD1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1.9</w:t>
      </w:r>
      <w:r>
        <w:rPr>
          <w:rFonts w:hint="eastAsia" w:ascii="仿宋" w:hAnsi="仿宋" w:eastAsia="仿宋" w:cs="仿宋"/>
          <w:color w:val="auto"/>
          <w:sz w:val="28"/>
          <w:szCs w:val="28"/>
          <w:highlight w:val="none"/>
        </w:rPr>
        <w:t>出现下列情形之一的，</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小组应当启动异常低价响应审查程序：</w:t>
      </w:r>
    </w:p>
    <w:p w14:paraId="179A15C0">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．响应报价低于采购项目最高限价45%的，即响应报价&lt;采购项目最高限价×45%；</w:t>
      </w:r>
    </w:p>
    <w:p w14:paraId="1935E8D7">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询价</w:t>
      </w:r>
      <w:r>
        <w:rPr>
          <w:rFonts w:hint="eastAsia" w:ascii="仿宋" w:hAnsi="仿宋" w:eastAsia="仿宋" w:cs="仿宋"/>
          <w:color w:val="auto"/>
          <w:sz w:val="28"/>
          <w:szCs w:val="28"/>
          <w:highlight w:val="none"/>
        </w:rPr>
        <w:t>小组认定的供应商报价过低、有可能影响产品质量或者不能诚信履约的其他情形。</w:t>
      </w:r>
    </w:p>
    <w:p w14:paraId="27249AA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启动异常低价响应审查后，</w:t>
      </w:r>
      <w:r>
        <w:rPr>
          <w:rFonts w:hint="eastAsia" w:ascii="仿宋" w:hAnsi="仿宋" w:eastAsia="仿宋" w:cs="仿宋"/>
          <w:color w:val="auto"/>
          <w:sz w:val="28"/>
          <w:szCs w:val="28"/>
          <w:highlight w:val="none"/>
          <w:lang w:eastAsia="zh-CN"/>
        </w:rPr>
        <w:t>询价小组</w:t>
      </w:r>
      <w:r>
        <w:rPr>
          <w:rFonts w:hint="eastAsia" w:ascii="仿宋" w:hAnsi="仿宋" w:eastAsia="仿宋" w:cs="仿宋"/>
          <w:color w:val="auto"/>
          <w:sz w:val="28"/>
          <w:szCs w:val="28"/>
          <w:highlight w:val="none"/>
        </w:rPr>
        <w:t>将通过苏采云系统要求相关供应商在合理的时间内提供项目具体成本测算等与报价合理性相关的书面说明及相关证明材料，对响应价格作出解释，由</w:t>
      </w:r>
      <w:r>
        <w:rPr>
          <w:rFonts w:hint="eastAsia" w:ascii="仿宋" w:hAnsi="仿宋" w:eastAsia="仿宋" w:cs="仿宋"/>
          <w:color w:val="auto"/>
          <w:sz w:val="28"/>
          <w:szCs w:val="28"/>
          <w:highlight w:val="none"/>
          <w:lang w:eastAsia="zh-CN"/>
        </w:rPr>
        <w:t>询价小组</w:t>
      </w:r>
      <w:r>
        <w:rPr>
          <w:rFonts w:hint="eastAsia" w:ascii="仿宋" w:hAnsi="仿宋" w:eastAsia="仿宋" w:cs="仿宋"/>
          <w:color w:val="auto"/>
          <w:sz w:val="28"/>
          <w:szCs w:val="28"/>
          <w:highlight w:val="none"/>
        </w:rPr>
        <w:t>结合同类产品在主要电商平台的价格、该行业当地薪资水平等情况，依据专业经验对供应商报价合理性进行判断。</w:t>
      </w:r>
    </w:p>
    <w:p w14:paraId="0D4EC31C">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响应供应商不提供书面说明、证明材料，或者提供的书面说明、证明材料不能证明其报价合理性的，</w:t>
      </w:r>
      <w:r>
        <w:rPr>
          <w:rFonts w:hint="eastAsia" w:ascii="仿宋" w:hAnsi="仿宋" w:eastAsia="仿宋" w:cs="仿宋"/>
          <w:color w:val="auto"/>
          <w:sz w:val="28"/>
          <w:szCs w:val="28"/>
          <w:highlight w:val="none"/>
          <w:lang w:eastAsia="zh-CN"/>
        </w:rPr>
        <w:t>询价小组</w:t>
      </w:r>
      <w:r>
        <w:rPr>
          <w:rFonts w:hint="eastAsia" w:ascii="仿宋" w:hAnsi="仿宋" w:eastAsia="仿宋" w:cs="仿宋"/>
          <w:color w:val="auto"/>
          <w:sz w:val="28"/>
          <w:szCs w:val="28"/>
          <w:highlight w:val="none"/>
        </w:rPr>
        <w:t>应当将其作为无效响应处理。审查相关情况应当在评审报告中进行记录。</w:t>
      </w:r>
    </w:p>
    <w:p w14:paraId="567A135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2.质疑处理</w:t>
      </w:r>
    </w:p>
    <w:p w14:paraId="0FFF90E3">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2.1提出质疑的供应商应当是参与所质疑项目采购活动的供应商。潜在供应商依法获取其可质疑的采购文件的，可以对采购文件提出质疑。</w:t>
      </w:r>
    </w:p>
    <w:p w14:paraId="57F22993">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供应商认为采购文件、采购过程和采购结果使自己的权益受到损害的，可以在知道或应知其权益受到损害之日起七个工作日内，以书面形式向采购代理机构或采购人提出质疑。上述应知其权益受到损害之日，是指：</w:t>
      </w:r>
    </w:p>
    <w:p w14:paraId="0BEC4528">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kern w:val="0"/>
          <w:sz w:val="28"/>
          <w:szCs w:val="28"/>
          <w:highlight w:val="none"/>
        </w:rPr>
        <w:t>对可以质疑的采购文件提出质疑的，为收到采购文件之日或者采购文件公告期限届满之日；</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w:t>
      </w:r>
      <w:r>
        <w:rPr>
          <w:rFonts w:hint="eastAsia" w:ascii="仿宋" w:hAnsi="仿宋" w:eastAsia="仿宋" w:cs="仿宋"/>
          <w:color w:val="auto"/>
          <w:sz w:val="28"/>
          <w:szCs w:val="28"/>
          <w:highlight w:val="none"/>
        </w:rPr>
        <w:t>（2）</w:t>
      </w:r>
      <w:r>
        <w:rPr>
          <w:rFonts w:hint="eastAsia" w:ascii="仿宋" w:hAnsi="仿宋" w:eastAsia="仿宋" w:cs="仿宋"/>
          <w:color w:val="auto"/>
          <w:kern w:val="0"/>
          <w:sz w:val="28"/>
          <w:szCs w:val="28"/>
          <w:highlight w:val="none"/>
        </w:rPr>
        <w:t>对采购过程提出质疑的，为各采购程序环节结束之日；</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w:t>
      </w:r>
      <w:r>
        <w:rPr>
          <w:rFonts w:hint="eastAsia" w:ascii="仿宋" w:hAnsi="仿宋" w:eastAsia="仿宋" w:cs="仿宋"/>
          <w:color w:val="auto"/>
          <w:sz w:val="28"/>
          <w:szCs w:val="28"/>
          <w:highlight w:val="none"/>
        </w:rPr>
        <w:t>（3）</w:t>
      </w:r>
      <w:r>
        <w:rPr>
          <w:rFonts w:hint="eastAsia" w:ascii="仿宋" w:hAnsi="仿宋" w:eastAsia="仿宋" w:cs="仿宋"/>
          <w:color w:val="auto"/>
          <w:kern w:val="0"/>
          <w:sz w:val="28"/>
          <w:szCs w:val="28"/>
          <w:highlight w:val="none"/>
        </w:rPr>
        <w:t>对中标或者成交结果提出质疑的，为中标或者成交结果公告期限届满之日。</w:t>
      </w:r>
    </w:p>
    <w:p w14:paraId="5983D758">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供应商应当在法定质疑期内一次性提出针对同一采购程序环节的质疑。</w:t>
      </w:r>
    </w:p>
    <w:p w14:paraId="6652C601">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2.3质疑函必须按照本采购文件中《质疑函范本》要求的格式和内容进行填写。供应商如组成联合体参加响应，则《质疑函范本》中要求签字、盖章、加盖公章之处，联合体各方均须按要求签字、盖章、加盖公章。</w:t>
      </w:r>
    </w:p>
    <w:p w14:paraId="15DC12DE">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2.4质疑答复依据《政府采购质疑和投诉办法》（财政部令第94号）。</w:t>
      </w:r>
    </w:p>
    <w:p w14:paraId="365C9DC1">
      <w:pPr>
        <w:keepLines w:val="0"/>
        <w:pageBreakBefore w:val="0"/>
        <w:kinsoku/>
        <w:wordWrap/>
        <w:overflowPunct/>
        <w:topLinePunct w:val="0"/>
        <w:autoSpaceDE/>
        <w:autoSpaceDN/>
        <w:bidi w:val="0"/>
        <w:adjustRightInd w:val="0"/>
        <w:snapToGrid w:val="0"/>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2.5以下情形的质疑不予受理</w:t>
      </w:r>
    </w:p>
    <w:p w14:paraId="11F3D5A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（1）内容不符合《政府采购质疑和投诉办法》第十二条规定的质疑。</w:t>
      </w:r>
    </w:p>
    <w:p w14:paraId="0E6381BA">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（2）超出政府采购法定期限的质疑。</w:t>
      </w:r>
    </w:p>
    <w:p w14:paraId="3FC0CB5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（3）未参加响应活动的供应商或在响应活动中自身权益未受到损害的供应商所提出的质疑。</w:t>
      </w:r>
    </w:p>
    <w:p w14:paraId="51114CE0">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（4）供应商组成联合体参加响应，联合体中任何一方或多方未按要求签字、盖章、加盖公章的质疑。</w:t>
      </w:r>
    </w:p>
    <w:p w14:paraId="79FD2109">
      <w:pPr>
        <w:keepLines w:val="0"/>
        <w:pageBreakBefore w:val="0"/>
        <w:kinsoku/>
        <w:wordWrap/>
        <w:overflowPunct/>
        <w:topLinePunct w:val="0"/>
        <w:autoSpaceDE/>
        <w:autoSpaceDN/>
        <w:bidi w:val="0"/>
        <w:adjustRightInd w:val="0"/>
        <w:snapToGrid w:val="0"/>
        <w:spacing w:line="480" w:lineRule="exact"/>
        <w:ind w:firstLine="546" w:firstLineChars="19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8523A09">
      <w:pPr>
        <w:keepLines w:val="0"/>
        <w:pageBreakBefore w:val="0"/>
        <w:numPr>
          <w:ilvl w:val="0"/>
          <w:numId w:val="0"/>
        </w:numPr>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成交通知书</w:t>
      </w:r>
    </w:p>
    <w:p w14:paraId="469980D4">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3.1公告成交结果的同时，采购代理机构向成交供应商签发《成交通知书》。</w:t>
      </w:r>
    </w:p>
    <w:p w14:paraId="45955E68">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3.2成交通知书将是合同的一个组成部分，对采购人和成交供应商均具有法律效力。成交通知书发出后，采购人不得违法改变成交结果，成交供应商无正当理由不得放弃中标，否则依法承担相应的法律责任。</w:t>
      </w:r>
    </w:p>
    <w:p w14:paraId="6B9038C0">
      <w:pPr>
        <w:keepLines w:val="0"/>
        <w:pageBreakBefore w:val="0"/>
        <w:kinsoku/>
        <w:wordWrap/>
        <w:overflowPunct/>
        <w:topLinePunct w:val="0"/>
        <w:autoSpaceDE/>
        <w:autoSpaceDN/>
        <w:bidi w:val="0"/>
        <w:adjustRightInd w:val="0"/>
        <w:snapToGrid w:val="0"/>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八、授予合同</w:t>
      </w:r>
    </w:p>
    <w:p w14:paraId="2637E815">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1.签订合同</w:t>
      </w:r>
    </w:p>
    <w:p w14:paraId="38CB530E">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1.1成交供应商应当在成交通知书发出之日起三十日内，按照采购文件确定的事项与采购人签订政府采购合同。</w:t>
      </w:r>
    </w:p>
    <w:p w14:paraId="6C5E2C36">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1.2采购文件、成交供应商的响应响应文件及采购过程中有关澄清、承诺文件均应作为合同附件。</w:t>
      </w:r>
    </w:p>
    <w:p w14:paraId="6ED3D695">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签订合同后，成交供应商不得将货物及其他相关服务进行转包。未经采购人同意，成交供应商也不得随意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p>
    <w:p w14:paraId="49041398">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2.标的物的追加</w:t>
      </w:r>
    </w:p>
    <w:p w14:paraId="5430834D">
      <w:pPr>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8"/>
          <w:szCs w:val="28"/>
          <w:highlight w:val="none"/>
          <w:lang w:eastAsia="zh-CN"/>
        </w:rPr>
        <w:t>额的</w:t>
      </w:r>
      <w:r>
        <w:rPr>
          <w:rFonts w:hint="eastAsia" w:ascii="仿宋" w:hAnsi="仿宋" w:eastAsia="仿宋" w:cs="仿宋"/>
          <w:color w:val="auto"/>
          <w:sz w:val="28"/>
          <w:szCs w:val="28"/>
          <w:highlight w:val="none"/>
        </w:rPr>
        <w:t>10%。</w:t>
      </w:r>
    </w:p>
    <w:p w14:paraId="14E76AD8">
      <w:pPr>
        <w:keepNext/>
        <w:keepLines w:val="0"/>
        <w:pageBreakBefore w:val="0"/>
        <w:kinsoku/>
        <w:wordWrap/>
        <w:overflowPunct/>
        <w:topLinePunct w:val="0"/>
        <w:autoSpaceDE/>
        <w:autoSpaceDN/>
        <w:bidi w:val="0"/>
        <w:adjustRightInd w:val="0"/>
        <w:snapToGrid w:val="0"/>
        <w:spacing w:line="480" w:lineRule="exact"/>
        <w:ind w:firstLine="560" w:firstLineChars="200"/>
        <w:textAlignment w:val="auto"/>
        <w:outlineLvl w:val="3"/>
        <w:rPr>
          <w:rFonts w:hint="eastAsia" w:ascii="仿宋" w:hAnsi="仿宋" w:eastAsia="仿宋" w:cs="仿宋"/>
          <w:b/>
          <w:color w:val="auto"/>
          <w:kern w:val="0"/>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kern w:val="0"/>
          <w:sz w:val="28"/>
          <w:szCs w:val="28"/>
          <w:highlight w:val="none"/>
        </w:rPr>
        <w:t>政府采购履约资金扶持政策</w:t>
      </w:r>
    </w:p>
    <w:p w14:paraId="1F913D89">
      <w:pPr>
        <w:keepLines w:val="0"/>
        <w:pageBreakBefore w:val="0"/>
        <w:kinsoku/>
        <w:wordWrap/>
        <w:overflowPunct/>
        <w:topLinePunct w:val="0"/>
        <w:autoSpaceDE/>
        <w:autoSpaceDN/>
        <w:bidi w:val="0"/>
        <w:adjustRightInd w:val="0"/>
        <w:snapToGrid w:val="0"/>
        <w:spacing w:line="480" w:lineRule="exact"/>
        <w:textAlignment w:val="auto"/>
        <w:rPr>
          <w:rFonts w:hint="eastAsia" w:ascii="宋体" w:hAnsi="宋体" w:cs="宋体"/>
          <w:b/>
          <w:bCs/>
          <w:color w:val="auto"/>
          <w:sz w:val="32"/>
          <w:szCs w:val="32"/>
          <w:highlight w:val="none"/>
        </w:rPr>
      </w:pPr>
      <w:bookmarkStart w:id="58" w:name="_Toc32735"/>
      <w:r>
        <w:rPr>
          <w:rFonts w:hint="eastAsia" w:ascii="仿宋" w:hAnsi="仿宋" w:eastAsia="仿宋" w:cs="仿宋"/>
          <w:color w:val="auto"/>
          <w:sz w:val="28"/>
          <w:szCs w:val="28"/>
          <w:highlight w:val="none"/>
        </w:rPr>
        <w:t>成交供应商可凭政府采购合同办理融资贷款，详情请见江苏政府采购网“政采贷”专栏。</w:t>
      </w:r>
    </w:p>
    <w:p w14:paraId="3D8939FC">
      <w:pPr>
        <w:adjustRightInd w:val="0"/>
        <w:snapToGrid w:val="0"/>
        <w:spacing w:line="500" w:lineRule="exact"/>
        <w:jc w:val="center"/>
        <w:rPr>
          <w:rFonts w:hint="eastAsia" w:ascii="宋体" w:hAnsi="宋体" w:cs="宋体"/>
          <w:b/>
          <w:bCs/>
          <w:color w:val="auto"/>
          <w:sz w:val="32"/>
          <w:szCs w:val="32"/>
          <w:highlight w:val="none"/>
        </w:rPr>
      </w:pPr>
    </w:p>
    <w:p w14:paraId="438D5D8A">
      <w:pPr>
        <w:adjustRightInd w:val="0"/>
        <w:snapToGrid w:val="0"/>
        <w:spacing w:line="500" w:lineRule="exact"/>
        <w:jc w:val="center"/>
        <w:rPr>
          <w:rFonts w:hint="eastAsia" w:ascii="宋体" w:hAnsi="宋体" w:cs="宋体"/>
          <w:b/>
          <w:bCs/>
          <w:color w:val="auto"/>
          <w:sz w:val="32"/>
          <w:szCs w:val="32"/>
          <w:highlight w:val="none"/>
        </w:rPr>
      </w:pPr>
    </w:p>
    <w:p w14:paraId="4C582325">
      <w:pPr>
        <w:adjustRightInd w:val="0"/>
        <w:snapToGrid w:val="0"/>
        <w:spacing w:line="500" w:lineRule="exact"/>
        <w:jc w:val="center"/>
        <w:rPr>
          <w:rFonts w:hint="eastAsia" w:ascii="宋体" w:hAnsi="宋体" w:cs="宋体"/>
          <w:b/>
          <w:bCs/>
          <w:color w:val="auto"/>
          <w:sz w:val="32"/>
          <w:szCs w:val="32"/>
          <w:highlight w:val="none"/>
        </w:rPr>
      </w:pPr>
    </w:p>
    <w:p w14:paraId="3AAEAB55">
      <w:pPr>
        <w:adjustRightInd w:val="0"/>
        <w:snapToGrid w:val="0"/>
        <w:spacing w:line="500" w:lineRule="exact"/>
        <w:jc w:val="center"/>
        <w:rPr>
          <w:rFonts w:hint="eastAsia" w:ascii="宋体" w:hAnsi="宋体" w:cs="宋体"/>
          <w:b/>
          <w:bCs/>
          <w:color w:val="auto"/>
          <w:sz w:val="32"/>
          <w:szCs w:val="32"/>
          <w:highlight w:val="none"/>
        </w:rPr>
      </w:pPr>
    </w:p>
    <w:p w14:paraId="7792363B">
      <w:pPr>
        <w:adjustRightInd w:val="0"/>
        <w:snapToGrid w:val="0"/>
        <w:spacing w:line="500" w:lineRule="exact"/>
        <w:jc w:val="center"/>
        <w:rPr>
          <w:rFonts w:hint="eastAsia" w:ascii="宋体" w:hAnsi="宋体" w:cs="宋体"/>
          <w:b/>
          <w:bCs/>
          <w:color w:val="auto"/>
          <w:sz w:val="32"/>
          <w:szCs w:val="32"/>
          <w:highlight w:val="none"/>
        </w:rPr>
      </w:pPr>
    </w:p>
    <w:p w14:paraId="46BF8D51">
      <w:pPr>
        <w:adjustRightInd w:val="0"/>
        <w:snapToGrid w:val="0"/>
        <w:spacing w:line="500" w:lineRule="exact"/>
        <w:jc w:val="center"/>
        <w:rPr>
          <w:rFonts w:hint="eastAsia" w:ascii="宋体" w:hAnsi="宋体" w:cs="宋体"/>
          <w:b/>
          <w:bCs/>
          <w:color w:val="auto"/>
          <w:sz w:val="32"/>
          <w:szCs w:val="32"/>
          <w:highlight w:val="none"/>
        </w:rPr>
      </w:pPr>
    </w:p>
    <w:p w14:paraId="2962EF98">
      <w:pPr>
        <w:adjustRightInd w:val="0"/>
        <w:snapToGrid w:val="0"/>
        <w:spacing w:line="500" w:lineRule="exact"/>
        <w:jc w:val="center"/>
        <w:rPr>
          <w:rFonts w:hint="eastAsia" w:ascii="宋体" w:hAnsi="宋体" w:cs="宋体"/>
          <w:b/>
          <w:bCs/>
          <w:color w:val="auto"/>
          <w:sz w:val="32"/>
          <w:szCs w:val="32"/>
          <w:highlight w:val="none"/>
        </w:rPr>
      </w:pPr>
    </w:p>
    <w:p w14:paraId="0FCC3665">
      <w:pPr>
        <w:adjustRightInd w:val="0"/>
        <w:snapToGrid w:val="0"/>
        <w:spacing w:line="500" w:lineRule="exact"/>
        <w:jc w:val="center"/>
        <w:rPr>
          <w:rFonts w:hint="eastAsia" w:ascii="宋体" w:hAnsi="宋体" w:cs="宋体"/>
          <w:b/>
          <w:bCs/>
          <w:color w:val="auto"/>
          <w:sz w:val="32"/>
          <w:szCs w:val="32"/>
          <w:highlight w:val="none"/>
        </w:rPr>
      </w:pPr>
    </w:p>
    <w:p w14:paraId="2EEFBA1F">
      <w:pPr>
        <w:adjustRightInd w:val="0"/>
        <w:snapToGrid w:val="0"/>
        <w:spacing w:line="500" w:lineRule="exact"/>
        <w:jc w:val="center"/>
        <w:rPr>
          <w:rFonts w:hint="eastAsia" w:ascii="宋体" w:hAnsi="宋体" w:cs="宋体"/>
          <w:b/>
          <w:bCs/>
          <w:color w:val="auto"/>
          <w:sz w:val="32"/>
          <w:szCs w:val="32"/>
          <w:highlight w:val="none"/>
        </w:rPr>
      </w:pPr>
    </w:p>
    <w:p w14:paraId="003FF743">
      <w:pPr>
        <w:adjustRightInd w:val="0"/>
        <w:snapToGrid w:val="0"/>
        <w:spacing w:line="500" w:lineRule="exact"/>
        <w:jc w:val="center"/>
        <w:rPr>
          <w:rFonts w:hint="eastAsia" w:ascii="宋体" w:hAnsi="宋体" w:cs="宋体"/>
          <w:b/>
          <w:bCs/>
          <w:color w:val="auto"/>
          <w:sz w:val="32"/>
          <w:szCs w:val="32"/>
          <w:highlight w:val="none"/>
        </w:rPr>
      </w:pPr>
    </w:p>
    <w:p w14:paraId="34C030A1">
      <w:pPr>
        <w:adjustRightInd w:val="0"/>
        <w:snapToGrid w:val="0"/>
        <w:spacing w:line="500" w:lineRule="exact"/>
        <w:jc w:val="center"/>
        <w:rPr>
          <w:rFonts w:hint="eastAsia" w:ascii="宋体" w:hAnsi="宋体" w:cs="宋体"/>
          <w:b/>
          <w:bCs/>
          <w:color w:val="auto"/>
          <w:sz w:val="32"/>
          <w:szCs w:val="32"/>
          <w:highlight w:val="none"/>
        </w:rPr>
      </w:pPr>
    </w:p>
    <w:p w14:paraId="13ED989A">
      <w:pPr>
        <w:adjustRightInd w:val="0"/>
        <w:snapToGrid w:val="0"/>
        <w:spacing w:line="500" w:lineRule="exact"/>
        <w:jc w:val="center"/>
        <w:rPr>
          <w:rFonts w:hint="eastAsia" w:ascii="宋体" w:hAnsi="宋体" w:cs="宋体"/>
          <w:b/>
          <w:bCs/>
          <w:color w:val="auto"/>
          <w:sz w:val="32"/>
          <w:szCs w:val="32"/>
          <w:highlight w:val="none"/>
        </w:rPr>
      </w:pPr>
    </w:p>
    <w:p w14:paraId="1442DB10">
      <w:pPr>
        <w:adjustRightInd w:val="0"/>
        <w:snapToGrid w:val="0"/>
        <w:spacing w:line="500" w:lineRule="exact"/>
        <w:jc w:val="center"/>
        <w:rPr>
          <w:rFonts w:hint="eastAsia" w:ascii="宋体" w:hAnsi="宋体" w:cs="宋体"/>
          <w:b/>
          <w:bCs/>
          <w:color w:val="auto"/>
          <w:sz w:val="32"/>
          <w:szCs w:val="32"/>
          <w:highlight w:val="none"/>
        </w:rPr>
      </w:pPr>
    </w:p>
    <w:p w14:paraId="018DF773">
      <w:pPr>
        <w:adjustRightInd w:val="0"/>
        <w:snapToGrid w:val="0"/>
        <w:spacing w:line="500" w:lineRule="exact"/>
        <w:jc w:val="center"/>
        <w:rPr>
          <w:rFonts w:hint="eastAsia" w:ascii="宋体" w:hAnsi="宋体" w:cs="宋体"/>
          <w:b/>
          <w:bCs/>
          <w:color w:val="auto"/>
          <w:sz w:val="32"/>
          <w:szCs w:val="32"/>
          <w:highlight w:val="none"/>
        </w:rPr>
      </w:pPr>
    </w:p>
    <w:p w14:paraId="10145F96">
      <w:pPr>
        <w:adjustRightInd w:val="0"/>
        <w:snapToGrid w:val="0"/>
        <w:spacing w:line="500" w:lineRule="exact"/>
        <w:jc w:val="center"/>
        <w:rPr>
          <w:rFonts w:hint="eastAsia" w:ascii="宋体" w:hAnsi="宋体" w:cs="宋体"/>
          <w:b/>
          <w:bCs/>
          <w:color w:val="auto"/>
          <w:sz w:val="32"/>
          <w:szCs w:val="32"/>
          <w:highlight w:val="none"/>
        </w:rPr>
      </w:pPr>
    </w:p>
    <w:p w14:paraId="67270536">
      <w:pPr>
        <w:adjustRightInd w:val="0"/>
        <w:snapToGrid w:val="0"/>
        <w:spacing w:line="500" w:lineRule="exact"/>
        <w:jc w:val="center"/>
        <w:rPr>
          <w:rFonts w:hint="eastAsia" w:ascii="宋体" w:hAnsi="宋体" w:cs="宋体"/>
          <w:b/>
          <w:bCs/>
          <w:color w:val="auto"/>
          <w:sz w:val="32"/>
          <w:szCs w:val="32"/>
          <w:highlight w:val="none"/>
        </w:rPr>
      </w:pPr>
    </w:p>
    <w:p w14:paraId="0C383BDC">
      <w:pPr>
        <w:adjustRightInd w:val="0"/>
        <w:snapToGrid w:val="0"/>
        <w:spacing w:line="500" w:lineRule="exact"/>
        <w:jc w:val="center"/>
        <w:rPr>
          <w:rFonts w:hint="eastAsia" w:ascii="宋体" w:hAnsi="宋体" w:cs="宋体"/>
          <w:b/>
          <w:bCs/>
          <w:color w:val="auto"/>
          <w:sz w:val="32"/>
          <w:szCs w:val="32"/>
          <w:highlight w:val="none"/>
        </w:rPr>
      </w:pPr>
    </w:p>
    <w:p w14:paraId="34DEAECB">
      <w:pPr>
        <w:adjustRightInd w:val="0"/>
        <w:snapToGrid w:val="0"/>
        <w:spacing w:line="500" w:lineRule="exact"/>
        <w:jc w:val="center"/>
        <w:rPr>
          <w:rFonts w:hint="eastAsia" w:ascii="宋体" w:hAnsi="宋体" w:cs="宋体"/>
          <w:b/>
          <w:bCs/>
          <w:color w:val="auto"/>
          <w:sz w:val="32"/>
          <w:szCs w:val="32"/>
          <w:highlight w:val="none"/>
        </w:rPr>
      </w:pPr>
    </w:p>
    <w:p w14:paraId="124E8F1B">
      <w:pPr>
        <w:adjustRightInd w:val="0"/>
        <w:snapToGrid w:val="0"/>
        <w:spacing w:line="500" w:lineRule="exact"/>
        <w:jc w:val="center"/>
        <w:rPr>
          <w:rFonts w:hint="eastAsia" w:ascii="宋体" w:hAnsi="宋体" w:cs="宋体"/>
          <w:b/>
          <w:bCs/>
          <w:color w:val="auto"/>
          <w:sz w:val="32"/>
          <w:szCs w:val="32"/>
          <w:highlight w:val="none"/>
        </w:rPr>
      </w:pPr>
    </w:p>
    <w:p w14:paraId="6A4F6DDF">
      <w:pPr>
        <w:adjustRightInd w:val="0"/>
        <w:snapToGrid w:val="0"/>
        <w:spacing w:line="500" w:lineRule="exact"/>
        <w:jc w:val="center"/>
        <w:rPr>
          <w:rFonts w:hint="eastAsia" w:ascii="宋体" w:hAnsi="宋体" w:eastAsia="宋体" w:cs="宋体"/>
          <w:b/>
          <w:bCs/>
          <w:color w:val="auto"/>
          <w:sz w:val="32"/>
          <w:szCs w:val="32"/>
          <w:highlight w:val="none"/>
          <w:lang w:eastAsia="zh-CN"/>
        </w:rPr>
      </w:pPr>
    </w:p>
    <w:p w14:paraId="492D5A93">
      <w:pPr>
        <w:adjustRightInd w:val="0"/>
        <w:snapToGrid w:val="0"/>
        <w:spacing w:line="500" w:lineRule="exact"/>
        <w:jc w:val="center"/>
        <w:rPr>
          <w:rFonts w:hint="eastAsia" w:ascii="宋体" w:hAnsi="宋体" w:cs="宋体"/>
          <w:b/>
          <w:bCs/>
          <w:color w:val="auto"/>
          <w:sz w:val="32"/>
          <w:szCs w:val="32"/>
          <w:highlight w:val="none"/>
        </w:rPr>
      </w:pPr>
    </w:p>
    <w:p w14:paraId="52D50BE2">
      <w:pPr>
        <w:adjustRightInd w:val="0"/>
        <w:snapToGrid w:val="0"/>
        <w:spacing w:line="500" w:lineRule="exact"/>
        <w:jc w:val="center"/>
        <w:rPr>
          <w:rFonts w:hint="eastAsia" w:ascii="宋体" w:hAnsi="宋体" w:cs="宋体"/>
          <w:b/>
          <w:bCs/>
          <w:color w:val="auto"/>
          <w:sz w:val="32"/>
          <w:szCs w:val="32"/>
          <w:highlight w:val="none"/>
        </w:rPr>
      </w:pPr>
    </w:p>
    <w:p w14:paraId="48CFB14F">
      <w:pPr>
        <w:adjustRightInd w:val="0"/>
        <w:snapToGrid w:val="0"/>
        <w:spacing w:line="50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第三部分  项目需求</w:t>
      </w:r>
    </w:p>
    <w:p w14:paraId="0AD38953">
      <w:pPr>
        <w:pageBreakBefore w:val="0"/>
        <w:kinsoku/>
        <w:wordWrap/>
        <w:overflowPunct/>
        <w:topLinePunct w:val="0"/>
        <w:bidi w:val="0"/>
        <w:snapToGrid w:val="0"/>
        <w:spacing w:line="536" w:lineRule="exact"/>
        <w:ind w:firstLine="562" w:firstLineChars="200"/>
        <w:rPr>
          <w:rFonts w:hint="eastAsia" w:ascii="仿宋_GB2312" w:hAnsi="仿宋_GB2312" w:eastAsia="仿宋_GB2312" w:cs="仿宋_GB2312"/>
          <w:b/>
          <w:bCs/>
          <w:color w:val="auto"/>
          <w:sz w:val="28"/>
          <w:szCs w:val="28"/>
          <w:highlight w:val="none"/>
        </w:rPr>
      </w:pPr>
      <w:bookmarkStart w:id="59" w:name="_Toc82505665"/>
      <w:r>
        <w:rPr>
          <w:rFonts w:hint="eastAsia" w:ascii="仿宋_GB2312" w:hAnsi="仿宋_GB2312" w:eastAsia="仿宋_GB2312" w:cs="仿宋_GB2312"/>
          <w:b/>
          <w:bCs/>
          <w:color w:val="auto"/>
          <w:sz w:val="28"/>
          <w:szCs w:val="28"/>
          <w:highlight w:val="none"/>
        </w:rPr>
        <w:t>项目属性：货物类项目</w:t>
      </w:r>
    </w:p>
    <w:p w14:paraId="31D6D4AD">
      <w:pPr>
        <w:pageBreakBefore w:val="0"/>
        <w:kinsoku/>
        <w:wordWrap/>
        <w:overflowPunct/>
        <w:topLinePunct w:val="0"/>
        <w:bidi w:val="0"/>
        <w:spacing w:line="536" w:lineRule="exact"/>
        <w:ind w:firstLine="562" w:firstLineChars="200"/>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采购需求包括拟采购的标的及其需要满足的技术、商务要求。</w:t>
      </w:r>
    </w:p>
    <w:p w14:paraId="1B5ED190">
      <w:pPr>
        <w:pageBreakBefore w:val="0"/>
        <w:kinsoku/>
        <w:wordWrap/>
        <w:overflowPunct/>
        <w:topLinePunct w:val="0"/>
        <w:bidi w:val="0"/>
        <w:spacing w:line="536" w:lineRule="exact"/>
        <w:ind w:firstLine="562" w:firstLineChars="200"/>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eastAsia="zh-CN"/>
        </w:rPr>
        <w:t>（一）</w:t>
      </w:r>
      <w:r>
        <w:rPr>
          <w:rFonts w:hint="eastAsia" w:ascii="仿宋_GB2312" w:hAnsi="仿宋_GB2312" w:eastAsia="仿宋_GB2312" w:cs="仿宋_GB2312"/>
          <w:b/>
          <w:bCs/>
          <w:color w:val="auto"/>
          <w:sz w:val="28"/>
          <w:szCs w:val="28"/>
          <w:highlight w:val="none"/>
        </w:rPr>
        <w:t>技术要求是指对采购标的功能和质量要求，包括性能、材料、结构、外观、安全，或者服务内容和标准等。</w:t>
      </w:r>
    </w:p>
    <w:p w14:paraId="0E593E99">
      <w:pPr>
        <w:pageBreakBefore w:val="0"/>
        <w:kinsoku/>
        <w:wordWrap/>
        <w:overflowPunct/>
        <w:topLinePunct w:val="0"/>
        <w:bidi w:val="0"/>
        <w:spacing w:line="536" w:lineRule="exact"/>
        <w:ind w:firstLine="562" w:firstLineChars="200"/>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总体要求：所有货物必须是全新产品，满足国家标准及行业规范要求。</w:t>
      </w:r>
    </w:p>
    <w:p w14:paraId="7E089EFC">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1、包1：中、微量元素肥：非水溶中量元素肥料（执行标准：NY/T 3830-2021，中量元素含量≥20%；外观颗粒，适宜经济作物）30.56吨（包装规格≤20千克/包），单价0.45万元/吨，金额13.752万元；微量元素水溶肥料（执行标准：NY 1428-2010，微量元素含量≥10.0%，外观：均匀、松散的固体）2.292吨，单价5万元/吨，金额11.46万元，总价25.212万元；</w:t>
      </w:r>
    </w:p>
    <w:p w14:paraId="5A23BF48">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（二）商务要求是指取得采购标的的时间、地点、财务和服务要求，包括交付（实施）的时间（期限）和地点（范围），付款条件（进度和方法），包装和运输，售后服务，保险等。</w:t>
      </w:r>
    </w:p>
    <w:p w14:paraId="7FBE08D8">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其内容包含但不限于以下内容：</w:t>
      </w:r>
    </w:p>
    <w:p w14:paraId="4D7CBCDA">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一、采购标的需实现的功能或者目标，以及为落实政府采购政策需满足的要求：</w:t>
      </w:r>
    </w:p>
    <w:p w14:paraId="75731EC2">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符合国家最新行业标准及采购人要求。</w:t>
      </w:r>
    </w:p>
    <w:p w14:paraId="256752A9">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二、采购标的需执行的国家相关标准、行业标准、地方标准或者其他标准、规范：</w:t>
      </w:r>
    </w:p>
    <w:p w14:paraId="5AD40D2E">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2.1响应产品的技术标准按国家标准执行，无国家标准的，按行业标准执行；无国家和行业标准的，按企业标准执行；但在采购文件中有特别要求的，按采购文件中规定的要求执行，并且符合相关</w:t>
      </w:r>
      <w:r>
        <w:rPr>
          <w:rFonts w:hint="eastAsia" w:ascii="仿宋_GB2312" w:hAnsi="仿宋_GB2312" w:eastAsia="仿宋_GB2312" w:cs="仿宋_GB2312"/>
          <w:color w:val="auto"/>
          <w:sz w:val="28"/>
          <w:szCs w:val="28"/>
          <w:highlight w:val="none"/>
          <w:lang w:eastAsia="zh-CN"/>
        </w:rPr>
        <w:t>法律法规</w:t>
      </w:r>
      <w:r>
        <w:rPr>
          <w:rFonts w:hint="eastAsia" w:ascii="仿宋_GB2312" w:hAnsi="仿宋_GB2312" w:eastAsia="仿宋_GB2312" w:cs="仿宋_GB2312"/>
          <w:color w:val="auto"/>
          <w:sz w:val="28"/>
          <w:szCs w:val="28"/>
          <w:highlight w:val="none"/>
        </w:rPr>
        <w:t>规定的要求。</w:t>
      </w:r>
    </w:p>
    <w:p w14:paraId="2C82F086">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2.2项目提供的技术要求</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规格</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只是对产品的一些原则性要求，并不是最详尽的描述和要求，响应供应商有责任依据相关设计技术规范和有关行业国家标准执行。</w:t>
      </w:r>
    </w:p>
    <w:p w14:paraId="428FA813">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2.3响应供应商应保证提供的产品不得侵犯第三方专利权、商标权和设计权、版权等。否则，响应供应商应负全部责任，并承担由此引起的一切后果。</w:t>
      </w:r>
    </w:p>
    <w:p w14:paraId="10894764">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三、采购标的需满足的质量、安全、技术规格、物理特性等要求：</w:t>
      </w:r>
    </w:p>
    <w:p w14:paraId="53BC9EC5">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3.1</w:t>
      </w:r>
      <w:r>
        <w:rPr>
          <w:rFonts w:hint="eastAsia" w:ascii="仿宋_GB2312" w:hAnsi="仿宋_GB2312" w:eastAsia="仿宋_GB2312" w:cs="仿宋_GB2312"/>
          <w:color w:val="auto"/>
          <w:sz w:val="28"/>
          <w:szCs w:val="28"/>
          <w:highlight w:val="none"/>
          <w:lang w:eastAsia="zh-CN"/>
        </w:rPr>
        <w:t>产品</w:t>
      </w:r>
      <w:r>
        <w:rPr>
          <w:rFonts w:hint="eastAsia" w:ascii="仿宋_GB2312" w:hAnsi="仿宋_GB2312" w:eastAsia="仿宋_GB2312" w:cs="仿宋_GB2312"/>
          <w:color w:val="auto"/>
          <w:sz w:val="28"/>
          <w:szCs w:val="28"/>
          <w:highlight w:val="none"/>
        </w:rPr>
        <w:t>生产日期：</w:t>
      </w:r>
      <w:r>
        <w:rPr>
          <w:rFonts w:hint="eastAsia" w:ascii="仿宋_GB2312" w:hAnsi="仿宋_GB2312" w:eastAsia="仿宋_GB2312" w:cs="仿宋_GB2312"/>
          <w:color w:val="auto"/>
          <w:sz w:val="28"/>
          <w:szCs w:val="28"/>
          <w:highlight w:val="none"/>
          <w:lang w:val="en-US" w:eastAsia="zh-CN"/>
        </w:rPr>
        <w:t>2025年8月以后</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包1生产日期以外包装喷码形式标注</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w:t>
      </w:r>
    </w:p>
    <w:p w14:paraId="375A9E31">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val="en-US" w:eastAsia="zh-CN"/>
        </w:rPr>
        <w:t>2</w:t>
      </w:r>
      <w:r>
        <w:rPr>
          <w:rFonts w:hint="eastAsia" w:ascii="仿宋_GB2312" w:hAnsi="仿宋_GB2312" w:eastAsia="仿宋_GB2312" w:cs="仿宋_GB2312"/>
          <w:color w:val="auto"/>
          <w:sz w:val="28"/>
          <w:szCs w:val="28"/>
          <w:highlight w:val="none"/>
        </w:rPr>
        <w:t>响应报价的风险因素。供应商报价时应充分考虑所有可能影响到报价的相关因素。响应供应商报价中包括完成</w:t>
      </w:r>
      <w:r>
        <w:rPr>
          <w:rFonts w:hint="eastAsia" w:ascii="仿宋_GB2312" w:hAnsi="仿宋_GB2312" w:eastAsia="仿宋_GB2312" w:cs="仿宋_GB2312"/>
          <w:color w:val="auto"/>
          <w:sz w:val="28"/>
          <w:szCs w:val="28"/>
          <w:highlight w:val="none"/>
          <w:lang w:eastAsia="zh-CN"/>
        </w:rPr>
        <w:t>本项</w:t>
      </w:r>
      <w:r>
        <w:rPr>
          <w:rFonts w:hint="eastAsia" w:ascii="仿宋_GB2312" w:hAnsi="仿宋_GB2312" w:eastAsia="仿宋_GB2312" w:cs="仿宋_GB2312"/>
          <w:color w:val="auto"/>
          <w:sz w:val="28"/>
          <w:szCs w:val="28"/>
          <w:highlight w:val="none"/>
        </w:rPr>
        <w:t>目所需的全部材料费、加工制作费、包装费、</w:t>
      </w:r>
      <w:r>
        <w:rPr>
          <w:rFonts w:hint="eastAsia" w:ascii="仿宋_GB2312" w:hAnsi="仿宋_GB2312" w:eastAsia="仿宋_GB2312" w:cs="仿宋_GB2312"/>
          <w:color w:val="auto"/>
          <w:sz w:val="28"/>
          <w:szCs w:val="28"/>
          <w:highlight w:val="none"/>
          <w:lang w:val="en-US" w:eastAsia="zh-CN"/>
        </w:rPr>
        <w:t>运输费、</w:t>
      </w:r>
      <w:r>
        <w:rPr>
          <w:rFonts w:hint="eastAsia" w:ascii="仿宋_GB2312" w:hAnsi="仿宋_GB2312" w:eastAsia="仿宋_GB2312" w:cs="仿宋_GB2312"/>
          <w:color w:val="auto"/>
          <w:sz w:val="28"/>
          <w:szCs w:val="28"/>
          <w:highlight w:val="none"/>
        </w:rPr>
        <w:t>运输保险费、</w:t>
      </w:r>
      <w:r>
        <w:rPr>
          <w:rFonts w:hint="eastAsia" w:ascii="仿宋_GB2312" w:hAnsi="仿宋_GB2312" w:eastAsia="仿宋_GB2312" w:cs="仿宋_GB2312"/>
          <w:color w:val="auto"/>
          <w:sz w:val="28"/>
          <w:szCs w:val="28"/>
          <w:highlight w:val="none"/>
          <w:lang w:val="en-US" w:eastAsia="zh-CN"/>
        </w:rPr>
        <w:t>分发费</w:t>
      </w:r>
      <w:r>
        <w:rPr>
          <w:rFonts w:hint="eastAsia" w:ascii="仿宋_GB2312" w:hAnsi="仿宋_GB2312" w:eastAsia="仿宋_GB2312" w:cs="仿宋_GB2312"/>
          <w:color w:val="auto"/>
          <w:sz w:val="28"/>
          <w:szCs w:val="28"/>
          <w:highlight w:val="none"/>
        </w:rPr>
        <w:t>、调试费</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安装费</w:t>
      </w:r>
      <w:r>
        <w:rPr>
          <w:rFonts w:hint="eastAsia" w:ascii="仿宋_GB2312" w:hAnsi="仿宋_GB2312" w:eastAsia="仿宋_GB2312" w:cs="仿宋_GB2312"/>
          <w:color w:val="auto"/>
          <w:sz w:val="28"/>
          <w:szCs w:val="28"/>
          <w:highlight w:val="none"/>
        </w:rPr>
        <w:t>、检测费、利润、税费、合同包含的所有风险、责任等及响应供应商认为需要的其他费用等，且该价格不因市场价格因素及政策性调整的变化而调整。响应供应商可以自行咨询、踏勘现场，充分了解现场任何影响响应报价之情况，根据现场情况考虑相应的运输、搬运等工作实际，并将相关费用考虑在报价中，任何忽视、猜测</w:t>
      </w:r>
      <w:r>
        <w:rPr>
          <w:rFonts w:hint="eastAsia" w:ascii="仿宋_GB2312" w:hAnsi="仿宋_GB2312" w:eastAsia="仿宋_GB2312" w:cs="仿宋_GB2312"/>
          <w:color w:val="auto"/>
          <w:sz w:val="28"/>
          <w:szCs w:val="28"/>
          <w:highlight w:val="none"/>
          <w:lang w:eastAsia="zh-CN"/>
        </w:rPr>
        <w:t>或</w:t>
      </w:r>
      <w:r>
        <w:rPr>
          <w:rFonts w:hint="eastAsia" w:ascii="仿宋_GB2312" w:hAnsi="仿宋_GB2312" w:eastAsia="仿宋_GB2312" w:cs="仿宋_GB2312"/>
          <w:color w:val="auto"/>
          <w:sz w:val="28"/>
          <w:szCs w:val="28"/>
          <w:highlight w:val="none"/>
        </w:rPr>
        <w:t>误解现场情况而导致的成本增加或工期延长等，采购人一律不予认可。</w:t>
      </w:r>
    </w:p>
    <w:p w14:paraId="3EFC73C0">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color w:val="auto"/>
          <w:sz w:val="28"/>
          <w:szCs w:val="28"/>
          <w:highlight w:val="none"/>
        </w:rPr>
        <w:t xml:space="preserve">四、采购标的的采购项目交付或者实施的时间和地点： </w:t>
      </w:r>
    </w:p>
    <w:p w14:paraId="15FA3807">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w:t>
      </w:r>
      <w:r>
        <w:rPr>
          <w:rFonts w:hint="eastAsia" w:ascii="仿宋_GB2312" w:hAnsi="仿宋_GB2312" w:eastAsia="仿宋_GB2312" w:cs="仿宋_GB2312"/>
          <w:color w:val="auto"/>
          <w:sz w:val="28"/>
          <w:szCs w:val="28"/>
          <w:highlight w:val="none"/>
          <w:lang w:val="en-US" w:eastAsia="zh-CN"/>
        </w:rPr>
        <w:t>1</w:t>
      </w:r>
      <w:r>
        <w:rPr>
          <w:rFonts w:hint="eastAsia" w:ascii="仿宋_GB2312" w:hAnsi="仿宋_GB2312" w:eastAsia="仿宋_GB2312" w:cs="仿宋_GB2312"/>
          <w:color w:val="auto"/>
          <w:sz w:val="28"/>
          <w:szCs w:val="28"/>
          <w:highlight w:val="none"/>
        </w:rPr>
        <w:t>供货周期：合同签订后，根据采购人需求发放到户。</w:t>
      </w:r>
    </w:p>
    <w:p w14:paraId="273FA760">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w:t>
      </w:r>
      <w:r>
        <w:rPr>
          <w:rFonts w:hint="eastAsia" w:ascii="仿宋_GB2312" w:hAnsi="仿宋_GB2312" w:eastAsia="仿宋_GB2312" w:cs="仿宋_GB2312"/>
          <w:color w:val="auto"/>
          <w:sz w:val="28"/>
          <w:szCs w:val="28"/>
          <w:highlight w:val="none"/>
          <w:lang w:val="en-US" w:eastAsia="zh-CN"/>
        </w:rPr>
        <w:t>2</w:t>
      </w:r>
      <w:r>
        <w:rPr>
          <w:rFonts w:hint="eastAsia" w:ascii="仿宋_GB2312" w:hAnsi="仿宋_GB2312" w:eastAsia="仿宋_GB2312" w:cs="仿宋_GB2312"/>
          <w:color w:val="auto"/>
          <w:sz w:val="28"/>
          <w:szCs w:val="28"/>
          <w:highlight w:val="none"/>
        </w:rPr>
        <w:t>交货地点：送货</w:t>
      </w:r>
      <w:r>
        <w:rPr>
          <w:rFonts w:hint="eastAsia" w:ascii="仿宋_GB2312" w:hAnsi="仿宋_GB2312" w:eastAsia="仿宋_GB2312" w:cs="仿宋_GB2312"/>
          <w:color w:val="auto"/>
          <w:sz w:val="28"/>
          <w:szCs w:val="28"/>
          <w:highlight w:val="none"/>
          <w:lang w:val="en-US" w:eastAsia="zh-CN"/>
        </w:rPr>
        <w:t>到户</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14个区镇街道</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按采购方提供的发放名册及时发放到户（收货农户必须全部签字确认）</w:t>
      </w:r>
      <w:r>
        <w:rPr>
          <w:rFonts w:hint="eastAsia" w:ascii="仿宋_GB2312" w:hAnsi="仿宋_GB2312" w:eastAsia="仿宋_GB2312" w:cs="仿宋_GB2312"/>
          <w:color w:val="auto"/>
          <w:sz w:val="28"/>
          <w:szCs w:val="28"/>
          <w:highlight w:val="none"/>
        </w:rPr>
        <w:t>。</w:t>
      </w:r>
    </w:p>
    <w:p w14:paraId="6009477B">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五、采购标的需满足的服务标准、期限、效率等要求： </w:t>
      </w:r>
    </w:p>
    <w:p w14:paraId="73C85750">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5.1响应供应商应保证货物是全新、未使用过的合格产品，并完全符合响应文件的质量、规格和参数的要求。</w:t>
      </w:r>
    </w:p>
    <w:p w14:paraId="7AB5B28A">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5.2响应供应商应保证其货物在正常使用下，在其使用寿命期内应具有满意的性能。</w:t>
      </w:r>
    </w:p>
    <w:p w14:paraId="4648D8BB">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5.3响应供应商应采取必要的安全措施保证货物的运输及</w:t>
      </w:r>
      <w:r>
        <w:rPr>
          <w:rFonts w:hint="eastAsia" w:ascii="仿宋_GB2312" w:hAnsi="仿宋_GB2312" w:eastAsia="仿宋_GB2312" w:cs="仿宋_GB2312"/>
          <w:color w:val="auto"/>
          <w:sz w:val="28"/>
          <w:szCs w:val="28"/>
          <w:highlight w:val="none"/>
          <w:lang w:val="en-US" w:eastAsia="zh-CN"/>
        </w:rPr>
        <w:t>分发</w:t>
      </w:r>
      <w:r>
        <w:rPr>
          <w:rFonts w:hint="eastAsia" w:ascii="仿宋_GB2312" w:hAnsi="仿宋_GB2312" w:eastAsia="仿宋_GB2312" w:cs="仿宋_GB2312"/>
          <w:color w:val="auto"/>
          <w:sz w:val="28"/>
          <w:szCs w:val="28"/>
          <w:highlight w:val="none"/>
        </w:rPr>
        <w:t>的安全，并承担货物的运输及</w:t>
      </w:r>
      <w:r>
        <w:rPr>
          <w:rFonts w:hint="eastAsia" w:ascii="仿宋_GB2312" w:hAnsi="仿宋_GB2312" w:eastAsia="仿宋_GB2312" w:cs="仿宋_GB2312"/>
          <w:color w:val="auto"/>
          <w:sz w:val="28"/>
          <w:szCs w:val="28"/>
          <w:highlight w:val="none"/>
          <w:lang w:val="en-US" w:eastAsia="zh-CN"/>
        </w:rPr>
        <w:t>分发</w:t>
      </w:r>
      <w:r>
        <w:rPr>
          <w:rFonts w:hint="eastAsia" w:ascii="仿宋_GB2312" w:hAnsi="仿宋_GB2312" w:eastAsia="仿宋_GB2312" w:cs="仿宋_GB2312"/>
          <w:color w:val="auto"/>
          <w:sz w:val="28"/>
          <w:szCs w:val="28"/>
          <w:highlight w:val="none"/>
        </w:rPr>
        <w:t>过程中产生的风险。</w:t>
      </w:r>
    </w:p>
    <w:p w14:paraId="03AEF58D">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5.4响应供应商可以先到现场踏勘以充分了解位置、道路、储存空间、装卸限制及任何其它足以影响响应报价的情况，任何因忽视或误解工地情况而导致的索赔或供货期延长申请将不获批准，由此发生的任何费用由响应供应商自理。</w:t>
      </w:r>
    </w:p>
    <w:p w14:paraId="6290FCC9">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5.5产品必须从厂家生产完毕，不得在现场制作。</w:t>
      </w:r>
    </w:p>
    <w:p w14:paraId="15F3292B">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5.6成交人提供的所有货物必须满足采购文件要求，须与分项报价明细表注明的材料品牌、规格型号、价格等相符，否则成交人承担违约责任。货物到货后，需报采购人后方可进场，对于不合格的货物严禁使用到本项目，否则一切损失及后果由成交人自行承担。</w:t>
      </w:r>
    </w:p>
    <w:p w14:paraId="31173076">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六、采购标的的验收标准：</w:t>
      </w:r>
    </w:p>
    <w:p w14:paraId="6376B304">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6.1在接到供应商以书面形式提出验收申请后，在5个工作日内及时组织相关专业技术人员，按国家制造的标准要求执行，必要时邀请</w:t>
      </w:r>
      <w:r>
        <w:rPr>
          <w:rFonts w:hint="eastAsia" w:ascii="仿宋_GB2312" w:hAnsi="仿宋_GB2312" w:eastAsia="仿宋_GB2312" w:cs="仿宋_GB2312"/>
          <w:color w:val="auto"/>
          <w:sz w:val="28"/>
          <w:szCs w:val="28"/>
          <w:highlight w:val="none"/>
          <w:lang w:val="en-US" w:eastAsia="zh-CN"/>
        </w:rPr>
        <w:t>相关</w:t>
      </w:r>
      <w:r>
        <w:rPr>
          <w:rFonts w:hint="eastAsia" w:ascii="仿宋_GB2312" w:hAnsi="仿宋_GB2312" w:eastAsia="仿宋_GB2312" w:cs="仿宋_GB2312"/>
          <w:color w:val="auto"/>
          <w:sz w:val="28"/>
          <w:szCs w:val="28"/>
          <w:highlight w:val="none"/>
        </w:rPr>
        <w:t>部门共同参与验收，并出具验收报告，作为支付货款的依据。</w:t>
      </w:r>
    </w:p>
    <w:p w14:paraId="7790D4A0">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6.2所供产品交付使用时，供应商必须向需方提供产品说明书、质量保证书、保修卡、该批次产品出厂检测报告等必须具备的相关资料和必备的附件。</w:t>
      </w:r>
    </w:p>
    <w:p w14:paraId="4F7AFF27">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6.3成交人必须负责所采购产品的运输，并派有经验的技术人员到现场进行卸货，</w:t>
      </w:r>
      <w:r>
        <w:rPr>
          <w:rFonts w:hint="eastAsia" w:ascii="仿宋_GB2312" w:hAnsi="仿宋_GB2312" w:eastAsia="仿宋_GB2312" w:cs="仿宋_GB2312"/>
          <w:color w:val="auto"/>
          <w:sz w:val="28"/>
          <w:szCs w:val="28"/>
          <w:highlight w:val="none"/>
          <w:lang w:eastAsia="zh-CN"/>
        </w:rPr>
        <w:t>根据采购人需求安排专业技术人员做产品使用说明介绍</w:t>
      </w:r>
      <w:r>
        <w:rPr>
          <w:rFonts w:hint="eastAsia" w:ascii="仿宋_GB2312" w:hAnsi="仿宋_GB2312" w:eastAsia="仿宋_GB2312" w:cs="仿宋_GB2312"/>
          <w:color w:val="auto"/>
          <w:sz w:val="28"/>
          <w:szCs w:val="28"/>
          <w:highlight w:val="none"/>
        </w:rPr>
        <w:t>，其费用由成交人承担，包含在报价中。</w:t>
      </w:r>
    </w:p>
    <w:p w14:paraId="6A012FFA">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七、采购标的的其他技术、服务等要求：</w:t>
      </w:r>
    </w:p>
    <w:p w14:paraId="0431F422">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7.1</w:t>
      </w:r>
      <w:r>
        <w:rPr>
          <w:rFonts w:hint="eastAsia" w:ascii="仿宋_GB2312" w:hAnsi="仿宋_GB2312" w:eastAsia="仿宋_GB2312" w:cs="仿宋_GB2312"/>
          <w:color w:val="auto"/>
          <w:sz w:val="28"/>
          <w:szCs w:val="28"/>
          <w:highlight w:val="none"/>
          <w:lang w:val="en-US" w:eastAsia="zh-CN"/>
        </w:rPr>
        <w:t>本项目</w:t>
      </w:r>
      <w:r>
        <w:rPr>
          <w:rFonts w:hint="eastAsia" w:ascii="仿宋_GB2312" w:hAnsi="仿宋_GB2312" w:eastAsia="仿宋_GB2312" w:cs="仿宋_GB2312"/>
          <w:color w:val="auto"/>
          <w:sz w:val="28"/>
          <w:szCs w:val="28"/>
          <w:highlight w:val="none"/>
        </w:rPr>
        <w:t>所提供货物产品质量相关指标都必须符合国家相关标准，必须满足本次采购的要求。</w:t>
      </w:r>
    </w:p>
    <w:p w14:paraId="7023929A">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特别说明：采购人</w:t>
      </w:r>
      <w:r>
        <w:rPr>
          <w:rFonts w:hint="eastAsia" w:ascii="仿宋_GB2312" w:hAnsi="仿宋_GB2312" w:eastAsia="仿宋_GB2312" w:cs="仿宋_GB2312"/>
          <w:color w:val="auto"/>
          <w:sz w:val="28"/>
          <w:szCs w:val="28"/>
          <w:highlight w:val="none"/>
          <w:lang w:val="en-US" w:eastAsia="zh-CN"/>
        </w:rPr>
        <w:t>将</w:t>
      </w:r>
      <w:r>
        <w:rPr>
          <w:rFonts w:hint="eastAsia" w:ascii="仿宋_GB2312" w:hAnsi="仿宋_GB2312" w:eastAsia="仿宋_GB2312" w:cs="仿宋_GB2312"/>
          <w:color w:val="auto"/>
          <w:sz w:val="28"/>
          <w:szCs w:val="28"/>
          <w:highlight w:val="none"/>
        </w:rPr>
        <w:t>对</w:t>
      </w:r>
      <w:r>
        <w:rPr>
          <w:rFonts w:hint="eastAsia" w:ascii="仿宋_GB2312" w:hAnsi="仿宋_GB2312" w:eastAsia="仿宋_GB2312" w:cs="仿宋_GB2312"/>
          <w:color w:val="auto"/>
          <w:sz w:val="28"/>
          <w:szCs w:val="28"/>
          <w:highlight w:val="none"/>
          <w:lang w:val="en-US" w:eastAsia="zh-CN"/>
        </w:rPr>
        <w:t>成交人</w:t>
      </w:r>
      <w:r>
        <w:rPr>
          <w:rFonts w:hint="eastAsia" w:ascii="仿宋_GB2312" w:hAnsi="仿宋_GB2312" w:eastAsia="仿宋_GB2312" w:cs="仿宋_GB2312"/>
          <w:color w:val="auto"/>
          <w:sz w:val="28"/>
          <w:szCs w:val="28"/>
          <w:highlight w:val="none"/>
        </w:rPr>
        <w:t>所供货物进行随机抽样检测</w:t>
      </w:r>
      <w:r>
        <w:rPr>
          <w:rFonts w:hint="eastAsia" w:ascii="仿宋_GB2312" w:hAnsi="仿宋_GB2312" w:eastAsia="仿宋_GB2312" w:cs="仿宋_GB2312"/>
          <w:color w:val="auto"/>
          <w:sz w:val="28"/>
          <w:szCs w:val="28"/>
          <w:highlight w:val="none"/>
          <w:lang w:eastAsia="zh-CN"/>
        </w:rPr>
        <w:t>和取样留存（留样地点由采购人确定）</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抽样检测费用由</w:t>
      </w:r>
      <w:r>
        <w:rPr>
          <w:rFonts w:hint="eastAsia" w:ascii="仿宋_GB2312" w:hAnsi="仿宋_GB2312" w:eastAsia="仿宋_GB2312" w:cs="仿宋_GB2312"/>
          <w:color w:val="auto"/>
          <w:sz w:val="28"/>
          <w:szCs w:val="28"/>
          <w:highlight w:val="none"/>
          <w:lang w:val="en-US" w:eastAsia="zh-CN"/>
        </w:rPr>
        <w:t>成交人</w:t>
      </w:r>
      <w:r>
        <w:rPr>
          <w:rFonts w:hint="eastAsia" w:ascii="仿宋_GB2312" w:hAnsi="仿宋_GB2312" w:eastAsia="仿宋_GB2312" w:cs="仿宋_GB2312"/>
          <w:color w:val="auto"/>
          <w:sz w:val="28"/>
          <w:szCs w:val="28"/>
          <w:highlight w:val="none"/>
          <w:lang w:eastAsia="zh-CN"/>
        </w:rPr>
        <w:t>承担</w:t>
      </w:r>
      <w:r>
        <w:rPr>
          <w:rFonts w:hint="eastAsia" w:ascii="仿宋_GB2312" w:hAnsi="仿宋_GB2312" w:eastAsia="仿宋_GB2312" w:cs="仿宋_GB2312"/>
          <w:color w:val="auto"/>
          <w:sz w:val="28"/>
          <w:szCs w:val="28"/>
          <w:highlight w:val="none"/>
        </w:rPr>
        <w:t>。如产品质量不合格（不符合采购要求和国家相关标准），</w:t>
      </w:r>
      <w:r>
        <w:rPr>
          <w:rFonts w:hint="eastAsia" w:ascii="仿宋_GB2312" w:hAnsi="仿宋_GB2312" w:eastAsia="仿宋_GB2312" w:cs="仿宋_GB2312"/>
          <w:color w:val="auto"/>
          <w:sz w:val="28"/>
          <w:szCs w:val="28"/>
          <w:highlight w:val="none"/>
          <w:lang w:eastAsia="zh-CN"/>
        </w:rPr>
        <w:t>采购人有权中止合同，</w:t>
      </w:r>
      <w:r>
        <w:rPr>
          <w:rFonts w:hint="eastAsia" w:ascii="仿宋_GB2312" w:hAnsi="仿宋_GB2312" w:eastAsia="仿宋_GB2312" w:cs="仿宋_GB2312"/>
          <w:color w:val="auto"/>
          <w:sz w:val="28"/>
          <w:szCs w:val="28"/>
          <w:highlight w:val="none"/>
        </w:rPr>
        <w:t>造成的损失和后果由</w:t>
      </w:r>
      <w:r>
        <w:rPr>
          <w:rFonts w:hint="eastAsia" w:ascii="仿宋_GB2312" w:hAnsi="仿宋_GB2312" w:eastAsia="仿宋_GB2312" w:cs="仿宋_GB2312"/>
          <w:color w:val="auto"/>
          <w:sz w:val="28"/>
          <w:szCs w:val="28"/>
          <w:highlight w:val="none"/>
          <w:lang w:val="en-US" w:eastAsia="zh-CN"/>
        </w:rPr>
        <w:t>成交人</w:t>
      </w:r>
      <w:r>
        <w:rPr>
          <w:rFonts w:hint="eastAsia" w:ascii="仿宋_GB2312" w:hAnsi="仿宋_GB2312" w:eastAsia="仿宋_GB2312" w:cs="仿宋_GB2312"/>
          <w:color w:val="auto"/>
          <w:sz w:val="28"/>
          <w:szCs w:val="28"/>
          <w:highlight w:val="none"/>
        </w:rPr>
        <w:t>负全责</w:t>
      </w:r>
      <w:r>
        <w:rPr>
          <w:rFonts w:hint="eastAsia" w:ascii="仿宋_GB2312" w:hAnsi="仿宋_GB2312" w:eastAsia="仿宋_GB2312" w:cs="仿宋_GB2312"/>
          <w:color w:val="auto"/>
          <w:sz w:val="28"/>
          <w:szCs w:val="28"/>
          <w:highlight w:val="none"/>
          <w:lang w:eastAsia="zh-CN"/>
        </w:rPr>
        <w:t>，成交人自收到检测报告</w:t>
      </w:r>
      <w:r>
        <w:rPr>
          <w:rFonts w:hint="eastAsia" w:ascii="仿宋_GB2312" w:hAnsi="仿宋_GB2312" w:eastAsia="仿宋_GB2312" w:cs="仿宋_GB2312"/>
          <w:color w:val="auto"/>
          <w:sz w:val="28"/>
          <w:szCs w:val="28"/>
          <w:highlight w:val="none"/>
          <w:lang w:val="en-US" w:eastAsia="zh-CN"/>
        </w:rPr>
        <w:t>30天内</w:t>
      </w:r>
      <w:r>
        <w:rPr>
          <w:rFonts w:hint="eastAsia" w:ascii="仿宋_GB2312" w:hAnsi="仿宋_GB2312" w:eastAsia="仿宋_GB2312" w:cs="仿宋_GB2312"/>
          <w:color w:val="auto"/>
          <w:sz w:val="28"/>
          <w:szCs w:val="28"/>
          <w:highlight w:val="none"/>
          <w:lang w:eastAsia="zh-CN"/>
        </w:rPr>
        <w:t>如数退还已付款项。</w:t>
      </w:r>
      <w:r>
        <w:rPr>
          <w:rFonts w:hint="eastAsia" w:ascii="仿宋_GB2312" w:hAnsi="仿宋_GB2312" w:eastAsia="仿宋_GB2312" w:cs="仿宋_GB2312"/>
          <w:color w:val="auto"/>
          <w:sz w:val="28"/>
          <w:szCs w:val="28"/>
          <w:highlight w:val="none"/>
        </w:rPr>
        <w:t>如在农户使用过程中反映产品有质量问题，</w:t>
      </w:r>
      <w:r>
        <w:rPr>
          <w:rFonts w:hint="eastAsia" w:ascii="仿宋_GB2312" w:hAnsi="仿宋_GB2312" w:eastAsia="仿宋_GB2312" w:cs="仿宋_GB2312"/>
          <w:color w:val="auto"/>
          <w:sz w:val="28"/>
          <w:szCs w:val="28"/>
          <w:highlight w:val="none"/>
          <w:lang w:eastAsia="zh-CN"/>
        </w:rPr>
        <w:t>可对留样产品或农户使用产品</w:t>
      </w:r>
      <w:r>
        <w:rPr>
          <w:rFonts w:hint="eastAsia" w:ascii="仿宋_GB2312" w:hAnsi="仿宋_GB2312" w:eastAsia="仿宋_GB2312" w:cs="仿宋_GB2312"/>
          <w:color w:val="auto"/>
          <w:sz w:val="28"/>
          <w:szCs w:val="28"/>
          <w:highlight w:val="none"/>
        </w:rPr>
        <w:t>进行复检，复检的费用由</w:t>
      </w:r>
      <w:r>
        <w:rPr>
          <w:rFonts w:hint="eastAsia" w:ascii="仿宋_GB2312" w:hAnsi="仿宋_GB2312" w:eastAsia="仿宋_GB2312" w:cs="仿宋_GB2312"/>
          <w:color w:val="auto"/>
          <w:sz w:val="28"/>
          <w:szCs w:val="28"/>
          <w:highlight w:val="none"/>
          <w:lang w:val="en-US" w:eastAsia="zh-CN"/>
        </w:rPr>
        <w:t>成交人</w:t>
      </w:r>
      <w:r>
        <w:rPr>
          <w:rFonts w:hint="eastAsia" w:ascii="仿宋_GB2312" w:hAnsi="仿宋_GB2312" w:eastAsia="仿宋_GB2312" w:cs="仿宋_GB2312"/>
          <w:color w:val="auto"/>
          <w:sz w:val="28"/>
          <w:szCs w:val="28"/>
          <w:highlight w:val="none"/>
        </w:rPr>
        <w:t>承担</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对于发生的舆情和负面影响将由供应商负责并尽快消除</w:t>
      </w:r>
      <w:r>
        <w:rPr>
          <w:rFonts w:hint="eastAsia" w:ascii="仿宋_GB2312" w:hAnsi="仿宋_GB2312" w:eastAsia="仿宋_GB2312" w:cs="仿宋_GB2312"/>
          <w:color w:val="auto"/>
          <w:sz w:val="28"/>
          <w:szCs w:val="28"/>
          <w:highlight w:val="none"/>
          <w:lang w:eastAsia="zh-CN"/>
        </w:rPr>
        <w:t>。</w:t>
      </w:r>
    </w:p>
    <w:p w14:paraId="03BCA5C0">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default" w:ascii="仿宋_GB2312" w:hAnsi="仿宋_GB2312" w:eastAsia="仿宋_GB2312" w:cs="仿宋_GB2312"/>
          <w:color w:val="auto"/>
          <w:sz w:val="28"/>
          <w:szCs w:val="28"/>
          <w:highlight w:val="none"/>
          <w:lang w:val="en-US"/>
        </w:rPr>
      </w:pPr>
      <w:r>
        <w:rPr>
          <w:rFonts w:hint="eastAsia" w:ascii="仿宋_GB2312" w:hAnsi="仿宋_GB2312" w:eastAsia="仿宋_GB2312" w:cs="仿宋_GB2312"/>
          <w:color w:val="auto"/>
          <w:sz w:val="28"/>
          <w:szCs w:val="28"/>
          <w:highlight w:val="none"/>
          <w:lang w:val="en-US" w:eastAsia="zh-CN"/>
        </w:rPr>
        <w:t>成交人</w:t>
      </w:r>
      <w:r>
        <w:rPr>
          <w:rFonts w:hint="eastAsia" w:ascii="仿宋_GB2312" w:hAnsi="仿宋_GB2312" w:eastAsia="仿宋_GB2312" w:cs="仿宋_GB2312"/>
          <w:color w:val="auto"/>
          <w:sz w:val="28"/>
          <w:szCs w:val="28"/>
          <w:highlight w:val="none"/>
        </w:rPr>
        <w:t>应根据采购人项目实施进度安排，负责送货发放等后续工作，所有费用由成交人承担，报价时综合考虑</w:t>
      </w:r>
      <w:r>
        <w:rPr>
          <w:rFonts w:hint="eastAsia" w:ascii="仿宋_GB2312" w:hAnsi="仿宋_GB2312" w:eastAsia="仿宋_GB2312" w:cs="仿宋_GB2312"/>
          <w:color w:val="auto"/>
          <w:sz w:val="28"/>
          <w:szCs w:val="28"/>
          <w:highlight w:val="none"/>
          <w:lang w:val="en-US" w:eastAsia="zh-CN"/>
        </w:rPr>
        <w:t>。</w:t>
      </w:r>
    </w:p>
    <w:p w14:paraId="4044705B">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7.2包装要求： </w:t>
      </w:r>
    </w:p>
    <w:p w14:paraId="2E6122C3">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7.2.1商品包装环保要求：应当按《关于印发〈商品包装政府采购需求标准（试行）〉、〈快递包装政府采购需求标准（试行）〉的通知》（财办库〔2020〕123号）文件执行。</w:t>
      </w:r>
    </w:p>
    <w:p w14:paraId="475DFA0A">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（1）商品包装层数不得超过3层，空隙率不大于40%；</w:t>
      </w:r>
    </w:p>
    <w:p w14:paraId="10D1CFC3">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（2）商品包装尽可能使用单一材质的包装材料，如因功能需求</w:t>
      </w:r>
      <w:r>
        <w:rPr>
          <w:rFonts w:hint="eastAsia" w:ascii="仿宋_GB2312" w:hAnsi="仿宋_GB2312" w:eastAsia="仿宋_GB2312" w:cs="仿宋_GB2312"/>
          <w:color w:val="auto"/>
          <w:sz w:val="28"/>
          <w:szCs w:val="28"/>
          <w:highlight w:val="none"/>
          <w:lang w:eastAsia="zh-CN"/>
        </w:rPr>
        <w:t>必须</w:t>
      </w:r>
      <w:r>
        <w:rPr>
          <w:rFonts w:hint="eastAsia" w:ascii="仿宋_GB2312" w:hAnsi="仿宋_GB2312" w:eastAsia="仿宋_GB2312" w:cs="仿宋_GB2312"/>
          <w:color w:val="auto"/>
          <w:sz w:val="28"/>
          <w:szCs w:val="28"/>
          <w:highlight w:val="none"/>
        </w:rPr>
        <w:t>使用不同材质，不同材质间应便于分离；</w:t>
      </w:r>
    </w:p>
    <w:p w14:paraId="759A5B5B">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（3）商品包装中铅、汞、镉、六价铬的总含量应不大于100mg/kg；</w:t>
      </w:r>
    </w:p>
    <w:p w14:paraId="431A54EF">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（4）商品包装印刷使用的油墨中挥发性有机化合物</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VOCs</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含量应不大于5%（以重量计）；</w:t>
      </w:r>
    </w:p>
    <w:p w14:paraId="3FDD5DC2">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（5）塑料材质商品包装上呈现的印刷颜色不得超过6色；</w:t>
      </w:r>
    </w:p>
    <w:p w14:paraId="71D0BE21">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（6）纸质商品包装应使用75%以上的可再生纤维原料生产；</w:t>
      </w:r>
    </w:p>
    <w:p w14:paraId="019FC45A">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（7）木质商品包装的原料应来源于可持续性森林。</w:t>
      </w:r>
    </w:p>
    <w:p w14:paraId="46B5BC4F">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7.2.2快递包装环保要求：</w:t>
      </w:r>
    </w:p>
    <w:p w14:paraId="5B11D84F">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（1）快递包装中重金属（铅、汞、镉、六价铬）总量应不大于100mg/kg；</w:t>
      </w:r>
    </w:p>
    <w:p w14:paraId="1B0AD08C">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（2）快递包装印刷使用的油墨中不应添加邻苯二甲酸酯，其挥发性有机化合物</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VOCs</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含量应不大于5%（以重量计）；</w:t>
      </w:r>
    </w:p>
    <w:p w14:paraId="61E09605">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（3）快递包装中使用纸基材的包装材料，纸基材中的有机氯的含量应不大于150mg/kg；</w:t>
      </w:r>
    </w:p>
    <w:p w14:paraId="6985F897">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（4）快递包装中使用塑料基材的包装材料不得使用邻苯二甲酸二异壬酯、邻苯二甲酸二正辛酯、邻苯二甲酸二</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2-乙基</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己酯、邻苯二甲酸二异癸酯、邻苯二甲酸丁基苄基酯、邻苯二甲酸二丁酯等作为增塑剂；</w:t>
      </w:r>
    </w:p>
    <w:p w14:paraId="37347815">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（5）快递中使用的塑料包装袋不得使用聚氯乙烯作为原料，且原料应为单一材质制成，生物分解率大于60%；</w:t>
      </w:r>
    </w:p>
    <w:p w14:paraId="5D8F46A8">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（6）快递中使用的充气类填充物不得使用聚氯乙烯作为原料，且原料为单一材质制成，生物分解率大于60%；</w:t>
      </w:r>
    </w:p>
    <w:p w14:paraId="43ABB99A">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（7）快递中使用的集装袋应为单一材质制成，其重复使用次数应不小于80次；</w:t>
      </w:r>
    </w:p>
    <w:p w14:paraId="0871FEF9">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（8）快递中应使用幅宽不大于45mm的生物降解胶带；</w:t>
      </w:r>
    </w:p>
    <w:p w14:paraId="4A5B3CA4">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（9）快递包装中不得使用溶剂型胶粘剂；</w:t>
      </w:r>
    </w:p>
    <w:p w14:paraId="52231B95">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（11）快递应使用电子面单；</w:t>
      </w:r>
    </w:p>
    <w:p w14:paraId="43599646">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（12）直接使用商品包装作为快递包装的商品，其商品包装满足《商品包装政府采购需求标准（试行）》即可；</w:t>
      </w:r>
    </w:p>
    <w:p w14:paraId="7D96FE7F">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（13）快递包装产品质量和封装方式应符合相关国家或行业标准技术指标要求。</w:t>
      </w:r>
    </w:p>
    <w:p w14:paraId="148B4768">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7.3绿色数据中心</w:t>
      </w:r>
    </w:p>
    <w:p w14:paraId="0267D379">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7956F5FB">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3304EC3">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7.6绿色低碳管理目标和服务要求：在物业、合同能源管理等服务类采购项目需求中，要强化绿色低碳管理目标和服务要求，促进绿色产品和服务推广应用。</w:t>
      </w:r>
    </w:p>
    <w:p w14:paraId="5E788954">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color w:val="auto"/>
          <w:sz w:val="28"/>
          <w:szCs w:val="28"/>
          <w:highlight w:val="none"/>
        </w:rPr>
        <w:t>八、（1）非单一产品采购项目，采购标的中的核心产品：</w:t>
      </w:r>
    </w:p>
    <w:p w14:paraId="1EBE251C">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海安市</w:t>
      </w:r>
      <w:r>
        <w:rPr>
          <w:rFonts w:hint="eastAsia" w:ascii="仿宋" w:hAnsi="仿宋" w:eastAsia="仿宋"/>
          <w:color w:val="auto"/>
          <w:sz w:val="28"/>
          <w:szCs w:val="28"/>
          <w:highlight w:val="none"/>
          <w:lang w:val="en-US" w:eastAsia="zh-CN"/>
        </w:rPr>
        <w:t>2025年中央粮油生产保障专项-海安市蔬菜提质增效推进县项目物化补助采购</w:t>
      </w:r>
    </w:p>
    <w:p w14:paraId="321F051E">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（2）本项目的主要标的：</w:t>
      </w:r>
    </w:p>
    <w:p w14:paraId="1C24829F">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海安市</w:t>
      </w:r>
      <w:r>
        <w:rPr>
          <w:rFonts w:hint="eastAsia" w:ascii="仿宋" w:hAnsi="仿宋" w:eastAsia="仿宋"/>
          <w:color w:val="auto"/>
          <w:sz w:val="28"/>
          <w:szCs w:val="28"/>
          <w:highlight w:val="none"/>
          <w:lang w:val="en-US" w:eastAsia="zh-CN"/>
        </w:rPr>
        <w:t>2025年中央粮油生产保障专项-海安市蔬菜提质增效推进县项目物化补助采购</w:t>
      </w:r>
    </w:p>
    <w:p w14:paraId="1AD64B40">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val="en-US" w:eastAsia="zh-CN"/>
        </w:rPr>
        <w:t>九</w:t>
      </w:r>
      <w:r>
        <w:rPr>
          <w:rFonts w:hint="eastAsia" w:ascii="仿宋_GB2312" w:hAnsi="仿宋_GB2312" w:eastAsia="仿宋_GB2312" w:cs="仿宋_GB2312"/>
          <w:b/>
          <w:color w:val="auto"/>
          <w:sz w:val="28"/>
          <w:szCs w:val="28"/>
          <w:highlight w:val="none"/>
        </w:rPr>
        <w:t>、付款方式</w:t>
      </w:r>
    </w:p>
    <w:p w14:paraId="04E19DF7">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签订合同后预付至合同价的30%，供应商按照合同将产品送货至指定的种植户，经</w:t>
      </w:r>
      <w:r>
        <w:rPr>
          <w:rFonts w:hint="eastAsia" w:ascii="仿宋_GB2312" w:hAnsi="仿宋_GB2312" w:eastAsia="仿宋_GB2312" w:cs="仿宋_GB2312"/>
          <w:color w:val="auto"/>
          <w:sz w:val="28"/>
          <w:szCs w:val="28"/>
          <w:highlight w:val="none"/>
          <w:lang w:eastAsia="zh-CN"/>
        </w:rPr>
        <w:t>采购</w:t>
      </w:r>
      <w:r>
        <w:rPr>
          <w:rFonts w:hint="eastAsia" w:ascii="仿宋_GB2312" w:hAnsi="仿宋_GB2312" w:eastAsia="仿宋_GB2312" w:cs="仿宋_GB2312"/>
          <w:color w:val="auto"/>
          <w:sz w:val="28"/>
          <w:szCs w:val="28"/>
          <w:highlight w:val="none"/>
        </w:rPr>
        <w:t>验收合格后一次性结清</w:t>
      </w:r>
      <w:r>
        <w:rPr>
          <w:rFonts w:hint="eastAsia" w:ascii="仿宋_GB2312" w:hAnsi="仿宋_GB2312" w:eastAsia="仿宋_GB2312" w:cs="仿宋_GB2312"/>
          <w:color w:val="auto"/>
          <w:sz w:val="28"/>
          <w:szCs w:val="28"/>
          <w:highlight w:val="none"/>
          <w:lang w:eastAsia="zh-CN"/>
        </w:rPr>
        <w:t>应付款项</w:t>
      </w:r>
      <w:r>
        <w:rPr>
          <w:rFonts w:hint="eastAsia" w:ascii="仿宋_GB2312" w:hAnsi="仿宋_GB2312" w:eastAsia="仿宋_GB2312" w:cs="仿宋_GB2312"/>
          <w:color w:val="auto"/>
          <w:sz w:val="28"/>
          <w:szCs w:val="28"/>
          <w:highlight w:val="none"/>
        </w:rPr>
        <w:t>。</w:t>
      </w:r>
    </w:p>
    <w:p w14:paraId="69199075">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十、履约保证金：</w:t>
      </w:r>
    </w:p>
    <w:p w14:paraId="7AF68F8D">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val="en-US" w:eastAsia="zh-CN"/>
        </w:rPr>
        <w:t>0</w:t>
      </w:r>
      <w:r>
        <w:rPr>
          <w:rFonts w:hint="eastAsia" w:ascii="仿宋_GB2312" w:hAnsi="仿宋_GB2312" w:eastAsia="仿宋_GB2312" w:cs="仿宋_GB2312"/>
          <w:color w:val="auto"/>
          <w:sz w:val="28"/>
          <w:szCs w:val="28"/>
          <w:highlight w:val="none"/>
        </w:rPr>
        <w:t>.1本项目免收履约保证金。</w:t>
      </w:r>
    </w:p>
    <w:p w14:paraId="3E022FE0">
      <w:pPr>
        <w:keepNext w:val="0"/>
        <w:keepLines w:val="0"/>
        <w:pageBreakBefore w:val="0"/>
        <w:widowControl w:val="0"/>
        <w:kinsoku/>
        <w:wordWrap/>
        <w:overflowPunct/>
        <w:topLinePunct w:val="0"/>
        <w:autoSpaceDE/>
        <w:autoSpaceDN/>
        <w:bidi w:val="0"/>
        <w:adjustRightInd/>
        <w:snapToGrid/>
        <w:spacing w:line="510" w:lineRule="exact"/>
        <w:ind w:firstLine="562" w:firstLineChars="200"/>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十</w:t>
      </w:r>
      <w:r>
        <w:rPr>
          <w:rFonts w:hint="eastAsia" w:ascii="仿宋_GB2312" w:hAnsi="仿宋_GB2312" w:eastAsia="仿宋_GB2312" w:cs="仿宋_GB2312"/>
          <w:b/>
          <w:color w:val="auto"/>
          <w:sz w:val="28"/>
          <w:szCs w:val="28"/>
          <w:highlight w:val="none"/>
          <w:lang w:val="en-US" w:eastAsia="zh-CN"/>
        </w:rPr>
        <w:t>一</w:t>
      </w:r>
      <w:r>
        <w:rPr>
          <w:rFonts w:hint="eastAsia" w:ascii="仿宋_GB2312" w:hAnsi="仿宋_GB2312" w:eastAsia="仿宋_GB2312" w:cs="仿宋_GB2312"/>
          <w:b/>
          <w:color w:val="auto"/>
          <w:sz w:val="28"/>
          <w:szCs w:val="28"/>
          <w:highlight w:val="none"/>
        </w:rPr>
        <w:t>、合同条款（详见附件）</w:t>
      </w:r>
    </w:p>
    <w:p w14:paraId="7932A4E3">
      <w:pPr>
        <w:pStyle w:val="26"/>
        <w:ind w:left="0" w:leftChars="0" w:firstLine="0" w:firstLineChars="0"/>
        <w:rPr>
          <w:rFonts w:ascii="宋体" w:hAnsi="宋体"/>
          <w:b/>
          <w:color w:val="auto"/>
          <w:sz w:val="28"/>
          <w:szCs w:val="28"/>
          <w:highlight w:val="none"/>
        </w:rPr>
      </w:pPr>
    </w:p>
    <w:p w14:paraId="013D1BE3">
      <w:pPr>
        <w:pStyle w:val="26"/>
        <w:ind w:left="0" w:leftChars="0" w:firstLine="0" w:firstLineChars="0"/>
        <w:rPr>
          <w:rFonts w:ascii="宋体" w:hAnsi="宋体"/>
          <w:b/>
          <w:color w:val="auto"/>
          <w:sz w:val="28"/>
          <w:szCs w:val="28"/>
          <w:highlight w:val="none"/>
        </w:rPr>
      </w:pPr>
    </w:p>
    <w:p w14:paraId="1203DC40">
      <w:pPr>
        <w:pStyle w:val="26"/>
        <w:ind w:left="0" w:leftChars="0" w:firstLine="0" w:firstLineChars="0"/>
        <w:rPr>
          <w:rFonts w:ascii="宋体" w:hAnsi="宋体"/>
          <w:b/>
          <w:color w:val="auto"/>
          <w:sz w:val="28"/>
          <w:szCs w:val="28"/>
          <w:highlight w:val="none"/>
        </w:rPr>
      </w:pPr>
    </w:p>
    <w:p w14:paraId="69CF5430">
      <w:pPr>
        <w:pStyle w:val="26"/>
        <w:ind w:left="0" w:leftChars="0" w:firstLine="0" w:firstLineChars="0"/>
        <w:rPr>
          <w:rFonts w:ascii="宋体" w:hAnsi="宋体"/>
          <w:b/>
          <w:color w:val="auto"/>
          <w:sz w:val="28"/>
          <w:szCs w:val="28"/>
          <w:highlight w:val="none"/>
        </w:rPr>
      </w:pPr>
    </w:p>
    <w:p w14:paraId="12C3D3AB">
      <w:pPr>
        <w:rPr>
          <w:rFonts w:hint="eastAsia" w:ascii="方正小标宋_GBK" w:hAnsi="宋体" w:eastAsia="方正小标宋_GBK" w:cs="宋体"/>
          <w:b/>
          <w:color w:val="auto"/>
          <w:sz w:val="36"/>
          <w:szCs w:val="36"/>
          <w:highlight w:val="none"/>
        </w:rPr>
      </w:pPr>
      <w:r>
        <w:rPr>
          <w:rFonts w:hint="eastAsia" w:ascii="方正小标宋_GBK" w:hAnsi="宋体" w:eastAsia="方正小标宋_GBK" w:cs="宋体"/>
          <w:b/>
          <w:color w:val="auto"/>
          <w:sz w:val="36"/>
          <w:szCs w:val="36"/>
          <w:highlight w:val="none"/>
        </w:rPr>
        <w:br w:type="page"/>
      </w:r>
    </w:p>
    <w:p w14:paraId="352D347A">
      <w:pPr>
        <w:adjustRightInd w:val="0"/>
        <w:snapToGrid w:val="0"/>
        <w:spacing w:line="500" w:lineRule="exact"/>
        <w:jc w:val="center"/>
        <w:rPr>
          <w:rFonts w:ascii="Times New Roman" w:hAnsi="Times New Roman" w:eastAsia="方正仿宋_GBK"/>
          <w:b/>
          <w:bCs/>
          <w:color w:val="auto"/>
          <w:sz w:val="28"/>
          <w:szCs w:val="28"/>
          <w:highlight w:val="none"/>
        </w:rPr>
      </w:pPr>
      <w:r>
        <w:rPr>
          <w:rFonts w:hint="eastAsia" w:ascii="方正小标宋_GBK" w:hAnsi="宋体" w:eastAsia="方正小标宋_GBK" w:cs="宋体"/>
          <w:b/>
          <w:color w:val="auto"/>
          <w:sz w:val="36"/>
          <w:szCs w:val="36"/>
          <w:highlight w:val="none"/>
        </w:rPr>
        <w:t>第四部分  响应文件</w:t>
      </w:r>
      <w:bookmarkEnd w:id="58"/>
      <w:r>
        <w:rPr>
          <w:rFonts w:hint="eastAsia" w:ascii="方正小标宋_GBK" w:hAnsi="宋体" w:eastAsia="方正小标宋_GBK" w:cs="宋体"/>
          <w:b/>
          <w:color w:val="auto"/>
          <w:sz w:val="36"/>
          <w:szCs w:val="36"/>
          <w:highlight w:val="none"/>
        </w:rPr>
        <w:t>组成</w:t>
      </w:r>
      <w:bookmarkEnd w:id="59"/>
    </w:p>
    <w:p w14:paraId="7149C26B">
      <w:pPr>
        <w:adjustRightInd w:val="0"/>
        <w:snapToGrid w:val="0"/>
        <w:spacing w:line="500" w:lineRule="exact"/>
        <w:ind w:firstLine="560" w:firstLineChars="200"/>
        <w:jc w:val="lef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1.</w:t>
      </w:r>
      <w:r>
        <w:rPr>
          <w:rFonts w:hint="eastAsia" w:ascii="Times New Roman" w:hAnsi="Times New Roman" w:eastAsia="方正仿宋_GBK"/>
          <w:color w:val="auto"/>
          <w:sz w:val="28"/>
          <w:szCs w:val="28"/>
          <w:highlight w:val="none"/>
          <w:lang w:val="zh-CN"/>
        </w:rPr>
        <w:t xml:space="preserve">法人或者其他组织的营业执照等证明文件，自然人的身份证明； </w:t>
      </w:r>
    </w:p>
    <w:p w14:paraId="1773B7F2">
      <w:pPr>
        <w:adjustRightInd w:val="0"/>
        <w:snapToGrid w:val="0"/>
        <w:spacing w:line="500" w:lineRule="exact"/>
        <w:ind w:firstLine="560" w:firstLineChars="200"/>
        <w:jc w:val="lef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2.</w:t>
      </w:r>
      <w:r>
        <w:rPr>
          <w:rFonts w:hint="eastAsia" w:ascii="Times New Roman" w:hAnsi="Times New Roman" w:eastAsia="方正仿宋_GBK"/>
          <w:color w:val="auto"/>
          <w:sz w:val="28"/>
          <w:szCs w:val="28"/>
          <w:highlight w:val="none"/>
          <w:lang w:val="zh-CN" w:eastAsia="zh-CN"/>
        </w:rPr>
        <w:t>上一年度的财务状况报告</w:t>
      </w:r>
      <w:r>
        <w:rPr>
          <w:rFonts w:hint="eastAsia" w:ascii="Times New Roman" w:hAnsi="Times New Roman" w:eastAsia="方正仿宋_GBK"/>
          <w:color w:val="auto"/>
          <w:sz w:val="28"/>
          <w:szCs w:val="28"/>
          <w:highlight w:val="none"/>
          <w:lang w:val="zh-CN"/>
        </w:rPr>
        <w:t>（成立不满一年不需提供）；</w:t>
      </w:r>
    </w:p>
    <w:p w14:paraId="7D66F43A">
      <w:pPr>
        <w:adjustRightInd w:val="0"/>
        <w:snapToGrid w:val="0"/>
        <w:spacing w:line="500" w:lineRule="exact"/>
        <w:ind w:firstLine="560" w:firstLineChars="200"/>
        <w:jc w:val="lef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3.</w:t>
      </w:r>
      <w:r>
        <w:rPr>
          <w:rFonts w:hint="eastAsia" w:ascii="Times New Roman" w:hAnsi="Times New Roman" w:eastAsia="方正仿宋_GBK"/>
          <w:color w:val="auto"/>
          <w:sz w:val="28"/>
          <w:szCs w:val="28"/>
          <w:highlight w:val="none"/>
          <w:lang w:val="zh-CN"/>
        </w:rPr>
        <w:t>依法缴纳税收和社会保障资金的相关材料；</w:t>
      </w:r>
    </w:p>
    <w:p w14:paraId="6B107027">
      <w:pPr>
        <w:adjustRightInd w:val="0"/>
        <w:snapToGrid w:val="0"/>
        <w:spacing w:line="500" w:lineRule="exact"/>
        <w:ind w:firstLine="560" w:firstLineChars="200"/>
        <w:jc w:val="lef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4.</w:t>
      </w:r>
      <w:r>
        <w:rPr>
          <w:rFonts w:hint="eastAsia" w:ascii="Times New Roman" w:hAnsi="Times New Roman" w:eastAsia="方正仿宋_GBK"/>
          <w:color w:val="auto"/>
          <w:sz w:val="28"/>
          <w:szCs w:val="28"/>
          <w:highlight w:val="none"/>
          <w:lang w:val="zh-CN"/>
        </w:rPr>
        <w:t xml:space="preserve">具备履行合同所必需的设备和专业技术能力的证明材料（格式详见附件）； </w:t>
      </w:r>
    </w:p>
    <w:p w14:paraId="1158424B">
      <w:pPr>
        <w:adjustRightInd w:val="0"/>
        <w:snapToGrid w:val="0"/>
        <w:spacing w:line="500" w:lineRule="exact"/>
        <w:ind w:firstLine="560" w:firstLineChars="200"/>
        <w:jc w:val="lef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5.</w:t>
      </w:r>
      <w:r>
        <w:rPr>
          <w:rFonts w:hint="eastAsia" w:ascii="Times New Roman" w:hAnsi="Times New Roman" w:eastAsia="方正仿宋_GBK"/>
          <w:color w:val="auto"/>
          <w:sz w:val="28"/>
          <w:szCs w:val="28"/>
          <w:highlight w:val="none"/>
          <w:lang w:val="zh-CN"/>
        </w:rPr>
        <w:t>参加政府采购活动前3年内在经营活动中没有重大违法记录的书面声明（格式详见附件）；</w:t>
      </w:r>
    </w:p>
    <w:p w14:paraId="3F4A1100">
      <w:pPr>
        <w:adjustRightInd w:val="0"/>
        <w:snapToGrid w:val="0"/>
        <w:spacing w:line="500" w:lineRule="exact"/>
        <w:ind w:firstLine="560" w:firstLineChars="200"/>
        <w:jc w:val="lef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6.</w:t>
      </w:r>
      <w:r>
        <w:rPr>
          <w:rFonts w:hint="eastAsia" w:ascii="Times New Roman" w:hAnsi="Times New Roman" w:eastAsia="方正仿宋_GBK"/>
          <w:color w:val="auto"/>
          <w:sz w:val="28"/>
          <w:szCs w:val="28"/>
          <w:highlight w:val="none"/>
        </w:rPr>
        <w:t>法定代表人身份证明</w:t>
      </w:r>
      <w:r>
        <w:rPr>
          <w:rFonts w:ascii="Times New Roman" w:hAnsi="Times New Roman" w:eastAsia="方正仿宋_GBK"/>
          <w:color w:val="auto"/>
          <w:sz w:val="28"/>
          <w:szCs w:val="28"/>
          <w:highlight w:val="none"/>
          <w:lang w:val="zh-CN"/>
        </w:rPr>
        <w:t>（格式见附件）</w:t>
      </w:r>
      <w:r>
        <w:rPr>
          <w:rFonts w:ascii="Times New Roman" w:hAnsi="Times New Roman" w:eastAsia="方正仿宋_GBK"/>
          <w:color w:val="auto"/>
          <w:sz w:val="28"/>
          <w:szCs w:val="28"/>
          <w:highlight w:val="none"/>
        </w:rPr>
        <w:t>；</w:t>
      </w:r>
    </w:p>
    <w:p w14:paraId="3CD8ED75">
      <w:pPr>
        <w:adjustRightInd w:val="0"/>
        <w:snapToGrid w:val="0"/>
        <w:spacing w:line="500" w:lineRule="exact"/>
        <w:ind w:firstLine="560" w:firstLineChars="200"/>
        <w:jc w:val="lef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7.</w:t>
      </w:r>
      <w:r>
        <w:rPr>
          <w:rFonts w:hint="eastAsia" w:ascii="Times New Roman" w:hAnsi="Times New Roman" w:eastAsia="方正仿宋_GBK"/>
          <w:color w:val="auto"/>
          <w:sz w:val="28"/>
          <w:szCs w:val="28"/>
          <w:highlight w:val="none"/>
        </w:rPr>
        <w:t>法人授权书</w:t>
      </w:r>
      <w:r>
        <w:rPr>
          <w:rFonts w:hint="eastAsia" w:ascii="Times New Roman" w:hAnsi="Times New Roman" w:eastAsia="方正仿宋_GBK"/>
          <w:color w:val="auto"/>
          <w:sz w:val="28"/>
          <w:szCs w:val="28"/>
          <w:highlight w:val="none"/>
          <w:lang w:val="zh-CN"/>
        </w:rPr>
        <w:t>（格式见附件）</w:t>
      </w:r>
      <w:r>
        <w:rPr>
          <w:rFonts w:ascii="Times New Roman" w:hAnsi="Times New Roman" w:eastAsia="方正仿宋_GBK"/>
          <w:color w:val="auto"/>
          <w:sz w:val="28"/>
          <w:szCs w:val="28"/>
          <w:highlight w:val="none"/>
        </w:rPr>
        <w:t>；</w:t>
      </w:r>
    </w:p>
    <w:p w14:paraId="114D33FB">
      <w:pPr>
        <w:adjustRightInd w:val="0"/>
        <w:snapToGrid w:val="0"/>
        <w:spacing w:line="500" w:lineRule="exact"/>
        <w:ind w:firstLine="560" w:firstLineChars="200"/>
        <w:jc w:val="lef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8</w:t>
      </w:r>
      <w:r>
        <w:rPr>
          <w:rFonts w:ascii="Times New Roman" w:hAnsi="Times New Roman" w:eastAsia="方正仿宋_GBK"/>
          <w:color w:val="auto"/>
          <w:sz w:val="28"/>
          <w:szCs w:val="28"/>
          <w:highlight w:val="none"/>
        </w:rPr>
        <w:t>.商务部分正负偏离表（</w:t>
      </w:r>
      <w:r>
        <w:rPr>
          <w:rFonts w:ascii="Times New Roman" w:hAnsi="Times New Roman" w:eastAsia="方正仿宋_GBK"/>
          <w:bCs/>
          <w:color w:val="auto"/>
          <w:kern w:val="0"/>
          <w:sz w:val="28"/>
          <w:szCs w:val="28"/>
          <w:highlight w:val="none"/>
          <w:lang w:val="zh-CN"/>
        </w:rPr>
        <w:t>格式见</w:t>
      </w:r>
      <w:r>
        <w:rPr>
          <w:rFonts w:ascii="Times New Roman" w:hAnsi="Times New Roman" w:eastAsia="方正仿宋_GBK"/>
          <w:color w:val="auto"/>
          <w:sz w:val="28"/>
          <w:szCs w:val="28"/>
          <w:highlight w:val="none"/>
        </w:rPr>
        <w:t>附件）；</w:t>
      </w:r>
    </w:p>
    <w:p w14:paraId="3D4F5D04">
      <w:pPr>
        <w:adjustRightInd w:val="0"/>
        <w:snapToGrid w:val="0"/>
        <w:spacing w:line="500" w:lineRule="exact"/>
        <w:ind w:firstLine="560" w:firstLineChars="200"/>
        <w:jc w:val="lef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9</w:t>
      </w:r>
      <w:r>
        <w:rPr>
          <w:rFonts w:ascii="Times New Roman" w:hAnsi="Times New Roman" w:eastAsia="方正仿宋_GBK"/>
          <w:color w:val="auto"/>
          <w:sz w:val="28"/>
          <w:szCs w:val="28"/>
          <w:highlight w:val="none"/>
        </w:rPr>
        <w:t>.技术部分正负偏离表（</w:t>
      </w:r>
      <w:r>
        <w:rPr>
          <w:rFonts w:ascii="Times New Roman" w:hAnsi="Times New Roman" w:eastAsia="方正仿宋_GBK"/>
          <w:bCs/>
          <w:color w:val="auto"/>
          <w:kern w:val="0"/>
          <w:sz w:val="28"/>
          <w:szCs w:val="28"/>
          <w:highlight w:val="none"/>
          <w:lang w:val="zh-CN"/>
        </w:rPr>
        <w:t>格式见</w:t>
      </w:r>
      <w:r>
        <w:rPr>
          <w:rFonts w:ascii="Times New Roman" w:hAnsi="Times New Roman" w:eastAsia="方正仿宋_GBK"/>
          <w:color w:val="auto"/>
          <w:sz w:val="28"/>
          <w:szCs w:val="28"/>
          <w:highlight w:val="none"/>
        </w:rPr>
        <w:t>附件）；</w:t>
      </w:r>
    </w:p>
    <w:p w14:paraId="05846B53">
      <w:pPr>
        <w:adjustRightInd w:val="0"/>
        <w:snapToGrid w:val="0"/>
        <w:spacing w:line="500" w:lineRule="exact"/>
        <w:ind w:firstLine="560" w:firstLineChars="200"/>
        <w:jc w:val="lef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10</w:t>
      </w:r>
      <w:r>
        <w:rPr>
          <w:rFonts w:ascii="Times New Roman" w:hAnsi="Times New Roman" w:eastAsia="方正仿宋_GBK"/>
          <w:color w:val="auto"/>
          <w:sz w:val="28"/>
          <w:szCs w:val="28"/>
          <w:highlight w:val="none"/>
        </w:rPr>
        <w:t>.报价总表及分项报价明细表（格式见附件）；</w:t>
      </w:r>
    </w:p>
    <w:p w14:paraId="01664DA9">
      <w:pPr>
        <w:adjustRightInd w:val="0"/>
        <w:snapToGrid w:val="0"/>
        <w:spacing w:line="500" w:lineRule="exact"/>
        <w:ind w:firstLine="560" w:firstLineChars="200"/>
        <w:jc w:val="lef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11</w:t>
      </w:r>
      <w:r>
        <w:rPr>
          <w:rFonts w:ascii="Times New Roman" w:hAnsi="Times New Roman" w:eastAsia="方正仿宋_GBK"/>
          <w:color w:val="auto"/>
          <w:sz w:val="28"/>
          <w:szCs w:val="28"/>
          <w:highlight w:val="none"/>
        </w:rPr>
        <w:t>.</w:t>
      </w:r>
      <w:r>
        <w:rPr>
          <w:rFonts w:hint="eastAsia" w:ascii="Times New Roman" w:hAnsi="Times New Roman" w:eastAsia="方正仿宋_GBK"/>
          <w:color w:val="auto"/>
          <w:sz w:val="28"/>
          <w:szCs w:val="28"/>
          <w:highlight w:val="none"/>
        </w:rPr>
        <w:t>中小</w:t>
      </w:r>
      <w:r>
        <w:rPr>
          <w:rFonts w:ascii="Times New Roman" w:hAnsi="Times New Roman" w:eastAsia="方正仿宋_GBK"/>
          <w:color w:val="auto"/>
          <w:sz w:val="28"/>
          <w:szCs w:val="28"/>
          <w:highlight w:val="none"/>
        </w:rPr>
        <w:t>企业声明函（格式见附件）；</w:t>
      </w:r>
    </w:p>
    <w:p w14:paraId="498F80FC">
      <w:pPr>
        <w:adjustRightInd w:val="0"/>
        <w:snapToGrid w:val="0"/>
        <w:spacing w:line="500" w:lineRule="exact"/>
        <w:ind w:firstLine="560" w:firstLineChars="200"/>
        <w:jc w:val="left"/>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lang w:val="en-US" w:eastAsia="zh-CN"/>
        </w:rPr>
        <w:t>12.采购公告中“申请人的资格要求”提供相应的佐证材料</w:t>
      </w:r>
    </w:p>
    <w:p w14:paraId="1D2CAD87">
      <w:pPr>
        <w:adjustRightInd w:val="0"/>
        <w:snapToGrid w:val="0"/>
        <w:spacing w:line="500" w:lineRule="exact"/>
        <w:ind w:left="420" w:leftChars="200" w:firstLine="140" w:firstLineChars="50"/>
        <w:jc w:val="lef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13</w:t>
      </w:r>
      <w:r>
        <w:rPr>
          <w:rFonts w:ascii="Times New Roman" w:hAnsi="Times New Roman" w:eastAsia="方正仿宋_GBK"/>
          <w:color w:val="auto"/>
          <w:sz w:val="28"/>
          <w:szCs w:val="28"/>
          <w:highlight w:val="none"/>
        </w:rPr>
        <w:t>.本项目采购文件要求响应供应商提供的和响应供应商认为与本项目有关的并可以提供的其他材料。</w:t>
      </w:r>
    </w:p>
    <w:p w14:paraId="79242224">
      <w:pPr>
        <w:pStyle w:val="6"/>
        <w:adjustRightInd w:val="0"/>
        <w:snapToGrid w:val="0"/>
        <w:spacing w:after="0" w:line="500" w:lineRule="exact"/>
        <w:rPr>
          <w:color w:val="auto"/>
          <w:highlight w:val="none"/>
        </w:rPr>
      </w:pPr>
    </w:p>
    <w:p w14:paraId="726CA062">
      <w:pPr>
        <w:adjustRightInd w:val="0"/>
        <w:snapToGrid w:val="0"/>
        <w:spacing w:line="500" w:lineRule="exact"/>
        <w:rPr>
          <w:color w:val="auto"/>
          <w:highlight w:val="none"/>
        </w:rPr>
      </w:pPr>
    </w:p>
    <w:p w14:paraId="58E169EB">
      <w:pPr>
        <w:pStyle w:val="6"/>
        <w:adjustRightInd w:val="0"/>
        <w:snapToGrid w:val="0"/>
        <w:spacing w:after="0" w:line="500" w:lineRule="exact"/>
        <w:rPr>
          <w:color w:val="auto"/>
          <w:highlight w:val="none"/>
        </w:rPr>
      </w:pPr>
    </w:p>
    <w:p w14:paraId="7B9D34E4">
      <w:pPr>
        <w:adjustRightInd w:val="0"/>
        <w:snapToGrid w:val="0"/>
        <w:spacing w:line="500" w:lineRule="exact"/>
        <w:rPr>
          <w:color w:val="auto"/>
          <w:highlight w:val="none"/>
        </w:rPr>
      </w:pPr>
    </w:p>
    <w:p w14:paraId="74CB8EB4">
      <w:pPr>
        <w:pStyle w:val="26"/>
        <w:rPr>
          <w:color w:val="auto"/>
          <w:highlight w:val="none"/>
        </w:rPr>
      </w:pPr>
    </w:p>
    <w:p w14:paraId="6C59F9F1">
      <w:pPr>
        <w:pStyle w:val="26"/>
        <w:rPr>
          <w:color w:val="auto"/>
          <w:highlight w:val="none"/>
        </w:rPr>
      </w:pPr>
    </w:p>
    <w:p w14:paraId="022FDEC2">
      <w:pPr>
        <w:pStyle w:val="26"/>
        <w:rPr>
          <w:color w:val="auto"/>
          <w:highlight w:val="none"/>
        </w:rPr>
      </w:pPr>
    </w:p>
    <w:p w14:paraId="5D1F7717">
      <w:pPr>
        <w:pStyle w:val="26"/>
        <w:rPr>
          <w:color w:val="auto"/>
          <w:highlight w:val="none"/>
        </w:rPr>
      </w:pPr>
    </w:p>
    <w:p w14:paraId="5ADAFB15">
      <w:pPr>
        <w:pStyle w:val="26"/>
        <w:rPr>
          <w:color w:val="auto"/>
          <w:highlight w:val="none"/>
        </w:rPr>
      </w:pPr>
    </w:p>
    <w:p w14:paraId="12E25D18">
      <w:pPr>
        <w:pStyle w:val="26"/>
        <w:rPr>
          <w:color w:val="auto"/>
          <w:highlight w:val="none"/>
        </w:rPr>
      </w:pPr>
    </w:p>
    <w:p w14:paraId="3BD26C3E">
      <w:pPr>
        <w:pStyle w:val="26"/>
        <w:rPr>
          <w:color w:val="auto"/>
          <w:highlight w:val="none"/>
        </w:rPr>
      </w:pPr>
    </w:p>
    <w:p w14:paraId="2314FB5E">
      <w:pPr>
        <w:pStyle w:val="26"/>
        <w:rPr>
          <w:color w:val="auto"/>
          <w:highlight w:val="none"/>
        </w:rPr>
      </w:pPr>
    </w:p>
    <w:p w14:paraId="142CC4AE">
      <w:pPr>
        <w:pStyle w:val="26"/>
        <w:ind w:left="0" w:leftChars="0" w:firstLine="0" w:firstLineChars="0"/>
        <w:rPr>
          <w:color w:val="auto"/>
          <w:highlight w:val="none"/>
        </w:rPr>
      </w:pPr>
    </w:p>
    <w:p w14:paraId="06E759F2">
      <w:pPr>
        <w:pStyle w:val="26"/>
        <w:ind w:left="0" w:leftChars="0" w:firstLine="0" w:firstLineChars="0"/>
        <w:rPr>
          <w:color w:val="auto"/>
          <w:highlight w:val="none"/>
        </w:rPr>
      </w:pPr>
    </w:p>
    <w:p w14:paraId="3FAFB351">
      <w:pPr>
        <w:pStyle w:val="26"/>
        <w:ind w:left="0" w:leftChars="0" w:firstLine="0" w:firstLineChars="0"/>
        <w:rPr>
          <w:color w:val="auto"/>
          <w:highlight w:val="none"/>
        </w:rPr>
      </w:pPr>
    </w:p>
    <w:p w14:paraId="543A506A">
      <w:pPr>
        <w:pageBreakBefore w:val="0"/>
        <w:kinsoku/>
        <w:wordWrap/>
        <w:overflowPunct/>
        <w:topLinePunct w:val="0"/>
        <w:bidi w:val="0"/>
        <w:snapToGrid w:val="0"/>
        <w:spacing w:line="536" w:lineRule="exact"/>
        <w:contextualSpacing/>
        <w:rPr>
          <w:rFonts w:ascii="仿宋" w:hAnsi="仿宋" w:eastAsia="仿宋"/>
          <w:color w:val="auto"/>
          <w:kern w:val="0"/>
          <w:sz w:val="32"/>
          <w:szCs w:val="32"/>
          <w:highlight w:val="none"/>
          <w:lang w:val="zh-CN"/>
        </w:rPr>
      </w:pPr>
      <w:r>
        <w:rPr>
          <w:rFonts w:ascii="仿宋" w:hAnsi="仿宋" w:eastAsia="仿宋"/>
          <w:color w:val="auto"/>
          <w:kern w:val="0"/>
          <w:sz w:val="32"/>
          <w:szCs w:val="32"/>
          <w:highlight w:val="none"/>
          <w:lang w:val="zh-CN"/>
        </w:rPr>
        <w:t>附件1</w:t>
      </w:r>
    </w:p>
    <w:p w14:paraId="6380580B">
      <w:pPr>
        <w:pageBreakBefore w:val="0"/>
        <w:kinsoku/>
        <w:wordWrap/>
        <w:overflowPunct/>
        <w:topLinePunct w:val="0"/>
        <w:bidi w:val="0"/>
        <w:spacing w:line="536" w:lineRule="exact"/>
        <w:jc w:val="center"/>
        <w:outlineLvl w:val="1"/>
        <w:rPr>
          <w:rFonts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具备履行合同所必需的设备和专业技术能力的证明材料</w:t>
      </w:r>
    </w:p>
    <w:p w14:paraId="10FF662E">
      <w:pPr>
        <w:pageBreakBefore w:val="0"/>
        <w:kinsoku/>
        <w:wordWrap/>
        <w:overflowPunct/>
        <w:topLinePunct w:val="0"/>
        <w:bidi w:val="0"/>
        <w:spacing w:line="536" w:lineRule="exact"/>
        <w:rPr>
          <w:rFonts w:ascii="仿宋" w:hAnsi="仿宋" w:eastAsia="仿宋"/>
          <w:color w:val="auto"/>
          <w:kern w:val="0"/>
          <w:sz w:val="24"/>
          <w:szCs w:val="24"/>
          <w:highlight w:val="none"/>
        </w:rPr>
      </w:pPr>
    </w:p>
    <w:p w14:paraId="2DEA299F">
      <w:pPr>
        <w:pageBreakBefore w:val="0"/>
        <w:widowControl/>
        <w:kinsoku/>
        <w:wordWrap/>
        <w:overflowPunct/>
        <w:topLinePunct w:val="0"/>
        <w:bidi w:val="0"/>
        <w:spacing w:line="536" w:lineRule="exact"/>
        <w:jc w:val="left"/>
        <w:rPr>
          <w:rFonts w:ascii="仿宋" w:hAnsi="仿宋" w:eastAsia="仿宋" w:cs="宋体"/>
          <w:color w:val="auto"/>
          <w:kern w:val="0"/>
          <w:sz w:val="24"/>
          <w:szCs w:val="24"/>
          <w:highlight w:val="none"/>
        </w:rPr>
      </w:pPr>
    </w:p>
    <w:p w14:paraId="2D51C67A">
      <w:pPr>
        <w:pageBreakBefore w:val="0"/>
        <w:kinsoku/>
        <w:wordWrap/>
        <w:overflowPunct/>
        <w:topLinePunct w:val="0"/>
        <w:bidi w:val="0"/>
        <w:spacing w:line="536" w:lineRule="exact"/>
        <w:rPr>
          <w:rFonts w:ascii="仿宋" w:hAnsi="仿宋" w:eastAsia="仿宋"/>
          <w:bCs/>
          <w:color w:val="auto"/>
          <w:kern w:val="0"/>
          <w:sz w:val="24"/>
          <w:szCs w:val="24"/>
          <w:highlight w:val="none"/>
          <w:u w:val="single"/>
          <w:lang w:val="zh-CN"/>
        </w:rPr>
      </w:pPr>
      <w:r>
        <w:rPr>
          <w:rFonts w:ascii="仿宋" w:hAnsi="仿宋" w:eastAsia="仿宋"/>
          <w:color w:val="auto"/>
          <w:sz w:val="24"/>
          <w:szCs w:val="24"/>
          <w:highlight w:val="none"/>
          <w:u w:val="single"/>
        </w:rPr>
        <w:t xml:space="preserve">               </w:t>
      </w:r>
      <w:r>
        <w:rPr>
          <w:rFonts w:hint="eastAsia" w:ascii="仿宋" w:hAnsi="仿宋" w:eastAsia="仿宋"/>
          <w:bCs/>
          <w:color w:val="auto"/>
          <w:kern w:val="0"/>
          <w:sz w:val="24"/>
          <w:szCs w:val="24"/>
          <w:highlight w:val="none"/>
          <w:u w:val="single"/>
          <w:lang w:val="zh-CN"/>
        </w:rPr>
        <w:t>：</w:t>
      </w:r>
    </w:p>
    <w:p w14:paraId="6A63FB02">
      <w:pPr>
        <w:pageBreakBefore w:val="0"/>
        <w:widowControl/>
        <w:kinsoku/>
        <w:wordWrap/>
        <w:overflowPunct/>
        <w:topLinePunct w:val="0"/>
        <w:bidi w:val="0"/>
        <w:spacing w:line="536" w:lineRule="exact"/>
        <w:ind w:firstLine="468"/>
        <w:jc w:val="left"/>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我方参加你方的（项目名称）的投标，现我方向你方</w:t>
      </w:r>
      <w:r>
        <w:rPr>
          <w:rFonts w:hint="eastAsia" w:ascii="仿宋" w:hAnsi="仿宋" w:eastAsia="仿宋" w:cs="宋体"/>
          <w:color w:val="auto"/>
          <w:kern w:val="0"/>
          <w:sz w:val="24"/>
          <w:szCs w:val="24"/>
          <w:highlight w:val="none"/>
          <w:lang w:eastAsia="zh-CN"/>
        </w:rPr>
        <w:t>郑重</w:t>
      </w:r>
      <w:r>
        <w:rPr>
          <w:rFonts w:hint="eastAsia" w:ascii="仿宋" w:hAnsi="仿宋" w:eastAsia="仿宋" w:cs="宋体"/>
          <w:color w:val="auto"/>
          <w:kern w:val="0"/>
          <w:sz w:val="24"/>
          <w:szCs w:val="24"/>
          <w:highlight w:val="none"/>
        </w:rPr>
        <w:t>承诺：</w:t>
      </w:r>
    </w:p>
    <w:p w14:paraId="3F48F184">
      <w:pPr>
        <w:pageBreakBefore w:val="0"/>
        <w:widowControl/>
        <w:kinsoku/>
        <w:wordWrap/>
        <w:overflowPunct/>
        <w:topLinePunct w:val="0"/>
        <w:bidi w:val="0"/>
        <w:spacing w:line="536" w:lineRule="exact"/>
        <w:ind w:left="448"/>
        <w:jc w:val="left"/>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本单位（</w:t>
      </w:r>
      <w:r>
        <w:rPr>
          <w:rFonts w:hint="eastAsia" w:ascii="仿宋" w:hAnsi="仿宋" w:eastAsia="仿宋" w:cs="宋体"/>
          <w:color w:val="auto"/>
          <w:kern w:val="0"/>
          <w:sz w:val="24"/>
          <w:szCs w:val="24"/>
          <w:highlight w:val="none"/>
          <w:u w:val="single"/>
        </w:rPr>
        <w:t>具备</w:t>
      </w:r>
      <w:r>
        <w:rPr>
          <w:rFonts w:ascii="仿宋" w:hAnsi="仿宋" w:eastAsia="仿宋" w:cs="宋体"/>
          <w:color w:val="auto"/>
          <w:kern w:val="0"/>
          <w:sz w:val="24"/>
          <w:szCs w:val="24"/>
          <w:highlight w:val="none"/>
          <w:u w:val="single"/>
        </w:rPr>
        <w:t>/</w:t>
      </w:r>
      <w:r>
        <w:rPr>
          <w:rFonts w:hint="eastAsia" w:ascii="仿宋" w:hAnsi="仿宋" w:eastAsia="仿宋" w:cs="宋体"/>
          <w:color w:val="auto"/>
          <w:kern w:val="0"/>
          <w:sz w:val="24"/>
          <w:szCs w:val="24"/>
          <w:highlight w:val="none"/>
          <w:u w:val="single"/>
        </w:rPr>
        <w:t>不具备</w:t>
      </w:r>
      <w:r>
        <w:rPr>
          <w:rFonts w:hint="eastAsia" w:ascii="仿宋" w:hAnsi="仿宋" w:eastAsia="仿宋" w:cs="宋体"/>
          <w:color w:val="auto"/>
          <w:kern w:val="0"/>
          <w:sz w:val="24"/>
          <w:szCs w:val="24"/>
          <w:highlight w:val="none"/>
        </w:rPr>
        <w:t>）履行合同所必需的设备和专业技术能力。</w:t>
      </w:r>
    </w:p>
    <w:p w14:paraId="6AE2B08F">
      <w:pPr>
        <w:pageBreakBefore w:val="0"/>
        <w:kinsoku/>
        <w:wordWrap/>
        <w:overflowPunct/>
        <w:topLinePunct w:val="0"/>
        <w:bidi w:val="0"/>
        <w:spacing w:line="536" w:lineRule="exact"/>
        <w:ind w:right="-512" w:firstLine="3120"/>
        <w:rPr>
          <w:rFonts w:ascii="仿宋" w:hAnsi="仿宋" w:eastAsia="仿宋" w:cs="宋体"/>
          <w:color w:val="auto"/>
          <w:kern w:val="0"/>
          <w:sz w:val="24"/>
          <w:szCs w:val="24"/>
          <w:highlight w:val="none"/>
        </w:rPr>
      </w:pPr>
    </w:p>
    <w:p w14:paraId="24060E07">
      <w:pPr>
        <w:pageBreakBefore w:val="0"/>
        <w:kinsoku/>
        <w:wordWrap/>
        <w:overflowPunct/>
        <w:topLinePunct w:val="0"/>
        <w:bidi w:val="0"/>
        <w:spacing w:line="536" w:lineRule="exact"/>
        <w:ind w:right="-512" w:firstLine="384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供应商（盖章）：</w:t>
      </w:r>
    </w:p>
    <w:p w14:paraId="7623EE86">
      <w:pPr>
        <w:pageBreakBefore w:val="0"/>
        <w:tabs>
          <w:tab w:val="left" w:pos="4320"/>
        </w:tabs>
        <w:kinsoku/>
        <w:wordWrap/>
        <w:overflowPunct/>
        <w:topLinePunct w:val="0"/>
        <w:bidi w:val="0"/>
        <w:spacing w:line="536" w:lineRule="exact"/>
        <w:ind w:right="-512" w:firstLine="3120"/>
        <w:rPr>
          <w:rFonts w:ascii="仿宋" w:hAnsi="仿宋" w:eastAsia="仿宋" w:cs="宋体"/>
          <w:color w:val="auto"/>
          <w:kern w:val="0"/>
          <w:sz w:val="24"/>
          <w:szCs w:val="24"/>
          <w:highlight w:val="none"/>
        </w:rPr>
      </w:pPr>
      <w:r>
        <w:rPr>
          <w:rFonts w:hint="eastAsia" w:ascii="仿宋" w:hAnsi="仿宋" w:eastAsia="仿宋"/>
          <w:color w:val="auto"/>
          <w:kern w:val="0"/>
          <w:sz w:val="24"/>
          <w:szCs w:val="24"/>
          <w:highlight w:val="none"/>
        </w:rPr>
        <w:t>法定代表人或其授权委托人</w:t>
      </w:r>
      <w:r>
        <w:rPr>
          <w:rFonts w:hint="eastAsia" w:ascii="仿宋" w:hAnsi="仿宋" w:eastAsia="仿宋" w:cs="宋体"/>
          <w:color w:val="auto"/>
          <w:kern w:val="0"/>
          <w:sz w:val="24"/>
          <w:szCs w:val="24"/>
          <w:highlight w:val="none"/>
        </w:rPr>
        <w:t>（签字或盖章）：</w:t>
      </w:r>
    </w:p>
    <w:p w14:paraId="3F2BB8AB">
      <w:pPr>
        <w:pageBreakBefore w:val="0"/>
        <w:kinsoku/>
        <w:wordWrap/>
        <w:overflowPunct/>
        <w:topLinePunct w:val="0"/>
        <w:bidi w:val="0"/>
        <w:spacing w:line="536" w:lineRule="exact"/>
        <w:jc w:val="right"/>
        <w:rPr>
          <w:rFonts w:ascii="仿宋" w:hAnsi="仿宋" w:eastAsia="仿宋" w:cs="宋体"/>
          <w:color w:val="auto"/>
          <w:kern w:val="0"/>
          <w:sz w:val="24"/>
          <w:szCs w:val="24"/>
          <w:highlight w:val="none"/>
        </w:rPr>
      </w:pPr>
      <w:r>
        <w:rPr>
          <w:rFonts w:ascii="仿宋" w:hAnsi="仿宋" w:eastAsia="仿宋"/>
          <w:bCs/>
          <w:color w:val="auto"/>
          <w:kern w:val="0"/>
          <w:szCs w:val="21"/>
          <w:highlight w:val="none"/>
          <w:u w:val="single"/>
        </w:rPr>
        <w:t>______</w:t>
      </w:r>
      <w:r>
        <w:rPr>
          <w:rFonts w:hint="eastAsia" w:ascii="仿宋" w:hAnsi="仿宋" w:eastAsia="仿宋" w:cs="宋体"/>
          <w:color w:val="auto"/>
          <w:kern w:val="0"/>
          <w:sz w:val="24"/>
          <w:szCs w:val="24"/>
          <w:highlight w:val="none"/>
        </w:rPr>
        <w:t>年</w:t>
      </w:r>
      <w:r>
        <w:rPr>
          <w:rFonts w:ascii="仿宋" w:hAnsi="仿宋" w:eastAsia="仿宋"/>
          <w:bCs/>
          <w:color w:val="auto"/>
          <w:kern w:val="0"/>
          <w:szCs w:val="21"/>
          <w:highlight w:val="none"/>
          <w:u w:val="single"/>
        </w:rPr>
        <w:t>______</w:t>
      </w:r>
      <w:r>
        <w:rPr>
          <w:rFonts w:hint="eastAsia" w:ascii="仿宋" w:hAnsi="仿宋" w:eastAsia="仿宋" w:cs="宋体"/>
          <w:color w:val="auto"/>
          <w:kern w:val="0"/>
          <w:sz w:val="24"/>
          <w:szCs w:val="24"/>
          <w:highlight w:val="none"/>
        </w:rPr>
        <w:t>月</w:t>
      </w:r>
      <w:r>
        <w:rPr>
          <w:rFonts w:ascii="仿宋" w:hAnsi="仿宋" w:eastAsia="仿宋"/>
          <w:bCs/>
          <w:color w:val="auto"/>
          <w:kern w:val="0"/>
          <w:szCs w:val="21"/>
          <w:highlight w:val="none"/>
          <w:u w:val="single"/>
        </w:rPr>
        <w:t>______</w:t>
      </w:r>
      <w:r>
        <w:rPr>
          <w:rFonts w:hint="eastAsia" w:ascii="仿宋" w:hAnsi="仿宋" w:eastAsia="仿宋" w:cs="宋体"/>
          <w:color w:val="auto"/>
          <w:kern w:val="0"/>
          <w:sz w:val="24"/>
          <w:szCs w:val="24"/>
          <w:highlight w:val="none"/>
        </w:rPr>
        <w:t>日</w:t>
      </w:r>
    </w:p>
    <w:p w14:paraId="3B89857D">
      <w:pPr>
        <w:pageBreakBefore w:val="0"/>
        <w:kinsoku/>
        <w:wordWrap/>
        <w:overflowPunct/>
        <w:topLinePunct w:val="0"/>
        <w:bidi w:val="0"/>
        <w:spacing w:line="536" w:lineRule="exact"/>
        <w:contextualSpacing/>
        <w:rPr>
          <w:rFonts w:ascii="仿宋" w:hAnsi="仿宋" w:eastAsia="仿宋" w:cs="宋体"/>
          <w:color w:val="auto"/>
          <w:kern w:val="0"/>
          <w:sz w:val="24"/>
          <w:szCs w:val="24"/>
          <w:highlight w:val="none"/>
        </w:rPr>
        <w:sectPr>
          <w:pgSz w:w="11906" w:h="16838"/>
          <w:pgMar w:top="1418" w:right="1588" w:bottom="1418" w:left="1365" w:header="851" w:footer="907" w:gutter="0"/>
          <w:pgNumType w:fmt="decimal"/>
          <w:cols w:space="720" w:num="1"/>
          <w:titlePg/>
          <w:docGrid w:type="lines" w:linePitch="290" w:charSpace="0"/>
        </w:sectPr>
      </w:pPr>
    </w:p>
    <w:p w14:paraId="31F7ECB8">
      <w:pPr>
        <w:pageBreakBefore w:val="0"/>
        <w:kinsoku/>
        <w:wordWrap/>
        <w:overflowPunct/>
        <w:topLinePunct w:val="0"/>
        <w:bidi w:val="0"/>
        <w:spacing w:line="536" w:lineRule="exact"/>
        <w:contextualSpacing/>
        <w:rPr>
          <w:rFonts w:ascii="仿宋" w:hAnsi="仿宋" w:eastAsia="仿宋"/>
          <w:color w:val="auto"/>
          <w:kern w:val="0"/>
          <w:sz w:val="32"/>
          <w:szCs w:val="32"/>
          <w:highlight w:val="none"/>
          <w:lang w:val="zh-CN"/>
        </w:rPr>
      </w:pPr>
      <w:r>
        <w:rPr>
          <w:rFonts w:hint="eastAsia" w:ascii="仿宋" w:hAnsi="仿宋" w:eastAsia="仿宋"/>
          <w:color w:val="auto"/>
          <w:kern w:val="0"/>
          <w:sz w:val="32"/>
          <w:szCs w:val="32"/>
          <w:highlight w:val="none"/>
          <w:lang w:val="zh-CN"/>
        </w:rPr>
        <w:t>附件2</w:t>
      </w:r>
    </w:p>
    <w:p w14:paraId="1696D353">
      <w:pPr>
        <w:pageBreakBefore w:val="0"/>
        <w:kinsoku/>
        <w:wordWrap/>
        <w:overflowPunct/>
        <w:topLinePunct w:val="0"/>
        <w:bidi w:val="0"/>
        <w:spacing w:line="536" w:lineRule="exact"/>
        <w:ind w:firstLine="643"/>
        <w:jc w:val="center"/>
        <w:rPr>
          <w:rFonts w:ascii="仿宋" w:hAnsi="仿宋" w:eastAsia="仿宋"/>
          <w:b/>
          <w:color w:val="auto"/>
          <w:kern w:val="0"/>
          <w:sz w:val="32"/>
          <w:szCs w:val="32"/>
          <w:highlight w:val="none"/>
        </w:rPr>
      </w:pPr>
    </w:p>
    <w:p w14:paraId="25E463FC">
      <w:pPr>
        <w:pageBreakBefore w:val="0"/>
        <w:kinsoku/>
        <w:wordWrap/>
        <w:overflowPunct/>
        <w:topLinePunct w:val="0"/>
        <w:bidi w:val="0"/>
        <w:spacing w:line="536" w:lineRule="exact"/>
        <w:ind w:firstLine="643"/>
        <w:jc w:val="center"/>
        <w:rPr>
          <w:rFonts w:ascii="仿宋" w:hAnsi="仿宋" w:eastAsia="仿宋"/>
          <w:b/>
          <w:color w:val="auto"/>
          <w:kern w:val="0"/>
          <w:sz w:val="32"/>
          <w:szCs w:val="32"/>
          <w:highlight w:val="none"/>
        </w:rPr>
      </w:pPr>
      <w:r>
        <w:rPr>
          <w:rFonts w:hint="eastAsia" w:ascii="仿宋" w:hAnsi="仿宋" w:eastAsia="仿宋"/>
          <w:b/>
          <w:color w:val="auto"/>
          <w:kern w:val="0"/>
          <w:sz w:val="32"/>
          <w:szCs w:val="32"/>
          <w:highlight w:val="none"/>
        </w:rPr>
        <w:t>参加政府采购活动前</w:t>
      </w:r>
      <w:r>
        <w:rPr>
          <w:rFonts w:ascii="仿宋" w:hAnsi="仿宋" w:eastAsia="仿宋"/>
          <w:b/>
          <w:color w:val="auto"/>
          <w:kern w:val="0"/>
          <w:sz w:val="32"/>
          <w:szCs w:val="32"/>
          <w:highlight w:val="none"/>
        </w:rPr>
        <w:t xml:space="preserve"> 3 </w:t>
      </w:r>
      <w:r>
        <w:rPr>
          <w:rFonts w:hint="eastAsia" w:ascii="仿宋" w:hAnsi="仿宋" w:eastAsia="仿宋"/>
          <w:b/>
          <w:color w:val="auto"/>
          <w:kern w:val="0"/>
          <w:sz w:val="32"/>
          <w:szCs w:val="32"/>
          <w:highlight w:val="none"/>
        </w:rPr>
        <w:t>年内在经营活动中没有重大违法记</w:t>
      </w:r>
      <w:r>
        <w:rPr>
          <w:rFonts w:hint="eastAsia" w:ascii="仿宋" w:hAnsi="仿宋" w:eastAsia="仿宋"/>
          <w:b/>
          <w:bCs/>
          <w:color w:val="auto"/>
          <w:kern w:val="0"/>
          <w:sz w:val="32"/>
          <w:szCs w:val="32"/>
          <w:highlight w:val="none"/>
        </w:rPr>
        <w:t>录的书面声明</w:t>
      </w:r>
    </w:p>
    <w:p w14:paraId="2766F6ED">
      <w:pPr>
        <w:pageBreakBefore w:val="0"/>
        <w:kinsoku/>
        <w:wordWrap/>
        <w:overflowPunct/>
        <w:topLinePunct w:val="0"/>
        <w:bidi w:val="0"/>
        <w:spacing w:line="536" w:lineRule="exact"/>
        <w:rPr>
          <w:rFonts w:ascii="仿宋" w:hAnsi="仿宋" w:eastAsia="仿宋"/>
          <w:b/>
          <w:bCs/>
          <w:color w:val="auto"/>
          <w:kern w:val="0"/>
          <w:sz w:val="44"/>
          <w:szCs w:val="44"/>
          <w:highlight w:val="none"/>
        </w:rPr>
      </w:pPr>
    </w:p>
    <w:p w14:paraId="1C6D9676">
      <w:pPr>
        <w:pageBreakBefore w:val="0"/>
        <w:kinsoku/>
        <w:wordWrap/>
        <w:overflowPunct/>
        <w:topLinePunct w:val="0"/>
        <w:bidi w:val="0"/>
        <w:spacing w:line="536" w:lineRule="exact"/>
        <w:ind w:firstLine="881"/>
        <w:jc w:val="center"/>
        <w:rPr>
          <w:rFonts w:ascii="仿宋" w:hAnsi="仿宋" w:eastAsia="仿宋"/>
          <w:b/>
          <w:bCs/>
          <w:color w:val="auto"/>
          <w:kern w:val="0"/>
          <w:sz w:val="44"/>
          <w:szCs w:val="44"/>
          <w:highlight w:val="none"/>
        </w:rPr>
      </w:pPr>
    </w:p>
    <w:p w14:paraId="2EE5789A">
      <w:pPr>
        <w:pageBreakBefore w:val="0"/>
        <w:kinsoku/>
        <w:wordWrap/>
        <w:overflowPunct/>
        <w:topLinePunct w:val="0"/>
        <w:bidi w:val="0"/>
        <w:spacing w:line="536" w:lineRule="exact"/>
        <w:ind w:firstLine="482"/>
        <w:rPr>
          <w:rFonts w:ascii="仿宋" w:hAnsi="仿宋" w:eastAsia="仿宋"/>
          <w:bCs/>
          <w:color w:val="auto"/>
          <w:kern w:val="0"/>
          <w:sz w:val="24"/>
          <w:szCs w:val="24"/>
          <w:highlight w:val="none"/>
        </w:rPr>
      </w:pPr>
      <w:r>
        <w:rPr>
          <w:rFonts w:hint="eastAsia" w:ascii="仿宋" w:hAnsi="仿宋" w:eastAsia="仿宋"/>
          <w:bCs/>
          <w:color w:val="auto"/>
          <w:kern w:val="0"/>
          <w:sz w:val="24"/>
          <w:szCs w:val="24"/>
          <w:highlight w:val="none"/>
        </w:rPr>
        <w:t>我公司（本人）郑重声明：参加本次政府采购活动前</w:t>
      </w:r>
      <w:r>
        <w:rPr>
          <w:rFonts w:ascii="仿宋" w:hAnsi="仿宋" w:eastAsia="仿宋"/>
          <w:bCs/>
          <w:color w:val="auto"/>
          <w:kern w:val="0"/>
          <w:sz w:val="24"/>
          <w:szCs w:val="24"/>
          <w:highlight w:val="none"/>
        </w:rPr>
        <w:t xml:space="preserve"> 3 </w:t>
      </w:r>
      <w:r>
        <w:rPr>
          <w:rFonts w:hint="eastAsia" w:ascii="仿宋" w:hAnsi="仿宋" w:eastAsia="仿宋"/>
          <w:bCs/>
          <w:color w:val="auto"/>
          <w:kern w:val="0"/>
          <w:sz w:val="24"/>
          <w:szCs w:val="24"/>
          <w:highlight w:val="none"/>
        </w:rPr>
        <w:t>年内，我公司在经营活动中没有因违法经营受到刑事处罚或者责令停产停业、吊销许可证或者执照、较大数额罚款等行政处罚。</w:t>
      </w:r>
    </w:p>
    <w:p w14:paraId="1E7B94C2">
      <w:pPr>
        <w:pageBreakBefore w:val="0"/>
        <w:kinsoku/>
        <w:wordWrap/>
        <w:overflowPunct/>
        <w:topLinePunct w:val="0"/>
        <w:bidi w:val="0"/>
        <w:spacing w:line="536" w:lineRule="exact"/>
        <w:ind w:firstLine="482"/>
        <w:rPr>
          <w:rFonts w:ascii="仿宋" w:hAnsi="仿宋" w:eastAsia="仿宋"/>
          <w:color w:val="auto"/>
          <w:kern w:val="0"/>
          <w:szCs w:val="21"/>
          <w:highlight w:val="none"/>
        </w:rPr>
      </w:pPr>
    </w:p>
    <w:p w14:paraId="36C1BBD4">
      <w:pPr>
        <w:pageBreakBefore w:val="0"/>
        <w:kinsoku/>
        <w:wordWrap/>
        <w:overflowPunct/>
        <w:topLinePunct w:val="0"/>
        <w:bidi w:val="0"/>
        <w:spacing w:line="536" w:lineRule="exact"/>
        <w:ind w:firstLine="482"/>
        <w:rPr>
          <w:rFonts w:ascii="仿宋" w:hAnsi="仿宋" w:eastAsia="仿宋"/>
          <w:color w:val="auto"/>
          <w:kern w:val="0"/>
          <w:szCs w:val="21"/>
          <w:highlight w:val="none"/>
        </w:rPr>
      </w:pPr>
    </w:p>
    <w:p w14:paraId="696BADBD">
      <w:pPr>
        <w:pageBreakBefore w:val="0"/>
        <w:kinsoku/>
        <w:wordWrap/>
        <w:overflowPunct/>
        <w:topLinePunct w:val="0"/>
        <w:bidi w:val="0"/>
        <w:spacing w:line="536" w:lineRule="exact"/>
        <w:ind w:firstLine="482"/>
        <w:rPr>
          <w:rFonts w:ascii="仿宋" w:hAnsi="仿宋" w:eastAsia="仿宋"/>
          <w:color w:val="auto"/>
          <w:kern w:val="0"/>
          <w:szCs w:val="21"/>
          <w:highlight w:val="none"/>
        </w:rPr>
      </w:pPr>
    </w:p>
    <w:p w14:paraId="7863EE2C">
      <w:pPr>
        <w:pageBreakBefore w:val="0"/>
        <w:kinsoku/>
        <w:wordWrap/>
        <w:overflowPunct/>
        <w:topLinePunct w:val="0"/>
        <w:bidi w:val="0"/>
        <w:spacing w:line="536" w:lineRule="exact"/>
        <w:ind w:firstLine="482"/>
        <w:rPr>
          <w:rFonts w:ascii="仿宋" w:hAnsi="仿宋" w:eastAsia="仿宋"/>
          <w:color w:val="auto"/>
          <w:kern w:val="0"/>
          <w:sz w:val="24"/>
          <w:szCs w:val="24"/>
          <w:highlight w:val="none"/>
        </w:rPr>
      </w:pPr>
    </w:p>
    <w:p w14:paraId="2E01C151">
      <w:pPr>
        <w:pageBreakBefore w:val="0"/>
        <w:kinsoku/>
        <w:wordWrap/>
        <w:overflowPunct/>
        <w:topLinePunct w:val="0"/>
        <w:bidi w:val="0"/>
        <w:spacing w:line="536" w:lineRule="exact"/>
        <w:ind w:firstLine="482"/>
        <w:rPr>
          <w:rFonts w:ascii="仿宋" w:hAnsi="仿宋" w:eastAsia="仿宋"/>
          <w:color w:val="auto"/>
          <w:kern w:val="0"/>
          <w:sz w:val="24"/>
          <w:szCs w:val="24"/>
          <w:highlight w:val="none"/>
        </w:rPr>
      </w:pPr>
    </w:p>
    <w:p w14:paraId="0568CA5E">
      <w:pPr>
        <w:pageBreakBefore w:val="0"/>
        <w:kinsoku/>
        <w:wordWrap/>
        <w:overflowPunct/>
        <w:topLinePunct w:val="0"/>
        <w:bidi w:val="0"/>
        <w:spacing w:line="536" w:lineRule="exact"/>
        <w:ind w:firstLine="482"/>
        <w:rPr>
          <w:rFonts w:ascii="仿宋" w:hAnsi="仿宋" w:eastAsia="仿宋"/>
          <w:color w:val="auto"/>
          <w:kern w:val="0"/>
          <w:sz w:val="24"/>
          <w:szCs w:val="24"/>
          <w:highlight w:val="none"/>
        </w:rPr>
      </w:pPr>
    </w:p>
    <w:p w14:paraId="56492827">
      <w:pPr>
        <w:pageBreakBefore w:val="0"/>
        <w:kinsoku/>
        <w:wordWrap/>
        <w:overflowPunct/>
        <w:topLinePunct w:val="0"/>
        <w:bidi w:val="0"/>
        <w:spacing w:line="536" w:lineRule="exact"/>
        <w:rPr>
          <w:rFonts w:ascii="仿宋" w:hAnsi="仿宋" w:eastAsia="仿宋"/>
          <w:bCs/>
          <w:color w:val="auto"/>
          <w:kern w:val="0"/>
          <w:sz w:val="24"/>
          <w:szCs w:val="21"/>
          <w:highlight w:val="none"/>
        </w:rPr>
      </w:pPr>
    </w:p>
    <w:p w14:paraId="58875498">
      <w:pPr>
        <w:pageBreakBefore w:val="0"/>
        <w:kinsoku/>
        <w:wordWrap/>
        <w:overflowPunct/>
        <w:topLinePunct w:val="0"/>
        <w:bidi w:val="0"/>
        <w:spacing w:line="536" w:lineRule="exact"/>
        <w:rPr>
          <w:rFonts w:ascii="仿宋" w:hAnsi="仿宋" w:eastAsia="仿宋"/>
          <w:bCs/>
          <w:color w:val="auto"/>
          <w:kern w:val="0"/>
          <w:sz w:val="24"/>
          <w:szCs w:val="24"/>
          <w:highlight w:val="none"/>
        </w:rPr>
      </w:pPr>
      <w:r>
        <w:rPr>
          <w:rFonts w:ascii="仿宋" w:hAnsi="仿宋" w:eastAsia="仿宋"/>
          <w:bCs/>
          <w:color w:val="auto"/>
          <w:kern w:val="0"/>
          <w:szCs w:val="21"/>
          <w:highlight w:val="none"/>
        </w:rPr>
        <w:t xml:space="preserve"> </w:t>
      </w:r>
      <w:r>
        <w:rPr>
          <w:rFonts w:hint="eastAsia" w:ascii="仿宋" w:hAnsi="仿宋" w:eastAsia="仿宋"/>
          <w:bCs/>
          <w:color w:val="auto"/>
          <w:kern w:val="0"/>
          <w:szCs w:val="21"/>
          <w:highlight w:val="none"/>
        </w:rPr>
        <w:t xml:space="preserve">                               </w:t>
      </w:r>
      <w:r>
        <w:rPr>
          <w:rFonts w:ascii="仿宋" w:hAnsi="仿宋" w:eastAsia="仿宋"/>
          <w:bCs/>
          <w:color w:val="auto"/>
          <w:kern w:val="0"/>
          <w:sz w:val="24"/>
          <w:szCs w:val="24"/>
          <w:highlight w:val="none"/>
        </w:rPr>
        <w:t xml:space="preserve"> </w:t>
      </w:r>
      <w:r>
        <w:rPr>
          <w:rFonts w:hint="eastAsia" w:ascii="仿宋" w:hAnsi="仿宋" w:eastAsia="仿宋"/>
          <w:bCs/>
          <w:color w:val="auto"/>
          <w:kern w:val="0"/>
          <w:sz w:val="24"/>
          <w:szCs w:val="24"/>
          <w:highlight w:val="none"/>
          <w:lang w:val="en-US" w:eastAsia="zh-CN"/>
        </w:rPr>
        <w:t xml:space="preserve">    </w:t>
      </w:r>
      <w:r>
        <w:rPr>
          <w:rFonts w:hint="eastAsia" w:ascii="仿宋" w:hAnsi="仿宋" w:eastAsia="仿宋"/>
          <w:bCs/>
          <w:color w:val="auto"/>
          <w:kern w:val="0"/>
          <w:sz w:val="24"/>
          <w:szCs w:val="24"/>
          <w:highlight w:val="none"/>
        </w:rPr>
        <w:t>供应商名称（公章）：</w:t>
      </w:r>
    </w:p>
    <w:p w14:paraId="412A0743">
      <w:pPr>
        <w:pageBreakBefore w:val="0"/>
        <w:kinsoku/>
        <w:wordWrap/>
        <w:overflowPunct/>
        <w:topLinePunct w:val="0"/>
        <w:bidi w:val="0"/>
        <w:spacing w:line="536" w:lineRule="exact"/>
        <w:rPr>
          <w:rFonts w:ascii="仿宋" w:hAnsi="仿宋" w:eastAsia="仿宋"/>
          <w:bCs/>
          <w:color w:val="auto"/>
          <w:kern w:val="0"/>
          <w:sz w:val="24"/>
          <w:szCs w:val="24"/>
          <w:highlight w:val="none"/>
        </w:rPr>
      </w:pPr>
      <w:r>
        <w:rPr>
          <w:rFonts w:ascii="仿宋" w:hAnsi="仿宋" w:eastAsia="仿宋"/>
          <w:bCs/>
          <w:color w:val="auto"/>
          <w:kern w:val="0"/>
          <w:sz w:val="24"/>
          <w:szCs w:val="24"/>
          <w:highlight w:val="none"/>
        </w:rPr>
        <w:t xml:space="preserve">                                 </w:t>
      </w:r>
      <w:r>
        <w:rPr>
          <w:rFonts w:hint="eastAsia" w:ascii="仿宋" w:hAnsi="仿宋" w:eastAsia="仿宋"/>
          <w:bCs/>
          <w:color w:val="auto"/>
          <w:kern w:val="0"/>
          <w:sz w:val="24"/>
          <w:szCs w:val="24"/>
          <w:highlight w:val="none"/>
        </w:rPr>
        <w:t>授权代表签字：</w:t>
      </w:r>
      <w:r>
        <w:rPr>
          <w:rFonts w:ascii="仿宋" w:hAnsi="仿宋" w:eastAsia="仿宋"/>
          <w:bCs/>
          <w:color w:val="auto"/>
          <w:kern w:val="0"/>
          <w:sz w:val="24"/>
          <w:szCs w:val="24"/>
          <w:highlight w:val="none"/>
          <w:u w:val="single"/>
        </w:rPr>
        <w:t>_______________________</w:t>
      </w:r>
    </w:p>
    <w:p w14:paraId="44C33F91">
      <w:pPr>
        <w:pageBreakBefore w:val="0"/>
        <w:kinsoku/>
        <w:wordWrap/>
        <w:overflowPunct/>
        <w:topLinePunct w:val="0"/>
        <w:bidi w:val="0"/>
        <w:spacing w:line="536" w:lineRule="exact"/>
        <w:rPr>
          <w:rFonts w:ascii="仿宋" w:hAnsi="仿宋" w:eastAsia="仿宋"/>
          <w:bCs/>
          <w:color w:val="auto"/>
          <w:kern w:val="0"/>
          <w:sz w:val="24"/>
          <w:szCs w:val="24"/>
          <w:highlight w:val="none"/>
        </w:rPr>
      </w:pPr>
      <w:r>
        <w:rPr>
          <w:rFonts w:ascii="仿宋" w:hAnsi="仿宋" w:eastAsia="仿宋"/>
          <w:bCs/>
          <w:color w:val="auto"/>
          <w:kern w:val="0"/>
          <w:sz w:val="24"/>
          <w:szCs w:val="24"/>
          <w:highlight w:val="none"/>
        </w:rPr>
        <w:t xml:space="preserve">                                 </w:t>
      </w:r>
      <w:r>
        <w:rPr>
          <w:rFonts w:hint="eastAsia" w:ascii="仿宋" w:hAnsi="仿宋" w:eastAsia="仿宋"/>
          <w:bCs/>
          <w:color w:val="auto"/>
          <w:kern w:val="0"/>
          <w:sz w:val="24"/>
          <w:szCs w:val="24"/>
          <w:highlight w:val="none"/>
        </w:rPr>
        <w:t>日期：</w:t>
      </w:r>
      <w:r>
        <w:rPr>
          <w:rFonts w:ascii="仿宋" w:hAnsi="仿宋" w:eastAsia="仿宋"/>
          <w:bCs/>
          <w:color w:val="auto"/>
          <w:kern w:val="0"/>
          <w:sz w:val="24"/>
          <w:szCs w:val="24"/>
          <w:highlight w:val="none"/>
          <w:u w:val="single"/>
        </w:rPr>
        <w:t>______</w:t>
      </w:r>
      <w:r>
        <w:rPr>
          <w:rFonts w:hint="eastAsia" w:ascii="仿宋" w:hAnsi="仿宋" w:eastAsia="仿宋"/>
          <w:bCs/>
          <w:color w:val="auto"/>
          <w:kern w:val="0"/>
          <w:sz w:val="24"/>
          <w:szCs w:val="24"/>
          <w:highlight w:val="none"/>
        </w:rPr>
        <w:t>年</w:t>
      </w:r>
      <w:r>
        <w:rPr>
          <w:rFonts w:ascii="仿宋" w:hAnsi="仿宋" w:eastAsia="仿宋"/>
          <w:bCs/>
          <w:color w:val="auto"/>
          <w:kern w:val="0"/>
          <w:sz w:val="24"/>
          <w:szCs w:val="24"/>
          <w:highlight w:val="none"/>
          <w:u w:val="single"/>
        </w:rPr>
        <w:t>______</w:t>
      </w:r>
      <w:r>
        <w:rPr>
          <w:rFonts w:hint="eastAsia" w:ascii="仿宋" w:hAnsi="仿宋" w:eastAsia="仿宋"/>
          <w:bCs/>
          <w:color w:val="auto"/>
          <w:kern w:val="0"/>
          <w:sz w:val="24"/>
          <w:szCs w:val="24"/>
          <w:highlight w:val="none"/>
        </w:rPr>
        <w:t>月</w:t>
      </w:r>
      <w:r>
        <w:rPr>
          <w:rFonts w:ascii="仿宋" w:hAnsi="仿宋" w:eastAsia="仿宋"/>
          <w:bCs/>
          <w:color w:val="auto"/>
          <w:kern w:val="0"/>
          <w:sz w:val="24"/>
          <w:szCs w:val="24"/>
          <w:highlight w:val="none"/>
          <w:u w:val="single"/>
        </w:rPr>
        <w:t>______</w:t>
      </w:r>
      <w:r>
        <w:rPr>
          <w:rFonts w:hint="eastAsia" w:ascii="仿宋" w:hAnsi="仿宋" w:eastAsia="仿宋"/>
          <w:bCs/>
          <w:color w:val="auto"/>
          <w:kern w:val="0"/>
          <w:sz w:val="24"/>
          <w:szCs w:val="24"/>
          <w:highlight w:val="none"/>
        </w:rPr>
        <w:t>日</w:t>
      </w:r>
    </w:p>
    <w:p w14:paraId="07DBA848">
      <w:pPr>
        <w:jc w:val="left"/>
        <w:rPr>
          <w:rFonts w:ascii="Times New Roman" w:hAnsi="Times New Roman" w:eastAsia="方正黑体_GBK"/>
          <w:bCs/>
          <w:color w:val="auto"/>
          <w:sz w:val="32"/>
          <w:szCs w:val="32"/>
          <w:highlight w:val="none"/>
        </w:rPr>
      </w:pPr>
    </w:p>
    <w:p w14:paraId="1A5BE119">
      <w:pPr>
        <w:jc w:val="left"/>
        <w:rPr>
          <w:rFonts w:ascii="Times New Roman" w:hAnsi="Times New Roman" w:eastAsia="方正黑体_GBK"/>
          <w:bCs/>
          <w:color w:val="auto"/>
          <w:sz w:val="32"/>
          <w:szCs w:val="32"/>
          <w:highlight w:val="none"/>
        </w:rPr>
      </w:pPr>
    </w:p>
    <w:p w14:paraId="6809A919">
      <w:pPr>
        <w:jc w:val="left"/>
        <w:rPr>
          <w:rFonts w:ascii="Times New Roman" w:hAnsi="Times New Roman" w:eastAsia="方正黑体_GBK"/>
          <w:bCs/>
          <w:color w:val="auto"/>
          <w:sz w:val="32"/>
          <w:szCs w:val="32"/>
          <w:highlight w:val="none"/>
        </w:rPr>
      </w:pPr>
    </w:p>
    <w:p w14:paraId="5CDF9B27">
      <w:pPr>
        <w:pStyle w:val="26"/>
        <w:rPr>
          <w:color w:val="auto"/>
          <w:highlight w:val="none"/>
        </w:rPr>
      </w:pPr>
    </w:p>
    <w:p w14:paraId="08B04036">
      <w:pPr>
        <w:jc w:val="left"/>
        <w:rPr>
          <w:rFonts w:ascii="Times New Roman" w:hAnsi="Times New Roman" w:eastAsia="方正黑体_GBK"/>
          <w:bCs/>
          <w:color w:val="auto"/>
          <w:sz w:val="32"/>
          <w:szCs w:val="32"/>
          <w:highlight w:val="none"/>
        </w:rPr>
      </w:pPr>
    </w:p>
    <w:p w14:paraId="0D88BEBB">
      <w:pPr>
        <w:jc w:val="left"/>
        <w:rPr>
          <w:rFonts w:ascii="Times New Roman" w:hAnsi="Times New Roman" w:eastAsia="方正黑体_GBK"/>
          <w:bCs/>
          <w:color w:val="auto"/>
          <w:sz w:val="32"/>
          <w:szCs w:val="32"/>
          <w:highlight w:val="none"/>
        </w:rPr>
      </w:pPr>
    </w:p>
    <w:p w14:paraId="08C960F8">
      <w:pPr>
        <w:jc w:val="left"/>
        <w:rPr>
          <w:rFonts w:ascii="Times New Roman" w:hAnsi="Times New Roman" w:eastAsia="方正黑体_GBK"/>
          <w:bCs/>
          <w:color w:val="auto"/>
          <w:sz w:val="32"/>
          <w:szCs w:val="32"/>
          <w:highlight w:val="none"/>
        </w:rPr>
      </w:pPr>
    </w:p>
    <w:p w14:paraId="3DF58A2D">
      <w:pPr>
        <w:jc w:val="left"/>
        <w:rPr>
          <w:rFonts w:hint="eastAsia" w:ascii="Times New Roman" w:hAnsi="Times New Roman" w:eastAsia="方正黑体_GBK"/>
          <w:bCs/>
          <w:color w:val="auto"/>
          <w:sz w:val="32"/>
          <w:szCs w:val="32"/>
          <w:highlight w:val="none"/>
          <w:lang w:eastAsia="zh-CN"/>
        </w:rPr>
      </w:pPr>
      <w:r>
        <w:rPr>
          <w:rFonts w:ascii="Times New Roman" w:hAnsi="Times New Roman" w:eastAsia="方正黑体_GBK"/>
          <w:bCs/>
          <w:color w:val="auto"/>
          <w:sz w:val="32"/>
          <w:szCs w:val="32"/>
          <w:highlight w:val="none"/>
        </w:rPr>
        <w:t>附件</w:t>
      </w:r>
      <w:r>
        <w:rPr>
          <w:rFonts w:hint="eastAsia" w:ascii="Times New Roman" w:hAnsi="Times New Roman" w:eastAsia="方正黑体_GBK"/>
          <w:bCs/>
          <w:color w:val="auto"/>
          <w:sz w:val="32"/>
          <w:szCs w:val="32"/>
          <w:highlight w:val="none"/>
          <w:lang w:val="en-US" w:eastAsia="zh-CN"/>
        </w:rPr>
        <w:t>3</w:t>
      </w:r>
    </w:p>
    <w:p w14:paraId="5733D6BF">
      <w:pPr>
        <w:pageBreakBefore w:val="0"/>
        <w:kinsoku/>
        <w:wordWrap/>
        <w:overflowPunct/>
        <w:topLinePunct w:val="0"/>
        <w:bidi w:val="0"/>
        <w:spacing w:line="536" w:lineRule="exact"/>
        <w:jc w:val="center"/>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法定代表人身份证明</w:t>
      </w:r>
    </w:p>
    <w:p w14:paraId="4426B20A">
      <w:pPr>
        <w:pageBreakBefore w:val="0"/>
        <w:kinsoku/>
        <w:wordWrap/>
        <w:overflowPunct/>
        <w:topLinePunct w:val="0"/>
        <w:bidi w:val="0"/>
        <w:spacing w:line="536" w:lineRule="exact"/>
        <w:rPr>
          <w:rFonts w:ascii="仿宋" w:hAnsi="仿宋" w:eastAsia="仿宋"/>
          <w:color w:val="auto"/>
          <w:sz w:val="24"/>
          <w:szCs w:val="24"/>
          <w:highlight w:val="none"/>
        </w:rPr>
      </w:pPr>
    </w:p>
    <w:p w14:paraId="567C4B53">
      <w:pPr>
        <w:pageBreakBefore w:val="0"/>
        <w:kinsoku/>
        <w:wordWrap/>
        <w:overflowPunct/>
        <w:topLinePunct w:val="0"/>
        <w:bidi w:val="0"/>
        <w:spacing w:line="536" w:lineRule="exact"/>
        <w:ind w:firstLine="480" w:firstLineChars="200"/>
        <w:rPr>
          <w:rFonts w:ascii="仿宋" w:hAnsi="仿宋" w:eastAsia="仿宋"/>
          <w:color w:val="auto"/>
          <w:sz w:val="24"/>
          <w:szCs w:val="24"/>
          <w:highlight w:val="none"/>
        </w:rPr>
      </w:pP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先生/女士：</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现任我单位</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职务，为法定代表人，特此证明。</w:t>
      </w:r>
    </w:p>
    <w:p w14:paraId="5667F7F0">
      <w:pPr>
        <w:pageBreakBefore w:val="0"/>
        <w:kinsoku/>
        <w:wordWrap/>
        <w:overflowPunct/>
        <w:topLinePunct w:val="0"/>
        <w:bidi w:val="0"/>
        <w:spacing w:line="536" w:lineRule="exact"/>
        <w:ind w:firstLine="480"/>
        <w:rPr>
          <w:rFonts w:ascii="仿宋" w:hAnsi="仿宋" w:eastAsia="仿宋"/>
          <w:color w:val="auto"/>
          <w:sz w:val="24"/>
          <w:szCs w:val="24"/>
          <w:highlight w:val="none"/>
          <w:u w:val="single"/>
        </w:rPr>
      </w:pPr>
      <w:r>
        <w:rPr>
          <w:rFonts w:hint="eastAsia" w:ascii="仿宋" w:hAnsi="仿宋" w:eastAsia="仿宋"/>
          <w:color w:val="auto"/>
          <w:sz w:val="24"/>
          <w:szCs w:val="24"/>
          <w:highlight w:val="none"/>
        </w:rPr>
        <w:t>身份证号码：</w:t>
      </w:r>
      <w:r>
        <w:rPr>
          <w:rFonts w:ascii="仿宋" w:hAnsi="仿宋" w:eastAsia="仿宋"/>
          <w:color w:val="auto"/>
          <w:sz w:val="24"/>
          <w:szCs w:val="24"/>
          <w:highlight w:val="none"/>
          <w:u w:val="single"/>
        </w:rPr>
        <w:t xml:space="preserve">                                               </w:t>
      </w:r>
    </w:p>
    <w:p w14:paraId="5471291D">
      <w:pPr>
        <w:pageBreakBefore w:val="0"/>
        <w:kinsoku/>
        <w:wordWrap/>
        <w:overflowPunct/>
        <w:topLinePunct w:val="0"/>
        <w:bidi w:val="0"/>
        <w:spacing w:line="536" w:lineRule="exact"/>
        <w:ind w:firstLine="480"/>
        <w:rPr>
          <w:rFonts w:ascii="仿宋" w:hAnsi="仿宋" w:eastAsia="仿宋"/>
          <w:color w:val="auto"/>
          <w:sz w:val="24"/>
          <w:szCs w:val="24"/>
          <w:highlight w:val="none"/>
        </w:rPr>
      </w:pPr>
    </w:p>
    <w:p w14:paraId="638DF8E3">
      <w:pPr>
        <w:pageBreakBefore w:val="0"/>
        <w:kinsoku/>
        <w:wordWrap/>
        <w:overflowPunct/>
        <w:topLinePunct w:val="0"/>
        <w:bidi w:val="0"/>
        <w:spacing w:line="536" w:lineRule="exact"/>
        <w:ind w:firstLine="480"/>
        <w:rPr>
          <w:rFonts w:ascii="仿宋" w:hAnsi="仿宋" w:eastAsia="仿宋"/>
          <w:color w:val="auto"/>
          <w:sz w:val="24"/>
          <w:szCs w:val="24"/>
          <w:highlight w:val="none"/>
        </w:rPr>
      </w:pPr>
    </w:p>
    <w:p w14:paraId="2BB607AE">
      <w:pPr>
        <w:pageBreakBefore w:val="0"/>
        <w:kinsoku/>
        <w:wordWrap/>
        <w:overflowPunct/>
        <w:topLinePunct w:val="0"/>
        <w:bidi w:val="0"/>
        <w:spacing w:line="536"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注：提供法定代表人的身份证复印件盖公章</w:t>
      </w:r>
    </w:p>
    <w:p w14:paraId="57001482">
      <w:pPr>
        <w:adjustRightInd w:val="0"/>
        <w:snapToGrid w:val="0"/>
        <w:spacing w:line="312" w:lineRule="auto"/>
        <w:jc w:val="left"/>
        <w:rPr>
          <w:rFonts w:hint="eastAsia" w:ascii="Times New Roman" w:hAnsi="Times New Roman" w:eastAsia="方正黑体_GBK"/>
          <w:color w:val="auto"/>
          <w:sz w:val="32"/>
          <w:szCs w:val="32"/>
          <w:highlight w:val="none"/>
          <w:lang w:eastAsia="zh-CN"/>
        </w:rPr>
      </w:pPr>
      <w:r>
        <w:rPr>
          <w:rFonts w:hint="eastAsia" w:ascii="宋体" w:hAnsi="宋体" w:cs="宋体"/>
          <w:b/>
          <w:bCs/>
          <w:color w:val="auto"/>
          <w:sz w:val="28"/>
          <w:szCs w:val="28"/>
          <w:highlight w:val="none"/>
        </w:rPr>
        <w:br w:type="page"/>
      </w: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lang w:val="en-US" w:eastAsia="zh-CN"/>
        </w:rPr>
        <w:t>4</w:t>
      </w:r>
    </w:p>
    <w:p w14:paraId="7423CCAE">
      <w:pPr>
        <w:pageBreakBefore w:val="0"/>
        <w:kinsoku/>
        <w:wordWrap/>
        <w:overflowPunct/>
        <w:topLinePunct w:val="0"/>
        <w:bidi w:val="0"/>
        <w:spacing w:line="536"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法人授权书</w:t>
      </w:r>
    </w:p>
    <w:p w14:paraId="6C345B00">
      <w:pPr>
        <w:pageBreakBefore w:val="0"/>
        <w:tabs>
          <w:tab w:val="left" w:pos="360"/>
        </w:tabs>
        <w:kinsoku/>
        <w:wordWrap/>
        <w:overflowPunct/>
        <w:topLinePunct w:val="0"/>
        <w:bidi w:val="0"/>
        <w:spacing w:line="536"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本授权书声明：____________（供应商名称）授权________________（被授权人的姓名）为我方就项目编号：</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项目采购活动的合法代理人，以本单位名义全权处理一切与该项目采购有关的事务。</w:t>
      </w:r>
    </w:p>
    <w:p w14:paraId="3BA4E7CA">
      <w:pPr>
        <w:pageBreakBefore w:val="0"/>
        <w:tabs>
          <w:tab w:val="left" w:pos="360"/>
        </w:tabs>
        <w:kinsoku/>
        <w:wordWrap/>
        <w:overflowPunct/>
        <w:topLinePunct w:val="0"/>
        <w:bidi w:val="0"/>
        <w:spacing w:line="536"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本授权书于______年____月____日起生效，特此声明。</w:t>
      </w:r>
    </w:p>
    <w:p w14:paraId="26599469">
      <w:pPr>
        <w:pageBreakBefore w:val="0"/>
        <w:tabs>
          <w:tab w:val="left" w:pos="360"/>
        </w:tabs>
        <w:kinsoku/>
        <w:wordWrap/>
        <w:overflowPunct/>
        <w:topLinePunct w:val="0"/>
        <w:bidi w:val="0"/>
        <w:spacing w:line="536"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被授权人身份证号码：</w:t>
      </w:r>
      <w:r>
        <w:rPr>
          <w:rFonts w:hint="eastAsia" w:ascii="仿宋" w:hAnsi="仿宋" w:eastAsia="仿宋"/>
          <w:color w:val="auto"/>
          <w:sz w:val="24"/>
          <w:szCs w:val="24"/>
          <w:highlight w:val="none"/>
          <w:u w:val="single"/>
        </w:rPr>
        <w:t xml:space="preserve">                              </w:t>
      </w:r>
    </w:p>
    <w:p w14:paraId="773FFD9A">
      <w:pPr>
        <w:pageBreakBefore w:val="0"/>
        <w:tabs>
          <w:tab w:val="left" w:pos="360"/>
        </w:tabs>
        <w:kinsoku/>
        <w:wordWrap/>
        <w:overflowPunct/>
        <w:topLinePunct w:val="0"/>
        <w:bidi w:val="0"/>
        <w:spacing w:line="536"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被授权人联系电话：（手机）</w:t>
      </w:r>
      <w:r>
        <w:rPr>
          <w:rFonts w:hint="eastAsia" w:ascii="仿宋" w:hAnsi="仿宋" w:eastAsia="仿宋"/>
          <w:color w:val="auto"/>
          <w:sz w:val="24"/>
          <w:szCs w:val="24"/>
          <w:highlight w:val="none"/>
          <w:u w:val="single"/>
        </w:rPr>
        <w:t xml:space="preserve">                          </w:t>
      </w:r>
    </w:p>
    <w:p w14:paraId="43D9FD54">
      <w:pPr>
        <w:pageBreakBefore w:val="0"/>
        <w:tabs>
          <w:tab w:val="left" w:pos="360"/>
        </w:tabs>
        <w:kinsoku/>
        <w:wordWrap/>
        <w:overflowPunct/>
        <w:topLinePunct w:val="0"/>
        <w:bidi w:val="0"/>
        <w:spacing w:line="536" w:lineRule="exact"/>
        <w:ind w:firstLine="1200" w:firstLineChars="5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授权单位名称：</w:t>
      </w:r>
      <w:r>
        <w:rPr>
          <w:rFonts w:hint="eastAsia" w:ascii="仿宋" w:hAnsi="仿宋" w:eastAsia="仿宋"/>
          <w:color w:val="auto"/>
          <w:sz w:val="24"/>
          <w:szCs w:val="24"/>
          <w:highlight w:val="none"/>
          <w:u w:val="single"/>
        </w:rPr>
        <w:t>（加盖CA电子公章）</w:t>
      </w:r>
    </w:p>
    <w:p w14:paraId="161B5002">
      <w:pPr>
        <w:pageBreakBefore w:val="0"/>
        <w:tabs>
          <w:tab w:val="left" w:pos="360"/>
        </w:tabs>
        <w:kinsoku/>
        <w:wordWrap/>
        <w:overflowPunct/>
        <w:topLinePunct w:val="0"/>
        <w:bidi w:val="0"/>
        <w:spacing w:line="536" w:lineRule="exact"/>
        <w:ind w:firstLine="480" w:firstLineChars="200"/>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单位地址：</w:t>
      </w:r>
      <w:r>
        <w:rPr>
          <w:rFonts w:hint="eastAsia" w:ascii="仿宋" w:hAnsi="仿宋" w:eastAsia="仿宋"/>
          <w:color w:val="auto"/>
          <w:sz w:val="24"/>
          <w:szCs w:val="24"/>
          <w:highlight w:val="none"/>
          <w:u w:val="single"/>
        </w:rPr>
        <w:t xml:space="preserve">                                         </w:t>
      </w:r>
    </w:p>
    <w:p w14:paraId="2A3D0483">
      <w:pPr>
        <w:pageBreakBefore w:val="0"/>
        <w:tabs>
          <w:tab w:val="left" w:pos="360"/>
        </w:tabs>
        <w:kinsoku/>
        <w:wordWrap/>
        <w:overflowPunct/>
        <w:topLinePunct w:val="0"/>
        <w:bidi w:val="0"/>
        <w:spacing w:line="536"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u w:val="single"/>
        </w:rPr>
        <w:t xml:space="preserve">                                         </w:t>
      </w:r>
    </w:p>
    <w:p w14:paraId="368C17FA">
      <w:pPr>
        <w:pageBreakBefore w:val="0"/>
        <w:kinsoku/>
        <w:wordWrap/>
        <w:overflowPunct/>
        <w:topLinePunct w:val="0"/>
        <w:bidi w:val="0"/>
        <w:spacing w:line="536" w:lineRule="exact"/>
        <w:ind w:firstLine="420"/>
        <w:rPr>
          <w:rFonts w:hint="eastAsia" w:ascii="仿宋" w:hAnsi="仿宋" w:eastAsia="仿宋"/>
          <w:i/>
          <w:color w:val="auto"/>
          <w:sz w:val="24"/>
          <w:szCs w:val="24"/>
          <w:highlight w:val="none"/>
          <w:u w:val="single"/>
        </w:rPr>
      </w:pPr>
    </w:p>
    <w:p w14:paraId="4C5A65CA">
      <w:pPr>
        <w:pageBreakBefore w:val="0"/>
        <w:kinsoku/>
        <w:wordWrap/>
        <w:overflowPunct/>
        <w:topLinePunct w:val="0"/>
        <w:bidi w:val="0"/>
        <w:spacing w:line="536" w:lineRule="exact"/>
        <w:rPr>
          <w:rFonts w:hint="eastAsia" w:ascii="仿宋" w:hAnsi="仿宋" w:eastAsia="仿宋"/>
          <w:color w:val="auto"/>
          <w:szCs w:val="21"/>
          <w:highlight w:val="none"/>
        </w:rPr>
      </w:pPr>
    </w:p>
    <w:p w14:paraId="0DDF84CC">
      <w:pPr>
        <w:adjustRightInd w:val="0"/>
        <w:snapToGrid w:val="0"/>
        <w:spacing w:line="312" w:lineRule="auto"/>
        <w:ind w:firstLine="560" w:firstLineChars="200"/>
        <w:jc w:val="left"/>
        <w:rPr>
          <w:rFonts w:ascii="仿宋_GB2312" w:hAnsi="宋体" w:eastAsia="仿宋_GB2312"/>
          <w:color w:val="auto"/>
          <w:sz w:val="28"/>
          <w:szCs w:val="28"/>
          <w:highlight w:val="none"/>
        </w:rPr>
      </w:pPr>
      <w:r>
        <w:rPr>
          <w:rFonts w:hint="eastAsia" w:ascii="宋体" w:hAnsi="宋体" w:cs="宋体"/>
          <w:bCs/>
          <w:color w:val="auto"/>
          <w:sz w:val="28"/>
          <w:szCs w:val="28"/>
          <w:highlight w:val="none"/>
        </w:rPr>
        <w:br w:type="page"/>
      </w:r>
    </w:p>
    <w:p w14:paraId="6D2E27B6">
      <w:pPr>
        <w:rPr>
          <w:rFonts w:hint="eastAsia" w:ascii="Times New Roman" w:hAnsi="Times New Roman" w:eastAsia="方正黑体_GBK"/>
          <w:color w:val="auto"/>
          <w:sz w:val="32"/>
          <w:szCs w:val="32"/>
          <w:highlight w:val="none"/>
          <w:lang w:eastAsia="zh-CN"/>
        </w:rPr>
      </w:pP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lang w:val="en-US" w:eastAsia="zh-CN"/>
        </w:rPr>
        <w:t>5</w:t>
      </w:r>
    </w:p>
    <w:p w14:paraId="4009FFE3">
      <w:pPr>
        <w:snapToGrid w:val="0"/>
        <w:spacing w:line="300" w:lineRule="auto"/>
        <w:contextualSpacing/>
        <w:jc w:val="center"/>
        <w:rPr>
          <w:rFonts w:ascii="宋体" w:hAnsi="宋体"/>
          <w:b/>
          <w:color w:val="auto"/>
          <w:sz w:val="32"/>
          <w:szCs w:val="32"/>
          <w:highlight w:val="none"/>
        </w:rPr>
      </w:pPr>
      <w:r>
        <w:rPr>
          <w:rFonts w:hint="eastAsia" w:ascii="宋体" w:hAnsi="宋体"/>
          <w:b/>
          <w:color w:val="auto"/>
          <w:sz w:val="32"/>
          <w:szCs w:val="32"/>
          <w:highlight w:val="none"/>
        </w:rPr>
        <w:t>商务部分正负偏离表</w:t>
      </w:r>
    </w:p>
    <w:p w14:paraId="5E15C0C6">
      <w:pPr>
        <w:ind w:firstLine="560" w:firstLineChars="200"/>
        <w:jc w:val="center"/>
        <w:rPr>
          <w:rFonts w:ascii="宋体" w:hAnsi="宋体"/>
          <w:color w:val="auto"/>
          <w:sz w:val="28"/>
          <w:szCs w:val="28"/>
          <w:highlight w:val="none"/>
        </w:rPr>
      </w:pPr>
      <w:r>
        <w:rPr>
          <w:rFonts w:hint="eastAsia" w:ascii="宋体" w:hAnsi="宋体"/>
          <w:color w:val="auto"/>
          <w:sz w:val="28"/>
          <w:szCs w:val="28"/>
          <w:highlight w:val="none"/>
        </w:rPr>
        <w:t>（由响应供应商据实填写，表格不够自行添加）</w:t>
      </w: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2"/>
        <w:gridCol w:w="1985"/>
        <w:gridCol w:w="2997"/>
        <w:gridCol w:w="2238"/>
        <w:gridCol w:w="1227"/>
      </w:tblGrid>
      <w:tr w14:paraId="225C69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0CA90196">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E12F4B9">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7A1B9FE6">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39E5499C">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305E20EA">
            <w:pPr>
              <w:spacing w:line="340" w:lineRule="exact"/>
              <w:jc w:val="center"/>
              <w:rPr>
                <w:rFonts w:ascii="宋体" w:hAnsi="宋体"/>
                <w:color w:val="auto"/>
                <w:sz w:val="28"/>
                <w:szCs w:val="28"/>
                <w:highlight w:val="none"/>
              </w:rPr>
            </w:pPr>
          </w:p>
          <w:p w14:paraId="202D11E9">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偏离说明</w:t>
            </w:r>
          </w:p>
        </w:tc>
      </w:tr>
      <w:tr w14:paraId="06C526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305DD732">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77B0C3F3">
            <w:pPr>
              <w:spacing w:line="340" w:lineRule="exact"/>
              <w:jc w:val="left"/>
              <w:rPr>
                <w:rFonts w:ascii="宋体" w:hAnsi="宋体"/>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72DB74A">
            <w:pPr>
              <w:spacing w:line="340" w:lineRule="exact"/>
              <w:jc w:val="left"/>
              <w:rPr>
                <w:rFonts w:ascii="宋体" w:hAnsi="宋体"/>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193D458">
            <w:pPr>
              <w:spacing w:line="340" w:lineRule="exact"/>
              <w:jc w:val="left"/>
              <w:rPr>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4209F25E">
            <w:pPr>
              <w:spacing w:line="340" w:lineRule="exact"/>
              <w:jc w:val="left"/>
              <w:rPr>
                <w:color w:val="auto"/>
                <w:sz w:val="28"/>
                <w:szCs w:val="28"/>
                <w:highlight w:val="none"/>
              </w:rPr>
            </w:pPr>
          </w:p>
        </w:tc>
      </w:tr>
      <w:tr w14:paraId="5E864F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596DC90B">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442D3777">
            <w:pPr>
              <w:spacing w:line="340" w:lineRule="exact"/>
              <w:jc w:val="left"/>
              <w:rPr>
                <w:rFonts w:ascii="宋体" w:hAnsi="宋体"/>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EE47A66">
            <w:pPr>
              <w:spacing w:line="340" w:lineRule="exact"/>
              <w:jc w:val="left"/>
              <w:rPr>
                <w:rFonts w:ascii="宋体" w:hAnsi="宋体"/>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C21936C">
            <w:pPr>
              <w:spacing w:line="340" w:lineRule="exact"/>
              <w:jc w:val="left"/>
              <w:rPr>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10BEBC1D">
            <w:pPr>
              <w:spacing w:line="340" w:lineRule="exact"/>
              <w:jc w:val="left"/>
              <w:rPr>
                <w:color w:val="auto"/>
                <w:sz w:val="28"/>
                <w:szCs w:val="28"/>
                <w:highlight w:val="none"/>
              </w:rPr>
            </w:pPr>
          </w:p>
        </w:tc>
      </w:tr>
      <w:tr w14:paraId="496765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30A2A84B">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F53C5EC">
            <w:pPr>
              <w:spacing w:line="340" w:lineRule="exact"/>
              <w:jc w:val="left"/>
              <w:rPr>
                <w:rFonts w:ascii="宋体" w:hAnsi="宋体"/>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7822C339">
            <w:pPr>
              <w:spacing w:line="340" w:lineRule="exact"/>
              <w:jc w:val="left"/>
              <w:rPr>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238C852">
            <w:pPr>
              <w:spacing w:line="340" w:lineRule="exact"/>
              <w:jc w:val="left"/>
              <w:rPr>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460C3EFC">
            <w:pPr>
              <w:spacing w:line="340" w:lineRule="exact"/>
              <w:jc w:val="left"/>
              <w:rPr>
                <w:color w:val="auto"/>
                <w:sz w:val="28"/>
                <w:szCs w:val="28"/>
                <w:highlight w:val="none"/>
              </w:rPr>
            </w:pPr>
          </w:p>
        </w:tc>
      </w:tr>
      <w:tr w14:paraId="6B1331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B7F37F5">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7FB92ABB">
            <w:pPr>
              <w:spacing w:line="340" w:lineRule="exact"/>
              <w:jc w:val="left"/>
              <w:rPr>
                <w:rFonts w:ascii="宋体" w:hAnsi="宋体"/>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A20093B">
            <w:pPr>
              <w:spacing w:line="340" w:lineRule="exact"/>
              <w:jc w:val="left"/>
              <w:rPr>
                <w:rFonts w:ascii="宋体" w:hAnsi="宋体"/>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9C7D979">
            <w:pPr>
              <w:spacing w:line="340" w:lineRule="exact"/>
              <w:jc w:val="left"/>
              <w:rPr>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37090D84">
            <w:pPr>
              <w:spacing w:line="340" w:lineRule="exact"/>
              <w:jc w:val="left"/>
              <w:rPr>
                <w:color w:val="auto"/>
                <w:sz w:val="28"/>
                <w:szCs w:val="28"/>
                <w:highlight w:val="none"/>
              </w:rPr>
            </w:pPr>
          </w:p>
        </w:tc>
      </w:tr>
    </w:tbl>
    <w:p w14:paraId="7085E41C">
      <w:pPr>
        <w:snapToGrid w:val="0"/>
        <w:spacing w:line="300" w:lineRule="auto"/>
        <w:contextualSpacing/>
        <w:rPr>
          <w:rFonts w:ascii="宋体" w:hAnsi="宋体"/>
          <w:b/>
          <w:color w:val="auto"/>
          <w:sz w:val="28"/>
          <w:szCs w:val="28"/>
          <w:highlight w:val="none"/>
        </w:rPr>
      </w:pPr>
      <w:r>
        <w:rPr>
          <w:rFonts w:hint="eastAsia" w:ascii="宋体" w:hAnsi="宋体"/>
          <w:b/>
          <w:color w:val="auto"/>
          <w:sz w:val="28"/>
          <w:szCs w:val="28"/>
          <w:highlight w:val="none"/>
        </w:rPr>
        <w:t>注：</w:t>
      </w:r>
    </w:p>
    <w:p w14:paraId="2E12920B">
      <w:pPr>
        <w:snapToGrid w:val="0"/>
        <w:spacing w:line="300" w:lineRule="auto"/>
        <w:ind w:firstLine="560" w:firstLineChars="200"/>
        <w:contextualSpacing/>
        <w:rPr>
          <w:rFonts w:ascii="宋体" w:hAnsi="宋体"/>
          <w:color w:val="auto"/>
          <w:sz w:val="28"/>
          <w:szCs w:val="28"/>
          <w:highlight w:val="none"/>
        </w:rPr>
      </w:pPr>
      <w:r>
        <w:rPr>
          <w:rFonts w:hint="eastAsia" w:ascii="宋体" w:hAnsi="宋体"/>
          <w:color w:val="auto"/>
          <w:sz w:val="28"/>
          <w:szCs w:val="28"/>
          <w:highlight w:val="none"/>
        </w:rPr>
        <w:t>1.如响应供应商提交的响应响应文件与采购文件第三部分“项目需求”中的商务部分的要求有偏离的，应逐条填列在偏离表中。未填写的内容视为完全响应本采购文件要求。</w:t>
      </w:r>
    </w:p>
    <w:p w14:paraId="30A973F0">
      <w:pPr>
        <w:snapToGrid w:val="0"/>
        <w:spacing w:line="300" w:lineRule="auto"/>
        <w:ind w:firstLine="560" w:firstLineChars="200"/>
        <w:contextualSpacing/>
        <w:rPr>
          <w:rFonts w:ascii="宋体" w:hAnsi="宋体"/>
          <w:color w:val="auto"/>
          <w:sz w:val="28"/>
          <w:szCs w:val="28"/>
          <w:highlight w:val="none"/>
        </w:rPr>
      </w:pPr>
      <w:r>
        <w:rPr>
          <w:rFonts w:hint="eastAsia" w:ascii="宋体" w:hAnsi="宋体"/>
          <w:color w:val="auto"/>
          <w:sz w:val="28"/>
          <w:szCs w:val="28"/>
          <w:highlight w:val="none"/>
        </w:rPr>
        <w:t>2.“偏离说明”一栏选择“正偏离”、“负偏离”、“无偏离”进行填写。正偏离的确认和负偏离的是否响应采购文件，由询价小组认定。</w:t>
      </w:r>
    </w:p>
    <w:p w14:paraId="4649586E">
      <w:pPr>
        <w:snapToGrid w:val="0"/>
        <w:spacing w:line="300" w:lineRule="auto"/>
        <w:ind w:firstLine="560" w:firstLineChars="200"/>
        <w:contextualSpacing/>
        <w:rPr>
          <w:rFonts w:ascii="宋体" w:hAnsi="宋体"/>
          <w:bCs/>
          <w:color w:val="auto"/>
          <w:sz w:val="28"/>
          <w:szCs w:val="28"/>
          <w:highlight w:val="none"/>
        </w:rPr>
      </w:pPr>
      <w:r>
        <w:rPr>
          <w:rFonts w:hint="eastAsia" w:ascii="宋体" w:hAnsi="宋体"/>
          <w:bCs/>
          <w:color w:val="auto"/>
          <w:sz w:val="28"/>
          <w:szCs w:val="28"/>
          <w:highlight w:val="none"/>
        </w:rPr>
        <w:t>3.供应商若提供其他增值服务，可以在表中自行据实填写。</w:t>
      </w:r>
    </w:p>
    <w:p w14:paraId="39E72003">
      <w:pPr>
        <w:snapToGrid w:val="0"/>
        <w:spacing w:line="400" w:lineRule="exact"/>
        <w:ind w:firstLine="540" w:firstLineChars="192"/>
        <w:contextualSpacing/>
        <w:rPr>
          <w:rFonts w:ascii="宋体" w:hAnsi="宋体" w:cs="宋体"/>
          <w:b/>
          <w:color w:val="auto"/>
          <w:kern w:val="0"/>
          <w:sz w:val="28"/>
          <w:szCs w:val="28"/>
          <w:highlight w:val="none"/>
        </w:rPr>
      </w:pPr>
    </w:p>
    <w:p w14:paraId="5F3BAB70">
      <w:pPr>
        <w:spacing w:line="312" w:lineRule="auto"/>
        <w:ind w:firstLine="807" w:firstLineChars="287"/>
        <w:rPr>
          <w:rFonts w:ascii="宋体" w:hAnsi="宋体" w:cs="宋体"/>
          <w:b/>
          <w:color w:val="auto"/>
          <w:sz w:val="28"/>
          <w:szCs w:val="28"/>
          <w:highlight w:val="none"/>
        </w:rPr>
      </w:pPr>
    </w:p>
    <w:p w14:paraId="6EA1FE42">
      <w:pPr>
        <w:widowControl/>
        <w:spacing w:line="312" w:lineRule="auto"/>
        <w:jc w:val="left"/>
        <w:rPr>
          <w:rFonts w:ascii="宋体" w:hAnsi="宋体" w:cs="宋体"/>
          <w:b/>
          <w:bCs/>
          <w:color w:val="auto"/>
          <w:sz w:val="32"/>
          <w:szCs w:val="32"/>
          <w:highlight w:val="none"/>
        </w:rPr>
      </w:pPr>
      <w:r>
        <w:rPr>
          <w:rFonts w:hint="eastAsia" w:ascii="宋体" w:hAnsi="宋体" w:cs="宋体"/>
          <w:b/>
          <w:color w:val="auto"/>
          <w:sz w:val="24"/>
          <w:highlight w:val="none"/>
        </w:rPr>
        <w:br w:type="page"/>
      </w:r>
    </w:p>
    <w:p w14:paraId="6D17C606">
      <w:pPr>
        <w:widowControl/>
        <w:spacing w:line="312" w:lineRule="auto"/>
        <w:jc w:val="left"/>
        <w:rPr>
          <w:rFonts w:hint="default" w:ascii="Times New Roman" w:hAnsi="Times New Roman" w:eastAsia="方正黑体_GBK"/>
          <w:color w:val="auto"/>
          <w:sz w:val="24"/>
          <w:highlight w:val="none"/>
          <w:lang w:val="en-US" w:eastAsia="zh-CN"/>
        </w:rPr>
      </w:pP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lang w:val="en-US" w:eastAsia="zh-CN"/>
        </w:rPr>
        <w:t>6</w:t>
      </w:r>
    </w:p>
    <w:p w14:paraId="6C3B182B">
      <w:pPr>
        <w:snapToGrid w:val="0"/>
        <w:spacing w:line="300" w:lineRule="auto"/>
        <w:contextualSpacing/>
        <w:jc w:val="center"/>
        <w:rPr>
          <w:rFonts w:ascii="宋体" w:hAnsi="宋体"/>
          <w:b/>
          <w:color w:val="auto"/>
          <w:sz w:val="32"/>
          <w:szCs w:val="32"/>
          <w:highlight w:val="none"/>
        </w:rPr>
      </w:pPr>
      <w:r>
        <w:rPr>
          <w:rFonts w:hint="eastAsia" w:ascii="宋体" w:hAnsi="宋体"/>
          <w:b/>
          <w:color w:val="auto"/>
          <w:sz w:val="32"/>
          <w:szCs w:val="32"/>
          <w:highlight w:val="none"/>
        </w:rPr>
        <w:t>技术部分正负偏离表</w:t>
      </w:r>
    </w:p>
    <w:p w14:paraId="1E503475">
      <w:pPr>
        <w:ind w:firstLine="560" w:firstLineChars="200"/>
        <w:jc w:val="center"/>
        <w:rPr>
          <w:rFonts w:ascii="宋体" w:hAnsi="宋体"/>
          <w:color w:val="auto"/>
          <w:sz w:val="28"/>
          <w:szCs w:val="28"/>
          <w:highlight w:val="none"/>
        </w:rPr>
      </w:pPr>
      <w:r>
        <w:rPr>
          <w:rFonts w:hint="eastAsia" w:ascii="宋体" w:hAnsi="宋体"/>
          <w:color w:val="auto"/>
          <w:sz w:val="28"/>
          <w:szCs w:val="28"/>
          <w:highlight w:val="none"/>
        </w:rPr>
        <w:t>（由响应供应商据实填写，表格不够自行添加）</w:t>
      </w: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2"/>
        <w:gridCol w:w="1985"/>
        <w:gridCol w:w="2997"/>
        <w:gridCol w:w="2238"/>
        <w:gridCol w:w="1227"/>
      </w:tblGrid>
      <w:tr w14:paraId="1C015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7187DCA5">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5A92A1D5">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D2B18E5">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采购文件要求的技术要求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73495226">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551D281E">
            <w:pPr>
              <w:spacing w:line="340" w:lineRule="exact"/>
              <w:jc w:val="center"/>
              <w:rPr>
                <w:rFonts w:ascii="宋体" w:hAnsi="宋体"/>
                <w:color w:val="auto"/>
                <w:sz w:val="28"/>
                <w:szCs w:val="28"/>
                <w:highlight w:val="none"/>
              </w:rPr>
            </w:pPr>
          </w:p>
          <w:p w14:paraId="44AFCF13">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偏离说明</w:t>
            </w:r>
          </w:p>
        </w:tc>
      </w:tr>
      <w:tr w14:paraId="012026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36E58649">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7460662A">
            <w:pPr>
              <w:spacing w:line="340" w:lineRule="exact"/>
              <w:jc w:val="left"/>
              <w:rPr>
                <w:rFonts w:ascii="宋体" w:hAnsi="宋体"/>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22D1D53">
            <w:pPr>
              <w:spacing w:line="340" w:lineRule="exact"/>
              <w:jc w:val="left"/>
              <w:rPr>
                <w:rFonts w:ascii="宋体" w:hAnsi="宋体"/>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C3BCDFD">
            <w:pPr>
              <w:spacing w:line="340" w:lineRule="exact"/>
              <w:jc w:val="left"/>
              <w:rPr>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10FBF425">
            <w:pPr>
              <w:spacing w:line="340" w:lineRule="exact"/>
              <w:jc w:val="left"/>
              <w:rPr>
                <w:color w:val="auto"/>
                <w:sz w:val="28"/>
                <w:szCs w:val="28"/>
                <w:highlight w:val="none"/>
              </w:rPr>
            </w:pPr>
          </w:p>
        </w:tc>
      </w:tr>
      <w:tr w14:paraId="2AFFDC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4F199608">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7833C58A">
            <w:pPr>
              <w:spacing w:line="340" w:lineRule="exact"/>
              <w:jc w:val="left"/>
              <w:rPr>
                <w:rFonts w:ascii="宋体" w:hAnsi="宋体"/>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04635BB">
            <w:pPr>
              <w:spacing w:line="340" w:lineRule="exact"/>
              <w:jc w:val="left"/>
              <w:rPr>
                <w:rFonts w:ascii="宋体" w:hAnsi="宋体"/>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6D9F216">
            <w:pPr>
              <w:spacing w:line="340" w:lineRule="exact"/>
              <w:jc w:val="left"/>
              <w:rPr>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2AD12D3B">
            <w:pPr>
              <w:spacing w:line="340" w:lineRule="exact"/>
              <w:jc w:val="left"/>
              <w:rPr>
                <w:color w:val="auto"/>
                <w:sz w:val="28"/>
                <w:szCs w:val="28"/>
                <w:highlight w:val="none"/>
              </w:rPr>
            </w:pPr>
          </w:p>
        </w:tc>
      </w:tr>
      <w:tr w14:paraId="083E3E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2B3B7A97">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71AC8472">
            <w:pPr>
              <w:spacing w:line="340" w:lineRule="exact"/>
              <w:jc w:val="left"/>
              <w:rPr>
                <w:rFonts w:ascii="宋体" w:hAnsi="宋体"/>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3C528BE">
            <w:pPr>
              <w:spacing w:line="340" w:lineRule="exact"/>
              <w:jc w:val="left"/>
              <w:rPr>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3776D60">
            <w:pPr>
              <w:spacing w:line="340" w:lineRule="exact"/>
              <w:jc w:val="left"/>
              <w:rPr>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501CF943">
            <w:pPr>
              <w:spacing w:line="340" w:lineRule="exact"/>
              <w:jc w:val="left"/>
              <w:rPr>
                <w:color w:val="auto"/>
                <w:sz w:val="28"/>
                <w:szCs w:val="28"/>
                <w:highlight w:val="none"/>
              </w:rPr>
            </w:pPr>
          </w:p>
        </w:tc>
      </w:tr>
      <w:tr w14:paraId="340D99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2C012139">
            <w:pPr>
              <w:spacing w:line="340" w:lineRule="exact"/>
              <w:jc w:val="center"/>
              <w:rPr>
                <w:rFonts w:ascii="宋体" w:hAnsi="宋体"/>
                <w:color w:val="auto"/>
                <w:sz w:val="28"/>
                <w:szCs w:val="28"/>
                <w:highlight w:val="none"/>
              </w:rPr>
            </w:pPr>
            <w:r>
              <w:rPr>
                <w:rFonts w:hint="eastAsia" w:ascii="宋体" w:hAnsi="宋体"/>
                <w:color w:val="auto"/>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689BD8ED">
            <w:pPr>
              <w:spacing w:line="340" w:lineRule="exact"/>
              <w:jc w:val="left"/>
              <w:rPr>
                <w:rFonts w:ascii="宋体" w:hAnsi="宋体"/>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6E2330B7">
            <w:pPr>
              <w:spacing w:line="340" w:lineRule="exact"/>
              <w:jc w:val="left"/>
              <w:rPr>
                <w:rFonts w:ascii="宋体" w:hAnsi="宋体"/>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A0B164B">
            <w:pPr>
              <w:spacing w:line="340" w:lineRule="exact"/>
              <w:jc w:val="left"/>
              <w:rPr>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3344FEC2">
            <w:pPr>
              <w:spacing w:line="340" w:lineRule="exact"/>
              <w:jc w:val="left"/>
              <w:rPr>
                <w:color w:val="auto"/>
                <w:sz w:val="28"/>
                <w:szCs w:val="28"/>
                <w:highlight w:val="none"/>
              </w:rPr>
            </w:pPr>
          </w:p>
        </w:tc>
      </w:tr>
    </w:tbl>
    <w:p w14:paraId="11CC01CE">
      <w:pPr>
        <w:snapToGrid w:val="0"/>
        <w:spacing w:line="300" w:lineRule="auto"/>
        <w:contextualSpacing/>
        <w:rPr>
          <w:rFonts w:ascii="宋体" w:hAnsi="宋体"/>
          <w:b/>
          <w:color w:val="auto"/>
          <w:sz w:val="28"/>
          <w:szCs w:val="28"/>
          <w:highlight w:val="none"/>
        </w:rPr>
      </w:pPr>
      <w:r>
        <w:rPr>
          <w:rFonts w:hint="eastAsia" w:ascii="宋体" w:hAnsi="宋体"/>
          <w:b/>
          <w:color w:val="auto"/>
          <w:sz w:val="28"/>
          <w:szCs w:val="28"/>
          <w:highlight w:val="none"/>
        </w:rPr>
        <w:t>注：</w:t>
      </w:r>
    </w:p>
    <w:p w14:paraId="5667BFA3">
      <w:pPr>
        <w:snapToGrid w:val="0"/>
        <w:spacing w:line="300" w:lineRule="auto"/>
        <w:ind w:firstLine="560" w:firstLineChars="200"/>
        <w:contextualSpacing/>
        <w:rPr>
          <w:rFonts w:ascii="宋体" w:hAnsi="宋体"/>
          <w:color w:val="auto"/>
          <w:sz w:val="28"/>
          <w:szCs w:val="28"/>
          <w:highlight w:val="none"/>
        </w:rPr>
      </w:pPr>
      <w:r>
        <w:rPr>
          <w:rFonts w:hint="eastAsia" w:ascii="宋体" w:hAnsi="宋体"/>
          <w:color w:val="auto"/>
          <w:sz w:val="28"/>
          <w:szCs w:val="28"/>
          <w:highlight w:val="none"/>
        </w:rPr>
        <w:t>1.如响应供应商提交的响应响应文件与采购文件第三部分“项目需求”中的技术部分的要求有偏离的，应逐条填列在偏离表中。未填写的内容视为完全响应本采购文件要求。</w:t>
      </w:r>
    </w:p>
    <w:p w14:paraId="61D65870">
      <w:pPr>
        <w:snapToGrid w:val="0"/>
        <w:spacing w:line="300" w:lineRule="auto"/>
        <w:ind w:firstLine="560" w:firstLineChars="200"/>
        <w:contextualSpacing/>
        <w:rPr>
          <w:rFonts w:ascii="宋体" w:hAnsi="宋体"/>
          <w:color w:val="auto"/>
          <w:sz w:val="28"/>
          <w:szCs w:val="28"/>
          <w:highlight w:val="none"/>
        </w:rPr>
      </w:pPr>
      <w:r>
        <w:rPr>
          <w:rFonts w:hint="eastAsia" w:ascii="宋体" w:hAnsi="宋体"/>
          <w:color w:val="auto"/>
          <w:sz w:val="28"/>
          <w:szCs w:val="28"/>
          <w:highlight w:val="none"/>
        </w:rPr>
        <w:t>2.“偏离说明”一栏选择“正偏离”、“负偏离”、“无偏离”进行填写。正偏离的确认和负偏离的是否响应采购文件，由询价小组认定。</w:t>
      </w:r>
    </w:p>
    <w:p w14:paraId="06F58722">
      <w:pPr>
        <w:snapToGrid w:val="0"/>
        <w:spacing w:line="300" w:lineRule="auto"/>
        <w:ind w:firstLine="560" w:firstLineChars="200"/>
        <w:contextualSpacing/>
        <w:rPr>
          <w:rFonts w:ascii="宋体" w:hAnsi="宋体"/>
          <w:bCs/>
          <w:color w:val="auto"/>
          <w:sz w:val="28"/>
          <w:szCs w:val="28"/>
          <w:highlight w:val="none"/>
        </w:rPr>
      </w:pPr>
      <w:r>
        <w:rPr>
          <w:rFonts w:hint="eastAsia" w:ascii="宋体" w:hAnsi="宋体"/>
          <w:bCs/>
          <w:color w:val="auto"/>
          <w:sz w:val="28"/>
          <w:szCs w:val="28"/>
          <w:highlight w:val="none"/>
        </w:rPr>
        <w:t>3.供应商若提供其他增值服务，可以在表中自行据实填写。</w:t>
      </w:r>
    </w:p>
    <w:p w14:paraId="70FDD556">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42C39BCD">
      <w:pPr>
        <w:spacing w:line="312" w:lineRule="auto"/>
        <w:rPr>
          <w:rFonts w:hint="eastAsia" w:ascii="Times New Roman" w:hAnsi="Times New Roman" w:eastAsia="方正黑体_GBK"/>
          <w:color w:val="auto"/>
          <w:sz w:val="32"/>
          <w:szCs w:val="32"/>
          <w:highlight w:val="none"/>
          <w:lang w:eastAsia="zh-CN"/>
        </w:rPr>
      </w:pP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lang w:val="en-US" w:eastAsia="zh-CN"/>
        </w:rPr>
        <w:t>7</w:t>
      </w:r>
    </w:p>
    <w:p w14:paraId="2F4D52C7">
      <w:pPr>
        <w:jc w:val="center"/>
        <w:rPr>
          <w:b/>
          <w:bCs/>
          <w:color w:val="auto"/>
          <w:sz w:val="32"/>
          <w:szCs w:val="40"/>
          <w:highlight w:val="none"/>
        </w:rPr>
      </w:pPr>
      <w:r>
        <w:rPr>
          <w:rFonts w:hint="eastAsia"/>
          <w:b/>
          <w:bCs/>
          <w:color w:val="auto"/>
          <w:sz w:val="32"/>
          <w:szCs w:val="40"/>
          <w:highlight w:val="none"/>
        </w:rPr>
        <w:t>报价总表</w:t>
      </w:r>
    </w:p>
    <w:p w14:paraId="6CF30EE5">
      <w:pPr>
        <w:rPr>
          <w:rFonts w:ascii="宋体" w:hAnsi="宋体" w:cs="宋体"/>
          <w:color w:val="auto"/>
          <w:kern w:val="0"/>
          <w:sz w:val="28"/>
          <w:szCs w:val="28"/>
          <w:highlight w:val="none"/>
          <w:u w:val="single"/>
        </w:rPr>
      </w:pPr>
      <w:r>
        <w:rPr>
          <w:rFonts w:hint="eastAsia" w:ascii="宋体" w:hAnsi="宋体" w:cs="宋体"/>
          <w:color w:val="auto"/>
          <w:kern w:val="0"/>
          <w:sz w:val="28"/>
          <w:szCs w:val="28"/>
          <w:highlight w:val="none"/>
        </w:rPr>
        <w:t>响应供应商</w:t>
      </w:r>
      <w:r>
        <w:rPr>
          <w:rFonts w:ascii="宋体" w:hAnsi="宋体" w:cs="宋体"/>
          <w:color w:val="auto"/>
          <w:kern w:val="0"/>
          <w:sz w:val="28"/>
          <w:szCs w:val="28"/>
          <w:highlight w:val="none"/>
        </w:rPr>
        <w:t>全称（盖公章）：</w:t>
      </w:r>
    </w:p>
    <w:p w14:paraId="5A4C3E77">
      <w:pPr>
        <w:rPr>
          <w:rFonts w:ascii="宋体" w:hAnsi="宋体" w:cs="宋体"/>
          <w:color w:val="auto"/>
          <w:kern w:val="0"/>
          <w:sz w:val="28"/>
          <w:szCs w:val="28"/>
          <w:highlight w:val="none"/>
          <w:u w:val="single"/>
        </w:rPr>
      </w:pPr>
      <w:r>
        <w:rPr>
          <w:rFonts w:ascii="宋体" w:hAnsi="宋体" w:cs="宋体"/>
          <w:color w:val="auto"/>
          <w:kern w:val="0"/>
          <w:sz w:val="28"/>
          <w:szCs w:val="28"/>
          <w:highlight w:val="none"/>
        </w:rPr>
        <w:t>项目名称：</w:t>
      </w:r>
    </w:p>
    <w:p w14:paraId="54D32B0A">
      <w:pPr>
        <w:rPr>
          <w:rFonts w:ascii="宋体" w:hAnsi="宋体" w:cs="宋体"/>
          <w:color w:val="auto"/>
          <w:kern w:val="0"/>
          <w:sz w:val="28"/>
          <w:szCs w:val="28"/>
          <w:highlight w:val="none"/>
        </w:rPr>
      </w:pPr>
      <w:r>
        <w:rPr>
          <w:rFonts w:ascii="宋体" w:hAnsi="宋体" w:cs="宋体"/>
          <w:color w:val="auto"/>
          <w:kern w:val="0"/>
          <w:sz w:val="28"/>
          <w:szCs w:val="28"/>
          <w:highlight w:val="none"/>
        </w:rPr>
        <w:t>项目编号：</w:t>
      </w:r>
    </w:p>
    <w:p w14:paraId="43853FA2">
      <w:pPr>
        <w:rPr>
          <w:rFonts w:ascii="宋体" w:hAnsi="宋体" w:cs="宋体"/>
          <w:color w:val="auto"/>
          <w:kern w:val="0"/>
          <w:sz w:val="28"/>
          <w:szCs w:val="28"/>
          <w:highlight w:val="none"/>
        </w:rPr>
      </w:pPr>
      <w:r>
        <w:rPr>
          <w:rFonts w:ascii="宋体" w:hAnsi="宋体" w:cs="宋体"/>
          <w:color w:val="auto"/>
          <w:kern w:val="0"/>
          <w:sz w:val="28"/>
          <w:szCs w:val="28"/>
          <w:highlight w:val="none"/>
        </w:rPr>
        <w:t>分包号：</w:t>
      </w:r>
    </w:p>
    <w:tbl>
      <w:tblPr>
        <w:tblStyle w:val="1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6F4DA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48" w:type="dxa"/>
            <w:noWrap/>
          </w:tcPr>
          <w:p w14:paraId="71E3B3AB">
            <w:pPr>
              <w:jc w:val="center"/>
              <w:rPr>
                <w:rFonts w:ascii="等线" w:hAnsi="等线" w:eastAsia="等线"/>
                <w:color w:val="auto"/>
                <w:szCs w:val="22"/>
                <w:highlight w:val="none"/>
              </w:rPr>
            </w:pPr>
            <w:r>
              <w:rPr>
                <w:rFonts w:ascii="宋体" w:hAnsi="宋体" w:cs="宋体"/>
                <w:color w:val="auto"/>
                <w:kern w:val="0"/>
                <w:sz w:val="28"/>
                <w:szCs w:val="28"/>
                <w:highlight w:val="none"/>
              </w:rPr>
              <w:t>响应货物、服务名称</w:t>
            </w:r>
          </w:p>
        </w:tc>
        <w:tc>
          <w:tcPr>
            <w:tcW w:w="4607" w:type="dxa"/>
            <w:noWrap/>
          </w:tcPr>
          <w:p w14:paraId="1EAB3D09">
            <w:pPr>
              <w:jc w:val="center"/>
              <w:rPr>
                <w:rFonts w:ascii="等线" w:hAnsi="等线" w:eastAsia="等线"/>
                <w:color w:val="auto"/>
                <w:szCs w:val="22"/>
                <w:highlight w:val="none"/>
              </w:rPr>
            </w:pPr>
            <w:r>
              <w:rPr>
                <w:rFonts w:ascii="宋体" w:hAnsi="宋体" w:cs="宋体"/>
                <w:color w:val="auto"/>
                <w:kern w:val="0"/>
                <w:sz w:val="28"/>
                <w:szCs w:val="28"/>
                <w:highlight w:val="none"/>
              </w:rPr>
              <w:t>响应报价</w:t>
            </w:r>
            <w:r>
              <w:rPr>
                <w:rFonts w:hint="eastAsia" w:ascii="宋体" w:hAnsi="宋体" w:cs="宋体"/>
                <w:b/>
                <w:bCs/>
                <w:color w:val="auto"/>
                <w:kern w:val="0"/>
                <w:sz w:val="28"/>
                <w:szCs w:val="28"/>
                <w:highlight w:val="none"/>
              </w:rPr>
              <w:t>（单价）</w:t>
            </w:r>
          </w:p>
        </w:tc>
      </w:tr>
      <w:tr w14:paraId="409B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4148" w:type="dxa"/>
            <w:noWrap/>
          </w:tcPr>
          <w:p w14:paraId="4B008BDB">
            <w:pPr>
              <w:rPr>
                <w:rFonts w:ascii="等线" w:hAnsi="等线" w:eastAsia="等线"/>
                <w:color w:val="auto"/>
                <w:szCs w:val="22"/>
                <w:highlight w:val="none"/>
              </w:rPr>
            </w:pPr>
          </w:p>
        </w:tc>
        <w:tc>
          <w:tcPr>
            <w:tcW w:w="4607" w:type="dxa"/>
            <w:noWrap/>
            <w:vAlign w:val="center"/>
          </w:tcPr>
          <w:p w14:paraId="55B71802">
            <w:pPr>
              <w:jc w:val="both"/>
              <w:rPr>
                <w:rFonts w:ascii="等线" w:hAnsi="等线" w:eastAsia="等线"/>
                <w:color w:val="auto"/>
                <w:szCs w:val="22"/>
                <w:highlight w:val="none"/>
                <w:u w:val="single"/>
              </w:rPr>
            </w:pPr>
            <w:r>
              <w:rPr>
                <w:rFonts w:ascii="宋体" w:hAnsi="宋体" w:cs="宋体"/>
                <w:color w:val="auto"/>
                <w:kern w:val="0"/>
                <w:sz w:val="28"/>
                <w:szCs w:val="28"/>
                <w:highlight w:val="none"/>
              </w:rPr>
              <w:t>小写：</w:t>
            </w:r>
            <w:r>
              <w:rPr>
                <w:rFonts w:hint="eastAsia" w:ascii="宋体" w:hAnsi="宋体" w:cs="宋体"/>
                <w:color w:val="auto"/>
                <w:kern w:val="0"/>
                <w:sz w:val="28"/>
                <w:szCs w:val="28"/>
                <w:highlight w:val="none"/>
                <w:lang w:val="en-US" w:eastAsia="zh-CN"/>
              </w:rPr>
              <w:t xml:space="preserve">   </w:t>
            </w:r>
            <w:r>
              <w:rPr>
                <w:rFonts w:ascii="宋体" w:hAnsi="宋体" w:cs="宋体"/>
                <w:color w:val="auto"/>
                <w:kern w:val="0"/>
                <w:sz w:val="28"/>
                <w:szCs w:val="28"/>
                <w:highlight w:val="none"/>
              </w:rPr>
              <w:t>元（人民币）</w:t>
            </w:r>
          </w:p>
        </w:tc>
      </w:tr>
      <w:tr w14:paraId="02E5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tcPr>
          <w:p w14:paraId="7EFEB4B9">
            <w:pPr>
              <w:rPr>
                <w:rFonts w:ascii="等线" w:hAnsi="等线" w:eastAsia="等线"/>
                <w:color w:val="auto"/>
                <w:szCs w:val="22"/>
                <w:highlight w:val="none"/>
              </w:rPr>
            </w:pPr>
            <w:r>
              <w:rPr>
                <w:rFonts w:ascii="宋体" w:hAnsi="宋体" w:cs="宋体"/>
                <w:color w:val="auto"/>
                <w:kern w:val="0"/>
                <w:sz w:val="28"/>
                <w:szCs w:val="28"/>
                <w:highlight w:val="none"/>
              </w:rPr>
              <w:t>主要货物、服务制造商及产地</w:t>
            </w:r>
          </w:p>
        </w:tc>
        <w:tc>
          <w:tcPr>
            <w:tcW w:w="4607" w:type="dxa"/>
            <w:noWrap/>
          </w:tcPr>
          <w:p w14:paraId="4E0C7F61">
            <w:pPr>
              <w:rPr>
                <w:rFonts w:ascii="等线" w:hAnsi="等线" w:eastAsia="等线"/>
                <w:color w:val="auto"/>
                <w:szCs w:val="22"/>
                <w:highlight w:val="none"/>
              </w:rPr>
            </w:pPr>
          </w:p>
        </w:tc>
      </w:tr>
      <w:tr w14:paraId="71B5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noWrap/>
          </w:tcPr>
          <w:p w14:paraId="77765D9A">
            <w:pPr>
              <w:rPr>
                <w:rFonts w:ascii="等线" w:hAnsi="等线" w:eastAsia="等线"/>
                <w:color w:val="auto"/>
                <w:szCs w:val="22"/>
                <w:highlight w:val="none"/>
              </w:rPr>
            </w:pPr>
          </w:p>
        </w:tc>
        <w:tc>
          <w:tcPr>
            <w:tcW w:w="4607" w:type="dxa"/>
            <w:noWrap/>
          </w:tcPr>
          <w:p w14:paraId="0FDE9810">
            <w:pPr>
              <w:rPr>
                <w:rFonts w:ascii="等线" w:hAnsi="等线" w:eastAsia="等线"/>
                <w:color w:val="auto"/>
                <w:szCs w:val="22"/>
                <w:highlight w:val="none"/>
              </w:rPr>
            </w:pPr>
          </w:p>
        </w:tc>
      </w:tr>
    </w:tbl>
    <w:p w14:paraId="3096F7CC">
      <w:pPr>
        <w:rPr>
          <w:rFonts w:ascii="宋体" w:hAnsi="宋体" w:cs="宋体"/>
          <w:color w:val="auto"/>
          <w:kern w:val="0"/>
          <w:sz w:val="28"/>
          <w:szCs w:val="28"/>
          <w:highlight w:val="none"/>
        </w:rPr>
      </w:pPr>
      <w:r>
        <w:rPr>
          <w:rFonts w:ascii="宋体" w:hAnsi="宋体" w:cs="宋体"/>
          <w:color w:val="auto"/>
          <w:kern w:val="0"/>
          <w:sz w:val="28"/>
          <w:szCs w:val="28"/>
          <w:highlight w:val="none"/>
        </w:rPr>
        <w:t>日期：</w:t>
      </w:r>
    </w:p>
    <w:p w14:paraId="3361A9C7">
      <w:pPr>
        <w:rPr>
          <w:rFonts w:ascii="宋体" w:hAnsi="宋体" w:cs="宋体"/>
          <w:color w:val="auto"/>
          <w:kern w:val="0"/>
          <w:sz w:val="28"/>
          <w:szCs w:val="28"/>
          <w:highlight w:val="none"/>
        </w:rPr>
      </w:pPr>
      <w:r>
        <w:rPr>
          <w:rFonts w:ascii="宋体" w:hAnsi="宋体" w:cs="宋体"/>
          <w:color w:val="auto"/>
          <w:kern w:val="0"/>
          <w:sz w:val="28"/>
          <w:szCs w:val="28"/>
          <w:highlight w:val="none"/>
        </w:rPr>
        <w:t>填写说明：</w:t>
      </w:r>
    </w:p>
    <w:p w14:paraId="2928C624">
      <w:pPr>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w:t>
      </w:r>
      <w:r>
        <w:rPr>
          <w:rFonts w:hint="eastAsia" w:ascii="宋体" w:hAnsi="宋体" w:cs="宋体"/>
          <w:color w:val="auto"/>
          <w:kern w:val="0"/>
          <w:sz w:val="28"/>
          <w:szCs w:val="28"/>
          <w:highlight w:val="none"/>
        </w:rPr>
        <w:t>报价总</w:t>
      </w:r>
      <w:r>
        <w:rPr>
          <w:rFonts w:ascii="宋体" w:hAnsi="宋体" w:cs="宋体"/>
          <w:color w:val="auto"/>
          <w:kern w:val="0"/>
          <w:sz w:val="28"/>
          <w:szCs w:val="28"/>
          <w:highlight w:val="none"/>
        </w:rPr>
        <w:t>表必须加盖响应单位公章。</w:t>
      </w:r>
    </w:p>
    <w:p w14:paraId="29345BF9">
      <w:pPr>
        <w:rPr>
          <w:rFonts w:ascii="宋体" w:hAnsi="宋体" w:cs="宋体"/>
          <w:color w:val="auto"/>
          <w:kern w:val="0"/>
          <w:sz w:val="28"/>
          <w:szCs w:val="28"/>
          <w:highlight w:val="none"/>
        </w:rPr>
      </w:pPr>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、如有分包，</w:t>
      </w:r>
      <w:r>
        <w:rPr>
          <w:rFonts w:hint="eastAsia" w:ascii="宋体" w:hAnsi="宋体" w:cs="宋体"/>
          <w:color w:val="auto"/>
          <w:kern w:val="0"/>
          <w:sz w:val="28"/>
          <w:szCs w:val="28"/>
          <w:highlight w:val="none"/>
        </w:rPr>
        <w:t>响应供应商</w:t>
      </w:r>
      <w:r>
        <w:rPr>
          <w:rFonts w:ascii="宋体" w:hAnsi="宋体" w:cs="宋体"/>
          <w:color w:val="auto"/>
          <w:kern w:val="0"/>
          <w:sz w:val="28"/>
          <w:szCs w:val="28"/>
          <w:highlight w:val="none"/>
        </w:rPr>
        <w:t>投任何一个包的标的，都需单独填写</w:t>
      </w:r>
      <w:r>
        <w:rPr>
          <w:rFonts w:hint="eastAsia" w:ascii="宋体" w:hAnsi="宋体" w:cs="宋体"/>
          <w:color w:val="auto"/>
          <w:kern w:val="0"/>
          <w:sz w:val="28"/>
          <w:szCs w:val="28"/>
          <w:highlight w:val="none"/>
        </w:rPr>
        <w:t>报价总</w:t>
      </w:r>
      <w:r>
        <w:rPr>
          <w:rFonts w:ascii="宋体" w:hAnsi="宋体" w:cs="宋体"/>
          <w:color w:val="auto"/>
          <w:kern w:val="0"/>
          <w:sz w:val="28"/>
          <w:szCs w:val="28"/>
          <w:highlight w:val="none"/>
        </w:rPr>
        <w:t>表。</w:t>
      </w:r>
    </w:p>
    <w:p w14:paraId="78592629">
      <w:pPr>
        <w:spacing w:line="312" w:lineRule="auto"/>
        <w:jc w:val="center"/>
        <w:rPr>
          <w:rFonts w:ascii="宋体" w:hAnsi="宋体" w:cs="宋体"/>
          <w:b/>
          <w:color w:val="auto"/>
          <w:sz w:val="32"/>
          <w:szCs w:val="32"/>
          <w:highlight w:val="none"/>
        </w:rPr>
      </w:pPr>
    </w:p>
    <w:p w14:paraId="27CF2F7E">
      <w:pPr>
        <w:spacing w:line="312" w:lineRule="auto"/>
        <w:rPr>
          <w:rFonts w:hint="eastAsia" w:ascii="Times New Roman" w:hAnsi="Times New Roman" w:eastAsia="方正黑体_GBK"/>
          <w:color w:val="auto"/>
          <w:sz w:val="32"/>
          <w:szCs w:val="32"/>
          <w:highlight w:val="none"/>
          <w:lang w:eastAsia="zh-CN"/>
        </w:rPr>
      </w:pPr>
      <w:r>
        <w:rPr>
          <w:rFonts w:hint="eastAsia"/>
          <w:b/>
          <w:bCs/>
          <w:color w:val="auto"/>
          <w:sz w:val="32"/>
          <w:szCs w:val="32"/>
          <w:highlight w:val="none"/>
        </w:rPr>
        <w:br w:type="page"/>
      </w: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lang w:val="en-US" w:eastAsia="zh-CN"/>
        </w:rPr>
        <w:t>8</w:t>
      </w:r>
    </w:p>
    <w:p w14:paraId="35BE9C3A">
      <w:pPr>
        <w:pageBreakBefore w:val="0"/>
        <w:kinsoku/>
        <w:wordWrap/>
        <w:overflowPunct/>
        <w:topLinePunct w:val="0"/>
        <w:bidi w:val="0"/>
        <w:spacing w:line="536" w:lineRule="exact"/>
        <w:jc w:val="center"/>
        <w:rPr>
          <w:color w:val="auto"/>
          <w:sz w:val="32"/>
          <w:szCs w:val="32"/>
          <w:highlight w:val="none"/>
        </w:rPr>
      </w:pPr>
      <w:r>
        <w:rPr>
          <w:rFonts w:hint="eastAsia"/>
          <w:b/>
          <w:bCs/>
          <w:color w:val="auto"/>
          <w:sz w:val="32"/>
          <w:szCs w:val="32"/>
          <w:highlight w:val="none"/>
        </w:rPr>
        <w:t>分项报价明细表（货物类）</w:t>
      </w:r>
    </w:p>
    <w:p w14:paraId="51B0FC45">
      <w:pPr>
        <w:pageBreakBefore w:val="0"/>
        <w:kinsoku/>
        <w:wordWrap/>
        <w:overflowPunct/>
        <w:topLinePunct w:val="0"/>
        <w:bidi w:val="0"/>
        <w:snapToGrid w:val="0"/>
        <w:spacing w:line="536"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供应商（盖章）：</w:t>
      </w:r>
    </w:p>
    <w:tbl>
      <w:tblPr>
        <w:tblStyle w:val="13"/>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340"/>
        <w:gridCol w:w="1211"/>
        <w:gridCol w:w="1276"/>
        <w:gridCol w:w="1110"/>
        <w:gridCol w:w="1220"/>
        <w:gridCol w:w="2704"/>
      </w:tblGrid>
      <w:tr w14:paraId="39336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12" w:hRule="exact"/>
          <w:jc w:val="center"/>
        </w:trPr>
        <w:tc>
          <w:tcPr>
            <w:tcW w:w="1037" w:type="dxa"/>
            <w:noWrap w:val="0"/>
            <w:vAlign w:val="center"/>
          </w:tcPr>
          <w:p w14:paraId="3398DB76">
            <w:pPr>
              <w:pageBreakBefore w:val="0"/>
              <w:kinsoku/>
              <w:wordWrap/>
              <w:overflowPunct/>
              <w:topLinePunct w:val="0"/>
              <w:bidi w:val="0"/>
              <w:snapToGrid w:val="0"/>
              <w:spacing w:line="536" w:lineRule="exact"/>
              <w:jc w:val="center"/>
              <w:rPr>
                <w:rFonts w:ascii="宋体" w:hAnsi="宋体"/>
                <w:b/>
                <w:color w:val="auto"/>
                <w:szCs w:val="21"/>
                <w:highlight w:val="none"/>
              </w:rPr>
            </w:pPr>
            <w:r>
              <w:rPr>
                <w:rFonts w:hint="eastAsia" w:ascii="宋体" w:hAnsi="宋体"/>
                <w:b/>
                <w:color w:val="auto"/>
                <w:szCs w:val="21"/>
                <w:highlight w:val="none"/>
              </w:rPr>
              <w:t>序号</w:t>
            </w:r>
          </w:p>
        </w:tc>
        <w:tc>
          <w:tcPr>
            <w:tcW w:w="1340" w:type="dxa"/>
            <w:noWrap w:val="0"/>
            <w:vAlign w:val="center"/>
          </w:tcPr>
          <w:p w14:paraId="0D3F6A55">
            <w:pPr>
              <w:pageBreakBefore w:val="0"/>
              <w:kinsoku/>
              <w:wordWrap/>
              <w:overflowPunct/>
              <w:topLinePunct w:val="0"/>
              <w:bidi w:val="0"/>
              <w:snapToGrid w:val="0"/>
              <w:spacing w:line="536" w:lineRule="exact"/>
              <w:jc w:val="center"/>
              <w:rPr>
                <w:rFonts w:ascii="宋体" w:hAnsi="宋体"/>
                <w:b/>
                <w:color w:val="auto"/>
                <w:szCs w:val="21"/>
                <w:highlight w:val="none"/>
              </w:rPr>
            </w:pPr>
            <w:r>
              <w:rPr>
                <w:rFonts w:hint="eastAsia" w:ascii="宋体" w:hAnsi="宋体"/>
                <w:b/>
                <w:color w:val="auto"/>
                <w:szCs w:val="21"/>
                <w:highlight w:val="none"/>
              </w:rPr>
              <w:t>名称</w:t>
            </w:r>
          </w:p>
        </w:tc>
        <w:tc>
          <w:tcPr>
            <w:tcW w:w="1211" w:type="dxa"/>
            <w:noWrap w:val="0"/>
            <w:vAlign w:val="center"/>
          </w:tcPr>
          <w:p w14:paraId="12E97A43">
            <w:pPr>
              <w:pageBreakBefore w:val="0"/>
              <w:kinsoku/>
              <w:wordWrap/>
              <w:overflowPunct/>
              <w:topLinePunct w:val="0"/>
              <w:bidi w:val="0"/>
              <w:snapToGrid w:val="0"/>
              <w:spacing w:line="536" w:lineRule="exact"/>
              <w:jc w:val="center"/>
              <w:rPr>
                <w:rFonts w:ascii="宋体" w:hAnsi="宋体"/>
                <w:b/>
                <w:color w:val="auto"/>
                <w:szCs w:val="21"/>
                <w:highlight w:val="none"/>
              </w:rPr>
            </w:pPr>
            <w:r>
              <w:rPr>
                <w:rFonts w:hint="eastAsia" w:ascii="宋体" w:hAnsi="宋体"/>
                <w:b/>
                <w:color w:val="auto"/>
                <w:szCs w:val="21"/>
                <w:highlight w:val="none"/>
              </w:rPr>
              <w:t>规格型号</w:t>
            </w:r>
          </w:p>
        </w:tc>
        <w:tc>
          <w:tcPr>
            <w:tcW w:w="1276" w:type="dxa"/>
            <w:noWrap w:val="0"/>
            <w:vAlign w:val="center"/>
          </w:tcPr>
          <w:p w14:paraId="6C644429">
            <w:pPr>
              <w:pageBreakBefore w:val="0"/>
              <w:kinsoku/>
              <w:wordWrap/>
              <w:overflowPunct/>
              <w:topLinePunct w:val="0"/>
              <w:bidi w:val="0"/>
              <w:snapToGrid w:val="0"/>
              <w:spacing w:line="536" w:lineRule="exact"/>
              <w:jc w:val="center"/>
              <w:rPr>
                <w:rFonts w:ascii="宋体" w:hAnsi="宋体"/>
                <w:b/>
                <w:color w:val="auto"/>
                <w:szCs w:val="21"/>
                <w:highlight w:val="none"/>
              </w:rPr>
            </w:pPr>
            <w:r>
              <w:rPr>
                <w:rFonts w:hint="eastAsia" w:ascii="宋体" w:hAnsi="宋体"/>
                <w:b/>
                <w:color w:val="auto"/>
                <w:szCs w:val="21"/>
                <w:highlight w:val="none"/>
              </w:rPr>
              <w:t>品牌</w:t>
            </w:r>
          </w:p>
        </w:tc>
        <w:tc>
          <w:tcPr>
            <w:tcW w:w="1110" w:type="dxa"/>
            <w:noWrap w:val="0"/>
            <w:vAlign w:val="center"/>
          </w:tcPr>
          <w:p w14:paraId="7BB830F4">
            <w:pPr>
              <w:pageBreakBefore w:val="0"/>
              <w:kinsoku/>
              <w:wordWrap/>
              <w:overflowPunct/>
              <w:topLinePunct w:val="0"/>
              <w:bidi w:val="0"/>
              <w:snapToGrid w:val="0"/>
              <w:spacing w:line="536" w:lineRule="exact"/>
              <w:jc w:val="center"/>
              <w:rPr>
                <w:rFonts w:ascii="宋体" w:hAnsi="宋体"/>
                <w:b/>
                <w:color w:val="auto"/>
                <w:szCs w:val="21"/>
                <w:highlight w:val="none"/>
              </w:rPr>
            </w:pPr>
            <w:r>
              <w:rPr>
                <w:rFonts w:hint="eastAsia" w:ascii="宋体" w:hAnsi="宋体"/>
                <w:b/>
                <w:color w:val="auto"/>
                <w:szCs w:val="21"/>
                <w:highlight w:val="none"/>
              </w:rPr>
              <w:t>单位</w:t>
            </w:r>
          </w:p>
        </w:tc>
        <w:tc>
          <w:tcPr>
            <w:tcW w:w="1220" w:type="dxa"/>
            <w:noWrap w:val="0"/>
            <w:vAlign w:val="center"/>
          </w:tcPr>
          <w:p w14:paraId="1374A889">
            <w:pPr>
              <w:pageBreakBefore w:val="0"/>
              <w:kinsoku/>
              <w:wordWrap/>
              <w:overflowPunct/>
              <w:topLinePunct w:val="0"/>
              <w:bidi w:val="0"/>
              <w:snapToGrid w:val="0"/>
              <w:spacing w:line="536" w:lineRule="exact"/>
              <w:jc w:val="center"/>
              <w:rPr>
                <w:rFonts w:ascii="宋体" w:hAnsi="宋体"/>
                <w:b/>
                <w:color w:val="auto"/>
                <w:szCs w:val="21"/>
                <w:highlight w:val="none"/>
              </w:rPr>
            </w:pPr>
            <w:r>
              <w:rPr>
                <w:rFonts w:hint="eastAsia" w:ascii="宋体" w:hAnsi="宋体"/>
                <w:b/>
                <w:color w:val="auto"/>
                <w:szCs w:val="21"/>
                <w:highlight w:val="none"/>
              </w:rPr>
              <w:t>单价</w:t>
            </w:r>
          </w:p>
        </w:tc>
        <w:tc>
          <w:tcPr>
            <w:tcW w:w="2704" w:type="dxa"/>
            <w:noWrap w:val="0"/>
            <w:vAlign w:val="center"/>
          </w:tcPr>
          <w:p w14:paraId="75B21B66">
            <w:pPr>
              <w:pageBreakBefore w:val="0"/>
              <w:kinsoku/>
              <w:wordWrap/>
              <w:overflowPunct/>
              <w:topLinePunct w:val="0"/>
              <w:bidi w:val="0"/>
              <w:snapToGrid w:val="0"/>
              <w:spacing w:line="536" w:lineRule="exact"/>
              <w:ind w:firstLine="105" w:firstLineChars="50"/>
              <w:jc w:val="center"/>
              <w:rPr>
                <w:rFonts w:ascii="宋体" w:hAnsi="宋体"/>
                <w:b/>
                <w:color w:val="auto"/>
                <w:szCs w:val="21"/>
                <w:highlight w:val="none"/>
              </w:rPr>
            </w:pPr>
            <w:r>
              <w:rPr>
                <w:rFonts w:hint="eastAsia" w:ascii="宋体" w:hAnsi="宋体"/>
                <w:b/>
                <w:color w:val="auto"/>
                <w:szCs w:val="21"/>
                <w:highlight w:val="none"/>
              </w:rPr>
              <w:t>备注</w:t>
            </w:r>
          </w:p>
        </w:tc>
      </w:tr>
      <w:tr w14:paraId="3EE7F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jc w:val="center"/>
        </w:trPr>
        <w:tc>
          <w:tcPr>
            <w:tcW w:w="1037" w:type="dxa"/>
            <w:noWrap w:val="0"/>
            <w:vAlign w:val="center"/>
          </w:tcPr>
          <w:p w14:paraId="1F96CFF3">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340" w:type="dxa"/>
            <w:noWrap w:val="0"/>
            <w:vAlign w:val="center"/>
          </w:tcPr>
          <w:p w14:paraId="7E79DFE4">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1211" w:type="dxa"/>
            <w:noWrap w:val="0"/>
            <w:vAlign w:val="center"/>
          </w:tcPr>
          <w:p w14:paraId="664018AB">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1276" w:type="dxa"/>
            <w:noWrap w:val="0"/>
            <w:vAlign w:val="center"/>
          </w:tcPr>
          <w:p w14:paraId="519D3998">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1110" w:type="dxa"/>
            <w:noWrap w:val="0"/>
            <w:vAlign w:val="center"/>
          </w:tcPr>
          <w:p w14:paraId="1522113B">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1220" w:type="dxa"/>
            <w:noWrap w:val="0"/>
            <w:vAlign w:val="center"/>
          </w:tcPr>
          <w:p w14:paraId="761C5F75">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2704" w:type="dxa"/>
            <w:noWrap w:val="0"/>
            <w:vAlign w:val="center"/>
          </w:tcPr>
          <w:p w14:paraId="36093BFE">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r>
      <w:tr w14:paraId="7BC1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1" w:hRule="atLeast"/>
          <w:jc w:val="center"/>
        </w:trPr>
        <w:tc>
          <w:tcPr>
            <w:tcW w:w="1037" w:type="dxa"/>
            <w:noWrap w:val="0"/>
            <w:vAlign w:val="center"/>
          </w:tcPr>
          <w:p w14:paraId="176254F5">
            <w:pPr>
              <w:pageBreakBefore w:val="0"/>
              <w:kinsoku/>
              <w:wordWrap/>
              <w:overflowPunct/>
              <w:topLinePunct w:val="0"/>
              <w:bidi w:val="0"/>
              <w:snapToGrid w:val="0"/>
              <w:spacing w:line="536" w:lineRule="exact"/>
              <w:jc w:val="center"/>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lang w:val="en-US" w:eastAsia="zh-CN"/>
              </w:rPr>
              <w:t xml:space="preserve"> </w:t>
            </w:r>
          </w:p>
        </w:tc>
        <w:tc>
          <w:tcPr>
            <w:tcW w:w="1340" w:type="dxa"/>
            <w:noWrap w:val="0"/>
            <w:vAlign w:val="center"/>
          </w:tcPr>
          <w:p w14:paraId="74B23FE5">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1211" w:type="dxa"/>
            <w:noWrap w:val="0"/>
            <w:vAlign w:val="center"/>
          </w:tcPr>
          <w:p w14:paraId="60DCA2E1">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1276" w:type="dxa"/>
            <w:noWrap w:val="0"/>
            <w:vAlign w:val="center"/>
          </w:tcPr>
          <w:p w14:paraId="5B935CFA">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1110" w:type="dxa"/>
            <w:noWrap w:val="0"/>
            <w:vAlign w:val="center"/>
          </w:tcPr>
          <w:p w14:paraId="5C1FDDF8">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1220" w:type="dxa"/>
            <w:noWrap w:val="0"/>
            <w:vAlign w:val="center"/>
          </w:tcPr>
          <w:p w14:paraId="6B195D7B">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c>
          <w:tcPr>
            <w:tcW w:w="2704" w:type="dxa"/>
            <w:noWrap w:val="0"/>
            <w:vAlign w:val="center"/>
          </w:tcPr>
          <w:p w14:paraId="4B48FEE1">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r>
      <w:tr w14:paraId="219E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1037" w:type="dxa"/>
            <w:noWrap w:val="0"/>
            <w:vAlign w:val="center"/>
          </w:tcPr>
          <w:p w14:paraId="438ACF68">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合计</w:t>
            </w:r>
          </w:p>
        </w:tc>
        <w:tc>
          <w:tcPr>
            <w:tcW w:w="8861" w:type="dxa"/>
            <w:gridSpan w:val="6"/>
            <w:noWrap w:val="0"/>
            <w:vAlign w:val="center"/>
          </w:tcPr>
          <w:p w14:paraId="01A58CA2">
            <w:pPr>
              <w:pageBreakBefore w:val="0"/>
              <w:kinsoku/>
              <w:wordWrap/>
              <w:overflowPunct/>
              <w:topLinePunct w:val="0"/>
              <w:bidi w:val="0"/>
              <w:snapToGrid w:val="0"/>
              <w:spacing w:line="536" w:lineRule="exact"/>
              <w:jc w:val="center"/>
              <w:rPr>
                <w:rFonts w:ascii="仿宋_GB2312" w:hAnsi="宋体" w:eastAsia="仿宋_GB2312"/>
                <w:color w:val="auto"/>
                <w:sz w:val="24"/>
                <w:szCs w:val="24"/>
                <w:highlight w:val="none"/>
              </w:rPr>
            </w:pPr>
          </w:p>
        </w:tc>
      </w:tr>
    </w:tbl>
    <w:p w14:paraId="3C9FDB3A">
      <w:pPr>
        <w:pageBreakBefore w:val="0"/>
        <w:kinsoku/>
        <w:wordWrap/>
        <w:overflowPunct/>
        <w:topLinePunct w:val="0"/>
        <w:bidi w:val="0"/>
        <w:snapToGrid w:val="0"/>
        <w:spacing w:line="536" w:lineRule="exact"/>
        <w:outlineLvl w:val="0"/>
        <w:rPr>
          <w:rFonts w:hint="eastAsia" w:ascii="宋体" w:hAnsi="宋体" w:cs="宋体"/>
          <w:b/>
          <w:color w:val="auto"/>
          <w:kern w:val="0"/>
          <w:sz w:val="28"/>
          <w:szCs w:val="28"/>
          <w:highlight w:val="none"/>
          <w:lang w:val="zh-CN"/>
        </w:rPr>
      </w:pPr>
    </w:p>
    <w:p w14:paraId="226E1A2A">
      <w:pPr>
        <w:pageBreakBefore w:val="0"/>
        <w:kinsoku/>
        <w:wordWrap/>
        <w:overflowPunct/>
        <w:topLinePunct w:val="0"/>
        <w:bidi w:val="0"/>
        <w:snapToGrid w:val="0"/>
        <w:spacing w:line="536" w:lineRule="exact"/>
        <w:outlineLvl w:val="0"/>
        <w:rPr>
          <w:rFonts w:hint="eastAsia" w:ascii="宋体" w:hAnsi="宋体" w:cs="宋体"/>
          <w:b/>
          <w:color w:val="auto"/>
          <w:kern w:val="0"/>
          <w:sz w:val="28"/>
          <w:szCs w:val="28"/>
          <w:highlight w:val="none"/>
          <w:lang w:val="zh-CN"/>
        </w:rPr>
      </w:pPr>
      <w:r>
        <w:rPr>
          <w:rFonts w:hint="eastAsia" w:ascii="宋体" w:hAnsi="宋体" w:cs="宋体"/>
          <w:b/>
          <w:color w:val="auto"/>
          <w:kern w:val="0"/>
          <w:sz w:val="28"/>
          <w:szCs w:val="28"/>
          <w:highlight w:val="none"/>
          <w:lang w:val="zh-CN"/>
        </w:rPr>
        <w:t>注：1.供应商必须详细报出采购清单中各个子项的名称、品牌、规格型号、单价。请各供应商务必按照以上要求填报，否则作为无效响应处理。</w:t>
      </w:r>
    </w:p>
    <w:p w14:paraId="10CA3F14">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lang w:eastAsia="zh-CN" w:bidi="zh-CN"/>
        </w:rPr>
      </w:pPr>
      <w:r>
        <w:rPr>
          <w:rFonts w:hint="eastAsia" w:ascii="宋体" w:hAnsi="宋体" w:cs="宋体"/>
          <w:b/>
          <w:bCs/>
          <w:color w:val="auto"/>
          <w:sz w:val="24"/>
          <w:highlight w:val="none"/>
        </w:rPr>
        <w:br w:type="page"/>
      </w:r>
      <w:r>
        <w:rPr>
          <w:rFonts w:ascii="仿宋" w:hAnsi="仿宋" w:eastAsia="仿宋"/>
          <w:color w:val="auto"/>
          <w:sz w:val="32"/>
          <w:szCs w:val="32"/>
          <w:highlight w:val="none"/>
        </w:rPr>
        <w:t>附件</w:t>
      </w:r>
      <w:r>
        <w:rPr>
          <w:rFonts w:hint="eastAsia" w:ascii="仿宋" w:hAnsi="仿宋" w:eastAsia="仿宋"/>
          <w:color w:val="auto"/>
          <w:sz w:val="32"/>
          <w:szCs w:val="32"/>
          <w:highlight w:val="none"/>
          <w:lang w:val="en-US" w:eastAsia="zh-CN"/>
        </w:rPr>
        <w:t>9</w:t>
      </w:r>
    </w:p>
    <w:p w14:paraId="7CCB1164">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outlineLvl w:val="0"/>
        <w:rPr>
          <w:rFonts w:ascii="Times New Roman" w:hAnsi="Times New Roman"/>
          <w:b/>
          <w:bCs/>
          <w:color w:val="auto"/>
          <w:sz w:val="28"/>
          <w:szCs w:val="28"/>
          <w:highlight w:val="none"/>
          <w:lang w:bidi="zh-CN"/>
        </w:rPr>
      </w:pPr>
      <w:r>
        <w:rPr>
          <w:rFonts w:hint="eastAsia" w:ascii="仿宋" w:hAnsi="仿宋" w:eastAsia="仿宋"/>
          <w:color w:val="auto"/>
          <w:sz w:val="28"/>
          <w:szCs w:val="28"/>
          <w:highlight w:val="none"/>
          <w:lang w:bidi="zh-CN"/>
        </w:rPr>
        <w:t xml:space="preserve">         </w:t>
      </w:r>
      <w:r>
        <w:rPr>
          <w:rFonts w:ascii="Times New Roman" w:hAnsi="Times New Roman"/>
          <w:b/>
          <w:bCs/>
          <w:color w:val="auto"/>
          <w:sz w:val="28"/>
          <w:szCs w:val="28"/>
          <w:highlight w:val="none"/>
          <w:lang w:bidi="zh-CN"/>
        </w:rPr>
        <w:t>中小企业声明函（货物）</w:t>
      </w:r>
    </w:p>
    <w:p w14:paraId="423D070D">
      <w:pPr>
        <w:keepNext w:val="0"/>
        <w:keepLines w:val="0"/>
        <w:pageBreakBefore w:val="0"/>
        <w:widowControl w:val="0"/>
        <w:kinsoku/>
        <w:wordWrap/>
        <w:overflowPunct/>
        <w:topLinePunct w:val="0"/>
        <w:autoSpaceDE/>
        <w:autoSpaceDN/>
        <w:bidi w:val="0"/>
        <w:adjustRightInd/>
        <w:snapToGrid w:val="0"/>
        <w:spacing w:line="480" w:lineRule="exact"/>
        <w:ind w:firstLine="560" w:firstLineChars="200"/>
        <w:textAlignment w:val="auto"/>
        <w:outlineLvl w:val="0"/>
        <w:rPr>
          <w:rFonts w:ascii="Times New Roman" w:hAnsi="Times New Roman"/>
          <w:color w:val="auto"/>
          <w:sz w:val="28"/>
          <w:szCs w:val="28"/>
          <w:highlight w:val="none"/>
          <w:lang w:bidi="zh-CN"/>
        </w:rPr>
      </w:pPr>
      <w:r>
        <w:rPr>
          <w:rFonts w:ascii="Times New Roman" w:hAnsi="Times New Roman"/>
          <w:color w:val="auto"/>
          <w:sz w:val="28"/>
          <w:szCs w:val="28"/>
          <w:highlight w:val="none"/>
          <w:lang w:bidi="zh-CN"/>
        </w:rPr>
        <w:t>本公司（联合体）郑重声明，根据《政府采购促进中小企业发展管理办法》（财库</w:t>
      </w:r>
      <w:r>
        <w:rPr>
          <w:rFonts w:hint="eastAsia" w:ascii="Times New Roman" w:hAnsi="Times New Roman"/>
          <w:color w:val="auto"/>
          <w:sz w:val="28"/>
          <w:szCs w:val="28"/>
          <w:highlight w:val="none"/>
          <w:lang w:bidi="zh-CN"/>
        </w:rPr>
        <w:t>﹝</w:t>
      </w:r>
      <w:r>
        <w:rPr>
          <w:rFonts w:ascii="Times New Roman" w:hAnsi="Times New Roman"/>
          <w:color w:val="auto"/>
          <w:sz w:val="28"/>
          <w:szCs w:val="28"/>
          <w:highlight w:val="none"/>
          <w:lang w:bidi="zh-CN"/>
        </w:rPr>
        <w:t>2020</w:t>
      </w:r>
      <w:r>
        <w:rPr>
          <w:rFonts w:hint="eastAsia" w:ascii="Times New Roman" w:hAnsi="Times New Roman"/>
          <w:color w:val="auto"/>
          <w:sz w:val="28"/>
          <w:szCs w:val="28"/>
          <w:highlight w:val="none"/>
          <w:lang w:bidi="zh-CN"/>
        </w:rPr>
        <w:t>﹞</w:t>
      </w:r>
      <w:r>
        <w:rPr>
          <w:rFonts w:ascii="Times New Roman" w:hAnsi="Times New Roman"/>
          <w:color w:val="auto"/>
          <w:sz w:val="28"/>
          <w:szCs w:val="28"/>
          <w:highlight w:val="none"/>
          <w:lang w:bidi="zh-CN"/>
        </w:rPr>
        <w:t>46 号）的规定，本公司（联合体）参加</w:t>
      </w:r>
      <w:r>
        <w:rPr>
          <w:rFonts w:ascii="Times New Roman" w:hAnsi="Times New Roman"/>
          <w:color w:val="auto"/>
          <w:sz w:val="28"/>
          <w:szCs w:val="28"/>
          <w:highlight w:val="none"/>
          <w:u w:val="single"/>
          <w:lang w:bidi="zh-CN"/>
        </w:rPr>
        <w:t>（单位名称）</w:t>
      </w:r>
      <w:r>
        <w:rPr>
          <w:rFonts w:ascii="Times New Roman" w:hAnsi="Times New Roman"/>
          <w:color w:val="auto"/>
          <w:sz w:val="28"/>
          <w:szCs w:val="28"/>
          <w:highlight w:val="none"/>
          <w:lang w:bidi="zh-CN"/>
        </w:rPr>
        <w:t>的</w:t>
      </w:r>
      <w:r>
        <w:rPr>
          <w:rFonts w:ascii="Times New Roman" w:hAnsi="Times New Roman"/>
          <w:color w:val="auto"/>
          <w:sz w:val="28"/>
          <w:szCs w:val="28"/>
          <w:highlight w:val="none"/>
          <w:u w:val="single"/>
          <w:lang w:bidi="zh-CN"/>
        </w:rPr>
        <w:t>（项目名称）</w:t>
      </w:r>
      <w:r>
        <w:rPr>
          <w:rFonts w:ascii="Times New Roman" w:hAnsi="Times New Roman"/>
          <w:color w:val="auto"/>
          <w:sz w:val="28"/>
          <w:szCs w:val="28"/>
          <w:highlight w:val="none"/>
          <w:lang w:bidi="zh-CN"/>
        </w:rPr>
        <w:t>采购活动，提供的货物全部由符合政策要求的中小企业制造。相关企业（含联合体中的中小企业、签订分包意向协议的中小企业） 的具体情况如下：</w:t>
      </w:r>
    </w:p>
    <w:p w14:paraId="2BF4B562">
      <w:pPr>
        <w:keepNext w:val="0"/>
        <w:keepLines w:val="0"/>
        <w:pageBreakBefore w:val="0"/>
        <w:widowControl w:val="0"/>
        <w:kinsoku/>
        <w:wordWrap/>
        <w:overflowPunct/>
        <w:topLinePunct w:val="0"/>
        <w:autoSpaceDE/>
        <w:autoSpaceDN/>
        <w:bidi w:val="0"/>
        <w:adjustRightInd/>
        <w:snapToGrid w:val="0"/>
        <w:spacing w:line="480" w:lineRule="exact"/>
        <w:textAlignment w:val="auto"/>
        <w:outlineLvl w:val="0"/>
        <w:rPr>
          <w:rFonts w:ascii="Times New Roman" w:hAnsi="Times New Roman"/>
          <w:color w:val="auto"/>
          <w:sz w:val="28"/>
          <w:szCs w:val="28"/>
          <w:highlight w:val="none"/>
          <w:lang w:bidi="zh-CN"/>
        </w:rPr>
      </w:pPr>
      <w:r>
        <w:rPr>
          <w:rFonts w:hint="eastAsia" w:ascii="Times New Roman" w:hAnsi="Times New Roman"/>
          <w:color w:val="auto"/>
          <w:sz w:val="28"/>
          <w:szCs w:val="28"/>
          <w:highlight w:val="none"/>
          <w:lang w:bidi="zh-CN"/>
        </w:rPr>
        <w:t>1.</w:t>
      </w:r>
      <w:r>
        <w:rPr>
          <w:rFonts w:ascii="Times New Roman" w:hAnsi="Times New Roman"/>
          <w:color w:val="auto"/>
          <w:sz w:val="28"/>
          <w:szCs w:val="28"/>
          <w:highlight w:val="none"/>
          <w:u w:val="single"/>
          <w:lang w:bidi="zh-CN"/>
        </w:rPr>
        <w:t xml:space="preserve"> （标的名称）</w:t>
      </w:r>
      <w:r>
        <w:rPr>
          <w:rFonts w:ascii="Times New Roman" w:hAnsi="Times New Roman"/>
          <w:color w:val="auto"/>
          <w:sz w:val="28"/>
          <w:szCs w:val="28"/>
          <w:highlight w:val="none"/>
          <w:lang w:bidi="zh-CN"/>
        </w:rPr>
        <w:t xml:space="preserve"> ，属于</w:t>
      </w:r>
      <w:r>
        <w:rPr>
          <w:rFonts w:ascii="Times New Roman" w:hAnsi="Times New Roman"/>
          <w:color w:val="auto"/>
          <w:sz w:val="28"/>
          <w:szCs w:val="28"/>
          <w:highlight w:val="none"/>
          <w:u w:val="single"/>
          <w:lang w:bidi="zh-CN"/>
        </w:rPr>
        <w:t>（采购文件中明确的所属行业）</w:t>
      </w:r>
      <w:r>
        <w:rPr>
          <w:rFonts w:ascii="Times New Roman" w:hAnsi="Times New Roman"/>
          <w:color w:val="auto"/>
          <w:sz w:val="28"/>
          <w:szCs w:val="28"/>
          <w:highlight w:val="none"/>
          <w:lang w:bidi="zh-CN"/>
        </w:rPr>
        <w:t>行业；制造商为</w:t>
      </w:r>
      <w:r>
        <w:rPr>
          <w:rFonts w:ascii="Times New Roman" w:hAnsi="Times New Roman"/>
          <w:color w:val="auto"/>
          <w:sz w:val="28"/>
          <w:szCs w:val="28"/>
          <w:highlight w:val="none"/>
          <w:u w:val="single"/>
          <w:lang w:bidi="zh-CN"/>
        </w:rPr>
        <w:t>（企业名称）</w:t>
      </w:r>
      <w:r>
        <w:rPr>
          <w:rFonts w:ascii="Times New Roman" w:hAnsi="Times New Roman"/>
          <w:color w:val="auto"/>
          <w:sz w:val="28"/>
          <w:szCs w:val="28"/>
          <w:highlight w:val="none"/>
          <w:lang w:bidi="zh-CN"/>
        </w:rPr>
        <w:t>，从业人员</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人，营业收入为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万元，资产总额为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万元，属于</w:t>
      </w:r>
      <w:r>
        <w:rPr>
          <w:rFonts w:ascii="Times New Roman" w:hAnsi="Times New Roman"/>
          <w:color w:val="auto"/>
          <w:sz w:val="28"/>
          <w:szCs w:val="28"/>
          <w:highlight w:val="none"/>
          <w:u w:val="single"/>
          <w:lang w:bidi="zh-CN"/>
        </w:rPr>
        <w:t>（中型企业、小型企业、微型企业）</w:t>
      </w:r>
      <w:r>
        <w:rPr>
          <w:rFonts w:ascii="Times New Roman" w:hAnsi="Times New Roman"/>
          <w:color w:val="auto"/>
          <w:sz w:val="28"/>
          <w:szCs w:val="28"/>
          <w:highlight w:val="none"/>
          <w:lang w:bidi="zh-CN"/>
        </w:rPr>
        <w:t>；</w:t>
      </w:r>
    </w:p>
    <w:p w14:paraId="1DD9A079">
      <w:pPr>
        <w:keepNext w:val="0"/>
        <w:keepLines w:val="0"/>
        <w:pageBreakBefore w:val="0"/>
        <w:widowControl w:val="0"/>
        <w:kinsoku/>
        <w:wordWrap/>
        <w:overflowPunct/>
        <w:topLinePunct w:val="0"/>
        <w:autoSpaceDE/>
        <w:autoSpaceDN/>
        <w:bidi w:val="0"/>
        <w:adjustRightInd/>
        <w:snapToGrid w:val="0"/>
        <w:spacing w:line="480" w:lineRule="exact"/>
        <w:textAlignment w:val="auto"/>
        <w:outlineLvl w:val="0"/>
        <w:rPr>
          <w:rFonts w:ascii="Times New Roman" w:hAnsi="Times New Roman"/>
          <w:color w:val="auto"/>
          <w:sz w:val="28"/>
          <w:szCs w:val="28"/>
          <w:highlight w:val="none"/>
          <w:lang w:bidi="zh-CN"/>
        </w:rPr>
      </w:pPr>
      <w:r>
        <w:rPr>
          <w:rFonts w:hint="eastAsia" w:ascii="Times New Roman" w:hAnsi="Times New Roman"/>
          <w:color w:val="auto"/>
          <w:sz w:val="28"/>
          <w:szCs w:val="28"/>
          <w:highlight w:val="none"/>
          <w:lang w:bidi="zh-CN"/>
        </w:rPr>
        <w:t>2.</w:t>
      </w:r>
      <w:r>
        <w:rPr>
          <w:rFonts w:ascii="Times New Roman" w:hAnsi="Times New Roman"/>
          <w:i/>
          <w:color w:val="auto"/>
          <w:sz w:val="28"/>
          <w:szCs w:val="28"/>
          <w:highlight w:val="none"/>
          <w:u w:val="single"/>
          <w:lang w:bidi="zh-CN"/>
        </w:rPr>
        <w:t xml:space="preserve"> </w:t>
      </w:r>
      <w:r>
        <w:rPr>
          <w:rFonts w:ascii="Times New Roman" w:hAnsi="Times New Roman"/>
          <w:color w:val="auto"/>
          <w:sz w:val="28"/>
          <w:szCs w:val="28"/>
          <w:highlight w:val="none"/>
          <w:u w:val="single"/>
          <w:lang w:bidi="zh-CN"/>
        </w:rPr>
        <w:t xml:space="preserve">（标的名称） </w:t>
      </w:r>
      <w:r>
        <w:rPr>
          <w:rFonts w:ascii="Times New Roman" w:hAnsi="Times New Roman"/>
          <w:color w:val="auto"/>
          <w:sz w:val="28"/>
          <w:szCs w:val="28"/>
          <w:highlight w:val="none"/>
          <w:lang w:bidi="zh-CN"/>
        </w:rPr>
        <w:t>，属于</w:t>
      </w:r>
      <w:r>
        <w:rPr>
          <w:rFonts w:ascii="Times New Roman" w:hAnsi="Times New Roman"/>
          <w:color w:val="auto"/>
          <w:sz w:val="28"/>
          <w:szCs w:val="28"/>
          <w:highlight w:val="none"/>
          <w:u w:val="single"/>
          <w:lang w:bidi="zh-CN"/>
        </w:rPr>
        <w:t>（采购文件中明确的所属行业）</w:t>
      </w:r>
      <w:r>
        <w:rPr>
          <w:rFonts w:ascii="Times New Roman" w:hAnsi="Times New Roman"/>
          <w:color w:val="auto"/>
          <w:sz w:val="28"/>
          <w:szCs w:val="28"/>
          <w:highlight w:val="none"/>
          <w:lang w:bidi="zh-CN"/>
        </w:rPr>
        <w:t>行业；制造商为</w:t>
      </w:r>
      <w:r>
        <w:rPr>
          <w:rFonts w:ascii="Times New Roman" w:hAnsi="Times New Roman"/>
          <w:color w:val="auto"/>
          <w:sz w:val="28"/>
          <w:szCs w:val="28"/>
          <w:highlight w:val="none"/>
          <w:u w:val="single"/>
          <w:lang w:bidi="zh-CN"/>
        </w:rPr>
        <w:t>（企业名称）</w:t>
      </w:r>
      <w:r>
        <w:rPr>
          <w:rFonts w:ascii="Times New Roman" w:hAnsi="Times New Roman"/>
          <w:color w:val="auto"/>
          <w:sz w:val="28"/>
          <w:szCs w:val="28"/>
          <w:highlight w:val="none"/>
          <w:lang w:bidi="zh-CN"/>
        </w:rPr>
        <w:t>，从业人员</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人，营业收入为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万元，资产总额为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万元，属于</w:t>
      </w:r>
      <w:r>
        <w:rPr>
          <w:rFonts w:ascii="Times New Roman" w:hAnsi="Times New Roman"/>
          <w:color w:val="auto"/>
          <w:sz w:val="28"/>
          <w:szCs w:val="28"/>
          <w:highlight w:val="none"/>
          <w:u w:val="single"/>
          <w:lang w:bidi="zh-CN"/>
        </w:rPr>
        <w:t>（中型企业、小型企业、微型企业）</w:t>
      </w:r>
      <w:r>
        <w:rPr>
          <w:rFonts w:ascii="Times New Roman" w:hAnsi="Times New Roman"/>
          <w:color w:val="auto"/>
          <w:sz w:val="28"/>
          <w:szCs w:val="28"/>
          <w:highlight w:val="none"/>
          <w:lang w:bidi="zh-CN"/>
        </w:rPr>
        <w:t>；</w:t>
      </w:r>
    </w:p>
    <w:p w14:paraId="45F4B364">
      <w:pPr>
        <w:keepNext w:val="0"/>
        <w:keepLines w:val="0"/>
        <w:pageBreakBefore w:val="0"/>
        <w:widowControl w:val="0"/>
        <w:kinsoku/>
        <w:wordWrap/>
        <w:overflowPunct/>
        <w:topLinePunct w:val="0"/>
        <w:autoSpaceDE/>
        <w:autoSpaceDN/>
        <w:bidi w:val="0"/>
        <w:adjustRightInd/>
        <w:snapToGrid w:val="0"/>
        <w:spacing w:line="500" w:lineRule="exact"/>
        <w:textAlignment w:val="auto"/>
        <w:outlineLvl w:val="0"/>
        <w:rPr>
          <w:rFonts w:ascii="Times New Roman" w:hAnsi="Times New Roman"/>
          <w:color w:val="auto"/>
          <w:sz w:val="28"/>
          <w:szCs w:val="28"/>
          <w:highlight w:val="none"/>
          <w:lang w:bidi="zh-CN"/>
        </w:rPr>
      </w:pPr>
      <w:r>
        <w:rPr>
          <w:rFonts w:ascii="Times New Roman" w:hAnsi="Times New Roman"/>
          <w:color w:val="auto"/>
          <w:sz w:val="28"/>
          <w:szCs w:val="28"/>
          <w:highlight w:val="none"/>
          <w:lang w:bidi="zh-CN"/>
        </w:rPr>
        <w:t>……</w:t>
      </w:r>
    </w:p>
    <w:p w14:paraId="77779FF2">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outlineLvl w:val="0"/>
        <w:rPr>
          <w:rFonts w:ascii="Times New Roman" w:hAnsi="Times New Roman"/>
          <w:color w:val="auto"/>
          <w:sz w:val="28"/>
          <w:szCs w:val="28"/>
          <w:highlight w:val="none"/>
          <w:lang w:bidi="zh-CN"/>
        </w:rPr>
      </w:pPr>
      <w:r>
        <w:rPr>
          <w:rFonts w:ascii="Times New Roman" w:hAnsi="Times New Roman"/>
          <w:color w:val="auto"/>
          <w:sz w:val="28"/>
          <w:szCs w:val="28"/>
          <w:highlight w:val="none"/>
          <w:lang w:bidi="zh-CN"/>
        </w:rPr>
        <w:t>以上企业，不属于大企业的分支机构，不存在控股股东为大企业的情形，也不存在与大企业的负责人为同一人的情形。</w:t>
      </w:r>
    </w:p>
    <w:p w14:paraId="60935094">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outlineLvl w:val="0"/>
        <w:rPr>
          <w:rFonts w:ascii="Times New Roman" w:hAnsi="Times New Roman"/>
          <w:color w:val="auto"/>
          <w:sz w:val="28"/>
          <w:szCs w:val="28"/>
          <w:highlight w:val="none"/>
          <w:lang w:bidi="zh-CN"/>
        </w:rPr>
      </w:pPr>
      <w:r>
        <w:rPr>
          <w:rFonts w:ascii="Times New Roman" w:hAnsi="Times New Roman"/>
          <w:color w:val="auto"/>
          <w:sz w:val="28"/>
          <w:szCs w:val="28"/>
          <w:highlight w:val="none"/>
          <w:lang w:bidi="zh-CN"/>
        </w:rPr>
        <w:t>本企业对上述声明内容的真实性负责。如有虚假，将依法承担相应责任。</w:t>
      </w:r>
    </w:p>
    <w:p w14:paraId="2AD5B912">
      <w:pPr>
        <w:keepNext w:val="0"/>
        <w:keepLines w:val="0"/>
        <w:pageBreakBefore w:val="0"/>
        <w:widowControl w:val="0"/>
        <w:kinsoku/>
        <w:wordWrap/>
        <w:overflowPunct/>
        <w:topLinePunct w:val="0"/>
        <w:autoSpaceDE/>
        <w:autoSpaceDN/>
        <w:bidi w:val="0"/>
        <w:adjustRightInd/>
        <w:snapToGrid w:val="0"/>
        <w:spacing w:line="500" w:lineRule="exact"/>
        <w:textAlignment w:val="auto"/>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注：1.如项目属性为“货物”，请按本表填写。</w:t>
      </w:r>
    </w:p>
    <w:p w14:paraId="07DCF558">
      <w:pPr>
        <w:keepNext w:val="0"/>
        <w:keepLines w:val="0"/>
        <w:pageBreakBefore w:val="0"/>
        <w:widowControl w:val="0"/>
        <w:kinsoku/>
        <w:wordWrap/>
        <w:overflowPunct/>
        <w:topLinePunct w:val="0"/>
        <w:autoSpaceDE/>
        <w:autoSpaceDN/>
        <w:bidi w:val="0"/>
        <w:adjustRightInd/>
        <w:snapToGrid w:val="0"/>
        <w:spacing w:line="500" w:lineRule="exact"/>
        <w:ind w:firstLine="420" w:firstLineChars="200"/>
        <w:textAlignment w:val="auto"/>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2.从业人员、营业收入、资产总额填报上一年度数据，无上一年度数据的新成立企业可不填报。</w:t>
      </w:r>
    </w:p>
    <w:p w14:paraId="22876AB9">
      <w:pPr>
        <w:keepNext w:val="0"/>
        <w:keepLines w:val="0"/>
        <w:pageBreakBefore w:val="0"/>
        <w:widowControl w:val="0"/>
        <w:kinsoku/>
        <w:wordWrap/>
        <w:overflowPunct/>
        <w:topLinePunct w:val="0"/>
        <w:autoSpaceDE/>
        <w:autoSpaceDN/>
        <w:bidi w:val="0"/>
        <w:adjustRightInd/>
        <w:snapToGrid w:val="0"/>
        <w:spacing w:line="500" w:lineRule="exact"/>
        <w:textAlignment w:val="auto"/>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p>
    <w:p w14:paraId="6CC7DA24">
      <w:pPr>
        <w:keepNext w:val="0"/>
        <w:keepLines w:val="0"/>
        <w:pageBreakBefore w:val="0"/>
        <w:widowControl w:val="0"/>
        <w:kinsoku/>
        <w:wordWrap/>
        <w:overflowPunct/>
        <w:topLinePunct w:val="0"/>
        <w:autoSpaceDE/>
        <w:autoSpaceDN/>
        <w:bidi w:val="0"/>
        <w:adjustRightInd/>
        <w:snapToGrid w:val="0"/>
        <w:spacing w:line="500" w:lineRule="exact"/>
        <w:textAlignment w:val="auto"/>
        <w:outlineLvl w:val="0"/>
        <w:rPr>
          <w:rFonts w:hint="eastAsia" w:ascii="Times New Roman" w:hAnsi="Times New Roman"/>
          <w:color w:val="auto"/>
          <w:sz w:val="28"/>
          <w:szCs w:val="28"/>
          <w:highlight w:val="none"/>
          <w:lang w:bidi="zh-CN"/>
        </w:rPr>
      </w:pPr>
      <w:r>
        <w:rPr>
          <w:rFonts w:hint="eastAsia" w:ascii="宋体" w:hAnsi="宋体" w:cs="宋体"/>
          <w:color w:val="auto"/>
          <w:szCs w:val="21"/>
          <w:highlight w:val="none"/>
          <w:lang w:bidi="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40C79E65">
      <w:pPr>
        <w:pageBreakBefore w:val="0"/>
        <w:kinsoku/>
        <w:wordWrap/>
        <w:overflowPunct/>
        <w:topLinePunct w:val="0"/>
        <w:bidi w:val="0"/>
        <w:snapToGrid w:val="0"/>
        <w:spacing w:line="536" w:lineRule="exact"/>
        <w:jc w:val="center"/>
        <w:outlineLvl w:val="0"/>
        <w:rPr>
          <w:rFonts w:hint="eastAsia" w:ascii="Times New Roman" w:hAnsi="Times New Roman"/>
          <w:color w:val="auto"/>
          <w:sz w:val="28"/>
          <w:szCs w:val="28"/>
          <w:highlight w:val="none"/>
          <w:lang w:bidi="zh-CN"/>
        </w:rPr>
      </w:pPr>
      <w:r>
        <w:rPr>
          <w:rFonts w:hint="eastAsia" w:ascii="Times New Roman" w:hAnsi="Times New Roman"/>
          <w:color w:val="auto"/>
          <w:sz w:val="28"/>
          <w:szCs w:val="28"/>
          <w:highlight w:val="none"/>
          <w:lang w:bidi="zh-CN"/>
        </w:rPr>
        <w:t xml:space="preserve">                      </w:t>
      </w:r>
      <w:r>
        <w:rPr>
          <w:rFonts w:ascii="Times New Roman" w:hAnsi="Times New Roman"/>
          <w:color w:val="auto"/>
          <w:sz w:val="28"/>
          <w:szCs w:val="28"/>
          <w:highlight w:val="none"/>
          <w:lang w:bidi="zh-CN"/>
        </w:rPr>
        <w:t>企业名称（盖章）：</w:t>
      </w:r>
    </w:p>
    <w:p w14:paraId="0E69471F">
      <w:pPr>
        <w:pageBreakBefore w:val="0"/>
        <w:kinsoku/>
        <w:wordWrap/>
        <w:overflowPunct/>
        <w:topLinePunct w:val="0"/>
        <w:bidi w:val="0"/>
        <w:snapToGrid w:val="0"/>
        <w:spacing w:line="536" w:lineRule="exact"/>
        <w:jc w:val="center"/>
        <w:outlineLvl w:val="0"/>
        <w:rPr>
          <w:rFonts w:ascii="Times New Roman" w:hAnsi="Times New Roman"/>
          <w:color w:val="auto"/>
          <w:sz w:val="28"/>
          <w:szCs w:val="28"/>
          <w:highlight w:val="none"/>
          <w:lang w:bidi="zh-CN"/>
        </w:rPr>
      </w:pPr>
      <w:r>
        <w:rPr>
          <w:rFonts w:hint="eastAsia" w:ascii="Times New Roman" w:hAnsi="Times New Roman"/>
          <w:color w:val="auto"/>
          <w:sz w:val="28"/>
          <w:szCs w:val="28"/>
          <w:highlight w:val="none"/>
          <w:lang w:bidi="zh-CN"/>
        </w:rPr>
        <w:t xml:space="preserve">          </w:t>
      </w:r>
      <w:r>
        <w:rPr>
          <w:rFonts w:ascii="Times New Roman" w:hAnsi="Times New Roman"/>
          <w:color w:val="auto"/>
          <w:sz w:val="28"/>
          <w:szCs w:val="28"/>
          <w:highlight w:val="none"/>
          <w:lang w:bidi="zh-CN"/>
        </w:rPr>
        <w:t>日期：</w:t>
      </w:r>
    </w:p>
    <w:p w14:paraId="35F74C74">
      <w:pPr>
        <w:pageBreakBefore w:val="0"/>
        <w:kinsoku/>
        <w:wordWrap/>
        <w:overflowPunct/>
        <w:topLinePunct w:val="0"/>
        <w:bidi w:val="0"/>
        <w:snapToGrid w:val="0"/>
        <w:spacing w:line="536" w:lineRule="exact"/>
        <w:outlineLvl w:val="0"/>
        <w:rPr>
          <w:rFonts w:ascii="仿宋" w:hAnsi="仿宋" w:eastAsia="仿宋"/>
          <w:color w:val="auto"/>
          <w:sz w:val="32"/>
          <w:szCs w:val="32"/>
          <w:highlight w:val="none"/>
        </w:rPr>
      </w:pPr>
    </w:p>
    <w:p w14:paraId="3E8AF4E9">
      <w:pPr>
        <w:pageBreakBefore w:val="0"/>
        <w:kinsoku/>
        <w:wordWrap/>
        <w:overflowPunct/>
        <w:topLinePunct w:val="0"/>
        <w:bidi w:val="0"/>
        <w:snapToGrid w:val="0"/>
        <w:spacing w:line="536" w:lineRule="exact"/>
        <w:outlineLvl w:val="0"/>
        <w:rPr>
          <w:rFonts w:hint="default" w:ascii="仿宋" w:hAnsi="仿宋" w:eastAsia="仿宋"/>
          <w:color w:val="auto"/>
          <w:sz w:val="32"/>
          <w:szCs w:val="32"/>
          <w:highlight w:val="none"/>
          <w:lang w:val="en-US" w:eastAsia="zh-CN"/>
        </w:rPr>
      </w:pPr>
      <w:r>
        <w:rPr>
          <w:rFonts w:ascii="仿宋" w:hAnsi="仿宋" w:eastAsia="仿宋"/>
          <w:color w:val="auto"/>
          <w:sz w:val="32"/>
          <w:szCs w:val="32"/>
          <w:highlight w:val="none"/>
        </w:rPr>
        <w:t>附件</w:t>
      </w:r>
      <w:r>
        <w:rPr>
          <w:rFonts w:hint="eastAsia" w:ascii="仿宋" w:hAnsi="仿宋" w:eastAsia="仿宋"/>
          <w:color w:val="auto"/>
          <w:sz w:val="32"/>
          <w:szCs w:val="32"/>
          <w:highlight w:val="none"/>
          <w:lang w:val="en-US" w:eastAsia="zh-CN"/>
        </w:rPr>
        <w:t>10</w:t>
      </w:r>
    </w:p>
    <w:p w14:paraId="3119E504">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残疾人福利性单位声明函（如有）</w:t>
      </w:r>
    </w:p>
    <w:p w14:paraId="6CDA2483">
      <w:pPr>
        <w:pageBreakBefore w:val="0"/>
        <w:kinsoku/>
        <w:wordWrap/>
        <w:overflowPunct/>
        <w:topLinePunct w:val="0"/>
        <w:bidi w:val="0"/>
        <w:spacing w:line="536"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54850E31">
      <w:pPr>
        <w:pageBreakBefore w:val="0"/>
        <w:kinsoku/>
        <w:wordWrap/>
        <w:overflowPunct/>
        <w:topLinePunct w:val="0"/>
        <w:bidi w:val="0"/>
        <w:spacing w:line="536"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511793FD">
      <w:pPr>
        <w:pageBreakBefore w:val="0"/>
        <w:kinsoku/>
        <w:wordWrap/>
        <w:overflowPunct/>
        <w:topLinePunct w:val="0"/>
        <w:bidi w:val="0"/>
        <w:spacing w:line="536" w:lineRule="exact"/>
        <w:ind w:firstLine="560" w:firstLineChars="200"/>
        <w:rPr>
          <w:rFonts w:hint="eastAsia" w:ascii="仿宋" w:hAnsi="仿宋" w:eastAsia="仿宋"/>
          <w:color w:val="auto"/>
          <w:sz w:val="28"/>
          <w:szCs w:val="28"/>
          <w:highlight w:val="none"/>
        </w:rPr>
      </w:pPr>
    </w:p>
    <w:p w14:paraId="150AF62F">
      <w:pPr>
        <w:pageBreakBefore w:val="0"/>
        <w:kinsoku/>
        <w:wordWrap/>
        <w:overflowPunct/>
        <w:topLinePunct w:val="0"/>
        <w:bidi w:val="0"/>
        <w:spacing w:line="536" w:lineRule="exact"/>
        <w:ind w:firstLine="560" w:firstLineChars="200"/>
        <w:rPr>
          <w:rFonts w:hint="eastAsia" w:ascii="仿宋" w:hAnsi="仿宋" w:eastAsia="仿宋"/>
          <w:color w:val="auto"/>
          <w:sz w:val="28"/>
          <w:szCs w:val="28"/>
          <w:highlight w:val="none"/>
        </w:rPr>
      </w:pPr>
    </w:p>
    <w:p w14:paraId="503AB4A8">
      <w:pPr>
        <w:pageBreakBefore w:val="0"/>
        <w:kinsoku/>
        <w:wordWrap/>
        <w:overflowPunct/>
        <w:topLinePunct w:val="0"/>
        <w:bidi w:val="0"/>
        <w:spacing w:line="536" w:lineRule="exact"/>
        <w:ind w:firstLine="560" w:firstLineChars="200"/>
        <w:rPr>
          <w:rFonts w:hint="eastAsia" w:ascii="仿宋" w:hAnsi="仿宋" w:eastAsia="仿宋"/>
          <w:color w:val="auto"/>
          <w:sz w:val="28"/>
          <w:szCs w:val="28"/>
          <w:highlight w:val="none"/>
        </w:rPr>
      </w:pPr>
    </w:p>
    <w:p w14:paraId="1BC0CBD7">
      <w:pPr>
        <w:pageBreakBefore w:val="0"/>
        <w:kinsoku/>
        <w:wordWrap/>
        <w:overflowPunct/>
        <w:topLinePunct w:val="0"/>
        <w:bidi w:val="0"/>
        <w:spacing w:line="536" w:lineRule="exact"/>
        <w:ind w:firstLine="560" w:firstLineChars="200"/>
        <w:rPr>
          <w:rFonts w:hint="eastAsia" w:ascii="仿宋" w:hAnsi="仿宋" w:eastAsia="仿宋"/>
          <w:color w:val="auto"/>
          <w:sz w:val="28"/>
          <w:szCs w:val="28"/>
          <w:highlight w:val="none"/>
        </w:rPr>
      </w:pPr>
    </w:p>
    <w:p w14:paraId="73CBA6CE">
      <w:pPr>
        <w:pageBreakBefore w:val="0"/>
        <w:kinsoku/>
        <w:wordWrap/>
        <w:overflowPunct/>
        <w:topLinePunct w:val="0"/>
        <w:bidi w:val="0"/>
        <w:snapToGrid w:val="0"/>
        <w:spacing w:line="536" w:lineRule="exact"/>
        <w:outlineLvl w:val="0"/>
        <w:rPr>
          <w:rFonts w:hint="eastAsia" w:ascii="仿宋" w:hAnsi="仿宋" w:eastAsia="仿宋" w:cs="宋体"/>
          <w:color w:val="auto"/>
          <w:sz w:val="28"/>
          <w:szCs w:val="28"/>
          <w:highlight w:val="none"/>
          <w:lang w:bidi="zh-CN"/>
        </w:rPr>
      </w:pPr>
      <w:r>
        <w:rPr>
          <w:rFonts w:hint="eastAsia" w:ascii="仿宋" w:hAnsi="仿宋" w:eastAsia="仿宋" w:cs="宋体"/>
          <w:color w:val="auto"/>
          <w:sz w:val="28"/>
          <w:szCs w:val="28"/>
          <w:highlight w:val="none"/>
          <w:lang w:bidi="zh-CN"/>
        </w:rPr>
        <w:t>注：1、供应商如不提供此声明函，价格将不做相应扣除。</w:t>
      </w:r>
    </w:p>
    <w:p w14:paraId="179B2374">
      <w:pPr>
        <w:pageBreakBefore w:val="0"/>
        <w:kinsoku/>
        <w:wordWrap/>
        <w:overflowPunct/>
        <w:topLinePunct w:val="0"/>
        <w:bidi w:val="0"/>
        <w:spacing w:line="536" w:lineRule="exact"/>
        <w:ind w:firstLine="560" w:firstLineChars="200"/>
        <w:rPr>
          <w:rFonts w:hint="eastAsia" w:ascii="仿宋" w:hAnsi="仿宋" w:eastAsia="仿宋"/>
          <w:color w:val="auto"/>
          <w:spacing w:val="6"/>
          <w:sz w:val="28"/>
          <w:szCs w:val="28"/>
          <w:highlight w:val="none"/>
        </w:rPr>
      </w:pPr>
      <w:r>
        <w:rPr>
          <w:rFonts w:hint="eastAsia" w:ascii="仿宋" w:hAnsi="仿宋" w:eastAsia="仿宋" w:cs="宋体"/>
          <w:color w:val="auto"/>
          <w:sz w:val="28"/>
          <w:szCs w:val="28"/>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580891AF">
      <w:pPr>
        <w:pageBreakBefore w:val="0"/>
        <w:kinsoku/>
        <w:wordWrap/>
        <w:overflowPunct/>
        <w:topLinePunct w:val="0"/>
        <w:bidi w:val="0"/>
        <w:spacing w:line="536" w:lineRule="exact"/>
        <w:ind w:firstLine="584" w:firstLineChars="200"/>
        <w:rPr>
          <w:rFonts w:ascii="仿宋" w:hAnsi="仿宋" w:eastAsia="仿宋"/>
          <w:color w:val="auto"/>
          <w:spacing w:val="6"/>
          <w:sz w:val="28"/>
          <w:szCs w:val="28"/>
          <w:highlight w:val="none"/>
        </w:rPr>
      </w:pPr>
    </w:p>
    <w:p w14:paraId="7974E326">
      <w:pPr>
        <w:pageBreakBefore w:val="0"/>
        <w:tabs>
          <w:tab w:val="left" w:pos="4860"/>
        </w:tabs>
        <w:kinsoku/>
        <w:wordWrap/>
        <w:overflowPunct/>
        <w:topLinePunct w:val="0"/>
        <w:bidi w:val="0"/>
        <w:spacing w:line="536" w:lineRule="exact"/>
        <w:ind w:right="1560" w:firstLine="584" w:firstLineChars="200"/>
        <w:jc w:val="center"/>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供应商全称（盖章）：</w:t>
      </w:r>
    </w:p>
    <w:p w14:paraId="1BCEB5D3">
      <w:pPr>
        <w:pageBreakBefore w:val="0"/>
        <w:tabs>
          <w:tab w:val="left" w:pos="4860"/>
        </w:tabs>
        <w:kinsoku/>
        <w:wordWrap/>
        <w:overflowPunct/>
        <w:topLinePunct w:val="0"/>
        <w:bidi w:val="0"/>
        <w:spacing w:line="536"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645D453E">
      <w:pPr>
        <w:pageBreakBefore w:val="0"/>
        <w:kinsoku/>
        <w:wordWrap/>
        <w:overflowPunct/>
        <w:topLinePunct w:val="0"/>
        <w:bidi w:val="0"/>
        <w:spacing w:line="536" w:lineRule="exact"/>
        <w:ind w:firstLine="240" w:firstLineChars="100"/>
        <w:jc w:val="center"/>
        <w:rPr>
          <w:rFonts w:hint="eastAsia" w:ascii="仿宋" w:hAnsi="仿宋" w:eastAsia="仿宋"/>
          <w:bCs/>
          <w:color w:val="auto"/>
          <w:sz w:val="24"/>
          <w:szCs w:val="21"/>
          <w:highlight w:val="none"/>
        </w:rPr>
      </w:pPr>
    </w:p>
    <w:p w14:paraId="5E69BD53">
      <w:pPr>
        <w:pageBreakBefore w:val="0"/>
        <w:kinsoku/>
        <w:wordWrap/>
        <w:overflowPunct/>
        <w:topLinePunct w:val="0"/>
        <w:bidi w:val="0"/>
        <w:spacing w:line="536" w:lineRule="exact"/>
        <w:ind w:firstLine="240" w:firstLineChars="100"/>
        <w:jc w:val="center"/>
        <w:rPr>
          <w:rFonts w:hint="eastAsia" w:ascii="仿宋" w:hAnsi="仿宋" w:eastAsia="仿宋"/>
          <w:bCs/>
          <w:color w:val="auto"/>
          <w:sz w:val="24"/>
          <w:szCs w:val="21"/>
          <w:highlight w:val="none"/>
        </w:rPr>
      </w:pPr>
    </w:p>
    <w:p w14:paraId="2FFA5563">
      <w:pPr>
        <w:pageBreakBefore w:val="0"/>
        <w:kinsoku/>
        <w:wordWrap/>
        <w:overflowPunct/>
        <w:topLinePunct w:val="0"/>
        <w:bidi w:val="0"/>
        <w:snapToGrid w:val="0"/>
        <w:spacing w:line="536" w:lineRule="exact"/>
        <w:outlineLvl w:val="0"/>
        <w:rPr>
          <w:rFonts w:ascii="仿宋" w:hAnsi="仿宋" w:eastAsia="仿宋"/>
          <w:color w:val="auto"/>
          <w:sz w:val="32"/>
          <w:szCs w:val="32"/>
          <w:highlight w:val="none"/>
        </w:rPr>
        <w:sectPr>
          <w:pgSz w:w="11906" w:h="16838"/>
          <w:pgMar w:top="1418" w:right="1588" w:bottom="1418" w:left="1365" w:header="851" w:footer="907" w:gutter="0"/>
          <w:pgNumType w:fmt="decimal"/>
          <w:cols w:space="720" w:num="1"/>
          <w:titlePg/>
          <w:docGrid w:type="lines" w:linePitch="290" w:charSpace="0"/>
        </w:sectPr>
      </w:pPr>
    </w:p>
    <w:p w14:paraId="695FF832">
      <w:pPr>
        <w:pageBreakBefore w:val="0"/>
        <w:kinsoku/>
        <w:wordWrap/>
        <w:overflowPunct/>
        <w:topLinePunct w:val="0"/>
        <w:bidi w:val="0"/>
        <w:snapToGrid w:val="0"/>
        <w:spacing w:line="536" w:lineRule="exact"/>
        <w:outlineLvl w:val="0"/>
        <w:rPr>
          <w:rFonts w:hint="default" w:ascii="仿宋" w:hAnsi="仿宋" w:eastAsia="仿宋"/>
          <w:color w:val="auto"/>
          <w:sz w:val="32"/>
          <w:szCs w:val="32"/>
          <w:highlight w:val="none"/>
          <w:lang w:val="en-US" w:eastAsia="zh-CN"/>
        </w:rPr>
      </w:pPr>
      <w:r>
        <w:rPr>
          <w:rFonts w:ascii="仿宋" w:hAnsi="仿宋" w:eastAsia="仿宋"/>
          <w:color w:val="auto"/>
          <w:sz w:val="32"/>
          <w:szCs w:val="32"/>
          <w:highlight w:val="none"/>
        </w:rPr>
        <w:t>附件</w:t>
      </w:r>
      <w:r>
        <w:rPr>
          <w:rFonts w:hint="eastAsia" w:ascii="仿宋" w:hAnsi="仿宋" w:eastAsia="仿宋"/>
          <w:color w:val="auto"/>
          <w:sz w:val="32"/>
          <w:szCs w:val="32"/>
          <w:highlight w:val="none"/>
          <w:lang w:val="en-US" w:eastAsia="zh-CN"/>
        </w:rPr>
        <w:t>11</w:t>
      </w:r>
    </w:p>
    <w:p w14:paraId="7724BC20">
      <w:pPr>
        <w:pageBreakBefore w:val="0"/>
        <w:kinsoku/>
        <w:wordWrap/>
        <w:overflowPunct/>
        <w:topLinePunct w:val="0"/>
        <w:bidi w:val="0"/>
        <w:snapToGrid w:val="0"/>
        <w:spacing w:line="536" w:lineRule="exact"/>
        <w:jc w:val="center"/>
        <w:outlineLvl w:val="3"/>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监狱和戒毒企业证明材料（如有）</w:t>
      </w:r>
    </w:p>
    <w:p w14:paraId="411B78EF">
      <w:pPr>
        <w:pageBreakBefore w:val="0"/>
        <w:kinsoku/>
        <w:wordWrap/>
        <w:overflowPunct/>
        <w:topLinePunct w:val="0"/>
        <w:bidi w:val="0"/>
        <w:snapToGrid w:val="0"/>
        <w:spacing w:line="536" w:lineRule="exact"/>
        <w:jc w:val="center"/>
        <w:outlineLvl w:val="3"/>
        <w:rPr>
          <w:rFonts w:ascii="仿宋" w:hAnsi="仿宋" w:eastAsia="仿宋"/>
          <w:b/>
          <w:bCs/>
          <w:color w:val="auto"/>
          <w:sz w:val="32"/>
          <w:szCs w:val="32"/>
          <w:highlight w:val="none"/>
        </w:rPr>
      </w:pPr>
    </w:p>
    <w:p w14:paraId="0BB82A4E">
      <w:pPr>
        <w:pageBreakBefore w:val="0"/>
        <w:kinsoku/>
        <w:wordWrap/>
        <w:overflowPunct/>
        <w:topLinePunct w:val="0"/>
        <w:bidi w:val="0"/>
        <w:snapToGrid w:val="0"/>
        <w:spacing w:line="536" w:lineRule="exact"/>
        <w:ind w:firstLine="495" w:firstLineChars="177"/>
        <w:rPr>
          <w:rFonts w:hint="eastAsia" w:ascii="仿宋" w:hAnsi="仿宋" w:eastAsia="仿宋" w:cs="宋体"/>
          <w:color w:val="auto"/>
          <w:sz w:val="28"/>
          <w:szCs w:val="28"/>
          <w:highlight w:val="none"/>
        </w:rPr>
      </w:pPr>
    </w:p>
    <w:p w14:paraId="71A0C3B6">
      <w:pPr>
        <w:pageBreakBefore w:val="0"/>
        <w:kinsoku/>
        <w:wordWrap/>
        <w:overflowPunct/>
        <w:topLinePunct w:val="0"/>
        <w:bidi w:val="0"/>
        <w:snapToGrid w:val="0"/>
        <w:spacing w:line="536" w:lineRule="exact"/>
        <w:ind w:firstLine="498" w:firstLineChars="177"/>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t>（格式自拟）</w:t>
      </w:r>
    </w:p>
    <w:p w14:paraId="64B7E1AE">
      <w:pPr>
        <w:pageBreakBefore w:val="0"/>
        <w:kinsoku/>
        <w:wordWrap/>
        <w:overflowPunct/>
        <w:topLinePunct w:val="0"/>
        <w:bidi w:val="0"/>
        <w:snapToGrid w:val="0"/>
        <w:spacing w:line="536" w:lineRule="exact"/>
        <w:ind w:firstLine="495" w:firstLineChars="177"/>
        <w:rPr>
          <w:rFonts w:ascii="仿宋" w:hAnsi="仿宋" w:eastAsia="仿宋" w:cs="宋体"/>
          <w:color w:val="auto"/>
          <w:sz w:val="28"/>
          <w:szCs w:val="28"/>
          <w:highlight w:val="none"/>
        </w:rPr>
      </w:pPr>
    </w:p>
    <w:p w14:paraId="6F992271">
      <w:pPr>
        <w:pageBreakBefore w:val="0"/>
        <w:kinsoku/>
        <w:wordWrap/>
        <w:overflowPunct/>
        <w:topLinePunct w:val="0"/>
        <w:bidi w:val="0"/>
        <w:snapToGrid w:val="0"/>
        <w:spacing w:line="536" w:lineRule="exact"/>
        <w:ind w:firstLine="660" w:firstLineChars="236"/>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16E422C">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p>
    <w:p w14:paraId="4E6A1714">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p>
    <w:p w14:paraId="601575C9">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p>
    <w:p w14:paraId="7FB35006">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p>
    <w:p w14:paraId="3C2A8D11">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p>
    <w:p w14:paraId="105C0C44">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p>
    <w:p w14:paraId="1DA00815">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注：1、供应商如不提供此声明函，价格将不做相应扣除。</w:t>
      </w:r>
    </w:p>
    <w:p w14:paraId="10BC9953">
      <w:pPr>
        <w:pageBreakBefore w:val="0"/>
        <w:kinsoku/>
        <w:wordWrap/>
        <w:overflowPunct/>
        <w:topLinePunct w:val="0"/>
        <w:bidi w:val="0"/>
        <w:snapToGrid w:val="0"/>
        <w:spacing w:line="536" w:lineRule="exact"/>
        <w:ind w:firstLine="560" w:firstLineChars="200"/>
        <w:outlineLvl w:val="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2、成交供应商为监狱企业的，此声明函将随成交结果同时公告，</w:t>
      </w:r>
    </w:p>
    <w:p w14:paraId="02297BED">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接受社会监督。供应商按照本办法规定提供声明函内容不实的，属于</w:t>
      </w:r>
    </w:p>
    <w:p w14:paraId="50F5DAC6">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提供虚假材料谋取中标、成交，依照《中华人民共和国政府采购法》</w:t>
      </w:r>
    </w:p>
    <w:p w14:paraId="08EB7D76">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等国家有关规定追究相应责任。</w:t>
      </w:r>
    </w:p>
    <w:p w14:paraId="141E5F89">
      <w:pPr>
        <w:pageBreakBefore w:val="0"/>
        <w:kinsoku/>
        <w:wordWrap/>
        <w:overflowPunct/>
        <w:topLinePunct w:val="0"/>
        <w:bidi w:val="0"/>
        <w:snapToGrid w:val="0"/>
        <w:spacing w:line="536" w:lineRule="exact"/>
        <w:outlineLvl w:val="0"/>
        <w:rPr>
          <w:rFonts w:hint="eastAsia" w:ascii="仿宋" w:hAnsi="仿宋" w:eastAsia="仿宋"/>
          <w:color w:val="auto"/>
          <w:sz w:val="28"/>
          <w:szCs w:val="28"/>
          <w:highlight w:val="none"/>
        </w:rPr>
      </w:pPr>
    </w:p>
    <w:p w14:paraId="28BECD52">
      <w:pPr>
        <w:pageBreakBefore w:val="0"/>
        <w:kinsoku/>
        <w:wordWrap/>
        <w:overflowPunct/>
        <w:topLinePunct w:val="0"/>
        <w:bidi w:val="0"/>
        <w:spacing w:line="536" w:lineRule="exact"/>
        <w:rPr>
          <w:rFonts w:ascii="仿宋" w:hAnsi="仿宋" w:eastAsia="仿宋"/>
          <w:b/>
          <w:color w:val="auto"/>
          <w:sz w:val="32"/>
          <w:szCs w:val="32"/>
          <w:highlight w:val="none"/>
        </w:rPr>
        <w:sectPr>
          <w:pgSz w:w="11906" w:h="16838"/>
          <w:pgMar w:top="1418" w:right="1588" w:bottom="1418" w:left="1365" w:header="851" w:footer="907" w:gutter="0"/>
          <w:pgNumType w:fmt="decimal"/>
          <w:cols w:space="720" w:num="1"/>
          <w:titlePg/>
          <w:docGrid w:type="lines" w:linePitch="290" w:charSpace="0"/>
        </w:sectPr>
      </w:pPr>
    </w:p>
    <w:p w14:paraId="79EE2C7E">
      <w:pPr>
        <w:pageBreakBefore w:val="0"/>
        <w:kinsoku/>
        <w:wordWrap/>
        <w:overflowPunct/>
        <w:topLinePunct w:val="0"/>
        <w:bidi w:val="0"/>
        <w:snapToGrid w:val="0"/>
        <w:spacing w:line="536" w:lineRule="exact"/>
        <w:outlineLvl w:val="0"/>
        <w:rPr>
          <w:rFonts w:hint="default" w:ascii="仿宋" w:hAnsi="仿宋" w:eastAsia="仿宋"/>
          <w:color w:val="auto"/>
          <w:sz w:val="32"/>
          <w:szCs w:val="32"/>
          <w:highlight w:val="none"/>
          <w:lang w:val="en-US" w:eastAsia="zh-CN"/>
        </w:rPr>
      </w:pPr>
      <w:r>
        <w:rPr>
          <w:rFonts w:ascii="仿宋" w:hAnsi="仿宋" w:eastAsia="仿宋"/>
          <w:color w:val="auto"/>
          <w:sz w:val="32"/>
          <w:szCs w:val="32"/>
          <w:highlight w:val="none"/>
        </w:rPr>
        <w:t>附件</w:t>
      </w:r>
      <w:r>
        <w:rPr>
          <w:rFonts w:hint="eastAsia" w:ascii="仿宋" w:hAnsi="仿宋" w:eastAsia="仿宋"/>
          <w:color w:val="auto"/>
          <w:sz w:val="32"/>
          <w:szCs w:val="32"/>
          <w:highlight w:val="none"/>
          <w:lang w:val="en-US" w:eastAsia="zh-CN"/>
        </w:rPr>
        <w:t>12</w:t>
      </w:r>
    </w:p>
    <w:p w14:paraId="72E0A6B0">
      <w:pPr>
        <w:pageBreakBefore w:val="0"/>
        <w:kinsoku/>
        <w:wordWrap/>
        <w:overflowPunct/>
        <w:topLinePunct w:val="0"/>
        <w:bidi w:val="0"/>
        <w:spacing w:line="536" w:lineRule="exact"/>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质疑函范本</w:t>
      </w:r>
    </w:p>
    <w:p w14:paraId="4739F24D">
      <w:pPr>
        <w:pageBreakBefore w:val="0"/>
        <w:kinsoku/>
        <w:wordWrap/>
        <w:overflowPunct/>
        <w:topLinePunct w:val="0"/>
        <w:bidi w:val="0"/>
        <w:adjustRightInd w:val="0"/>
        <w:snapToGrid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一、质疑供应商基本信息</w:t>
      </w:r>
    </w:p>
    <w:p w14:paraId="7941641A">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rPr>
        <w:t>质疑供应商：</w:t>
      </w:r>
      <w:r>
        <w:rPr>
          <w:rFonts w:hint="eastAsia" w:ascii="仿宋" w:hAnsi="仿宋" w:eastAsia="仿宋" w:cs="仿宋"/>
          <w:color w:val="auto"/>
          <w:sz w:val="24"/>
          <w:szCs w:val="24"/>
          <w:highlight w:val="none"/>
          <w:u w:val="dotted"/>
        </w:rPr>
        <w:t xml:space="preserve">                                                              </w:t>
      </w:r>
    </w:p>
    <w:p w14:paraId="1CD7F0C6">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dotted"/>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dotted"/>
        </w:rPr>
        <w:t xml:space="preserve">                                    </w:t>
      </w:r>
    </w:p>
    <w:p w14:paraId="2D2EDD59">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dotted"/>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dotted"/>
        </w:rPr>
        <w:t xml:space="preserve">                                       </w:t>
      </w:r>
    </w:p>
    <w:p w14:paraId="240DD19F">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rPr>
        <w:t>授权代表：</w:t>
      </w:r>
      <w:r>
        <w:rPr>
          <w:rFonts w:hint="eastAsia" w:ascii="仿宋" w:hAnsi="仿宋" w:eastAsia="仿宋" w:cs="仿宋"/>
          <w:color w:val="auto"/>
          <w:sz w:val="24"/>
          <w:szCs w:val="24"/>
          <w:highlight w:val="none"/>
          <w:u w:val="dotted"/>
        </w:rPr>
        <w:t xml:space="preserve">                                                                 </w:t>
      </w:r>
    </w:p>
    <w:p w14:paraId="64140452">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dotted"/>
        </w:rPr>
        <w:t xml:space="preserve">                                                                </w:t>
      </w:r>
    </w:p>
    <w:p w14:paraId="4B168AEE">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dotted"/>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dotted"/>
        </w:rPr>
        <w:t xml:space="preserve">                                     </w:t>
      </w:r>
    </w:p>
    <w:p w14:paraId="05EDF5FB">
      <w:pPr>
        <w:pageBreakBefore w:val="0"/>
        <w:kinsoku/>
        <w:wordWrap/>
        <w:overflowPunct/>
        <w:topLinePunct w:val="0"/>
        <w:bidi w:val="0"/>
        <w:adjustRightInd w:val="0"/>
        <w:snapToGrid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二、质疑项目基本情况</w:t>
      </w:r>
    </w:p>
    <w:p w14:paraId="7AAEF4E6">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质疑项目的名称：</w:t>
      </w:r>
      <w:r>
        <w:rPr>
          <w:rFonts w:hint="eastAsia" w:ascii="仿宋" w:hAnsi="仿宋" w:eastAsia="仿宋" w:cs="仿宋"/>
          <w:color w:val="auto"/>
          <w:sz w:val="24"/>
          <w:szCs w:val="24"/>
          <w:highlight w:val="none"/>
          <w:u w:val="dotted"/>
        </w:rPr>
        <w:t xml:space="preserve">                                                          </w:t>
      </w:r>
    </w:p>
    <w:p w14:paraId="76767B76">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质疑项目的编号：</w:t>
      </w:r>
      <w:r>
        <w:rPr>
          <w:rFonts w:hint="eastAsia" w:ascii="仿宋" w:hAnsi="仿宋" w:eastAsia="仿宋" w:cs="仿宋"/>
          <w:color w:val="auto"/>
          <w:sz w:val="24"/>
          <w:szCs w:val="24"/>
          <w:highlight w:val="none"/>
          <w:u w:val="dotted"/>
        </w:rPr>
        <w:t xml:space="preserve">                         </w:t>
      </w:r>
      <w:r>
        <w:rPr>
          <w:rFonts w:hint="eastAsia" w:ascii="仿宋" w:hAnsi="仿宋" w:eastAsia="仿宋" w:cs="仿宋"/>
          <w:color w:val="auto"/>
          <w:sz w:val="24"/>
          <w:szCs w:val="24"/>
          <w:highlight w:val="none"/>
        </w:rPr>
        <w:t>包号：</w:t>
      </w:r>
      <w:r>
        <w:rPr>
          <w:rFonts w:hint="eastAsia" w:ascii="仿宋" w:hAnsi="仿宋" w:eastAsia="仿宋" w:cs="仿宋"/>
          <w:color w:val="auto"/>
          <w:sz w:val="24"/>
          <w:szCs w:val="24"/>
          <w:highlight w:val="none"/>
          <w:u w:val="dotted"/>
        </w:rPr>
        <w:t xml:space="preserve">                           </w:t>
      </w:r>
    </w:p>
    <w:p w14:paraId="5499E3CB">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rPr>
        <w:t>采购人名称：</w:t>
      </w:r>
      <w:r>
        <w:rPr>
          <w:rFonts w:hint="eastAsia" w:ascii="仿宋" w:hAnsi="仿宋" w:eastAsia="仿宋" w:cs="仿宋"/>
          <w:color w:val="auto"/>
          <w:sz w:val="24"/>
          <w:szCs w:val="24"/>
          <w:highlight w:val="none"/>
          <w:u w:val="dotted"/>
        </w:rPr>
        <w:t xml:space="preserve">                                                              </w:t>
      </w:r>
    </w:p>
    <w:p w14:paraId="66E701E1">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采购文件获取日期：</w:t>
      </w:r>
      <w:r>
        <w:rPr>
          <w:rFonts w:hint="eastAsia" w:ascii="仿宋" w:hAnsi="仿宋" w:eastAsia="仿宋" w:cs="仿宋"/>
          <w:color w:val="auto"/>
          <w:sz w:val="24"/>
          <w:szCs w:val="24"/>
          <w:highlight w:val="none"/>
          <w:u w:val="dotted"/>
        </w:rPr>
        <w:t xml:space="preserve">                                                        </w:t>
      </w:r>
    </w:p>
    <w:p w14:paraId="6B6D6B9A">
      <w:pPr>
        <w:pageBreakBefore w:val="0"/>
        <w:kinsoku/>
        <w:wordWrap/>
        <w:overflowPunct/>
        <w:topLinePunct w:val="0"/>
        <w:bidi w:val="0"/>
        <w:adjustRightInd w:val="0"/>
        <w:snapToGrid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三、质疑事项具体内容</w:t>
      </w:r>
    </w:p>
    <w:p w14:paraId="65BFEB50">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rPr>
        <w:t>质疑事项1：</w:t>
      </w:r>
      <w:r>
        <w:rPr>
          <w:rFonts w:hint="eastAsia" w:ascii="仿宋" w:hAnsi="仿宋" w:eastAsia="仿宋" w:cs="仿宋"/>
          <w:color w:val="auto"/>
          <w:sz w:val="24"/>
          <w:szCs w:val="24"/>
          <w:highlight w:val="none"/>
          <w:u w:val="dotted"/>
        </w:rPr>
        <w:t xml:space="preserve">                                                              </w:t>
      </w:r>
    </w:p>
    <w:p w14:paraId="1E3D7225">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rPr>
        <w:t>事实依据：</w:t>
      </w:r>
      <w:r>
        <w:rPr>
          <w:rFonts w:hint="eastAsia" w:ascii="仿宋" w:hAnsi="仿宋" w:eastAsia="仿宋" w:cs="仿宋"/>
          <w:color w:val="auto"/>
          <w:sz w:val="24"/>
          <w:szCs w:val="24"/>
          <w:highlight w:val="none"/>
          <w:u w:val="dotted"/>
        </w:rPr>
        <w:t xml:space="preserve">                                                                </w:t>
      </w:r>
    </w:p>
    <w:p w14:paraId="40C4A806">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dotted"/>
        </w:rPr>
        <w:t xml:space="preserve">                                                                           </w:t>
      </w:r>
    </w:p>
    <w:p w14:paraId="13CB48E0">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rPr>
        <w:t>法律依据：</w:t>
      </w:r>
      <w:r>
        <w:rPr>
          <w:rFonts w:hint="eastAsia" w:ascii="仿宋" w:hAnsi="仿宋" w:eastAsia="仿宋" w:cs="仿宋"/>
          <w:color w:val="auto"/>
          <w:sz w:val="24"/>
          <w:szCs w:val="24"/>
          <w:highlight w:val="none"/>
          <w:u w:val="dotted"/>
        </w:rPr>
        <w:t xml:space="preserve">                                                                 </w:t>
      </w:r>
    </w:p>
    <w:p w14:paraId="3B4B9C02">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u w:val="dotted"/>
        </w:rPr>
        <w:t xml:space="preserve">                                                                           </w:t>
      </w:r>
    </w:p>
    <w:p w14:paraId="03797FCC">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rPr>
        <w:t>质疑事项2</w:t>
      </w:r>
    </w:p>
    <w:p w14:paraId="2531FF7D">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95666C4">
      <w:pPr>
        <w:pageBreakBefore w:val="0"/>
        <w:kinsoku/>
        <w:wordWrap/>
        <w:overflowPunct/>
        <w:topLinePunct w:val="0"/>
        <w:bidi w:val="0"/>
        <w:adjustRightInd w:val="0"/>
        <w:snapToGrid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四、与质疑事项相关的质疑请求</w:t>
      </w:r>
    </w:p>
    <w:p w14:paraId="42CC4BBD">
      <w:pPr>
        <w:pageBreakBefore w:val="0"/>
        <w:kinsoku/>
        <w:wordWrap/>
        <w:overflowPunct/>
        <w:topLinePunct w:val="0"/>
        <w:bidi w:val="0"/>
        <w:adjustRightInd w:val="0"/>
        <w:snapToGrid w:val="0"/>
        <w:spacing w:line="536" w:lineRule="exact"/>
        <w:rPr>
          <w:rFonts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rPr>
        <w:t>请求：</w:t>
      </w:r>
      <w:r>
        <w:rPr>
          <w:rFonts w:hint="eastAsia" w:ascii="仿宋" w:hAnsi="仿宋" w:eastAsia="仿宋" w:cs="仿宋"/>
          <w:color w:val="auto"/>
          <w:sz w:val="24"/>
          <w:szCs w:val="24"/>
          <w:highlight w:val="none"/>
          <w:u w:val="dotted"/>
        </w:rPr>
        <w:t xml:space="preserve">                                                                     </w:t>
      </w:r>
    </w:p>
    <w:p w14:paraId="5D78BCA6">
      <w:pPr>
        <w:pageBreakBefore w:val="0"/>
        <w:kinsoku/>
        <w:wordWrap/>
        <w:overflowPunct/>
        <w:topLinePunct w:val="0"/>
        <w:bidi w:val="0"/>
        <w:spacing w:line="536"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签字</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rPr>
        <w:t>签章</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rPr>
        <w:t xml:space="preserve">：                   公章：                      </w:t>
      </w:r>
    </w:p>
    <w:p w14:paraId="5DA282F2">
      <w:pPr>
        <w:pageBreakBefore w:val="0"/>
        <w:kinsoku/>
        <w:wordWrap/>
        <w:overflowPunct/>
        <w:topLinePunct w:val="0"/>
        <w:bidi w:val="0"/>
        <w:spacing w:line="536"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w:t>
      </w:r>
    </w:p>
    <w:p w14:paraId="2606214C">
      <w:pPr>
        <w:pageBreakBefore w:val="0"/>
        <w:kinsoku/>
        <w:wordWrap/>
        <w:overflowPunct/>
        <w:topLinePunct w:val="0"/>
        <w:bidi w:val="0"/>
        <w:spacing w:line="536"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质疑函制作说明：</w:t>
      </w:r>
    </w:p>
    <w:p w14:paraId="5CF38F46">
      <w:pPr>
        <w:pageBreakBefore w:val="0"/>
        <w:widowControl/>
        <w:kinsoku/>
        <w:wordWrap/>
        <w:overflowPunct/>
        <w:topLinePunct w:val="0"/>
        <w:bidi w:val="0"/>
        <w:spacing w:line="536"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1.供应商提出质疑时，应提交质疑函和必要的证明材料。</w:t>
      </w:r>
    </w:p>
    <w:p w14:paraId="68233CFC">
      <w:pPr>
        <w:pageBreakBefore w:val="0"/>
        <w:widowControl/>
        <w:kinsoku/>
        <w:wordWrap/>
        <w:overflowPunct/>
        <w:topLinePunct w:val="0"/>
        <w:bidi w:val="0"/>
        <w:spacing w:line="536"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2.质疑供应商若委托代理人进行质疑的，质疑函应按要求列明“授权代表”的有关内容，并在附件中提交由质疑</w:t>
      </w:r>
      <w:r>
        <w:rPr>
          <w:rFonts w:hint="eastAsia" w:ascii="仿宋" w:hAnsi="仿宋" w:eastAsia="仿宋" w:cs="宋体"/>
          <w:color w:val="auto"/>
          <w:kern w:val="0"/>
          <w:sz w:val="24"/>
          <w:szCs w:val="24"/>
          <w:highlight w:val="none"/>
        </w:rPr>
        <w:t>供应商签署的授权委托书。授权委托书应载明代理人的姓名或者名称、代理事项、具体权限、期限和相关事项。</w:t>
      </w:r>
    </w:p>
    <w:p w14:paraId="1F4C6DFF">
      <w:pPr>
        <w:pageBreakBefore w:val="0"/>
        <w:widowControl/>
        <w:kinsoku/>
        <w:wordWrap/>
        <w:overflowPunct/>
        <w:topLinePunct w:val="0"/>
        <w:bidi w:val="0"/>
        <w:spacing w:line="536"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3.质疑供应商若对项目的某一分包进行质疑，质疑函中应列明具体分包号。</w:t>
      </w:r>
    </w:p>
    <w:p w14:paraId="09E9425E">
      <w:pPr>
        <w:pageBreakBefore w:val="0"/>
        <w:widowControl/>
        <w:kinsoku/>
        <w:wordWrap/>
        <w:overflowPunct/>
        <w:topLinePunct w:val="0"/>
        <w:bidi w:val="0"/>
        <w:spacing w:line="536"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4.质疑函的质疑事项应具体、明确，并有必要的事实依据和法律依据。</w:t>
      </w:r>
    </w:p>
    <w:p w14:paraId="26118D91">
      <w:pPr>
        <w:pageBreakBefore w:val="0"/>
        <w:widowControl/>
        <w:kinsoku/>
        <w:wordWrap/>
        <w:overflowPunct/>
        <w:topLinePunct w:val="0"/>
        <w:bidi w:val="0"/>
        <w:spacing w:line="536"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5.质疑函的质疑请求应与质疑事项相关。</w:t>
      </w:r>
    </w:p>
    <w:p w14:paraId="584DEE05">
      <w:pPr>
        <w:pageBreakBefore w:val="0"/>
        <w:widowControl/>
        <w:kinsoku/>
        <w:wordWrap/>
        <w:overflowPunct/>
        <w:topLinePunct w:val="0"/>
        <w:bidi w:val="0"/>
        <w:spacing w:line="536" w:lineRule="exact"/>
        <w:ind w:firstLine="480" w:firstLineChars="200"/>
        <w:jc w:val="lef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6743E77E">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35EE6876">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6F4E2D56">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63A54703">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11D63688">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207745E6">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2E7EF172">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2DBCF36D">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10B813A1">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048231E4">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54511456">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5DA4EA16">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4EB76E27">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580ADAA2">
      <w:pPr>
        <w:pageBreakBefore w:val="0"/>
        <w:kinsoku/>
        <w:wordWrap/>
        <w:overflowPunct/>
        <w:topLinePunct w:val="0"/>
        <w:bidi w:val="0"/>
        <w:spacing w:line="536" w:lineRule="exact"/>
        <w:jc w:val="center"/>
        <w:rPr>
          <w:rFonts w:hint="eastAsia" w:ascii="仿宋" w:hAnsi="仿宋" w:eastAsia="仿宋"/>
          <w:b/>
          <w:color w:val="auto"/>
          <w:sz w:val="32"/>
          <w:szCs w:val="32"/>
          <w:highlight w:val="none"/>
        </w:rPr>
      </w:pPr>
    </w:p>
    <w:p w14:paraId="321E96CC">
      <w:pPr>
        <w:pageBreakBefore w:val="0"/>
        <w:kinsoku/>
        <w:wordWrap/>
        <w:overflowPunct/>
        <w:topLinePunct w:val="0"/>
        <w:bidi w:val="0"/>
        <w:snapToGrid w:val="0"/>
        <w:spacing w:line="536" w:lineRule="exact"/>
        <w:outlineLvl w:val="0"/>
        <w:rPr>
          <w:rFonts w:ascii="仿宋" w:hAnsi="仿宋" w:eastAsia="仿宋"/>
          <w:color w:val="auto"/>
          <w:sz w:val="32"/>
          <w:szCs w:val="32"/>
          <w:highlight w:val="none"/>
        </w:rPr>
        <w:sectPr>
          <w:pgSz w:w="11906" w:h="16838"/>
          <w:pgMar w:top="1418" w:right="1588" w:bottom="1418" w:left="1365" w:header="851" w:footer="907" w:gutter="0"/>
          <w:pgNumType w:fmt="decimal"/>
          <w:cols w:space="720" w:num="1"/>
          <w:titlePg/>
          <w:docGrid w:type="lines" w:linePitch="290" w:charSpace="0"/>
        </w:sectPr>
      </w:pPr>
    </w:p>
    <w:p w14:paraId="26920878">
      <w:pPr>
        <w:pageBreakBefore w:val="0"/>
        <w:kinsoku/>
        <w:wordWrap/>
        <w:overflowPunct/>
        <w:topLinePunct w:val="0"/>
        <w:bidi w:val="0"/>
        <w:snapToGrid w:val="0"/>
        <w:spacing w:line="536" w:lineRule="exact"/>
        <w:outlineLvl w:val="0"/>
        <w:rPr>
          <w:rFonts w:hint="default" w:ascii="仿宋" w:hAnsi="仿宋" w:eastAsia="仿宋"/>
          <w:b/>
          <w:color w:val="auto"/>
          <w:sz w:val="32"/>
          <w:szCs w:val="32"/>
          <w:highlight w:val="none"/>
          <w:lang w:val="en-US" w:eastAsia="zh-CN"/>
        </w:rPr>
      </w:pPr>
      <w:r>
        <w:rPr>
          <w:rFonts w:ascii="仿宋" w:hAnsi="仿宋" w:eastAsia="仿宋"/>
          <w:color w:val="auto"/>
          <w:sz w:val="32"/>
          <w:szCs w:val="32"/>
          <w:highlight w:val="none"/>
        </w:rPr>
        <w:t>附件</w:t>
      </w:r>
      <w:r>
        <w:rPr>
          <w:rFonts w:hint="eastAsia" w:ascii="仿宋" w:hAnsi="仿宋" w:eastAsia="仿宋"/>
          <w:color w:val="auto"/>
          <w:sz w:val="32"/>
          <w:szCs w:val="32"/>
          <w:highlight w:val="none"/>
          <w:lang w:val="en-US" w:eastAsia="zh-CN"/>
        </w:rPr>
        <w:t>13</w:t>
      </w:r>
    </w:p>
    <w:p w14:paraId="57E8C161">
      <w:pPr>
        <w:pageBreakBefore w:val="0"/>
        <w:kinsoku/>
        <w:wordWrap/>
        <w:overflowPunct/>
        <w:topLinePunct w:val="0"/>
        <w:bidi w:val="0"/>
        <w:spacing w:line="536" w:lineRule="exact"/>
        <w:ind w:firstLine="624"/>
        <w:jc w:val="center"/>
        <w:rPr>
          <w:rFonts w:hint="eastAsia" w:ascii="方正大标宋_GBK" w:hAnsi="方正大标宋_GBK" w:eastAsia="方正大标宋_GBK" w:cs="方正大标宋_GBK"/>
          <w:bCs/>
          <w:color w:val="auto"/>
          <w:sz w:val="44"/>
          <w:szCs w:val="44"/>
          <w:highlight w:val="none"/>
        </w:rPr>
      </w:pPr>
      <w:r>
        <w:rPr>
          <w:rFonts w:hint="eastAsia" w:ascii="方正大标宋_GBK" w:hAnsi="方正大标宋_GBK" w:eastAsia="方正大标宋_GBK" w:cs="方正大标宋_GBK"/>
          <w:bCs/>
          <w:color w:val="auto"/>
          <w:sz w:val="44"/>
          <w:szCs w:val="44"/>
          <w:highlight w:val="none"/>
        </w:rPr>
        <w:t>南通市政府采购线上合同信用融资政策</w:t>
      </w:r>
    </w:p>
    <w:p w14:paraId="5D1FB433">
      <w:pPr>
        <w:pageBreakBefore w:val="0"/>
        <w:kinsoku/>
        <w:wordWrap/>
        <w:overflowPunct/>
        <w:topLinePunct w:val="0"/>
        <w:bidi w:val="0"/>
        <w:spacing w:line="536" w:lineRule="exact"/>
        <w:jc w:val="center"/>
        <w:rPr>
          <w:rFonts w:hint="eastAsia" w:ascii="方正大标宋_GBK" w:hAnsi="方正大标宋_GBK" w:eastAsia="方正大标宋_GBK" w:cs="方正大标宋_GBK"/>
          <w:bCs/>
          <w:color w:val="auto"/>
          <w:sz w:val="44"/>
          <w:szCs w:val="44"/>
          <w:highlight w:val="none"/>
        </w:rPr>
      </w:pPr>
      <w:r>
        <w:rPr>
          <w:rFonts w:hint="eastAsia" w:ascii="方正大标宋_GBK" w:hAnsi="方正大标宋_GBK" w:eastAsia="方正大标宋_GBK" w:cs="方正大标宋_GBK"/>
          <w:bCs/>
          <w:color w:val="auto"/>
          <w:sz w:val="44"/>
          <w:szCs w:val="44"/>
          <w:highlight w:val="none"/>
        </w:rPr>
        <w:t>告知函</w:t>
      </w:r>
    </w:p>
    <w:p w14:paraId="69DB5B4B">
      <w:pPr>
        <w:pageBreakBefore w:val="0"/>
        <w:kinsoku/>
        <w:wordWrap/>
        <w:overflowPunct/>
        <w:topLinePunct w:val="0"/>
        <w:bidi w:val="0"/>
        <w:spacing w:line="536" w:lineRule="exact"/>
        <w:jc w:val="center"/>
        <w:rPr>
          <w:rFonts w:hint="eastAsia" w:ascii="方正大标宋_GBK" w:hAnsi="方正大标宋_GBK" w:eastAsia="方正大标宋_GBK" w:cs="方正大标宋_GBK"/>
          <w:bCs/>
          <w:color w:val="auto"/>
          <w:sz w:val="44"/>
          <w:szCs w:val="44"/>
          <w:highlight w:val="none"/>
        </w:rPr>
      </w:pPr>
    </w:p>
    <w:p w14:paraId="16874ECC">
      <w:pPr>
        <w:pageBreakBefore w:val="0"/>
        <w:kinsoku/>
        <w:wordWrap/>
        <w:overflowPunct/>
        <w:topLinePunct w:val="0"/>
        <w:bidi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各政府采购供应商：</w:t>
      </w:r>
    </w:p>
    <w:p w14:paraId="0AFB246A">
      <w:pPr>
        <w:pageBreakBefore w:val="0"/>
        <w:kinsoku/>
        <w:wordWrap/>
        <w:overflowPunct/>
        <w:topLinePunct w:val="0"/>
        <w:bidi w:val="0"/>
        <w:spacing w:line="536" w:lineRule="exact"/>
        <w:ind w:firstLine="640"/>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欢迎贵公司参与南通市政府采购活动！</w:t>
      </w:r>
    </w:p>
    <w:p w14:paraId="6A773522">
      <w:pPr>
        <w:pageBreakBefore w:val="0"/>
        <w:kinsoku/>
        <w:wordWrap/>
        <w:overflowPunct/>
        <w:topLinePunct w:val="0"/>
        <w:bidi w:val="0"/>
        <w:spacing w:line="536" w:lineRule="exact"/>
        <w:ind w:firstLine="640"/>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Times New Roman" w:hAnsi="Times New Roman" w:eastAsia="仿宋_GB2312"/>
          <w:color w:val="auto"/>
          <w:sz w:val="32"/>
          <w:szCs w:val="32"/>
          <w:highlight w:val="none"/>
        </w:rPr>
        <w:t>68</w:t>
      </w:r>
      <w:r>
        <w:rPr>
          <w:rFonts w:ascii="Times New Roman" w:hAnsi="Times New Roman" w:eastAsia="仿宋_GB2312"/>
          <w:color w:val="auto"/>
          <w:sz w:val="32"/>
          <w:szCs w:val="32"/>
          <w:highlight w:val="none"/>
        </w:rPr>
        <w:t>号），按照双方自愿的原则提供便捷、优惠的贷款服务。</w:t>
      </w:r>
    </w:p>
    <w:p w14:paraId="576C50AE">
      <w:pPr>
        <w:pageBreakBefore w:val="0"/>
        <w:kinsoku/>
        <w:wordWrap/>
        <w:overflowPunct/>
        <w:topLinePunct w:val="0"/>
        <w:bidi w:val="0"/>
        <w:spacing w:line="536" w:lineRule="exact"/>
        <w:ind w:firstLine="640"/>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提供贷款的金融机构，可在江苏省政府采购网-“政采贷”模块查询联系。</w:t>
      </w:r>
    </w:p>
    <w:p w14:paraId="1155A657">
      <w:pPr>
        <w:pageBreakBefore w:val="0"/>
        <w:widowControl/>
        <w:kinsoku/>
        <w:wordWrap/>
        <w:overflowPunct/>
        <w:topLinePunct w:val="0"/>
        <w:bidi w:val="0"/>
        <w:spacing w:line="536" w:lineRule="exact"/>
        <w:ind w:firstLine="560"/>
        <w:jc w:val="left"/>
        <w:rPr>
          <w:rFonts w:hint="eastAsia" w:ascii="Times New Roman" w:hAnsi="Times New Roman"/>
          <w:color w:val="auto"/>
          <w:sz w:val="28"/>
          <w:szCs w:val="28"/>
          <w:highlight w:val="none"/>
        </w:rPr>
      </w:pPr>
    </w:p>
    <w:p w14:paraId="3E881BC0">
      <w:pPr>
        <w:pageBreakBefore w:val="0"/>
        <w:kinsoku/>
        <w:wordWrap/>
        <w:overflowPunct/>
        <w:topLinePunct w:val="0"/>
        <w:bidi w:val="0"/>
        <w:spacing w:line="536" w:lineRule="exact"/>
        <w:outlineLvl w:val="0"/>
        <w:rPr>
          <w:rFonts w:ascii="Times New Roman" w:hAnsi="Times New Roman"/>
          <w:color w:val="auto"/>
          <w:sz w:val="28"/>
          <w:szCs w:val="28"/>
          <w:highlight w:val="none"/>
        </w:rPr>
        <w:sectPr>
          <w:pgSz w:w="11906" w:h="16838"/>
          <w:pgMar w:top="1418" w:right="1588" w:bottom="1418" w:left="1365" w:header="851" w:footer="907" w:gutter="0"/>
          <w:pgNumType w:fmt="decimal"/>
          <w:cols w:space="720" w:num="1"/>
          <w:titlePg/>
          <w:docGrid w:type="lines" w:linePitch="290" w:charSpace="0"/>
        </w:sectPr>
      </w:pPr>
    </w:p>
    <w:p w14:paraId="59961419">
      <w:pPr>
        <w:pageBreakBefore w:val="0"/>
        <w:kinsoku/>
        <w:wordWrap/>
        <w:overflowPunct/>
        <w:topLinePunct w:val="0"/>
        <w:bidi w:val="0"/>
        <w:spacing w:line="536" w:lineRule="exact"/>
        <w:outlineLvl w:val="0"/>
        <w:rPr>
          <w:rFonts w:hint="default" w:ascii="Times New Roman" w:hAnsi="Times New Roman" w:eastAsia="方正黑体_GBK"/>
          <w:color w:val="auto"/>
          <w:sz w:val="32"/>
          <w:szCs w:val="32"/>
          <w:highlight w:val="none"/>
          <w:lang w:val="en-US" w:eastAsia="zh-CN"/>
        </w:rPr>
      </w:pP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lang w:val="en-US" w:eastAsia="zh-CN"/>
        </w:rPr>
        <w:t>14</w:t>
      </w:r>
    </w:p>
    <w:p w14:paraId="4FE2531C">
      <w:pPr>
        <w:pageBreakBefore w:val="0"/>
        <w:kinsoku/>
        <w:wordWrap/>
        <w:overflowPunct/>
        <w:topLinePunct w:val="0"/>
        <w:bidi w:val="0"/>
        <w:spacing w:line="536" w:lineRule="exact"/>
        <w:jc w:val="center"/>
        <w:rPr>
          <w:rFonts w:ascii="Times New Roman" w:hAnsi="Times New Roman" w:eastAsia="方正大标宋_GBK"/>
          <w:bCs/>
          <w:color w:val="auto"/>
          <w:sz w:val="44"/>
          <w:szCs w:val="44"/>
          <w:highlight w:val="none"/>
        </w:rPr>
      </w:pPr>
      <w:r>
        <w:rPr>
          <w:rFonts w:ascii="Times New Roman" w:hAnsi="Times New Roman" w:eastAsia="方正大标宋_GBK"/>
          <w:bCs/>
          <w:color w:val="auto"/>
          <w:sz w:val="44"/>
          <w:szCs w:val="44"/>
          <w:highlight w:val="none"/>
        </w:rPr>
        <w:t>南通市政府采购履约保证保险政策</w:t>
      </w:r>
    </w:p>
    <w:p w14:paraId="390BBE28">
      <w:pPr>
        <w:pageBreakBefore w:val="0"/>
        <w:kinsoku/>
        <w:wordWrap/>
        <w:overflowPunct/>
        <w:topLinePunct w:val="0"/>
        <w:bidi w:val="0"/>
        <w:spacing w:line="536" w:lineRule="exact"/>
        <w:jc w:val="center"/>
        <w:rPr>
          <w:rFonts w:ascii="Times New Roman" w:hAnsi="Times New Roman" w:eastAsia="方正大标宋_GBK"/>
          <w:bCs/>
          <w:color w:val="auto"/>
          <w:sz w:val="44"/>
          <w:szCs w:val="44"/>
          <w:highlight w:val="none"/>
        </w:rPr>
      </w:pPr>
      <w:r>
        <w:rPr>
          <w:rFonts w:ascii="Times New Roman" w:hAnsi="Times New Roman" w:eastAsia="方正大标宋_GBK"/>
          <w:bCs/>
          <w:color w:val="auto"/>
          <w:sz w:val="44"/>
          <w:szCs w:val="44"/>
          <w:highlight w:val="none"/>
        </w:rPr>
        <w:t>告知函</w:t>
      </w:r>
    </w:p>
    <w:p w14:paraId="0EC51511">
      <w:pPr>
        <w:pageBreakBefore w:val="0"/>
        <w:kinsoku/>
        <w:wordWrap/>
        <w:overflowPunct/>
        <w:topLinePunct w:val="0"/>
        <w:bidi w:val="0"/>
        <w:spacing w:line="536" w:lineRule="exact"/>
        <w:ind w:firstLine="624"/>
        <w:jc w:val="center"/>
        <w:rPr>
          <w:rFonts w:ascii="Times New Roman" w:hAnsi="Times New Roman" w:eastAsia="方正大标宋_GBK"/>
          <w:bCs/>
          <w:color w:val="auto"/>
          <w:sz w:val="44"/>
          <w:szCs w:val="44"/>
          <w:highlight w:val="none"/>
        </w:rPr>
      </w:pPr>
    </w:p>
    <w:p w14:paraId="57779D12">
      <w:pPr>
        <w:pageBreakBefore w:val="0"/>
        <w:kinsoku/>
        <w:wordWrap/>
        <w:overflowPunct/>
        <w:topLinePunct w:val="0"/>
        <w:bidi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各政府采购供应商：</w:t>
      </w:r>
    </w:p>
    <w:p w14:paraId="4EEEDF88">
      <w:pPr>
        <w:pageBreakBefore w:val="0"/>
        <w:kinsoku/>
        <w:wordWrap/>
        <w:overflowPunct/>
        <w:topLinePunct w:val="0"/>
        <w:bidi w:val="0"/>
        <w:spacing w:line="536" w:lineRule="exact"/>
        <w:ind w:firstLine="640"/>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欢迎贵公司参与南通市政府采购活动！</w:t>
      </w:r>
    </w:p>
    <w:p w14:paraId="49DEA2CB">
      <w:pPr>
        <w:pageBreakBefore w:val="0"/>
        <w:kinsoku/>
        <w:wordWrap/>
        <w:overflowPunct/>
        <w:topLinePunct w:val="0"/>
        <w:bidi w:val="0"/>
        <w:spacing w:line="536" w:lineRule="exact"/>
        <w:ind w:firstLine="640"/>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p>
    <w:p w14:paraId="086544CC">
      <w:pPr>
        <w:pageBreakBefore w:val="0"/>
        <w:kinsoku/>
        <w:wordWrap/>
        <w:overflowPunct/>
        <w:topLinePunct w:val="0"/>
        <w:bidi w:val="0"/>
        <w:spacing w:line="536" w:lineRule="exact"/>
        <w:ind w:firstLine="640"/>
        <w:rPr>
          <w:rFonts w:hint="eastAsia" w:ascii="宋体" w:hAnsi="宋体"/>
          <w:bCs/>
          <w:color w:val="auto"/>
          <w:sz w:val="24"/>
          <w:szCs w:val="21"/>
          <w:highlight w:val="none"/>
        </w:rPr>
      </w:pPr>
      <w:r>
        <w:rPr>
          <w:rFonts w:ascii="Times New Roman" w:hAnsi="Times New Roman" w:eastAsia="仿宋_GB2312"/>
          <w:color w:val="auto"/>
          <w:sz w:val="32"/>
          <w:szCs w:val="32"/>
          <w:highlight w:val="none"/>
        </w:rPr>
        <w:t>贵公司若成为本次政府采购项目的中标（成交）供应商，可自愿选择履约保证保险形式替代履约保证金。</w:t>
      </w:r>
      <w:r>
        <w:rPr>
          <w:rFonts w:ascii="Times New Roman" w:hAnsi="Times New Roman" w:eastAsia="仿宋_GB2312"/>
          <w:color w:val="auto"/>
          <w:sz w:val="32"/>
          <w:szCs w:val="20"/>
          <w:highlight w:val="none"/>
        </w:rPr>
        <w:t>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Times New Roman" w:hAnsi="Times New Roman" w:eastAsia="仿宋_GB2312"/>
          <w:color w:val="auto"/>
          <w:sz w:val="32"/>
          <w:szCs w:val="32"/>
          <w:highlight w:val="none"/>
        </w:rPr>
        <w:t>将根据《关于在政府采购领域深入开展南通市履约保证保险业务的通知》（通财购〔2023〕23号），按照双方自愿的原则提供</w:t>
      </w:r>
      <w:r>
        <w:rPr>
          <w:rFonts w:ascii="Times New Roman" w:hAnsi="Times New Roman" w:eastAsia="仿宋_GB2312"/>
          <w:color w:val="auto"/>
          <w:sz w:val="32"/>
          <w:szCs w:val="20"/>
          <w:highlight w:val="none"/>
        </w:rPr>
        <w:t>履约保证保险服务</w:t>
      </w:r>
      <w:r>
        <w:rPr>
          <w:rFonts w:ascii="Times New Roman" w:hAnsi="Times New Roman" w:eastAsia="仿宋_GB2312"/>
          <w:color w:val="auto"/>
          <w:sz w:val="32"/>
          <w:szCs w:val="32"/>
          <w:highlight w:val="none"/>
        </w:rPr>
        <w:t>。</w:t>
      </w:r>
    </w:p>
    <w:p w14:paraId="5D33738B">
      <w:pPr>
        <w:pageBreakBefore w:val="0"/>
        <w:kinsoku/>
        <w:wordWrap/>
        <w:overflowPunct/>
        <w:topLinePunct w:val="0"/>
        <w:bidi w:val="0"/>
        <w:spacing w:line="536" w:lineRule="exact"/>
        <w:rPr>
          <w:rFonts w:ascii="仿宋" w:hAnsi="仿宋" w:eastAsia="仿宋"/>
          <w:color w:val="auto"/>
          <w:highlight w:val="none"/>
        </w:rPr>
      </w:pPr>
    </w:p>
    <w:p w14:paraId="6A5A9003">
      <w:pPr>
        <w:pageBreakBefore w:val="0"/>
        <w:kinsoku/>
        <w:wordWrap/>
        <w:overflowPunct/>
        <w:topLinePunct w:val="0"/>
        <w:bidi w:val="0"/>
        <w:snapToGrid w:val="0"/>
        <w:spacing w:line="536" w:lineRule="exact"/>
        <w:jc w:val="both"/>
        <w:outlineLvl w:val="0"/>
        <w:rPr>
          <w:rFonts w:ascii="Times New Roman" w:hAnsi="Times New Roman"/>
          <w:color w:val="auto"/>
          <w:sz w:val="28"/>
          <w:szCs w:val="28"/>
          <w:highlight w:val="none"/>
          <w:lang w:bidi="zh-CN"/>
        </w:rPr>
      </w:pPr>
    </w:p>
    <w:sectPr>
      <w:footerReference r:id="rId3" w:type="default"/>
      <w:pgSz w:w="11915" w:h="16840"/>
      <w:pgMar w:top="1440" w:right="1758" w:bottom="1440" w:left="1758" w:header="851" w:footer="992"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F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modern"/>
    <w:pitch w:val="default"/>
    <w:sig w:usb0="00000003" w:usb1="288F0000" w:usb2="0000000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Times New Roman"/>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embedRegular r:id="rId1" w:fontKey="{DACA24FB-AA50-48BB-9F54-EECF7F472542}"/>
  </w:font>
  <w:font w:name="仿宋">
    <w:panose1 w:val="02010609060101010101"/>
    <w:charset w:val="86"/>
    <w:family w:val="modern"/>
    <w:pitch w:val="default"/>
    <w:sig w:usb0="800002BF" w:usb1="38CF7CFA" w:usb2="00000016" w:usb3="00000000" w:csb0="00040001" w:csb1="00000000"/>
    <w:embedRegular r:id="rId2" w:fontKey="{F8EDD679-62D8-4D8C-B08C-5EA6CAEC4432}"/>
  </w:font>
  <w:font w:name="方正仿宋_GBK">
    <w:panose1 w:val="03000509000000000000"/>
    <w:charset w:val="86"/>
    <w:family w:val="script"/>
    <w:pitch w:val="default"/>
    <w:sig w:usb0="00000001" w:usb1="080E0000" w:usb2="00000000" w:usb3="00000000" w:csb0="00040000" w:csb1="00000000"/>
    <w:embedRegular r:id="rId3" w:fontKey="{E87DE5A1-2AB2-422E-8B4F-73BB42A15182}"/>
  </w:font>
  <w:font w:name="方正黑体_GBK">
    <w:panose1 w:val="03000509000000000000"/>
    <w:charset w:val="86"/>
    <w:family w:val="script"/>
    <w:pitch w:val="default"/>
    <w:sig w:usb0="00000001" w:usb1="080E0000" w:usb2="00000000" w:usb3="00000000" w:csb0="00040000" w:csb1="00000000"/>
    <w:embedRegular r:id="rId4" w:fontKey="{6620CD02-D7FD-4A1E-AE23-AE903ECDC2F4}"/>
  </w:font>
  <w:font w:name="方正小标宋_GBK">
    <w:panose1 w:val="03000509000000000000"/>
    <w:charset w:val="86"/>
    <w:family w:val="script"/>
    <w:pitch w:val="default"/>
    <w:sig w:usb0="00000001" w:usb1="080E0000" w:usb2="00000000" w:usb3="00000000" w:csb0="00040000" w:csb1="00000000"/>
    <w:embedRegular r:id="rId5" w:fontKey="{09C33250-D4B5-4726-BFEF-313E6F8BB374}"/>
  </w:font>
  <w:font w:name="等线">
    <w:panose1 w:val="02010600030101010101"/>
    <w:charset w:val="86"/>
    <w:family w:val="auto"/>
    <w:pitch w:val="default"/>
    <w:sig w:usb0="A00002BF" w:usb1="38CF7CFA" w:usb2="00000016" w:usb3="00000000" w:csb0="0004000F" w:csb1="00000000"/>
    <w:embedRegular r:id="rId6" w:fontKey="{E14DBBA2-084F-4E97-8373-02EF00FFB218}"/>
  </w:font>
  <w:font w:name="方正大标宋_GBK">
    <w:altName w:val="宋体"/>
    <w:panose1 w:val="020B0503020202020204"/>
    <w:charset w:val="00"/>
    <w:family w:val="auto"/>
    <w:pitch w:val="default"/>
    <w:sig w:usb0="00000000" w:usb1="00000000" w:usb2="00000000" w:usb3="00000000" w:csb0="00040001" w:csb1="00000000"/>
    <w:embedRegular r:id="rId7" w:fontKey="{B30C02DB-A33C-46AE-81C1-FF5758182DB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33B57">
    <w:pPr>
      <w:pStyle w:val="9"/>
      <w:tabs>
        <w:tab w:val="center" w:pos="4199"/>
        <w:tab w:val="clear" w:pos="4153"/>
        <w:tab w:val="clear"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C1B40B"/>
    <w:multiLevelType w:val="singleLevel"/>
    <w:tmpl w:val="B0C1B40B"/>
    <w:lvl w:ilvl="0" w:tentative="0">
      <w:start w:val="6"/>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2MzEwZTMyMmFhY2Q3M2Y4ZDEyN2FiN2NhMmNhZDAifQ=="/>
  </w:docVars>
  <w:rsids>
    <w:rsidRoot w:val="72DA44FF"/>
    <w:rsid w:val="00013AEC"/>
    <w:rsid w:val="0004194A"/>
    <w:rsid w:val="00055682"/>
    <w:rsid w:val="0005603F"/>
    <w:rsid w:val="000A7995"/>
    <w:rsid w:val="000B0D5B"/>
    <w:rsid w:val="000B608D"/>
    <w:rsid w:val="000F5F73"/>
    <w:rsid w:val="00103299"/>
    <w:rsid w:val="00104A30"/>
    <w:rsid w:val="00104E0A"/>
    <w:rsid w:val="00106C4E"/>
    <w:rsid w:val="00116193"/>
    <w:rsid w:val="001358DE"/>
    <w:rsid w:val="00137C6E"/>
    <w:rsid w:val="00165EA6"/>
    <w:rsid w:val="001674E5"/>
    <w:rsid w:val="00181033"/>
    <w:rsid w:val="00184390"/>
    <w:rsid w:val="001A0EBA"/>
    <w:rsid w:val="001E0D3F"/>
    <w:rsid w:val="001F3BB0"/>
    <w:rsid w:val="002021CA"/>
    <w:rsid w:val="00210199"/>
    <w:rsid w:val="00217FBF"/>
    <w:rsid w:val="002205F6"/>
    <w:rsid w:val="002262B4"/>
    <w:rsid w:val="0024154D"/>
    <w:rsid w:val="00286C87"/>
    <w:rsid w:val="00292BAB"/>
    <w:rsid w:val="002C0F03"/>
    <w:rsid w:val="002C75E2"/>
    <w:rsid w:val="002D5236"/>
    <w:rsid w:val="002E151C"/>
    <w:rsid w:val="002E2594"/>
    <w:rsid w:val="003121C2"/>
    <w:rsid w:val="00312A06"/>
    <w:rsid w:val="00315121"/>
    <w:rsid w:val="00317002"/>
    <w:rsid w:val="0032226F"/>
    <w:rsid w:val="00323AE8"/>
    <w:rsid w:val="003364F4"/>
    <w:rsid w:val="00336D09"/>
    <w:rsid w:val="003820DA"/>
    <w:rsid w:val="00384365"/>
    <w:rsid w:val="003C5B84"/>
    <w:rsid w:val="004346D8"/>
    <w:rsid w:val="00491D67"/>
    <w:rsid w:val="004A0C05"/>
    <w:rsid w:val="004A7ADC"/>
    <w:rsid w:val="0050377F"/>
    <w:rsid w:val="00535E2F"/>
    <w:rsid w:val="005416A5"/>
    <w:rsid w:val="00543248"/>
    <w:rsid w:val="005611FF"/>
    <w:rsid w:val="0056629C"/>
    <w:rsid w:val="0056633B"/>
    <w:rsid w:val="0057440D"/>
    <w:rsid w:val="0058223C"/>
    <w:rsid w:val="00585220"/>
    <w:rsid w:val="005A757A"/>
    <w:rsid w:val="005B022D"/>
    <w:rsid w:val="005C5DCC"/>
    <w:rsid w:val="005E4DC1"/>
    <w:rsid w:val="005F037E"/>
    <w:rsid w:val="00602CBB"/>
    <w:rsid w:val="006050D1"/>
    <w:rsid w:val="006166DC"/>
    <w:rsid w:val="00620C63"/>
    <w:rsid w:val="006213CC"/>
    <w:rsid w:val="00667C0E"/>
    <w:rsid w:val="006B111D"/>
    <w:rsid w:val="006C7881"/>
    <w:rsid w:val="006F61CB"/>
    <w:rsid w:val="006F7DE1"/>
    <w:rsid w:val="00715C56"/>
    <w:rsid w:val="00727C86"/>
    <w:rsid w:val="00744735"/>
    <w:rsid w:val="007879D9"/>
    <w:rsid w:val="007A093B"/>
    <w:rsid w:val="007C4F8B"/>
    <w:rsid w:val="007F32C5"/>
    <w:rsid w:val="007F6C6F"/>
    <w:rsid w:val="00803D68"/>
    <w:rsid w:val="008076E2"/>
    <w:rsid w:val="00814356"/>
    <w:rsid w:val="0083354D"/>
    <w:rsid w:val="0084325E"/>
    <w:rsid w:val="00852DE3"/>
    <w:rsid w:val="00857122"/>
    <w:rsid w:val="008D5924"/>
    <w:rsid w:val="009312BD"/>
    <w:rsid w:val="00975836"/>
    <w:rsid w:val="00975D8B"/>
    <w:rsid w:val="009A2261"/>
    <w:rsid w:val="009C0E7F"/>
    <w:rsid w:val="009E04A4"/>
    <w:rsid w:val="009F049D"/>
    <w:rsid w:val="009F5E2A"/>
    <w:rsid w:val="00A0044C"/>
    <w:rsid w:val="00A02BBB"/>
    <w:rsid w:val="00A03846"/>
    <w:rsid w:val="00A4744A"/>
    <w:rsid w:val="00A61663"/>
    <w:rsid w:val="00A6197F"/>
    <w:rsid w:val="00A640C8"/>
    <w:rsid w:val="00A66D3B"/>
    <w:rsid w:val="00A77BDF"/>
    <w:rsid w:val="00A848B3"/>
    <w:rsid w:val="00AD3E11"/>
    <w:rsid w:val="00B119C3"/>
    <w:rsid w:val="00B16617"/>
    <w:rsid w:val="00B54011"/>
    <w:rsid w:val="00B61542"/>
    <w:rsid w:val="00B8413C"/>
    <w:rsid w:val="00BB1B73"/>
    <w:rsid w:val="00BD164A"/>
    <w:rsid w:val="00BE572B"/>
    <w:rsid w:val="00C00A45"/>
    <w:rsid w:val="00C01D06"/>
    <w:rsid w:val="00C01E89"/>
    <w:rsid w:val="00C33C52"/>
    <w:rsid w:val="00C374D6"/>
    <w:rsid w:val="00C46100"/>
    <w:rsid w:val="00C57D84"/>
    <w:rsid w:val="00C71C44"/>
    <w:rsid w:val="00CA13D9"/>
    <w:rsid w:val="00D112D6"/>
    <w:rsid w:val="00D114FD"/>
    <w:rsid w:val="00D30BC0"/>
    <w:rsid w:val="00D3580A"/>
    <w:rsid w:val="00D94BE9"/>
    <w:rsid w:val="00DA31EF"/>
    <w:rsid w:val="00DB0445"/>
    <w:rsid w:val="00DB34D0"/>
    <w:rsid w:val="00DD0B98"/>
    <w:rsid w:val="00DF0447"/>
    <w:rsid w:val="00E0598E"/>
    <w:rsid w:val="00E12985"/>
    <w:rsid w:val="00E27C07"/>
    <w:rsid w:val="00E342BD"/>
    <w:rsid w:val="00E57C52"/>
    <w:rsid w:val="00EA05C0"/>
    <w:rsid w:val="00EB2C4C"/>
    <w:rsid w:val="00EB4B03"/>
    <w:rsid w:val="00EF5DB7"/>
    <w:rsid w:val="00F3355F"/>
    <w:rsid w:val="00F54BE6"/>
    <w:rsid w:val="00FF799B"/>
    <w:rsid w:val="011B466A"/>
    <w:rsid w:val="012D66CB"/>
    <w:rsid w:val="017E0CD4"/>
    <w:rsid w:val="01DF2B34"/>
    <w:rsid w:val="01F17356"/>
    <w:rsid w:val="0221497E"/>
    <w:rsid w:val="02411B93"/>
    <w:rsid w:val="03A3046B"/>
    <w:rsid w:val="03EA3B6C"/>
    <w:rsid w:val="041530E9"/>
    <w:rsid w:val="04231D23"/>
    <w:rsid w:val="04A8035C"/>
    <w:rsid w:val="057B186A"/>
    <w:rsid w:val="05832D5D"/>
    <w:rsid w:val="06336531"/>
    <w:rsid w:val="064C3473"/>
    <w:rsid w:val="06A50AB1"/>
    <w:rsid w:val="06B56F46"/>
    <w:rsid w:val="06DC0977"/>
    <w:rsid w:val="06F207A1"/>
    <w:rsid w:val="075020E6"/>
    <w:rsid w:val="081E4FBF"/>
    <w:rsid w:val="083420ED"/>
    <w:rsid w:val="085A3487"/>
    <w:rsid w:val="09B1657D"/>
    <w:rsid w:val="0A862501"/>
    <w:rsid w:val="0AAF4AF8"/>
    <w:rsid w:val="0B56577A"/>
    <w:rsid w:val="0B685928"/>
    <w:rsid w:val="0B700E0C"/>
    <w:rsid w:val="0CBB102F"/>
    <w:rsid w:val="0CC32F3E"/>
    <w:rsid w:val="0E3B3D37"/>
    <w:rsid w:val="0E867A2B"/>
    <w:rsid w:val="0F022F45"/>
    <w:rsid w:val="0F670FFA"/>
    <w:rsid w:val="0F96368D"/>
    <w:rsid w:val="0FD3043D"/>
    <w:rsid w:val="0FFC0273"/>
    <w:rsid w:val="100F6863"/>
    <w:rsid w:val="101822F4"/>
    <w:rsid w:val="101F6CD7"/>
    <w:rsid w:val="10670EE6"/>
    <w:rsid w:val="107C30FC"/>
    <w:rsid w:val="10856EF2"/>
    <w:rsid w:val="10DE1449"/>
    <w:rsid w:val="11196324"/>
    <w:rsid w:val="11477335"/>
    <w:rsid w:val="118E0AC0"/>
    <w:rsid w:val="127C39BF"/>
    <w:rsid w:val="13255FEB"/>
    <w:rsid w:val="134A1239"/>
    <w:rsid w:val="13E477BD"/>
    <w:rsid w:val="14593E59"/>
    <w:rsid w:val="154E30EE"/>
    <w:rsid w:val="15AF7307"/>
    <w:rsid w:val="16276709"/>
    <w:rsid w:val="164825DB"/>
    <w:rsid w:val="17B500E2"/>
    <w:rsid w:val="17F17FFA"/>
    <w:rsid w:val="1849373C"/>
    <w:rsid w:val="19094ED0"/>
    <w:rsid w:val="19113420"/>
    <w:rsid w:val="19BE3F0C"/>
    <w:rsid w:val="1A057D8D"/>
    <w:rsid w:val="1A3B49D3"/>
    <w:rsid w:val="1AA749A0"/>
    <w:rsid w:val="1B4B2C75"/>
    <w:rsid w:val="1B525A3A"/>
    <w:rsid w:val="1B5508A0"/>
    <w:rsid w:val="1BD15BBA"/>
    <w:rsid w:val="1C081834"/>
    <w:rsid w:val="1DFE3E65"/>
    <w:rsid w:val="1E566E09"/>
    <w:rsid w:val="1E9528AA"/>
    <w:rsid w:val="1EA82360"/>
    <w:rsid w:val="1F1B770B"/>
    <w:rsid w:val="1F9A4B54"/>
    <w:rsid w:val="2004056C"/>
    <w:rsid w:val="204A3D46"/>
    <w:rsid w:val="20E8359B"/>
    <w:rsid w:val="210D5718"/>
    <w:rsid w:val="21411C9A"/>
    <w:rsid w:val="22242360"/>
    <w:rsid w:val="22A81D4C"/>
    <w:rsid w:val="22BB4EBE"/>
    <w:rsid w:val="235002CB"/>
    <w:rsid w:val="23A97579"/>
    <w:rsid w:val="24482D50"/>
    <w:rsid w:val="256F266F"/>
    <w:rsid w:val="25A247EC"/>
    <w:rsid w:val="26061132"/>
    <w:rsid w:val="26AF5308"/>
    <w:rsid w:val="26CC2D31"/>
    <w:rsid w:val="26D570D5"/>
    <w:rsid w:val="27311429"/>
    <w:rsid w:val="283642C0"/>
    <w:rsid w:val="286001FB"/>
    <w:rsid w:val="28601FCB"/>
    <w:rsid w:val="28FD7399"/>
    <w:rsid w:val="29290FA4"/>
    <w:rsid w:val="29950680"/>
    <w:rsid w:val="2AE92B8B"/>
    <w:rsid w:val="2B185933"/>
    <w:rsid w:val="2C0549B2"/>
    <w:rsid w:val="2C311191"/>
    <w:rsid w:val="2C416D72"/>
    <w:rsid w:val="2D494239"/>
    <w:rsid w:val="2D6501FC"/>
    <w:rsid w:val="2E6C46A3"/>
    <w:rsid w:val="2EA72180"/>
    <w:rsid w:val="2F1E74CF"/>
    <w:rsid w:val="2FDE6C5E"/>
    <w:rsid w:val="305331A8"/>
    <w:rsid w:val="30534F57"/>
    <w:rsid w:val="3182062E"/>
    <w:rsid w:val="32145A07"/>
    <w:rsid w:val="322A618B"/>
    <w:rsid w:val="33356B95"/>
    <w:rsid w:val="33482D6D"/>
    <w:rsid w:val="335A65FC"/>
    <w:rsid w:val="348451A1"/>
    <w:rsid w:val="34C208FD"/>
    <w:rsid w:val="34C226AB"/>
    <w:rsid w:val="34EC597A"/>
    <w:rsid w:val="356203CC"/>
    <w:rsid w:val="35A867BB"/>
    <w:rsid w:val="35C52022"/>
    <w:rsid w:val="35EF72F8"/>
    <w:rsid w:val="35FF348B"/>
    <w:rsid w:val="361E2B75"/>
    <w:rsid w:val="36421CF5"/>
    <w:rsid w:val="36E56B24"/>
    <w:rsid w:val="36FD2EC7"/>
    <w:rsid w:val="37896C52"/>
    <w:rsid w:val="378974B0"/>
    <w:rsid w:val="38072EB2"/>
    <w:rsid w:val="38936518"/>
    <w:rsid w:val="38EC419A"/>
    <w:rsid w:val="39253EF0"/>
    <w:rsid w:val="395C1320"/>
    <w:rsid w:val="39DE7F87"/>
    <w:rsid w:val="3A361B71"/>
    <w:rsid w:val="3AA23689"/>
    <w:rsid w:val="3AAC27E9"/>
    <w:rsid w:val="3B3B4CAD"/>
    <w:rsid w:val="3C0B4511"/>
    <w:rsid w:val="3C1A70E9"/>
    <w:rsid w:val="3C477110"/>
    <w:rsid w:val="3C7945AF"/>
    <w:rsid w:val="3D1E4B3E"/>
    <w:rsid w:val="3D9077EA"/>
    <w:rsid w:val="3DB41ED8"/>
    <w:rsid w:val="3DBB5DC7"/>
    <w:rsid w:val="3DBF38A8"/>
    <w:rsid w:val="3DC41242"/>
    <w:rsid w:val="3E0C2BE9"/>
    <w:rsid w:val="3E611D45"/>
    <w:rsid w:val="3ECF7E9E"/>
    <w:rsid w:val="3EED2A1A"/>
    <w:rsid w:val="3FAB3A69"/>
    <w:rsid w:val="407F2196"/>
    <w:rsid w:val="40A40D4F"/>
    <w:rsid w:val="40F36293"/>
    <w:rsid w:val="4105404B"/>
    <w:rsid w:val="419B2E13"/>
    <w:rsid w:val="41E579D9"/>
    <w:rsid w:val="421A6D98"/>
    <w:rsid w:val="42201879"/>
    <w:rsid w:val="423D7815"/>
    <w:rsid w:val="440B0B14"/>
    <w:rsid w:val="45284A5E"/>
    <w:rsid w:val="456B6431"/>
    <w:rsid w:val="463A1B60"/>
    <w:rsid w:val="47443778"/>
    <w:rsid w:val="47503B46"/>
    <w:rsid w:val="47874EA9"/>
    <w:rsid w:val="47B44676"/>
    <w:rsid w:val="47C702AC"/>
    <w:rsid w:val="47DE55F6"/>
    <w:rsid w:val="4803701A"/>
    <w:rsid w:val="482951A0"/>
    <w:rsid w:val="48594C7C"/>
    <w:rsid w:val="49530312"/>
    <w:rsid w:val="49ED64C9"/>
    <w:rsid w:val="4A0961E3"/>
    <w:rsid w:val="4A3C6604"/>
    <w:rsid w:val="4AF36E2F"/>
    <w:rsid w:val="4B48499E"/>
    <w:rsid w:val="4B876D4C"/>
    <w:rsid w:val="4B885FA4"/>
    <w:rsid w:val="4BDB5372"/>
    <w:rsid w:val="4BEF1B80"/>
    <w:rsid w:val="4BF25E27"/>
    <w:rsid w:val="4C7A32E7"/>
    <w:rsid w:val="4CAF28EB"/>
    <w:rsid w:val="4D006A28"/>
    <w:rsid w:val="4D0F0CA0"/>
    <w:rsid w:val="4D3B626A"/>
    <w:rsid w:val="4E023E15"/>
    <w:rsid w:val="4E4267C4"/>
    <w:rsid w:val="4E720846"/>
    <w:rsid w:val="4E821B43"/>
    <w:rsid w:val="4EAF1A9A"/>
    <w:rsid w:val="4F100820"/>
    <w:rsid w:val="4FD74E04"/>
    <w:rsid w:val="50416722"/>
    <w:rsid w:val="507A635B"/>
    <w:rsid w:val="50894627"/>
    <w:rsid w:val="5141504D"/>
    <w:rsid w:val="514207FD"/>
    <w:rsid w:val="5167665C"/>
    <w:rsid w:val="51A73905"/>
    <w:rsid w:val="51C615D4"/>
    <w:rsid w:val="51E15D28"/>
    <w:rsid w:val="525070F0"/>
    <w:rsid w:val="52884ADC"/>
    <w:rsid w:val="52AA2CA4"/>
    <w:rsid w:val="52C74869"/>
    <w:rsid w:val="52F263F9"/>
    <w:rsid w:val="536410A5"/>
    <w:rsid w:val="53BC7CB1"/>
    <w:rsid w:val="53DB2795"/>
    <w:rsid w:val="53F046E7"/>
    <w:rsid w:val="547E6196"/>
    <w:rsid w:val="54896BD1"/>
    <w:rsid w:val="54A05CAD"/>
    <w:rsid w:val="54DB230D"/>
    <w:rsid w:val="55056F8C"/>
    <w:rsid w:val="55944C0E"/>
    <w:rsid w:val="576D3087"/>
    <w:rsid w:val="57F10A2D"/>
    <w:rsid w:val="58360B36"/>
    <w:rsid w:val="583C439E"/>
    <w:rsid w:val="593A06B5"/>
    <w:rsid w:val="59BD150F"/>
    <w:rsid w:val="59D24F4B"/>
    <w:rsid w:val="59E051FD"/>
    <w:rsid w:val="59F16908"/>
    <w:rsid w:val="5A1321C4"/>
    <w:rsid w:val="5A1D5B0A"/>
    <w:rsid w:val="5A762450"/>
    <w:rsid w:val="5A9E01A3"/>
    <w:rsid w:val="5AC35A6B"/>
    <w:rsid w:val="5B5A2D8E"/>
    <w:rsid w:val="5BAF4E53"/>
    <w:rsid w:val="5BD111F4"/>
    <w:rsid w:val="5CC86EA4"/>
    <w:rsid w:val="5CDE7823"/>
    <w:rsid w:val="5CE5193F"/>
    <w:rsid w:val="5DD46E27"/>
    <w:rsid w:val="5E3D507A"/>
    <w:rsid w:val="5E443FAD"/>
    <w:rsid w:val="5E686551"/>
    <w:rsid w:val="5EA902B4"/>
    <w:rsid w:val="5F243677"/>
    <w:rsid w:val="5F4A16A1"/>
    <w:rsid w:val="5F9C69B7"/>
    <w:rsid w:val="611F2AAF"/>
    <w:rsid w:val="6130766C"/>
    <w:rsid w:val="61BC02FE"/>
    <w:rsid w:val="61DC7186"/>
    <w:rsid w:val="61DE64C6"/>
    <w:rsid w:val="61FE0917"/>
    <w:rsid w:val="621F0086"/>
    <w:rsid w:val="623844F4"/>
    <w:rsid w:val="62766E03"/>
    <w:rsid w:val="627B6F04"/>
    <w:rsid w:val="629372B1"/>
    <w:rsid w:val="62BF00A6"/>
    <w:rsid w:val="63531F8D"/>
    <w:rsid w:val="635F53E5"/>
    <w:rsid w:val="638C227F"/>
    <w:rsid w:val="639B7CD8"/>
    <w:rsid w:val="63B868A3"/>
    <w:rsid w:val="63C27722"/>
    <w:rsid w:val="63C43705"/>
    <w:rsid w:val="63F01943"/>
    <w:rsid w:val="64256973"/>
    <w:rsid w:val="64634A61"/>
    <w:rsid w:val="64901CDF"/>
    <w:rsid w:val="64A5151D"/>
    <w:rsid w:val="64A82DBC"/>
    <w:rsid w:val="64C409C7"/>
    <w:rsid w:val="64E102CB"/>
    <w:rsid w:val="64E12312"/>
    <w:rsid w:val="65DB74FA"/>
    <w:rsid w:val="67E1027C"/>
    <w:rsid w:val="682B68CB"/>
    <w:rsid w:val="68394457"/>
    <w:rsid w:val="68817BAC"/>
    <w:rsid w:val="69A73642"/>
    <w:rsid w:val="69B35505"/>
    <w:rsid w:val="69B705EC"/>
    <w:rsid w:val="6B442F1F"/>
    <w:rsid w:val="6BA20565"/>
    <w:rsid w:val="6D940381"/>
    <w:rsid w:val="6E39717B"/>
    <w:rsid w:val="6E3D1D2C"/>
    <w:rsid w:val="6E4D5216"/>
    <w:rsid w:val="6F9B59F7"/>
    <w:rsid w:val="6FAD572A"/>
    <w:rsid w:val="6FCA2ACC"/>
    <w:rsid w:val="700F08C0"/>
    <w:rsid w:val="70335228"/>
    <w:rsid w:val="704F0ED7"/>
    <w:rsid w:val="705B714E"/>
    <w:rsid w:val="706F2E94"/>
    <w:rsid w:val="713E0F09"/>
    <w:rsid w:val="71933005"/>
    <w:rsid w:val="724A3B0C"/>
    <w:rsid w:val="72541E8D"/>
    <w:rsid w:val="72DA44FF"/>
    <w:rsid w:val="72EB15F3"/>
    <w:rsid w:val="736C5231"/>
    <w:rsid w:val="736E51D0"/>
    <w:rsid w:val="73E01848"/>
    <w:rsid w:val="73E07E7C"/>
    <w:rsid w:val="73E80A44"/>
    <w:rsid w:val="73FD2FDB"/>
    <w:rsid w:val="742762A4"/>
    <w:rsid w:val="744523D5"/>
    <w:rsid w:val="74E22F5B"/>
    <w:rsid w:val="74E60521"/>
    <w:rsid w:val="75513C89"/>
    <w:rsid w:val="75821800"/>
    <w:rsid w:val="75FC6AC3"/>
    <w:rsid w:val="76402E54"/>
    <w:rsid w:val="76D637B8"/>
    <w:rsid w:val="76EB7264"/>
    <w:rsid w:val="76F81981"/>
    <w:rsid w:val="77037899"/>
    <w:rsid w:val="771B11CB"/>
    <w:rsid w:val="778E4093"/>
    <w:rsid w:val="778E6916"/>
    <w:rsid w:val="77AB445A"/>
    <w:rsid w:val="78B90C9C"/>
    <w:rsid w:val="7901354B"/>
    <w:rsid w:val="792720A9"/>
    <w:rsid w:val="794964C4"/>
    <w:rsid w:val="797449B2"/>
    <w:rsid w:val="79C03F87"/>
    <w:rsid w:val="79D33FDF"/>
    <w:rsid w:val="7A2F16EC"/>
    <w:rsid w:val="7A7E1383"/>
    <w:rsid w:val="7B5F3D7C"/>
    <w:rsid w:val="7B6770D5"/>
    <w:rsid w:val="7B8D4791"/>
    <w:rsid w:val="7BB52A0C"/>
    <w:rsid w:val="7BE20509"/>
    <w:rsid w:val="7CBE26EC"/>
    <w:rsid w:val="7D807FDA"/>
    <w:rsid w:val="7E4C424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paragraph" w:styleId="3">
    <w:name w:val="heading 3"/>
    <w:basedOn w:val="1"/>
    <w:next w:val="1"/>
    <w:qFormat/>
    <w:uiPriority w:val="0"/>
    <w:pPr>
      <w:keepNext/>
      <w:keepLines/>
      <w:autoSpaceDE w:val="0"/>
      <w:autoSpaceDN w:val="0"/>
      <w:adjustRightInd w:val="0"/>
      <w:spacing w:before="260" w:after="260" w:line="416" w:lineRule="atLeast"/>
      <w:jc w:val="left"/>
      <w:outlineLvl w:val="2"/>
    </w:pPr>
    <w:rPr>
      <w:rFonts w:hint="eastAsia" w:ascii="宋体" w:hAnsi="宋体"/>
      <w:b/>
      <w:sz w:val="32"/>
      <w:szCs w:val="20"/>
    </w:rPr>
  </w:style>
  <w:style w:type="paragraph" w:styleId="4">
    <w:name w:val="heading 4"/>
    <w:basedOn w:val="1"/>
    <w:next w:val="1"/>
    <w:qFormat/>
    <w:uiPriority w:val="0"/>
    <w:pPr>
      <w:keepNext/>
      <w:jc w:val="center"/>
      <w:outlineLvl w:val="3"/>
    </w:pPr>
    <w:rPr>
      <w:rFonts w:eastAsia="新宋体"/>
      <w:kern w:val="0"/>
      <w:sz w:val="30"/>
      <w:szCs w:val="21"/>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unhideWhenUsed/>
    <w:qFormat/>
    <w:uiPriority w:val="0"/>
    <w:pPr>
      <w:ind w:firstLine="420"/>
    </w:pPr>
    <w:rPr>
      <w:szCs w:val="20"/>
    </w:rPr>
  </w:style>
  <w:style w:type="paragraph" w:styleId="6">
    <w:name w:val="Body Text"/>
    <w:basedOn w:val="1"/>
    <w:next w:val="1"/>
    <w:qFormat/>
    <w:uiPriority w:val="0"/>
    <w:pPr>
      <w:spacing w:after="120"/>
    </w:pPr>
    <w:rPr>
      <w:rFonts w:ascii="Times New Roman" w:hAnsi="Times New Roman"/>
      <w:szCs w:val="20"/>
    </w:rPr>
  </w:style>
  <w:style w:type="paragraph" w:styleId="7">
    <w:name w:val="Body Text Indent"/>
    <w:basedOn w:val="1"/>
    <w:qFormat/>
    <w:uiPriority w:val="0"/>
    <w:pPr>
      <w:ind w:left="420" w:leftChars="200"/>
    </w:pPr>
  </w:style>
  <w:style w:type="paragraph" w:styleId="8">
    <w:name w:val="Plain Text"/>
    <w:basedOn w:val="1"/>
    <w:next w:val="1"/>
    <w:qFormat/>
    <w:uiPriority w:val="0"/>
    <w:rPr>
      <w:rFonts w:hint="eastAsia" w:ascii="宋体" w:hAnsi="Courier New"/>
      <w:szCs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Normal (Web)"/>
    <w:basedOn w:val="1"/>
    <w:qFormat/>
    <w:uiPriority w:val="0"/>
    <w:pPr>
      <w:widowControl/>
      <w:spacing w:before="100" w:beforeAutospacing="1" w:after="100" w:afterAutospacing="1"/>
      <w:jc w:val="left"/>
    </w:pPr>
    <w:rPr>
      <w:rFonts w:hint="eastAsia" w:ascii="Arial Unicode MS" w:hAnsi="Arial Unicode MS"/>
      <w:kern w:val="0"/>
      <w:sz w:val="24"/>
      <w:szCs w:val="20"/>
    </w:rPr>
  </w:style>
  <w:style w:type="paragraph" w:styleId="12">
    <w:name w:val="Body Text First Indent 2"/>
    <w:basedOn w:val="7"/>
    <w:next w:val="1"/>
    <w:qFormat/>
    <w:uiPriority w:val="0"/>
    <w:pPr>
      <w:spacing w:after="120"/>
      <w:ind w:firstLine="420" w:firstLineChars="200"/>
    </w:pPr>
    <w:rPr>
      <w:rFonts w:ascii="Times New Roman" w:hAnsi="Times New Roman"/>
      <w:szCs w:val="20"/>
    </w:rPr>
  </w:style>
  <w:style w:type="character" w:styleId="15">
    <w:name w:val="Strong"/>
    <w:basedOn w:val="14"/>
    <w:qFormat/>
    <w:uiPriority w:val="0"/>
    <w:rPr>
      <w:b/>
    </w:rPr>
  </w:style>
  <w:style w:type="character" w:styleId="16">
    <w:name w:val="FollowedHyperlink"/>
    <w:qFormat/>
    <w:uiPriority w:val="0"/>
    <w:rPr>
      <w:color w:val="800080"/>
      <w:u w:val="none"/>
    </w:rPr>
  </w:style>
  <w:style w:type="character" w:styleId="17">
    <w:name w:val="HTML Definition"/>
    <w:basedOn w:val="14"/>
    <w:qFormat/>
    <w:uiPriority w:val="0"/>
  </w:style>
  <w:style w:type="character" w:styleId="18">
    <w:name w:val="HTML Typewriter"/>
    <w:basedOn w:val="14"/>
    <w:qFormat/>
    <w:uiPriority w:val="0"/>
    <w:rPr>
      <w:rFonts w:hint="default" w:ascii="monospace" w:hAnsi="monospace" w:eastAsia="monospace" w:cs="monospace"/>
      <w:sz w:val="20"/>
    </w:rPr>
  </w:style>
  <w:style w:type="character" w:styleId="19">
    <w:name w:val="HTML Acronym"/>
    <w:basedOn w:val="14"/>
    <w:qFormat/>
    <w:uiPriority w:val="0"/>
  </w:style>
  <w:style w:type="character" w:styleId="20">
    <w:name w:val="HTML Variable"/>
    <w:basedOn w:val="14"/>
    <w:qFormat/>
    <w:uiPriority w:val="0"/>
  </w:style>
  <w:style w:type="character" w:styleId="21">
    <w:name w:val="Hyperlink"/>
    <w:basedOn w:val="14"/>
    <w:qFormat/>
    <w:uiPriority w:val="0"/>
    <w:rPr>
      <w:color w:val="0000FF"/>
      <w:u w:val="none"/>
    </w:rPr>
  </w:style>
  <w:style w:type="character" w:styleId="22">
    <w:name w:val="HTML Code"/>
    <w:basedOn w:val="14"/>
    <w:qFormat/>
    <w:uiPriority w:val="0"/>
    <w:rPr>
      <w:rFonts w:ascii="monospace" w:hAnsi="monospace" w:eastAsia="monospace" w:cs="monospace"/>
      <w:sz w:val="20"/>
    </w:rPr>
  </w:style>
  <w:style w:type="character" w:styleId="23">
    <w:name w:val="HTML Cite"/>
    <w:basedOn w:val="14"/>
    <w:qFormat/>
    <w:uiPriority w:val="0"/>
  </w:style>
  <w:style w:type="character" w:styleId="24">
    <w:name w:val="HTML Keyboard"/>
    <w:basedOn w:val="14"/>
    <w:qFormat/>
    <w:uiPriority w:val="0"/>
    <w:rPr>
      <w:rFonts w:hint="default" w:ascii="monospace" w:hAnsi="monospace" w:eastAsia="monospace" w:cs="monospace"/>
      <w:sz w:val="20"/>
    </w:rPr>
  </w:style>
  <w:style w:type="character" w:styleId="25">
    <w:name w:val="HTML Sample"/>
    <w:basedOn w:val="14"/>
    <w:qFormat/>
    <w:uiPriority w:val="0"/>
    <w:rPr>
      <w:rFonts w:hint="default" w:ascii="monospace" w:hAnsi="monospace" w:eastAsia="monospace" w:cs="monospace"/>
    </w:rPr>
  </w:style>
  <w:style w:type="paragraph" w:customStyle="1" w:styleId="26">
    <w:name w:val="列出段落1"/>
    <w:basedOn w:val="1"/>
    <w:qFormat/>
    <w:uiPriority w:val="34"/>
    <w:pPr>
      <w:ind w:firstLine="420" w:firstLineChars="200"/>
    </w:pPr>
    <w:rPr>
      <w:szCs w:val="22"/>
    </w:rPr>
  </w:style>
  <w:style w:type="paragraph" w:customStyle="1" w:styleId="27">
    <w:name w:val="二级目录"/>
    <w:basedOn w:val="1"/>
    <w:next w:val="1"/>
    <w:qFormat/>
    <w:uiPriority w:val="0"/>
    <w:pPr>
      <w:widowControl/>
      <w:tabs>
        <w:tab w:val="left" w:pos="720"/>
      </w:tabs>
      <w:ind w:left="720" w:hanging="720"/>
      <w:jc w:val="left"/>
      <w:outlineLvl w:val="1"/>
    </w:pPr>
    <w:rPr>
      <w:rFonts w:ascii="Times New Roman" w:hAnsi="Times New Roman"/>
      <w:b/>
      <w:sz w:val="30"/>
      <w:szCs w:val="28"/>
    </w:rPr>
  </w:style>
  <w:style w:type="paragraph" w:customStyle="1" w:styleId="28">
    <w:name w:val="首行缩进"/>
    <w:basedOn w:val="1"/>
    <w:qFormat/>
    <w:uiPriority w:val="0"/>
    <w:pPr>
      <w:spacing w:line="360" w:lineRule="auto"/>
      <w:ind w:firstLine="480" w:firstLineChars="200"/>
    </w:pPr>
    <w:rPr>
      <w:rFonts w:ascii="Times New Roman" w:hAnsi="Times New Roman"/>
      <w:szCs w:val="20"/>
    </w:rPr>
  </w:style>
  <w:style w:type="character" w:customStyle="1" w:styleId="29">
    <w:name w:val="first-child"/>
    <w:basedOn w:val="14"/>
    <w:qFormat/>
    <w:uiPriority w:val="0"/>
  </w:style>
  <w:style w:type="character" w:customStyle="1" w:styleId="30">
    <w:name w:val="hover2"/>
    <w:basedOn w:val="14"/>
    <w:qFormat/>
    <w:uiPriority w:val="0"/>
    <w:rPr>
      <w:color w:val="5FB878"/>
    </w:rPr>
  </w:style>
  <w:style w:type="character" w:customStyle="1" w:styleId="31">
    <w:name w:val="hover3"/>
    <w:basedOn w:val="14"/>
    <w:qFormat/>
    <w:uiPriority w:val="0"/>
    <w:rPr>
      <w:color w:val="5FB878"/>
    </w:rPr>
  </w:style>
  <w:style w:type="character" w:customStyle="1" w:styleId="32">
    <w:name w:val="hover4"/>
    <w:basedOn w:val="14"/>
    <w:qFormat/>
    <w:uiPriority w:val="0"/>
    <w:rPr>
      <w:color w:val="FFFFFF"/>
    </w:rPr>
  </w:style>
  <w:style w:type="character" w:customStyle="1" w:styleId="33">
    <w:name w:val="layui-this"/>
    <w:basedOn w:val="14"/>
    <w:qFormat/>
    <w:uiPriority w:val="0"/>
    <w:rPr>
      <w:bdr w:val="single" w:color="EEEEEE" w:sz="6" w:space="0"/>
      <w:shd w:val="clear" w:color="auto" w:fill="FFFFFF"/>
    </w:rPr>
  </w:style>
  <w:style w:type="paragraph" w:customStyle="1" w:styleId="34">
    <w:name w:val="正文缩进2格"/>
    <w:basedOn w:val="1"/>
    <w:qFormat/>
    <w:uiPriority w:val="0"/>
    <w:pPr>
      <w:spacing w:line="600" w:lineRule="exact"/>
      <w:ind w:firstLine="639" w:firstLineChars="206"/>
    </w:pPr>
    <w:rPr>
      <w:rFonts w:ascii="仿宋_GB2312" w:hAnsi="宋体" w:eastAsia="仿宋_GB2312"/>
      <w:sz w:val="31"/>
      <w:szCs w:val="28"/>
    </w:rPr>
  </w:style>
  <w:style w:type="paragraph" w:styleId="35">
    <w:name w:val="List Paragraph"/>
    <w:basedOn w:val="1"/>
    <w:link w:val="36"/>
    <w:semiHidden/>
    <w:unhideWhenUsed/>
    <w:qFormat/>
    <w:uiPriority w:val="99"/>
    <w:pPr>
      <w:ind w:firstLine="420" w:firstLineChars="200"/>
    </w:pPr>
  </w:style>
  <w:style w:type="character" w:customStyle="1" w:styleId="36">
    <w:name w:val="列表段落 字符"/>
    <w:link w:val="35"/>
    <w:semiHidden/>
    <w:qFormat/>
    <w:locked/>
    <w:uiPriority w:val="99"/>
    <w:rPr>
      <w:rFonts w:ascii="Calibri" w:hAnsi="Calibri"/>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sectNamePr val="附件1"/>
    </customSectPr>
    <customSectPr>
      <sectNamePr val="附件11"/>
    </customSectPr>
    <customSectPr>
      <sectNamePr val="附件12"/>
    </customSectPr>
    <customSectPr>
      <sectNamePr val="附件14"/>
    </customSectPr>
    <customSectPr>
      <sectNamePr val="附件15"/>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4201</Words>
  <Characters>4547</Characters>
  <Lines>144</Lines>
  <Paragraphs>40</Paragraphs>
  <TotalTime>39</TotalTime>
  <ScaleCrop>false</ScaleCrop>
  <LinksUpToDate>false</LinksUpToDate>
  <CharactersWithSpaces>4593</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2021-11-08T09:01:00Z</dcterms:created>
  <dc:creator>Administrator</dc:creator>
  <cp:lastModifiedBy>李毅</cp:lastModifiedBy>
  <cp:lastPrinted>2026-02-24T00:57:00Z</cp:lastPrinted>
  <dcterms:modified xsi:type="dcterms:W3CDTF">2026-04-24T08:33:52Z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7840214253D04B9683E5CCA79B69C48E_13</vt:lpwstr>
  </property>
  <property fmtid="{D5CDD505-2E9C-101B-9397-08002B2CF9AE}" pid="4" name="KSOTemplateDocerSaveRecord">
    <vt:lpwstr>eyJoZGlkIjoiYjA2NzRhNzNjNjFjMTU2ODJkZDA1ZjEyZWI2NjJlNjEiLCJ1c2VySWQiOiIzMTg5Mjg5MDgifQ==</vt:lpwstr>
  </property>
</Properties>
</file>