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rPr>
          <w:rFonts w:hint="eastAsia" w:ascii="宋体" w:hAnsi="宋体" w:cs="宋体"/>
        </w:rPr>
      </w:pPr>
      <w:r>
        <w:rPr>
          <w:rFonts w:hint="eastAsia" w:ascii="宋体" w:hAnsi="宋体" w:cs="宋体"/>
        </w:rPr>
      </w:r>
      <w:r/>
    </w:p>
    <w:p>
      <w:pPr>
        <w:pStyle w:val="805"/>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jc w:val="center"/>
        <w:spacing w:line="360" w:lineRule="auto"/>
        <w:shd w:val="clear" w:color="auto" w:fill="ffffff"/>
        <w:widowControl/>
        <w:rPr>
          <w:rFonts w:hint="default" w:ascii="宋体" w:hAnsi="宋体" w:eastAsia="宋体" w:cs="宋体"/>
          <w:b/>
          <w:sz w:val="44"/>
          <w:szCs w:val="44"/>
          <w:lang w:val="en-US" w:eastAsia="zh-CN"/>
        </w:rPr>
      </w:pPr>
      <w:r>
        <w:rPr>
          <w:rFonts w:hint="eastAsia" w:ascii="宋体" w:hAnsi="宋体" w:cs="宋体"/>
          <w:b/>
          <w:sz w:val="44"/>
          <w:szCs w:val="44"/>
          <w:lang w:eastAsia="zh-CN"/>
        </w:rPr>
        <w:t xml:space="preserve">2026、2027年南京市建邺区绿雕、花境等养护服务</w:t>
      </w:r>
      <w:r>
        <w:rPr>
          <w:rFonts w:hint="eastAsia" w:ascii="宋体" w:hAnsi="宋体" w:cs="宋体"/>
          <w:b/>
          <w:sz w:val="44"/>
          <w:szCs w:val="44"/>
          <w:lang w:val="en-US" w:eastAsia="zh-CN"/>
        </w:rPr>
        <w:t xml:space="preserve">项目</w:t>
      </w:r>
      <w:r/>
    </w:p>
    <w:p>
      <w:pPr>
        <w:pStyle w:val="761"/>
      </w:pPr>
      <w:r/>
      <w:r/>
    </w:p>
    <w:p>
      <w:pPr>
        <w:pStyle w:val="761"/>
      </w:pPr>
      <w:r/>
      <w:r/>
    </w:p>
    <w:p>
      <w:pPr>
        <w:pStyle w:val="791"/>
        <w:rPr>
          <w:rFonts w:hint="eastAsia" w:cs="宋体"/>
        </w:rPr>
      </w:pPr>
      <w:r>
        <w:rPr>
          <w:rFonts w:hint="eastAsia" w:cs="宋体"/>
        </w:rPr>
      </w:r>
      <w:r/>
    </w:p>
    <w:p>
      <w:pPr>
        <w:pStyle w:val="791"/>
        <w:rPr>
          <w:rFonts w:hint="eastAsia" w:cs="宋体"/>
        </w:rPr>
      </w:pPr>
      <w:r>
        <w:rPr>
          <w:rFonts w:hint="eastAsia" w:cs="宋体"/>
        </w:rPr>
      </w:r>
      <w:r/>
    </w:p>
    <w:p>
      <w:pPr>
        <w:pStyle w:val="791"/>
        <w:rPr>
          <w:rFonts w:hint="eastAsia" w:cs="宋体"/>
        </w:rPr>
      </w:pPr>
      <w:r>
        <w:rPr>
          <w:rFonts w:hint="eastAsia" w:cs="宋体"/>
        </w:rPr>
      </w:r>
      <w:r/>
    </w:p>
    <w:p>
      <w:pPr>
        <w:pStyle w:val="791"/>
        <w:rPr>
          <w:rFonts w:hint="eastAsia" w:cs="宋体"/>
        </w:rPr>
      </w:pPr>
      <w:r>
        <w:rPr>
          <w:rFonts w:hint="eastAsia"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default" w:ascii="宋体" w:hAnsi="宋体" w:cs="宋体"/>
          <w:b/>
          <w:sz w:val="72"/>
          <w:szCs w:val="72"/>
          <w:lang w:val="en-US"/>
        </w:rPr>
      </w:pPr>
      <w:r>
        <w:rPr>
          <w:rFonts w:hint="eastAsia" w:ascii="宋体" w:hAnsi="宋体" w:cs="宋体"/>
          <w:b/>
          <w:sz w:val="36"/>
          <w:szCs w:val="36"/>
        </w:rPr>
        <w:t xml:space="preserve">项目编号：</w:t>
      </w:r>
      <w:r>
        <w:rPr>
          <w:rFonts w:hint="eastAsia" w:ascii="宋体" w:hAnsi="宋体" w:cs="宋体"/>
          <w:b/>
          <w:sz w:val="36"/>
          <w:szCs w:val="36"/>
          <w:lang w:eastAsia="zh-CN"/>
        </w:rPr>
        <w:t xml:space="preserve">JSZC-320105-JCEC-G2026-005</w:t>
      </w:r>
      <w:r>
        <w:rPr>
          <w:rFonts w:hint="eastAsia" w:ascii="宋体" w:hAnsi="宋体" w:cs="宋体"/>
          <w:b/>
          <w:sz w:val="36"/>
          <w:szCs w:val="36"/>
          <w:lang w:val="en-US" w:eastAsia="zh-CN"/>
        </w:rPr>
        <w:t xml:space="preserve">1</w:t>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jc w:val="both"/>
        <w:spacing w:line="360" w:lineRule="auto"/>
        <w:widowControl/>
        <w:rPr>
          <w:rFonts w:hint="eastAsia" w:ascii="宋体" w:hAnsi="宋体" w:cs="宋体"/>
          <w:b/>
          <w:sz w:val="72"/>
          <w:szCs w:val="72"/>
        </w:rPr>
      </w:pPr>
      <w:r>
        <w:rPr>
          <w:rFonts w:hint="eastAsia" w:ascii="宋体" w:hAnsi="宋体" w:cs="宋体"/>
          <w:b/>
          <w:sz w:val="72"/>
          <w:szCs w:val="72"/>
        </w:rPr>
      </w:r>
      <w:r/>
    </w:p>
    <w:p>
      <w:pPr>
        <w:pStyle w:val="761"/>
      </w:pPr>
      <w:r/>
      <w:r/>
    </w:p>
    <w:p>
      <w:pPr>
        <w:jc w:val="center"/>
        <w:spacing w:line="360" w:lineRule="auto"/>
        <w:widowControl/>
        <w:rPr>
          <w:rFonts w:hint="eastAsia" w:ascii="宋体" w:hAnsi="宋体" w:eastAsia="宋体" w:cs="宋体"/>
          <w:b/>
          <w:sz w:val="32"/>
          <w:szCs w:val="32"/>
          <w:lang w:eastAsia="zh-CN"/>
        </w:rPr>
      </w:pPr>
      <w:r>
        <w:rPr>
          <w:rFonts w:hint="eastAsia" w:ascii="宋体" w:hAnsi="宋体" w:cs="宋体"/>
          <w:b/>
          <w:sz w:val="32"/>
          <w:szCs w:val="32"/>
        </w:rPr>
        <w:t xml:space="preserve">采购人：</w:t>
      </w:r>
      <w:r>
        <w:rPr>
          <w:rFonts w:hint="eastAsia" w:ascii="宋体" w:hAnsi="宋体" w:cs="宋体"/>
          <w:b/>
          <w:sz w:val="32"/>
          <w:szCs w:val="32"/>
          <w:lang w:eastAsia="zh-CN"/>
        </w:rPr>
        <w:t xml:space="preserve">南京市建邺区市政设施综合养护中心</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采购代理机构：江苏省设备成套股份有限公司</w:t>
      </w:r>
      <w:r/>
    </w:p>
    <w:p>
      <w:pPr>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w:t>
      </w:r>
      <w:r>
        <w:rPr>
          <w:rFonts w:hint="eastAsia" w:ascii="宋体" w:hAnsi="宋体" w:cs="宋体"/>
          <w:b/>
          <w:sz w:val="32"/>
          <w:szCs w:val="32"/>
          <w:lang w:val="en-US" w:eastAsia="zh-CN"/>
        </w:rPr>
        <w:t xml:space="preserve">6</w:t>
      </w:r>
      <w:r>
        <w:rPr>
          <w:rFonts w:hint="eastAsia" w:ascii="宋体" w:hAnsi="宋体" w:cs="宋体"/>
          <w:b/>
          <w:sz w:val="32"/>
          <w:szCs w:val="32"/>
        </w:rPr>
        <w:t xml:space="preserve">年</w:t>
      </w:r>
      <w:r>
        <w:rPr>
          <w:rFonts w:hint="eastAsia" w:ascii="宋体" w:hAnsi="宋体" w:cs="宋体"/>
          <w:b/>
          <w:sz w:val="32"/>
          <w:szCs w:val="32"/>
          <w:lang w:val="en-US" w:eastAsia="zh-CN"/>
        </w:rPr>
        <w:t xml:space="preserve">3</w:t>
      </w:r>
      <w:r>
        <w:rPr>
          <w:rFonts w:hint="eastAsia" w:ascii="宋体" w:hAnsi="宋体" w:cs="宋体"/>
          <w:b/>
          <w:sz w:val="32"/>
          <w:szCs w:val="32"/>
        </w:rPr>
        <w:t xml:space="preserve">月</w:t>
      </w:r>
      <w:r/>
    </w:p>
    <w:p>
      <w:pPr>
        <w:pStyle w:val="806"/>
        <w:rPr>
          <w:rFonts w:hint="eastAsia"/>
        </w:rPr>
      </w:pPr>
      <w:r>
        <w:rPr>
          <w:rFonts w:hint="eastAsia"/>
        </w:rPr>
      </w:r>
      <w:r/>
    </w:p>
    <w:p>
      <w:pPr>
        <w:pStyle w:val="913"/>
        <w:jc w:val="center"/>
        <w:rPr>
          <w:rFonts w:hint="eastAsia"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lang w:val="zh-CN"/>
        </w:rPr>
      </w:r>
      <w:r/>
    </w:p>
    <w:p>
      <w:pPr>
        <w:pStyle w:val="913"/>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781"/>
        <w:tabs>
          <w:tab w:val="right" w:pos="8296" w:leader="dot"/>
        </w:tabs>
        <w:rPr>
          <w:rFonts w:hint="eastAsia" w:ascii="宋体" w:hAnsi="宋体" w:cs="宋体"/>
          <w:sz w:val="28"/>
          <w:szCs w:val="28"/>
        </w:rPr>
      </w:pPr>
      <w:r>
        <w:rPr>
          <w:rFonts w:hint="eastAsia" w:ascii="宋体" w:hAnsi="宋体" w:cs="宋体"/>
          <w:sz w:val="28"/>
          <w:szCs w:val="28"/>
        </w:rPr>
      </w:r>
      <w:r/>
    </w:p>
    <w:p>
      <w:pPr>
        <w:pStyle w:val="781"/>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_Toc19842 </w:instrText>
      </w:r>
      <w:r>
        <w:rPr>
          <w:rFonts w:hint="eastAsia" w:ascii="宋体" w:hAnsi="宋体" w:cs="宋体"/>
        </w:rPr>
        <w:fldChar w:fldCharType="separate"/>
      </w:r>
      <w:r>
        <w:rPr>
          <w:rFonts w:hint="eastAsia" w:ascii="宋体" w:hAnsi="宋体" w:cs="宋体"/>
          <w:szCs w:val="21"/>
        </w:rPr>
        <w:t xml:space="preserve">第一章</w:t>
      </w:r>
      <w:r>
        <w:rPr>
          <w:rFonts w:hint="eastAsia" w:ascii="宋体" w:hAnsi="宋体" w:cs="宋体"/>
        </w:rPr>
        <w:t xml:space="preserve"> 招标公告</w:t>
      </w:r>
      <w:r>
        <w:tab/>
      </w:r>
      <w:r>
        <w:fldChar w:fldCharType="begin"/>
      </w:r>
      <w:r>
        <w:instrText xml:space="preserve"> PAGEREF _Toc19842 \h </w:instrText>
      </w:r>
      <w:r>
        <w:fldChar w:fldCharType="separate"/>
      </w:r>
      <w:r>
        <w:t xml:space="preserve">2</w:t>
      </w:r>
      <w:r>
        <w:fldChar w:fldCharType="end"/>
      </w:r>
      <w:r>
        <w:rPr>
          <w:rFonts w:hint="eastAsia" w:ascii="宋体" w:hAnsi="宋体" w:cs="宋体"/>
        </w:rPr>
        <w:fldChar w:fldCharType="end"/>
      </w:r>
      <w:r/>
    </w:p>
    <w:p>
      <w:pPr>
        <w:pStyle w:val="781"/>
        <w:tabs>
          <w:tab w:val="right" w:pos="9638" w:leader="dot"/>
        </w:tabs>
      </w:pPr>
      <w:r>
        <w:rPr>
          <w:rFonts w:hint="eastAsia" w:ascii="宋体" w:hAnsi="宋体" w:cs="宋体"/>
        </w:rPr>
        <w:fldChar w:fldCharType="begin"/>
      </w:r>
      <w:r>
        <w:rPr>
          <w:rFonts w:hint="eastAsia" w:ascii="宋体" w:hAnsi="宋体" w:cs="宋体"/>
        </w:rPr>
        <w:instrText xml:space="preserve"> HYPERLINK \l _Toc2989 </w:instrText>
      </w:r>
      <w:r>
        <w:rPr>
          <w:rFonts w:hint="eastAsia" w:ascii="宋体" w:hAnsi="宋体" w:cs="宋体"/>
        </w:rPr>
        <w:fldChar w:fldCharType="separate"/>
      </w:r>
      <w:r>
        <w:rPr>
          <w:rFonts w:hint="eastAsia" w:ascii="宋体" w:hAnsi="宋体" w:cs="宋体"/>
        </w:rPr>
        <w:t xml:space="preserve">第二章 投标人须知</w:t>
      </w:r>
      <w:r>
        <w:tab/>
      </w:r>
      <w:r>
        <w:fldChar w:fldCharType="begin"/>
      </w:r>
      <w:r>
        <w:instrText xml:space="preserve"> PAGEREF _Toc2989 \h </w:instrText>
      </w:r>
      <w:r>
        <w:fldChar w:fldCharType="separate"/>
      </w:r>
      <w:r>
        <w:t xml:space="preserve">6</w:t>
      </w:r>
      <w:r>
        <w:fldChar w:fldCharType="end"/>
      </w:r>
      <w:r>
        <w:rPr>
          <w:rFonts w:hint="eastAsia" w:ascii="宋体" w:hAnsi="宋体" w:cs="宋体"/>
        </w:rPr>
        <w:fldChar w:fldCharType="end"/>
      </w:r>
      <w:r/>
    </w:p>
    <w:p>
      <w:pPr>
        <w:pStyle w:val="781"/>
        <w:tabs>
          <w:tab w:val="right" w:pos="9638" w:leader="dot"/>
        </w:tabs>
      </w:pPr>
      <w:r>
        <w:rPr>
          <w:rFonts w:hint="eastAsia" w:ascii="宋体" w:hAnsi="宋体" w:cs="宋体"/>
        </w:rPr>
        <w:fldChar w:fldCharType="begin"/>
      </w:r>
      <w:r>
        <w:rPr>
          <w:rFonts w:hint="eastAsia" w:ascii="宋体" w:hAnsi="宋体" w:cs="宋体"/>
        </w:rPr>
        <w:instrText xml:space="preserve"> HYPERLINK \l _Toc15715 </w:instrText>
      </w:r>
      <w:r>
        <w:rPr>
          <w:rFonts w:hint="eastAsia" w:ascii="宋体" w:hAnsi="宋体" w:cs="宋体"/>
        </w:rPr>
        <w:fldChar w:fldCharType="separate"/>
      </w:r>
      <w:r>
        <w:rPr>
          <w:rFonts w:hint="eastAsia" w:ascii="宋体" w:hAnsi="宋体" w:cs="宋体"/>
        </w:rPr>
        <w:t xml:space="preserve">第三章 评标标准</w:t>
      </w:r>
      <w:r>
        <w:tab/>
      </w:r>
      <w:r>
        <w:fldChar w:fldCharType="begin"/>
      </w:r>
      <w:r>
        <w:instrText xml:space="preserve"> PAGEREF _Toc15715 \h </w:instrText>
      </w:r>
      <w:r>
        <w:fldChar w:fldCharType="separate"/>
      </w:r>
      <w:r>
        <w:t xml:space="preserve">19</w:t>
      </w:r>
      <w:r>
        <w:fldChar w:fldCharType="end"/>
      </w:r>
      <w:r>
        <w:rPr>
          <w:rFonts w:hint="eastAsia" w:ascii="宋体" w:hAnsi="宋体" w:cs="宋体"/>
        </w:rPr>
        <w:fldChar w:fldCharType="end"/>
      </w:r>
      <w:r/>
    </w:p>
    <w:p>
      <w:pPr>
        <w:pStyle w:val="781"/>
        <w:tabs>
          <w:tab w:val="right" w:pos="9638" w:leader="dot"/>
        </w:tabs>
      </w:pPr>
      <w:r>
        <w:rPr>
          <w:rFonts w:hint="eastAsia" w:ascii="宋体" w:hAnsi="宋体" w:cs="宋体"/>
        </w:rPr>
        <w:fldChar w:fldCharType="begin"/>
      </w:r>
      <w:r>
        <w:rPr>
          <w:rFonts w:hint="eastAsia" w:ascii="宋体" w:hAnsi="宋体" w:cs="宋体"/>
        </w:rPr>
        <w:instrText xml:space="preserve"> HYPERLINK \l _Toc21966 </w:instrText>
      </w:r>
      <w:r>
        <w:rPr>
          <w:rFonts w:hint="eastAsia" w:ascii="宋体" w:hAnsi="宋体" w:cs="宋体"/>
        </w:rPr>
        <w:fldChar w:fldCharType="separate"/>
      </w:r>
      <w:r>
        <w:rPr>
          <w:rFonts w:hint="eastAsia" w:ascii="宋体" w:hAnsi="宋体" w:cs="宋体"/>
        </w:rPr>
        <w:t xml:space="preserve">第四章 采购需求</w:t>
      </w:r>
      <w:r>
        <w:tab/>
      </w:r>
      <w:r>
        <w:fldChar w:fldCharType="begin"/>
      </w:r>
      <w:r>
        <w:instrText xml:space="preserve"> PAGEREF _Toc21966 \h </w:instrText>
      </w:r>
      <w:r>
        <w:fldChar w:fldCharType="separate"/>
      </w:r>
      <w:r>
        <w:t xml:space="preserve">24</w:t>
      </w:r>
      <w:r>
        <w:fldChar w:fldCharType="end"/>
      </w:r>
      <w:r>
        <w:rPr>
          <w:rFonts w:hint="eastAsia" w:ascii="宋体" w:hAnsi="宋体" w:cs="宋体"/>
        </w:rPr>
        <w:fldChar w:fldCharType="end"/>
      </w:r>
      <w:r/>
    </w:p>
    <w:p>
      <w:pPr>
        <w:pStyle w:val="781"/>
        <w:tabs>
          <w:tab w:val="right" w:pos="9638" w:leader="dot"/>
        </w:tabs>
      </w:pPr>
      <w:r>
        <w:rPr>
          <w:rFonts w:hint="eastAsia" w:ascii="宋体" w:hAnsi="宋体" w:cs="宋体"/>
        </w:rPr>
        <w:fldChar w:fldCharType="begin"/>
      </w:r>
      <w:r>
        <w:rPr>
          <w:rFonts w:hint="eastAsia" w:ascii="宋体" w:hAnsi="宋体" w:cs="宋体"/>
        </w:rPr>
        <w:instrText xml:space="preserve"> HYPERLINK \l _Toc27993 </w:instrText>
      </w:r>
      <w:r>
        <w:rPr>
          <w:rFonts w:hint="eastAsia" w:ascii="宋体" w:hAnsi="宋体" w:cs="宋体"/>
        </w:rPr>
        <w:fldChar w:fldCharType="separate"/>
      </w:r>
      <w:r>
        <w:rPr>
          <w:rFonts w:hint="eastAsia" w:ascii="宋体" w:hAnsi="宋体" w:cs="宋体"/>
        </w:rPr>
        <w:t xml:space="preserve">第五章 合同主要条款及格式</w:t>
      </w:r>
      <w:r>
        <w:tab/>
      </w:r>
      <w:r>
        <w:fldChar w:fldCharType="begin"/>
      </w:r>
      <w:r>
        <w:instrText xml:space="preserve"> PAGEREF _Toc27993 \h </w:instrText>
      </w:r>
      <w:r>
        <w:fldChar w:fldCharType="separate"/>
      </w:r>
      <w:r>
        <w:t xml:space="preserve">34</w:t>
      </w:r>
      <w:r>
        <w:fldChar w:fldCharType="end"/>
      </w:r>
      <w:r>
        <w:rPr>
          <w:rFonts w:hint="eastAsia" w:ascii="宋体" w:hAnsi="宋体" w:cs="宋体"/>
        </w:rPr>
        <w:fldChar w:fldCharType="end"/>
      </w:r>
      <w:r/>
    </w:p>
    <w:p>
      <w:pPr>
        <w:pStyle w:val="781"/>
        <w:tabs>
          <w:tab w:val="right" w:pos="9638" w:leader="dot"/>
        </w:tabs>
      </w:pPr>
      <w:r>
        <w:rPr>
          <w:rFonts w:hint="eastAsia" w:ascii="宋体" w:hAnsi="宋体" w:cs="宋体"/>
        </w:rPr>
        <w:fldChar w:fldCharType="begin"/>
      </w:r>
      <w:r>
        <w:rPr>
          <w:rFonts w:hint="eastAsia" w:ascii="宋体" w:hAnsi="宋体" w:cs="宋体"/>
        </w:rPr>
        <w:instrText xml:space="preserve"> HYPERLINK \l _Toc2050 </w:instrText>
      </w:r>
      <w:r>
        <w:rPr>
          <w:rFonts w:hint="eastAsia" w:ascii="宋体" w:hAnsi="宋体" w:cs="宋体"/>
        </w:rPr>
        <w:fldChar w:fldCharType="separate"/>
      </w:r>
      <w:r>
        <w:rPr>
          <w:rFonts w:hint="eastAsia" w:ascii="宋体" w:hAnsi="宋体" w:cs="宋体"/>
        </w:rPr>
        <w:t xml:space="preserve">第六章 投标文件格式及附件</w:t>
      </w:r>
      <w:r>
        <w:tab/>
      </w:r>
      <w:r>
        <w:fldChar w:fldCharType="begin"/>
      </w:r>
      <w:r>
        <w:instrText xml:space="preserve"> PAGEREF _Toc2050 \h </w:instrText>
      </w:r>
      <w:r>
        <w:fldChar w:fldCharType="separate"/>
      </w:r>
      <w:r>
        <w:t xml:space="preserve">38</w:t>
      </w:r>
      <w:r>
        <w:fldChar w:fldCharType="end"/>
      </w:r>
      <w:r>
        <w:rPr>
          <w:rFonts w:hint="eastAsia" w:ascii="宋体" w:hAnsi="宋体" w:cs="宋体"/>
        </w:rPr>
        <w:fldChar w:fldCharType="end"/>
      </w:r>
      <w:r/>
    </w:p>
    <w:p>
      <w:pPr>
        <w:spacing w:line="360" w:lineRule="auto"/>
        <w:rPr>
          <w:rFonts w:hint="eastAsia"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750"/>
        <w:rPr>
          <w:rFonts w:hint="eastAsia"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750"/>
        <w:numPr>
          <w:ilvl w:val="0"/>
          <w:numId w:val="0"/>
        </w:numPr>
        <w:spacing w:line="360" w:lineRule="auto"/>
        <w:rPr>
          <w:rFonts w:hint="eastAsia" w:ascii="宋体" w:hAnsi="宋体" w:cs="宋体"/>
          <w:szCs w:val="21"/>
        </w:rPr>
      </w:pPr>
      <w:r/>
      <w:bookmarkStart w:id="3" w:name="_Toc19842"/>
      <w:r>
        <w:rPr>
          <w:rFonts w:hint="eastAsia" w:ascii="宋体" w:hAnsi="宋体" w:cs="宋体"/>
          <w:szCs w:val="21"/>
        </w:rPr>
        <w:t xml:space="preserve">第一章</w:t>
      </w:r>
      <w:r>
        <w:rPr>
          <w:rFonts w:hint="eastAsia" w:ascii="宋体" w:hAnsi="宋体" w:cs="宋体"/>
        </w:rPr>
        <w:t xml:space="preserve"> 招标公告</w:t>
      </w:r>
      <w:bookmarkEnd w:id="0"/>
      <w:r/>
      <w:bookmarkEnd w:id="3"/>
      <w:r/>
      <w:r/>
    </w:p>
    <w:p>
      <w:pPr>
        <w:ind w:firstLine="369"/>
        <w:spacing w:line="360" w:lineRule="auto"/>
        <w:widowControl/>
        <w:rPr>
          <w:rFonts w:hint="eastAsia"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val="0"/>
          <w:szCs w:val="21"/>
          <w:lang w:eastAsia="zh-CN"/>
        </w:rPr>
        <w:t xml:space="preserve">2026、2027年南京市建邺区绿雕、花境等养护服务项目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w:t>
      </w:r>
      <w:r>
        <w:rPr>
          <w:rFonts w:hint="eastAsia" w:ascii="宋体" w:hAnsi="宋体" w:cs="宋体"/>
          <w:szCs w:val="21"/>
        </w:rPr>
        <w:t xml:space="preserve">获取采购文件，并于</w:t>
      </w:r>
      <w:r>
        <w:rPr>
          <w:rFonts w:hint="eastAsia" w:ascii="宋体" w:hAnsi="宋体" w:cs="宋体"/>
          <w:b/>
          <w:bCs/>
          <w:iCs/>
          <w:spacing w:val="8"/>
          <w:szCs w:val="21"/>
        </w:rPr>
        <w:t xml:space="preserve">202</w:t>
      </w:r>
      <w:r>
        <w:rPr>
          <w:rFonts w:hint="eastAsia" w:ascii="宋体" w:hAnsi="宋体" w:cs="宋体"/>
          <w:b/>
          <w:bCs/>
          <w:iCs/>
          <w:spacing w:val="8"/>
          <w:szCs w:val="21"/>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4</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10</w:t>
      </w:r>
      <w:r>
        <w:rPr>
          <w:rFonts w:hint="eastAsia" w:ascii="宋体" w:hAnsi="宋体" w:cs="宋体"/>
          <w:b/>
          <w:bCs/>
          <w:spacing w:val="8"/>
          <w:szCs w:val="21"/>
        </w:rPr>
        <w:t xml:space="preserve">日</w:t>
      </w:r>
      <w:r>
        <w:rPr>
          <w:rFonts w:hint="eastAsia" w:ascii="宋体" w:hAnsi="宋体" w:cs="宋体"/>
          <w:b/>
          <w:bCs/>
          <w:szCs w:val="21"/>
          <w:lang w:val="en-US" w:eastAsia="zh-CN"/>
        </w:rPr>
        <w:t xml:space="preserve">9</w:t>
      </w:r>
      <w:r>
        <w:rPr>
          <w:rFonts w:hint="eastAsia" w:ascii="宋体" w:hAnsi="宋体" w:cs="宋体"/>
          <w:b/>
          <w:bCs/>
          <w:szCs w:val="21"/>
        </w:rPr>
        <w:t xml:space="preserve">点30分</w:t>
      </w:r>
      <w:r>
        <w:rPr>
          <w:rFonts w:hint="eastAsia" w:ascii="宋体" w:hAnsi="宋体" w:cs="宋体"/>
          <w:szCs w:val="21"/>
        </w:rPr>
        <w:t xml:space="preserve">（北京时间）前递交投标文件。</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1"/>
      <w:bookmarkEnd w:id="2"/>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JSZC-320105-JCEC-G2026-0051</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2026、2027年南京市建邺区绿雕、花境等养护服务项目</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1.3预算金额：人民币</w:t>
      </w:r>
      <w:r>
        <w:rPr>
          <w:rFonts w:hint="eastAsia" w:ascii="宋体" w:hAnsi="宋体" w:cs="宋体"/>
          <w:bCs/>
          <w:szCs w:val="21"/>
          <w:highlight w:val="none"/>
          <w:lang w:val="en-US" w:eastAsia="zh-CN"/>
        </w:rPr>
        <w:t xml:space="preserve">1090</w:t>
      </w:r>
      <w:r>
        <w:rPr>
          <w:rFonts w:hint="eastAsia" w:ascii="宋体" w:hAnsi="宋体" w:cs="宋体"/>
          <w:bCs/>
          <w:szCs w:val="21"/>
          <w:highlight w:val="none"/>
        </w:rPr>
        <w:t xml:space="preserve">万元</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1.4最高限价：人民币</w:t>
      </w:r>
      <w:r>
        <w:rPr>
          <w:rFonts w:hint="eastAsia" w:ascii="宋体" w:hAnsi="宋体" w:cs="宋体"/>
          <w:bCs/>
          <w:szCs w:val="21"/>
          <w:highlight w:val="none"/>
          <w:lang w:val="en-US" w:eastAsia="zh-CN"/>
        </w:rPr>
        <w:t xml:space="preserve">1090</w:t>
      </w:r>
      <w:r>
        <w:rPr>
          <w:rFonts w:hint="eastAsia" w:ascii="宋体" w:hAnsi="宋体" w:cs="宋体"/>
          <w:bCs/>
          <w:szCs w:val="21"/>
          <w:highlight w:val="none"/>
        </w:rPr>
        <w:t xml:space="preserve">万元</w:t>
      </w:r>
      <w:r>
        <w:rPr>
          <w:rFonts w:hint="eastAsia" w:ascii="宋体" w:hAnsi="宋体" w:cs="宋体"/>
          <w:bCs/>
          <w:szCs w:val="21"/>
          <w:highlight w:val="none"/>
          <w:lang w:val="en-US" w:eastAsia="zh-CN"/>
        </w:rPr>
        <w:t xml:space="preserve">/两年</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1.5采购需求：</w:t>
      </w:r>
      <w:r>
        <w:rPr>
          <w:rFonts w:hint="eastAsia" w:ascii="宋体" w:hAnsi="宋体"/>
          <w:bCs/>
          <w:color w:val="auto"/>
          <w:szCs w:val="21"/>
          <w:highlight w:val="none"/>
        </w:rPr>
        <w:t xml:space="preserve">供应商需按照采购人相关要求提供</w:t>
      </w:r>
      <w:r>
        <w:rPr>
          <w:rFonts w:hint="eastAsia" w:ascii="宋体" w:hAnsi="宋体" w:cs="宋体"/>
          <w:color w:val="auto"/>
          <w:spacing w:val="8"/>
          <w:szCs w:val="21"/>
          <w:highlight w:val="none"/>
          <w:lang w:val="en-US" w:eastAsia="zh-CN"/>
        </w:rPr>
        <w:t xml:space="preserve">南京市建邺区绿雕、花境、容器花箱、立体绿化、花墙养护服务</w:t>
      </w:r>
      <w:r>
        <w:rPr>
          <w:rFonts w:hint="eastAsia" w:ascii="宋体" w:hAnsi="宋体" w:eastAsia="宋体" w:cs="宋体"/>
          <w:color w:val="auto"/>
          <w:spacing w:val="8"/>
          <w:szCs w:val="21"/>
          <w:highlight w:val="none"/>
          <w:lang w:val="en-US" w:eastAsia="zh-CN"/>
        </w:rPr>
        <w:t xml:space="preserve">。具体技术参数详见</w:t>
      </w:r>
      <w:r>
        <w:rPr>
          <w:rFonts w:hint="eastAsia" w:ascii="宋体" w:hAnsi="宋体" w:cs="宋体"/>
          <w:color w:val="auto"/>
          <w:spacing w:val="8"/>
          <w:szCs w:val="21"/>
          <w:highlight w:val="none"/>
          <w:lang w:val="en-US" w:eastAsia="zh-CN"/>
        </w:rPr>
        <w:t xml:space="preserve">采购</w:t>
      </w:r>
      <w:r>
        <w:rPr>
          <w:rFonts w:hint="eastAsia" w:ascii="宋体" w:hAnsi="宋体" w:eastAsia="宋体" w:cs="宋体"/>
          <w:color w:val="auto"/>
          <w:spacing w:val="8"/>
          <w:szCs w:val="21"/>
          <w:highlight w:val="none"/>
          <w:lang w:val="en-US" w:eastAsia="zh-CN"/>
        </w:rPr>
        <w:t xml:space="preserve">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1.6合同履行期限：</w:t>
      </w:r>
      <w:r>
        <w:rPr>
          <w:rFonts w:hint="eastAsia" w:ascii="宋体" w:hAnsi="宋体" w:cs="Arial"/>
          <w:bCs/>
          <w:color w:val="auto"/>
          <w:szCs w:val="21"/>
          <w:highlight w:val="none"/>
        </w:rPr>
        <w:t xml:space="preserve">服务期</w:t>
      </w:r>
      <w:r>
        <w:rPr>
          <w:rFonts w:hint="eastAsia" w:ascii="宋体" w:hAnsi="宋体" w:cs="Arial"/>
          <w:bCs/>
          <w:color w:val="auto"/>
          <w:szCs w:val="21"/>
          <w:highlight w:val="none"/>
          <w:lang w:val="en-US" w:eastAsia="zh-CN"/>
        </w:rPr>
        <w:t xml:space="preserve">两</w:t>
      </w:r>
      <w:r>
        <w:rPr>
          <w:rFonts w:hint="eastAsia" w:ascii="宋体" w:hAnsi="宋体" w:cs="Arial"/>
          <w:bCs/>
          <w:color w:val="auto"/>
          <w:szCs w:val="21"/>
          <w:highlight w:val="none"/>
        </w:rPr>
        <w:t xml:space="preserve">年，</w:t>
      </w:r>
      <w:r>
        <w:rPr>
          <w:rFonts w:hint="eastAsia" w:ascii="宋体" w:hAnsi="宋体" w:cs="Arial"/>
          <w:bCs/>
          <w:color w:val="auto"/>
          <w:szCs w:val="21"/>
          <w:highlight w:val="none"/>
          <w:lang w:eastAsia="zh-CN"/>
        </w:rPr>
        <w:t xml:space="preserve">2026年4月至2028年4月</w:t>
      </w:r>
      <w:r>
        <w:rPr>
          <w:rFonts w:hint="eastAsia" w:ascii="宋体" w:hAnsi="宋体" w:cs="Arial"/>
          <w:bCs/>
          <w:color w:val="auto"/>
          <w:szCs w:val="21"/>
          <w:highlight w:val="none"/>
        </w:rPr>
        <w:t xml:space="preserve">（具体时间以合同约定为准）</w:t>
      </w:r>
      <w:r>
        <w:rPr>
          <w:rFonts w:hint="eastAsia" w:ascii="宋体" w:hAnsi="宋体" w:eastAsia="宋体" w:cs="宋体"/>
          <w:color w:val="auto"/>
          <w:spacing w:val="8"/>
          <w:szCs w:val="21"/>
          <w:highlight w:val="none"/>
          <w:lang w:val="en-US" w:eastAsia="zh-CN"/>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1.7行业划分：</w:t>
      </w:r>
      <w:r>
        <w:rPr>
          <w:rFonts w:hint="eastAsia" w:ascii="宋体" w:hAnsi="宋体" w:eastAsia="宋体" w:cs="宋体"/>
          <w:color w:val="auto"/>
          <w:spacing w:val="8"/>
          <w:szCs w:val="21"/>
          <w:highlight w:val="none"/>
          <w:lang w:val="en-US" w:eastAsia="zh-CN"/>
        </w:rPr>
        <w:t xml:space="preserve">水利、环境和公共设施管理业。</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1.8本项目非专门面向中小企业（或监狱企业或残疾人福利性单位）采购。</w:t>
      </w:r>
      <w:r/>
    </w:p>
    <w:p>
      <w:pPr>
        <w:ind w:firstLine="420"/>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w:t>
      </w:r>
      <w:r>
        <w:rPr>
          <w:rFonts w:hint="eastAsia" w:ascii="宋体" w:hAnsi="宋体" w:cs="宋体"/>
          <w:bCs/>
          <w:szCs w:val="21"/>
          <w:lang w:val="en-US" w:eastAsia="zh-CN"/>
        </w:rPr>
        <w:t xml:space="preserve">或2025</w:t>
      </w:r>
      <w:r>
        <w:rPr>
          <w:rFonts w:hint="eastAsia" w:ascii="宋体" w:hAnsi="宋体" w:cs="宋体"/>
          <w:bCs/>
          <w:szCs w:val="21"/>
        </w:rPr>
        <w:t xml:space="preserve">年度的财务报表，或投标截止时间前六个月内银行出具的资信证明）；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w:t>
      </w:r>
      <w:bookmarkStart w:id="4" w:name="OLE_LINK1"/>
      <w:r>
        <w:rPr>
          <w:rFonts w:hint="eastAsia" w:ascii="宋体" w:hAnsi="宋体" w:cs="宋体"/>
          <w:bCs/>
          <w:szCs w:val="21"/>
        </w:rPr>
        <w:t xml:space="preserve">法律、行政法规规定的其他条件：无。</w:t>
      </w:r>
      <w:bookmarkEnd w:id="4"/>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2.2落实政府采购政策需满足的资格要求：无。 </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p>
    <w:p>
      <w:pPr>
        <w:ind w:firstLine="426"/>
        <w:spacing w:line="360" w:lineRule="auto"/>
        <w:rPr>
          <w:rFonts w:hint="eastAsia" w:ascii="宋体" w:hAnsi="宋体" w:cs="宋体"/>
          <w:b/>
          <w:spacing w:val="8"/>
          <w:szCs w:val="21"/>
        </w:rPr>
      </w:pPr>
      <w:r>
        <w:rPr>
          <w:rFonts w:hint="eastAsia" w:ascii="宋体" w:hAnsi="宋体" w:cs="宋体"/>
          <w:b/>
          <w:szCs w:val="21"/>
          <w:highlight w:val="none"/>
        </w:rPr>
        <w:t xml:space="preserve">提供《南京市政府采购供应商信用记录表暨信用承诺书》网站在线打印，法定代表人签字并盖单位公章。</w:t>
      </w:r>
      <w:r/>
    </w:p>
    <w:p>
      <w:pPr>
        <w:ind w:firstLine="426"/>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lang w:val="en-US" w:eastAsia="zh-CN"/>
        </w:rPr>
        <w:t xml:space="preserve">4</w:t>
      </w:r>
      <w:r>
        <w:rPr>
          <w:rFonts w:hint="eastAsia" w:ascii="宋体" w:hAnsi="宋体" w:cs="宋体"/>
          <w:b/>
          <w:szCs w:val="21"/>
        </w:rPr>
        <w:t xml:space="preserve"> 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w:t>
      </w:r>
      <w:r>
        <w:rPr>
          <w:rFonts w:hint="eastAsia" w:ascii="宋体" w:hAnsi="宋体" w:cs="宋体"/>
          <w:bCs/>
          <w:szCs w:val="21"/>
          <w:lang w:eastAsia="zh-CN"/>
        </w:rPr>
        <w:t xml:space="preserve">重大税收违法失信主体名单</w:t>
      </w:r>
      <w:r>
        <w:rPr>
          <w:rFonts w:hint="eastAsia" w:ascii="宋体" w:hAnsi="宋体" w:cs="宋体"/>
          <w:bCs/>
          <w:szCs w:val="21"/>
        </w:rPr>
        <w:t xml:space="preserve">、政府采购严重违法失信行为记录名单。</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rPr>
      </w:pPr>
      <w:r>
        <w:rPr>
          <w:rFonts w:hint="eastAsia" w:ascii="宋体" w:hAnsi="宋体" w:cs="宋体"/>
          <w:b/>
          <w:bCs/>
          <w:spacing w:val="8"/>
          <w:szCs w:val="21"/>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3.2地点：江苏政府采购网。</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3.3方式：网上下载</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iCs/>
          <w:spacing w:val="8"/>
          <w:szCs w:val="21"/>
        </w:rPr>
        <w:t xml:space="preserve">202</w:t>
      </w:r>
      <w:r>
        <w:rPr>
          <w:rFonts w:hint="eastAsia" w:ascii="宋体" w:hAnsi="宋体" w:cs="宋体"/>
          <w:b/>
          <w:bCs/>
          <w:iCs/>
          <w:spacing w:val="8"/>
          <w:szCs w:val="21"/>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4</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10</w:t>
      </w:r>
      <w:r>
        <w:rPr>
          <w:rFonts w:hint="eastAsia" w:ascii="宋体" w:hAnsi="宋体" w:cs="宋体"/>
          <w:b/>
          <w:bCs/>
          <w:spacing w:val="8"/>
          <w:szCs w:val="21"/>
        </w:rPr>
        <w:t xml:space="preserve">日</w:t>
      </w:r>
      <w:r>
        <w:rPr>
          <w:rFonts w:hint="eastAsia" w:ascii="宋体" w:hAnsi="宋体" w:cs="宋体"/>
          <w:b/>
          <w:bCs/>
          <w:szCs w:val="21"/>
          <w:lang w:val="en-US" w:eastAsia="zh-CN"/>
        </w:rPr>
        <w:t xml:space="preserve">9</w:t>
      </w:r>
      <w:r>
        <w:rPr>
          <w:rFonts w:hint="eastAsia" w:ascii="宋体" w:hAnsi="宋体" w:cs="宋体"/>
          <w:b/>
          <w:bCs/>
          <w:szCs w:val="21"/>
        </w:rPr>
        <w:t xml:space="preserve">点30分</w:t>
      </w:r>
      <w:r>
        <w:rPr>
          <w:rFonts w:hint="eastAsia" w:ascii="宋体" w:hAnsi="宋体" w:cs="宋体"/>
          <w:spacing w:val="8"/>
          <w:szCs w:val="21"/>
        </w:rPr>
        <w:t xml:space="preserve">（北京时间）</w:t>
      </w:r>
      <w:r/>
    </w:p>
    <w:p>
      <w:pPr>
        <w:pStyle w:val="792"/>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792"/>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805"/>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805"/>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805"/>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805"/>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在政府采购资格审查环节，供应商只需提供书面《南京市政府采购供应商信用记录表暨信用承诺书》，即可替代以下证明材料：</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（1）符合国家相关规定的财务状况报告；</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（2）依法缴纳税收的证明材料；</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（3）依法缴纳社会保障资金的证明材料；</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（4）具备履行政府采购合同所必需的设备和专业技术能力的证明材料；</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（5）参加政府采购活动前三年内在经营活动中没有重大违法记录的证明材料；</w:t>
      </w:r>
      <w:r/>
    </w:p>
    <w:p>
      <w:pPr>
        <w:ind w:firstLine="365"/>
        <w:spacing w:line="360" w:lineRule="auto"/>
        <w:widowControl/>
        <w:rPr>
          <w:rFonts w:hint="eastAsia" w:ascii="宋体" w:hAnsi="宋体" w:cs="宋体"/>
          <w:szCs w:val="21"/>
          <w:lang w:val="zh-CN"/>
        </w:rPr>
      </w:pPr>
      <w:r>
        <w:rPr>
          <w:rFonts w:hint="eastAsia" w:ascii="宋体" w:hAnsi="宋体" w:cs="宋体"/>
          <w:b/>
          <w:bCs/>
          <w:szCs w:val="21"/>
          <w:lang w:val="zh-CN"/>
        </w:rPr>
        <w:t xml:space="preserve">（6）未被列入失信被执行人、重大税收违法失信主体名单、政府采购严重违法失信行为记录名单的证明材料。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806"/>
      </w:p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7.1采购人信息</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名称：南京市建邺区市政设施综合养护中心</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地址：建邺区兴隆街道华山路118号华山路邻里中心大楼12层</w:t>
      </w:r>
      <w:r/>
    </w:p>
    <w:p>
      <w:pPr>
        <w:ind w:firstLine="363"/>
        <w:spacing w:line="360" w:lineRule="auto"/>
        <w:widowControl/>
        <w:rPr>
          <w:rFonts w:hint="eastAsia" w:ascii="宋体" w:hAnsi="宋体" w:eastAsia="宋体" w:cs="宋体"/>
          <w:bCs/>
          <w:szCs w:val="21"/>
          <w:lang w:eastAsia="zh-CN"/>
        </w:rPr>
      </w:pPr>
      <w:r>
        <w:rPr>
          <w:rFonts w:hint="eastAsia" w:ascii="宋体" w:hAnsi="宋体" w:cs="宋体"/>
          <w:bCs/>
          <w:szCs w:val="21"/>
          <w:lang w:val="zh-CN"/>
        </w:rPr>
        <w:t xml:space="preserve">联系人：陈工</w:t>
      </w:r>
      <w:r/>
    </w:p>
    <w:p>
      <w:pPr>
        <w:ind w:firstLine="363"/>
        <w:spacing w:line="360" w:lineRule="auto"/>
        <w:widowControl/>
        <w:rPr>
          <w:rFonts w:hint="eastAsia" w:ascii="宋体" w:hAnsi="宋体" w:cs="宋体"/>
          <w:bCs/>
          <w:color w:val="auto"/>
          <w:szCs w:val="21"/>
          <w:highlight w:val="yellow"/>
        </w:rPr>
      </w:pPr>
      <w:r>
        <w:rPr>
          <w:rFonts w:hint="eastAsia" w:ascii="宋体" w:hAnsi="宋体" w:cs="宋体"/>
          <w:bCs/>
          <w:color w:val="auto"/>
          <w:szCs w:val="21"/>
          <w:lang w:val="zh-CN"/>
        </w:rPr>
        <w:t xml:space="preserve">联系电话：025-87778426</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左卢成 唐大维</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电子邮箱：</w:t>
      </w:r>
      <w:r>
        <w:rPr>
          <w:rFonts w:hint="eastAsia" w:ascii="宋体" w:hAnsi="宋体" w:cs="宋体"/>
          <w:bCs/>
          <w:szCs w:val="21"/>
          <w:lang w:val="en-US" w:eastAsia="zh-CN"/>
        </w:rPr>
        <w:t xml:space="preserve">zuolc</w:t>
      </w:r>
      <w:r>
        <w:rPr>
          <w:rFonts w:hint="eastAsia" w:ascii="宋体" w:hAnsi="宋体" w:cs="宋体"/>
          <w:bCs/>
          <w:szCs w:val="21"/>
        </w:rPr>
        <w:t xml:space="preserve">@jcec.cn</w:t>
      </w:r>
      <w:r/>
    </w:p>
    <w:p>
      <w:pPr>
        <w:ind w:firstLine="363"/>
        <w:spacing w:line="360" w:lineRule="auto"/>
        <w:widowControl/>
        <w:rPr>
          <w:rFonts w:hint="default" w:ascii="宋体" w:hAnsi="宋体" w:eastAsia="宋体" w:cs="宋体"/>
          <w:bCs/>
          <w:szCs w:val="21"/>
          <w:lang w:val="en-US" w:eastAsia="zh-CN"/>
        </w:rPr>
      </w:pPr>
      <w:r>
        <w:rPr>
          <w:rFonts w:hint="eastAsia" w:ascii="宋体" w:hAnsi="宋体" w:cs="宋体"/>
          <w:bCs/>
          <w:szCs w:val="21"/>
        </w:rPr>
        <w:t xml:space="preserve">联系方式：</w:t>
      </w:r>
      <w:r>
        <w:rPr>
          <w:rFonts w:ascii="宋体" w:hAnsi="宋体" w:cs="宋体"/>
          <w:bCs/>
          <w:szCs w:val="21"/>
        </w:rPr>
        <w:t xml:space="preserve">025-833</w:t>
      </w:r>
      <w:r>
        <w:rPr>
          <w:rFonts w:hint="eastAsia" w:ascii="宋体" w:hAnsi="宋体" w:cs="宋体"/>
          <w:bCs/>
          <w:szCs w:val="21"/>
          <w:lang w:val="en-US" w:eastAsia="zh-CN"/>
        </w:rPr>
        <w:t xml:space="preserve">14167</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 </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左卢成 唐大维</w:t>
      </w:r>
      <w:r/>
    </w:p>
    <w:p>
      <w:pPr>
        <w:ind w:firstLine="363"/>
        <w:spacing w:line="360" w:lineRule="auto"/>
        <w:widowControl/>
        <w:rPr>
          <w:rFonts w:hint="eastAsia" w:ascii="宋体" w:hAnsi="宋体" w:cs="宋体"/>
          <w:bCs/>
          <w:szCs w:val="21"/>
          <w:lang w:val="en-US" w:eastAsia="zh-CN"/>
        </w:rPr>
      </w:pPr>
      <w:r>
        <w:rPr>
          <w:rFonts w:hint="eastAsia" w:ascii="宋体" w:hAnsi="宋体" w:cs="宋体"/>
          <w:bCs/>
          <w:szCs w:val="21"/>
        </w:rPr>
        <w:t xml:space="preserve">电话：</w:t>
      </w:r>
      <w:r>
        <w:rPr>
          <w:rFonts w:ascii="宋体" w:hAnsi="宋体" w:cs="宋体"/>
          <w:bCs/>
          <w:szCs w:val="21"/>
        </w:rPr>
        <w:t xml:space="preserve">025-833</w:t>
      </w:r>
      <w:r>
        <w:rPr>
          <w:rFonts w:hint="eastAsia" w:ascii="宋体" w:hAnsi="宋体" w:cs="宋体"/>
          <w:bCs/>
          <w:szCs w:val="21"/>
          <w:lang w:val="en-US" w:eastAsia="zh-CN"/>
        </w:rPr>
        <w:t xml:space="preserve">14167</w:t>
      </w:r>
      <w:r/>
    </w:p>
    <w:p>
      <w:pPr>
        <w:ind w:firstLine="363"/>
        <w:spacing w:line="360" w:lineRule="auto"/>
        <w:widowControl/>
        <w:rPr>
          <w:rFonts w:hint="eastAsia" w:ascii="宋体" w:hAnsi="宋体" w:cs="宋体"/>
        </w:rPr>
      </w:pPr>
      <w:r>
        <w:rPr>
          <w:rFonts w:hint="eastAsia" w:ascii="宋体" w:hAnsi="宋体" w:cs="宋体"/>
        </w:rPr>
        <w:br w:type="page" w:clear="all"/>
      </w:r>
      <w:r/>
    </w:p>
    <w:p>
      <w:pPr>
        <w:pStyle w:val="750"/>
        <w:numPr>
          <w:ilvl w:val="0"/>
          <w:numId w:val="0"/>
        </w:numPr>
        <w:spacing w:line="360" w:lineRule="auto"/>
        <w:rPr>
          <w:rFonts w:hint="eastAsia" w:ascii="宋体" w:hAnsi="宋体" w:cs="宋体"/>
        </w:rPr>
      </w:pPr>
      <w:r/>
      <w:bookmarkStart w:id="5" w:name="_Toc2989"/>
      <w:r/>
      <w:bookmarkStart w:id="6" w:name="_Toc452625218"/>
      <w:r>
        <w:rPr>
          <w:rFonts w:hint="eastAsia" w:ascii="宋体" w:hAnsi="宋体" w:cs="宋体"/>
        </w:rPr>
        <w:t xml:space="preserve">第二章 投标人须知</w:t>
      </w:r>
      <w:bookmarkEnd w:id="5"/>
      <w:r/>
      <w:bookmarkEnd w:id="6"/>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w:t>
      </w:r>
      <w:r>
        <w:rPr>
          <w:rFonts w:hint="eastAsia" w:ascii="宋体" w:hAnsi="宋体" w:cs="宋体"/>
          <w:szCs w:val="21"/>
          <w:lang w:val="zh-CN"/>
        </w:rPr>
        <w:t xml:space="preserve">，</w:t>
      </w:r>
      <w:r>
        <w:rPr>
          <w:rFonts w:hint="eastAsia" w:ascii="宋体" w:hAnsi="宋体" w:cs="宋体"/>
          <w:bCs/>
          <w:szCs w:val="21"/>
        </w:rPr>
        <w:t xml:space="preserve">采购人不再支付任何其他费用</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w:t>
      </w:r>
      <w:bookmarkStart w:id="7" w:name="OLE_LINK4"/>
      <w:r>
        <w:rPr>
          <w:rFonts w:hint="eastAsia" w:ascii="宋体" w:hAnsi="宋体" w:cs="宋体"/>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bookmarkEnd w:id="7"/>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szCs w:val="21"/>
        </w:rPr>
      </w:pPr>
      <w:r>
        <w:rPr>
          <w:rFonts w:hint="eastAsia" w:ascii="宋体" w:hAnsi="宋体" w:cs="宋体"/>
          <w:szCs w:val="21"/>
        </w:rPr>
        <w:t xml:space="preserve">12.2</w:t>
      </w:r>
      <w:r>
        <w:rPr>
          <w:rFonts w:hint="eastAsia" w:ascii="Arial" w:hAnsi="Arial"/>
          <w:szCs w:val="21"/>
        </w:rPr>
        <w:t xml:space="preserve"> </w:t>
      </w:r>
      <w:r>
        <w:rPr>
          <w:rFonts w:hint="eastAsia" w:ascii="Arial" w:hAnsi="Arial"/>
          <w:szCs w:val="21"/>
          <w:lang w:val="zh-CN"/>
        </w:rPr>
        <w:t xml:space="preserve">如标书制作工具中格式和内容与“南京公共采购信息网、江苏政府采购网、中国政府采购网”发布的</w:t>
      </w:r>
      <w:r>
        <w:rPr>
          <w:rFonts w:hint="eastAsia" w:ascii="Arial" w:hAnsi="Arial"/>
          <w:szCs w:val="21"/>
        </w:rPr>
        <w:t xml:space="preserve">采购</w:t>
      </w:r>
      <w:r>
        <w:rPr>
          <w:rFonts w:hint="eastAsia" w:ascii="Arial" w:hAnsi="Arial"/>
          <w:szCs w:val="21"/>
          <w:lang w:val="zh-CN"/>
        </w:rPr>
        <w:t xml:space="preserve">文件不一致，以</w:t>
      </w:r>
      <w:r>
        <w:rPr>
          <w:rFonts w:hint="eastAsia" w:ascii="Arial" w:hAnsi="Arial"/>
          <w:szCs w:val="21"/>
        </w:rPr>
        <w:t xml:space="preserve">上述网站</w:t>
      </w:r>
      <w:r>
        <w:rPr>
          <w:rFonts w:hint="eastAsia" w:ascii="Arial" w:hAnsi="Arial"/>
          <w:szCs w:val="21"/>
          <w:lang w:val="zh-CN"/>
        </w:rPr>
        <w:t xml:space="preserve">发布的</w:t>
      </w:r>
      <w:r>
        <w:rPr>
          <w:rFonts w:hint="eastAsia" w:ascii="Arial" w:hAnsi="Arial"/>
          <w:szCs w:val="21"/>
        </w:rPr>
        <w:t xml:space="preserve">采购</w:t>
      </w:r>
      <w:r>
        <w:rPr>
          <w:rFonts w:hint="eastAsia" w:ascii="Arial" w:hAnsi="Arial"/>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本次招标，</w:t>
      </w:r>
      <w:r>
        <w:rPr>
          <w:rFonts w:hint="eastAsia" w:ascii="宋体" w:hAnsi="宋体" w:cs="宋体"/>
          <w:bCs/>
          <w:szCs w:val="21"/>
          <w:lang w:val="en-US" w:eastAsia="zh-CN"/>
        </w:rPr>
        <w:t xml:space="preserve">按中标供应商中标总金额</w:t>
      </w:r>
      <w:r>
        <w:rPr>
          <w:rFonts w:hint="eastAsia" w:ascii="宋体" w:hAnsi="宋体" w:cs="宋体"/>
          <w:bCs/>
          <w:szCs w:val="21"/>
        </w:rPr>
        <w:t xml:space="preserve">根据《招标代理服务收费管理暂行办法》计价格【2002】1980号文的7</w:t>
      </w:r>
      <w:r>
        <w:rPr>
          <w:rFonts w:hint="eastAsia" w:ascii="宋体" w:hAnsi="宋体" w:cs="宋体"/>
          <w:bCs/>
          <w:szCs w:val="21"/>
          <w:lang w:val="en-US" w:eastAsia="zh-CN"/>
        </w:rPr>
        <w:t xml:space="preserve">8</w:t>
      </w:r>
      <w:r>
        <w:rPr>
          <w:rFonts w:hint="eastAsia" w:ascii="宋体" w:hAnsi="宋体" w:cs="宋体"/>
          <w:bCs/>
          <w:szCs w:val="21"/>
        </w:rPr>
        <w:t xml:space="preserve">%基准收费。在领取中标通知书前向招标代理机构支付招标服务费。本项费用无需在投标报价表中单列。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16.3开标公证费：无。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”）等其他文字说明的商务和技术要求。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22.4参照政府采购货物和服务招标投标管理办法（财政部令第87号）、《关于推动解决政府采购异常低价问题的通知》（财库〔2026〕2号）：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1、评标过程中出现下列情形之一的，评标委员会应当启动异常低价投标审查程序： </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2、评标委员会启动异常低价投标审查后，属于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第（3）项情形的，供应商已随投标文件一并提交相关书面说明及必要的证明材料的，在评标现场可不再重复提交。</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r/>
    </w:p>
    <w:p>
      <w:pPr>
        <w:pStyle w:val="750"/>
        <w:numPr>
          <w:ilvl w:val="0"/>
          <w:numId w:val="0"/>
        </w:numPr>
        <w:spacing w:line="360" w:lineRule="auto"/>
        <w:rPr>
          <w:rFonts w:hint="eastAsia" w:ascii="宋体" w:hAnsi="宋体" w:cs="宋体"/>
        </w:rPr>
      </w:pPr>
      <w:r/>
      <w:bookmarkStart w:id="8" w:name="_Toc15715"/>
      <w:r/>
      <w:bookmarkStart w:id="9" w:name="_Toc481057145"/>
      <w:r>
        <w:rPr>
          <w:rFonts w:hint="eastAsia" w:ascii="宋体" w:hAnsi="宋体" w:cs="宋体"/>
        </w:rPr>
        <w:t xml:space="preserve">第三章</w:t>
      </w:r>
      <w:bookmarkStart w:id="10" w:name="OLE_LINK7"/>
      <w:r/>
      <w:bookmarkStart w:id="11" w:name="OLE_LINK6"/>
      <w:r>
        <w:rPr>
          <w:rFonts w:hint="eastAsia" w:ascii="宋体" w:hAnsi="宋体" w:cs="宋体"/>
        </w:rPr>
        <w:t xml:space="preserve"> 评标标准</w:t>
      </w:r>
      <w:bookmarkEnd w:id="8"/>
      <w:r/>
      <w:bookmarkEnd w:id="10"/>
      <w:r/>
      <w:bookmarkEnd w:id="11"/>
      <w:r/>
      <w:bookmarkEnd w:id="9"/>
      <w:r/>
    </w:p>
    <w:p>
      <w:pPr>
        <w:ind w:firstLine="420"/>
        <w:spacing w:line="360" w:lineRule="auto"/>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lang w:val="en-US" w:eastAsia="zh-CN"/>
        </w:rPr>
        <w:t xml:space="preserve">低到高</w:t>
      </w:r>
      <w:r>
        <w:rPr>
          <w:rFonts w:hint="eastAsia" w:ascii="宋体" w:hAnsi="宋体" w:cs="宋体"/>
        </w:rPr>
        <w:t xml:space="preserve">顺序排列，得分且投标报价相同的，按技术指标优劣顺序排列，由评标委员会确定。</w:t>
      </w:r>
      <w:r/>
    </w:p>
    <w:tbl>
      <w:tblPr>
        <w:tblStyle w:val="760"/>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113"/>
        <w:gridCol w:w="6893"/>
        <w:gridCol w:w="690"/>
      </w:tblGrid>
      <w:tr>
        <w:trPr>
          <w:jc w:val="center"/>
        </w:trPr>
        <w:tc>
          <w:tcPr>
            <w:tcW w:w="792" w:type="dxa"/>
            <w:vAlign w:val="center"/>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13" w:type="dxa"/>
            <w:vAlign w:val="center"/>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评审</w:t>
            </w:r>
            <w:r/>
          </w:p>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因素</w:t>
            </w:r>
            <w:r/>
          </w:p>
        </w:tc>
        <w:tc>
          <w:tcPr>
            <w:tcW w:w="6893" w:type="dxa"/>
            <w:vAlign w:val="center"/>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评审标准</w:t>
            </w:r>
            <w:r/>
          </w:p>
        </w:tc>
        <w:tc>
          <w:tcPr>
            <w:tcW w:w="690" w:type="dxa"/>
            <w:vAlign w:val="center"/>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分值</w:t>
            </w:r>
            <w:r/>
          </w:p>
        </w:tc>
      </w:tr>
      <w:tr>
        <w:trPr>
          <w:jc w:val="center"/>
          <w:trHeight w:val="90"/>
        </w:trPr>
        <w:tc>
          <w:tcPr>
            <w:tcW w:w="792" w:type="dxa"/>
            <w:vAlign w:val="center"/>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1113" w:type="dxa"/>
            <w:vAlign w:val="center"/>
            <w:textDirection w:val="lrTb"/>
            <w:noWrap w:val="false"/>
          </w:tcPr>
          <w:p>
            <w:pPr>
              <w:pStyle w:val="813"/>
              <w:ind w:left="0" w:firstLine="0"/>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价格</w:t>
            </w:r>
            <w:r/>
          </w:p>
          <w:p>
            <w:pPr>
              <w:pStyle w:val="813"/>
              <w:ind w:firstLine="0"/>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b/>
                <w:color w:val="auto"/>
                <w:szCs w:val="21"/>
                <w:highlight w:val="none"/>
              </w:rPr>
            </w:pPr>
            <w:r>
              <w:rPr>
                <w:rFonts w:hint="default" w:ascii="Times New Roman" w:hAnsi="Times New Roman" w:eastAsia="宋体" w:cs="Times New Roman"/>
                <w:b/>
                <w:color w:val="auto"/>
                <w:sz w:val="21"/>
                <w:szCs w:val="21"/>
                <w:highlight w:val="none"/>
              </w:rPr>
              <w:t xml:space="preserve">（1</w:t>
            </w:r>
            <w:r>
              <w:rPr>
                <w:rFonts w:hint="eastAsia" w:ascii="Times New Roman" w:hAnsi="Times New Roman" w:eastAsia="宋体" w:cs="Times New Roman"/>
                <w:b/>
                <w:color w:val="auto"/>
                <w:sz w:val="21"/>
                <w:szCs w:val="21"/>
                <w:highlight w:val="none"/>
                <w:lang w:val="en-US" w:eastAsia="zh-CN"/>
              </w:rPr>
              <w:t xml:space="preserve">0</w:t>
            </w:r>
            <w:r>
              <w:rPr>
                <w:rFonts w:hint="default" w:ascii="Times New Roman" w:hAnsi="Times New Roman" w:eastAsia="宋体" w:cs="Times New Roman"/>
                <w:b/>
                <w:color w:val="auto"/>
                <w:sz w:val="21"/>
                <w:szCs w:val="21"/>
                <w:highlight w:val="none"/>
              </w:rPr>
              <w:t xml:space="preserve">分）</w:t>
            </w:r>
            <w:r/>
          </w:p>
        </w:tc>
        <w:tc>
          <w:tcPr>
            <w:tcW w:w="6893" w:type="dxa"/>
            <w:vAlign w:val="center"/>
            <w:textDirection w:val="lrTb"/>
            <w:noWrap w:val="false"/>
          </w:tcPr>
          <w:p>
            <w:pPr>
              <w:ind w:firstLine="42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采用最低价优先法计算，即</w:t>
            </w:r>
            <w:r>
              <w:rPr>
                <w:rFonts w:hint="default" w:ascii="Times New Roman" w:hAnsi="Times New Roman" w:eastAsia="宋体" w:cs="Times New Roman"/>
                <w:color w:val="auto"/>
                <w:sz w:val="21"/>
                <w:szCs w:val="21"/>
                <w:highlight w:val="none"/>
              </w:rPr>
              <w:t xml:space="preserve">满足</w:t>
            </w:r>
            <w:r>
              <w:rPr>
                <w:rFonts w:hint="default" w:ascii="Times New Roman" w:hAnsi="Times New Roman" w:eastAsia="宋体" w:cs="Times New Roman"/>
                <w:color w:val="auto"/>
                <w:sz w:val="21"/>
                <w:szCs w:val="21"/>
                <w:highlight w:val="none"/>
                <w:lang w:val="en-US" w:eastAsia="zh-CN"/>
              </w:rPr>
              <w:t xml:space="preserve">招标</w:t>
            </w:r>
            <w:r>
              <w:rPr>
                <w:rFonts w:hint="default" w:ascii="Times New Roman" w:hAnsi="Times New Roman" w:eastAsia="宋体" w:cs="Times New Roman"/>
                <w:color w:val="auto"/>
                <w:sz w:val="21"/>
                <w:szCs w:val="21"/>
                <w:highlight w:val="none"/>
              </w:rPr>
              <w:t xml:space="preserve">文件要求且</w:t>
            </w:r>
            <w:r>
              <w:rPr>
                <w:rFonts w:hint="default" w:ascii="Times New Roman" w:hAnsi="Times New Roman" w:eastAsia="宋体" w:cs="Times New Roman"/>
                <w:color w:val="auto"/>
                <w:sz w:val="21"/>
                <w:szCs w:val="21"/>
                <w:highlight w:val="none"/>
                <w:lang w:val="en-US" w:eastAsia="zh-CN"/>
              </w:rPr>
              <w:t xml:space="preserve">投标</w:t>
            </w:r>
            <w:r>
              <w:rPr>
                <w:rFonts w:hint="default" w:ascii="Times New Roman" w:hAnsi="Times New Roman" w:eastAsia="宋体" w:cs="Times New Roman"/>
                <w:color w:val="auto"/>
                <w:sz w:val="21"/>
                <w:szCs w:val="21"/>
                <w:highlight w:val="none"/>
              </w:rPr>
              <w:t xml:space="preserve">报价最低的供应商的价格为评标基准价</w:t>
            </w:r>
            <w:r>
              <w:rPr>
                <w:rFonts w:hint="default" w:ascii="Times New Roman" w:hAnsi="Times New Roman" w:eastAsia="宋体" w:cs="Times New Roman"/>
                <w:bCs/>
                <w:color w:val="auto"/>
                <w:sz w:val="21"/>
                <w:szCs w:val="21"/>
                <w:highlight w:val="none"/>
              </w:rPr>
              <w:t xml:space="preserve">，其价格分为满分</w:t>
            </w:r>
            <w:r>
              <w:rPr>
                <w:rFonts w:hint="eastAsia" w:cs="Times New Roman"/>
                <w:bCs/>
                <w:color w:val="auto"/>
                <w:sz w:val="21"/>
                <w:szCs w:val="21"/>
                <w:highlight w:val="none"/>
                <w:lang w:val="en-US" w:eastAsia="zh-CN"/>
              </w:rPr>
              <w:t xml:space="preserve">10</w:t>
            </w:r>
            <w:r>
              <w:rPr>
                <w:rFonts w:hint="default" w:ascii="Times New Roman" w:hAnsi="Times New Roman" w:eastAsia="宋体" w:cs="Times New Roman"/>
                <w:bCs/>
                <w:color w:val="auto"/>
                <w:sz w:val="21"/>
                <w:szCs w:val="21"/>
                <w:highlight w:val="none"/>
              </w:rPr>
              <w:t xml:space="preserve">分。</w:t>
            </w:r>
            <w:r/>
          </w:p>
          <w:p>
            <w:pPr>
              <w:ind w:firstLine="420"/>
              <w:spacing w:line="360" w:lineRule="auto"/>
              <w:rPr>
                <w:rFonts w:hint="eastAsia" w:ascii="宋体" w:hAnsi="宋体" w:eastAsia="宋体"/>
                <w:color w:val="auto"/>
                <w:szCs w:val="21"/>
                <w:highlight w:val="none"/>
                <w:lang w:eastAsia="zh-CN"/>
              </w:rPr>
            </w:pPr>
            <w:r>
              <w:rPr>
                <w:rFonts w:hint="default" w:ascii="Times New Roman" w:hAnsi="Times New Roman" w:eastAsia="宋体" w:cs="Times New Roman"/>
                <w:bCs/>
                <w:color w:val="auto"/>
                <w:sz w:val="21"/>
                <w:szCs w:val="21"/>
                <w:highlight w:val="none"/>
              </w:rPr>
              <w:t xml:space="preserve">其他供应商的价格分统一按照下列公式计算：响应报价得分=(评标基准价/</w:t>
            </w:r>
            <w:r>
              <w:rPr>
                <w:rFonts w:hint="default" w:ascii="Times New Roman" w:hAnsi="Times New Roman" w:eastAsia="宋体" w:cs="Times New Roman"/>
                <w:bCs/>
                <w:color w:val="auto"/>
                <w:sz w:val="21"/>
                <w:szCs w:val="21"/>
                <w:highlight w:val="none"/>
                <w:lang w:val="en-US" w:eastAsia="zh-CN"/>
              </w:rPr>
              <w:t xml:space="preserve">投标</w:t>
            </w:r>
            <w:r>
              <w:rPr>
                <w:rFonts w:hint="default" w:ascii="Times New Roman" w:hAnsi="Times New Roman" w:eastAsia="宋体" w:cs="Times New Roman"/>
                <w:bCs/>
                <w:color w:val="auto"/>
                <w:sz w:val="21"/>
                <w:szCs w:val="21"/>
                <w:highlight w:val="none"/>
              </w:rPr>
              <w:t xml:space="preserve">报价)×1</w:t>
            </w:r>
            <w:r>
              <w:rPr>
                <w:rFonts w:hint="eastAsia" w:cs="Times New Roman"/>
                <w:bCs/>
                <w:color w:val="auto"/>
                <w:sz w:val="21"/>
                <w:szCs w:val="21"/>
                <w:highlight w:val="none"/>
                <w:lang w:val="en-US" w:eastAsia="zh-CN"/>
              </w:rPr>
              <w:t xml:space="preserve">0</w:t>
            </w:r>
            <w:r>
              <w:rPr>
                <w:rFonts w:hint="default" w:ascii="Times New Roman" w:hAnsi="Times New Roman" w:eastAsia="宋体" w:cs="Times New Roman"/>
                <w:bCs/>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（小数点保留2位）</w:t>
            </w:r>
            <w:r/>
          </w:p>
        </w:tc>
        <w:tc>
          <w:tcPr>
            <w:tcW w:w="690" w:type="dxa"/>
            <w:vAlign w:val="center"/>
            <w:textDirection w:val="lrTb"/>
            <w:noWrap w:val="false"/>
          </w:tcPr>
          <w:p>
            <w:pPr>
              <w:pStyle w:val="813"/>
              <w:ind w:firstLine="0"/>
              <w:jc w:val="center"/>
              <w:spacing w:line="360" w:lineRule="auto"/>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default" w:ascii="宋体" w:hAnsi="宋体" w:eastAsia="宋体"/>
                <w:b/>
                <w:bCs/>
                <w:color w:val="auto"/>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10</w:t>
            </w:r>
            <w:r/>
          </w:p>
        </w:tc>
      </w:tr>
      <w:tr>
        <w:trPr>
          <w:jc w:val="center"/>
        </w:trPr>
        <w:tc>
          <w:tcPr>
            <w:tcW w:w="792"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w:t>
            </w:r>
            <w:r/>
          </w:p>
        </w:tc>
        <w:tc>
          <w:tcPr>
            <w:tcW w:w="1113" w:type="dxa"/>
            <w:vAlign w:val="center"/>
            <w:vMerge w:val="restart"/>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人员配备及设备情况</w:t>
            </w:r>
            <w:r>
              <w:rPr>
                <w:rFonts w:hint="default" w:ascii="Times New Roman" w:hAnsi="Times New Roman" w:eastAsia="宋体" w:cs="Times New Roman"/>
                <w:b/>
                <w:color w:val="auto"/>
                <w:sz w:val="21"/>
                <w:szCs w:val="21"/>
                <w:highlight w:val="none"/>
              </w:rPr>
              <w:t xml:space="preserve">（</w:t>
            </w:r>
            <w:r>
              <w:rPr>
                <w:rFonts w:hint="eastAsia" w:cs="Times New Roman"/>
                <w:b/>
                <w:color w:val="auto"/>
                <w:sz w:val="21"/>
                <w:szCs w:val="21"/>
                <w:highlight w:val="none"/>
                <w:lang w:val="en-US" w:eastAsia="zh-CN"/>
              </w:rPr>
              <w:t xml:space="preserve">20</w:t>
            </w:r>
            <w:r>
              <w:rPr>
                <w:rFonts w:hint="default" w:ascii="Times New Roman" w:hAnsi="Times New Roman" w:eastAsia="宋体" w:cs="Times New Roman"/>
                <w:b/>
                <w:color w:val="auto"/>
                <w:sz w:val="21"/>
                <w:szCs w:val="21"/>
                <w:highlight w:val="none"/>
              </w:rPr>
              <w:t xml:space="preserve">分）</w:t>
            </w:r>
            <w:r/>
          </w:p>
        </w:tc>
        <w:tc>
          <w:tcPr>
            <w:tcW w:w="6893"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项目负责人具有高级</w:t>
            </w:r>
            <w:r>
              <w:rPr>
                <w:rFonts w:hint="eastAsia" w:ascii="宋体" w:hAnsi="宋体"/>
                <w:color w:val="auto"/>
                <w:szCs w:val="21"/>
                <w:highlight w:val="none"/>
                <w:lang w:val="en-US" w:eastAsia="zh-CN"/>
              </w:rPr>
              <w:t xml:space="preserve">及以上</w:t>
            </w:r>
            <w:r>
              <w:rPr>
                <w:rFonts w:hint="eastAsia" w:ascii="宋体" w:hAnsi="宋体"/>
                <w:color w:val="auto"/>
                <w:szCs w:val="21"/>
                <w:highlight w:val="none"/>
              </w:rPr>
              <w:t xml:space="preserve">职称</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园林或园艺专业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分，中级职称</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园林或园艺专业</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其他不得分。</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须</w:t>
            </w:r>
            <w:r>
              <w:rPr>
                <w:rFonts w:hint="eastAsia" w:ascii="宋体" w:hAnsi="宋体"/>
                <w:color w:val="auto"/>
                <w:szCs w:val="21"/>
                <w:highlight w:val="none"/>
              </w:rPr>
              <w:t xml:space="preserve">提供身份证</w:t>
            </w:r>
            <w:r>
              <w:rPr>
                <w:rFonts w:hint="eastAsia"/>
                <w:color w:val="auto"/>
                <w:highlight w:val="none"/>
                <w:lang w:eastAsia="zh-CN"/>
              </w:rPr>
              <w:t xml:space="preserve">、</w:t>
            </w:r>
            <w:r>
              <w:rPr>
                <w:rFonts w:hint="eastAsia"/>
                <w:color w:val="auto"/>
                <w:highlight w:val="none"/>
                <w:lang w:val="en-US" w:eastAsia="zh-CN"/>
              </w:rPr>
              <w:t xml:space="preserve">职称证书</w:t>
            </w:r>
            <w:r>
              <w:rPr>
                <w:rFonts w:hint="eastAsia" w:ascii="宋体" w:hAnsi="宋体"/>
                <w:color w:val="auto"/>
                <w:szCs w:val="21"/>
                <w:highlight w:val="none"/>
              </w:rPr>
              <w:t xml:space="preserve">复印件、</w:t>
            </w:r>
            <w:r>
              <w:rPr>
                <w:rFonts w:hint="eastAsia" w:ascii="宋体" w:hAnsi="宋体" w:cs="宋体"/>
                <w:color w:val="auto"/>
                <w:szCs w:val="21"/>
                <w:highlight w:val="none"/>
              </w:rPr>
              <w:t xml:space="preserve">近</w:t>
            </w:r>
            <w:r>
              <w:rPr>
                <w:rFonts w:hint="eastAsia" w:ascii="宋体" w:hAnsi="宋体" w:cs="宋体"/>
                <w:color w:val="auto"/>
                <w:szCs w:val="21"/>
                <w:highlight w:val="none"/>
                <w:lang w:val="en-US" w:eastAsia="zh-CN"/>
              </w:rPr>
              <w:t xml:space="preserve">六</w:t>
            </w:r>
            <w:r>
              <w:rPr>
                <w:rFonts w:hint="eastAsia" w:ascii="宋体" w:hAnsi="宋体" w:cs="宋体"/>
                <w:color w:val="auto"/>
                <w:szCs w:val="21"/>
                <w:highlight w:val="none"/>
              </w:rPr>
              <w:t xml:space="preserve">个月</w:t>
            </w:r>
            <w:r>
              <w:rPr>
                <w:rFonts w:hint="eastAsia" w:ascii="宋体" w:hAnsi="宋体" w:cs="宋体"/>
                <w:color w:val="auto"/>
                <w:szCs w:val="21"/>
                <w:highlight w:val="none"/>
                <w:lang w:val="en-US" w:eastAsia="zh-CN"/>
              </w:rPr>
              <w:t xml:space="preserve">中任意一个月供应商</w:t>
            </w:r>
            <w:r>
              <w:rPr>
                <w:rFonts w:hint="eastAsia" w:ascii="宋体" w:hAnsi="宋体" w:cs="宋体"/>
                <w:color w:val="auto"/>
                <w:szCs w:val="21"/>
                <w:highlight w:val="none"/>
              </w:rPr>
              <w:t xml:space="preserve">为项目</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缴纳的养老保险金缴费证明材料(并加盖社保中心章或社保中心参保缴费证明电子专用章)，本项目不接收退休人员</w:t>
            </w:r>
            <w:r>
              <w:rPr>
                <w:rFonts w:hint="eastAsia" w:ascii="宋体" w:hAnsi="宋体"/>
                <w:color w:val="auto"/>
                <w:szCs w:val="21"/>
                <w:highlight w:val="none"/>
              </w:rPr>
              <w:t xml:space="preserve">）。</w:t>
            </w:r>
            <w:r/>
          </w:p>
        </w:tc>
        <w:tc>
          <w:tcPr>
            <w:tcW w:w="690" w:type="dxa"/>
            <w:vAlign w:val="center"/>
            <w:textDirection w:val="lrTb"/>
            <w:noWrap w:val="false"/>
          </w:tcPr>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3</w:t>
            </w:r>
            <w:r/>
          </w:p>
        </w:tc>
      </w:tr>
      <w:tr>
        <w:trPr>
          <w:jc w:val="center"/>
        </w:trPr>
        <w:tc>
          <w:tcPr>
            <w:tcW w:w="792" w:type="dxa"/>
            <w:vAlign w:val="center"/>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2.2</w:t>
            </w:r>
            <w:r/>
          </w:p>
        </w:tc>
        <w:tc>
          <w:tcPr>
            <w:tcW w:w="1113" w:type="dxa"/>
            <w:vAlign w:val="center"/>
            <w:vMerge w:val="continue"/>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rPr>
              <w:t xml:space="preserve">供应商提供的技术负责人</w:t>
            </w:r>
            <w:r>
              <w:rPr>
                <w:rFonts w:hint="eastAsia" w:ascii="宋体" w:hAnsi="宋体"/>
                <w:color w:val="auto"/>
                <w:szCs w:val="21"/>
                <w:highlight w:val="none"/>
                <w:lang w:val="en-US" w:eastAsia="zh-CN"/>
              </w:rPr>
              <w:t xml:space="preserve">具有</w:t>
            </w:r>
            <w:r>
              <w:rPr>
                <w:rFonts w:hint="eastAsia" w:ascii="宋体" w:hAnsi="宋体"/>
                <w:color w:val="auto"/>
                <w:szCs w:val="21"/>
                <w:highlight w:val="none"/>
              </w:rPr>
              <w:t xml:space="preserve">园林或园艺专业的得1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分，其它专业的得0.5分；技术负责人具有高级</w:t>
            </w:r>
            <w:r>
              <w:rPr>
                <w:rFonts w:hint="eastAsia" w:ascii="宋体" w:hAnsi="宋体"/>
                <w:color w:val="auto"/>
                <w:szCs w:val="21"/>
                <w:highlight w:val="none"/>
                <w:lang w:val="en-US" w:eastAsia="zh-CN"/>
              </w:rPr>
              <w:t xml:space="preserve">及以上</w:t>
            </w:r>
            <w:r>
              <w:rPr>
                <w:rFonts w:hint="eastAsia" w:ascii="宋体" w:hAnsi="宋体"/>
                <w:color w:val="auto"/>
                <w:szCs w:val="21"/>
                <w:highlight w:val="none"/>
              </w:rPr>
              <w:t xml:space="preserve">职称的加1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分，中级职称的加0.5分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其他不得分；技术负责人同时具有高级绿化工证书或者高级花卉工</w:t>
            </w:r>
            <w:r>
              <w:rPr>
                <w:rFonts w:hint="eastAsia" w:ascii="宋体" w:hAnsi="宋体"/>
                <w:color w:val="auto"/>
                <w:szCs w:val="21"/>
                <w:highlight w:val="none"/>
              </w:rPr>
              <w:t xml:space="preserve">(或高级花卉园艺师)</w:t>
            </w:r>
            <w:r>
              <w:rPr>
                <w:rFonts w:hint="eastAsia" w:ascii="宋体" w:hAnsi="宋体"/>
                <w:color w:val="auto"/>
                <w:szCs w:val="21"/>
                <w:highlight w:val="none"/>
                <w:lang w:val="en-US" w:eastAsia="zh-CN"/>
              </w:rPr>
              <w:t xml:space="preserve">证书的，得1分；本项最高得4分。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须</w:t>
            </w:r>
            <w:r>
              <w:rPr>
                <w:rFonts w:hint="eastAsia" w:ascii="宋体" w:hAnsi="宋体"/>
                <w:color w:val="auto"/>
                <w:szCs w:val="21"/>
                <w:highlight w:val="none"/>
              </w:rPr>
              <w:t xml:space="preserve">提供身份证</w:t>
            </w:r>
            <w:r>
              <w:rPr>
                <w:rFonts w:hint="eastAsia"/>
                <w:color w:val="auto"/>
                <w:highlight w:val="none"/>
                <w:lang w:eastAsia="zh-CN"/>
              </w:rPr>
              <w:t xml:space="preserve">、</w:t>
            </w:r>
            <w:r>
              <w:rPr>
                <w:rFonts w:hint="eastAsia"/>
                <w:color w:val="auto"/>
                <w:highlight w:val="none"/>
                <w:lang w:val="en-US" w:eastAsia="zh-CN"/>
              </w:rPr>
              <w:t xml:space="preserve">毕业证书、职称证书</w:t>
            </w:r>
            <w:r>
              <w:rPr>
                <w:rFonts w:hint="eastAsia" w:ascii="宋体" w:hAnsi="宋体"/>
                <w:color w:val="auto"/>
                <w:szCs w:val="21"/>
                <w:highlight w:val="none"/>
              </w:rPr>
              <w:t xml:space="preserve">复印件、</w:t>
            </w:r>
            <w:r>
              <w:rPr>
                <w:rFonts w:hint="eastAsia" w:ascii="宋体" w:hAnsi="宋体" w:cs="宋体"/>
                <w:color w:val="auto"/>
                <w:szCs w:val="21"/>
                <w:highlight w:val="none"/>
              </w:rPr>
              <w:t xml:space="preserve">近</w:t>
            </w:r>
            <w:r>
              <w:rPr>
                <w:rFonts w:hint="eastAsia" w:ascii="宋体" w:hAnsi="宋体" w:cs="宋体"/>
                <w:color w:val="auto"/>
                <w:szCs w:val="21"/>
                <w:highlight w:val="none"/>
                <w:lang w:val="en-US" w:eastAsia="zh-CN"/>
              </w:rPr>
              <w:t xml:space="preserve">六</w:t>
            </w:r>
            <w:r>
              <w:rPr>
                <w:rFonts w:hint="eastAsia" w:ascii="宋体" w:hAnsi="宋体" w:cs="宋体"/>
                <w:color w:val="auto"/>
                <w:szCs w:val="21"/>
                <w:highlight w:val="none"/>
              </w:rPr>
              <w:t xml:space="preserve">个月</w:t>
            </w:r>
            <w:r>
              <w:rPr>
                <w:rFonts w:hint="eastAsia" w:ascii="宋体" w:hAnsi="宋体" w:cs="宋体"/>
                <w:color w:val="auto"/>
                <w:szCs w:val="21"/>
                <w:highlight w:val="none"/>
                <w:lang w:val="en-US" w:eastAsia="zh-CN"/>
              </w:rPr>
              <w:t xml:space="preserve">中任意一个月供应商</w:t>
            </w:r>
            <w:r>
              <w:rPr>
                <w:rFonts w:hint="eastAsia" w:ascii="宋体" w:hAnsi="宋体" w:cs="宋体"/>
                <w:color w:val="auto"/>
                <w:szCs w:val="21"/>
                <w:highlight w:val="none"/>
              </w:rPr>
              <w:t xml:space="preserve">为</w:t>
            </w:r>
            <w:r>
              <w:rPr>
                <w:rFonts w:hint="eastAsia" w:ascii="宋体" w:hAnsi="宋体" w:cs="宋体"/>
                <w:color w:val="auto"/>
                <w:szCs w:val="21"/>
                <w:highlight w:val="none"/>
                <w:lang w:val="en-US" w:eastAsia="zh-CN"/>
              </w:rPr>
              <w:t xml:space="preserve">技术负责人</w:t>
            </w:r>
            <w:r>
              <w:rPr>
                <w:rFonts w:hint="eastAsia" w:ascii="宋体" w:hAnsi="宋体" w:cs="宋体"/>
                <w:color w:val="auto"/>
                <w:szCs w:val="21"/>
                <w:highlight w:val="none"/>
              </w:rPr>
              <w:t xml:space="preserve">缴纳的养老保险金缴费证明材料(并加盖社保中心章或社保中心参保缴费证明电子专用章)，本项目不接收退休人员</w:t>
            </w:r>
            <w:r>
              <w:rPr>
                <w:rFonts w:hint="eastAsia" w:ascii="宋体" w:hAnsi="宋体"/>
                <w:color w:val="auto"/>
                <w:szCs w:val="21"/>
                <w:highlight w:val="none"/>
              </w:rPr>
              <w:t xml:space="preserve">）。</w:t>
            </w:r>
            <w:r/>
          </w:p>
        </w:tc>
        <w:tc>
          <w:tcPr>
            <w:tcW w:w="690" w:type="dxa"/>
            <w:vAlign w:val="center"/>
            <w:textDirection w:val="lrTb"/>
            <w:noWrap w:val="false"/>
          </w:tcPr>
          <w:p>
            <w:pPr>
              <w:jc w:val="center"/>
              <w:spacing w:line="360" w:lineRule="auto"/>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4</w:t>
            </w:r>
            <w:r/>
          </w:p>
        </w:tc>
      </w:tr>
      <w:tr>
        <w:trPr>
          <w:jc w:val="center"/>
        </w:trPr>
        <w:tc>
          <w:tcPr>
            <w:tcW w:w="792" w:type="dxa"/>
            <w:vAlign w:val="center"/>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2.3</w:t>
            </w:r>
            <w:r/>
          </w:p>
        </w:tc>
        <w:tc>
          <w:tcPr>
            <w:tcW w:w="1113" w:type="dxa"/>
            <w:vAlign w:val="center"/>
            <w:vMerge w:val="continue"/>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本项目至少配备4名高级花卉工(或高级花卉园艺师)、4名高级绿化工及2名高处作业人员(高处作业人员需持有资格证书)</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1名专职安全员（安全员需持有安全员证书）</w:t>
            </w:r>
            <w:r>
              <w:rPr>
                <w:rFonts w:hint="eastAsia" w:ascii="宋体" w:hAnsi="宋体"/>
                <w:color w:val="auto"/>
                <w:szCs w:val="21"/>
                <w:highlight w:val="none"/>
              </w:rPr>
              <w:t xml:space="preserve">，满足上述所有要求的得基本分5分。每增加一名绿化工(中级及以上)加0.5分，最多加3分。本项最高8分。（</w:t>
            </w:r>
            <w:r>
              <w:rPr>
                <w:rFonts w:hint="eastAsia" w:ascii="宋体" w:hAnsi="宋体"/>
                <w:color w:val="auto"/>
                <w:szCs w:val="21"/>
                <w:highlight w:val="none"/>
                <w:lang w:val="en-US" w:eastAsia="zh-CN"/>
              </w:rPr>
              <w:t xml:space="preserve">须</w:t>
            </w:r>
            <w:r>
              <w:rPr>
                <w:rFonts w:hint="eastAsia" w:ascii="宋体" w:hAnsi="宋体"/>
                <w:color w:val="auto"/>
                <w:szCs w:val="21"/>
                <w:highlight w:val="none"/>
              </w:rPr>
              <w:t xml:space="preserve">提供身份证</w:t>
            </w:r>
            <w:r>
              <w:rPr>
                <w:rFonts w:hint="eastAsia"/>
                <w:color w:val="auto"/>
                <w:highlight w:val="none"/>
                <w:lang w:val="en-US" w:eastAsia="zh-CN"/>
              </w:rPr>
              <w:t xml:space="preserve">及相关证书</w:t>
            </w:r>
            <w:r>
              <w:rPr>
                <w:rFonts w:hint="eastAsia" w:ascii="宋体" w:hAnsi="宋体"/>
                <w:color w:val="auto"/>
                <w:szCs w:val="21"/>
                <w:highlight w:val="none"/>
              </w:rPr>
              <w:t xml:space="preserve">复印件、</w:t>
            </w:r>
            <w:r>
              <w:rPr>
                <w:rFonts w:hint="eastAsia" w:ascii="宋体" w:hAnsi="宋体" w:cs="宋体"/>
                <w:color w:val="auto"/>
                <w:szCs w:val="21"/>
                <w:highlight w:val="none"/>
              </w:rPr>
              <w:t xml:space="preserve">近</w:t>
            </w:r>
            <w:r>
              <w:rPr>
                <w:rFonts w:hint="eastAsia" w:ascii="宋体" w:hAnsi="宋体" w:cs="宋体"/>
                <w:color w:val="auto"/>
                <w:szCs w:val="21"/>
                <w:highlight w:val="none"/>
                <w:lang w:val="en-US" w:eastAsia="zh-CN"/>
              </w:rPr>
              <w:t xml:space="preserve">六</w:t>
            </w:r>
            <w:r>
              <w:rPr>
                <w:rFonts w:hint="eastAsia" w:ascii="宋体" w:hAnsi="宋体" w:cs="宋体"/>
                <w:color w:val="auto"/>
                <w:szCs w:val="21"/>
                <w:highlight w:val="none"/>
              </w:rPr>
              <w:t xml:space="preserve">个月</w:t>
            </w:r>
            <w:r>
              <w:rPr>
                <w:rFonts w:hint="eastAsia" w:ascii="宋体" w:hAnsi="宋体" w:cs="宋体"/>
                <w:color w:val="auto"/>
                <w:szCs w:val="21"/>
                <w:highlight w:val="none"/>
                <w:lang w:val="en-US" w:eastAsia="zh-CN"/>
              </w:rPr>
              <w:t xml:space="preserve">中任意一个月供应商</w:t>
            </w:r>
            <w:r>
              <w:rPr>
                <w:rFonts w:hint="eastAsia" w:ascii="宋体" w:hAnsi="宋体" w:cs="宋体"/>
                <w:color w:val="auto"/>
                <w:szCs w:val="21"/>
                <w:highlight w:val="none"/>
              </w:rPr>
              <w:t xml:space="preserve">为</w:t>
            </w:r>
            <w:r>
              <w:rPr>
                <w:rFonts w:hint="eastAsia" w:ascii="宋体" w:hAnsi="宋体" w:cs="宋体"/>
                <w:color w:val="auto"/>
                <w:szCs w:val="21"/>
                <w:highlight w:val="none"/>
                <w:lang w:val="en-US" w:eastAsia="zh-CN"/>
              </w:rPr>
              <w:t xml:space="preserve">其配备人员</w:t>
            </w:r>
            <w:r>
              <w:rPr>
                <w:rFonts w:hint="eastAsia" w:ascii="宋体" w:hAnsi="宋体" w:cs="宋体"/>
                <w:color w:val="auto"/>
                <w:szCs w:val="21"/>
                <w:highlight w:val="none"/>
              </w:rPr>
              <w:t xml:space="preserve">缴纳的养老保险金缴费证明材料(并加盖社保中心章或社保中心参保缴费证明电子专用章)，本项目不接收退休人员</w:t>
            </w:r>
            <w:r>
              <w:rPr>
                <w:rFonts w:hint="eastAsia" w:ascii="宋体" w:hAnsi="宋体"/>
                <w:color w:val="auto"/>
                <w:szCs w:val="21"/>
                <w:highlight w:val="none"/>
              </w:rPr>
              <w:t xml:space="preserve">）。</w:t>
            </w:r>
            <w:r/>
          </w:p>
        </w:tc>
        <w:tc>
          <w:tcPr>
            <w:tcW w:w="690" w:type="dxa"/>
            <w:vAlign w:val="center"/>
            <w:textDirection w:val="lrTb"/>
            <w:noWrap w:val="false"/>
          </w:tcPr>
          <w:p>
            <w:pPr>
              <w:jc w:val="center"/>
              <w:spacing w:line="360" w:lineRule="auto"/>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8</w:t>
            </w:r>
            <w:r/>
          </w:p>
        </w:tc>
      </w:tr>
      <w:tr>
        <w:trPr>
          <w:jc w:val="center"/>
        </w:trPr>
        <w:tc>
          <w:tcPr>
            <w:tcW w:w="792" w:type="dxa"/>
            <w:vAlign w:val="center"/>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2.4</w:t>
            </w:r>
            <w:r/>
          </w:p>
        </w:tc>
        <w:tc>
          <w:tcPr>
            <w:tcW w:w="1113" w:type="dxa"/>
            <w:vAlign w:val="center"/>
            <w:vMerge w:val="continue"/>
            <w:textDirection w:val="lrTb"/>
            <w:noWrap w:val="false"/>
          </w:tcPr>
          <w:p>
            <w:pPr>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评委根据供应商投入本项目的车辆及主要设备的数量、规模、型号种类、车辆设备的所有权等方面进行综合评分，本项满分5分</w:t>
            </w:r>
            <w:r>
              <w:rPr>
                <w:rFonts w:hint="eastAsia" w:ascii="宋体" w:hAnsi="宋体"/>
                <w:color w:val="auto"/>
                <w:szCs w:val="21"/>
                <w:highlight w:val="none"/>
                <w:lang w:eastAsia="zh-CN"/>
              </w:rPr>
              <w:t xml:space="preserve">。</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rPr>
              <w:t xml:space="preserve">供应商</w:t>
            </w:r>
            <w:r>
              <w:rPr>
                <w:rFonts w:hint="eastAsia" w:ascii="宋体" w:hAnsi="宋体"/>
                <w:color w:val="auto"/>
                <w:szCs w:val="21"/>
                <w:highlight w:val="none"/>
                <w:lang w:val="en-US" w:eastAsia="zh-CN"/>
              </w:rPr>
              <w:t xml:space="preserve">须</w:t>
            </w:r>
            <w:r>
              <w:rPr>
                <w:rFonts w:hint="eastAsia" w:ascii="宋体" w:hAnsi="宋体"/>
                <w:color w:val="auto"/>
                <w:szCs w:val="21"/>
                <w:highlight w:val="none"/>
              </w:rPr>
              <w:t xml:space="preserve">提供符合本项目需求的车辆设备</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具有</w:t>
            </w:r>
            <w:r>
              <w:rPr>
                <w:rFonts w:hint="eastAsia" w:ascii="宋体" w:hAnsi="宋体"/>
                <w:color w:val="auto"/>
                <w:szCs w:val="21"/>
                <w:highlight w:val="none"/>
              </w:rPr>
              <w:t xml:space="preserve">水车2辆及以上（1分）、运输货车2辆及以上（0.5分）、高空作业车1辆及以上（1分）、巡查应急车2辆及以上（0.5分）、高压喷药车1辆及以上（1分）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绿篱机、割灌机、手剪、平剪、喷雾器等作业工具（1分）</w:t>
            </w:r>
            <w:r>
              <w:rPr>
                <w:rFonts w:hint="eastAsia" w:ascii="宋体" w:hAnsi="宋体"/>
                <w:color w:val="auto"/>
                <w:szCs w:val="21"/>
                <w:highlight w:val="none"/>
                <w:lang w:eastAsia="zh-CN"/>
              </w:rPr>
              <w:t xml:space="preserve">。</w:t>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 xml:space="preserve">（如为自有的请提供购买发票复印件加盖公章；如为租用的请提供租用合同证明、购买发票复印件加盖公章，</w:t>
            </w:r>
            <w:r>
              <w:rPr>
                <w:rFonts w:hint="eastAsia" w:ascii="宋体" w:hAnsi="宋体"/>
                <w:color w:val="auto"/>
                <w:szCs w:val="21"/>
                <w:highlight w:val="none"/>
                <w:lang w:val="en-US" w:eastAsia="zh-CN"/>
              </w:rPr>
              <w:t xml:space="preserve">如为车辆还须提供车辆行驶证、车辆保险等有效</w:t>
            </w:r>
            <w:r>
              <w:rPr>
                <w:rFonts w:hint="eastAsia" w:ascii="宋体" w:hAnsi="宋体"/>
                <w:color w:val="auto"/>
                <w:szCs w:val="21"/>
                <w:highlight w:val="none"/>
                <w:lang w:eastAsia="zh-CN"/>
              </w:rPr>
              <w:t xml:space="preserve">证明材料复印件。</w:t>
            </w:r>
            <w:r>
              <w:rPr>
                <w:rFonts w:hint="eastAsia" w:ascii="宋体" w:hAnsi="宋体"/>
                <w:b/>
                <w:bCs/>
                <w:color w:val="auto"/>
                <w:szCs w:val="21"/>
                <w:highlight w:val="none"/>
                <w:lang w:val="en-US" w:eastAsia="zh-CN"/>
              </w:rPr>
              <w:t xml:space="preserve">或提供相关承诺：承诺如果中标，10日内备齐相关设备。</w:t>
            </w:r>
            <w:r>
              <w:rPr>
                <w:rFonts w:hint="eastAsia" w:ascii="宋体" w:hAnsi="宋体"/>
                <w:color w:val="auto"/>
                <w:szCs w:val="21"/>
                <w:highlight w:val="none"/>
                <w:lang w:eastAsia="zh-CN"/>
              </w:rPr>
              <w:t xml:space="preserve">原件备查，否则不得分）。</w:t>
            </w:r>
            <w:r/>
          </w:p>
        </w:tc>
        <w:tc>
          <w:tcPr>
            <w:tcW w:w="690" w:type="dxa"/>
            <w:vAlign w:val="center"/>
            <w:textDirection w:val="lrTb"/>
            <w:noWrap w:val="false"/>
          </w:tcPr>
          <w:p>
            <w:pPr>
              <w:jc w:val="center"/>
              <w:spacing w:line="360" w:lineRule="auto"/>
              <w:widowControl/>
              <w:rPr>
                <w:rFonts w:hint="eastAsia" w:ascii="宋体" w:hAnsi="宋体"/>
                <w:b/>
                <w:bCs/>
                <w:color w:val="auto"/>
                <w:szCs w:val="21"/>
                <w:highlight w:val="none"/>
              </w:rPr>
            </w:pPr>
            <w:r>
              <w:rPr>
                <w:rFonts w:hint="eastAsia" w:ascii="宋体" w:hAnsi="宋体"/>
                <w:b/>
                <w:bCs/>
                <w:color w:val="auto"/>
                <w:szCs w:val="21"/>
                <w:highlight w:val="none"/>
              </w:rPr>
              <w:t xml:space="preserve">5</w:t>
            </w:r>
            <w:r/>
          </w:p>
        </w:tc>
      </w:tr>
      <w:tr>
        <w:trPr>
          <w:jc w:val="center"/>
        </w:trPr>
        <w:tc>
          <w:tcPr>
            <w:tcW w:w="792" w:type="dxa"/>
            <w:vAlign w:val="center"/>
            <w:textDirection w:val="lrTb"/>
            <w:noWrap w:val="false"/>
          </w:tcPr>
          <w:p>
            <w:pPr>
              <w:jc w:val="center"/>
              <w:spacing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3.1</w:t>
            </w:r>
            <w:r/>
          </w:p>
        </w:tc>
        <w:tc>
          <w:tcPr>
            <w:tcW w:w="1113" w:type="dxa"/>
            <w:vAlign w:val="center"/>
            <w:vMerge w:val="restart"/>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业绩</w:t>
            </w:r>
            <w:r/>
          </w:p>
          <w:p>
            <w:pPr>
              <w:jc w:val="center"/>
              <w:spacing w:line="360" w:lineRule="auto"/>
              <w:rPr>
                <w:rFonts w:hint="eastAsia" w:ascii="宋体" w:hAnsi="宋体"/>
                <w:b/>
                <w:color w:val="auto"/>
                <w:szCs w:val="21"/>
                <w:highlight w:val="none"/>
              </w:rPr>
            </w:pPr>
            <w:r>
              <w:rPr>
                <w:rFonts w:hint="default" w:ascii="Times New Roman" w:hAnsi="Times New Roman" w:eastAsia="宋体" w:cs="Times New Roman"/>
                <w:b/>
                <w:color w:val="auto"/>
                <w:sz w:val="21"/>
                <w:szCs w:val="21"/>
                <w:highlight w:val="none"/>
              </w:rPr>
              <w:t xml:space="preserve">（</w:t>
            </w:r>
            <w:r>
              <w:rPr>
                <w:rFonts w:hint="eastAsia" w:cs="Times New Roman"/>
                <w:b/>
                <w:color w:val="auto"/>
                <w:sz w:val="21"/>
                <w:szCs w:val="21"/>
                <w:highlight w:val="none"/>
                <w:lang w:val="en-US" w:eastAsia="zh-CN"/>
              </w:rPr>
              <w:t xml:space="preserve">11</w:t>
            </w:r>
            <w:r>
              <w:rPr>
                <w:rFonts w:hint="default" w:ascii="Times New Roman" w:hAnsi="Times New Roman" w:eastAsia="宋体" w:cs="Times New Roman"/>
                <w:b/>
                <w:color w:val="auto"/>
                <w:sz w:val="21"/>
                <w:szCs w:val="21"/>
                <w:highlight w:val="none"/>
              </w:rPr>
              <w:t xml:space="preserve">分）</w:t>
            </w:r>
            <w:r/>
          </w:p>
        </w:tc>
        <w:tc>
          <w:tcPr>
            <w:tcW w:w="6893" w:type="dxa"/>
            <w:vAlign w:val="center"/>
            <w:textDirection w:val="lrTb"/>
            <w:noWrap w:val="false"/>
          </w:tcPr>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20</w:t>
            </w:r>
            <w:r>
              <w:rPr>
                <w:rFonts w:hint="eastAsia" w:ascii="宋体" w:hAnsi="宋体"/>
                <w:color w:val="auto"/>
                <w:szCs w:val="21"/>
                <w:highlight w:val="none"/>
                <w:lang w:val="en-US" w:eastAsia="zh-CN"/>
              </w:rPr>
              <w:t xml:space="preserve">23</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月1日（含）以来，供应商承担过类似施工或养护（含更换）业绩(业绩内容包含其中之一：绿雕，容器花箱，花境，墙面绿化)，每提供1个业绩得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分，满分</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rPr>
                <w:rFonts w:hint="eastAsia" w:ascii="宋体" w:hAnsi="宋体" w:eastAsia="宋体" w:cs="宋体"/>
                <w:color w:val="auto"/>
                <w:szCs w:val="21"/>
                <w:highlight w:val="none"/>
                <w:lang w:val="en-US" w:eastAsia="zh-CN"/>
              </w:rPr>
              <w:t xml:space="preserve">（须提供合同复印件加盖公章</w:t>
            </w:r>
            <w:r>
              <w:rPr>
                <w:rFonts w:hint="eastAsia" w:ascii="宋体" w:hAnsi="宋体"/>
                <w:color w:val="auto"/>
                <w:szCs w:val="21"/>
                <w:highlight w:val="none"/>
              </w:rPr>
              <w:t xml:space="preserve">，原件备查</w:t>
            </w:r>
            <w:r>
              <w:rPr>
                <w:rFonts w:hint="eastAsia" w:ascii="宋体" w:hAnsi="宋体" w:eastAsia="宋体" w:cs="宋体"/>
                <w:color w:val="auto"/>
                <w:szCs w:val="21"/>
                <w:highlight w:val="none"/>
                <w:lang w:val="en-US" w:eastAsia="zh-CN"/>
              </w:rPr>
              <w:t xml:space="preserve">，时间以合同签订时间为准，提供的合同须能反应出相关内容，否则视为未提供）</w:t>
            </w:r>
            <w:r/>
          </w:p>
        </w:tc>
        <w:tc>
          <w:tcPr>
            <w:tcW w:w="690" w:type="dxa"/>
            <w:vAlign w:val="center"/>
            <w:textDirection w:val="lrTb"/>
            <w:noWrap w:val="false"/>
          </w:tcPr>
          <w:p>
            <w:pPr>
              <w:jc w:val="center"/>
              <w:spacing w:line="360" w:lineRule="auto"/>
              <w:widowControl/>
              <w:rPr>
                <w:rFonts w:hint="default" w:eastAsia="宋体"/>
                <w:color w:val="auto"/>
                <w:highlight w:val="none"/>
                <w:lang w:val="en-US" w:eastAsia="zh-CN"/>
              </w:rPr>
            </w:pPr>
            <w:r>
              <w:rPr>
                <w:rFonts w:hint="eastAsia"/>
                <w:color w:val="auto"/>
                <w:highlight w:val="none"/>
                <w:lang w:val="en-US" w:eastAsia="zh-CN"/>
              </w:rPr>
              <w:t xml:space="preserve">8</w:t>
            </w:r>
            <w:r/>
          </w:p>
        </w:tc>
      </w:tr>
      <w:tr>
        <w:trPr>
          <w:jc w:val="center"/>
        </w:trPr>
        <w:tc>
          <w:tcPr>
            <w:tcW w:w="792" w:type="dxa"/>
            <w:vAlign w:val="center"/>
            <w:textDirection w:val="lrTb"/>
            <w:noWrap w:val="false"/>
          </w:tcPr>
          <w:p>
            <w:pPr>
              <w:jc w:val="center"/>
              <w:spacing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3.2</w:t>
            </w:r>
            <w:r/>
          </w:p>
        </w:tc>
        <w:tc>
          <w:tcPr>
            <w:tcW w:w="1113" w:type="dxa"/>
            <w:vAlign w:val="center"/>
            <w:vMerge w:val="continue"/>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pStyle w:val="767"/>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20</w:t>
            </w:r>
            <w:r>
              <w:rPr>
                <w:rFonts w:hint="eastAsia" w:ascii="宋体" w:hAnsi="宋体"/>
                <w:color w:val="auto"/>
                <w:szCs w:val="21"/>
                <w:highlight w:val="none"/>
                <w:lang w:val="en-US" w:eastAsia="zh-CN"/>
              </w:rPr>
              <w:t xml:space="preserve">23</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月1日（含）以来，项目负责人</w:t>
            </w:r>
            <w:r>
              <w:rPr>
                <w:rFonts w:hint="eastAsia"/>
                <w:color w:val="auto"/>
                <w:highlight w:val="none"/>
              </w:rPr>
              <w:t xml:space="preserve">在本单位</w:t>
            </w:r>
            <w:r>
              <w:rPr>
                <w:rFonts w:hint="eastAsia" w:ascii="宋体" w:hAnsi="宋体" w:cs="宋体"/>
                <w:color w:val="auto"/>
                <w:szCs w:val="21"/>
                <w:highlight w:val="none"/>
              </w:rPr>
              <w:t xml:space="preserve">承担过</w:t>
            </w:r>
            <w:r>
              <w:rPr>
                <w:rFonts w:hint="eastAsia" w:ascii="宋体" w:hAnsi="宋体"/>
                <w:color w:val="auto"/>
                <w:szCs w:val="21"/>
                <w:highlight w:val="none"/>
              </w:rPr>
              <w:t xml:space="preserve">类似施工或养护（含更换）业绩 (业绩内容包含其中之一：绿雕，容器花箱，花境，墙面绿化)得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分。（提供</w:t>
            </w:r>
            <w:r>
              <w:rPr>
                <w:rFonts w:hint="eastAsia" w:ascii="宋体" w:hAnsi="宋体"/>
                <w:color w:val="auto"/>
                <w:szCs w:val="21"/>
                <w:highlight w:val="none"/>
                <w:lang w:val="en-US" w:eastAsia="zh-CN"/>
              </w:rPr>
              <w:t xml:space="preserve">的合同复印件须能体现</w:t>
            </w:r>
            <w:r>
              <w:rPr>
                <w:rFonts w:hint="eastAsia" w:ascii="宋体" w:hAnsi="宋体"/>
                <w:color w:val="auto"/>
                <w:szCs w:val="21"/>
                <w:highlight w:val="none"/>
              </w:rPr>
              <w:t xml:space="preserve">负责人姓名</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如合同中不能体现负责人姓名的另须提供</w:t>
            </w:r>
            <w:r>
              <w:rPr>
                <w:rFonts w:hint="eastAsia" w:ascii="宋体" w:hAnsi="宋体"/>
                <w:color w:val="auto"/>
                <w:szCs w:val="21"/>
                <w:highlight w:val="none"/>
              </w:rPr>
              <w:t xml:space="preserve">业主单位</w:t>
            </w:r>
            <w:r>
              <w:rPr>
                <w:rFonts w:hint="eastAsia" w:ascii="宋体" w:hAnsi="宋体"/>
                <w:color w:val="auto"/>
                <w:szCs w:val="21"/>
                <w:highlight w:val="none"/>
                <w:lang w:val="en-US" w:eastAsia="zh-CN"/>
              </w:rPr>
              <w:t xml:space="preserve">出具</w:t>
            </w:r>
            <w:r>
              <w:rPr>
                <w:rFonts w:hint="eastAsia" w:ascii="宋体" w:hAnsi="宋体"/>
                <w:color w:val="auto"/>
                <w:szCs w:val="21"/>
                <w:highlight w:val="none"/>
              </w:rPr>
              <w:t xml:space="preserve">的证明材料，原件备查，</w:t>
            </w:r>
            <w:r>
              <w:rPr>
                <w:rFonts w:hint="eastAsia" w:ascii="宋体" w:hAnsi="宋体" w:eastAsia="宋体" w:cs="宋体"/>
                <w:color w:val="auto"/>
                <w:szCs w:val="21"/>
                <w:highlight w:val="none"/>
                <w:lang w:val="en-US" w:eastAsia="zh-CN"/>
              </w:rPr>
              <w:t xml:space="preserve">时间以合同签订时间为准，提供的合同须能反应出相关内容，否则视为未提供</w:t>
            </w:r>
            <w:r>
              <w:rPr>
                <w:rFonts w:hint="eastAsia" w:ascii="宋体" w:hAnsi="宋体"/>
                <w:color w:val="auto"/>
                <w:szCs w:val="21"/>
                <w:highlight w:val="none"/>
              </w:rPr>
              <w:t xml:space="preserve">）</w:t>
            </w:r>
            <w:r/>
          </w:p>
        </w:tc>
        <w:tc>
          <w:tcPr>
            <w:tcW w:w="690" w:type="dxa"/>
            <w:vAlign w:val="center"/>
            <w:textDirection w:val="lrTb"/>
            <w:noWrap w:val="false"/>
          </w:tcPr>
          <w:p>
            <w:pPr>
              <w:jc w:val="center"/>
              <w:spacing w:line="360" w:lineRule="auto"/>
              <w:widowControl/>
              <w:rPr>
                <w:rFonts w:hint="eastAsia" w:eastAsia="宋体"/>
                <w:color w:val="auto"/>
                <w:highlight w:val="none"/>
                <w:lang w:val="en-US" w:eastAsia="zh-CN"/>
              </w:rPr>
            </w:pPr>
            <w:r>
              <w:rPr>
                <w:rFonts w:hint="eastAsia"/>
                <w:color w:val="auto"/>
                <w:highlight w:val="none"/>
                <w:lang w:val="en-US" w:eastAsia="zh-CN"/>
              </w:rPr>
              <w:t xml:space="preserve">3</w:t>
            </w:r>
            <w:r/>
          </w:p>
        </w:tc>
      </w:tr>
      <w:tr>
        <w:trPr>
          <w:jc w:val="center"/>
        </w:trPr>
        <w:tc>
          <w:tcPr>
            <w:tcW w:w="792" w:type="dxa"/>
            <w:vAlign w:val="center"/>
            <w:textDirection w:val="lrTb"/>
            <w:noWrap w:val="false"/>
          </w:tcPr>
          <w:p>
            <w:pPr>
              <w:ind w:right="-24"/>
              <w:jc w:val="center"/>
              <w:spacing w:line="360" w:lineRule="auto"/>
              <w:widowControl/>
              <w:rPr>
                <w:rFonts w:hint="eastAsia" w:ascii="宋体" w:hAnsi="宋体"/>
                <w:b/>
                <w:color w:val="auto"/>
                <w:szCs w:val="21"/>
                <w:highlight w:val="none"/>
              </w:rPr>
            </w:pP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.1</w:t>
            </w:r>
            <w:r/>
          </w:p>
        </w:tc>
        <w:tc>
          <w:tcPr>
            <w:tcW w:w="1113" w:type="dxa"/>
            <w:vAlign w:val="center"/>
            <w:vMerge w:val="restart"/>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b/>
                <w:color w:val="auto"/>
                <w:szCs w:val="21"/>
                <w:highlight w:val="none"/>
              </w:rPr>
              <w:t xml:space="preserve">技术方案及服务方案</w:t>
            </w:r>
            <w:r>
              <w:rPr>
                <w:rFonts w:hint="default" w:ascii="Times New Roman" w:hAnsi="Times New Roman" w:eastAsia="宋体" w:cs="Times New Roman"/>
                <w:b/>
                <w:color w:val="auto"/>
                <w:sz w:val="21"/>
                <w:szCs w:val="21"/>
                <w:highlight w:val="none"/>
              </w:rPr>
              <w:t xml:space="preserve">（</w:t>
            </w:r>
            <w:r>
              <w:rPr>
                <w:rFonts w:hint="eastAsia" w:ascii="Times New Roman" w:hAnsi="Times New Roman" w:eastAsia="宋体" w:cs="Times New Roman"/>
                <w:b/>
                <w:color w:val="auto"/>
                <w:sz w:val="21"/>
                <w:szCs w:val="21"/>
                <w:highlight w:val="none"/>
                <w:lang w:val="en-US" w:eastAsia="zh-CN"/>
              </w:rPr>
              <w:t xml:space="preserve">5</w:t>
            </w:r>
            <w:r>
              <w:rPr>
                <w:rFonts w:hint="eastAsia" w:cs="Times New Roman"/>
                <w:b/>
                <w:color w:val="auto"/>
                <w:sz w:val="21"/>
                <w:szCs w:val="21"/>
                <w:highlight w:val="none"/>
                <w:lang w:val="en-US" w:eastAsia="zh-CN"/>
              </w:rPr>
              <w:t xml:space="preserve">9</w:t>
            </w:r>
            <w:r>
              <w:rPr>
                <w:rFonts w:hint="default" w:ascii="Times New Roman" w:hAnsi="Times New Roman" w:eastAsia="宋体" w:cs="Times New Roman"/>
                <w:b/>
                <w:color w:val="auto"/>
                <w:sz w:val="21"/>
                <w:szCs w:val="21"/>
                <w:highlight w:val="none"/>
              </w:rPr>
              <w:t xml:space="preserve">分）</w:t>
            </w:r>
            <w:r/>
          </w:p>
        </w:tc>
        <w:tc>
          <w:tcPr>
            <w:tcW w:w="6893" w:type="dxa"/>
            <w:vAlign w:val="center"/>
            <w:textDirection w:val="lrTb"/>
            <w:noWrap w:val="false"/>
          </w:tcPr>
          <w:p>
            <w:pPr>
              <w:spacing w:line="360" w:lineRule="auto"/>
              <w:rPr>
                <w:rFonts w:hint="eastAsia" w:ascii="宋体" w:hAnsi="宋体"/>
                <w:b/>
                <w:bCs/>
                <w:color w:val="auto"/>
                <w:szCs w:val="21"/>
                <w:highlight w:val="none"/>
                <w:lang w:eastAsia="zh-CN"/>
              </w:rPr>
            </w:pPr>
            <w:r>
              <w:rPr>
                <w:rFonts w:hint="eastAsia" w:ascii="宋体" w:hAnsi="宋体"/>
                <w:b/>
                <w:bCs/>
                <w:color w:val="auto"/>
                <w:szCs w:val="21"/>
                <w:highlight w:val="none"/>
              </w:rPr>
              <w:t xml:space="preserve">评委根据供应商提供的总体技术方案、项目组织方案、作业技术流程的合理性、完整性、针对性；以及实施计划安排的科学性等进行综合评分</w:t>
            </w:r>
            <w:r>
              <w:rPr>
                <w:rFonts w:hint="eastAsia" w:ascii="宋体" w:hAnsi="宋体"/>
                <w:b/>
                <w:bCs/>
                <w:color w:val="auto"/>
                <w:szCs w:val="21"/>
                <w:highlight w:val="none"/>
                <w:lang w:eastAsia="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方案完全合理、完整性高、针对性强、科学性高得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方案较合理、完整性高、针对性强、</w:t>
            </w:r>
            <w:r>
              <w:rPr>
                <w:rFonts w:hint="eastAsia" w:ascii="宋体" w:hAnsi="宋体"/>
                <w:color w:val="auto"/>
                <w:szCs w:val="21"/>
                <w:highlight w:val="none"/>
                <w:lang w:val="en-US" w:eastAsia="zh-CN"/>
              </w:rPr>
              <w:t xml:space="preserve">有一定的</w:t>
            </w:r>
            <w:r>
              <w:rPr>
                <w:rFonts w:hint="eastAsia" w:ascii="宋体" w:hAnsi="宋体"/>
                <w:color w:val="auto"/>
                <w:szCs w:val="21"/>
                <w:highlight w:val="none"/>
              </w:rPr>
              <w:t xml:space="preserve">科学性得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合理、</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完整、</w:t>
            </w:r>
            <w:r>
              <w:rPr>
                <w:rFonts w:hint="eastAsia" w:ascii="宋体" w:hAnsi="宋体"/>
                <w:color w:val="auto"/>
                <w:szCs w:val="21"/>
                <w:highlight w:val="none"/>
                <w:lang w:val="en-US" w:eastAsia="zh-CN"/>
              </w:rPr>
              <w:t xml:space="preserve">有一定的</w:t>
            </w:r>
            <w:r>
              <w:rPr>
                <w:rFonts w:hint="eastAsia" w:ascii="宋体" w:hAnsi="宋体"/>
                <w:color w:val="auto"/>
                <w:szCs w:val="21"/>
                <w:highlight w:val="none"/>
              </w:rPr>
              <w:t xml:space="preserve">针对性得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方案合理性差、完整性差、针对性差、科学性差得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分；没有提供不得分。</w:t>
            </w:r>
            <w:r/>
          </w:p>
        </w:tc>
        <w:tc>
          <w:tcPr>
            <w:tcW w:w="690" w:type="dxa"/>
            <w:vAlign w:val="center"/>
            <w:textDirection w:val="lrTb"/>
            <w:noWrap w:val="false"/>
          </w:tcPr>
          <w:p>
            <w:pPr>
              <w:jc w:val="center"/>
              <w:spacing w:line="360" w:lineRule="auto"/>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8</w:t>
            </w:r>
            <w:r/>
          </w:p>
        </w:tc>
      </w:tr>
      <w:tr>
        <w:trPr>
          <w:jc w:val="center"/>
        </w:trPr>
        <w:tc>
          <w:tcPr>
            <w:tcW w:w="792" w:type="dxa"/>
            <w:vAlign w:val="center"/>
            <w:textDirection w:val="lrTb"/>
            <w:noWrap w:val="false"/>
          </w:tcPr>
          <w:p>
            <w:pPr>
              <w:ind w:right="-24"/>
              <w:jc w:val="center"/>
              <w:spacing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.2</w:t>
            </w:r>
            <w:r/>
          </w:p>
        </w:tc>
        <w:tc>
          <w:tcPr>
            <w:tcW w:w="1113" w:type="dxa"/>
            <w:vAlign w:val="center"/>
            <w:vMerge w:val="continue"/>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rPr>
                <w:rFonts w:hint="eastAsia" w:ascii="宋体" w:hAnsi="宋体"/>
                <w:color w:val="auto"/>
                <w:szCs w:val="21"/>
                <w:highlight w:val="none"/>
                <w:lang w:eastAsia="zh-CN"/>
              </w:rPr>
            </w:pPr>
            <w:r>
              <w:rPr>
                <w:rFonts w:hint="eastAsia" w:ascii="宋体" w:hAnsi="宋体"/>
                <w:b/>
                <w:bCs/>
                <w:color w:val="auto"/>
                <w:szCs w:val="21"/>
                <w:highlight w:val="none"/>
              </w:rPr>
              <w:t xml:space="preserve">评委根据供应商提出的绿雕、容器花箱、花境、墙面绿化更换方案的艺术性、可行性、先进性、合理性进行综合评分，具体包含以下内容：对供应商提供的绿雕、容器花箱、花境、墙面绿化日常养护（含巡查、修剪、补植、浇水、施肥、治虫、卫生保洁等）方案进行综合评分</w:t>
            </w:r>
            <w:r>
              <w:rPr>
                <w:rFonts w:hint="eastAsia" w:ascii="宋体" w:hAnsi="宋体"/>
                <w:b/>
                <w:bCs/>
                <w:color w:val="auto"/>
                <w:szCs w:val="21"/>
                <w:highlight w:val="none"/>
                <w:lang w:eastAsia="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养护方案切实可行，措施</w:t>
            </w:r>
            <w:r>
              <w:rPr>
                <w:rFonts w:hint="eastAsia" w:ascii="宋体" w:hAnsi="宋体"/>
                <w:color w:val="auto"/>
                <w:szCs w:val="21"/>
                <w:highlight w:val="none"/>
                <w:lang w:val="en-US" w:eastAsia="zh-CN"/>
              </w:rPr>
              <w:t xml:space="preserve">非常</w:t>
            </w:r>
            <w:r>
              <w:rPr>
                <w:rFonts w:hint="eastAsia" w:ascii="宋体" w:hAnsi="宋体"/>
                <w:color w:val="auto"/>
                <w:szCs w:val="21"/>
                <w:highlight w:val="none"/>
              </w:rPr>
              <w:t xml:space="preserve">具体，针对性强得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养护方案可行，措施具体，</w:t>
            </w:r>
            <w:r>
              <w:rPr>
                <w:rFonts w:hint="eastAsia" w:ascii="宋体" w:hAnsi="宋体"/>
                <w:color w:val="auto"/>
                <w:szCs w:val="21"/>
                <w:highlight w:val="none"/>
                <w:lang w:val="en-US" w:eastAsia="zh-CN"/>
              </w:rPr>
              <w:t xml:space="preserve">有一定的</w:t>
            </w:r>
            <w:r>
              <w:rPr>
                <w:rFonts w:hint="eastAsia" w:ascii="宋体" w:hAnsi="宋体"/>
                <w:color w:val="auto"/>
                <w:szCs w:val="21"/>
                <w:highlight w:val="none"/>
              </w:rPr>
              <w:t xml:space="preserve">针对性得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养护方案</w:t>
            </w:r>
            <w:r>
              <w:rPr>
                <w:rFonts w:hint="eastAsia" w:ascii="宋体" w:hAnsi="宋体"/>
                <w:color w:val="auto"/>
                <w:szCs w:val="21"/>
                <w:highlight w:val="none"/>
                <w:lang w:val="en-US" w:eastAsia="zh-CN"/>
              </w:rPr>
              <w:t xml:space="preserve">基本可行</w:t>
            </w:r>
            <w:r>
              <w:rPr>
                <w:rFonts w:hint="eastAsia" w:ascii="宋体" w:hAnsi="宋体"/>
                <w:color w:val="auto"/>
                <w:szCs w:val="21"/>
                <w:highlight w:val="none"/>
              </w:rPr>
              <w:t xml:space="preserve">，措施</w:t>
            </w:r>
            <w:r>
              <w:rPr>
                <w:rFonts w:hint="eastAsia" w:ascii="宋体" w:hAnsi="宋体"/>
                <w:color w:val="auto"/>
                <w:szCs w:val="21"/>
                <w:highlight w:val="none"/>
                <w:lang w:val="en-US" w:eastAsia="zh-CN"/>
              </w:rPr>
              <w:t xml:space="preserve">基本可行</w:t>
            </w:r>
            <w:r>
              <w:rPr>
                <w:rFonts w:hint="eastAsia" w:ascii="宋体" w:hAnsi="宋体"/>
                <w:color w:val="auto"/>
                <w:szCs w:val="21"/>
                <w:highlight w:val="none"/>
              </w:rPr>
              <w:t xml:space="preserve">，针对性</w:t>
            </w:r>
            <w:r>
              <w:rPr>
                <w:rFonts w:hint="eastAsia" w:ascii="宋体" w:hAnsi="宋体"/>
                <w:color w:val="auto"/>
                <w:szCs w:val="21"/>
                <w:highlight w:val="none"/>
                <w:lang w:val="en-US" w:eastAsia="zh-CN"/>
              </w:rPr>
              <w:t xml:space="preserve">不强</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养护方案差，措施差，针对性差得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分；没有提供不得分。</w:t>
            </w:r>
            <w:r/>
          </w:p>
        </w:tc>
        <w:tc>
          <w:tcPr>
            <w:tcW w:w="690" w:type="dxa"/>
            <w:vAlign w:val="center"/>
            <w:textDirection w:val="lrTb"/>
            <w:noWrap w:val="false"/>
          </w:tcPr>
          <w:p>
            <w:pPr>
              <w:jc w:val="cente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10</w:t>
            </w:r>
            <w:r/>
          </w:p>
        </w:tc>
      </w:tr>
      <w:tr>
        <w:trPr>
          <w:jc w:val="center"/>
        </w:trPr>
        <w:tc>
          <w:tcPr>
            <w:tcW w:w="792" w:type="dxa"/>
            <w:vAlign w:val="center"/>
            <w:textDirection w:val="lrTb"/>
            <w:noWrap w:val="false"/>
          </w:tcPr>
          <w:p>
            <w:pPr>
              <w:ind w:right="-24"/>
              <w:jc w:val="center"/>
              <w:spacing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4.3</w:t>
            </w:r>
            <w:r/>
          </w:p>
        </w:tc>
        <w:tc>
          <w:tcPr>
            <w:tcW w:w="1113" w:type="dxa"/>
            <w:vAlign w:val="center"/>
            <w:vMerge w:val="continue"/>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对供应商提供的绿雕（含地面花卉）、容器花箱、花境、墙面绿化更换方案进行综合评分</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有全年植物更换方案，并附表和效果图加以说明，要求植物品种新颖，设计方案美观，组合方式有创意，保证四季有花，配置合理，具有艺术性。</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设计方案</w:t>
            </w:r>
            <w:r>
              <w:rPr>
                <w:rFonts w:hint="eastAsia" w:ascii="宋体" w:hAnsi="宋体"/>
                <w:color w:val="auto"/>
                <w:szCs w:val="21"/>
                <w:highlight w:val="none"/>
                <w:lang w:val="en-US" w:eastAsia="zh-CN"/>
              </w:rPr>
              <w:t xml:space="preserve">非常</w:t>
            </w:r>
            <w:r>
              <w:rPr>
                <w:rFonts w:hint="eastAsia" w:ascii="宋体" w:hAnsi="宋体"/>
                <w:color w:val="auto"/>
                <w:szCs w:val="21"/>
                <w:highlight w:val="none"/>
              </w:rPr>
              <w:t xml:space="preserve">美观，组合方式</w:t>
            </w:r>
            <w:r>
              <w:rPr>
                <w:rFonts w:hint="eastAsia" w:ascii="宋体" w:hAnsi="宋体"/>
                <w:color w:val="auto"/>
                <w:szCs w:val="21"/>
                <w:highlight w:val="none"/>
                <w:lang w:val="en-US" w:eastAsia="zh-CN"/>
              </w:rPr>
              <w:t xml:space="preserve">很</w:t>
            </w:r>
            <w:r>
              <w:rPr>
                <w:rFonts w:hint="eastAsia" w:ascii="宋体" w:hAnsi="宋体"/>
                <w:color w:val="auto"/>
                <w:szCs w:val="21"/>
                <w:highlight w:val="none"/>
              </w:rPr>
              <w:t xml:space="preserve">有创意，配置非常合理，具有</w:t>
            </w:r>
            <w:r>
              <w:rPr>
                <w:rFonts w:hint="eastAsia" w:ascii="宋体" w:hAnsi="宋体"/>
                <w:color w:val="auto"/>
                <w:szCs w:val="21"/>
                <w:highlight w:val="none"/>
                <w:lang w:val="en-US" w:eastAsia="zh-CN"/>
              </w:rPr>
              <w:t xml:space="preserve">非常</w:t>
            </w:r>
            <w:r>
              <w:rPr>
                <w:rFonts w:hint="eastAsia" w:ascii="宋体" w:hAnsi="宋体"/>
                <w:color w:val="auto"/>
                <w:szCs w:val="21"/>
                <w:highlight w:val="none"/>
              </w:rPr>
              <w:t xml:space="preserve">高的艺术性得</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设计方案美观，组合方式有创意，配置非常合理，具有超高的艺术性得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设计方案美观，组合方式协调，配置合理，具有较高的艺术性得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设计方案</w:t>
            </w:r>
            <w:r>
              <w:rPr>
                <w:rFonts w:hint="eastAsia" w:ascii="宋体" w:hAnsi="宋体"/>
                <w:color w:val="auto"/>
                <w:szCs w:val="21"/>
                <w:highlight w:val="none"/>
                <w:lang w:val="en-US" w:eastAsia="zh-CN"/>
              </w:rPr>
              <w:t xml:space="preserve">不够</w:t>
            </w:r>
            <w:r>
              <w:rPr>
                <w:rFonts w:hint="eastAsia" w:ascii="宋体" w:hAnsi="宋体"/>
                <w:color w:val="auto"/>
                <w:szCs w:val="21"/>
                <w:highlight w:val="none"/>
              </w:rPr>
              <w:t xml:space="preserve">美观，组合方式</w:t>
            </w:r>
            <w:r>
              <w:rPr>
                <w:rFonts w:hint="eastAsia" w:ascii="宋体" w:hAnsi="宋体"/>
                <w:color w:val="auto"/>
                <w:szCs w:val="21"/>
                <w:highlight w:val="none"/>
                <w:lang w:val="en-US" w:eastAsia="zh-CN"/>
              </w:rPr>
              <w:t xml:space="preserve">不太</w:t>
            </w:r>
            <w:r>
              <w:rPr>
                <w:rFonts w:hint="eastAsia" w:ascii="宋体" w:hAnsi="宋体"/>
                <w:color w:val="auto"/>
                <w:szCs w:val="21"/>
                <w:highlight w:val="none"/>
              </w:rPr>
              <w:t xml:space="preserve">协调</w:t>
            </w:r>
            <w:r>
              <w:rPr>
                <w:rFonts w:hint="eastAsia" w:ascii="宋体" w:hAnsi="宋体"/>
                <w:color w:val="auto"/>
                <w:szCs w:val="21"/>
                <w:highlight w:val="none"/>
                <w:lang w:val="en-US" w:eastAsia="zh-CN"/>
              </w:rPr>
              <w:t xml:space="preserve">性</w:t>
            </w:r>
            <w:r>
              <w:rPr>
                <w:rFonts w:hint="eastAsia" w:ascii="宋体" w:hAnsi="宋体"/>
                <w:color w:val="auto"/>
                <w:szCs w:val="21"/>
                <w:highlight w:val="none"/>
              </w:rPr>
              <w:t xml:space="preserve">，配置</w:t>
            </w:r>
            <w:r>
              <w:rPr>
                <w:rFonts w:hint="eastAsia" w:ascii="宋体" w:hAnsi="宋体"/>
                <w:color w:val="auto"/>
                <w:szCs w:val="21"/>
                <w:highlight w:val="none"/>
                <w:lang w:val="en-US" w:eastAsia="zh-CN"/>
              </w:rPr>
              <w:t xml:space="preserve">不太</w:t>
            </w:r>
            <w:r>
              <w:rPr>
                <w:rFonts w:hint="eastAsia" w:ascii="宋体" w:hAnsi="宋体"/>
                <w:color w:val="auto"/>
                <w:szCs w:val="21"/>
                <w:highlight w:val="none"/>
              </w:rPr>
              <w:t xml:space="preserve">合理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艺术性</w:t>
            </w:r>
            <w:r>
              <w:rPr>
                <w:rFonts w:hint="eastAsia" w:ascii="宋体" w:hAnsi="宋体"/>
                <w:color w:val="auto"/>
                <w:szCs w:val="21"/>
                <w:highlight w:val="none"/>
                <w:lang w:val="en-US" w:eastAsia="zh-CN"/>
              </w:rPr>
              <w:t xml:space="preserve">较弱</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没有提供不得分。</w:t>
            </w:r>
            <w:r/>
          </w:p>
        </w:tc>
        <w:tc>
          <w:tcPr>
            <w:tcW w:w="690" w:type="dxa"/>
            <w:vAlign w:val="center"/>
            <w:textDirection w:val="lrTb"/>
            <w:noWrap w:val="false"/>
          </w:tcPr>
          <w:p>
            <w:pPr>
              <w:jc w:val="cente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12</w:t>
            </w:r>
            <w:r/>
          </w:p>
        </w:tc>
      </w:tr>
      <w:tr>
        <w:trPr>
          <w:jc w:val="center"/>
        </w:trPr>
        <w:tc>
          <w:tcPr>
            <w:tcW w:w="792" w:type="dxa"/>
            <w:vAlign w:val="center"/>
            <w:textDirection w:val="lrTb"/>
            <w:noWrap w:val="false"/>
          </w:tcPr>
          <w:p>
            <w:pPr>
              <w:ind w:right="-24"/>
              <w:jc w:val="center"/>
              <w:spacing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4.4</w:t>
            </w:r>
            <w:r/>
          </w:p>
        </w:tc>
        <w:tc>
          <w:tcPr>
            <w:tcW w:w="1113" w:type="dxa"/>
            <w:vAlign w:val="center"/>
            <w:vMerge w:val="continue"/>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rPr>
                <w:rFonts w:hint="eastAsia" w:ascii="宋体" w:hAnsi="宋体"/>
                <w:b/>
                <w:bCs/>
                <w:color w:val="auto"/>
                <w:szCs w:val="21"/>
                <w:highlight w:val="none"/>
                <w:lang w:eastAsia="zh-CN"/>
              </w:rPr>
            </w:pPr>
            <w:r>
              <w:rPr>
                <w:rFonts w:hint="eastAsia" w:ascii="宋体" w:hAnsi="宋体"/>
                <w:b/>
                <w:bCs/>
                <w:color w:val="auto"/>
                <w:szCs w:val="21"/>
                <w:highlight w:val="none"/>
              </w:rPr>
              <w:t xml:space="preserve">对供应商提供的卫生保洁方案进行综合评分</w:t>
            </w:r>
            <w:r>
              <w:rPr>
                <w:rFonts w:hint="eastAsia" w:ascii="宋体" w:hAnsi="宋体"/>
                <w:b/>
                <w:bCs/>
                <w:color w:val="auto"/>
                <w:szCs w:val="21"/>
                <w:highlight w:val="none"/>
                <w:lang w:eastAsia="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科学性高、方案具体、可操作性强得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科学性</w:t>
            </w:r>
            <w:r>
              <w:rPr>
                <w:rFonts w:hint="eastAsia" w:ascii="宋体" w:hAnsi="宋体"/>
                <w:color w:val="auto"/>
                <w:szCs w:val="21"/>
                <w:highlight w:val="none"/>
                <w:lang w:val="en-US" w:eastAsia="zh-CN"/>
              </w:rPr>
              <w:t xml:space="preserve">较高</w:t>
            </w:r>
            <w:r>
              <w:rPr>
                <w:rFonts w:hint="eastAsia" w:ascii="宋体" w:hAnsi="宋体"/>
                <w:color w:val="auto"/>
                <w:szCs w:val="21"/>
                <w:highlight w:val="none"/>
              </w:rPr>
              <w:t xml:space="preserve">、方案具体、</w:t>
            </w:r>
            <w:r>
              <w:rPr>
                <w:rFonts w:hint="eastAsia" w:ascii="宋体" w:hAnsi="宋体"/>
                <w:color w:val="auto"/>
                <w:szCs w:val="21"/>
                <w:highlight w:val="none"/>
                <w:lang w:val="en-US" w:eastAsia="zh-CN"/>
              </w:rPr>
              <w:t xml:space="preserve">有一定的</w:t>
            </w:r>
            <w:r>
              <w:rPr>
                <w:rFonts w:hint="eastAsia" w:ascii="宋体" w:hAnsi="宋体"/>
                <w:color w:val="auto"/>
                <w:szCs w:val="21"/>
                <w:highlight w:val="none"/>
              </w:rPr>
              <w:t xml:space="preserve">可操作性得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科学性差、方案可操作性差得1分；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没有提供不得分。</w:t>
            </w:r>
            <w:r/>
          </w:p>
        </w:tc>
        <w:tc>
          <w:tcPr>
            <w:tcW w:w="690" w:type="dxa"/>
            <w:vAlign w:val="center"/>
            <w:textDirection w:val="lrTb"/>
            <w:noWrap w:val="false"/>
          </w:tcPr>
          <w:p>
            <w:pPr>
              <w:jc w:val="center"/>
              <w:spacing w:line="360" w:lineRule="auto"/>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4</w:t>
            </w:r>
            <w:r/>
          </w:p>
        </w:tc>
      </w:tr>
      <w:tr>
        <w:trPr>
          <w:jc w:val="center"/>
        </w:trPr>
        <w:tc>
          <w:tcPr>
            <w:tcW w:w="792" w:type="dxa"/>
            <w:vAlign w:val="center"/>
            <w:textDirection w:val="lrTb"/>
            <w:noWrap w:val="false"/>
          </w:tcPr>
          <w:p>
            <w:pPr>
              <w:ind w:right="-24"/>
              <w:jc w:val="center"/>
              <w:spacing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4</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5</w:t>
            </w:r>
            <w:r/>
          </w:p>
        </w:tc>
        <w:tc>
          <w:tcPr>
            <w:tcW w:w="1113" w:type="dxa"/>
            <w:vAlign w:val="center"/>
            <w:vMerge w:val="continue"/>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rPr>
                <w:rFonts w:hint="eastAsia" w:ascii="宋体" w:hAnsi="宋体"/>
                <w:b/>
                <w:bCs/>
                <w:color w:val="auto"/>
                <w:szCs w:val="21"/>
                <w:highlight w:val="none"/>
                <w:lang w:eastAsia="zh-CN"/>
              </w:rPr>
            </w:pPr>
            <w:r>
              <w:rPr>
                <w:rFonts w:hint="eastAsia" w:ascii="宋体" w:hAnsi="宋体"/>
                <w:b/>
                <w:bCs/>
                <w:color w:val="auto"/>
                <w:szCs w:val="21"/>
                <w:highlight w:val="none"/>
              </w:rPr>
              <w:t xml:space="preserve">评委根据供应商提供的应急保障措施、安全保障措施、质量保障措施的科学性、合理性、可操作性进行综合评分</w:t>
            </w:r>
            <w:r>
              <w:rPr>
                <w:rFonts w:hint="eastAsia" w:ascii="宋体" w:hAnsi="宋体"/>
                <w:b/>
                <w:bCs/>
                <w:color w:val="auto"/>
                <w:szCs w:val="21"/>
                <w:highlight w:val="none"/>
                <w:lang w:eastAsia="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方案科学性</w:t>
            </w:r>
            <w:r>
              <w:rPr>
                <w:rFonts w:hint="eastAsia" w:ascii="宋体" w:hAnsi="宋体"/>
                <w:color w:val="auto"/>
                <w:szCs w:val="21"/>
                <w:highlight w:val="none"/>
                <w:lang w:val="en-US" w:eastAsia="zh-CN"/>
              </w:rPr>
              <w:t xml:space="preserve">很</w:t>
            </w:r>
            <w:r>
              <w:rPr>
                <w:rFonts w:hint="eastAsia" w:ascii="宋体" w:hAnsi="宋体"/>
                <w:color w:val="auto"/>
                <w:szCs w:val="21"/>
                <w:highlight w:val="none"/>
              </w:rPr>
              <w:t xml:space="preserve">高、合理性</w:t>
            </w:r>
            <w:r>
              <w:rPr>
                <w:rFonts w:hint="eastAsia" w:ascii="宋体" w:hAnsi="宋体"/>
                <w:color w:val="auto"/>
                <w:szCs w:val="21"/>
                <w:highlight w:val="none"/>
                <w:lang w:val="en-US" w:eastAsia="zh-CN"/>
              </w:rPr>
              <w:t xml:space="preserve">很</w:t>
            </w:r>
            <w:r>
              <w:rPr>
                <w:rFonts w:hint="eastAsia" w:ascii="宋体" w:hAnsi="宋体"/>
                <w:color w:val="auto"/>
                <w:szCs w:val="21"/>
                <w:highlight w:val="none"/>
              </w:rPr>
              <w:t xml:space="preserve">强、可操作性</w:t>
            </w:r>
            <w:r>
              <w:rPr>
                <w:rFonts w:hint="eastAsia" w:ascii="宋体" w:hAnsi="宋体"/>
                <w:color w:val="auto"/>
                <w:szCs w:val="21"/>
                <w:highlight w:val="none"/>
                <w:lang w:val="en-US" w:eastAsia="zh-CN"/>
              </w:rPr>
              <w:t xml:space="preserve">很</w:t>
            </w:r>
            <w:r>
              <w:rPr>
                <w:rFonts w:hint="eastAsia" w:ascii="宋体" w:hAnsi="宋体"/>
                <w:color w:val="auto"/>
                <w:szCs w:val="21"/>
                <w:highlight w:val="none"/>
              </w:rPr>
              <w:t xml:space="preserve">强得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方案科学性较高、</w:t>
            </w:r>
            <w:r>
              <w:rPr>
                <w:rFonts w:hint="eastAsia" w:ascii="宋体" w:hAnsi="宋体"/>
                <w:color w:val="auto"/>
                <w:szCs w:val="21"/>
                <w:highlight w:val="none"/>
                <w:lang w:val="en-US" w:eastAsia="zh-CN"/>
              </w:rPr>
              <w:t xml:space="preserve">较</w:t>
            </w:r>
            <w:r>
              <w:rPr>
                <w:rFonts w:hint="eastAsia" w:ascii="宋体" w:hAnsi="宋体"/>
                <w:color w:val="auto"/>
                <w:szCs w:val="21"/>
                <w:highlight w:val="none"/>
              </w:rPr>
              <w:t xml:space="preserve">合理、</w:t>
            </w:r>
            <w:r>
              <w:rPr>
                <w:rFonts w:hint="eastAsia" w:ascii="宋体" w:hAnsi="宋体"/>
                <w:color w:val="auto"/>
                <w:szCs w:val="21"/>
                <w:highlight w:val="none"/>
                <w:lang w:val="en-US" w:eastAsia="zh-CN"/>
              </w:rPr>
              <w:t xml:space="preserve">有一定的</w:t>
            </w:r>
            <w:r>
              <w:rPr>
                <w:rFonts w:hint="eastAsia" w:ascii="宋体" w:hAnsi="宋体"/>
                <w:color w:val="auto"/>
                <w:szCs w:val="21"/>
                <w:highlight w:val="none"/>
              </w:rPr>
              <w:t xml:space="preserve">可操性得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科学、</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合理性、</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可操作得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方案科学性差、合理性差、可操作性差得1分；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没有提供不得分。</w:t>
            </w:r>
            <w:r/>
          </w:p>
        </w:tc>
        <w:tc>
          <w:tcPr>
            <w:tcW w:w="690" w:type="dxa"/>
            <w:vAlign w:val="center"/>
            <w:textDirection w:val="lrTb"/>
            <w:noWrap w:val="false"/>
          </w:tcPr>
          <w:p>
            <w:pPr>
              <w:jc w:val="cente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10</w:t>
            </w:r>
            <w:r/>
          </w:p>
        </w:tc>
      </w:tr>
      <w:tr>
        <w:trPr>
          <w:jc w:val="center"/>
        </w:trPr>
        <w:tc>
          <w:tcPr>
            <w:tcW w:w="792" w:type="dxa"/>
            <w:vAlign w:val="center"/>
            <w:textDirection w:val="lrTb"/>
            <w:noWrap w:val="false"/>
          </w:tcPr>
          <w:p>
            <w:pPr>
              <w:ind w:right="-24"/>
              <w:jc w:val="center"/>
              <w:spacing w:line="360" w:lineRule="auto"/>
              <w:widowControl/>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4</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6</w:t>
            </w:r>
            <w:r/>
          </w:p>
        </w:tc>
        <w:tc>
          <w:tcPr>
            <w:tcW w:w="1113" w:type="dxa"/>
            <w:vAlign w:val="center"/>
            <w:vMerge w:val="continue"/>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rPr>
                <w:rFonts w:hint="eastAsia" w:ascii="宋体" w:hAnsi="宋体"/>
                <w:b/>
                <w:bCs/>
                <w:color w:val="auto"/>
                <w:szCs w:val="21"/>
                <w:highlight w:val="none"/>
                <w:lang w:eastAsia="zh-CN"/>
              </w:rPr>
            </w:pPr>
            <w:r>
              <w:rPr>
                <w:rFonts w:hint="eastAsia" w:ascii="宋体" w:hAnsi="宋体"/>
                <w:b/>
                <w:bCs/>
                <w:color w:val="auto"/>
                <w:szCs w:val="21"/>
                <w:highlight w:val="none"/>
              </w:rPr>
              <w:t xml:space="preserve">评委根据供应商在方案中有计划引进新品种、新技术和新的配植方式对现有设施进行改造的，且计划合理可行进行综合评分</w:t>
            </w:r>
            <w:r>
              <w:rPr>
                <w:rFonts w:hint="eastAsia" w:ascii="宋体" w:hAnsi="宋体"/>
                <w:b/>
                <w:bCs/>
                <w:color w:val="auto"/>
                <w:szCs w:val="21"/>
                <w:highlight w:val="none"/>
                <w:lang w:eastAsia="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w:t>
            </w:r>
            <w:r>
              <w:rPr>
                <w:rFonts w:hint="eastAsia" w:ascii="宋体" w:hAnsi="宋体"/>
                <w:color w:val="auto"/>
                <w:szCs w:val="21"/>
                <w:highlight w:val="none"/>
                <w:lang w:val="en-US" w:eastAsia="zh-CN"/>
              </w:rPr>
              <w:t xml:space="preserve">非常</w:t>
            </w:r>
            <w:r>
              <w:rPr>
                <w:rFonts w:hint="eastAsia" w:ascii="宋体" w:hAnsi="宋体"/>
                <w:color w:val="auto"/>
                <w:szCs w:val="21"/>
                <w:highlight w:val="none"/>
              </w:rPr>
              <w:t xml:space="preserve">全面，计划</w:t>
            </w:r>
            <w:r>
              <w:rPr>
                <w:rFonts w:hint="eastAsia" w:ascii="宋体" w:hAnsi="宋体"/>
                <w:color w:val="auto"/>
                <w:szCs w:val="21"/>
                <w:highlight w:val="none"/>
                <w:lang w:val="en-US" w:eastAsia="zh-CN"/>
              </w:rPr>
              <w:t xml:space="preserve">非常</w:t>
            </w:r>
            <w:r>
              <w:rPr>
                <w:rFonts w:hint="eastAsia" w:ascii="宋体" w:hAnsi="宋体"/>
                <w:color w:val="auto"/>
                <w:szCs w:val="21"/>
                <w:highlight w:val="none"/>
              </w:rPr>
              <w:t xml:space="preserve">合理可行得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方案全面，计划合理可行得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全面，计划</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合理可行得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w:t>
            </w:r>
            <w:r>
              <w:rPr>
                <w:rFonts w:hint="eastAsia" w:ascii="宋体" w:hAnsi="宋体"/>
                <w:color w:val="auto"/>
                <w:szCs w:val="21"/>
                <w:highlight w:val="none"/>
                <w:lang w:val="en-US" w:eastAsia="zh-CN"/>
              </w:rPr>
              <w:t xml:space="preserve">不够全面</w:t>
            </w:r>
            <w:r>
              <w:rPr>
                <w:rFonts w:hint="eastAsia" w:ascii="宋体" w:hAnsi="宋体"/>
                <w:color w:val="auto"/>
                <w:szCs w:val="21"/>
                <w:highlight w:val="none"/>
              </w:rPr>
              <w:t xml:space="preserve">，计划</w:t>
            </w:r>
            <w:r>
              <w:rPr>
                <w:rFonts w:hint="eastAsia" w:ascii="宋体" w:hAnsi="宋体"/>
                <w:color w:val="auto"/>
                <w:szCs w:val="21"/>
                <w:highlight w:val="none"/>
                <w:lang w:val="en-US" w:eastAsia="zh-CN"/>
              </w:rPr>
              <w:t xml:space="preserve">较</w:t>
            </w:r>
            <w:r>
              <w:rPr>
                <w:rFonts w:hint="eastAsia" w:ascii="宋体" w:hAnsi="宋体"/>
                <w:color w:val="auto"/>
                <w:szCs w:val="21"/>
                <w:highlight w:val="none"/>
              </w:rPr>
              <w:t xml:space="preserve">差得1分；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没有提供不得分。</w:t>
            </w:r>
            <w:r/>
          </w:p>
        </w:tc>
        <w:tc>
          <w:tcPr>
            <w:tcW w:w="690" w:type="dxa"/>
            <w:vAlign w:val="center"/>
            <w:textDirection w:val="lrTb"/>
            <w:noWrap w:val="false"/>
          </w:tcPr>
          <w:p>
            <w:pPr>
              <w:jc w:val="cente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10</w:t>
            </w:r>
            <w:r/>
          </w:p>
        </w:tc>
      </w:tr>
      <w:tr>
        <w:trPr>
          <w:jc w:val="center"/>
        </w:trPr>
        <w:tc>
          <w:tcPr>
            <w:tcW w:w="792" w:type="dxa"/>
            <w:vAlign w:val="center"/>
            <w:textDirection w:val="lrTb"/>
            <w:noWrap w:val="false"/>
          </w:tcPr>
          <w:p>
            <w:pPr>
              <w:ind w:right="-24"/>
              <w:jc w:val="center"/>
              <w:spacing w:line="360" w:lineRule="auto"/>
              <w:widowControl/>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7</w:t>
            </w:r>
            <w:r/>
          </w:p>
        </w:tc>
        <w:tc>
          <w:tcPr>
            <w:tcW w:w="1113" w:type="dxa"/>
            <w:vAlign w:val="center"/>
            <w:vMerge w:val="continue"/>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6893" w:type="dxa"/>
            <w:vAlign w:val="center"/>
            <w:textDirection w:val="lrTb"/>
            <w:noWrap w:val="false"/>
          </w:tcPr>
          <w:p>
            <w:pPr>
              <w:spacing w:line="360" w:lineRule="auto"/>
              <w:widowControl/>
              <w:rPr>
                <w:rFonts w:hint="eastAsia" w:ascii="宋体" w:hAnsi="宋体"/>
                <w:b/>
                <w:bCs/>
                <w:color w:val="auto"/>
                <w:szCs w:val="21"/>
                <w:highlight w:val="none"/>
                <w:lang w:eastAsia="zh-CN"/>
              </w:rPr>
            </w:pPr>
            <w:r>
              <w:rPr>
                <w:rFonts w:hint="eastAsia" w:ascii="宋体" w:hAnsi="宋体"/>
                <w:b/>
                <w:bCs/>
                <w:color w:val="auto"/>
                <w:szCs w:val="21"/>
                <w:highlight w:val="none"/>
              </w:rPr>
              <w:t xml:space="preserve">评委根据供应商提供的养护服务费测算情况进行评价，即所列植物更换、零星补植、修剪、浇水、施肥、病虫害防治、矮壮素喷施、卫生保洁、日常巡查等各项管理服务项目费用分列是否完整详细合理，测算分摊是否合理合规进行综合评分</w:t>
            </w:r>
            <w:r>
              <w:rPr>
                <w:rFonts w:hint="eastAsia" w:ascii="宋体" w:hAnsi="宋体"/>
                <w:b/>
                <w:bCs/>
                <w:color w:val="auto"/>
                <w:szCs w:val="21"/>
                <w:highlight w:val="none"/>
                <w:lang w:eastAsia="zh-CN"/>
              </w:rPr>
              <w:t xml:space="preserve">：</w:t>
            </w:r>
            <w:r/>
          </w:p>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费用分列</w:t>
            </w:r>
            <w:r>
              <w:rPr>
                <w:rFonts w:hint="eastAsia" w:ascii="宋体" w:hAnsi="宋体"/>
                <w:color w:val="auto"/>
                <w:szCs w:val="21"/>
                <w:highlight w:val="none"/>
                <w:lang w:val="en-US" w:eastAsia="zh-CN"/>
              </w:rPr>
              <w:t xml:space="preserve">非常</w:t>
            </w:r>
            <w:r>
              <w:rPr>
                <w:rFonts w:hint="eastAsia" w:ascii="宋体" w:hAnsi="宋体"/>
                <w:color w:val="auto"/>
                <w:szCs w:val="21"/>
                <w:highlight w:val="none"/>
              </w:rPr>
              <w:t xml:space="preserve">完整详细合理，测算分摊</w:t>
            </w:r>
            <w:r>
              <w:rPr>
                <w:rFonts w:hint="eastAsia" w:ascii="宋体" w:hAnsi="宋体"/>
                <w:color w:val="auto"/>
                <w:szCs w:val="21"/>
                <w:highlight w:val="none"/>
                <w:lang w:val="en-US" w:eastAsia="zh-CN"/>
              </w:rPr>
              <w:t xml:space="preserve">非常</w:t>
            </w:r>
            <w:r>
              <w:rPr>
                <w:rFonts w:hint="eastAsia" w:ascii="宋体" w:hAnsi="宋体"/>
                <w:color w:val="auto"/>
                <w:szCs w:val="21"/>
                <w:highlight w:val="none"/>
              </w:rPr>
              <w:t xml:space="preserve">合理合规得5分；</w:t>
            </w:r>
            <w:r/>
          </w:p>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费用分列完整详细合理，测算分摊合理合规得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费用分列</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完整详细合理，测算分摊</w:t>
            </w:r>
            <w:r>
              <w:rPr>
                <w:rFonts w:hint="eastAsia" w:ascii="宋体" w:hAnsi="宋体"/>
                <w:color w:val="auto"/>
                <w:szCs w:val="21"/>
                <w:highlight w:val="none"/>
                <w:lang w:val="en-US" w:eastAsia="zh-CN"/>
              </w:rPr>
              <w:t xml:space="preserve">基本</w:t>
            </w:r>
            <w:r>
              <w:rPr>
                <w:rFonts w:hint="eastAsia" w:ascii="宋体" w:hAnsi="宋体"/>
                <w:color w:val="auto"/>
                <w:szCs w:val="21"/>
                <w:highlight w:val="none"/>
              </w:rPr>
              <w:t xml:space="preserve">合理</w:t>
            </w:r>
            <w:r>
              <w:rPr>
                <w:rFonts w:hint="eastAsia" w:ascii="宋体" w:hAnsi="宋体"/>
                <w:color w:val="auto"/>
                <w:szCs w:val="21"/>
                <w:highlight w:val="none"/>
                <w:lang w:val="en-US" w:eastAsia="zh-CN"/>
              </w:rPr>
              <w:t xml:space="preserve">合规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费用分列</w:t>
            </w:r>
            <w:r>
              <w:rPr>
                <w:rFonts w:hint="eastAsia" w:ascii="宋体" w:hAnsi="宋体"/>
                <w:color w:val="auto"/>
                <w:szCs w:val="21"/>
                <w:highlight w:val="none"/>
                <w:lang w:val="en-US" w:eastAsia="zh-CN"/>
              </w:rPr>
              <w:t xml:space="preserve">不够</w:t>
            </w:r>
            <w:r>
              <w:rPr>
                <w:rFonts w:hint="eastAsia" w:ascii="宋体" w:hAnsi="宋体"/>
                <w:color w:val="auto"/>
                <w:szCs w:val="21"/>
                <w:highlight w:val="none"/>
              </w:rPr>
              <w:t xml:space="preserve">完整，测算分摊</w:t>
            </w:r>
            <w:r>
              <w:rPr>
                <w:rFonts w:hint="eastAsia" w:ascii="宋体" w:hAnsi="宋体"/>
                <w:color w:val="auto"/>
                <w:szCs w:val="21"/>
                <w:highlight w:val="none"/>
                <w:lang w:val="en-US" w:eastAsia="zh-CN"/>
              </w:rPr>
              <w:t xml:space="preserve">不够</w:t>
            </w:r>
            <w:r>
              <w:rPr>
                <w:rFonts w:hint="eastAsia" w:ascii="宋体" w:hAnsi="宋体"/>
                <w:color w:val="auto"/>
                <w:szCs w:val="21"/>
                <w:highlight w:val="none"/>
              </w:rPr>
              <w:t xml:space="preserve">合理得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没有提供不得分。</w:t>
            </w:r>
            <w:r/>
          </w:p>
        </w:tc>
        <w:tc>
          <w:tcPr>
            <w:tcW w:w="690" w:type="dxa"/>
            <w:vAlign w:val="center"/>
            <w:textDirection w:val="lrTb"/>
            <w:noWrap w:val="false"/>
          </w:tcPr>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w:t>
            </w:r>
            <w:r/>
          </w:p>
        </w:tc>
      </w:tr>
      <w:tr>
        <w:trPr>
          <w:jc w:val="center"/>
        </w:trPr>
        <w:tc>
          <w:tcPr>
            <w:tcW w:w="792" w:type="dxa"/>
            <w:vAlign w:val="center"/>
            <w:textDirection w:val="lrTb"/>
            <w:noWrap w:val="false"/>
          </w:tcPr>
          <w:p>
            <w:pPr>
              <w:ind w:right="-24"/>
              <w:jc w:val="center"/>
              <w:spacing w:line="360" w:lineRule="auto"/>
              <w:widowControl/>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5</w:t>
            </w:r>
            <w:r/>
          </w:p>
        </w:tc>
        <w:tc>
          <w:tcPr>
            <w:tcW w:w="1113" w:type="dxa"/>
            <w:vAlign w:val="center"/>
            <w:textDirection w:val="lrTb"/>
            <w:noWrap w:val="false"/>
          </w:tcPr>
          <w:p>
            <w:pPr>
              <w:jc w:val="center"/>
              <w:spacing w:line="360" w:lineRule="auto"/>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合计</w:t>
            </w:r>
            <w:r/>
          </w:p>
        </w:tc>
        <w:tc>
          <w:tcPr>
            <w:tcW w:w="6893" w:type="dxa"/>
            <w:vAlign w:val="center"/>
            <w:textDirection w:val="lrTb"/>
            <w:noWrap w:val="false"/>
          </w:tcPr>
          <w:p>
            <w:pP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W w:w="690" w:type="dxa"/>
            <w:vAlign w:val="center"/>
            <w:textDirection w:val="lrTb"/>
            <w:noWrap w:val="false"/>
          </w:tcPr>
          <w:p>
            <w:pPr>
              <w:jc w:val="cente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100</w:t>
            </w:r>
            <w:r/>
          </w:p>
        </w:tc>
      </w:tr>
    </w:tbl>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Cs/>
          <w:szCs w:val="21"/>
        </w:rPr>
      </w:pPr>
      <w:r>
        <w:rPr>
          <w:rFonts w:hint="eastAsia" w:ascii="宋体" w:hAnsi="宋体" w:cs="宋体"/>
          <w:bCs/>
          <w:szCs w:val="21"/>
        </w:rPr>
        <w:t xml:space="preserve">说明：</w:t>
      </w:r>
      <w:r/>
    </w:p>
    <w:p>
      <w:pPr>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spacing w:line="360" w:lineRule="auto"/>
        <w:rPr>
          <w:rFonts w:hint="eastAsia" w:ascii="宋体" w:hAnsi="宋体" w:cs="宋体"/>
          <w:bCs/>
          <w:szCs w:val="21"/>
        </w:rPr>
      </w:pPr>
      <w:r>
        <w:rPr>
          <w:rFonts w:hint="eastAsia" w:ascii="宋体" w:hAnsi="宋体" w:cs="宋体"/>
          <w:bCs/>
          <w:szCs w:val="21"/>
        </w:rPr>
        <w:t xml:space="preserve">2.小微企业价格扣除</w:t>
      </w:r>
      <w:r/>
    </w:p>
    <w:p>
      <w:pPr>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rPr>
      </w:pPr>
      <w:r>
        <w:rPr>
          <w:rFonts w:hint="eastAsia" w:ascii="宋体" w:hAnsi="宋体" w:cs="宋体"/>
          <w:bCs/>
          <w:szCs w:val="21"/>
        </w:rPr>
        <w:t xml:space="preserve">3.监狱和戒毒企业的价格扣除</w:t>
      </w:r>
      <w:r/>
    </w:p>
    <w:p>
      <w:pPr>
        <w:spacing w:line="360" w:lineRule="auto"/>
        <w:rPr>
          <w:rFonts w:hint="eastAsia"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p>
    <w:p>
      <w:pPr>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p>
    <w:p>
      <w:pPr>
        <w:spacing w:line="360" w:lineRule="auto"/>
        <w:rPr>
          <w:rFonts w:hint="eastAsia"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4.2 残疾人福利性单位需提供《残疾人福利性单位声明函》。</w:t>
      </w:r>
      <w:r/>
    </w:p>
    <w:p>
      <w:pPr>
        <w:spacing w:line="360" w:lineRule="auto"/>
        <w:rPr>
          <w:rFonts w:hint="eastAsia"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p>
    <w:p>
      <w:pPr>
        <w:spacing w:line="360" w:lineRule="auto"/>
        <w:rPr>
          <w:rFonts w:hint="eastAsia"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6.本国产品的价格扣除</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s="宋体"/>
          <w:b/>
          <w:bCs/>
          <w:szCs w:val="21"/>
        </w:rPr>
      </w:pPr>
      <w:r>
        <w:rPr>
          <w:rFonts w:hint="eastAsia" w:ascii="宋体" w:hAnsi="宋体" w:cs="宋体"/>
          <w:szCs w:val="21"/>
        </w:rPr>
        <w:br w:type="page" w:clear="all"/>
      </w:r>
      <w:r/>
    </w:p>
    <w:p>
      <w:pPr>
        <w:pStyle w:val="750"/>
        <w:numPr>
          <w:ilvl w:val="0"/>
          <w:numId w:val="0"/>
        </w:numPr>
        <w:spacing w:line="360" w:lineRule="auto"/>
        <w:rPr>
          <w:rFonts w:hint="eastAsia" w:ascii="宋体" w:hAnsi="宋体" w:cs="宋体"/>
        </w:rPr>
      </w:pPr>
      <w:r/>
      <w:bookmarkStart w:id="12" w:name="_Toc21966"/>
      <w:r/>
      <w:bookmarkStart w:id="13" w:name="_Toc31739"/>
      <w:r/>
      <w:bookmarkStart w:id="14" w:name="_Toc481057147"/>
      <w:r/>
      <w:bookmarkStart w:id="15" w:name="_Hlk96071152"/>
      <w:r>
        <w:rPr>
          <w:rFonts w:hint="eastAsia" w:ascii="宋体" w:hAnsi="宋体" w:cs="宋体"/>
        </w:rPr>
        <w:t xml:space="preserve">第四章 采购需求</w:t>
      </w:r>
      <w:bookmarkEnd w:id="12"/>
      <w:r/>
      <w:bookmarkEnd w:id="13"/>
      <w:r/>
      <w:bookmarkEnd w:id="14"/>
      <w:bookmarkEnd w:id="15"/>
      <w:r/>
    </w:p>
    <w:p>
      <w:pPr>
        <w:numPr>
          <w:ilvl w:val="0"/>
          <w:numId w:val="6"/>
        </w:numPr>
        <w:ind w:firstLine="211"/>
        <w:jc w:val="left"/>
        <w:spacing w:line="360" w:lineRule="auto"/>
        <w:rPr>
          <w:rFonts w:hint="eastAsia" w:ascii="宋体" w:hAnsi="宋体"/>
          <w:b/>
          <w:color w:val="auto"/>
          <w:szCs w:val="21"/>
          <w:highlight w:val="none"/>
        </w:rPr>
      </w:pPr>
      <w:r/>
      <w:bookmarkStart w:id="16" w:name="_Toc28129"/>
      <w:r>
        <w:rPr>
          <w:rFonts w:hint="eastAsia" w:ascii="宋体" w:hAnsi="宋体"/>
          <w:b/>
          <w:color w:val="auto"/>
          <w:szCs w:val="21"/>
          <w:highlight w:val="none"/>
        </w:rPr>
        <w:t xml:space="preserve">项目名称：</w:t>
      </w:r>
      <w:r/>
    </w:p>
    <w:p>
      <w:pPr>
        <w:numPr>
          <w:ilvl w:val="0"/>
          <w:numId w:val="0"/>
        </w:num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2026、2027年南京市建邺区绿雕、花境等养护服务项目</w:t>
      </w:r>
      <w:r/>
    </w:p>
    <w:p>
      <w:pPr>
        <w:pStyle w:val="935"/>
        <w:ind w:firstLine="211"/>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t xml:space="preserve">二、项目情况</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本次拟对南京市</w:t>
      </w:r>
      <w:r>
        <w:rPr>
          <w:rFonts w:hint="eastAsia"/>
          <w:b w:val="0"/>
          <w:bCs w:val="0"/>
          <w:color w:val="auto"/>
          <w:sz w:val="21"/>
          <w:szCs w:val="21"/>
          <w:highlight w:val="none"/>
          <w:lang w:val="en-US" w:eastAsia="zh-CN"/>
        </w:rPr>
        <w:t xml:space="preserve">建邺区范围内</w:t>
      </w:r>
      <w:r>
        <w:rPr>
          <w:rFonts w:hint="eastAsia"/>
          <w:b w:val="0"/>
          <w:bCs w:val="0"/>
          <w:color w:val="auto"/>
          <w:sz w:val="21"/>
          <w:szCs w:val="21"/>
          <w:highlight w:val="none"/>
        </w:rPr>
        <w:t xml:space="preserve">已建成</w:t>
      </w:r>
      <w:r>
        <w:rPr>
          <w:rFonts w:hint="eastAsia"/>
          <w:b w:val="0"/>
          <w:bCs w:val="0"/>
          <w:color w:val="auto"/>
          <w:sz w:val="21"/>
          <w:szCs w:val="21"/>
          <w:highlight w:val="none"/>
          <w:lang w:val="en-US" w:eastAsia="zh-CN"/>
        </w:rPr>
        <w:t xml:space="preserve">8</w:t>
      </w:r>
      <w:r>
        <w:rPr>
          <w:rFonts w:hint="eastAsia"/>
          <w:b w:val="0"/>
          <w:bCs w:val="0"/>
          <w:color w:val="auto"/>
          <w:sz w:val="21"/>
          <w:szCs w:val="21"/>
          <w:highlight w:val="none"/>
        </w:rPr>
        <w:t xml:space="preserve">处绿雕、</w:t>
      </w:r>
      <w:r>
        <w:rPr>
          <w:rFonts w:hint="eastAsia"/>
          <w:b w:val="0"/>
          <w:bCs w:val="0"/>
          <w:color w:val="auto"/>
          <w:sz w:val="21"/>
          <w:szCs w:val="21"/>
          <w:highlight w:val="none"/>
          <w:lang w:val="en-US" w:eastAsia="zh-CN"/>
        </w:rPr>
        <w:t xml:space="preserve">5682</w:t>
      </w:r>
      <w:r>
        <w:rPr>
          <w:rFonts w:hint="eastAsia"/>
          <w:b w:val="0"/>
          <w:bCs w:val="0"/>
          <w:color w:val="auto"/>
          <w:sz w:val="21"/>
          <w:szCs w:val="21"/>
          <w:highlight w:val="none"/>
        </w:rPr>
        <w:t xml:space="preserve">平方米花境、</w:t>
      </w:r>
      <w:r>
        <w:rPr>
          <w:rFonts w:hint="eastAsia"/>
          <w:b w:val="0"/>
          <w:bCs w:val="0"/>
          <w:color w:val="auto"/>
          <w:sz w:val="21"/>
          <w:szCs w:val="21"/>
          <w:highlight w:val="none"/>
          <w:lang w:val="en-US" w:eastAsia="zh-CN"/>
        </w:rPr>
        <w:t xml:space="preserve">996</w:t>
      </w:r>
      <w:r>
        <w:rPr>
          <w:rFonts w:hint="eastAsia"/>
          <w:b w:val="0"/>
          <w:bCs w:val="0"/>
          <w:color w:val="auto"/>
          <w:sz w:val="21"/>
          <w:szCs w:val="21"/>
          <w:highlight w:val="none"/>
        </w:rPr>
        <w:t xml:space="preserve">平方米容器花箱、</w:t>
      </w:r>
      <w:r>
        <w:rPr>
          <w:rFonts w:hint="eastAsia"/>
          <w:b w:val="0"/>
          <w:bCs w:val="0"/>
          <w:color w:val="auto"/>
          <w:sz w:val="21"/>
          <w:szCs w:val="21"/>
          <w:highlight w:val="none"/>
          <w:lang w:val="en-US" w:eastAsia="zh-CN"/>
        </w:rPr>
        <w:t xml:space="preserve">4</w:t>
      </w:r>
      <w:r>
        <w:rPr>
          <w:rFonts w:hint="eastAsia"/>
          <w:b w:val="0"/>
          <w:bCs w:val="0"/>
          <w:color w:val="auto"/>
          <w:sz w:val="21"/>
          <w:szCs w:val="21"/>
          <w:highlight w:val="none"/>
        </w:rPr>
        <w:t xml:space="preserve">处立体绿化、</w:t>
      </w:r>
      <w:r>
        <w:rPr>
          <w:rFonts w:hint="eastAsia"/>
          <w:b w:val="0"/>
          <w:bCs w:val="0"/>
          <w:color w:val="auto"/>
          <w:sz w:val="21"/>
          <w:szCs w:val="21"/>
          <w:highlight w:val="none"/>
          <w:lang w:val="en-US" w:eastAsia="zh-CN"/>
        </w:rPr>
        <w:t xml:space="preserve">2732.5</w:t>
      </w:r>
      <w:r>
        <w:rPr>
          <w:rFonts w:hint="eastAsia"/>
          <w:b w:val="0"/>
          <w:bCs w:val="0"/>
          <w:color w:val="auto"/>
          <w:sz w:val="21"/>
          <w:szCs w:val="21"/>
          <w:highlight w:val="none"/>
        </w:rPr>
        <w:t xml:space="preserve">米花墙</w:t>
      </w:r>
      <w:r>
        <w:rPr>
          <w:rFonts w:hint="eastAsia"/>
          <w:b w:val="0"/>
          <w:bCs w:val="0"/>
          <w:color w:val="auto"/>
          <w:sz w:val="21"/>
          <w:szCs w:val="21"/>
          <w:highlight w:val="none"/>
          <w:lang w:val="en-US" w:eastAsia="zh-CN"/>
        </w:rPr>
        <w:t xml:space="preserve">的</w:t>
      </w:r>
      <w:r>
        <w:rPr>
          <w:rFonts w:hint="eastAsia"/>
          <w:b w:val="0"/>
          <w:bCs w:val="0"/>
          <w:color w:val="auto"/>
          <w:sz w:val="21"/>
          <w:szCs w:val="21"/>
          <w:highlight w:val="none"/>
        </w:rPr>
        <w:t xml:space="preserve">设施养护服务进行国内公开招标，内容详见下表清单。</w:t>
      </w:r>
      <w:r/>
    </w:p>
    <w:p>
      <w:pPr>
        <w:pStyle w:val="935"/>
        <w:ind w:firstLine="422"/>
        <w:spacing w:before="0" w:beforeAutospacing="0" w:after="0" w:afterAutospacing="0" w:line="360" w:lineRule="auto"/>
        <w:rPr>
          <w:rFonts w:hint="eastAsia"/>
          <w:b w:val="0"/>
          <w:bCs w:val="0"/>
          <w:color w:val="auto"/>
          <w:sz w:val="21"/>
          <w:szCs w:val="21"/>
          <w:highlight w:val="none"/>
          <w:lang w:val="en-US" w:eastAsia="zh-CN"/>
        </w:rPr>
      </w:pPr>
      <w:r>
        <w:rPr>
          <w:rFonts w:hint="eastAsia" w:ascii="Times New Roman" w:hAnsi="Times New Roman" w:eastAsia="宋体" w:cs="Times New Roman"/>
          <w:b/>
          <w:bCs/>
          <w:color w:val="auto"/>
          <w:sz w:val="21"/>
          <w:szCs w:val="21"/>
          <w:highlight w:val="none"/>
        </w:rPr>
        <w:t xml:space="preserve">服务期限</w:t>
      </w:r>
      <w:r>
        <w:rPr>
          <w:rFonts w:hint="eastAsia" w:ascii="Times New Roman" w:hAnsi="Times New Roman" w:eastAsia="宋体" w:cs="Times New Roman"/>
          <w:b/>
          <w:bCs/>
          <w:color w:val="auto"/>
          <w:sz w:val="21"/>
          <w:szCs w:val="21"/>
          <w:highlight w:val="none"/>
          <w:lang w:eastAsia="zh-CN"/>
        </w:rPr>
        <w:t xml:space="preserve">：</w:t>
      </w:r>
      <w:r>
        <w:rPr>
          <w:rFonts w:hint="eastAsia"/>
          <w:b w:val="0"/>
          <w:bCs w:val="0"/>
          <w:color w:val="auto"/>
          <w:sz w:val="21"/>
          <w:szCs w:val="21"/>
          <w:highlight w:val="none"/>
          <w:lang w:val="en-US" w:eastAsia="zh-CN"/>
        </w:rPr>
        <w:t xml:space="preserve">服务期两年，2026年4月至2028年4月（具体时间以合同约定为准），合同一年一签。服务期内设施量如有增减，以实际发生数量调整合同价款。</w:t>
      </w:r>
      <w:r/>
    </w:p>
    <w:p>
      <w:pPr>
        <w:pStyle w:val="935"/>
        <w:ind w:firstLine="211"/>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t xml:space="preserve">三、服务内容</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（一）完成本项目内绿雕、花境、容器花箱、立体绿化、花墙植物花卉栽植更换、设施维护等日常养护管理作业。</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二）建立与完善工作台账，对采购文件所列明的设施每天巡查，每月按照采购人要求提供工作台帐（含更换、补植、巡查、日常养护等工作量）及下月养护计划备查；对破坏绿雕及容器设施、影响绿化景观、环境卫生等行为予以制止，并及时上报和整改到位。对于采购人及第三方考核单位巡查下发的问题整改菜单，及时整改。</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（三）完成项目范围内突发性和重大性保障工作任务，如文明城市检查、重大活动环境保障等任务；防台防汛及防雪防冻期间，要求养护单位24小时保障。</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（四）完成项目范围内的应急抢险及消险工作。在消险过程中严格确保安全作业；对突发性事件的应急预案做到定期和不定期演练，以便应对突发性事件。</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（五）完成项目范围内各类信访、投诉、举报的处理和整改。</w:t>
      </w:r>
      <w:r/>
    </w:p>
    <w:p>
      <w:pPr>
        <w:pStyle w:val="935"/>
        <w:ind w:firstLine="210"/>
        <w:spacing w:before="0" w:beforeAutospacing="0" w:after="0" w:afterAutospacing="0" w:line="360" w:lineRule="auto"/>
        <w:rPr>
          <w:rFonts w:hint="default" w:eastAsia="宋体"/>
          <w:b w:val="0"/>
          <w:bCs w:val="0"/>
          <w:color w:val="auto"/>
          <w:sz w:val="21"/>
          <w:szCs w:val="21"/>
          <w:highlight w:val="none"/>
          <w:lang w:val="en-US" w:eastAsia="zh-CN"/>
        </w:rPr>
      </w:pPr>
      <w:r>
        <w:rPr>
          <w:rFonts w:hint="eastAsia"/>
          <w:b w:val="0"/>
          <w:bCs w:val="0"/>
          <w:color w:val="auto"/>
          <w:sz w:val="21"/>
          <w:szCs w:val="21"/>
          <w:highlight w:val="none"/>
          <w:lang w:eastAsia="zh-CN"/>
        </w:rPr>
        <w:t xml:space="preserve">（</w:t>
      </w:r>
      <w:r>
        <w:rPr>
          <w:rFonts w:hint="eastAsia"/>
          <w:b w:val="0"/>
          <w:bCs w:val="0"/>
          <w:color w:val="auto"/>
          <w:sz w:val="21"/>
          <w:szCs w:val="21"/>
          <w:highlight w:val="none"/>
          <w:lang w:val="en-US" w:eastAsia="zh-CN"/>
        </w:rPr>
        <w:t xml:space="preserve">六</w:t>
      </w:r>
      <w:r>
        <w:rPr>
          <w:rFonts w:hint="eastAsia"/>
          <w:b w:val="0"/>
          <w:bCs w:val="0"/>
          <w:color w:val="auto"/>
          <w:sz w:val="21"/>
          <w:szCs w:val="21"/>
          <w:highlight w:val="none"/>
          <w:lang w:eastAsia="zh-CN"/>
        </w:rPr>
        <w:t xml:space="preserve">）</w:t>
      </w:r>
      <w:r>
        <w:rPr>
          <w:rFonts w:hint="eastAsia"/>
          <w:b w:val="0"/>
          <w:bCs w:val="0"/>
          <w:color w:val="auto"/>
          <w:sz w:val="21"/>
          <w:szCs w:val="21"/>
          <w:highlight w:val="none"/>
          <w:lang w:val="en-US" w:eastAsia="zh-CN"/>
        </w:rPr>
        <w:t xml:space="preserve">供应商中标后成立项目组，合同期内拟派工作人员配合采购人完成相关工作。</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w:t>
      </w:r>
      <w:r>
        <w:rPr>
          <w:rFonts w:hint="eastAsia"/>
          <w:b w:val="0"/>
          <w:bCs w:val="0"/>
          <w:color w:val="auto"/>
          <w:sz w:val="21"/>
          <w:szCs w:val="21"/>
          <w:highlight w:val="none"/>
          <w:lang w:val="en-US" w:eastAsia="zh-CN"/>
        </w:rPr>
        <w:t xml:space="preserve">七</w:t>
      </w:r>
      <w:r>
        <w:rPr>
          <w:rFonts w:hint="eastAsia"/>
          <w:b w:val="0"/>
          <w:bCs w:val="0"/>
          <w:color w:val="auto"/>
          <w:sz w:val="21"/>
          <w:szCs w:val="21"/>
          <w:highlight w:val="none"/>
        </w:rPr>
        <w:t xml:space="preserve">）完成采购人布置的其他临时性工作和指令性任务。</w:t>
      </w:r>
      <w:r/>
    </w:p>
    <w:p>
      <w:pPr>
        <w:pStyle w:val="935"/>
        <w:ind w:firstLine="211"/>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t xml:space="preserve">四、服务要求</w:t>
      </w:r>
      <w:r/>
    </w:p>
    <w:p>
      <w:pPr>
        <w:pStyle w:val="935"/>
        <w:ind w:firstLine="420"/>
        <w:spacing w:before="0" w:beforeAutospacing="0" w:after="0" w:afterAutospacing="0" w:line="360" w:lineRule="auto"/>
        <w:tabs>
          <w:tab w:val="left" w:pos="840" w:leader="none"/>
        </w:tabs>
        <w:rPr>
          <w:rFonts w:hint="eastAsia"/>
          <w:b w:val="0"/>
          <w:bCs w:val="0"/>
          <w:color w:val="auto"/>
          <w:sz w:val="21"/>
          <w:szCs w:val="21"/>
          <w:highlight w:val="none"/>
        </w:rPr>
      </w:pPr>
      <w:r>
        <w:rPr>
          <w:rFonts w:hint="eastAsia"/>
          <w:b w:val="0"/>
          <w:bCs w:val="0"/>
          <w:color w:val="auto"/>
          <w:sz w:val="21"/>
          <w:szCs w:val="21"/>
          <w:highlight w:val="none"/>
        </w:rPr>
        <w:t xml:space="preserve">投标企业应按照《江苏省城市园林绿化养护管理规范》、《南京市城市绿化养护技术规程（试行）》的要求精心组织养护，系统地掌握园林设施养护动态，达到《南京市城市绿化养护质量等级标准（试行）》一级标准、《南京市城市园林绿雕、容器花箱、花境、立体绿化、花墙养护管理考核办法（试行）》的要求。另须符合相关的行业规范，并在投标文件中填报《绿雕、花境、容器花箱、立体绿化更换意向表》（详见下表）。</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1、绿雕</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（1）绿雕整体更换不少于</w:t>
      </w:r>
      <w:r>
        <w:rPr>
          <w:rFonts w:hint="eastAsia"/>
          <w:b w:val="0"/>
          <w:bCs w:val="0"/>
          <w:color w:val="auto"/>
          <w:sz w:val="21"/>
          <w:szCs w:val="21"/>
          <w:highlight w:val="none"/>
          <w:lang w:val="en-US" w:eastAsia="zh-CN"/>
        </w:rPr>
        <w:t xml:space="preserve">全年</w:t>
      </w:r>
      <w:r>
        <w:rPr>
          <w:rFonts w:hint="eastAsia"/>
          <w:b w:val="0"/>
          <w:bCs w:val="0"/>
          <w:color w:val="auto"/>
          <w:sz w:val="21"/>
          <w:szCs w:val="21"/>
          <w:highlight w:val="none"/>
        </w:rPr>
        <w:t xml:space="preserve">2次，中标后</w:t>
      </w:r>
      <w:r>
        <w:rPr>
          <w:rFonts w:hint="eastAsia"/>
          <w:b w:val="0"/>
          <w:bCs w:val="0"/>
          <w:color w:val="auto"/>
          <w:sz w:val="21"/>
          <w:szCs w:val="21"/>
          <w:highlight w:val="none"/>
          <w:lang w:val="en-US" w:eastAsia="zh-CN"/>
        </w:rPr>
        <w:t xml:space="preserve">入夏前</w:t>
      </w:r>
      <w:r>
        <w:rPr>
          <w:rFonts w:hint="eastAsia"/>
          <w:b w:val="0"/>
          <w:bCs w:val="0"/>
          <w:color w:val="auto"/>
          <w:sz w:val="21"/>
          <w:szCs w:val="21"/>
          <w:highlight w:val="none"/>
        </w:rPr>
        <w:t xml:space="preserve">组织更换成耐热性佳的夏季草种，入冬前更换成耐寒性佳的冬季草种，根据景观要求不定时补植，在重要节假日和重大活动接待期间，绿雕和周边花境需按采购人要求统一更新。</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2）养护方案切实可行，措施具体，针对性强。应根据植物习性、色彩要求进行更换，确保成活，达到效果。品种不限于佛甲草、五色草、红景天，鼓励引进新品种、新技术进行探索性试验，以便筛选出在南京本地表现良好的绿雕植物，建立成熟的绿雕养护管理技术体系。</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（3）植物生长良好，无缺水萎焉、无明显病虫害危害迹象。</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（4）植物修剪造型轮廓清晰、自然，高矮一致，表面平整。</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（5）植株枝叶分布均匀，无枯枝残叶，无影响观赏的空秃缺株。</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（6）表面无杂草、残花败叶，叶面干净整洁。</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（7）根据结构件使用年限，定期维护，定时更新。确保构件设施完好无损，整体安全牢固，无变型扭曲。</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（8）部分品种或全部品种有衰败迹象时，应及时补植或更换。</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（9）绿雕本身及周边整洁卫生，无影响观瞻的杂物。</w:t>
      </w:r>
      <w:r/>
    </w:p>
    <w:p>
      <w:pPr>
        <w:pStyle w:val="935"/>
        <w:jc w:val="center"/>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绿雕更换意向表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992"/>
        <w:gridCol w:w="851"/>
        <w:gridCol w:w="1276"/>
        <w:gridCol w:w="992"/>
        <w:gridCol w:w="992"/>
        <w:gridCol w:w="992"/>
      </w:tblGrid>
      <w:tr>
        <w:trPr>
          <w:jc w:val="center"/>
          <w:trHeight w:val="111"/>
        </w:trPr>
        <w:tc>
          <w:tcPr>
            <w:tcW w:w="1276" w:type="dxa"/>
            <w:vAlign w:val="center"/>
            <w:vMerge w:val="restart"/>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绿雕地点和名称</w:t>
            </w:r>
            <w:r/>
          </w:p>
        </w:tc>
        <w:tc>
          <w:tcPr>
            <w:gridSpan w:val="3"/>
            <w:tcW w:w="3119"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绿雕</w:t>
            </w:r>
            <w:r/>
          </w:p>
        </w:tc>
        <w:tc>
          <w:tcPr>
            <w:gridSpan w:val="4"/>
            <w:tcW w:w="425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地栽花卉</w:t>
            </w:r>
            <w:r/>
          </w:p>
        </w:tc>
      </w:tr>
      <w:tr>
        <w:trPr>
          <w:jc w:val="center"/>
        </w:trPr>
        <w:tc>
          <w:tcPr>
            <w:tcW w:w="1276" w:type="dxa"/>
            <w:vAlign w:val="center"/>
            <w:vMerge w:val="continue"/>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更换时间</w:t>
            </w:r>
            <w:r/>
          </w:p>
        </w:tc>
        <w:tc>
          <w:tcPr>
            <w:tcW w:w="99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品种</w:t>
            </w:r>
            <w:r/>
          </w:p>
        </w:tc>
        <w:tc>
          <w:tcPr>
            <w:tcW w:w="851"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数量</w:t>
            </w:r>
            <w:r/>
          </w:p>
        </w:tc>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更换时间</w:t>
            </w:r>
            <w:r/>
          </w:p>
        </w:tc>
        <w:tc>
          <w:tcPr>
            <w:tcW w:w="99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品种</w:t>
            </w:r>
            <w:r/>
          </w:p>
        </w:tc>
        <w:tc>
          <w:tcPr>
            <w:tcW w:w="99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数量</w:t>
            </w:r>
            <w:r/>
          </w:p>
        </w:tc>
        <w:tc>
          <w:tcPr>
            <w:tcW w:w="99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示意图</w:t>
            </w:r>
            <w:r/>
          </w:p>
        </w:tc>
      </w:tr>
      <w:tr>
        <w:trPr>
          <w:jc w:val="center"/>
        </w:trPr>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851"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851"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851"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851"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276"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992"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bl>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注：如行数不够，请自行增加。示意图以图片形式，作为附件附在此表后。</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2、容器花箱、花境、立体绿化、花墙</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（1）时令花卉根据招标要求的次数进行更换。中标后按时组织更换，根据景观要求不定时补植，</w:t>
      </w:r>
      <w:r>
        <w:rPr>
          <w:rFonts w:hint="eastAsia"/>
          <w:b w:val="0"/>
          <w:bCs w:val="0"/>
          <w:color w:val="auto"/>
          <w:sz w:val="21"/>
          <w:szCs w:val="21"/>
          <w:highlight w:val="none"/>
          <w:lang w:val="en-US" w:eastAsia="zh-CN"/>
        </w:rPr>
        <w:t xml:space="preserve">五一、</w:t>
      </w:r>
      <w:r>
        <w:rPr>
          <w:rFonts w:hint="eastAsia"/>
          <w:b w:val="0"/>
          <w:bCs w:val="0"/>
          <w:color w:val="auto"/>
          <w:sz w:val="21"/>
          <w:szCs w:val="21"/>
          <w:highlight w:val="none"/>
        </w:rPr>
        <w:t xml:space="preserve">十一、元旦等节假日和重大活动接待期间需按采购人要求统一更新。</w:t>
      </w:r>
      <w:r/>
    </w:p>
    <w:p>
      <w:pPr>
        <w:pStyle w:val="935"/>
        <w:ind w:firstLine="420"/>
        <w:spacing w:before="0" w:beforeAutospacing="0" w:after="0" w:afterAutospacing="0" w:line="360" w:lineRule="auto"/>
        <w:rPr>
          <w:rFonts w:hint="default" w:eastAsia="宋体"/>
          <w:b w:val="0"/>
          <w:bCs w:val="0"/>
          <w:color w:val="auto"/>
          <w:sz w:val="21"/>
          <w:szCs w:val="21"/>
          <w:highlight w:val="none"/>
          <w:lang w:val="en-US" w:eastAsia="zh-CN"/>
        </w:rPr>
      </w:pPr>
      <w:r>
        <w:rPr>
          <w:rFonts w:hint="eastAsia"/>
          <w:b w:val="0"/>
          <w:bCs w:val="0"/>
          <w:color w:val="auto"/>
          <w:sz w:val="21"/>
          <w:szCs w:val="21"/>
          <w:highlight w:val="none"/>
        </w:rPr>
        <w:t xml:space="preserve">（2）花卉要求品种新颖（花卉品种在附表给定的范围中选择，或用同等质量规格、同等效果的其他品种代替），设计方案美观、组合方式有创意。保证配植合理，满足不同时间的观赏需求，高低错落有致。容器内植物枝繁叶茂，花朵鲜艳，四季有花，同一品种的花卉，应确保规格一致，花期整齐，图案美观，整体景观效果好。</w:t>
      </w:r>
      <w:r>
        <w:rPr>
          <w:rFonts w:hint="eastAsia"/>
          <w:b w:val="0"/>
          <w:bCs w:val="0"/>
          <w:color w:val="auto"/>
          <w:sz w:val="21"/>
          <w:szCs w:val="21"/>
          <w:highlight w:val="none"/>
          <w:lang w:val="en-US" w:eastAsia="zh-CN"/>
        </w:rPr>
        <w:t xml:space="preserve">具体方案报采购人确认后实施。</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附表：容器花卉养护更换品种清单</w:t>
      </w:r>
      <w:r/>
    </w:p>
    <w:tbl>
      <w:tblPr>
        <w:tblStyle w:val="760"/>
        <w:tblW w:w="9495" w:type="dxa"/>
        <w:jc w:val="center"/>
        <w:tblLayout w:type="fixed"/>
        <w:tblCellMar>
          <w:left w:w="108" w:type="dxa"/>
          <w:top w:w="0" w:type="dxa"/>
          <w:right w:w="108" w:type="dxa"/>
          <w:bottom w:w="0" w:type="dxa"/>
        </w:tblCellMar>
        <w:tblLook w:val="04A0" w:firstRow="1" w:lastRow="0" w:firstColumn="1" w:lastColumn="0" w:noHBand="0" w:noVBand="1"/>
      </w:tblPr>
      <w:tblGrid>
        <w:gridCol w:w="592"/>
        <w:gridCol w:w="1126"/>
        <w:gridCol w:w="6802"/>
        <w:gridCol w:w="975"/>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花卉更新时间段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组合盆栽花卉品种推荐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骨架品种：火焰南天竹、亮叶女贞、茶梅                                                                基础花卉品种：玫瑰羽衣甘蓝、三色堇                                                                点缀：矾根、欧石楠、花叶络石、常春藤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left"/>
              <w:spacing w:line="360" w:lineRule="auto"/>
              <w:rPr>
                <w:rFonts w:ascii="宋体" w:hAnsi="宋体" w:cs="宋体"/>
                <w:b w:val="0"/>
                <w:bCs w:val="0"/>
                <w:color w:val="auto"/>
                <w:szCs w:val="21"/>
                <w:highlight w:val="none"/>
              </w:rPr>
            </w:pPr>
            <w:r>
              <w:rPr>
                <w:rFonts w:ascii="宋体" w:hAnsi="宋体" w:cs="宋体"/>
                <w:b w:val="0"/>
                <w:bCs w:val="0"/>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b w:val="0"/>
                <w:bCs w:val="0"/>
                <w:color w:val="auto"/>
                <w:szCs w:val="21"/>
                <w:highlight w:val="none"/>
              </w:rPr>
              <w:t xml:space="preserve">2—3月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b w:val="0"/>
                <w:bCs w:val="0"/>
                <w:color w:val="auto"/>
                <w:szCs w:val="21"/>
                <w:highlight w:val="none"/>
              </w:rPr>
              <w:t xml:space="preserve">骨架品种：火焰南天竹、花叶柊树</w:t>
            </w:r>
            <w:r>
              <w:rPr>
                <w:rFonts w:ascii="宋体" w:hAnsi="宋体" w:cs="宋体"/>
                <w:b w:val="0"/>
                <w:bCs w:val="0"/>
                <w:color w:val="auto"/>
                <w:szCs w:val="21"/>
                <w:highlight w:val="none"/>
              </w:rPr>
              <w:t xml:space="preserve">                                                                                                                                       </w:t>
            </w:r>
            <w:r>
              <w:rPr>
                <w:b w:val="0"/>
                <w:bCs w:val="0"/>
                <w:color w:val="auto"/>
                <w:szCs w:val="21"/>
                <w:highlight w:val="none"/>
              </w:rPr>
              <w:t xml:space="preserve">基础花卉品种：三色堇、四季海棠、报春花、瓜叶菊</w:t>
            </w:r>
            <w:r>
              <w:rPr>
                <w:rFonts w:ascii="宋体" w:hAnsi="宋体" w:cs="宋体"/>
                <w:b w:val="0"/>
                <w:bCs w:val="0"/>
                <w:color w:val="auto"/>
                <w:szCs w:val="21"/>
                <w:highlight w:val="none"/>
              </w:rPr>
              <w:t xml:space="preserve">                                                                                                 </w:t>
            </w:r>
            <w:r>
              <w:rPr>
                <w:b w:val="0"/>
                <w:bCs w:val="0"/>
                <w:color w:val="auto"/>
                <w:szCs w:val="21"/>
                <w:highlight w:val="none"/>
              </w:rPr>
              <w:t xml:space="preserve">点缀：矾根、金叶苔草、花叶络石、常春藤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春节期间</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3—4月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骨架品种：彩叶杞柳、彩叶美人蕉                                                                   基础花卉品种：雏菊、石竹、报春花、四季海棠                                                                 点缀：彩叶草、花叶络石、花叶长春蔓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left"/>
              <w:spacing w:line="360" w:lineRule="auto"/>
              <w:rPr>
                <w:rFonts w:ascii="宋体" w:hAnsi="宋体" w:cs="宋体"/>
                <w:b w:val="0"/>
                <w:bCs w:val="0"/>
                <w:color w:val="auto"/>
                <w:szCs w:val="21"/>
                <w:highlight w:val="none"/>
              </w:rPr>
            </w:pPr>
            <w:r>
              <w:rPr>
                <w:rFonts w:ascii="宋体" w:hAnsi="宋体" w:cs="宋体"/>
                <w:b w:val="0"/>
                <w:bCs w:val="0"/>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b w:val="0"/>
                <w:bCs w:val="0"/>
                <w:color w:val="auto"/>
                <w:szCs w:val="21"/>
                <w:highlight w:val="none"/>
              </w:rPr>
              <w:t xml:space="preserve">4—5月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b w:val="0"/>
                <w:bCs w:val="0"/>
                <w:color w:val="auto"/>
                <w:szCs w:val="21"/>
                <w:highlight w:val="none"/>
              </w:rPr>
              <w:t xml:space="preserve">骨架品种：芍药、龙船花、羽扇豆</w:t>
            </w:r>
            <w:r>
              <w:rPr>
                <w:rFonts w:ascii="宋体" w:hAnsi="宋体" w:cs="宋体"/>
                <w:b w:val="0"/>
                <w:bCs w:val="0"/>
                <w:color w:val="auto"/>
                <w:szCs w:val="21"/>
                <w:highlight w:val="none"/>
              </w:rPr>
              <w:t xml:space="preserve">                                                                                                                                                  </w:t>
            </w:r>
            <w:r>
              <w:rPr>
                <w:b w:val="0"/>
                <w:bCs w:val="0"/>
                <w:color w:val="auto"/>
                <w:szCs w:val="21"/>
                <w:highlight w:val="none"/>
              </w:rPr>
              <w:t xml:space="preserve">基础花卉品种：香雪球、美女樱、天竺葵、矮牵牛（垂吊）、百万小玲</w:t>
            </w:r>
            <w:r>
              <w:rPr>
                <w:rFonts w:ascii="宋体" w:hAnsi="宋体" w:cs="宋体"/>
                <w:b w:val="0"/>
                <w:bCs w:val="0"/>
                <w:color w:val="auto"/>
                <w:szCs w:val="21"/>
                <w:highlight w:val="none"/>
              </w:rPr>
              <w:t xml:space="preserve">                                                                                                                  </w:t>
            </w:r>
            <w:r>
              <w:rPr>
                <w:b w:val="0"/>
                <w:bCs w:val="0"/>
                <w:color w:val="auto"/>
                <w:szCs w:val="21"/>
                <w:highlight w:val="none"/>
              </w:rPr>
              <w:t xml:space="preserve">点缀：花叶络石、花叶长春蔓、彩叶草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五一节期间</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5—7月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骨架品种：羽扇豆、绣球、朱蕉                                                                          基础花卉品种：杨彩雀、随意草、花毛茛、矮牵牛（垂吊）、百万小玲                                                                点缀：五彩钓钟柳、彩叶草、花叶络石、花叶长春蔓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left"/>
              <w:spacing w:line="360" w:lineRule="auto"/>
              <w:rPr>
                <w:rFonts w:ascii="宋体" w:hAnsi="宋体" w:cs="宋体"/>
                <w:b w:val="0"/>
                <w:bCs w:val="0"/>
                <w:color w:val="auto"/>
                <w:szCs w:val="21"/>
                <w:highlight w:val="none"/>
              </w:rPr>
            </w:pPr>
            <w:r>
              <w:rPr>
                <w:rFonts w:ascii="宋体" w:hAnsi="宋体" w:cs="宋体"/>
                <w:b w:val="0"/>
                <w:bCs w:val="0"/>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7月—9月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骨架品种：绣球、月季                                                                            基础花卉品种：洋凤仙、福禄考、矮牵牛（垂吊）、百万小玲、荷兰菊                                                                 点缀：彩叶草、花叶络石、金叶（紫叶）甘薯藤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left"/>
              <w:spacing w:line="360" w:lineRule="auto"/>
              <w:rPr>
                <w:rFonts w:ascii="宋体" w:hAnsi="宋体" w:cs="宋体"/>
                <w:b w:val="0"/>
                <w:bCs w:val="0"/>
                <w:color w:val="auto"/>
                <w:szCs w:val="21"/>
                <w:highlight w:val="none"/>
              </w:rPr>
            </w:pPr>
            <w:r>
              <w:rPr>
                <w:rFonts w:ascii="宋体" w:hAnsi="宋体" w:cs="宋体"/>
                <w:b w:val="0"/>
                <w:bCs w:val="0"/>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b w:val="0"/>
                <w:bCs w:val="0"/>
                <w:color w:val="auto"/>
                <w:szCs w:val="21"/>
                <w:highlight w:val="none"/>
              </w:rPr>
              <w:t xml:space="preserve">9月—10月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b w:val="0"/>
                <w:bCs w:val="0"/>
                <w:color w:val="auto"/>
                <w:szCs w:val="21"/>
                <w:highlight w:val="none"/>
              </w:rPr>
              <w:t xml:space="preserve">骨架品种：三角梅、变叶木、五彩椒</w:t>
            </w:r>
            <w:r>
              <w:rPr>
                <w:rFonts w:ascii="宋体" w:hAnsi="宋体" w:cs="宋体"/>
                <w:b w:val="0"/>
                <w:bCs w:val="0"/>
                <w:color w:val="auto"/>
                <w:szCs w:val="21"/>
                <w:highlight w:val="none"/>
              </w:rPr>
              <w:t xml:space="preserve"> </w:t>
            </w:r>
            <w:r>
              <w:rPr>
                <w:b w:val="0"/>
                <w:bCs w:val="0"/>
                <w:color w:val="auto"/>
                <w:szCs w:val="21"/>
                <w:highlight w:val="none"/>
              </w:rPr>
              <w:t xml:space="preserve">、一品红</w:t>
            </w:r>
            <w:r>
              <w:rPr>
                <w:rFonts w:ascii="宋体" w:hAnsi="宋体" w:cs="宋体"/>
                <w:b w:val="0"/>
                <w:bCs w:val="0"/>
                <w:color w:val="auto"/>
                <w:szCs w:val="21"/>
                <w:highlight w:val="none"/>
              </w:rPr>
              <w:t xml:space="preserve">                                                                                                                                                 </w:t>
            </w:r>
            <w:r>
              <w:rPr>
                <w:b w:val="0"/>
                <w:bCs w:val="0"/>
                <w:color w:val="auto"/>
                <w:szCs w:val="21"/>
                <w:highlight w:val="none"/>
              </w:rPr>
              <w:t xml:space="preserve">基础花卉品种：百日草、小菊（荷兰菊）、大丽花、百万小玲、洋凤仙、矮牵牛、长春花（各色）</w:t>
            </w:r>
            <w:r>
              <w:rPr>
                <w:rFonts w:ascii="宋体" w:hAnsi="宋体" w:cs="宋体"/>
                <w:b w:val="0"/>
                <w:bCs w:val="0"/>
                <w:color w:val="auto"/>
                <w:szCs w:val="21"/>
                <w:highlight w:val="none"/>
              </w:rPr>
              <w:t xml:space="preserve">                                                                                                                </w:t>
            </w:r>
            <w:r>
              <w:rPr>
                <w:b w:val="0"/>
                <w:bCs w:val="0"/>
                <w:color w:val="auto"/>
                <w:szCs w:val="21"/>
                <w:highlight w:val="none"/>
              </w:rPr>
              <w:t xml:space="preserve">点缀：墨西哥鼠尾草、彩叶草、千日红、花叶络石、金叶（紫叶）甘薯藤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国庆节期间</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92"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6" w:type="dxa"/>
            <w:vAlign w:val="center"/>
            <w:textDirection w:val="lrTb"/>
            <w:noWrap w:val="false"/>
          </w:tcPr>
          <w:p>
            <w:pPr>
              <w:jc w:val="center"/>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10—11月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802" w:type="dxa"/>
            <w:vAlign w:val="center"/>
            <w:textDirection w:val="lrTb"/>
            <w:noWrap w:val="false"/>
          </w:tcPr>
          <w:p>
            <w:pPr>
              <w:jc w:val="left"/>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骨架品种：三角梅、变叶木、水果篮、                                                                基础花卉品种：墨西哥鼠尾草、五色梅、四季海棠（丽格海棠）                                                                 点缀：大叶吴风草、金叶麦冬、花叶络石、常春藤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5" w:type="dxa"/>
            <w:vAlign w:val="center"/>
            <w:textDirection w:val="lrTb"/>
            <w:noWrap w:val="false"/>
          </w:tcPr>
          <w:p>
            <w:pPr>
              <w:jc w:val="left"/>
              <w:spacing w:line="360" w:lineRule="auto"/>
              <w:rPr>
                <w:rFonts w:ascii="宋体" w:hAnsi="宋体" w:cs="宋体"/>
                <w:b w:val="0"/>
                <w:bCs w:val="0"/>
                <w:color w:val="auto"/>
                <w:szCs w:val="21"/>
                <w:highlight w:val="none"/>
              </w:rPr>
            </w:pPr>
            <w:r>
              <w:rPr>
                <w:rFonts w:ascii="宋体" w:hAnsi="宋体" w:cs="宋体"/>
                <w:b w:val="0"/>
                <w:bCs w:val="0"/>
                <w:color w:val="auto"/>
                <w:szCs w:val="21"/>
                <w:highlight w:val="none"/>
              </w:rPr>
            </w:r>
            <w:r/>
          </w:p>
        </w:tc>
      </w:tr>
    </w:tbl>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3）花箱不露土，四周要选择垂吊植物品种搭配。垂吊花盆不露土且不露盆。种植介质应为透水保水，富含营养的轻质营养土。主要材料：种植泥炭、种植土+园艺蛭石、珍珠岩、树皮及缓释肥。适时对土壤进行适度改良。</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（4）花卉植物植株生长健壮，蓬径饱满，无病虫害危害迹象。月季花墙生长期、休眠期修剪、病虫防治及施肥工作及时，养护到位，确保花开繁茂。</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（5）立体绿化、花境、花墙种植土肥沃疏松，无杂草、杂物。排水通畅，无积水现象。</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（6）常年确保无死株、缺株、残花败叶，无黄土裸露现象。</w:t>
      </w:r>
      <w:r/>
    </w:p>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（7）立体绿化、花箱的容器完整清洁，容器外形、规格、色彩与植物要协调。如有污损，应及时清理、更换。月季花墙的攀援构架需定期维护，保持美观完好。</w:t>
      </w:r>
      <w:r/>
    </w:p>
    <w:p>
      <w:pPr>
        <w:pStyle w:val="935"/>
        <w:jc w:val="center"/>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花境、容器花箱、立体绿化更换意向表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0"/>
        <w:gridCol w:w="1620"/>
        <w:gridCol w:w="1620"/>
        <w:gridCol w:w="1620"/>
        <w:gridCol w:w="1800"/>
      </w:tblGrid>
      <w:tr>
        <w:trPr>
          <w:jc w:val="center"/>
          <w:trHeight w:val="635"/>
        </w:trPr>
        <w:tc>
          <w:tcPr>
            <w:tcW w:w="1960" w:type="dxa"/>
            <w:vAlign w:val="top"/>
            <w:textDirection w:val="lrTb"/>
            <w:noWrap w:val="false"/>
          </w:tcPr>
          <w:p>
            <w:pPr>
              <w:pStyle w:val="935"/>
              <w:jc w:val="right"/>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更换意向</w:t>
            </w:r>
            <w:r/>
          </w:p>
          <w:p>
            <w:pPr>
              <w:pStyle w:val="935"/>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容器种类</w:t>
            </w:r>
            <w:r/>
          </w:p>
        </w:tc>
        <w:tc>
          <w:tcPr>
            <w:tcW w:w="1620"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更换时间</w:t>
            </w:r>
            <w:r/>
          </w:p>
        </w:tc>
        <w:tc>
          <w:tcPr>
            <w:tcW w:w="1620"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更换品种</w:t>
            </w:r>
            <w:r/>
          </w:p>
        </w:tc>
        <w:tc>
          <w:tcPr>
            <w:tcW w:w="1620"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更换数量</w:t>
            </w:r>
            <w:r/>
          </w:p>
        </w:tc>
        <w:tc>
          <w:tcPr>
            <w:tcW w:w="1800" w:type="dxa"/>
            <w:vAlign w:val="center"/>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示意图</w:t>
            </w:r>
            <w:r/>
          </w:p>
        </w:tc>
      </w:tr>
      <w:tr>
        <w:trPr>
          <w:jc w:val="center"/>
        </w:trPr>
        <w:tc>
          <w:tcPr>
            <w:tcW w:w="1960" w:type="dxa"/>
            <w:vAlign w:val="center"/>
            <w:vMerge w:val="restart"/>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花境</w:t>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80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960" w:type="dxa"/>
            <w:vAlign w:val="top"/>
            <w:vMerge w:val="continue"/>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80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960" w:type="dxa"/>
            <w:vAlign w:val="center"/>
            <w:vMerge w:val="restart"/>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容器花箱</w:t>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80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960" w:type="dxa"/>
            <w:vAlign w:val="top"/>
            <w:vMerge w:val="continue"/>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80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960" w:type="dxa"/>
            <w:vAlign w:val="center"/>
            <w:vMerge w:val="continue"/>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80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960" w:type="dxa"/>
            <w:vAlign w:val="center"/>
            <w:vMerge w:val="restart"/>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t xml:space="preserve">立体绿化</w:t>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80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r>
        <w:trPr>
          <w:jc w:val="center"/>
        </w:trPr>
        <w:tc>
          <w:tcPr>
            <w:tcW w:w="1960" w:type="dxa"/>
            <w:vAlign w:val="center"/>
            <w:vMerge w:val="continue"/>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62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c>
          <w:tcPr>
            <w:tcW w:w="1800" w:type="dxa"/>
            <w:vAlign w:val="top"/>
            <w:textDirection w:val="lrTb"/>
            <w:noWrap w:val="false"/>
          </w:tcPr>
          <w:p>
            <w:pPr>
              <w:pStyle w:val="935"/>
              <w:jc w:val="center"/>
              <w:spacing w:before="0" w:beforeAutospacing="0" w:after="0" w:afterAutospacing="0" w:line="360" w:lineRule="auto"/>
              <w:rPr>
                <w:rFonts w:hint="eastAsia"/>
                <w:b w:val="0"/>
                <w:bCs w:val="0"/>
                <w:color w:val="auto"/>
                <w:sz w:val="18"/>
                <w:szCs w:val="18"/>
                <w:highlight w:val="none"/>
              </w:rPr>
            </w:pPr>
            <w:r>
              <w:rPr>
                <w:rFonts w:hint="eastAsia"/>
                <w:b w:val="0"/>
                <w:bCs w:val="0"/>
                <w:color w:val="auto"/>
                <w:sz w:val="18"/>
                <w:szCs w:val="18"/>
                <w:highlight w:val="none"/>
              </w:rPr>
            </w:r>
            <w:r/>
          </w:p>
        </w:tc>
      </w:tr>
    </w:tbl>
    <w:p>
      <w:pPr>
        <w:pStyle w:val="935"/>
        <w:ind w:firstLine="42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注：如行数不够，请自行增加。示意图以图片形式，作为附件附在此表后。</w:t>
      </w:r>
      <w:r/>
    </w:p>
    <w:p>
      <w:pPr>
        <w:pStyle w:val="935"/>
        <w:ind w:firstLine="211"/>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t xml:space="preserve">五、设施清单</w:t>
      </w:r>
      <w:r/>
    </w:p>
    <w:p>
      <w:pPr>
        <w:ind w:firstLine="211"/>
        <w:jc w:val="left"/>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花箱：</w:t>
      </w:r>
      <w:r/>
    </w:p>
    <w:tbl>
      <w:tblPr>
        <w:tblStyle w:val="760"/>
        <w:tblW w:w="95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7"/>
        <w:gridCol w:w="2428"/>
        <w:gridCol w:w="1170"/>
        <w:gridCol w:w="992"/>
        <w:gridCol w:w="1226"/>
        <w:gridCol w:w="1204"/>
        <w:gridCol w:w="2130"/>
      </w:tblGrid>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设施量</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牡丹江街及新安江街</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组合花箱形式二</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政务服务中心西广场</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组合花箱形式四</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南京江东门纪念馆茶亭东街</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栏杆花箱四</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水西门桥</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鞍式挂箱</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全年3次容器更换草花</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江东门纪念馆江汊路隧道两侧护栏</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高架挂箱</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茶亭东街路沿线</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灯杆挂花</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全年3次容器更换草花</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水西门大街组合花箱五一新增</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组合花箱形式五</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水西门大街公交站台组合花箱五一新增</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组合花箱形式二</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奥体中心东门人行道边五一新增</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组合花箱形式四</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政务中心西门人行道五一新增</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组合花箱形式四</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全年4次常态模式，3次节庆模式</w:t>
            </w:r>
            <w:r/>
          </w:p>
        </w:tc>
      </w:tr>
      <w:tr>
        <w:trPr>
          <w:trHeight w:val="418"/>
        </w:trPr>
        <w:tc>
          <w:tcPr>
            <w:gridSpan w:val="5"/>
            <w:shd w:val="clear" w:color="auto" w:fill="auto"/>
            <w:tcBorders>
              <w:top w:val="single" w:color="000000" w:sz="4" w:space="0"/>
              <w:left w:val="single" w:color="000000" w:sz="4" w:space="0"/>
              <w:bottom w:val="single" w:color="000000" w:sz="4" w:space="0"/>
              <w:right w:val="single" w:color="000000" w:sz="4" w:space="0"/>
            </w:tcBorders>
            <w:tcW w:w="62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绿雕（及花卉）：</w:t>
      </w:r>
      <w:r/>
    </w:p>
    <w:tbl>
      <w:tblPr>
        <w:tblStyle w:val="760"/>
        <w:tblW w:w="96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3197"/>
        <w:gridCol w:w="1541"/>
        <w:gridCol w:w="1306"/>
        <w:gridCol w:w="1614"/>
        <w:gridCol w:w="1423"/>
      </w:tblGrid>
      <w:tr>
        <w:trPr>
          <w:trHeight w:val="23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主题</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花卉面积</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绿雕表面积</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江东中路中分带奥体中心段绿雕</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拼搏</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江东中路万达广场北侧岛头绿雕</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鸣春</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江东中路万达广场南侧岛头绿雕</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花开</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江东路有轨电车带状绿地绿雕</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逐浪</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江东路江山大街绿雕</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同舟共济</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市儿童医院有轨电车中分带绿雕</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海洋之声</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新安江景点绿雕</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拱门、花球</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牡丹江绿雕</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蝴蝶、花朵</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238"/>
        </w:trPr>
        <w:tc>
          <w:tcPr>
            <w:gridSpan w:val="4"/>
            <w:shd w:val="clear" w:color="auto" w:fill="auto"/>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1895</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1170</w:t>
            </w:r>
            <w:r/>
          </w:p>
        </w:tc>
      </w:tr>
    </w:tbl>
    <w:p>
      <w:pPr>
        <w:jc w:val="left"/>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花境：</w:t>
      </w:r>
      <w:r/>
    </w:p>
    <w:tbl>
      <w:tblPr>
        <w:tblStyle w:val="760"/>
        <w:tblW w:w="929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8"/>
        <w:gridCol w:w="4360"/>
        <w:gridCol w:w="2101"/>
        <w:gridCol w:w="2080"/>
      </w:tblGrid>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花境名称</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花境面积（㎡）</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扬子江大道金沙江西街</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扬子江大道青奥南路</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梦都大街平交口交通岛绿地4处</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江东中路（奥体中心东门处）分车绿地</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河西大街恒山路西南角路侧绿地</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河西大街凤台南路高架上口处</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河西大街-江东路路口东侧中分带</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河西大街-庐山路路口西侧中分带</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河西大街-庐山路路口东侧中分带</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河西大街-恒山路路口西侧中分带</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河西大街-恒山路路口东侧中分带</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河西大街-黄山路路口西侧中分带</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河西大街-黄山路路口东侧中分带</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江东路（集庆门大街平交口）三角岛</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江东中路沿线各侧分带岛头（应天大街至河西大街沿线）</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江东中路中间分车带自然段</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黄山路平交口西北角绿地</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庐山路平交口节点绿地3处</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黄山路应天大街平交口中分带岛头</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黄山路与梦都大街平交口岛头</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庐山路与云锦路平交口三角绿地</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和平广场节点</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全年花境草花更换不少于4次</w:t>
            </w:r>
            <w:r/>
          </w:p>
        </w:tc>
      </w:tr>
      <w:tr>
        <w:trPr>
          <w:trHeight w:val="588"/>
        </w:trPr>
        <w:tc>
          <w:tcPr>
            <w:gridSpan w:val="2"/>
            <w:shd w:val="clear" w:color="auto" w:fill="auto"/>
            <w:tcBorders>
              <w:top w:val="single" w:color="000000" w:sz="4" w:space="0"/>
              <w:left w:val="single" w:color="000000" w:sz="4" w:space="0"/>
              <w:bottom w:val="single" w:color="000000" w:sz="4" w:space="0"/>
              <w:right w:val="single" w:color="000000" w:sz="4" w:space="0"/>
            </w:tcBorders>
            <w:tcW w:w="511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5682</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立体绿化：</w:t>
      </w:r>
      <w:r/>
    </w:p>
    <w:tbl>
      <w:tblPr>
        <w:tblStyle w:val="760"/>
        <w:tblW w:w="94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2"/>
        <w:gridCol w:w="3166"/>
        <w:gridCol w:w="1525"/>
        <w:gridCol w:w="1293"/>
        <w:gridCol w:w="1510"/>
        <w:gridCol w:w="1410"/>
      </w:tblGrid>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设施名称</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设施量</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现有数量</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539"/>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奥体东站框架式立体绿化</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绿化面积约19.66平方米。使用钢结构基座，在自吸水式套盆内填入栽植基质，然后种植盆景15厘米的三色堇植物。绿墙中装有自动水系统，接入水源后，可进行滴灌</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无压水源，蓄电池供电</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兴隆大街站框架式立体绿化</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绿化面积约51.98平方米，使用钢结构基座，在墙面垂直绿化箱内填入栽植基质，然后种植麦冬、金边黄杨、红花继木等植物。绿墙中装有自动水系统，接入水源后，可进行滴灌</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无压水源，蓄电池供电</w:t>
            </w:r>
            <w:r/>
          </w:p>
        </w:tc>
      </w:tr>
      <w:tr>
        <w:trPr>
          <w:trHeight w:val="3833"/>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政务大厅框架式立体绿化</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西门外两侧墙面立体绿化，总面积共计350米，使用专供于立体绿化使用的金森女贞、花叶络石、麦冬小苗进行搭配，并利用滴灌循环系统以及远程控制系统对墙面绿化进行补水控水工作</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有压水源，有电源</w:t>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水西门桥栏杆布置花墙</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无压水源，蓄电池供电</w:t>
            </w:r>
            <w:r/>
          </w:p>
        </w:tc>
      </w:tr>
      <w:tr>
        <w:trPr>
          <w:trHeight w:val="608"/>
        </w:trPr>
        <w:tc>
          <w:tcPr>
            <w:gridSpan w:val="2"/>
            <w:shd w:val="clear" w:color="auto" w:fill="auto"/>
            <w:tcBorders>
              <w:top w:val="single" w:color="000000" w:sz="4" w:space="0"/>
              <w:left w:val="single" w:color="000000" w:sz="4" w:space="0"/>
              <w:bottom w:val="single" w:color="000000" w:sz="4" w:space="0"/>
              <w:right w:val="single" w:color="000000" w:sz="4" w:space="0"/>
            </w:tcBorders>
            <w:tcW w:w="371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花墙：</w:t>
      </w:r>
      <w:r/>
    </w:p>
    <w:tbl>
      <w:tblPr>
        <w:tblStyle w:val="760"/>
        <w:tblW w:w="87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2"/>
        <w:gridCol w:w="5288"/>
        <w:gridCol w:w="2549"/>
      </w:tblGrid>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长度（m）</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双和园雨润大街至恒山路段围墙</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江东中路内侧（江东门隧道）</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江东中路外侧（江东门隧道、北圩隧道）</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黄山路（白龙江东街-嘉陵江东街）</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鸿达广场与周边小区之间的分隔设施</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致远外国语小学乐山路分校围墙（乐山路、金沙江西街）</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金沙江西街（江东中路-燕山路北侧）</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328.5</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致远初级中学围墙</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r>
      <w:tr>
        <w:trPr>
          <w:trHeight w:val="475"/>
        </w:trPr>
        <w:tc>
          <w:tcPr>
            <w:gridSpan w:val="2"/>
            <w:shd w:val="clear" w:color="auto" w:fill="auto"/>
            <w:tcBorders>
              <w:top w:val="single" w:color="000000" w:sz="4" w:space="0"/>
              <w:left w:val="single" w:color="000000" w:sz="4" w:space="0"/>
              <w:bottom w:val="single" w:color="000000" w:sz="4" w:space="0"/>
              <w:right w:val="single" w:color="000000" w:sz="4" w:space="0"/>
            </w:tcBorders>
            <w:tcW w:w="621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2732.5</w:t>
            </w:r>
            <w:r/>
          </w:p>
        </w:tc>
      </w:tr>
    </w:tbl>
    <w:p>
      <w:pPr>
        <w:ind w:firstLine="211"/>
        <w:jc w:val="left"/>
        <w:spacing w:line="360" w:lineRule="auto"/>
        <w:widowControl/>
        <w:rPr>
          <w:rFonts w:hint="eastAsia" w:ascii="宋体" w:hAnsi="宋体"/>
          <w:b/>
          <w:color w:val="auto"/>
          <w:szCs w:val="21"/>
          <w:highlight w:val="none"/>
        </w:rPr>
      </w:pPr>
      <w:r>
        <w:rPr>
          <w:rFonts w:hint="eastAsia" w:ascii="宋体" w:hAnsi="宋体"/>
          <w:b/>
          <w:color w:val="auto"/>
          <w:szCs w:val="21"/>
          <w:highlight w:val="none"/>
        </w:rPr>
      </w:r>
      <w:r/>
    </w:p>
    <w:p>
      <w:pPr>
        <w:ind w:firstLine="2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六、付款条件</w:t>
      </w:r>
      <w:r/>
    </w:p>
    <w:p>
      <w:pPr>
        <w:spacing w:line="360" w:lineRule="auto"/>
        <w:rPr>
          <w:rFonts w:hint="default" w:ascii="宋体" w:hAnsi="宋体"/>
          <w:color w:val="auto"/>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 </w:t>
      </w:r>
      <w:r>
        <w:rPr>
          <w:rFonts w:hint="eastAsia" w:ascii="宋体" w:hAnsi="宋体"/>
          <w:color w:val="auto"/>
          <w:szCs w:val="21"/>
          <w:highlight w:val="none"/>
          <w:lang w:val="en-US" w:eastAsia="zh-CN"/>
        </w:rPr>
        <w:t xml:space="preserve">   本项目合同款项按季度支付，依据《南京市城市园林绿雕、容器花箱、花境、立体绿化、花墙养护管理考核办法（试行）》进行检查与考核（见附件一），依据考核结果，按季度支付合同款项。具体支付方式以南京市建邺区市政设施综合养护中心当年考核办法为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对养护工作中发生安全事故或出现重大过失、造成严重后果及不良影响，或有媒体曝光、领导批示、市民举报被查实的，除按照《南京市城市园林绿雕、容器花箱、花境、立体绿化、花墙养护管理考核办法（试行）》规定扣分处罚外，还将给予养护质量信用减分，并处以当月月度养护费用3%-5%罚金，约谈法人。</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 </w:t>
      </w:r>
      <w:r>
        <w:rPr>
          <w:rFonts w:hint="eastAsia" w:ascii="宋体" w:hAnsi="宋体"/>
          <w:b/>
          <w:bCs/>
          <w:color w:val="auto"/>
          <w:szCs w:val="21"/>
          <w:highlight w:val="none"/>
          <w:lang w:val="en-US" w:eastAsia="zh-CN"/>
        </w:rPr>
        <w:t xml:space="preserve">  七</w:t>
      </w:r>
      <w:r>
        <w:rPr>
          <w:rFonts w:hint="eastAsia" w:ascii="宋体" w:hAnsi="宋体"/>
          <w:b/>
          <w:bCs/>
          <w:color w:val="auto"/>
          <w:szCs w:val="21"/>
          <w:highlight w:val="none"/>
        </w:rPr>
        <w:t xml:space="preserve">、服务标准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（一）中标供应商所提供绿雕、花境、容器花箱、立体绿化、花墙须符合采购人的服务要求；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（二）养护期限内的养护质量须达到《南京市城市绿化养护质量等级标准（试行）》一级标准、《南京市城市园林绿雕、容器花箱、花境、立体绿化、花墙养护管理考核办法（试行）》及相关行业规范。</w:t>
      </w:r>
      <w:r/>
    </w:p>
    <w:p>
      <w:pP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三</w:t>
      </w:r>
      <w:r>
        <w:rPr>
          <w:rFonts w:hint="eastAsia" w:ascii="宋体" w:hAnsi="宋体"/>
          <w:color w:val="auto"/>
          <w:szCs w:val="21"/>
          <w:highlight w:val="none"/>
          <w:lang w:eastAsia="zh-CN"/>
        </w:rPr>
        <w:t xml:space="preserve">）中标供应商所提供绿雕、花境、容器花箱、立体绿化、花墙须符合南京市市管绿雕结构安全检测</w:t>
      </w:r>
      <w:r>
        <w:rPr>
          <w:rFonts w:hint="eastAsia" w:ascii="宋体" w:hAnsi="宋体"/>
          <w:color w:val="auto"/>
          <w:szCs w:val="21"/>
          <w:highlight w:val="none"/>
          <w:lang w:val="en-US" w:eastAsia="zh-CN"/>
        </w:rPr>
        <w:t xml:space="preserve">要求，并能满足南京市绿化园林局所安排的安全排查。（具体内容及要求见附件二）</w:t>
      </w:r>
      <w:r/>
    </w:p>
    <w:p>
      <w:pP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四</w:t>
      </w:r>
      <w:r>
        <w:rPr>
          <w:rFonts w:hint="eastAsia" w:ascii="宋体" w:hAnsi="宋体"/>
          <w:color w:val="auto"/>
          <w:szCs w:val="21"/>
          <w:highlight w:val="none"/>
          <w:lang w:eastAsia="zh-CN"/>
        </w:rPr>
        <w:t xml:space="preserve">）中标供应商</w:t>
      </w:r>
      <w:r>
        <w:rPr>
          <w:rFonts w:hint="eastAsia" w:ascii="宋体" w:hAnsi="宋体"/>
          <w:color w:val="auto"/>
          <w:szCs w:val="21"/>
          <w:highlight w:val="none"/>
          <w:lang w:val="en-US" w:eastAsia="zh-CN"/>
        </w:rPr>
        <w:t xml:space="preserve">应按照</w:t>
      </w:r>
      <w:r>
        <w:rPr>
          <w:rFonts w:hint="eastAsia" w:ascii="宋体" w:hAnsi="宋体"/>
          <w:color w:val="auto"/>
          <w:szCs w:val="21"/>
          <w:highlight w:val="none"/>
          <w:lang w:eastAsia="zh-CN"/>
        </w:rPr>
        <w:t xml:space="preserve">绿雕</w:t>
      </w:r>
      <w:r>
        <w:rPr>
          <w:rFonts w:hint="eastAsia" w:ascii="宋体" w:hAnsi="宋体"/>
          <w:color w:val="auto"/>
          <w:szCs w:val="21"/>
          <w:highlight w:val="none"/>
          <w:lang w:val="en-US" w:eastAsia="zh-CN"/>
        </w:rPr>
        <w:t xml:space="preserve">结构</w:t>
      </w:r>
      <w:r>
        <w:rPr>
          <w:rFonts w:hint="eastAsia" w:ascii="宋体" w:hAnsi="宋体"/>
          <w:color w:val="auto"/>
          <w:szCs w:val="21"/>
          <w:highlight w:val="none"/>
          <w:lang w:eastAsia="zh-CN"/>
        </w:rPr>
        <w:t xml:space="preserve">加固设计方案</w:t>
      </w:r>
      <w:r>
        <w:rPr>
          <w:rFonts w:hint="eastAsia" w:ascii="宋体" w:hAnsi="宋体"/>
          <w:color w:val="auto"/>
          <w:szCs w:val="21"/>
          <w:highlight w:val="none"/>
          <w:lang w:val="en-US" w:eastAsia="zh-CN"/>
        </w:rPr>
        <w:t xml:space="preserve">要求对</w:t>
      </w:r>
      <w:r>
        <w:rPr>
          <w:rFonts w:hint="eastAsia" w:ascii="宋体" w:hAnsi="宋体"/>
          <w:color w:val="auto"/>
          <w:szCs w:val="21"/>
          <w:highlight w:val="none"/>
          <w:lang w:eastAsia="zh-CN"/>
        </w:rPr>
        <w:t xml:space="preserve">绿雕、花境、容器花箱、立体绿化、花墙</w:t>
      </w:r>
      <w:r>
        <w:rPr>
          <w:rFonts w:hint="eastAsia" w:ascii="宋体" w:hAnsi="宋体"/>
          <w:color w:val="auto"/>
          <w:szCs w:val="21"/>
          <w:highlight w:val="none"/>
          <w:lang w:val="en-US" w:eastAsia="zh-CN"/>
        </w:rPr>
        <w:t xml:space="preserve">进行加固。</w:t>
      </w:r>
      <w:r/>
    </w:p>
    <w:p>
      <w:pPr>
        <w:spacing w:line="360" w:lineRule="auto"/>
        <w:rPr>
          <w:rFonts w:hint="default" w:ascii="宋体" w:hAnsi="宋体" w:eastAsia="宋体"/>
          <w:b/>
          <w:bCs w:val="0"/>
          <w:color w:val="auto"/>
          <w:szCs w:val="21"/>
          <w:highlight w:val="none"/>
          <w:lang w:val="en-US" w:eastAsia="zh-CN"/>
        </w:rPr>
      </w:pP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lang w:val="en-US" w:eastAsia="zh-CN"/>
        </w:rPr>
        <w:t xml:space="preserve">五</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lang w:val="en-US" w:eastAsia="zh-CN"/>
        </w:rPr>
        <w:t xml:space="preserve">中标供应商须对主体结构进行安全检测，并每年提供有资质的第三方出具的安全检测报告。</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 </w:t>
      </w:r>
      <w:r>
        <w:rPr>
          <w:rFonts w:hint="eastAsia" w:ascii="宋体" w:hAnsi="宋体"/>
          <w:b/>
          <w:color w:val="auto"/>
          <w:szCs w:val="21"/>
          <w:highlight w:val="none"/>
          <w:lang w:val="en-US" w:eastAsia="zh-CN"/>
        </w:rPr>
        <w:t xml:space="preserve">八</w:t>
      </w:r>
      <w:r>
        <w:rPr>
          <w:rFonts w:hint="eastAsia" w:ascii="宋体" w:hAnsi="宋体"/>
          <w:b/>
          <w:color w:val="auto"/>
          <w:szCs w:val="21"/>
          <w:highlight w:val="none"/>
        </w:rPr>
        <w:t xml:space="preserve">、服务保障和自罚承诺</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（一）供应商应对照采购文件要求（具体见采购文件第四章），说明所提供已对采购人的需求做出了实质性的响应。</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（二）供应商可以在投标文件中提出不同的服务标准和保障承诺，使评标委员会相信替代服务相同于或优于原需求。</w:t>
      </w:r>
      <w:r/>
    </w:p>
    <w:p>
      <w:pPr>
        <w:jc w:val="left"/>
        <w:spacing w:line="360" w:lineRule="auto"/>
        <w:rPr>
          <w:rFonts w:ascii="仿宋" w:hAnsi="仿宋" w:eastAsia="仿宋"/>
          <w:bCs/>
          <w:color w:val="auto"/>
          <w:sz w:val="24"/>
          <w:highlight w:val="none"/>
        </w:rPr>
      </w:pPr>
      <w:r>
        <w:rPr>
          <w:rFonts w:hint="eastAsia" w:ascii="宋体" w:hAnsi="宋体"/>
          <w:color w:val="auto"/>
          <w:szCs w:val="21"/>
          <w:highlight w:val="none"/>
        </w:rPr>
        <w:t xml:space="preserve">（三）供应商工作期间发生的安全事故或其他财产损失和人身伤害，均由供应商承担相关经济和法律责任。</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  </w:t>
      </w:r>
      <w:r>
        <w:rPr>
          <w:rFonts w:hint="eastAsia" w:ascii="宋体" w:hAnsi="宋体"/>
          <w:b/>
          <w:color w:val="auto"/>
          <w:szCs w:val="21"/>
          <w:highlight w:val="none"/>
          <w:lang w:val="en-US" w:eastAsia="zh-CN"/>
        </w:rPr>
        <w:t xml:space="preserve">九</w:t>
      </w:r>
      <w:r>
        <w:rPr>
          <w:rFonts w:hint="eastAsia" w:ascii="宋体" w:hAnsi="宋体"/>
          <w:b/>
          <w:color w:val="auto"/>
          <w:szCs w:val="21"/>
          <w:highlight w:val="none"/>
        </w:rPr>
        <w:t xml:space="preserve">、其他要求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（一）供应商不得利用服务区域内的资源从事其他经营或非法活动，不能改变其服务性质。</w:t>
      </w:r>
      <w:r/>
    </w:p>
    <w:p>
      <w:pPr>
        <w:spacing w:line="360" w:lineRule="auto"/>
        <w:rPr>
          <w:rFonts w:hint="eastAsia" w:ascii="宋体" w:hAnsi="宋体" w:eastAsia="宋体"/>
          <w:b/>
          <w:bCs/>
          <w:color w:val="auto"/>
          <w:szCs w:val="21"/>
          <w:highlight w:val="none"/>
          <w:lang w:eastAsia="zh-CN"/>
        </w:rPr>
      </w:pPr>
      <w:r>
        <w:rPr>
          <w:rFonts w:hint="eastAsia" w:ascii="宋体" w:hAnsi="宋体"/>
          <w:color w:val="auto"/>
          <w:szCs w:val="21"/>
          <w:highlight w:val="none"/>
        </w:rPr>
        <w:t xml:space="preserve">  （二）供应商须在投标文件中承诺，管理及服务人员具备国家规定的相关资质要求，中标后向采购人提供针对此服务项目的有效的项目负责人及用工人员身份证、相关岗位的上岗证、健康证证明等审核（供应商负责相关费用），若需更换项目负责人或其他用工人员，需经采购人许可。</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十、特别说明</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  （一）供应商应充分考虑所有可能影响到报价的价格及政策等风险因素，一旦中标，服务</w:t>
      </w:r>
      <w:r>
        <w:rPr>
          <w:rFonts w:hint="eastAsia" w:ascii="宋体" w:hAnsi="宋体"/>
          <w:bCs/>
          <w:color w:val="auto"/>
          <w:szCs w:val="21"/>
          <w:highlight w:val="none"/>
          <w:lang w:val="en-US" w:eastAsia="zh-CN"/>
        </w:rPr>
        <w:t xml:space="preserve">单价</w:t>
      </w:r>
      <w:r>
        <w:rPr>
          <w:rFonts w:hint="eastAsia" w:ascii="宋体" w:hAnsi="宋体"/>
          <w:bCs/>
          <w:color w:val="auto"/>
          <w:szCs w:val="21"/>
          <w:highlight w:val="none"/>
        </w:rPr>
        <w:t xml:space="preserve">将包定</w:t>
      </w:r>
      <w:r>
        <w:rPr>
          <w:rFonts w:hint="eastAsia" w:ascii="宋体" w:hAnsi="宋体"/>
          <w:bCs/>
          <w:color w:val="auto"/>
          <w:szCs w:val="21"/>
          <w:highlight w:val="none"/>
          <w:lang w:eastAsia="zh-CN"/>
        </w:rPr>
        <w:t xml:space="preserve">。</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二）各供应商应提供服务运行成本和费用测算以及服务成本、测算依据说明。报价应包括绿雕绿化、花境布置、日常养护、机械设备使用、服务人员的工资预算、法定税费及公众责任保险费和合理利润外，还应包括管理、劳务、服装（工作服、工号牌等）、教育培训、身体检查、保修、通讯、安全保卫、风险及政策性文件规定等各项应有费用，以及为完成采购文件规定的服务工作所涉及到的一切相关费用。</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（三）报价中应考虑因采购人工作需要安排的其他工作所产生的相关费用，固定资产折旧费及服务中损坏物赔偿费由供应商承担。</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（四）报供应商的任何错漏、优惠、竞争性报价不得作为减轻责任、减少服务、增加收费、降低质量的理由。</w:t>
      </w:r>
      <w:r/>
    </w:p>
    <w:p>
      <w:pPr>
        <w:spacing w:line="360" w:lineRule="auto"/>
        <w:rPr>
          <w:rFonts w:hint="eastAsia"/>
          <w:color w:val="auto"/>
          <w:highlight w:val="none"/>
          <w:lang w:val="en-US" w:eastAsia="zh-CN"/>
        </w:rPr>
      </w:pPr>
      <w:r>
        <w:rPr>
          <w:rFonts w:hint="eastAsia" w:ascii="宋体" w:hAnsi="宋体"/>
          <w:bCs/>
          <w:color w:val="auto"/>
          <w:szCs w:val="21"/>
          <w:highlight w:val="none"/>
        </w:rPr>
        <w:t xml:space="preserve">  （五）供应商报价除包含采购文件中列明的项目外还应包括保障服务正常运行应当具有的物资和服务，对服务正常运行应当具有的物资和服务理解不一致的以采购人理解为准。</w:t>
      </w:r>
      <w:r/>
    </w:p>
    <w:p>
      <w:pPr>
        <w:spacing w:line="360" w:lineRule="auto"/>
        <w:rPr>
          <w:rFonts w:hint="eastAsia" w:ascii="宋体" w:hAnsi="宋体" w:eastAsia="宋体" w:cs="Times New Roman"/>
          <w:b/>
          <w:color w:val="auto"/>
          <w:szCs w:val="21"/>
          <w:highlight w:val="none"/>
        </w:rPr>
      </w:pPr>
      <w:r>
        <w:rPr>
          <w:rFonts w:hint="eastAsia" w:ascii="宋体" w:hAnsi="宋体"/>
          <w:b/>
          <w:color w:val="auto"/>
          <w:szCs w:val="21"/>
          <w:highlight w:val="none"/>
        </w:rPr>
        <w:t xml:space="preserve">附件一</w:t>
      </w:r>
      <w:r>
        <w:rPr>
          <w:rFonts w:hint="eastAsia" w:ascii="宋体" w:hAnsi="宋体" w:eastAsia="宋体" w:cs="Times New Roman"/>
          <w:b/>
          <w:color w:val="auto"/>
          <w:szCs w:val="21"/>
          <w:highlight w:val="none"/>
        </w:rPr>
        <w:t xml:space="preserve">《南京市城市绿化养护质量等级标准（试行）》</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附件</w:t>
      </w:r>
      <w:r>
        <w:rPr>
          <w:rFonts w:hint="eastAsia" w:ascii="宋体" w:hAnsi="宋体"/>
          <w:b/>
          <w:color w:val="auto"/>
          <w:szCs w:val="21"/>
          <w:highlight w:val="none"/>
          <w:lang w:val="en-US" w:eastAsia="zh-CN"/>
        </w:rPr>
        <w:t xml:space="preserve">二</w:t>
      </w:r>
      <w:bookmarkStart w:id="26" w:name="_GoBack"/>
      <w:r/>
      <w:bookmarkEnd w:id="26"/>
      <w:r>
        <w:rPr>
          <w:rFonts w:hint="eastAsia" w:ascii="宋体" w:hAnsi="宋体"/>
          <w:b/>
          <w:color w:val="auto"/>
          <w:szCs w:val="21"/>
          <w:highlight w:val="none"/>
        </w:rPr>
        <w:t xml:space="preserve">《南京市城市园林绿雕、容器花箱、花境、立体绿化、花墙养护管理考核办法（试行）》</w:t>
      </w:r>
      <w:r/>
    </w:p>
    <w:p>
      <w:pPr>
        <w:rPr>
          <w:rFonts w:hint="eastAsia"/>
        </w:rPr>
      </w:pPr>
      <w:r>
        <w:rPr>
          <w:rFonts w:hint="eastAsia"/>
        </w:rPr>
        <w:br w:type="page" w:clear="all"/>
      </w:r>
      <w:r/>
    </w:p>
    <w:p>
      <w:pPr>
        <w:pStyle w:val="788"/>
        <w:rPr>
          <w:rFonts w:hint="eastAsia"/>
        </w:rPr>
      </w:pPr>
      <w:r>
        <w:rPr>
          <w:rFonts w:hint="eastAsia"/>
        </w:rPr>
      </w:r>
      <w:r/>
    </w:p>
    <w:p>
      <w:pPr>
        <w:pStyle w:val="750"/>
        <w:numPr>
          <w:ilvl w:val="0"/>
          <w:numId w:val="7"/>
        </w:numPr>
        <w:ind w:left="-5" w:hanging="138"/>
        <w:rPr>
          <w:rFonts w:hint="eastAsia" w:ascii="宋体" w:hAnsi="宋体" w:cs="宋体"/>
        </w:rPr>
      </w:pPr>
      <w:r/>
      <w:bookmarkStart w:id="17" w:name="_Toc27993"/>
      <w:r>
        <w:rPr>
          <w:rFonts w:hint="eastAsia" w:ascii="宋体" w:hAnsi="宋体" w:cs="宋体"/>
        </w:rPr>
        <w:t xml:space="preserve">合同主要条款及格式</w:t>
      </w:r>
      <w:bookmarkEnd w:id="16"/>
      <w:r/>
      <w:bookmarkEnd w:id="17"/>
      <w:r/>
      <w:r/>
    </w:p>
    <w:p>
      <w:pPr>
        <w:jc w:val="center"/>
        <w:spacing w:line="360" w:lineRule="auto"/>
        <w:shd w:val="clear" w:color="auto" w:fill="ffffff"/>
        <w:widowControl/>
        <w:rPr>
          <w:rFonts w:hint="eastAsia" w:ascii="宋体" w:hAnsi="宋体" w:cs="宋体"/>
          <w:sz w:val="44"/>
          <w:szCs w:val="44"/>
          <w:highlight w:val="none"/>
        </w:rPr>
        <w:outlineLvl w:val="9"/>
      </w:pPr>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lang w:val="en-US" w:eastAsia="zh-CN"/>
        </w:rPr>
        <w:t xml:space="preserve">服务</w:t>
      </w:r>
      <w:r>
        <w:rPr>
          <w:rFonts w:hint="eastAsia" w:ascii="宋体" w:hAnsi="宋体" w:cs="宋体"/>
          <w:b/>
          <w:bCs/>
          <w:sz w:val="32"/>
          <w:szCs w:val="32"/>
          <w:highlight w:val="none"/>
        </w:rPr>
        <w:t xml:space="preserve">单位 ：</w:t>
      </w:r>
      <w:r>
        <w:rPr>
          <w:rFonts w:hint="eastAsia" w:ascii="宋体" w:hAnsi="宋体" w:cs="宋体"/>
          <w:b/>
          <w:bCs/>
          <w:sz w:val="32"/>
          <w:szCs w:val="32"/>
          <w:highlight w:val="none"/>
          <w:u w:val="single"/>
        </w:rPr>
        <w:t xml:space="preserve">          </w:t>
      </w:r>
      <w:r/>
    </w:p>
    <w:p>
      <w:pPr>
        <w:ind w:firstLine="1928"/>
        <w:spacing w:line="360" w:lineRule="auto"/>
        <w:shd w:val="clear" w:color="auto" w:fill="ffffff"/>
        <w:widowControl/>
        <w:rPr>
          <w:rFonts w:hint="eastAsia" w:ascii="宋体" w:hAnsi="宋体" w:cs="宋体"/>
          <w:highlight w:val="none"/>
        </w:rPr>
        <w:outlineLvl w:val="9"/>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br w:type="page" w:clear="all"/>
      </w:r>
      <w:r/>
    </w:p>
    <w:p>
      <w:pPr>
        <w:rPr>
          <w:rFonts w:hint="eastAsia"/>
        </w:rPr>
      </w:pPr>
      <w:r>
        <w:rPr>
          <w:rFonts w:hint="eastAsia"/>
        </w:rPr>
      </w:r>
      <w:r/>
    </w:p>
    <w:p>
      <w:pPr>
        <w:jc w:val="center"/>
        <w:spacing w:line="360" w:lineRule="auto"/>
        <w:shd w:val="clear" w:color="auto" w:fill="ffffff"/>
        <w:widowControl/>
        <w:rPr>
          <w:rFonts w:hint="eastAsia" w:ascii="宋体" w:hAnsi="宋体" w:eastAsia="宋体" w:cs="宋体"/>
          <w:b/>
          <w:bCs/>
          <w:color w:val="auto"/>
          <w:sz w:val="28"/>
          <w:szCs w:val="28"/>
          <w:highlight w:val="none"/>
        </w:rPr>
      </w:pPr>
      <w:r/>
      <w:bookmarkStart w:id="18" w:name="_Toc15886"/>
      <w:r>
        <w:rPr>
          <w:rFonts w:hint="eastAsia" w:ascii="宋体" w:hAnsi="宋体" w:eastAsia="宋体" w:cs="宋体"/>
          <w:b/>
          <w:bCs/>
          <w:color w:val="auto"/>
          <w:sz w:val="28"/>
          <w:szCs w:val="28"/>
          <w:highlight w:val="none"/>
        </w:rPr>
        <w:t xml:space="preserve">政府采购合同(服务)(合同编号)</w:t>
      </w:r>
      <w:r/>
    </w:p>
    <w:p>
      <w:p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合同编号：</w:t>
      </w:r>
      <w:r/>
    </w:p>
    <w:p>
      <w:p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政府采购计划号：</w:t>
      </w:r>
      <w:r/>
    </w:p>
    <w:p>
      <w:pPr>
        <w:jc w:val="cente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tbl>
      <w:tblPr>
        <w:tblStyle w:val="760"/>
        <w:tblW w:w="8522"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住所地：</w:t>
            </w:r>
            <w:r/>
          </w:p>
        </w:tc>
      </w:tr>
    </w:tbl>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根据《中华人民共和国政府采购法》、《中华人民共和国民法典》等法律法规的规定，甲乙双方按照江苏省设备成套股份有限公司的招标结果签订本合同。</w:t>
      </w:r>
      <w:r/>
    </w:p>
    <w:p>
      <w:pPr>
        <w:ind w:firstLine="42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第一条合同标的</w:t>
      </w:r>
      <w:r>
        <w:rPr>
          <w:rFonts w:hint="eastAsia" w:ascii="宋体" w:hAnsi="宋体" w:cs="宋体"/>
          <w:color w:val="auto"/>
          <w:szCs w:val="21"/>
          <w:highlight w:val="none"/>
        </w:rPr>
        <w:t xml:space="preserve"> </w:t>
      </w:r>
      <w:r/>
    </w:p>
    <w:p>
      <w:pPr>
        <w:ind w:firstLine="422"/>
        <w:spacing w:line="360" w:lineRule="auto"/>
        <w:shd w:val="clear" w:color="auto" w:fill="ffffff"/>
        <w:widowControl/>
        <w:rPr>
          <w:rFonts w:ascii="宋体" w:hAnsi="宋体" w:cs="宋体"/>
          <w:color w:val="auto"/>
          <w:szCs w:val="21"/>
          <w:highlight w:val="none"/>
        </w:rPr>
      </w:pPr>
      <w:r>
        <w:rPr>
          <w:rFonts w:hint="eastAsia" w:ascii="宋体" w:hAnsi="宋体" w:cs="宋体"/>
          <w:color w:val="000000"/>
          <w:szCs w:val="21"/>
        </w:rPr>
        <w:t xml:space="preserve">乙方根据甲方要求提供下列服务：</w:t>
      </w:r>
      <w:r>
        <w:rPr>
          <w:rFonts w:hint="eastAsia" w:ascii="宋体" w:hAnsi="宋体" w:cs="宋体"/>
          <w:color w:val="auto"/>
          <w:spacing w:val="8"/>
          <w:szCs w:val="21"/>
          <w:highlight w:val="none"/>
          <w:lang w:eastAsia="zh-CN"/>
        </w:rPr>
        <w:t xml:space="preserve">2026、2027年南京市建邺区绿雕、花境等养护服务项目</w:t>
      </w:r>
      <w:r>
        <w:rPr>
          <w:rFonts w:hint="eastAsia" w:ascii="宋体" w:hAnsi="宋体" w:cs="宋体"/>
          <w:color w:val="auto"/>
          <w:szCs w:val="21"/>
          <w:highlight w:val="none"/>
        </w:rPr>
        <w:t xml:space="preserve">。</w:t>
      </w:r>
      <w:r/>
    </w:p>
    <w:p>
      <w:pPr>
        <w:ind w:firstLine="422"/>
        <w:spacing w:line="360" w:lineRule="auto"/>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服务内容：</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（一）完成本项目内绿雕、花境、容器花箱、立体绿化、花墙植物花卉栽植更换、设施维护等日常养护管理作业。</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二）建立与完善工作台账，对采购文件所列明的设施每天巡查，每月按照采购人要求提供工作台帐（含更换、补植、巡查、日常养护等工作量）及下月养护计划备查；对破坏绿雕及容器设施、影响绿化景观、环境卫生等行为予以制止，并及时上报和整改到位。对于采购人及第三方考核单位巡查下发的问题整改菜单，及时整改。</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（三）完成项目范围内突发性和重大性保障工作任务，如文明城市检查、重大活动环境保障等任务；防台防汛及防雪防冻期间，要求养护单位24小时保障。</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（四）完成项目范围内的应急抢险及消险工作。在消险过程中严格确保安全作业；对突发性事件的应急预案做到定期和不定期演练，以便应对突发性事件。</w:t>
      </w:r>
      <w:r/>
    </w:p>
    <w:p>
      <w:pPr>
        <w:pStyle w:val="935"/>
        <w:ind w:firstLine="210"/>
        <w:spacing w:before="0" w:beforeAutospacing="0" w:after="0" w:afterAutospacing="0" w:line="360" w:lineRule="auto"/>
        <w:rPr>
          <w:rFonts w:hint="eastAsia"/>
          <w:b w:val="0"/>
          <w:bCs w:val="0"/>
          <w:color w:val="auto"/>
          <w:sz w:val="21"/>
          <w:szCs w:val="21"/>
          <w:highlight w:val="none"/>
        </w:rPr>
      </w:pPr>
      <w:r>
        <w:rPr>
          <w:rFonts w:hint="eastAsia"/>
          <w:b w:val="0"/>
          <w:bCs w:val="0"/>
          <w:color w:val="auto"/>
          <w:sz w:val="21"/>
          <w:szCs w:val="21"/>
          <w:highlight w:val="none"/>
        </w:rPr>
        <w:t xml:space="preserve">（五）完成项目范围内各类信访、投诉、举报的处理和整改。</w:t>
      </w:r>
      <w:r/>
    </w:p>
    <w:p>
      <w:pPr>
        <w:pStyle w:val="935"/>
        <w:ind w:firstLine="210"/>
        <w:spacing w:before="0" w:beforeAutospacing="0" w:after="0" w:afterAutospacing="0" w:line="360" w:lineRule="auto"/>
        <w:rPr>
          <w:rStyle w:val="873"/>
          <w:rFonts w:hint="eastAsia" w:ascii="宋体" w:hAnsi="宋体" w:eastAsia="宋体" w:cs="宋体"/>
          <w:b w:val="0"/>
          <w:bCs w:val="0"/>
          <w:color w:val="auto"/>
          <w:sz w:val="21"/>
          <w:szCs w:val="21"/>
          <w:highlight w:val="none"/>
          <w:lang w:eastAsia="zh-CN"/>
        </w:rPr>
      </w:pPr>
      <w:r>
        <w:rPr>
          <w:rFonts w:hint="eastAsia"/>
          <w:b w:val="0"/>
          <w:bCs w:val="0"/>
          <w:color w:val="auto"/>
          <w:sz w:val="21"/>
          <w:szCs w:val="21"/>
          <w:highlight w:val="none"/>
        </w:rPr>
        <w:t xml:space="preserve">（六）完成采购人布置的其他临时性工作和指令性任务</w:t>
      </w:r>
      <w:r>
        <w:rPr>
          <w:rStyle w:val="873"/>
          <w:rFonts w:hint="eastAsia" w:ascii="宋体" w:hAnsi="宋体" w:eastAsia="宋体" w:cs="宋体"/>
          <w:b w:val="0"/>
          <w:bCs w:val="0"/>
          <w:color w:val="auto"/>
          <w:sz w:val="21"/>
          <w:szCs w:val="21"/>
          <w:highlight w:val="none"/>
          <w:lang w:eastAsia="zh-CN"/>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第二条合同总价款</w:t>
      </w:r>
      <w:r>
        <w:rPr>
          <w:rFonts w:hint="eastAsia" w:ascii="宋体" w:hAnsi="宋体" w:cs="宋体"/>
          <w:color w:val="auto"/>
          <w:szCs w:val="21"/>
          <w:highlight w:val="none"/>
        </w:rPr>
        <w:t xml:space="preserve"> </w:t>
      </w:r>
      <w:r/>
    </w:p>
    <w:p>
      <w:pPr>
        <w:ind w:firstLine="420"/>
        <w:jc w:val="left"/>
        <w:spacing w:line="360" w:lineRule="auto"/>
        <w:shd w:val="clear" w:color="auto" w:fill="ffffff"/>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shd w:val="clear" w:color="auto" w:fill="ffffff"/>
          <w:lang w:bidi="ar"/>
        </w:rPr>
        <w:t xml:space="preserve">本合同项下服务价款为________</w:t>
      </w:r>
      <w:r>
        <w:rPr>
          <w:rFonts w:hint="eastAsia" w:ascii="宋体" w:hAnsi="宋体" w:cs="宋体"/>
          <w:color w:val="auto"/>
          <w:szCs w:val="21"/>
          <w:highlight w:val="none"/>
          <w:shd w:val="clear" w:color="auto" w:fill="ffffff"/>
          <w:lang w:val="en-US" w:eastAsia="zh-CN" w:bidi="ar"/>
        </w:rPr>
        <w:t xml:space="preserve">万元/年</w:t>
      </w:r>
      <w:r>
        <w:rPr>
          <w:rFonts w:hint="eastAsia" w:ascii="宋体" w:hAnsi="宋体" w:cs="宋体"/>
          <w:color w:val="auto"/>
          <w:szCs w:val="21"/>
          <w:highlight w:val="none"/>
          <w:shd w:val="clear" w:color="auto" w:fill="ffffff"/>
          <w:lang w:bidi="ar"/>
        </w:rPr>
        <w:t xml:space="preserve">（大写）人民币</w:t>
      </w:r>
      <w:r>
        <w:rPr>
          <w:rFonts w:hint="eastAsia" w:ascii="宋体" w:hAnsi="宋体" w:cs="宋体"/>
          <w:color w:val="auto"/>
          <w:szCs w:val="21"/>
          <w:highlight w:val="none"/>
          <w:shd w:val="clear" w:color="auto" w:fill="ffffff"/>
          <w:lang w:eastAsia="zh-CN" w:bidi="ar"/>
        </w:rPr>
        <w:t xml:space="preserve">；</w:t>
      </w:r>
      <w:r>
        <w:rPr>
          <w:rFonts w:hint="eastAsia" w:ascii="宋体" w:hAnsi="宋体" w:cs="宋体"/>
          <w:color w:val="auto"/>
          <w:szCs w:val="21"/>
          <w:highlight w:val="none"/>
          <w:shd w:val="clear" w:color="auto" w:fill="ffffff"/>
        </w:rPr>
        <w:t xml:space="preserve">分项价款在“分项报价表”中有明确规定。</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0"/>
          <w:highlight w:val="none"/>
          <w:lang w:val="en-US" w:eastAsia="zh-CN"/>
        </w:rPr>
        <w:t xml:space="preserve">除合同款以外，</w:t>
      </w:r>
      <w:r>
        <w:rPr>
          <w:rFonts w:hint="eastAsia" w:ascii="宋体" w:hAnsi="宋体" w:cs="宋体"/>
          <w:color w:val="auto"/>
          <w:szCs w:val="21"/>
          <w:highlight w:val="none"/>
        </w:rPr>
        <w:t xml:space="preserve">甲方就本合同不再向乙方支付任何其他款项。</w:t>
      </w:r>
      <w:r/>
    </w:p>
    <w:p>
      <w:pPr>
        <w:ind w:firstLine="413"/>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第三条 组成本合同的有关文件</w:t>
      </w:r>
      <w:r>
        <w:rPr>
          <w:rFonts w:hint="eastAsia" w:ascii="宋体" w:hAnsi="宋体" w:cs="宋体"/>
          <w:color w:val="auto"/>
          <w:szCs w:val="21"/>
          <w:highlight w:val="none"/>
        </w:rPr>
        <w:t xml:space="preserve">  </w:t>
      </w:r>
      <w:r/>
    </w:p>
    <w:p>
      <w:pPr>
        <w:ind w:firstLine="411"/>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招标文件和有关附件是本合同不可分割的组成部分，与本合同具有同等法律效力。</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第四条 权利保证</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第五条 质量保证</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ascii="宋体" w:hAnsi="宋体" w:eastAsia="宋体" w:cs="宋体"/>
          <w:color w:val="auto"/>
          <w:szCs w:val="21"/>
          <w:highlight w:val="none"/>
        </w:rPr>
      </w:pPr>
      <w:r>
        <w:rPr>
          <w:rFonts w:hint="eastAsia" w:ascii="宋体" w:hAnsi="宋体" w:cs="宋体"/>
          <w:b/>
          <w:bCs/>
          <w:color w:val="auto"/>
          <w:szCs w:val="21"/>
          <w:highlight w:val="none"/>
        </w:rPr>
        <w:t xml:space="preserve">第六条 </w:t>
      </w:r>
      <w:r>
        <w:rPr>
          <w:rFonts w:hint="eastAsia" w:ascii="宋体" w:hAnsi="宋体" w:eastAsia="宋体" w:cs="宋体"/>
          <w:b/>
          <w:bCs/>
          <w:color w:val="auto"/>
          <w:szCs w:val="21"/>
          <w:highlight w:val="none"/>
        </w:rPr>
        <w:t xml:space="preserve">交付使用和验收</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Times New Roman"/>
          <w:b w:val="0"/>
          <w:bCs w:val="0"/>
          <w:color w:val="auto"/>
          <w:szCs w:val="21"/>
          <w:highlight w:val="none"/>
          <w:lang w:val="en-US" w:eastAsia="zh-CN"/>
        </w:rPr>
        <w:t xml:space="preserve">服务期</w:t>
      </w:r>
      <w:r>
        <w:rPr>
          <w:rFonts w:hint="eastAsia" w:ascii="宋体" w:hAnsi="宋体" w:cs="Times New Roman"/>
          <w:b w:val="0"/>
          <w:bCs w:val="0"/>
          <w:color w:val="auto"/>
          <w:szCs w:val="21"/>
          <w:highlight w:val="none"/>
          <w:lang w:val="en-US" w:eastAsia="zh-CN"/>
        </w:rPr>
        <w:t xml:space="preserve">：</w:t>
      </w:r>
      <w:r>
        <w:rPr>
          <w:rFonts w:hint="eastAsia" w:ascii="宋体" w:hAnsi="宋体" w:cs="宋体"/>
          <w:color w:val="auto"/>
          <w:szCs w:val="21"/>
          <w:highlight w:val="none"/>
        </w:rPr>
        <w:t xml:space="preserve">详见第四章 采购需求。</w:t>
      </w:r>
      <w:r/>
    </w:p>
    <w:p>
      <w:pPr>
        <w:ind w:firstLine="420"/>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验收标准：按行业通行标准和乙方投标文件的承诺（详见合同附件载明的标准，并不低于国家相关标准）</w:t>
      </w:r>
      <w:r>
        <w:rPr>
          <w:rFonts w:hint="eastAsia" w:ascii="宋体" w:hAnsi="宋体" w:eastAsia="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第七条 合同款支付</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1、本合同项下所有款项均以人民币支付。</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2、本合同项下的采购资金由甲方自行支付，乙方向甲方开具发票。</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w:t>
      </w:r>
      <w:r>
        <w:rPr>
          <w:rFonts w:hint="eastAsia" w:ascii="宋体" w:hAnsi="宋体" w:eastAsia="宋体" w:cs="Times New Roman"/>
          <w:b w:val="0"/>
          <w:bCs w:val="0"/>
          <w:color w:val="auto"/>
          <w:szCs w:val="21"/>
          <w:highlight w:val="none"/>
          <w:lang w:val="en-US" w:eastAsia="zh-CN"/>
        </w:rPr>
        <w:t xml:space="preserve">按照</w:t>
      </w:r>
      <w:r>
        <w:rPr>
          <w:rFonts w:hint="eastAsia" w:ascii="宋体" w:hAnsi="宋体" w:cs="Times New Roman"/>
          <w:b w:val="0"/>
          <w:bCs w:val="0"/>
          <w:color w:val="auto"/>
          <w:szCs w:val="21"/>
          <w:highlight w:val="none"/>
          <w:lang w:val="en-US" w:eastAsia="zh-CN"/>
        </w:rPr>
        <w:t xml:space="preserve">采购</w:t>
      </w:r>
      <w:r>
        <w:rPr>
          <w:rFonts w:hint="eastAsia" w:ascii="宋体" w:hAnsi="宋体" w:eastAsia="宋体" w:cs="Times New Roman"/>
          <w:b w:val="0"/>
          <w:bCs w:val="0"/>
          <w:color w:val="auto"/>
          <w:szCs w:val="21"/>
          <w:highlight w:val="none"/>
          <w:lang w:val="en-US" w:eastAsia="zh-CN"/>
        </w:rPr>
        <w:t xml:space="preserve">文件执行。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第八条 违约责任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１、甲方若无正当理由拒绝验收或拒付款的，甲方应向乙方偿付合同总价5%的违约金。</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２、甲方若未按合同规定的期限向乙方支付合同款的，每逾期1天甲方向乙方偿付欠款总额的5‰滞纳金，但累计滞纳金总额不超过欠款总额的5%。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3、乙方若逾期交付</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，每逾期1天，乙方应向甲方偿付合同总额5‰的滞纳金，但累计滞纳金总额不超过合同总价款的5%。如乙方逾期交付达10天，甲方有权解除合同，解除合同的通知自到达乙方时生效。</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4、乙方所交付的</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不符合合同规定的，甲方有权拒收且甲方有权不予支付未付合同价款。甲方拒收的，乙方应向甲方支付合同总价款5%的违约金。甲方未拒收的，要求乙方按照合同规定提供供货服务。</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乙方未按本合同的规定提供服务的，应按合同总价款5%向甲方承担违约责任。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6、乙方虚假承诺，或经权威部门检测提供服务不能满足采购文件要求，或是由于乙方的过错造成合同无法继续履行的，还应向甲方支付不少于合同总价30%赔偿金。</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第九条 合同的变更和终止</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2、除发生法律规定的不能预见、不能避免并不能克服的客观情况外，甲乙双方不得放弃或拒绝履行合同。乙方放弃或拒绝履行合同，在三年内不得参加</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组织的政府采购活动。</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第十条 合同的转让</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第十一条 争议的解决</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1、因履行本合同引起的或与本合同有关的争议，甲、乙双方应首先通过友好协商解决，如果协商不能解决争议，则采取以下第（</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）种方式解决争议：</w:t>
      </w:r>
      <w:r/>
    </w:p>
    <w:p>
      <w:pPr>
        <w:ind w:firstLine="56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（1）向甲方所在地有管辖权的人民法院提起诉讼；</w:t>
      </w:r>
      <w:r/>
    </w:p>
    <w:p>
      <w:pPr>
        <w:ind w:firstLine="56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（2）向南京仲裁委员会按其仲裁规则申请仲裁。</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2、在仲裁期间，本合同应继续履行。</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第十二条 诚实信用</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第十三条 合同生效及其他</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1、本合同自签订之日起生效。</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2、本合同一式两份，甲乙双方各执一份。</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3、本合同应按照中华人民共和国的现行法律进行解释。</w:t>
      </w:r>
      <w:r/>
    </w:p>
    <w:p>
      <w:pPr>
        <w:ind w:firstLine="420"/>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tbl>
      <w:tblPr>
        <w:tblStyle w:val="76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法定或委托代表人</w:t>
            </w:r>
            <w:r>
              <w:rPr>
                <w:rFonts w:hint="eastAsia" w:ascii="宋体" w:hAnsi="宋体" w:cs="宋体"/>
                <w:color w:val="auto"/>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法定或委托代表人</w:t>
            </w:r>
            <w:r>
              <w:rPr>
                <w:rFonts w:hint="eastAsia" w:ascii="宋体" w:hAnsi="宋体" w:cs="宋体"/>
                <w:color w:val="auto"/>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账</w:t>
            </w:r>
            <w:r>
              <w:rPr>
                <w:rFonts w:hint="eastAsia" w:ascii="宋体" w:hAnsi="宋体" w:cs="宋体"/>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账</w:t>
            </w:r>
            <w:r>
              <w:rPr>
                <w:rFonts w:hint="eastAsia" w:ascii="宋体" w:hAnsi="宋体" w:cs="宋体"/>
                <w:color w:val="auto"/>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tc>
      </w:tr>
    </w:tbl>
    <w:p>
      <w:pPr>
        <w:pStyle w:val="792"/>
        <w:spacing w:before="0" w:beforeAutospacing="0" w:after="0" w:afterAutospacing="0" w:line="276" w:lineRule="auto"/>
        <w:rPr>
          <w:rFonts w:hint="eastAsia"/>
          <w:highlight w:val="none"/>
        </w:rPr>
      </w:pPr>
      <w:r>
        <w:rPr>
          <w:rFonts w:hint="eastAsia"/>
          <w:highlight w:val="none"/>
        </w:rPr>
      </w:r>
      <w:r/>
    </w:p>
    <w:p>
      <w:pPr>
        <w:jc w:val="left"/>
        <w:widowControl/>
        <w:rPr>
          <w:rFonts w:hint="eastAsia" w:ascii="宋体" w:hAnsi="宋体" w:cs="宋体"/>
          <w:b/>
          <w:bCs/>
          <w:sz w:val="32"/>
          <w:szCs w:val="44"/>
        </w:rPr>
      </w:pPr>
      <w:r>
        <w:rPr>
          <w:rFonts w:hint="eastAsia" w:ascii="宋体" w:hAnsi="宋体" w:cs="宋体"/>
        </w:rPr>
        <w:br w:type="page" w:clear="all"/>
      </w:r>
      <w:r/>
    </w:p>
    <w:p>
      <w:pPr>
        <w:pStyle w:val="750"/>
        <w:numPr>
          <w:ilvl w:val="0"/>
          <w:numId w:val="7"/>
        </w:numPr>
        <w:ind w:left="0"/>
        <w:rPr>
          <w:rFonts w:hint="eastAsia" w:ascii="宋体" w:hAnsi="宋体" w:cs="宋体"/>
        </w:rPr>
      </w:pPr>
      <w:r/>
      <w:bookmarkStart w:id="19" w:name="_Toc2050"/>
      <w:r>
        <w:rPr>
          <w:rFonts w:hint="eastAsia" w:ascii="宋体" w:hAnsi="宋体" w:cs="宋体"/>
        </w:rPr>
        <w:t xml:space="preserve">投标文件格式及附件</w:t>
      </w:r>
      <w:bookmarkEnd w:id="18"/>
      <w:r/>
      <w:bookmarkEnd w:id="19"/>
      <w:r/>
      <w:r/>
    </w:p>
    <w:p>
      <w:pPr>
        <w:pStyle w:val="806"/>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312" w:after="312"/>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贵方组织的其他采购人式采购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lang w:val="zh-CN"/>
        </w:rPr>
      </w:pPr>
      <w:r>
        <w:rPr>
          <w:rFonts w:hint="eastAsia" w:ascii="宋体" w:hAnsi="宋体" w:cs="宋体"/>
          <w:b/>
          <w:bCs/>
          <w:szCs w:val="21"/>
        </w:rPr>
        <w:br w:type="page" w:clear="all"/>
      </w:r>
      <w:bookmarkStart w:id="20" w:name="_Toc26810"/>
      <w:r>
        <w:rPr>
          <w:rFonts w:hint="eastAsia" w:ascii="宋体" w:hAnsi="宋体" w:cs="宋体"/>
          <w:b/>
          <w:bCs/>
          <w:szCs w:val="21"/>
          <w:lang w:val="zh-CN"/>
        </w:rPr>
        <w:t xml:space="preserve">附件三、</w:t>
      </w:r>
      <w:bookmarkEnd w:id="20"/>
      <w:r>
        <w:rPr>
          <w:rFonts w:hint="eastAsia" w:ascii="宋体" w:hAnsi="宋体" w:cs="宋体"/>
          <w:b/>
          <w:bCs/>
          <w:szCs w:val="21"/>
          <w:lang w:val="zh-CN"/>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764"/>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p>
    <w:tbl>
      <w:tblPr>
        <w:tblStyle w:val="760"/>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132"/>
        <w:gridCol w:w="2693"/>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132" w:type="dxa"/>
            <w:vAlign w:val="center"/>
            <w:textDirection w:val="lrTb"/>
            <w:noWrap w:val="false"/>
          </w:tcPr>
          <w:p>
            <w:pPr>
              <w:pStyle w:val="764"/>
              <w:ind w:firstLine="440"/>
              <w:rPr>
                <w:sz w:val="30"/>
                <w:szCs w:val="30"/>
              </w:rPr>
            </w:pPr>
            <w:r>
              <w:rPr>
                <w:rFonts w:hint="eastAsia" w:ascii="宋体" w:hAnsi="宋体" w:cs="宋体"/>
                <w:sz w:val="22"/>
                <w:szCs w:val="22"/>
              </w:rPr>
              <w:t xml:space="preserve">详见苏采云系统</w:t>
            </w:r>
            <w:r/>
          </w:p>
        </w:tc>
        <w:tc>
          <w:tcPr>
            <w:tcW w:w="2693" w:type="dxa"/>
            <w:vAlign w:val="center"/>
            <w:textDirection w:val="lrTb"/>
            <w:noWrap w:val="false"/>
          </w:tcPr>
          <w:p>
            <w:pPr>
              <w:spacing w:line="440" w:lineRule="exact"/>
              <w:rPr>
                <w:rFonts w:hint="default" w:ascii="宋体" w:hAnsi="宋体" w:eastAsia="宋体" w:cs="宋体"/>
                <w:szCs w:val="21"/>
                <w:lang w:val="en-US" w:eastAsia="zh-CN"/>
              </w:rPr>
            </w:pPr>
            <w:r>
              <w:rPr>
                <w:rFonts w:hint="eastAsia" w:ascii="宋体" w:hAnsi="宋体" w:cs="宋体"/>
                <w:b/>
                <w:bCs/>
                <w:szCs w:val="21"/>
                <w:highlight w:val="yellow"/>
              </w:rPr>
              <w:t xml:space="preserve">备注</w:t>
            </w:r>
            <w:r>
              <w:rPr>
                <w:rFonts w:hint="eastAsia" w:ascii="宋体" w:hAnsi="宋体" w:cs="宋体"/>
                <w:b/>
                <w:bCs/>
                <w:szCs w:val="21"/>
                <w:highlight w:val="yellow"/>
                <w:lang w:eastAsia="zh-CN"/>
              </w:rPr>
              <w:t xml:space="preserve">：</w:t>
            </w:r>
            <w:r>
              <w:rPr>
                <w:rFonts w:hint="eastAsia" w:ascii="宋体" w:hAnsi="宋体" w:cs="宋体"/>
                <w:b/>
                <w:bCs/>
                <w:szCs w:val="21"/>
                <w:highlight w:val="yellow"/>
                <w:lang w:val="en-US" w:eastAsia="zh-CN"/>
              </w:rPr>
              <w:t xml:space="preserve">请注意这里填写两年度总价！！！！(苏采云系统开标一览表填写两年度总价！！！！)</w:t>
            </w:r>
            <w:r/>
          </w:p>
        </w:tc>
      </w:tr>
      <w:tr>
        <w:trPr>
          <w:trHeight w:val="829"/>
        </w:trPr>
        <w:tc>
          <w:tcPr>
            <w:tcW w:w="1524"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tcW w:w="5132" w:type="dxa"/>
            <w:vAlign w:val="center"/>
            <w:textDirection w:val="lrTb"/>
            <w:noWrap w:val="false"/>
          </w:tcPr>
          <w:p>
            <w:pPr>
              <w:pStyle w:val="764"/>
              <w:ind w:firstLine="472"/>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p>
            <w:pPr>
              <w:ind w:firstLine="472"/>
              <w:spacing w:line="440" w:lineRule="exact"/>
              <w:rPr>
                <w:rFonts w:hint="eastAsia" w:ascii="宋体" w:hAnsi="宋体" w:cs="宋体"/>
                <w:szCs w:val="21"/>
              </w:rPr>
            </w:pPr>
            <w:r>
              <w:rPr>
                <w:rFonts w:hint="eastAsia" w:ascii="宋体" w:hAnsi="宋体" w:cs="宋体"/>
                <w:szCs w:val="21"/>
              </w:rPr>
            </w:r>
            <w:r/>
          </w:p>
        </w:tc>
      </w:tr>
      <w:tr>
        <w:trPr>
          <w:trHeight w:val="829"/>
        </w:trPr>
        <w:tc>
          <w:tcPr>
            <w:tcW w:w="1524" w:type="dxa"/>
            <w:vAlign w:val="center"/>
            <w:textDirection w:val="lrTb"/>
            <w:noWrap w:val="false"/>
          </w:tcPr>
          <w:p>
            <w:pPr>
              <w:pStyle w:val="764"/>
              <w:ind w:firstLine="0"/>
              <w:jc w:val="center"/>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5132" w:type="dxa"/>
            <w:vAlign w:val="center"/>
            <w:textDirection w:val="lrTb"/>
            <w:noWrap w:val="false"/>
          </w:tcPr>
          <w:p>
            <w:pPr>
              <w:pStyle w:val="764"/>
              <w:ind w:firstLine="474"/>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tc>
      </w:tr>
    </w:tbl>
    <w:p>
      <w:pPr>
        <w:pStyle w:val="764"/>
        <w:ind w:firstLine="474"/>
        <w:spacing w:line="440" w:lineRule="exact"/>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numPr>
          <w:ilvl w:val="0"/>
          <w:numId w:val="8"/>
        </w:numPr>
        <w:ind w:firstLine="422"/>
        <w:jc w:val="left"/>
        <w:spacing w:line="360" w:lineRule="auto"/>
        <w:shd w:val="clear" w:color="auto" w:fill="ffffff"/>
        <w:widowControl/>
        <w:rPr>
          <w:rFonts w:hint="eastAsia" w:ascii="宋体" w:hAnsi="宋体" w:cs="宋体"/>
          <w:b/>
          <w:bCs/>
          <w:szCs w:val="21"/>
        </w:rPr>
      </w:pPr>
      <w:r/>
      <w:bookmarkStart w:id="21"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pageBreakBefore/>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1"/>
      <w:r>
        <w:rPr>
          <w:rFonts w:hint="eastAsia" w:ascii="宋体" w:hAnsi="宋体" w:cs="宋体"/>
          <w:b/>
          <w:bCs/>
          <w:szCs w:val="21"/>
          <w:lang w:val="zh-CN"/>
        </w:rPr>
        <w:br/>
      </w:r>
      <w:r>
        <w:rPr>
          <w:rFonts w:hint="eastAsia" w:ascii="宋体" w:hAnsi="宋体" w:eastAsia="宋体" w:cs="宋体"/>
          <w:b/>
          <w:bCs/>
          <w:i w:val="0"/>
          <w:iCs w:val="0"/>
          <w:color w:val="000000"/>
          <w:sz w:val="18"/>
          <w:szCs w:val="18"/>
          <w:u w:val="none"/>
          <w:lang w:val="en-US" w:eastAsia="zh-CN" w:bidi="ar"/>
        </w:rPr>
        <w:t xml:space="preserve">花箱</w:t>
      </w:r>
      <w:r/>
    </w:p>
    <w:tbl>
      <w:tblPr>
        <w:tblStyle w:val="760"/>
        <w:tblW w:w="996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2008"/>
        <w:gridCol w:w="972"/>
        <w:gridCol w:w="825"/>
        <w:gridCol w:w="1019"/>
        <w:gridCol w:w="1001"/>
        <w:gridCol w:w="965"/>
        <w:gridCol w:w="958"/>
        <w:gridCol w:w="7"/>
        <w:gridCol w:w="1751"/>
      </w:tblGrid>
      <w:tr>
        <w:trPr>
          <w:trHeight w:val="116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设施量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现有数量</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花箱含税单价（元/㎡）</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花箱含税合价（元）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63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87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牡丹江街及新安江街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组合花箱形式二</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87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政务服务中心西广场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组合花箱形式四</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63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南京江东门纪念馆茶亭东街</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栏杆花箱四</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水西门桥</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鞍式挂箱</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全年3次容器更换草花</w:t>
            </w:r>
            <w:r/>
          </w:p>
        </w:tc>
      </w:tr>
      <w:tr>
        <w:trPr>
          <w:trHeight w:val="63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江东门纪念馆江汊路隧道两侧护栏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高架挂箱</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茶亭东街路沿线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灯杆挂花</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全年3次容器更换草花</w:t>
            </w:r>
            <w:r/>
          </w:p>
        </w:tc>
      </w:tr>
      <w:tr>
        <w:trPr>
          <w:trHeight w:val="87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水西门大街组合花箱五一新增</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组合花箱形式五</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87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水西门大街公交站台组合花箱五一新增</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组合花箱形式二</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87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奥体中心东门人行道边五一新增</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组合花箱形式四</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87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政务中心西门人行道五一新增</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组合花箱形式四</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全年4次常态模式，3次节庆模式</w:t>
            </w:r>
            <w:r/>
          </w:p>
        </w:tc>
      </w:tr>
      <w:tr>
        <w:trPr>
          <w:trHeight w:val="414"/>
        </w:trPr>
        <w:tc>
          <w:tcPr>
            <w:gridSpan w:val="5"/>
            <w:shd w:val="clear" w:color="auto" w:fill="auto"/>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9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3"/>
        </w:trPr>
        <w:tc>
          <w:tcPr>
            <w:gridSpan w:val="5"/>
            <w:shd w:val="clear" w:color="auto" w:fill="auto"/>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花箱总价（元/年）（含税）</w:t>
            </w:r>
            <w:r/>
          </w:p>
        </w:tc>
        <w:tc>
          <w:tcPr>
            <w:gridSpan w:val="4"/>
            <w:shd w:val="clear" w:color="auto" w:fill="auto"/>
            <w:tcBorders>
              <w:top w:val="single" w:color="000000" w:sz="4" w:space="0"/>
              <w:left w:val="single" w:color="000000" w:sz="4" w:space="0"/>
              <w:bottom w:val="single" w:color="000000" w:sz="4" w:space="0"/>
              <w:right w:val="single" w:color="auto" w:sz="4" w:space="0"/>
            </w:tcBorders>
            <w:tcW w:w="29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auto" w:sz="4" w:space="0"/>
              <w:bottom w:val="single" w:color="000000" w:sz="4" w:space="0"/>
              <w:right w:val="single" w:color="000000" w:sz="4" w:space="0"/>
            </w:tcBorders>
            <w:tcW w:w="17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bl>
    <w:p>
      <w:pPr>
        <w:jc w:val="left"/>
        <w:spacing w:line="240" w:lineRule="atLeast"/>
        <w:widowControl/>
        <w:rPr>
          <w:rFonts w:hint="eastAsia" w:ascii="宋体" w:hAnsi="宋体" w:cs="宋体"/>
          <w:b/>
          <w:bCs/>
          <w:lang w:val="zh-CN"/>
        </w:rPr>
      </w:pPr>
      <w:r>
        <w:rPr>
          <w:rFonts w:hint="eastAsia" w:ascii="宋体" w:hAnsi="宋体" w:cs="宋体"/>
          <w:b/>
          <w:bCs/>
          <w:lang w:val="zh-CN"/>
        </w:rPr>
        <w:t xml:space="preserve">绿雕（及花卉）</w:t>
      </w:r>
      <w:r/>
    </w:p>
    <w:tbl>
      <w:tblPr>
        <w:tblStyle w:val="760"/>
        <w:tblW w:w="985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7"/>
        <w:gridCol w:w="1841"/>
        <w:gridCol w:w="896"/>
        <w:gridCol w:w="757"/>
        <w:gridCol w:w="940"/>
        <w:gridCol w:w="831"/>
        <w:gridCol w:w="829"/>
        <w:gridCol w:w="829"/>
        <w:gridCol w:w="5"/>
        <w:gridCol w:w="830"/>
        <w:gridCol w:w="835"/>
        <w:gridCol w:w="835"/>
      </w:tblGrid>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主题</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花卉面积</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绿雕表面积</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花卉含税单价（元/㎡）</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绿雕含税单价（元/㎡）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花卉含税合价（元）</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绿雕含税合价（元）</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花卉及绿雕含税合价（元）</w:t>
            </w:r>
            <w:r/>
          </w:p>
        </w:tc>
      </w:tr>
      <w:tr>
        <w:trPr>
          <w:trHeight w:val="547"/>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江东中路中分带奥体中心段绿雕</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拼搏</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892"/>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江东中路万达广场北侧岛头绿雕</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鸣春</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892"/>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江东中路万达广场南侧岛头绿雕</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花开</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892"/>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江东路有轨电车带状绿地绿雕</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逐浪</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892"/>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江东路江山大街绿雕</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同舟共济</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892"/>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市儿童医院有轨电车中分带绿雕</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海洋之声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新安江景点绿雕</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拱门、花球</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892"/>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牡丹江绿雕</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蝴蝶、花朵</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全年整体换草次数不少于2次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547"/>
        </w:trPr>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1895</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448"/>
        </w:trPr>
        <w:tc>
          <w:tcPr>
            <w:gridSpan w:val="9"/>
            <w:shd w:val="clear" w:color="auto" w:fill="auto"/>
            <w:tcBorders>
              <w:top w:val="single" w:color="000000" w:sz="4" w:space="0"/>
              <w:left w:val="single" w:color="000000" w:sz="4" w:space="0"/>
              <w:bottom w:val="single" w:color="000000" w:sz="4" w:space="0"/>
              <w:right w:val="single" w:color="auto" w:sz="4" w:space="0"/>
            </w:tcBorders>
            <w:tcW w:w="73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绿雕（及花卉）总价（元/年）（含税）</w:t>
            </w:r>
            <w:r/>
          </w:p>
        </w:tc>
        <w:tc>
          <w:tcPr>
            <w:gridSpan w:val="3"/>
            <w:shd w:val="clear" w:color="auto" w:fill="auto"/>
            <w:tcBorders>
              <w:top w:val="single" w:color="000000" w:sz="4" w:space="0"/>
              <w:left w:val="single" w:color="auto"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bl>
    <w:p>
      <w:pPr>
        <w:jc w:val="left"/>
        <w:spacing w:line="240" w:lineRule="atLeast"/>
        <w:widowControl/>
        <w:rPr>
          <w:rFonts w:hint="eastAsia" w:ascii="宋体" w:hAnsi="宋体" w:cs="宋体"/>
          <w:b/>
          <w:bCs/>
          <w:lang w:val="en-US" w:eastAsia="zh-CN"/>
        </w:rPr>
      </w:pPr>
      <w:r>
        <w:rPr>
          <w:rFonts w:hint="eastAsia" w:ascii="宋体" w:hAnsi="宋体" w:cs="宋体"/>
          <w:b/>
          <w:bCs/>
          <w:lang w:val="en-US" w:eastAsia="zh-CN"/>
        </w:rPr>
        <w:t xml:space="preserve">花镜</w:t>
      </w:r>
      <w:r/>
    </w:p>
    <w:tbl>
      <w:tblPr>
        <w:tblStyle w:val="760"/>
        <w:tblW w:w="100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3214"/>
        <w:gridCol w:w="1560"/>
        <w:gridCol w:w="1320"/>
        <w:gridCol w:w="1631"/>
        <w:gridCol w:w="1610"/>
        <w:gridCol w:w="5"/>
      </w:tblGrid>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花境名称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花境面积（㎡）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花境含税单价（元/㎡）</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花境含税合价（元）</w:t>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扬子江大道金沙江西街</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扬子江大道青奥南路</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梦都大街平交口交通岛绿地4处</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江东中路（奥体中心东门处）分车绿地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河西大街恒山路西南角路侧绿地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河西大街凤台南路高架上口处</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河西大街-江东路路口东侧中分带</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河西大街-庐山路路口西侧中分带</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河西大街-庐山路路口东侧中分带</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河西大街-恒山路路口西侧中分带</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河西大街-恒山路路口东侧中分带</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河西大街-黄山路路口西侧中分带</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河西大街-黄山路路口东侧中分带</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江东路（集庆门大街平交口）三角岛</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江东中路沿线各侧分带岛头（应天大街至河西大街沿线）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江东中路中间分车带自然段</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黄山路平交口西北角绿地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庐山路平交口节点绿地3处</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黄山路应天大街平交口中分带岛头</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黄山路与梦都大街平交口岛头</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庐山路与云锦路平交口三角绿地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8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和平广场节点</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全年花境草花更换不少于4次</w:t>
            </w:r>
            <w:r/>
          </w:p>
        </w:tc>
      </w:tr>
      <w:tr>
        <w:trPr>
          <w:gridAfter w:val="1"/>
          <w:trHeight w:val="540"/>
        </w:trPr>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5682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1"/>
        </w:trPr>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 xml:space="preserve">花境总价（元</w:t>
            </w:r>
            <w:r>
              <w:rPr>
                <w:rStyle w:val="1004"/>
                <w:rFonts w:eastAsia="宋体"/>
                <w:lang w:val="en-US" w:eastAsia="zh-CN" w:bidi="ar"/>
              </w:rPr>
              <w:t xml:space="preserve">/</w:t>
            </w:r>
            <w:r>
              <w:rPr>
                <w:rFonts w:hint="eastAsia" w:ascii="宋体" w:hAnsi="宋体" w:eastAsia="宋体" w:cs="宋体"/>
                <w:b/>
                <w:bCs/>
                <w:i w:val="0"/>
                <w:iCs w:val="0"/>
                <w:color w:val="000000"/>
                <w:sz w:val="18"/>
                <w:szCs w:val="18"/>
                <w:u w:val="none"/>
                <w:lang w:val="en-US" w:eastAsia="zh-CN" w:bidi="ar"/>
              </w:rPr>
              <w:t xml:space="preserve">年）（含税）</w:t>
            </w:r>
            <w:r/>
          </w:p>
        </w:tc>
        <w:tc>
          <w:tcPr>
            <w:gridSpan w:val="5"/>
            <w:shd w:val="clear" w:color="auto" w:fill="auto"/>
            <w:tcBorders>
              <w:top w:val="single" w:color="000000" w:sz="4" w:space="0"/>
              <w:left w:val="single" w:color="000000" w:sz="4" w:space="0"/>
              <w:bottom w:val="single" w:color="000000" w:sz="4" w:space="0"/>
              <w:right w:val="single" w:color="auto" w:sz="4" w:space="0"/>
            </w:tcBorders>
            <w:tcW w:w="61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bl>
    <w:p>
      <w:pPr>
        <w:jc w:val="left"/>
        <w:spacing w:line="240" w:lineRule="atLeast"/>
        <w:widowControl/>
        <w:rPr>
          <w:rFonts w:hint="eastAsia" w:ascii="宋体" w:hAnsi="宋体" w:cs="宋体"/>
          <w:b/>
          <w:bCs/>
          <w:lang w:val="en-US" w:eastAsia="zh-CN"/>
        </w:rPr>
      </w:pPr>
      <w:r>
        <w:rPr>
          <w:rFonts w:hint="eastAsia" w:ascii="宋体" w:hAnsi="宋体" w:cs="宋体"/>
          <w:b/>
          <w:bCs/>
          <w:lang w:val="en-US" w:eastAsia="zh-CN"/>
        </w:rPr>
        <w:t xml:space="preserve">立体绿化</w:t>
      </w:r>
      <w:r/>
    </w:p>
    <w:tbl>
      <w:tblPr>
        <w:tblStyle w:val="760"/>
        <w:tblW w:w="100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3"/>
        <w:gridCol w:w="2527"/>
        <w:gridCol w:w="1218"/>
        <w:gridCol w:w="1031"/>
        <w:gridCol w:w="1270"/>
        <w:gridCol w:w="1206"/>
        <w:gridCol w:w="1206"/>
        <w:gridCol w:w="1120"/>
        <w:gridCol w:w="5"/>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设施名称</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设施量</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立体绿化含税单价（元/㎡）</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立体绿化含税合价（元）</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现有数量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奥体东站框架式立体绿化</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绿化面积约19.66平方米。使用钢结构基座，在自吸水式套盆内填入栽植基质，然后种植盆景15厘米的三色堇植物。绿墙中装有自动水系统，接入水源后，可进行滴灌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无压水源，蓄电池供电</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兴隆大街站框架式立体绿化</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绿化面积约51.98平方米，使用钢结构基座，在墙面垂直绿化箱内填入栽植基质，然后种植麦冬、金边黄杨、红花继木等植物。绿墙中装有自动水系统，接入水源后，可进行滴灌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无压水源，蓄电池供电</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政务大厅框架式立体绿化</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西门外两侧墙面立体绿化，总面积共计350米，使用专供于立体绿化使用的金森女贞、花叶络石、麦冬小苗进行搭配，并利用滴灌循环系统以及远程控制系统对墙面绿化进行补水控水工作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有压水源，有电源</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水西门桥栏杆布置花墙</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无压水源，蓄电池供电</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98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127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gridAfter w:val="1"/>
          <w:trHeight w:val="410"/>
        </w:trPr>
        <w:tc>
          <w:tcPr>
            <w:gridSpan w:val="2"/>
            <w:shd w:val="clear" w:color="auto" w:fill="auto"/>
            <w:tcBorders>
              <w:top w:val="single" w:color="000000" w:sz="4" w:space="0"/>
              <w:left w:val="single" w:color="000000" w:sz="4" w:space="0"/>
              <w:bottom w:val="single" w:color="000000" w:sz="4" w:space="0"/>
              <w:right w:val="single" w:color="000000" w:sz="4" w:space="0"/>
            </w:tcBorders>
            <w:tcW w:w="29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立体绿化总价（元/年）（含税）</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0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bl>
    <w:p>
      <w:pPr>
        <w:jc w:val="left"/>
        <w:spacing w:line="240" w:lineRule="atLeast"/>
        <w:widowControl/>
        <w:rPr>
          <w:rFonts w:hint="default" w:ascii="宋体" w:hAnsi="宋体" w:eastAsia="宋体" w:cs="宋体"/>
          <w:b/>
          <w:bCs/>
          <w:lang w:val="en-US" w:eastAsia="zh-CN"/>
        </w:rPr>
      </w:pPr>
      <w:r>
        <w:rPr>
          <w:rFonts w:hint="default" w:ascii="宋体" w:hAnsi="宋体" w:eastAsia="宋体" w:cs="宋体"/>
          <w:b/>
          <w:bCs/>
          <w:lang w:val="en-US" w:eastAsia="zh-CN"/>
        </w:rPr>
        <w:t xml:space="preserve">花墙</w:t>
      </w:r>
      <w:r/>
    </w:p>
    <w:tbl>
      <w:tblPr>
        <w:tblStyle w:val="760"/>
        <w:tblW w:w="87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5"/>
        <w:gridCol w:w="3412"/>
        <w:gridCol w:w="1644"/>
        <w:gridCol w:w="1388"/>
        <w:gridCol w:w="1698"/>
      </w:tblGrid>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长度（m）</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花墙含税单价（元/m）</w:t>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花墙含税合价（元）</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双和园雨润大街至恒山路段围墙</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江东中路内侧（江东门隧道）</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江东中路外侧（江东门隧道、北圩隧道）</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黄山路（白龙江东街-嘉陵江东街）</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鸿达广场与周边小区之间的分隔设施</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致远外国语小学乐山路分校围墙（乐山路、金沙江西街）</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金沙江西街（江东中路-燕山路北侧）</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328.5</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致远初级中学围墙</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12"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2732.5</w:t>
            </w:r>
            <w:r/>
          </w:p>
        </w:tc>
        <w:tc>
          <w:tcPr>
            <w:shd w:val="clear" w:color="auto" w:fill="auto"/>
            <w:tcBorders>
              <w:top w:val="single" w:color="000000" w:sz="4" w:space="0"/>
              <w:left w:val="single" w:color="000000" w:sz="4" w:space="0"/>
              <w:bottom w:val="single" w:color="000000" w:sz="4" w:space="0"/>
              <w:right w:val="single" w:color="auto" w:sz="4" w:space="0"/>
            </w:tcBorders>
            <w:tcW w:w="1388" w:type="dxa"/>
            <w:vAlign w:val="center"/>
            <w:textDirection w:val="lrTb"/>
            <w:noWrap w:val="false"/>
          </w:tcPr>
          <w:p>
            <w:pPr>
              <w:jc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rPr>
              <w:t xml:space="preserve">/</w:t>
            </w:r>
            <w:r/>
          </w:p>
        </w:tc>
      </w:tr>
      <w:tr>
        <w:trPr>
          <w:trHeight w:val="533"/>
        </w:trPr>
        <w:tc>
          <w:tcPr>
            <w:gridSpan w:val="2"/>
            <w:shd w:val="clear" w:color="auto" w:fill="auto"/>
            <w:tcBorders>
              <w:top w:val="single" w:color="000000" w:sz="4" w:space="0"/>
              <w:left w:val="single" w:color="000000" w:sz="4" w:space="0"/>
              <w:bottom w:val="single" w:color="000000" w:sz="4" w:space="0"/>
              <w:right w:val="single" w:color="000000" w:sz="4" w:space="0"/>
            </w:tcBorders>
            <w:tcW w:w="4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花墙总价（元/年）（含税）</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7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bl>
    <w:p>
      <w:pPr>
        <w:pStyle w:val="771"/>
        <w:ind w:left="0" w:firstLine="0"/>
        <w:rPr>
          <w:rFonts w:hint="eastAsia"/>
          <w:lang w:val="en-US" w:eastAsia="zh-CN"/>
        </w:rPr>
      </w:pPr>
      <w:r>
        <w:rPr>
          <w:rFonts w:hint="eastAsia"/>
          <w:lang w:val="en-US" w:eastAsia="zh-CN"/>
        </w:rPr>
        <w:t xml:space="preserve">总价</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3785"/>
        <w:gridCol w:w="2312"/>
        <w:gridCol w:w="2312"/>
      </w:tblGrid>
      <w:tr>
        <w:trPr/>
        <w:tc>
          <w:tcPr>
            <w:tcW w:w="837" w:type="dxa"/>
            <w:vAlign w:val="center"/>
            <w:textDirection w:val="lrTb"/>
            <w:noWrap w:val="false"/>
          </w:tcPr>
          <w:p>
            <w:pPr>
              <w:jc w:val="center"/>
              <w:rPr>
                <w:rFonts w:hint="default"/>
                <w:b/>
                <w:bCs/>
                <w:vertAlign w:val="baseline"/>
                <w:lang w:val="en-US" w:eastAsia="zh-CN"/>
              </w:rPr>
            </w:pPr>
            <w:r>
              <w:rPr>
                <w:rFonts w:hint="eastAsia"/>
                <w:b/>
                <w:bCs/>
                <w:vertAlign w:val="baseline"/>
                <w:lang w:val="en-US" w:eastAsia="zh-CN"/>
              </w:rPr>
              <w:t xml:space="preserve">序号</w:t>
            </w:r>
            <w:r/>
          </w:p>
        </w:tc>
        <w:tc>
          <w:tcPr>
            <w:tcW w:w="3785" w:type="dxa"/>
            <w:vAlign w:val="center"/>
            <w:textDirection w:val="lrTb"/>
            <w:noWrap w:val="false"/>
          </w:tcPr>
          <w:p>
            <w:pPr>
              <w:jc w:val="center"/>
              <w:rPr>
                <w:rFonts w:hint="default"/>
                <w:b/>
                <w:bCs/>
                <w:vertAlign w:val="baseline"/>
                <w:lang w:val="en-US" w:eastAsia="zh-CN"/>
              </w:rPr>
            </w:pPr>
            <w:r>
              <w:rPr>
                <w:rFonts w:hint="eastAsia"/>
                <w:b/>
                <w:bCs/>
                <w:vertAlign w:val="baseline"/>
                <w:lang w:val="en-US" w:eastAsia="zh-CN"/>
              </w:rPr>
              <w:t xml:space="preserve">项目</w:t>
            </w:r>
            <w:r/>
          </w:p>
        </w:tc>
        <w:tc>
          <w:tcPr>
            <w:tcW w:w="2312" w:type="dxa"/>
            <w:vAlign w:val="center"/>
            <w:textDirection w:val="lrTb"/>
            <w:noWrap w:val="false"/>
          </w:tcPr>
          <w:p>
            <w:pPr>
              <w:jc w:val="center"/>
              <w:rPr>
                <w:rFonts w:hint="default"/>
                <w:b/>
                <w:bCs/>
                <w:vertAlign w:val="baseline"/>
                <w:lang w:val="en-US" w:eastAsia="zh-CN"/>
              </w:rPr>
            </w:pPr>
            <w:r>
              <w:rPr>
                <w:rFonts w:hint="eastAsia"/>
                <w:b/>
                <w:bCs/>
                <w:vertAlign w:val="baseline"/>
                <w:lang w:val="en-US" w:eastAsia="zh-CN"/>
              </w:rPr>
              <w:t xml:space="preserve">合计</w:t>
            </w:r>
            <w:r/>
          </w:p>
        </w:tc>
        <w:tc>
          <w:tcPr>
            <w:tcW w:w="2312" w:type="dxa"/>
            <w:vAlign w:val="center"/>
            <w:textDirection w:val="lrTb"/>
            <w:noWrap w:val="false"/>
          </w:tcPr>
          <w:p>
            <w:pPr>
              <w:jc w:val="center"/>
              <w:rPr>
                <w:rFonts w:hint="default"/>
                <w:b/>
                <w:bCs/>
                <w:vertAlign w:val="baseline"/>
                <w:lang w:val="en-US" w:eastAsia="zh-CN"/>
              </w:rPr>
            </w:pPr>
            <w:r>
              <w:rPr>
                <w:rFonts w:hint="eastAsia"/>
                <w:b/>
                <w:bCs/>
                <w:vertAlign w:val="baseline"/>
                <w:lang w:val="en-US" w:eastAsia="zh-CN"/>
              </w:rPr>
              <w:t xml:space="preserve">备注</w:t>
            </w:r>
            <w:r/>
          </w:p>
        </w:tc>
      </w:tr>
      <w:tr>
        <w:trPr/>
        <w:tc>
          <w:tcPr>
            <w:tcW w:w="837"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1</w:t>
            </w:r>
            <w:r/>
          </w:p>
        </w:tc>
        <w:tc>
          <w:tcPr>
            <w:tcW w:w="3785" w:type="dxa"/>
            <w:vAlign w:val="center"/>
            <w:textDirection w:val="lrTb"/>
            <w:noWrap w:val="false"/>
          </w:tcPr>
          <w:p>
            <w:pPr>
              <w:jc w:val="center"/>
              <w:rPr>
                <w:rFonts w:hint="default"/>
                <w:b/>
                <w:bCs/>
                <w:vertAlign w:val="baseline"/>
                <w:lang w:val="en-US" w:eastAsia="zh-CN"/>
              </w:rPr>
            </w:pPr>
            <w:r>
              <w:rPr>
                <w:rFonts w:hint="default"/>
                <w:b/>
                <w:bCs/>
                <w:vertAlign w:val="baseline"/>
                <w:lang w:val="en-US" w:eastAsia="zh-CN"/>
              </w:rPr>
              <w:t xml:space="preserve">花箱</w:t>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r>
      <w:tr>
        <w:trPr/>
        <w:tc>
          <w:tcPr>
            <w:tcW w:w="837"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2</w:t>
            </w:r>
            <w:r/>
          </w:p>
        </w:tc>
        <w:tc>
          <w:tcPr>
            <w:tcW w:w="3785" w:type="dxa"/>
            <w:vAlign w:val="center"/>
            <w:textDirection w:val="lrTb"/>
            <w:noWrap w:val="false"/>
          </w:tcPr>
          <w:p>
            <w:pPr>
              <w:jc w:val="center"/>
              <w:rPr>
                <w:rFonts w:hint="default"/>
                <w:b/>
                <w:bCs/>
                <w:vertAlign w:val="baseline"/>
                <w:lang w:val="en-US" w:eastAsia="zh-CN"/>
              </w:rPr>
            </w:pPr>
            <w:r>
              <w:rPr>
                <w:rFonts w:hint="default"/>
                <w:b/>
                <w:bCs/>
                <w:vertAlign w:val="baseline"/>
                <w:lang w:val="en-US" w:eastAsia="zh-CN"/>
              </w:rPr>
              <w:t xml:space="preserve">绿雕（及花卉）</w:t>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r>
      <w:tr>
        <w:trPr/>
        <w:tc>
          <w:tcPr>
            <w:tcW w:w="837"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3</w:t>
            </w:r>
            <w:r/>
          </w:p>
        </w:tc>
        <w:tc>
          <w:tcPr>
            <w:tcW w:w="3785" w:type="dxa"/>
            <w:vAlign w:val="center"/>
            <w:textDirection w:val="lrTb"/>
            <w:noWrap w:val="false"/>
          </w:tcPr>
          <w:p>
            <w:pPr>
              <w:jc w:val="center"/>
              <w:rPr>
                <w:rFonts w:hint="default"/>
                <w:b/>
                <w:bCs/>
                <w:vertAlign w:val="baseline"/>
                <w:lang w:val="en-US" w:eastAsia="zh-CN"/>
              </w:rPr>
            </w:pPr>
            <w:r>
              <w:rPr>
                <w:rFonts w:hint="default"/>
                <w:b/>
                <w:bCs/>
                <w:vertAlign w:val="baseline"/>
                <w:lang w:val="en-US" w:eastAsia="zh-CN"/>
              </w:rPr>
              <w:t xml:space="preserve">花境</w:t>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r>
      <w:tr>
        <w:trPr/>
        <w:tc>
          <w:tcPr>
            <w:tcW w:w="837"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4</w:t>
            </w:r>
            <w:r/>
          </w:p>
        </w:tc>
        <w:tc>
          <w:tcPr>
            <w:tcW w:w="3785" w:type="dxa"/>
            <w:vAlign w:val="center"/>
            <w:textDirection w:val="lrTb"/>
            <w:noWrap w:val="false"/>
          </w:tcPr>
          <w:p>
            <w:pPr>
              <w:jc w:val="center"/>
              <w:rPr>
                <w:rFonts w:hint="default"/>
                <w:b/>
                <w:bCs/>
                <w:vertAlign w:val="baseline"/>
                <w:lang w:val="en-US" w:eastAsia="zh-CN"/>
              </w:rPr>
            </w:pPr>
            <w:r>
              <w:rPr>
                <w:rFonts w:hint="default"/>
                <w:b/>
                <w:bCs/>
                <w:vertAlign w:val="baseline"/>
                <w:lang w:val="en-US" w:eastAsia="zh-CN"/>
              </w:rPr>
              <w:t xml:space="preserve">立体绿化</w:t>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r>
      <w:tr>
        <w:trPr/>
        <w:tc>
          <w:tcPr>
            <w:tcW w:w="837"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5</w:t>
            </w:r>
            <w:r/>
          </w:p>
        </w:tc>
        <w:tc>
          <w:tcPr>
            <w:tcW w:w="3785" w:type="dxa"/>
            <w:vAlign w:val="center"/>
            <w:textDirection w:val="lrTb"/>
            <w:noWrap w:val="false"/>
          </w:tcPr>
          <w:p>
            <w:pPr>
              <w:jc w:val="center"/>
              <w:rPr>
                <w:rFonts w:hint="default"/>
                <w:b/>
                <w:bCs/>
                <w:vertAlign w:val="baseline"/>
                <w:lang w:val="en-US" w:eastAsia="zh-CN"/>
              </w:rPr>
            </w:pPr>
            <w:r>
              <w:rPr>
                <w:rFonts w:hint="default"/>
                <w:b/>
                <w:bCs/>
                <w:vertAlign w:val="baseline"/>
                <w:lang w:val="en-US" w:eastAsia="zh-CN"/>
              </w:rPr>
              <w:t xml:space="preserve">花墙</w:t>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r>
      <w:tr>
        <w:trPr/>
        <w:tc>
          <w:tcPr>
            <w:tcW w:w="837"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6</w:t>
            </w:r>
            <w:r/>
          </w:p>
        </w:tc>
        <w:tc>
          <w:tcPr>
            <w:tcW w:w="3785" w:type="dxa"/>
            <w:vAlign w:val="center"/>
            <w:textDirection w:val="lrTb"/>
            <w:noWrap w:val="false"/>
          </w:tcPr>
          <w:p>
            <w:pPr>
              <w:jc w:val="center"/>
              <w:rPr>
                <w:rFonts w:hint="default"/>
                <w:b/>
                <w:bCs/>
                <w:vertAlign w:val="baseline"/>
                <w:lang w:val="en-US" w:eastAsia="zh-CN"/>
              </w:rPr>
            </w:pPr>
            <w:r>
              <w:rPr>
                <w:rFonts w:hint="eastAsia"/>
                <w:b/>
                <w:bCs/>
                <w:vertAlign w:val="baseline"/>
                <w:lang w:val="en-US" w:eastAsia="zh-CN"/>
              </w:rPr>
              <w:t xml:space="preserve">一年度总价合计</w:t>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rPr>
                <w:rFonts w:ascii="Times New Roman" w:hAnsi="Times New Roman" w:eastAsia="Times New Roman" w:cs="Times New Roman"/>
                <w:color w:val="000000"/>
                <w:sz w:val="21"/>
              </w:rPr>
              <w:t xml:space="preserve">1+2+3+4+5</w:t>
            </w:r>
            <w:r>
              <w:rPr>
                <w:rFonts w:ascii="SimSun" w:hAnsi="SimSun" w:eastAsia="SimSun" w:cs="SimSun"/>
                <w:color w:val="000000"/>
                <w:sz w:val="21"/>
              </w:rPr>
              <w:t xml:space="preserve">合计汇总</w:t>
            </w:r>
            <w:r/>
          </w:p>
        </w:tc>
      </w:tr>
      <w:tr>
        <w:trPr/>
        <w:tc>
          <w:tcPr>
            <w:tcW w:w="837"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7</w:t>
            </w:r>
            <w:r/>
          </w:p>
        </w:tc>
        <w:tc>
          <w:tcPr>
            <w:tcW w:w="3785" w:type="dxa"/>
            <w:vAlign w:val="center"/>
            <w:textDirection w:val="lrTb"/>
            <w:noWrap w:val="false"/>
          </w:tcPr>
          <w:p>
            <w:pPr>
              <w:jc w:val="center"/>
              <w:rPr>
                <w:rFonts w:hint="eastAsia"/>
                <w:b/>
                <w:bCs/>
                <w:vertAlign w:val="baseline"/>
                <w:lang w:val="en-US" w:eastAsia="zh-CN"/>
              </w:rPr>
            </w:pPr>
            <w:r>
              <w:rPr>
                <w:rFonts w:hint="eastAsia"/>
                <w:b/>
                <w:bCs/>
                <w:vertAlign w:val="baseline"/>
                <w:lang w:val="en-US" w:eastAsia="zh-CN"/>
              </w:rPr>
              <w:t xml:space="preserve">两年度总价合计</w:t>
            </w:r>
            <w:r/>
          </w:p>
        </w:tc>
        <w:tc>
          <w:tcPr>
            <w:tcW w:w="2312"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合计</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年</w:t>
            </w:r>
            <w:r/>
          </w:p>
        </w:tc>
      </w:tr>
    </w:tbl>
    <w:p>
      <w:pPr>
        <w:rPr>
          <w:rFonts w:hint="default"/>
          <w:lang w:val="en-US" w:eastAsia="zh-CN"/>
        </w:rPr>
      </w:pPr>
      <w:r>
        <w:rPr>
          <w:rFonts w:hint="default"/>
          <w:lang w:val="en-US" w:eastAsia="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7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1"/>
        <w:gridCol w:w="1785"/>
        <w:gridCol w:w="2053"/>
        <w:gridCol w:w="3204"/>
        <w:gridCol w:w="1325"/>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w:t>
      </w:r>
      <w:r>
        <w:rPr>
          <w:rFonts w:hint="eastAsia" w:ascii="宋体" w:hAnsi="宋体" w:cs="宋体"/>
          <w:szCs w:val="21"/>
          <w:lang w:val="en-US" w:eastAsia="zh-CN"/>
        </w:rPr>
        <w:t xml:space="preserve">无偏离或</w:t>
      </w:r>
      <w:r>
        <w:rPr>
          <w:rFonts w:hint="eastAsia" w:ascii="宋体" w:hAnsi="宋体" w:cs="宋体"/>
          <w:szCs w:val="21"/>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76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w:t>
      </w:r>
      <w:r>
        <w:rPr>
          <w:rFonts w:hint="eastAsia" w:ascii="宋体" w:hAnsi="宋体" w:cs="宋体"/>
          <w:szCs w:val="21"/>
          <w:lang w:val="en-US" w:eastAsia="zh-CN"/>
        </w:rPr>
        <w:t xml:space="preserve">无偏离或</w:t>
      </w:r>
      <w:r>
        <w:rPr>
          <w:rFonts w:hint="eastAsia" w:ascii="宋体" w:hAnsi="宋体" w:cs="宋体"/>
          <w:szCs w:val="21"/>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940"/>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76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Style w:val="76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after="312" w:line="480" w:lineRule="auto"/>
        <w:rPr>
          <w:rFonts w:hint="eastAsia" w:ascii="宋体" w:hAnsi="宋体" w:cs="宋体"/>
          <w:b/>
          <w:bCs/>
          <w:sz w:val="28"/>
          <w:szCs w:val="28"/>
        </w:rPr>
      </w:pPr>
      <w:r/>
      <w:bookmarkStart w:id="22" w:name="OLE_LINK13"/>
      <w:r/>
      <w:bookmarkStart w:id="23"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日期：</w:t>
      </w:r>
      <w:r/>
    </w:p>
    <w:p>
      <w:pPr>
        <w:ind w:firstLine="420"/>
        <w:jc w:val="left"/>
        <w:spacing w:line="360" w:lineRule="auto"/>
        <w:widowControl/>
        <w:rPr>
          <w:rFonts w:hint="eastAsia" w:ascii="宋体" w:hAnsi="宋体" w:cs="宋体"/>
        </w:rPr>
      </w:pPr>
      <w:r>
        <w:rPr>
          <w:rFonts w:hint="eastAsia" w:ascii="宋体" w:hAnsi="宋体" w:cs="宋体"/>
        </w:rPr>
      </w:r>
      <w:r/>
    </w:p>
    <w:p>
      <w:pPr>
        <w:ind w:firstLine="420"/>
        <w:jc w:val="left"/>
        <w:spacing w:line="360" w:lineRule="auto"/>
        <w:widowControl/>
        <w:rPr>
          <w:rFonts w:hint="eastAsia" w:ascii="宋体" w:hAnsi="宋体" w:cs="宋体"/>
        </w:rPr>
      </w:pPr>
      <w:r>
        <w:rPr>
          <w:rFonts w:hint="eastAsia" w:ascii="宋体" w:hAnsi="宋体" w:cs="宋体"/>
        </w:rPr>
      </w:r>
      <w:r/>
    </w:p>
    <w:p>
      <w:pPr>
        <w:ind w:firstLine="420"/>
        <w:keepLines/>
        <w:keepNext/>
        <w:rPr>
          <w:rFonts w:ascii="宋体" w:hAnsi="宋体" w:eastAsia="宋体" w:cs="宋体"/>
          <w:szCs w:val="24"/>
        </w:rPr>
        <w:outlineLvl w:val="9"/>
      </w:pPr>
      <w:r>
        <w:rPr>
          <w:rFonts w:hint="eastAsia" w:ascii="宋体" w:hAnsi="宋体" w:eastAsia="宋体" w:cs="宋体"/>
          <w:szCs w:val="24"/>
        </w:rPr>
        <w:t xml:space="preserve">备注：</w:t>
      </w:r>
      <w:r/>
    </w:p>
    <w:p>
      <w:pPr>
        <w:ind w:firstLine="630"/>
        <w:keepLines/>
        <w:keepNext/>
        <w:rPr>
          <w:rFonts w:ascii="宋体" w:hAnsi="宋体" w:eastAsia="宋体" w:cs="宋体"/>
          <w:szCs w:val="24"/>
        </w:rPr>
        <w:outlineLvl w:val="9"/>
      </w:pPr>
      <w:r>
        <w:rPr>
          <w:rFonts w:hint="eastAsia" w:ascii="宋体" w:hAnsi="宋体" w:eastAsia="宋体" w:cs="宋体"/>
          <w:szCs w:val="24"/>
        </w:rPr>
        <w:t xml:space="preserve">1.从业人员、营业收入、资产总额填报上一年度数据，无上一年度数据的新成立企业可不填报。</w:t>
      </w:r>
      <w:r/>
    </w:p>
    <w:p>
      <w:pPr>
        <w:ind w:firstLine="630"/>
        <w:keepLines/>
        <w:keepNext/>
        <w:rPr>
          <w:rFonts w:ascii="宋体" w:hAnsi="宋体" w:eastAsia="宋体" w:cs="宋体"/>
          <w:b/>
          <w:bCs/>
          <w:szCs w:val="24"/>
        </w:rPr>
        <w:outlineLvl w:val="9"/>
      </w:pPr>
      <w:r>
        <w:rPr>
          <w:rFonts w:hint="eastAsia" w:ascii="宋体" w:hAnsi="宋体" w:eastAsia="宋体" w:cs="宋体"/>
          <w:szCs w:val="24"/>
        </w:rPr>
        <w:t xml:space="preserve">2.在货物采购项目中，货物由中小企业制造，即货物由中小企业生产且使用该中小企业商号或者注册商标。</w:t>
      </w:r>
      <w:r>
        <w:rPr>
          <w:rFonts w:hint="eastAsia" w:ascii="宋体" w:hAnsi="宋体" w:eastAsia="宋体" w:cs="宋体"/>
          <w:b/>
          <w:bCs/>
          <w:szCs w:val="24"/>
        </w:rPr>
        <w:t xml:space="preserve">供应商提供的货物既有中小企业制造货物，也有大型企业制造货物的，不享受相应扶持政策。</w:t>
      </w:r>
      <w:r/>
    </w:p>
    <w:p>
      <w:pPr>
        <w:ind w:firstLine="630"/>
        <w:keepLines/>
        <w:keepNext/>
        <w:rPr>
          <w:rFonts w:ascii="宋体" w:hAnsi="宋体" w:eastAsia="宋体" w:cs="宋体"/>
          <w:b/>
          <w:bCs/>
          <w:szCs w:val="24"/>
        </w:rPr>
        <w:outlineLvl w:val="9"/>
      </w:pPr>
      <w:r>
        <w:rPr>
          <w:rFonts w:hint="eastAsia" w:ascii="宋体" w:hAnsi="宋体" w:eastAsia="宋体" w:cs="宋体"/>
          <w:szCs w:val="24"/>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rPr>
        <w:t xml:space="preserve">本采购标的对应的中小企业划分标准所属行业，以采购文件中具体规定为准。</w:t>
      </w:r>
      <w:r/>
    </w:p>
    <w:p>
      <w:pPr>
        <w:ind w:firstLine="632"/>
        <w:keepLines/>
        <w:keepNext/>
        <w:rPr>
          <w:rFonts w:ascii="宋体" w:hAnsi="宋体" w:eastAsia="宋体" w:cs="宋体"/>
          <w:b/>
          <w:bCs/>
          <w:szCs w:val="24"/>
        </w:rPr>
        <w:outlineLvl w:val="9"/>
      </w:pPr>
      <w:r>
        <w:rPr>
          <w:rFonts w:hint="eastAsia" w:ascii="宋体" w:hAnsi="宋体" w:eastAsia="宋体" w:cs="宋体"/>
          <w:b/>
          <w:bCs/>
          <w:szCs w:val="24"/>
        </w:rPr>
        <w:t xml:space="preserve">4.如未对（中型企业、小型企业、微型企业）进行勾选，视同非中小微企业，不可享受相应扶持政策。</w:t>
      </w:r>
      <w:r/>
    </w:p>
    <w:p>
      <w:pPr>
        <w:ind w:left="840" w:hanging="210"/>
        <w:spacing w:line="360" w:lineRule="auto"/>
        <w:rPr>
          <w:rFonts w:ascii="宋体" w:hAnsi="宋体" w:eastAsia="宋体" w:cs="宋体"/>
          <w:szCs w:val="24"/>
          <w:lang w:val="zh-CN"/>
        </w:rPr>
        <w:outlineLvl w:val="9"/>
      </w:pPr>
      <w:r>
        <w:rPr>
          <w:rFonts w:hint="eastAsia" w:ascii="宋体" w:hAnsi="宋体" w:eastAsia="宋体" w:cs="宋体"/>
          <w:szCs w:val="24"/>
        </w:rPr>
        <w:t xml:space="preserve">5.中标单位为中小企业的，《中小企业声明函》将随中标结果同时公告</w:t>
      </w:r>
      <w:r>
        <w:rPr>
          <w:rFonts w:hint="eastAsia" w:ascii="宋体" w:hAnsi="宋体" w:eastAsia="宋体" w:cs="宋体"/>
          <w:szCs w:val="24"/>
          <w:lang w:val="zh-CN"/>
        </w:rPr>
        <w:t xml:space="preserve">。</w:t>
      </w:r>
      <w:r/>
    </w:p>
    <w:p>
      <w:pPr>
        <w:ind w:left="840" w:hanging="210"/>
        <w:spacing w:line="360" w:lineRule="auto"/>
        <w:rPr>
          <w:rFonts w:ascii="宋体" w:hAnsi="宋体" w:eastAsia="宋体" w:cs="宋体"/>
          <w:szCs w:val="24"/>
          <w:lang w:val="zh-CN"/>
        </w:rPr>
        <w:outlineLvl w:val="9"/>
      </w:pPr>
      <w:r>
        <w:rPr>
          <w:rFonts w:ascii="宋体" w:hAnsi="宋体" w:eastAsia="宋体" w:cs="宋体"/>
          <w:szCs w:val="24"/>
          <w:lang w:val="zh-CN"/>
        </w:rPr>
      </w:r>
      <w:r/>
    </w:p>
    <w:p>
      <w:pPr>
        <w:rPr>
          <w:rFonts w:ascii="宋体" w:hAnsi="宋体" w:eastAsia="宋体" w:cs="Times New Roman"/>
          <w:b/>
          <w:szCs w:val="24"/>
        </w:rPr>
        <w:outlineLvl w:val="9"/>
      </w:pPr>
      <w:r>
        <w:rPr>
          <w:rFonts w:hint="eastAsia" w:ascii="宋体" w:hAnsi="宋体" w:eastAsia="宋体" w:cs="Times New Roman"/>
          <w:b/>
          <w:szCs w:val="24"/>
        </w:rPr>
        <w:t xml:space="preserve">附：中小企业划型标准规定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（一）农、林、牧、渔业。</w:t>
      </w:r>
      <w:r>
        <w:rPr>
          <w:rFonts w:hint="eastAsia" w:ascii="宋体" w:hAnsi="宋体" w:eastAsia="宋体" w:cs="Times New Roman"/>
          <w:szCs w:val="24"/>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（二）工业。</w:t>
      </w:r>
      <w:r>
        <w:rPr>
          <w:rFonts w:hint="eastAsia" w:ascii="宋体" w:hAnsi="宋体" w:eastAsia="宋体" w:cs="Times New Roman"/>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（三）建筑业。</w:t>
      </w:r>
      <w:r>
        <w:rPr>
          <w:rFonts w:hint="eastAsia" w:ascii="宋体" w:hAnsi="宋体" w:eastAsia="宋体" w:cs="Times New Roman"/>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（四）批发业。</w:t>
      </w:r>
      <w:r>
        <w:rPr>
          <w:rFonts w:hint="eastAsia" w:ascii="宋体" w:hAnsi="宋体" w:eastAsia="宋体" w:cs="Times New Roman"/>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（五）零售业。</w:t>
      </w:r>
      <w:r>
        <w:rPr>
          <w:rFonts w:hint="eastAsia" w:ascii="宋体" w:hAnsi="宋体" w:eastAsia="宋体" w:cs="Times New Roman"/>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（六）交通运输业。</w:t>
      </w:r>
      <w:r>
        <w:rPr>
          <w:rFonts w:hint="eastAsia" w:ascii="宋体" w:hAnsi="宋体" w:eastAsia="宋体" w:cs="Times New Roman"/>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（七）仓储业。</w:t>
      </w:r>
      <w:r>
        <w:rPr>
          <w:rFonts w:hint="eastAsia" w:ascii="宋体" w:hAnsi="宋体" w:eastAsia="宋体" w:cs="Times New Roman"/>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（八）邮政业。</w:t>
      </w:r>
      <w:r>
        <w:rPr>
          <w:rFonts w:hint="eastAsia" w:ascii="宋体" w:hAnsi="宋体" w:eastAsia="宋体" w:cs="Times New Roman"/>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（九）住宿业。</w:t>
      </w:r>
      <w:r>
        <w:rPr>
          <w:rFonts w:hint="eastAsia" w:ascii="宋体" w:hAnsi="宋体" w:eastAsia="宋体" w:cs="Times New Roman"/>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（十）餐饮业。</w:t>
      </w:r>
      <w:r>
        <w:rPr>
          <w:rFonts w:hint="eastAsia" w:ascii="宋体" w:hAnsi="宋体" w:eastAsia="宋体" w:cs="Times New Roman"/>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（十一）信息传输业。</w:t>
      </w:r>
      <w:r>
        <w:rPr>
          <w:rFonts w:hint="eastAsia" w:ascii="宋体" w:hAnsi="宋体" w:eastAsia="宋体" w:cs="Times New Roman"/>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（十二）软件和信息技术服务业。</w:t>
      </w:r>
      <w:r>
        <w:rPr>
          <w:rFonts w:hint="eastAsia" w:ascii="宋体" w:hAnsi="宋体" w:eastAsia="宋体" w:cs="Times New Roman"/>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（十三）房地产开发经营。</w:t>
      </w:r>
      <w:r>
        <w:rPr>
          <w:rFonts w:hint="eastAsia" w:ascii="宋体" w:hAnsi="宋体" w:eastAsia="宋体" w:cs="Times New Roman"/>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（十四）物业管理。</w:t>
      </w:r>
      <w:r>
        <w:rPr>
          <w:rFonts w:hint="eastAsia" w:ascii="宋体" w:hAnsi="宋体" w:eastAsia="宋体" w:cs="Times New Roman"/>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（十五）租赁和商务服务业。</w:t>
      </w:r>
      <w:r>
        <w:rPr>
          <w:rFonts w:hint="eastAsia" w:ascii="宋体" w:hAnsi="宋体" w:eastAsia="宋体" w:cs="Times New Roman"/>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widowControl/>
        <w:rPr>
          <w:rFonts w:hint="eastAsia" w:ascii="宋体" w:hAnsi="宋体" w:cs="宋体"/>
          <w:b/>
          <w:szCs w:val="21"/>
        </w:rPr>
        <w:outlineLvl w:val="9"/>
      </w:pPr>
      <w:r>
        <w:rPr>
          <w:rFonts w:hint="eastAsia" w:ascii="宋体" w:hAnsi="宋体" w:eastAsia="宋体" w:cs="Times New Roman"/>
          <w:b/>
          <w:szCs w:val="24"/>
        </w:rPr>
        <w:t xml:space="preserve">（十六）其他未列明行业。</w:t>
      </w:r>
      <w:r>
        <w:rPr>
          <w:rFonts w:hint="eastAsia" w:ascii="宋体" w:hAnsi="宋体" w:eastAsia="宋体" w:cs="Times New Roman"/>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sz w:val="28"/>
        </w:rPr>
        <w:sectPr>
          <w:footerReference w:type="default" r:id="rId12"/>
          <w:footerReference w:type="first" r:id="rId13"/>
          <w:footnotePr/>
          <w:endnotePr/>
          <w:type w:val="nextPage"/>
          <w:pgSz w:w="11906" w:h="16838" w:orient="portrait"/>
          <w:pgMar w:top="1440" w:right="1274" w:bottom="1440" w:left="1600" w:header="851" w:footer="992" w:gutter="0"/>
          <w:cols w:num="1" w:sep="0" w:space="720" w:equalWidth="1"/>
          <w:docGrid w:linePitch="360"/>
          <w:titlePg/>
        </w:sect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22"/>
      <w:bookmarkEnd w:id="23"/>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pStyle w:val="805"/>
        <w:rPr>
          <w:rFonts w:hint="eastAsia" w:ascii="宋体" w:hAnsi="宋体" w:cs="宋体"/>
          <w:bCs/>
        </w:rPr>
      </w:pPr>
      <w:r>
        <w:rPr>
          <w:rFonts w:hint="eastAsia" w:ascii="宋体" w:hAnsi="宋体" w:cs="宋体"/>
          <w:bCs/>
        </w:rPr>
      </w:r>
      <w:r/>
    </w:p>
    <w:p>
      <w:pPr>
        <w:pStyle w:val="805"/>
        <w:rPr>
          <w:rFonts w:hint="eastAsia" w:ascii="宋体" w:hAnsi="宋体" w:cs="宋体"/>
          <w:bCs/>
        </w:rPr>
      </w:pPr>
      <w:r>
        <w:rPr>
          <w:rFonts w:hint="eastAsia" w:ascii="宋体" w:hAnsi="宋体" w:cs="宋体"/>
          <w:bCs/>
        </w:rPr>
      </w:r>
      <w:r/>
    </w:p>
    <w:p>
      <w:pPr>
        <w:pStyle w:val="805"/>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rPr>
      </w:pP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bookmarkStart w:id="24" w:name="OLE_LINK16"/>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bookmarkEnd w:id="24"/>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p>
    <w:p>
      <w:pPr>
        <w:spacing w:line="360" w:lineRule="auto"/>
        <w:rPr>
          <w:rFonts w:hint="eastAsia" w:ascii="宋体" w:hAnsi="宋体" w:cs="宋体"/>
          <w:b/>
        </w:rPr>
      </w:pPr>
      <w:r>
        <w:rPr>
          <w:rFonts w:hint="eastAsia" w:ascii="宋体" w:hAnsi="宋体" w:cs="宋体"/>
          <w:b/>
        </w:rPr>
      </w:r>
      <w:r/>
    </w:p>
    <w:p>
      <w:pPr>
        <w:pStyle w:val="771"/>
        <w:ind w:left="1260"/>
      </w:pPr>
      <w:r/>
      <w:r/>
    </w:p>
    <w:p>
      <w:r/>
      <w:r/>
    </w:p>
    <w:p>
      <w:pPr>
        <w:pStyle w:val="771"/>
        <w:ind w:left="1260"/>
      </w:pPr>
      <w:r/>
      <w:r/>
    </w:p>
    <w:p>
      <w:r/>
      <w:r/>
    </w:p>
    <w:p>
      <w:pPr>
        <w:spacing w:line="360" w:lineRule="auto"/>
        <w:rPr>
          <w:rFonts w:hint="eastAsia" w:ascii="宋体" w:hAnsi="宋体" w:cs="宋体"/>
          <w:b/>
        </w:rPr>
      </w:pPr>
      <w:r>
        <w:rPr>
          <w:rFonts w:hint="eastAsia" w:ascii="宋体" w:hAnsi="宋体" w:cs="宋体"/>
          <w:b/>
        </w:rPr>
        <w:t xml:space="preserve">附件十三、承诺书</w:t>
      </w:r>
      <w:r/>
    </w:p>
    <w:p>
      <w:pPr>
        <w:pStyle w:val="805"/>
        <w:ind w:firstLine="562"/>
        <w:jc w:val="center"/>
        <w:rPr>
          <w:b/>
          <w:bCs/>
          <w:sz w:val="28"/>
          <w:szCs w:val="28"/>
        </w:rPr>
      </w:pPr>
      <w:r>
        <w:rPr>
          <w:rFonts w:hint="eastAsia"/>
          <w:b/>
          <w:bCs/>
          <w:sz w:val="28"/>
          <w:szCs w:val="28"/>
        </w:rPr>
        <w:t xml:space="preserve">承诺书</w:t>
      </w:r>
      <w:r/>
    </w:p>
    <w:p>
      <w:pPr>
        <w:pStyle w:val="805"/>
      </w:pPr>
      <w:r/>
      <w:r/>
    </w:p>
    <w:p>
      <w:pPr>
        <w:spacing w:line="360" w:lineRule="auto"/>
        <w:rPr>
          <w:rFonts w:hint="eastAsia" w:ascii="宋体" w:hAnsi="宋体" w:cs="宋体"/>
          <w:szCs w:val="21"/>
        </w:rPr>
      </w:pPr>
      <w:r>
        <w:rPr>
          <w:rFonts w:hint="eastAsia" w:ascii="宋体" w:hAnsi="宋体" w:cs="宋体"/>
          <w:szCs w:val="21"/>
          <w:lang w:eastAsia="zh-CN"/>
        </w:rPr>
        <w:t xml:space="preserve">南京市建邺区市政设施综合养护中心</w:t>
      </w:r>
      <w:r>
        <w:rPr>
          <w:rFonts w:hint="eastAsia" w:ascii="宋体" w:hAnsi="宋体" w:cs="宋体"/>
          <w:szCs w:val="21"/>
        </w:rPr>
        <w:t xml:space="preserve">、江苏省设备成套股份有限公司：</w:t>
      </w:r>
      <w:r/>
    </w:p>
    <w:p>
      <w:pPr>
        <w:ind w:firstLine="336"/>
        <w:spacing w:line="360" w:lineRule="auto"/>
        <w:rPr>
          <w:rFonts w:hint="eastAsia" w:ascii="宋体" w:hAnsi="宋体" w:cs="宋体"/>
        </w:rPr>
      </w:pPr>
      <w:r>
        <w:rPr>
          <w:rFonts w:hint="eastAsia" w:ascii="宋体" w:hAnsi="宋体" w:cs="宋体"/>
        </w:rPr>
        <w:t xml:space="preserve">我单位（供应商名称）郑重承诺：</w:t>
      </w:r>
      <w:r/>
    </w:p>
    <w:p>
      <w:pPr>
        <w:pStyle w:val="805"/>
      </w:pPr>
      <w:r/>
      <w:r/>
    </w:p>
    <w:p>
      <w:pPr>
        <w:ind w:firstLine="5943"/>
        <w:spacing w:line="360" w:lineRule="auto"/>
        <w:rPr>
          <w:rFonts w:hint="eastAsia" w:ascii="宋体" w:hAnsi="宋体" w:cs="宋体"/>
        </w:rPr>
      </w:pPr>
      <w:r>
        <w:rPr>
          <w:rFonts w:hint="eastAsia" w:ascii="宋体" w:hAnsi="宋体" w:cs="宋体"/>
        </w:rPr>
        <w:t xml:space="preserve">承诺人：（加盖电子公章）</w:t>
      </w:r>
      <w:r/>
    </w:p>
    <w:p>
      <w:pPr>
        <w:jc w:val="right"/>
        <w:spacing w:line="360" w:lineRule="auto"/>
        <w:rPr>
          <w:rFonts w:hint="eastAsia" w:ascii="宋体" w:hAnsi="宋体" w:cs="宋体"/>
          <w:b/>
        </w:rPr>
      </w:pPr>
      <w:r>
        <w:rPr>
          <w:rFonts w:hint="eastAsia" w:ascii="宋体" w:hAnsi="宋体" w:cs="宋体"/>
          <w:szCs w:val="21"/>
          <w:lang w:val="zh-CN"/>
        </w:rPr>
        <w:t xml:space="preserve">日期：年月日</w:t>
      </w:r>
      <w:r/>
    </w:p>
    <w:p>
      <w:pPr>
        <w:jc w:val="left"/>
        <w:widowControl/>
        <w:rPr>
          <w:rFonts w:hint="eastAsia" w:ascii="宋体" w:hAnsi="宋体" w:cs="宋体"/>
          <w:b/>
        </w:rPr>
      </w:pPr>
      <w:r>
        <w:rPr>
          <w:rFonts w:hint="eastAsia" w:ascii="宋体" w:hAnsi="宋体" w:cs="宋体"/>
          <w:b/>
        </w:rPr>
        <w:br w:type="page" w:clear="all"/>
      </w:r>
      <w:r/>
    </w:p>
    <w:p>
      <w:pPr>
        <w:pStyle w:val="805"/>
        <w:ind w:firstLine="0"/>
        <w:jc w:val="left"/>
        <w:spacing w:line="360" w:lineRule="auto"/>
        <w:rPr>
          <w:rFonts w:hint="eastAsia" w:ascii="宋体" w:hAnsi="宋体" w:cs="宋体"/>
          <w:b/>
        </w:rPr>
      </w:pPr>
      <w:r>
        <w:rPr>
          <w:rFonts w:hint="eastAsia" w:ascii="宋体" w:hAnsi="宋体" w:cs="宋体"/>
          <w:b/>
        </w:rPr>
        <w:t xml:space="preserve">附件十四、《南京市政府采购供应商信用记录表暨信用承诺书》（网站在线打印签字并盖章）</w:t>
      </w:r>
      <w:r/>
    </w:p>
    <w:p>
      <w:pPr>
        <w:pStyle w:val="805"/>
        <w:ind w:firstLine="0"/>
        <w:jc w:val="left"/>
        <w:spacing w:line="360" w:lineRule="auto"/>
        <w:rPr>
          <w:rFonts w:hint="eastAsia" w:ascii="宋体" w:hAnsi="宋体" w:cs="宋体"/>
          <w:b/>
        </w:rPr>
      </w:pPr>
      <w:r>
        <w:rPr>
          <w:rFonts w:hint="eastAsia" w:ascii="宋体" w:hAnsi="宋体" w:cs="宋体"/>
          <w:b/>
        </w:rPr>
      </w:r>
      <w:r/>
    </w:p>
    <w:p>
      <w:pPr>
        <w:pStyle w:val="805"/>
        <w:ind w:firstLine="0"/>
        <w:jc w:val="left"/>
        <w:spacing w:line="360" w:lineRule="auto"/>
        <w:rPr>
          <w:rFonts w:hint="eastAsia" w:ascii="宋体" w:hAnsi="宋体" w:cs="宋体"/>
          <w:b/>
        </w:rPr>
      </w:pPr>
      <w:r>
        <w:rPr>
          <w:rFonts w:hint="eastAsia" w:ascii="宋体" w:hAnsi="宋体" w:cs="宋体"/>
          <w:b/>
        </w:rPr>
      </w:r>
      <w:r/>
    </w:p>
    <w:p>
      <w:pPr>
        <w:pStyle w:val="805"/>
        <w:ind w:firstLine="0"/>
        <w:jc w:val="left"/>
        <w:spacing w:line="360" w:lineRule="auto"/>
        <w:rPr>
          <w:rFonts w:hint="eastAsia" w:ascii="宋体" w:hAnsi="宋体" w:cs="宋体"/>
          <w:b/>
        </w:rPr>
      </w:pPr>
      <w:r>
        <w:rPr>
          <w:rFonts w:hint="eastAsia" w:ascii="宋体" w:hAnsi="宋体" w:cs="宋体"/>
          <w:b/>
        </w:rPr>
      </w:r>
      <w:r/>
    </w:p>
    <w:p>
      <w:pPr>
        <w:pStyle w:val="805"/>
        <w:ind w:firstLine="0"/>
        <w:jc w:val="left"/>
        <w:spacing w:line="360" w:lineRule="auto"/>
        <w:rPr>
          <w:rFonts w:hint="eastAsia" w:ascii="宋体" w:hAnsi="宋体" w:cs="宋体"/>
          <w:b/>
        </w:rPr>
      </w:pPr>
      <w:r>
        <w:rPr>
          <w:rFonts w:hint="eastAsia" w:ascii="宋体" w:hAnsi="宋体" w:cs="宋体"/>
          <w:b/>
        </w:rPr>
      </w:r>
      <w:r/>
    </w:p>
    <w:p>
      <w:pPr>
        <w:pStyle w:val="805"/>
        <w:ind w:firstLine="0"/>
        <w:jc w:val="left"/>
        <w:spacing w:line="360" w:lineRule="auto"/>
        <w:rPr>
          <w:rFonts w:hint="eastAsia" w:ascii="宋体" w:hAnsi="宋体" w:cs="宋体"/>
          <w:szCs w:val="20"/>
        </w:rPr>
      </w:pPr>
      <w:r>
        <w:rPr>
          <w:rFonts w:hint="eastAsia" w:ascii="宋体" w:hAnsi="宋体" w:cs="宋体"/>
          <w:b/>
        </w:rPr>
        <w:t xml:space="preserve">附件十五、</w:t>
      </w:r>
      <w:bookmarkStart w:id="25" w:name="OLE_LINK2"/>
      <w:r>
        <w:rPr>
          <w:rFonts w:hint="eastAsia" w:ascii="宋体" w:hAnsi="宋体" w:cs="宋体"/>
          <w:b/>
        </w:rPr>
        <w:t xml:space="preserve">投标人需要提供的其他材料</w:t>
      </w:r>
      <w:bookmarkEnd w:id="25"/>
      <w:r/>
      <w:r/>
    </w:p>
    <w:sectPr>
      <w:headerReference w:type="default" r:id="rId9"/>
      <w:footerReference w:type="defaul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仿宋">
    <w:panose1 w:val="02010609060101010101"/>
  </w:font>
  <w:font w:name="等线">
    <w:panose1 w:val="02010600030101010101"/>
  </w:font>
  <w:font w:name="knle">
    <w:panose1 w:val="020B0503020202020204"/>
  </w:font>
  <w:font w:name="Wingdings">
    <w:panose1 w:val="05000000000000000000"/>
  </w:font>
  <w:font w:name="华文楷体">
    <w:panose1 w:val="02010600040101010101"/>
  </w:font>
  <w:font w:name="ヒラギノ角ゴ Pro W3">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2724150</wp:posOffset>
              </wp:positionH>
              <wp:positionV relativeFrom="paragraph">
                <wp:posOffset>635</wp:posOffset>
              </wp:positionV>
              <wp:extent cx="178435" cy="120650"/>
              <wp:effectExtent l="0" t="0" r="12065" b="1270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50"/>
      <w:isLgl w:val="false"/>
      <w:suff w:val="nothing"/>
      <w:lvlText w:val="第%1章"/>
      <w:lvlJc w:val="left"/>
      <w:pPr>
        <w:ind w:left="3261" w:firstLine="0"/>
      </w:pPr>
    </w:lvl>
    <w:lvl w:ilvl="1">
      <w:start w:val="1"/>
      <w:numFmt w:val="none"/>
      <w:pStyle w:val="751"/>
      <w:isLgl w:val="false"/>
      <w:suff w:val="nothing"/>
      <w:lvlText w:val=""/>
      <w:lvlJc w:val="left"/>
      <w:pPr>
        <w:ind w:left="0" w:firstLine="0"/>
      </w:pPr>
    </w:lvl>
    <w:lvl w:ilvl="2">
      <w:start w:val="1"/>
      <w:numFmt w:val="none"/>
      <w:pStyle w:val="752"/>
      <w:isLgl w:val="false"/>
      <w:suff w:val="nothing"/>
      <w:lvlText w:val=""/>
      <w:lvlJc w:val="left"/>
      <w:pPr>
        <w:ind w:left="0" w:firstLine="0"/>
      </w:pPr>
    </w:lvl>
    <w:lvl w:ilvl="3">
      <w:start w:val="1"/>
      <w:numFmt w:val="none"/>
      <w:pStyle w:val="753"/>
      <w:isLgl w:val="false"/>
      <w:suff w:val="nothing"/>
      <w:lvlText w:val=""/>
      <w:lvlJc w:val="left"/>
      <w:pPr>
        <w:ind w:left="0" w:firstLine="0"/>
      </w:pPr>
    </w:lvl>
    <w:lvl w:ilvl="4">
      <w:start w:val="1"/>
      <w:numFmt w:val="none"/>
      <w:pStyle w:val="754"/>
      <w:isLgl w:val="false"/>
      <w:suff w:val="nothing"/>
      <w:lvlText w:val=""/>
      <w:lvlJc w:val="left"/>
      <w:pPr>
        <w:ind w:left="0" w:firstLine="0"/>
      </w:pPr>
    </w:lvl>
    <w:lvl w:ilvl="5">
      <w:start w:val="1"/>
      <w:numFmt w:val="none"/>
      <w:pStyle w:val="755"/>
      <w:isLgl w:val="false"/>
      <w:suff w:val="nothing"/>
      <w:lvlText w:val=""/>
      <w:lvlJc w:val="left"/>
      <w:pPr>
        <w:ind w:left="0" w:firstLine="0"/>
      </w:pPr>
    </w:lvl>
    <w:lvl w:ilvl="6">
      <w:start w:val="1"/>
      <w:numFmt w:val="none"/>
      <w:pStyle w:val="756"/>
      <w:isLgl w:val="false"/>
      <w:suff w:val="nothing"/>
      <w:lvlText w:val=""/>
      <w:lvlJc w:val="left"/>
      <w:pPr>
        <w:ind w:left="0" w:firstLine="0"/>
      </w:pPr>
    </w:lvl>
    <w:lvl w:ilvl="7">
      <w:start w:val="1"/>
      <w:numFmt w:val="none"/>
      <w:pStyle w:val="757"/>
      <w:isLgl w:val="false"/>
      <w:suff w:val="nothing"/>
      <w:lvlText w:val=""/>
      <w:lvlJc w:val="left"/>
      <w:pPr>
        <w:ind w:left="0" w:firstLine="0"/>
      </w:pPr>
    </w:lvl>
    <w:lvl w:ilvl="8">
      <w:start w:val="1"/>
      <w:numFmt w:val="none"/>
      <w:pStyle w:val="758"/>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90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23"/>
      <w:isLgl/>
      <w:suff w:val="tab"/>
      <w:lvlText w:val="%1.%2"/>
      <w:lvlJc w:val="left"/>
      <w:pPr>
        <w:ind w:left="425" w:hanging="425"/>
      </w:pPr>
      <w:rPr>
        <w:rFonts w:hint="eastAsia" w:ascii="Arial Unicode MS" w:hAnsi="Arial Unicode MS" w:eastAsia="微软雅黑"/>
        <w:b/>
        <w:i w:val="0"/>
      </w:rPr>
    </w:lvl>
    <w:lvl w:ilvl="2">
      <w:start w:val="1"/>
      <w:numFmt w:val="decimal"/>
      <w:pStyle w:val="93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94"/>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6"/>
  </w:num>
  <w:num w:numId="4">
    <w:abstractNumId w:val="7"/>
  </w:num>
  <w:num w:numId="5">
    <w:abstractNumId w:val="1"/>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9"/>
    <w:link w:val="750"/>
    <w:uiPriority w:val="9"/>
    <w:rPr>
      <w:rFonts w:ascii="Arial" w:hAnsi="Arial" w:eastAsia="Arial" w:cs="Arial"/>
      <w:sz w:val="40"/>
      <w:szCs w:val="40"/>
    </w:rPr>
  </w:style>
  <w:style w:type="character" w:styleId="15">
    <w:name w:val="Heading 2 Char"/>
    <w:basedOn w:val="759"/>
    <w:link w:val="751"/>
    <w:uiPriority w:val="9"/>
    <w:rPr>
      <w:rFonts w:ascii="Arial" w:hAnsi="Arial" w:eastAsia="Arial" w:cs="Arial"/>
      <w:sz w:val="34"/>
    </w:rPr>
  </w:style>
  <w:style w:type="character" w:styleId="17">
    <w:name w:val="Heading 3 Char"/>
    <w:basedOn w:val="759"/>
    <w:link w:val="752"/>
    <w:uiPriority w:val="9"/>
    <w:rPr>
      <w:rFonts w:ascii="Arial" w:hAnsi="Arial" w:eastAsia="Arial" w:cs="Arial"/>
      <w:sz w:val="30"/>
      <w:szCs w:val="30"/>
    </w:rPr>
  </w:style>
  <w:style w:type="character" w:styleId="19">
    <w:name w:val="Heading 4 Char"/>
    <w:basedOn w:val="759"/>
    <w:link w:val="753"/>
    <w:uiPriority w:val="9"/>
    <w:rPr>
      <w:rFonts w:ascii="Arial" w:hAnsi="Arial" w:eastAsia="Arial" w:cs="Arial"/>
      <w:b/>
      <w:bCs/>
      <w:sz w:val="26"/>
      <w:szCs w:val="26"/>
    </w:rPr>
  </w:style>
  <w:style w:type="character" w:styleId="21">
    <w:name w:val="Heading 5 Char"/>
    <w:basedOn w:val="759"/>
    <w:link w:val="754"/>
    <w:uiPriority w:val="9"/>
    <w:rPr>
      <w:rFonts w:ascii="Arial" w:hAnsi="Arial" w:eastAsia="Arial" w:cs="Arial"/>
      <w:b/>
      <w:bCs/>
      <w:sz w:val="24"/>
      <w:szCs w:val="24"/>
    </w:rPr>
  </w:style>
  <w:style w:type="character" w:styleId="23">
    <w:name w:val="Heading 6 Char"/>
    <w:basedOn w:val="759"/>
    <w:link w:val="755"/>
    <w:uiPriority w:val="9"/>
    <w:rPr>
      <w:rFonts w:ascii="Arial" w:hAnsi="Arial" w:eastAsia="Arial" w:cs="Arial"/>
      <w:b/>
      <w:bCs/>
      <w:sz w:val="22"/>
      <w:szCs w:val="22"/>
    </w:rPr>
  </w:style>
  <w:style w:type="character" w:styleId="25">
    <w:name w:val="Heading 7 Char"/>
    <w:basedOn w:val="759"/>
    <w:link w:val="756"/>
    <w:uiPriority w:val="9"/>
    <w:rPr>
      <w:rFonts w:ascii="Arial" w:hAnsi="Arial" w:eastAsia="Arial" w:cs="Arial"/>
      <w:b/>
      <w:bCs/>
      <w:i/>
      <w:iCs/>
      <w:sz w:val="22"/>
      <w:szCs w:val="22"/>
    </w:rPr>
  </w:style>
  <w:style w:type="character" w:styleId="27">
    <w:name w:val="Heading 8 Char"/>
    <w:basedOn w:val="759"/>
    <w:link w:val="757"/>
    <w:uiPriority w:val="9"/>
    <w:rPr>
      <w:rFonts w:ascii="Arial" w:hAnsi="Arial" w:eastAsia="Arial" w:cs="Arial"/>
      <w:i/>
      <w:iCs/>
      <w:sz w:val="22"/>
      <w:szCs w:val="22"/>
    </w:rPr>
  </w:style>
  <w:style w:type="character" w:styleId="29">
    <w:name w:val="Heading 9 Char"/>
    <w:basedOn w:val="759"/>
    <w:link w:val="758"/>
    <w:uiPriority w:val="9"/>
    <w:rPr>
      <w:rFonts w:ascii="Arial" w:hAnsi="Arial" w:eastAsia="Arial" w:cs="Arial"/>
      <w:i/>
      <w:iCs/>
      <w:sz w:val="21"/>
      <w:szCs w:val="21"/>
    </w:rPr>
  </w:style>
  <w:style w:type="character" w:styleId="34">
    <w:name w:val="Title Char"/>
    <w:basedOn w:val="759"/>
    <w:link w:val="793"/>
    <w:uiPriority w:val="10"/>
    <w:rPr>
      <w:sz w:val="48"/>
      <w:szCs w:val="48"/>
    </w:rPr>
  </w:style>
  <w:style w:type="character" w:styleId="36">
    <w:name w:val="Subtitle Char"/>
    <w:basedOn w:val="759"/>
    <w:link w:val="78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9"/>
    <w:link w:val="780"/>
    <w:uiPriority w:val="99"/>
  </w:style>
  <w:style w:type="character" w:styleId="44">
    <w:name w:val="Footer Char"/>
    <w:basedOn w:val="759"/>
    <w:link w:val="779"/>
    <w:uiPriority w:val="99"/>
  </w:style>
  <w:style w:type="character" w:styleId="46">
    <w:name w:val="Caption Char"/>
    <w:basedOn w:val="765"/>
    <w:link w:val="779"/>
    <w:uiPriority w:val="99"/>
  </w:style>
  <w:style w:type="table" w:styleId="48">
    <w:name w:val="Table Grid Light"/>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9"/>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9"/>
    <w:uiPriority w:val="99"/>
    <w:semiHidden/>
    <w:unhideWhenUsed/>
    <w:rPr>
      <w:vertAlign w:val="superscript"/>
    </w:r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61"/>
    <w:uiPriority w:val="0"/>
    <w:qFormat/>
    <w:pPr>
      <w:jc w:val="both"/>
      <w:widowControl w:val="off"/>
    </w:pPr>
    <w:rPr>
      <w:rFonts w:ascii="Times New Roman" w:hAnsi="Times New Roman" w:eastAsia="宋体" w:cs="Times New Roman"/>
      <w:sz w:val="21"/>
      <w:szCs w:val="24"/>
      <w:lang w:val="en-US" w:eastAsia="zh-CN" w:bidi="ar-SA"/>
    </w:rPr>
  </w:style>
  <w:style w:type="paragraph" w:styleId="750">
    <w:name w:val="Heading 1"/>
    <w:basedOn w:val="749"/>
    <w:next w:val="749"/>
    <w:link w:val="814"/>
    <w:uiPriority w:val="0"/>
    <w:qFormat/>
    <w:pPr>
      <w:numPr>
        <w:ilvl w:val="0"/>
        <w:numId w:val="1"/>
      </w:numPr>
      <w:ind w:left="0"/>
      <w:jc w:val="center"/>
      <w:keepLines/>
      <w:keepNext/>
      <w:spacing w:before="340" w:after="330" w:line="578" w:lineRule="auto"/>
      <w:outlineLvl w:val="0"/>
    </w:pPr>
    <w:rPr>
      <w:b/>
      <w:bCs/>
      <w:sz w:val="32"/>
      <w:szCs w:val="44"/>
    </w:rPr>
  </w:style>
  <w:style w:type="paragraph" w:styleId="751">
    <w:name w:val="Heading 2"/>
    <w:basedOn w:val="749"/>
    <w:next w:val="749"/>
    <w:link w:val="82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52">
    <w:name w:val="Heading 3"/>
    <w:basedOn w:val="749"/>
    <w:next w:val="749"/>
    <w:link w:val="859"/>
    <w:uiPriority w:val="0"/>
    <w:qFormat/>
    <w:pPr>
      <w:numPr>
        <w:ilvl w:val="2"/>
        <w:numId w:val="1"/>
      </w:numPr>
      <w:keepLines/>
      <w:keepNext/>
      <w:spacing w:before="260" w:after="260" w:line="416" w:lineRule="auto"/>
      <w:outlineLvl w:val="2"/>
    </w:pPr>
    <w:rPr>
      <w:b/>
      <w:bCs/>
      <w:sz w:val="32"/>
      <w:szCs w:val="32"/>
    </w:rPr>
  </w:style>
  <w:style w:type="paragraph" w:styleId="753">
    <w:name w:val="Heading 4"/>
    <w:basedOn w:val="749"/>
    <w:next w:val="749"/>
    <w:link w:val="89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54">
    <w:name w:val="Heading 5"/>
    <w:basedOn w:val="749"/>
    <w:next w:val="749"/>
    <w:link w:val="849"/>
    <w:uiPriority w:val="0"/>
    <w:qFormat/>
    <w:pPr>
      <w:numPr>
        <w:ilvl w:val="4"/>
        <w:numId w:val="1"/>
      </w:numPr>
      <w:keepLines/>
      <w:keepNext/>
      <w:spacing w:before="280" w:after="290" w:line="376" w:lineRule="auto"/>
      <w:outlineLvl w:val="4"/>
    </w:pPr>
    <w:rPr>
      <w:b/>
      <w:bCs/>
      <w:sz w:val="28"/>
      <w:szCs w:val="28"/>
    </w:rPr>
  </w:style>
  <w:style w:type="paragraph" w:styleId="755">
    <w:name w:val="Heading 6"/>
    <w:basedOn w:val="749"/>
    <w:next w:val="749"/>
    <w:link w:val="835"/>
    <w:uiPriority w:val="0"/>
    <w:qFormat/>
    <w:pPr>
      <w:numPr>
        <w:ilvl w:val="5"/>
        <w:numId w:val="1"/>
      </w:numPr>
      <w:keepLines/>
      <w:keepNext/>
      <w:spacing w:before="240" w:after="64" w:line="320" w:lineRule="auto"/>
      <w:outlineLvl w:val="5"/>
    </w:pPr>
    <w:rPr>
      <w:rFonts w:ascii="Cambria" w:hAnsi="Cambria"/>
      <w:b/>
      <w:bCs/>
      <w:sz w:val="24"/>
    </w:rPr>
  </w:style>
  <w:style w:type="paragraph" w:styleId="756">
    <w:name w:val="Heading 7"/>
    <w:basedOn w:val="749"/>
    <w:next w:val="749"/>
    <w:link w:val="890"/>
    <w:uiPriority w:val="0"/>
    <w:qFormat/>
    <w:pPr>
      <w:numPr>
        <w:ilvl w:val="6"/>
        <w:numId w:val="1"/>
      </w:numPr>
      <w:keepLines/>
      <w:keepNext/>
      <w:spacing w:before="240" w:after="64" w:line="320" w:lineRule="auto"/>
      <w:outlineLvl w:val="6"/>
    </w:pPr>
    <w:rPr>
      <w:b/>
      <w:bCs/>
      <w:sz w:val="24"/>
    </w:rPr>
  </w:style>
  <w:style w:type="paragraph" w:styleId="757">
    <w:name w:val="Heading 8"/>
    <w:basedOn w:val="749"/>
    <w:next w:val="749"/>
    <w:link w:val="875"/>
    <w:uiPriority w:val="0"/>
    <w:qFormat/>
    <w:pPr>
      <w:numPr>
        <w:ilvl w:val="7"/>
        <w:numId w:val="1"/>
      </w:numPr>
      <w:keepLines/>
      <w:keepNext/>
      <w:spacing w:before="240" w:after="64" w:line="320" w:lineRule="auto"/>
      <w:outlineLvl w:val="7"/>
    </w:pPr>
    <w:rPr>
      <w:rFonts w:ascii="Cambria" w:hAnsi="Cambria"/>
      <w:sz w:val="24"/>
    </w:rPr>
  </w:style>
  <w:style w:type="paragraph" w:styleId="758">
    <w:name w:val="Heading 9"/>
    <w:basedOn w:val="749"/>
    <w:next w:val="749"/>
    <w:link w:val="853"/>
    <w:uiPriority w:val="0"/>
    <w:qFormat/>
    <w:pPr>
      <w:numPr>
        <w:ilvl w:val="8"/>
        <w:numId w:val="1"/>
      </w:numPr>
      <w:keepLines/>
      <w:keepNext/>
      <w:spacing w:before="240" w:after="64" w:line="320" w:lineRule="auto"/>
      <w:outlineLvl w:val="8"/>
    </w:pPr>
    <w:rPr>
      <w:rFonts w:ascii="Cambria" w:hAnsi="Cambria"/>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Body Text"/>
    <w:basedOn w:val="749"/>
    <w:next w:val="749"/>
    <w:link w:val="874"/>
    <w:uiPriority w:val="0"/>
    <w:qFormat/>
    <w:pPr>
      <w:jc w:val="center"/>
    </w:pPr>
    <w:rPr>
      <w:rFonts w:eastAsia="幼圆"/>
      <w:b/>
      <w:bCs/>
      <w:sz w:val="44"/>
    </w:rPr>
  </w:style>
  <w:style w:type="paragraph" w:styleId="762">
    <w:name w:val="List 3"/>
    <w:basedOn w:val="749"/>
    <w:uiPriority w:val="99"/>
    <w:unhideWhenUsed/>
    <w:qFormat/>
    <w:pPr>
      <w:ind w:left="1260" w:hanging="420"/>
      <w:spacing w:before="100" w:beforeAutospacing="1" w:after="100" w:afterAutospacing="1"/>
    </w:pPr>
    <w:rPr>
      <w:szCs w:val="21"/>
    </w:rPr>
  </w:style>
  <w:style w:type="paragraph" w:styleId="763">
    <w:name w:val="toc 7"/>
    <w:basedOn w:val="749"/>
    <w:next w:val="749"/>
    <w:uiPriority w:val="39"/>
    <w:unhideWhenUsed/>
    <w:qFormat/>
    <w:pPr>
      <w:ind w:left="2520"/>
    </w:pPr>
    <w:rPr>
      <w:rFonts w:ascii="Calibri" w:hAnsi="Calibri"/>
      <w:szCs w:val="22"/>
    </w:rPr>
  </w:style>
  <w:style w:type="paragraph" w:styleId="764">
    <w:name w:val="Normal Indent"/>
    <w:basedOn w:val="749"/>
    <w:next w:val="749"/>
    <w:uiPriority w:val="0"/>
    <w:qFormat/>
    <w:pPr>
      <w:ind w:firstLine="420"/>
    </w:pPr>
    <w:rPr>
      <w:b/>
      <w:sz w:val="24"/>
      <w:szCs w:val="20"/>
    </w:rPr>
  </w:style>
  <w:style w:type="paragraph" w:styleId="765">
    <w:name w:val="Caption"/>
    <w:basedOn w:val="749"/>
    <w:next w:val="749"/>
    <w:uiPriority w:val="0"/>
    <w:qFormat/>
    <w:rPr>
      <w:rFonts w:ascii="Cambria" w:hAnsi="Cambria" w:eastAsia="黑体"/>
      <w:sz w:val="20"/>
      <w:szCs w:val="22"/>
    </w:rPr>
  </w:style>
  <w:style w:type="paragraph" w:styleId="766">
    <w:name w:val="Document Map"/>
    <w:basedOn w:val="749"/>
    <w:link w:val="843"/>
    <w:uiPriority w:val="0"/>
    <w:qFormat/>
    <w:rPr>
      <w:rFonts w:ascii="宋体"/>
      <w:sz w:val="18"/>
      <w:szCs w:val="18"/>
    </w:rPr>
  </w:style>
  <w:style w:type="paragraph" w:styleId="767">
    <w:name w:val="annotation text"/>
    <w:basedOn w:val="749"/>
    <w:link w:val="867"/>
    <w:uiPriority w:val="0"/>
    <w:qFormat/>
    <w:pPr>
      <w:jc w:val="left"/>
    </w:pPr>
  </w:style>
  <w:style w:type="paragraph" w:styleId="768">
    <w:name w:val="Body Text 3"/>
    <w:basedOn w:val="749"/>
    <w:link w:val="886"/>
    <w:uiPriority w:val="0"/>
    <w:qFormat/>
    <w:rPr>
      <w:rFonts w:ascii="宋体"/>
      <w:sz w:val="24"/>
      <w:szCs w:val="20"/>
    </w:rPr>
  </w:style>
  <w:style w:type="paragraph" w:styleId="769">
    <w:name w:val="Body Text Indent"/>
    <w:basedOn w:val="749"/>
    <w:link w:val="830"/>
    <w:uiPriority w:val="0"/>
    <w:qFormat/>
    <w:pPr>
      <w:ind w:left="420"/>
      <w:spacing w:after="120"/>
    </w:pPr>
  </w:style>
  <w:style w:type="paragraph" w:styleId="770">
    <w:name w:val="Block Text"/>
    <w:basedOn w:val="749"/>
    <w:uiPriority w:val="99"/>
    <w:unhideWhenUsed/>
    <w:qFormat/>
    <w:pPr>
      <w:ind w:left="1440" w:right="1440"/>
      <w:spacing w:after="120"/>
    </w:pPr>
  </w:style>
  <w:style w:type="paragraph" w:styleId="771">
    <w:name w:val="index 4"/>
    <w:basedOn w:val="749"/>
    <w:next w:val="749"/>
    <w:uiPriority w:val="0"/>
    <w:qFormat/>
    <w:pPr>
      <w:ind w:left="600"/>
    </w:pPr>
    <w:rPr>
      <w:rFonts w:ascii="Calibri" w:hAnsi="Calibri"/>
    </w:rPr>
  </w:style>
  <w:style w:type="paragraph" w:styleId="772">
    <w:name w:val="toc 5"/>
    <w:basedOn w:val="749"/>
    <w:next w:val="749"/>
    <w:uiPriority w:val="39"/>
    <w:unhideWhenUsed/>
    <w:qFormat/>
    <w:pPr>
      <w:ind w:left="1680"/>
    </w:pPr>
    <w:rPr>
      <w:rFonts w:ascii="Calibri" w:hAnsi="Calibri"/>
      <w:szCs w:val="22"/>
    </w:rPr>
  </w:style>
  <w:style w:type="paragraph" w:styleId="773">
    <w:name w:val="toc 3"/>
    <w:basedOn w:val="749"/>
    <w:next w:val="749"/>
    <w:uiPriority w:val="39"/>
    <w:qFormat/>
    <w:pPr>
      <w:ind w:left="840"/>
    </w:pPr>
    <w:rPr>
      <w:rFonts w:ascii="Calibri" w:hAnsi="Calibri"/>
      <w:szCs w:val="22"/>
    </w:rPr>
  </w:style>
  <w:style w:type="paragraph" w:styleId="774">
    <w:name w:val="Plain Text"/>
    <w:basedOn w:val="749"/>
    <w:link w:val="836"/>
    <w:uiPriority w:val="0"/>
    <w:qFormat/>
    <w:rPr>
      <w:rFonts w:ascii="Ari"/>
    </w:rPr>
  </w:style>
  <w:style w:type="paragraph" w:styleId="775">
    <w:name w:val="toc 8"/>
    <w:basedOn w:val="749"/>
    <w:next w:val="749"/>
    <w:uiPriority w:val="39"/>
    <w:unhideWhenUsed/>
    <w:qFormat/>
    <w:pPr>
      <w:ind w:left="2940"/>
    </w:pPr>
    <w:rPr>
      <w:rFonts w:ascii="Calibri" w:hAnsi="Calibri"/>
      <w:szCs w:val="22"/>
    </w:rPr>
  </w:style>
  <w:style w:type="paragraph" w:styleId="776">
    <w:name w:val="Date"/>
    <w:basedOn w:val="749"/>
    <w:next w:val="749"/>
    <w:link w:val="844"/>
    <w:uiPriority w:val="0"/>
    <w:unhideWhenUsed/>
    <w:qFormat/>
  </w:style>
  <w:style w:type="paragraph" w:styleId="777">
    <w:name w:val="Body Text Indent 2"/>
    <w:basedOn w:val="749"/>
    <w:link w:val="866"/>
    <w:uiPriority w:val="99"/>
    <w:unhideWhenUsed/>
    <w:qFormat/>
    <w:pPr>
      <w:ind w:firstLine="525"/>
      <w:spacing w:line="420" w:lineRule="exact"/>
    </w:pPr>
    <w:rPr>
      <w:rFonts w:ascii="宋体"/>
      <w:sz w:val="20"/>
      <w:szCs w:val="20"/>
    </w:rPr>
  </w:style>
  <w:style w:type="paragraph" w:styleId="778">
    <w:name w:val="Balloon Text"/>
    <w:basedOn w:val="749"/>
    <w:link w:val="889"/>
    <w:uiPriority w:val="0"/>
    <w:qFormat/>
    <w:rPr>
      <w:sz w:val="18"/>
      <w:szCs w:val="18"/>
    </w:rPr>
  </w:style>
  <w:style w:type="paragraph" w:styleId="779">
    <w:name w:val="Footer"/>
    <w:basedOn w:val="749"/>
    <w:link w:val="879"/>
    <w:uiPriority w:val="99"/>
    <w:qFormat/>
    <w:pPr>
      <w:jc w:val="left"/>
      <w:tabs>
        <w:tab w:val="center" w:pos="4153" w:leader="none"/>
        <w:tab w:val="right" w:pos="8306" w:leader="none"/>
      </w:tabs>
    </w:pPr>
    <w:rPr>
      <w:sz w:val="18"/>
      <w:szCs w:val="18"/>
    </w:rPr>
  </w:style>
  <w:style w:type="paragraph" w:styleId="780">
    <w:name w:val="Header"/>
    <w:basedOn w:val="749"/>
    <w:link w:val="834"/>
    <w:uiPriority w:val="0"/>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49"/>
    <w:next w:val="749"/>
    <w:uiPriority w:val="39"/>
    <w:qFormat/>
  </w:style>
  <w:style w:type="paragraph" w:styleId="782">
    <w:name w:val="toc 4"/>
    <w:basedOn w:val="749"/>
    <w:next w:val="749"/>
    <w:uiPriority w:val="39"/>
    <w:unhideWhenUsed/>
    <w:qFormat/>
    <w:pPr>
      <w:ind w:left="1260"/>
    </w:pPr>
    <w:rPr>
      <w:rFonts w:ascii="Calibri" w:hAnsi="Calibri"/>
      <w:szCs w:val="22"/>
    </w:rPr>
  </w:style>
  <w:style w:type="paragraph" w:styleId="783">
    <w:name w:val="index heading"/>
    <w:basedOn w:val="749"/>
    <w:next w:val="784"/>
    <w:uiPriority w:val="99"/>
    <w:unhideWhenUsed/>
    <w:qFormat/>
    <w:pPr>
      <w:tabs>
        <w:tab w:val="left" w:pos="240" w:leader="none"/>
      </w:tabs>
    </w:pPr>
  </w:style>
  <w:style w:type="paragraph" w:styleId="784">
    <w:name w:val="index 1"/>
    <w:basedOn w:val="749"/>
    <w:next w:val="749"/>
    <w:uiPriority w:val="0"/>
    <w:qFormat/>
    <w:pPr>
      <w:jc w:val="center"/>
      <w:spacing w:line="220" w:lineRule="exact"/>
    </w:pPr>
    <w:rPr>
      <w:rFonts w:ascii="仿宋_GB2312" w:hAnsi="Calibri" w:eastAsia="仿宋_GB2312"/>
      <w:szCs w:val="22"/>
    </w:rPr>
  </w:style>
  <w:style w:type="paragraph" w:styleId="785">
    <w:name w:val="Subtitle"/>
    <w:basedOn w:val="749"/>
    <w:next w:val="749"/>
    <w:link w:val="862"/>
    <w:uiPriority w:val="0"/>
    <w:qFormat/>
    <w:pPr>
      <w:jc w:val="center"/>
      <w:spacing w:before="240" w:after="60" w:line="312" w:lineRule="auto"/>
      <w:outlineLvl w:val="1"/>
    </w:pPr>
    <w:rPr>
      <w:rFonts w:ascii="Cambria" w:hAnsi="Cambria"/>
      <w:b/>
      <w:bCs/>
      <w:sz w:val="32"/>
      <w:szCs w:val="32"/>
    </w:rPr>
  </w:style>
  <w:style w:type="paragraph" w:styleId="786">
    <w:name w:val="toc 6"/>
    <w:basedOn w:val="749"/>
    <w:next w:val="749"/>
    <w:uiPriority w:val="39"/>
    <w:unhideWhenUsed/>
    <w:qFormat/>
    <w:pPr>
      <w:ind w:left="2100"/>
    </w:pPr>
    <w:rPr>
      <w:rFonts w:ascii="Calibri" w:hAnsi="Calibri"/>
      <w:szCs w:val="22"/>
    </w:rPr>
  </w:style>
  <w:style w:type="paragraph" w:styleId="787">
    <w:name w:val="Body Text Indent 3"/>
    <w:basedOn w:val="749"/>
    <w:link w:val="887"/>
    <w:uiPriority w:val="0"/>
    <w:qFormat/>
    <w:pPr>
      <w:ind w:left="420"/>
      <w:spacing w:after="120"/>
    </w:pPr>
    <w:rPr>
      <w:sz w:val="16"/>
      <w:szCs w:val="20"/>
    </w:rPr>
  </w:style>
  <w:style w:type="paragraph" w:styleId="788">
    <w:name w:val="index 7"/>
    <w:basedOn w:val="749"/>
    <w:next w:val="749"/>
    <w:uiPriority w:val="99"/>
    <w:semiHidden/>
    <w:qFormat/>
    <w:pPr>
      <w:ind w:left="2520"/>
    </w:pPr>
  </w:style>
  <w:style w:type="paragraph" w:styleId="789">
    <w:name w:val="toc 2"/>
    <w:basedOn w:val="749"/>
    <w:next w:val="749"/>
    <w:uiPriority w:val="39"/>
    <w:qFormat/>
    <w:pPr>
      <w:ind w:left="420"/>
    </w:pPr>
    <w:rPr>
      <w:rFonts w:ascii="Calibri" w:hAnsi="Calibri"/>
      <w:szCs w:val="22"/>
    </w:rPr>
  </w:style>
  <w:style w:type="paragraph" w:styleId="790">
    <w:name w:val="toc 9"/>
    <w:basedOn w:val="749"/>
    <w:next w:val="749"/>
    <w:uiPriority w:val="39"/>
    <w:unhideWhenUsed/>
    <w:qFormat/>
    <w:pPr>
      <w:ind w:left="3360"/>
    </w:pPr>
    <w:rPr>
      <w:rFonts w:ascii="Calibri" w:hAnsi="Calibri"/>
      <w:szCs w:val="22"/>
    </w:rPr>
  </w:style>
  <w:style w:type="paragraph" w:styleId="791">
    <w:name w:val="HTML Preformatted"/>
    <w:basedOn w:val="7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2">
    <w:name w:val="Normal (Web)"/>
    <w:basedOn w:val="749"/>
    <w:uiPriority w:val="99"/>
    <w:qFormat/>
    <w:pPr>
      <w:jc w:val="left"/>
      <w:spacing w:before="100" w:beforeAutospacing="1" w:after="100" w:afterAutospacing="1"/>
      <w:widowControl/>
    </w:pPr>
    <w:rPr>
      <w:rFonts w:ascii="宋体" w:hAnsi="宋体" w:cs="宋体"/>
      <w:sz w:val="24"/>
    </w:rPr>
  </w:style>
  <w:style w:type="paragraph" w:styleId="793">
    <w:name w:val="Title"/>
    <w:basedOn w:val="749"/>
    <w:next w:val="749"/>
    <w:link w:val="839"/>
    <w:uiPriority w:val="0"/>
    <w:qFormat/>
    <w:pPr>
      <w:jc w:val="center"/>
      <w:spacing w:before="240" w:after="60" w:line="420" w:lineRule="atLeast"/>
      <w:outlineLvl w:val="0"/>
    </w:pPr>
    <w:rPr>
      <w:rFonts w:ascii="Arial" w:hAnsi="Arial"/>
      <w:b/>
      <w:sz w:val="32"/>
      <w:szCs w:val="20"/>
    </w:rPr>
  </w:style>
  <w:style w:type="paragraph" w:styleId="794">
    <w:name w:val="annotation subject"/>
    <w:basedOn w:val="767"/>
    <w:next w:val="767"/>
    <w:link w:val="877"/>
    <w:uiPriority w:val="0"/>
    <w:qFormat/>
    <w:rPr>
      <w:b/>
      <w:bCs/>
    </w:rPr>
  </w:style>
  <w:style w:type="paragraph" w:styleId="795">
    <w:name w:val="Body Text First Indent"/>
    <w:basedOn w:val="761"/>
    <w:uiPriority w:val="0"/>
    <w:semiHidden/>
    <w:unhideWhenUsed/>
    <w:qFormat/>
    <w:pPr>
      <w:ind w:firstLine="420"/>
      <w:jc w:val="both"/>
      <w:spacing w:after="120"/>
    </w:pPr>
    <w:rPr>
      <w:rFonts w:eastAsia="宋体"/>
      <w:b w:val="0"/>
      <w:bCs w:val="0"/>
      <w:sz w:val="21"/>
    </w:rPr>
  </w:style>
  <w:style w:type="paragraph" w:styleId="796">
    <w:name w:val="Body Text First Indent 2"/>
    <w:basedOn w:val="749"/>
    <w:next w:val="749"/>
    <w:uiPriority w:val="99"/>
    <w:qFormat/>
    <w:pPr>
      <w:ind w:firstLine="420"/>
    </w:pPr>
  </w:style>
  <w:style w:type="table" w:styleId="797">
    <w:name w:val="Table Grid"/>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uiPriority w:val="0"/>
    <w:qFormat/>
    <w:rPr>
      <w:rFonts w:cs="Times New Roman"/>
      <w:b/>
    </w:rPr>
  </w:style>
  <w:style w:type="character" w:styleId="799">
    <w:name w:val="page number"/>
    <w:basedOn w:val="759"/>
    <w:uiPriority w:val="0"/>
    <w:qFormat/>
    <w:rPr>
      <w:rFonts w:eastAsia="宋体"/>
      <w:b/>
      <w:spacing w:val="0"/>
      <w:sz w:val="24"/>
      <w:szCs w:val="24"/>
      <w:vertAlign w:val="baseline"/>
      <w:lang w:val="en-US" w:eastAsia="zh-CN" w:bidi="ar-SA"/>
    </w:rPr>
  </w:style>
  <w:style w:type="character" w:styleId="800">
    <w:name w:val="FollowedHyperlink"/>
    <w:uiPriority w:val="0"/>
    <w:qFormat/>
    <w:rPr>
      <w:color w:val="800080"/>
      <w:u w:val="single"/>
    </w:rPr>
  </w:style>
  <w:style w:type="character" w:styleId="801">
    <w:name w:val="Emphasis"/>
    <w:uiPriority w:val="0"/>
    <w:qFormat/>
    <w:rPr>
      <w:color w:val="cc0000"/>
    </w:rPr>
  </w:style>
  <w:style w:type="character" w:styleId="802">
    <w:name w:val="Hyperlink"/>
    <w:basedOn w:val="759"/>
    <w:uiPriority w:val="99"/>
    <w:qFormat/>
    <w:rPr>
      <w:color w:val="0000ff"/>
      <w:u w:val="single"/>
    </w:rPr>
  </w:style>
  <w:style w:type="character" w:styleId="803">
    <w:name w:val="annotation reference"/>
    <w:uiPriority w:val="99"/>
    <w:qFormat/>
    <w:rPr>
      <w:sz w:val="21"/>
      <w:szCs w:val="21"/>
    </w:rPr>
  </w:style>
  <w:style w:type="character" w:styleId="804">
    <w:name w:val="HTML Cite"/>
    <w:uiPriority w:val="0"/>
    <w:qFormat/>
    <w:rPr>
      <w:color w:val="008000"/>
    </w:rPr>
  </w:style>
  <w:style w:type="paragraph" w:styleId="805" w:customStyle="1">
    <w:name w:val="列表段落1"/>
    <w:basedOn w:val="749"/>
    <w:uiPriority w:val="0"/>
    <w:qFormat/>
    <w:pPr>
      <w:ind w:firstLine="420"/>
    </w:pPr>
  </w:style>
  <w:style w:type="paragraph" w:styleId="806">
    <w:name w:val="List Paragraph"/>
    <w:basedOn w:val="749"/>
    <w:next w:val="767"/>
    <w:uiPriority w:val="99"/>
    <w:qFormat/>
    <w:pPr>
      <w:ind w:firstLine="420"/>
    </w:pPr>
  </w:style>
  <w:style w:type="paragraph" w:styleId="807" w:customStyle="1">
    <w:name w:val="列出段落1"/>
    <w:basedOn w:val="749"/>
    <w:uiPriority w:val="34"/>
    <w:qFormat/>
    <w:pPr>
      <w:contextualSpacing/>
      <w:ind w:left="720"/>
      <w:jc w:val="left"/>
      <w:widowControl/>
    </w:pPr>
    <w:rPr>
      <w:rFonts w:ascii="Arial" w:hAnsi="Arial" w:eastAsia="黑体"/>
      <w:sz w:val="24"/>
      <w:lang w:eastAsia="en-US"/>
    </w:rPr>
  </w:style>
  <w:style w:type="paragraph" w:styleId="808" w:customStyle="1">
    <w:name w:val="一级条标题"/>
    <w:basedOn w:val="809"/>
    <w:next w:val="8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9" w:customStyle="1">
    <w:name w:val="章标题"/>
    <w:basedOn w:val="749"/>
    <w:next w:val="74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10" w:customStyle="1">
    <w:name w:val="段"/>
    <w:basedOn w:val="749"/>
    <w:next w:val="749"/>
    <w:uiPriority w:val="0"/>
    <w:qFormat/>
    <w:pPr>
      <w:ind w:firstLine="200"/>
      <w:widowControl/>
    </w:pPr>
    <w:rPr>
      <w:rFonts w:hint="eastAsia" w:ascii="宋体"/>
      <w:szCs w:val="20"/>
    </w:rPr>
  </w:style>
  <w:style w:type="paragraph" w:styleId="81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12" w:customStyle="1">
    <w:name w:val="正文首行缩进 21"/>
    <w:basedOn w:val="813"/>
    <w:next w:val="749"/>
    <w:uiPriority w:val="0"/>
    <w:qFormat/>
    <w:pPr>
      <w:ind w:firstLine="420"/>
      <w:spacing w:before="100" w:beforeAutospacing="1"/>
    </w:pPr>
    <w:rPr>
      <w:rFonts w:ascii="宋体" w:hAnsi="宋体"/>
      <w:szCs w:val="21"/>
    </w:rPr>
  </w:style>
  <w:style w:type="paragraph" w:styleId="813" w:customStyle="1">
    <w:name w:val="正文文本缩进1"/>
    <w:basedOn w:val="749"/>
    <w:uiPriority w:val="0"/>
    <w:qFormat/>
    <w:pPr>
      <w:ind w:firstLine="880"/>
      <w:spacing w:line="500" w:lineRule="exact"/>
    </w:pPr>
  </w:style>
  <w:style w:type="character" w:styleId="814" w:customStyle="1">
    <w:name w:val="标题 1 字符"/>
    <w:link w:val="750"/>
    <w:uiPriority w:val="0"/>
    <w:qFormat/>
    <w:rPr>
      <w:rFonts w:ascii="Times New Roman" w:hAnsi="Times New Roman" w:eastAsia="宋体" w:cs="Times New Roman"/>
      <w:b/>
      <w:bCs/>
      <w:sz w:val="32"/>
      <w:szCs w:val="44"/>
    </w:rPr>
  </w:style>
  <w:style w:type="character" w:styleId="815" w:customStyle="1">
    <w:name w:val="明显强调1"/>
    <w:uiPriority w:val="0"/>
    <w:qFormat/>
    <w:rPr>
      <w:b/>
      <w:bCs/>
      <w:i/>
      <w:iCs/>
      <w:color w:val="4f81bd"/>
    </w:rPr>
  </w:style>
  <w:style w:type="character" w:styleId="816" w:customStyle="1">
    <w:name w:val="批注文字 Char2"/>
    <w:uiPriority w:val="0"/>
    <w:qFormat/>
    <w:rPr>
      <w:sz w:val="21"/>
    </w:rPr>
  </w:style>
  <w:style w:type="character" w:styleId="817" w:customStyle="1">
    <w:name w:val="标题 3 Char_0"/>
    <w:link w:val="818"/>
    <w:uiPriority w:val="0"/>
    <w:qFormat/>
    <w:rPr>
      <w:b/>
      <w:bCs/>
      <w:sz w:val="32"/>
      <w:szCs w:val="32"/>
    </w:rPr>
  </w:style>
  <w:style w:type="paragraph" w:styleId="818" w:customStyle="1">
    <w:name w:val="标题 3_0"/>
    <w:basedOn w:val="819"/>
    <w:next w:val="819"/>
    <w:link w:val="817"/>
    <w:uiPriority w:val="0"/>
    <w:qFormat/>
    <w:pPr>
      <w:keepLines/>
      <w:keepNext/>
      <w:spacing w:before="260" w:after="260" w:line="416" w:lineRule="auto"/>
      <w:outlineLvl w:val="2"/>
    </w:pPr>
    <w:rPr>
      <w:b/>
      <w:bCs/>
      <w:sz w:val="32"/>
      <w:szCs w:val="32"/>
    </w:rPr>
  </w:style>
  <w:style w:type="paragraph" w:styleId="81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20" w:customStyle="1">
    <w:name w:val="标题 2 字符"/>
    <w:link w:val="751"/>
    <w:uiPriority w:val="0"/>
    <w:qFormat/>
    <w:rPr>
      <w:rFonts w:ascii="Cambria" w:hAnsi="Cambria"/>
      <w:b/>
      <w:bCs/>
      <w:sz w:val="32"/>
      <w:szCs w:val="32"/>
    </w:rPr>
  </w:style>
  <w:style w:type="character" w:styleId="821" w:customStyle="1">
    <w:name w:val="正文文本 Char2"/>
    <w:uiPriority w:val="99"/>
    <w:semiHidden/>
    <w:qFormat/>
    <w:rPr>
      <w:rFonts w:ascii="Calibri" w:hAnsi="Calibri" w:eastAsia="宋体" w:cs="Times New Roman"/>
    </w:rPr>
  </w:style>
  <w:style w:type="character" w:styleId="822" w:customStyle="1">
    <w:name w:val="页脚 Char1"/>
    <w:uiPriority w:val="99"/>
    <w:semiHidden/>
    <w:qFormat/>
    <w:rPr>
      <w:rFonts w:ascii="Calibri" w:hAnsi="Calibri" w:eastAsia="宋体" w:cs="Times New Roman"/>
      <w:sz w:val="18"/>
      <w:szCs w:val="18"/>
    </w:rPr>
  </w:style>
  <w:style w:type="character" w:styleId="823" w:customStyle="1">
    <w:name w:val="明显引用 Char2"/>
    <w:uiPriority w:val="99"/>
    <w:qFormat/>
    <w:rPr>
      <w:b/>
      <w:bCs/>
      <w:i/>
      <w:iCs/>
      <w:color w:val="4f81bd"/>
      <w:sz w:val="21"/>
      <w:szCs w:val="24"/>
    </w:rPr>
  </w:style>
  <w:style w:type="character" w:styleId="824" w:customStyle="1">
    <w:name w:val="引用 Char"/>
    <w:link w:val="825"/>
    <w:uiPriority w:val="0"/>
    <w:qFormat/>
    <w:rPr>
      <w:i/>
      <w:iCs/>
      <w:color w:val="000000"/>
    </w:rPr>
  </w:style>
  <w:style w:type="paragraph" w:styleId="825" w:customStyle="1">
    <w:name w:val="引用1"/>
    <w:basedOn w:val="749"/>
    <w:next w:val="749"/>
    <w:link w:val="824"/>
    <w:uiPriority w:val="0"/>
    <w:qFormat/>
    <w:rPr>
      <w:i/>
      <w:iCs/>
      <w:color w:val="000000"/>
      <w:sz w:val="20"/>
      <w:szCs w:val="20"/>
    </w:rPr>
  </w:style>
  <w:style w:type="character" w:styleId="826" w:customStyle="1">
    <w:name w:val="标题 1 Char_0"/>
    <w:link w:val="827"/>
    <w:uiPriority w:val="0"/>
    <w:qFormat/>
    <w:rPr>
      <w:b/>
      <w:bCs/>
      <w:sz w:val="44"/>
      <w:szCs w:val="44"/>
    </w:rPr>
  </w:style>
  <w:style w:type="paragraph" w:styleId="827" w:customStyle="1">
    <w:name w:val="标题 1_0"/>
    <w:basedOn w:val="819"/>
    <w:next w:val="819"/>
    <w:link w:val="826"/>
    <w:uiPriority w:val="0"/>
    <w:qFormat/>
    <w:pPr>
      <w:keepLines/>
      <w:keepNext/>
      <w:spacing w:before="340" w:after="330" w:line="578" w:lineRule="auto"/>
      <w:outlineLvl w:val="0"/>
    </w:pPr>
    <w:rPr>
      <w:b/>
      <w:bCs/>
      <w:sz w:val="44"/>
      <w:szCs w:val="44"/>
    </w:rPr>
  </w:style>
  <w:style w:type="character" w:styleId="828" w:customStyle="1">
    <w:name w:val="正文文本缩进 3 Char1"/>
    <w:uiPriority w:val="99"/>
    <w:semiHidden/>
    <w:qFormat/>
    <w:rPr>
      <w:sz w:val="16"/>
      <w:szCs w:val="16"/>
    </w:rPr>
  </w:style>
  <w:style w:type="character" w:styleId="829" w:customStyle="1">
    <w:name w:val="引用 Char1"/>
    <w:uiPriority w:val="29"/>
    <w:qFormat/>
    <w:rPr>
      <w:i/>
      <w:iCs/>
      <w:color w:val="000000"/>
      <w:sz w:val="21"/>
    </w:rPr>
  </w:style>
  <w:style w:type="character" w:styleId="830" w:customStyle="1">
    <w:name w:val="正文文本缩进 字符"/>
    <w:link w:val="769"/>
    <w:uiPriority w:val="0"/>
    <w:qFormat/>
    <w:rPr>
      <w:sz w:val="21"/>
      <w:szCs w:val="24"/>
    </w:rPr>
  </w:style>
  <w:style w:type="character" w:styleId="831" w:customStyle="1">
    <w:name w:val="font161"/>
    <w:uiPriority w:val="0"/>
    <w:qFormat/>
    <w:rPr>
      <w:b/>
      <w:sz w:val="32"/>
    </w:rPr>
  </w:style>
  <w:style w:type="character" w:styleId="832" w:customStyle="1">
    <w:name w:val="标题 4 Char_0"/>
    <w:link w:val="833"/>
    <w:uiPriority w:val="0"/>
    <w:qFormat/>
    <w:rPr>
      <w:rFonts w:ascii="Arial" w:hAnsi="Arial" w:eastAsia="黑体"/>
      <w:b/>
      <w:bCs/>
      <w:sz w:val="28"/>
      <w:szCs w:val="28"/>
    </w:rPr>
  </w:style>
  <w:style w:type="paragraph" w:styleId="833" w:customStyle="1">
    <w:name w:val="标题 4_0"/>
    <w:basedOn w:val="819"/>
    <w:next w:val="819"/>
    <w:link w:val="832"/>
    <w:uiPriority w:val="0"/>
    <w:qFormat/>
    <w:pPr>
      <w:keepLines/>
      <w:keepNext/>
      <w:spacing w:before="280" w:after="290" w:line="376" w:lineRule="auto"/>
      <w:outlineLvl w:val="3"/>
    </w:pPr>
    <w:rPr>
      <w:rFonts w:ascii="Arial" w:hAnsi="Arial" w:eastAsia="黑体"/>
      <w:b/>
      <w:bCs/>
      <w:sz w:val="28"/>
      <w:szCs w:val="28"/>
    </w:rPr>
  </w:style>
  <w:style w:type="character" w:styleId="834" w:customStyle="1">
    <w:name w:val="页眉 字符"/>
    <w:link w:val="780"/>
    <w:uiPriority w:val="0"/>
    <w:qFormat/>
    <w:rPr>
      <w:sz w:val="18"/>
      <w:szCs w:val="18"/>
    </w:rPr>
  </w:style>
  <w:style w:type="character" w:styleId="835" w:customStyle="1">
    <w:name w:val="标题 6 字符"/>
    <w:link w:val="755"/>
    <w:uiPriority w:val="0"/>
    <w:qFormat/>
    <w:rPr>
      <w:rFonts w:ascii="Cambria" w:hAnsi="Cambria" w:eastAsia="宋体" w:cs="Times New Roman"/>
      <w:b/>
      <w:bCs/>
      <w:sz w:val="24"/>
      <w:szCs w:val="24"/>
    </w:rPr>
  </w:style>
  <w:style w:type="character" w:styleId="836" w:customStyle="1">
    <w:name w:val="纯文本 字符"/>
    <w:link w:val="774"/>
    <w:uiPriority w:val="0"/>
    <w:qFormat/>
    <w:rPr>
      <w:rFonts w:ascii="Ari"/>
      <w:lang w:val="en-US" w:eastAsia="zh-CN" w:bidi="ar-SA"/>
    </w:rPr>
  </w:style>
  <w:style w:type="character" w:styleId="837" w:customStyle="1">
    <w:name w:val="引用 Char2"/>
    <w:uiPriority w:val="99"/>
    <w:qFormat/>
    <w:rPr>
      <w:i/>
      <w:iCs/>
      <w:color w:val="000000"/>
      <w:sz w:val="21"/>
      <w:szCs w:val="24"/>
    </w:rPr>
  </w:style>
  <w:style w:type="character" w:styleId="838" w:customStyle="1">
    <w:name w:val="rvts11"/>
    <w:uiPriority w:val="0"/>
    <w:qFormat/>
    <w:rPr>
      <w:rFonts w:hint="default" w:ascii="knle" w:hAnsi="knle"/>
      <w:sz w:val="24"/>
      <w:szCs w:val="24"/>
      <w:u w:val="single"/>
    </w:rPr>
  </w:style>
  <w:style w:type="character" w:styleId="839" w:customStyle="1">
    <w:name w:val="标题 字符"/>
    <w:link w:val="793"/>
    <w:uiPriority w:val="0"/>
    <w:qFormat/>
    <w:rPr>
      <w:rFonts w:ascii="Arial" w:hAnsi="Arial"/>
      <w:b/>
      <w:sz w:val="32"/>
    </w:rPr>
  </w:style>
  <w:style w:type="character" w:styleId="840" w:customStyle="1">
    <w:name w:val="标题5 Char Char"/>
    <w:link w:val="841"/>
    <w:uiPriority w:val="0"/>
    <w:qFormat/>
    <w:rPr>
      <w:rFonts w:ascii="Arial" w:hAnsi="Arial"/>
      <w:b/>
      <w:bCs/>
      <w:sz w:val="24"/>
      <w:szCs w:val="32"/>
    </w:rPr>
  </w:style>
  <w:style w:type="paragraph" w:styleId="841" w:customStyle="1">
    <w:name w:val="标题5"/>
    <w:basedOn w:val="752"/>
    <w:link w:val="840"/>
    <w:uiPriority w:val="0"/>
    <w:qFormat/>
    <w:pPr>
      <w:numPr>
        <w:ilvl w:val="0"/>
        <w:numId w:val="0"/>
      </w:numPr>
      <w:spacing w:line="413" w:lineRule="auto"/>
    </w:pPr>
    <w:rPr>
      <w:rFonts w:ascii="Arial" w:hAnsi="Arial"/>
      <w:sz w:val="24"/>
    </w:rPr>
  </w:style>
  <w:style w:type="character" w:styleId="842" w:customStyle="1">
    <w:name w:val="副标题 Char2"/>
    <w:uiPriority w:val="11"/>
    <w:qFormat/>
    <w:rPr>
      <w:rFonts w:ascii="Cambria" w:hAnsi="Cambria" w:cs="Times New Roman"/>
      <w:b/>
      <w:bCs/>
      <w:sz w:val="32"/>
      <w:szCs w:val="32"/>
    </w:rPr>
  </w:style>
  <w:style w:type="character" w:styleId="843" w:customStyle="1">
    <w:name w:val="文档结构图 字符"/>
    <w:link w:val="766"/>
    <w:uiPriority w:val="0"/>
    <w:qFormat/>
    <w:rPr>
      <w:rFonts w:ascii="宋体"/>
      <w:sz w:val="18"/>
      <w:szCs w:val="18"/>
    </w:rPr>
  </w:style>
  <w:style w:type="character" w:styleId="844" w:customStyle="1">
    <w:name w:val="日期 字符"/>
    <w:link w:val="776"/>
    <w:uiPriority w:val="0"/>
    <w:qFormat/>
    <w:rPr>
      <w:sz w:val="21"/>
      <w:szCs w:val="24"/>
    </w:rPr>
  </w:style>
  <w:style w:type="character" w:styleId="845" w:customStyle="1">
    <w:name w:val="批注主题 Char1"/>
    <w:uiPriority w:val="0"/>
    <w:qFormat/>
    <w:rPr>
      <w:b/>
      <w:bCs/>
      <w:sz w:val="21"/>
      <w:szCs w:val="22"/>
    </w:rPr>
  </w:style>
  <w:style w:type="character" w:styleId="846" w:customStyle="1">
    <w:name w:val="font31"/>
    <w:uiPriority w:val="0"/>
    <w:qFormat/>
    <w:rPr>
      <w:rFonts w:hint="eastAsia" w:ascii="宋体" w:hAnsi="宋体" w:eastAsia="宋体" w:cs="宋体"/>
      <w:color w:val="000000"/>
      <w:sz w:val="20"/>
      <w:szCs w:val="20"/>
      <w:u w:val="none"/>
    </w:rPr>
  </w:style>
  <w:style w:type="character" w:styleId="847" w:customStyle="1">
    <w:name w:val="明显引用 Char"/>
    <w:link w:val="848"/>
    <w:uiPriority w:val="0"/>
    <w:qFormat/>
    <w:rPr>
      <w:b/>
      <w:bCs/>
      <w:i/>
      <w:iCs/>
      <w:color w:val="4f81bd"/>
    </w:rPr>
  </w:style>
  <w:style w:type="paragraph" w:styleId="848" w:customStyle="1">
    <w:name w:val="明显引用1"/>
    <w:basedOn w:val="749"/>
    <w:next w:val="749"/>
    <w:link w:val="847"/>
    <w:uiPriority w:val="0"/>
    <w:qFormat/>
    <w:pPr>
      <w:ind w:left="936" w:right="936"/>
      <w:spacing w:before="200" w:after="280"/>
      <w:pBdr>
        <w:bottom w:val="single" w:color="4F81BD" w:sz="4" w:space="4"/>
      </w:pBdr>
    </w:pPr>
    <w:rPr>
      <w:b/>
      <w:bCs/>
      <w:i/>
      <w:iCs/>
      <w:color w:val="4f81bd"/>
      <w:sz w:val="20"/>
      <w:szCs w:val="20"/>
    </w:rPr>
  </w:style>
  <w:style w:type="character" w:styleId="849" w:customStyle="1">
    <w:name w:val="标题 5 字符"/>
    <w:link w:val="754"/>
    <w:uiPriority w:val="0"/>
    <w:qFormat/>
    <w:rPr>
      <w:b/>
      <w:bCs/>
      <w:sz w:val="28"/>
      <w:szCs w:val="28"/>
    </w:rPr>
  </w:style>
  <w:style w:type="character" w:styleId="850" w:customStyle="1">
    <w:name w:val="日期 Char1"/>
    <w:uiPriority w:val="0"/>
    <w:qFormat/>
    <w:rPr>
      <w:rFonts w:ascii="Calibri" w:hAnsi="Calibri" w:eastAsia="宋体" w:cs="Times New Roman"/>
    </w:rPr>
  </w:style>
  <w:style w:type="character" w:styleId="851" w:customStyle="1">
    <w:name w:val="批注框文本 Char1"/>
    <w:uiPriority w:val="0"/>
    <w:qFormat/>
    <w:rPr>
      <w:sz w:val="18"/>
      <w:szCs w:val="18"/>
    </w:rPr>
  </w:style>
  <w:style w:type="character" w:styleId="852" w:customStyle="1">
    <w:name w:val="标题 Char1"/>
    <w:uiPriority w:val="10"/>
    <w:qFormat/>
    <w:rPr>
      <w:rFonts w:ascii="Cambria" w:hAnsi="Cambria" w:eastAsia="宋体" w:cs="Times New Roman"/>
      <w:b/>
      <w:bCs/>
      <w:sz w:val="32"/>
      <w:szCs w:val="32"/>
    </w:rPr>
  </w:style>
  <w:style w:type="character" w:styleId="853" w:customStyle="1">
    <w:name w:val="标题 9 字符"/>
    <w:link w:val="758"/>
    <w:uiPriority w:val="0"/>
    <w:qFormat/>
    <w:rPr>
      <w:rFonts w:ascii="Cambria" w:hAnsi="Cambria" w:eastAsia="宋体" w:cs="Times New Roman"/>
      <w:sz w:val="21"/>
      <w:szCs w:val="21"/>
    </w:rPr>
  </w:style>
  <w:style w:type="character" w:styleId="854" w:customStyle="1">
    <w:name w:val="不明显参考1"/>
    <w:uiPriority w:val="0"/>
    <w:qFormat/>
    <w:rPr>
      <w:smallCaps/>
      <w:color w:val="c0504d"/>
      <w:u w:val="single"/>
    </w:rPr>
  </w:style>
  <w:style w:type="character" w:styleId="855" w:customStyle="1">
    <w:name w:val="批注文字 Char1"/>
    <w:uiPriority w:val="0"/>
    <w:qFormat/>
    <w:rPr>
      <w:rFonts w:ascii="Calibri" w:hAnsi="Calibri" w:eastAsia="宋体" w:cs="Times New Roman"/>
    </w:rPr>
  </w:style>
  <w:style w:type="character" w:styleId="856" w:customStyle="1">
    <w:name w:val="标题 Char2"/>
    <w:uiPriority w:val="10"/>
    <w:qFormat/>
    <w:rPr>
      <w:rFonts w:ascii="Cambria" w:hAnsi="Cambria" w:cs="Times New Roman"/>
      <w:b/>
      <w:bCs/>
      <w:sz w:val="32"/>
      <w:szCs w:val="32"/>
    </w:rPr>
  </w:style>
  <w:style w:type="character" w:styleId="857" w:customStyle="1">
    <w:name w:val="正文文本 3 Char1"/>
    <w:uiPriority w:val="99"/>
    <w:semiHidden/>
    <w:qFormat/>
    <w:rPr>
      <w:sz w:val="16"/>
      <w:szCs w:val="16"/>
    </w:rPr>
  </w:style>
  <w:style w:type="character" w:styleId="858" w:customStyle="1">
    <w:name w:val="批注主题 Char2"/>
    <w:uiPriority w:val="0"/>
    <w:qFormat/>
    <w:rPr>
      <w:b/>
      <w:bCs/>
      <w:sz w:val="21"/>
    </w:rPr>
  </w:style>
  <w:style w:type="character" w:styleId="859" w:customStyle="1">
    <w:name w:val="标题 3 字符"/>
    <w:link w:val="752"/>
    <w:uiPriority w:val="0"/>
    <w:qFormat/>
    <w:rPr>
      <w:b/>
      <w:bCs/>
      <w:sz w:val="32"/>
      <w:szCs w:val="32"/>
    </w:rPr>
  </w:style>
  <w:style w:type="character" w:styleId="860" w:customStyle="1">
    <w:name w:val="正文文本 Char_0"/>
    <w:link w:val="861"/>
    <w:uiPriority w:val="0"/>
    <w:qFormat/>
    <w:rPr>
      <w:szCs w:val="24"/>
    </w:rPr>
  </w:style>
  <w:style w:type="paragraph" w:styleId="861" w:customStyle="1">
    <w:name w:val="正文文本_0"/>
    <w:basedOn w:val="819"/>
    <w:link w:val="860"/>
    <w:uiPriority w:val="0"/>
    <w:qFormat/>
    <w:pPr>
      <w:spacing w:after="120"/>
    </w:pPr>
    <w:rPr>
      <w:sz w:val="20"/>
    </w:rPr>
  </w:style>
  <w:style w:type="character" w:styleId="862" w:customStyle="1">
    <w:name w:val="副标题 字符"/>
    <w:link w:val="785"/>
    <w:uiPriority w:val="0"/>
    <w:qFormat/>
    <w:rPr>
      <w:rFonts w:ascii="Cambria" w:hAnsi="Cambria"/>
      <w:b/>
      <w:bCs/>
      <w:sz w:val="32"/>
      <w:szCs w:val="32"/>
    </w:rPr>
  </w:style>
  <w:style w:type="character" w:styleId="863" w:customStyle="1">
    <w:name w:val="bookmark"/>
    <w:basedOn w:val="759"/>
    <w:uiPriority w:val="0"/>
    <w:qFormat/>
  </w:style>
  <w:style w:type="character" w:styleId="864" w:customStyle="1">
    <w:name w:val="标题 5 Char_0"/>
    <w:link w:val="865"/>
    <w:uiPriority w:val="0"/>
    <w:qFormat/>
    <w:rPr>
      <w:rFonts w:ascii="Calibri" w:hAnsi="Calibri"/>
      <w:b/>
      <w:bCs/>
      <w:sz w:val="28"/>
      <w:szCs w:val="28"/>
    </w:rPr>
  </w:style>
  <w:style w:type="paragraph" w:styleId="865" w:customStyle="1">
    <w:name w:val="标题 5_0"/>
    <w:basedOn w:val="819"/>
    <w:next w:val="819"/>
    <w:link w:val="864"/>
    <w:uiPriority w:val="0"/>
    <w:qFormat/>
    <w:pPr>
      <w:keepLines/>
      <w:keepNext/>
      <w:spacing w:before="280" w:after="290" w:line="372" w:lineRule="auto"/>
      <w:outlineLvl w:val="4"/>
    </w:pPr>
    <w:rPr>
      <w:rFonts w:ascii="Calibri" w:hAnsi="Calibri"/>
      <w:b/>
      <w:bCs/>
      <w:sz w:val="28"/>
      <w:szCs w:val="28"/>
    </w:rPr>
  </w:style>
  <w:style w:type="character" w:styleId="866" w:customStyle="1">
    <w:name w:val="正文文本缩进 2 字符"/>
    <w:link w:val="777"/>
    <w:uiPriority w:val="99"/>
    <w:qFormat/>
    <w:rPr>
      <w:rFonts w:ascii="宋体"/>
    </w:rPr>
  </w:style>
  <w:style w:type="character" w:styleId="867" w:customStyle="1">
    <w:name w:val="批注文字 字符"/>
    <w:link w:val="767"/>
    <w:uiPriority w:val="0"/>
    <w:qFormat/>
    <w:rPr>
      <w:sz w:val="21"/>
      <w:szCs w:val="24"/>
    </w:rPr>
  </w:style>
  <w:style w:type="character" w:styleId="868" w:customStyle="1">
    <w:name w:val="font11"/>
    <w:uiPriority w:val="0"/>
    <w:qFormat/>
    <w:rPr>
      <w:rFonts w:hint="eastAsia" w:ascii="宋体" w:hAnsi="宋体" w:eastAsia="宋体" w:cs="宋体"/>
      <w:color w:val="000000"/>
      <w:sz w:val="20"/>
      <w:szCs w:val="20"/>
      <w:u w:val="none"/>
    </w:rPr>
  </w:style>
  <w:style w:type="character" w:styleId="869" w:customStyle="1">
    <w:name w:val="明显参考1"/>
    <w:uiPriority w:val="0"/>
    <w:qFormat/>
    <w:rPr>
      <w:b/>
      <w:bCs/>
      <w:smallCaps/>
      <w:color w:val="c0504d"/>
      <w:spacing w:val="5"/>
      <w:u w:val="single"/>
    </w:rPr>
  </w:style>
  <w:style w:type="character" w:styleId="870" w:customStyle="1">
    <w:name w:val="超链接_0"/>
    <w:uiPriority w:val="99"/>
    <w:qFormat/>
    <w:rPr>
      <w:rFonts w:ascii="Calibri" w:hAnsi="Calibri"/>
      <w:color w:val="0000ff"/>
      <w:u w:val="single"/>
    </w:rPr>
  </w:style>
  <w:style w:type="character" w:styleId="871" w:customStyle="1">
    <w:name w:val="文档结构图 Char2"/>
    <w:uiPriority w:val="99"/>
    <w:semiHidden/>
    <w:qFormat/>
    <w:rPr>
      <w:rFonts w:ascii="宋体" w:hAnsi="Calibri" w:eastAsia="宋体" w:cs="Times New Roman"/>
      <w:sz w:val="18"/>
      <w:szCs w:val="18"/>
    </w:rPr>
  </w:style>
  <w:style w:type="character" w:styleId="872" w:customStyle="1">
    <w:name w:val="textcontents"/>
    <w:uiPriority w:val="0"/>
    <w:qFormat/>
    <w:rPr>
      <w:rFonts w:cs="Times New Roman"/>
    </w:rPr>
  </w:style>
  <w:style w:type="character" w:styleId="873" w:customStyle="1">
    <w:name w:val="标题 1 Char"/>
    <w:uiPriority w:val="0"/>
    <w:qFormat/>
    <w:rPr>
      <w:b/>
      <w:bCs/>
      <w:sz w:val="32"/>
      <w:szCs w:val="44"/>
    </w:rPr>
  </w:style>
  <w:style w:type="character" w:styleId="874" w:customStyle="1">
    <w:name w:val="正文文本 字符"/>
    <w:link w:val="761"/>
    <w:uiPriority w:val="0"/>
    <w:qFormat/>
    <w:rPr>
      <w:rFonts w:eastAsia="幼圆"/>
      <w:b/>
      <w:bCs/>
      <w:sz w:val="44"/>
      <w:szCs w:val="24"/>
    </w:rPr>
  </w:style>
  <w:style w:type="character" w:styleId="875" w:customStyle="1">
    <w:name w:val="标题 8 字符"/>
    <w:link w:val="757"/>
    <w:uiPriority w:val="0"/>
    <w:qFormat/>
    <w:rPr>
      <w:rFonts w:ascii="Cambria" w:hAnsi="Cambria" w:eastAsia="宋体" w:cs="Times New Roman"/>
      <w:sz w:val="24"/>
      <w:szCs w:val="24"/>
    </w:rPr>
  </w:style>
  <w:style w:type="character" w:styleId="876" w:customStyle="1">
    <w:name w:val="副标题 Char1"/>
    <w:uiPriority w:val="11"/>
    <w:qFormat/>
    <w:rPr>
      <w:rFonts w:ascii="Cambria" w:hAnsi="Cambria" w:cs="Times New Roman"/>
      <w:b/>
      <w:bCs/>
      <w:sz w:val="32"/>
      <w:szCs w:val="32"/>
    </w:rPr>
  </w:style>
  <w:style w:type="character" w:styleId="877" w:customStyle="1">
    <w:name w:val="批注主题 字符"/>
    <w:link w:val="794"/>
    <w:uiPriority w:val="0"/>
    <w:qFormat/>
    <w:rPr>
      <w:b/>
      <w:bCs/>
      <w:sz w:val="21"/>
      <w:szCs w:val="24"/>
    </w:rPr>
  </w:style>
  <w:style w:type="character" w:styleId="878" w:customStyle="1">
    <w:name w:val="书籍标题1"/>
    <w:uiPriority w:val="0"/>
    <w:qFormat/>
    <w:rPr>
      <w:b/>
      <w:bCs/>
      <w:smallCaps/>
      <w:spacing w:val="5"/>
    </w:rPr>
  </w:style>
  <w:style w:type="character" w:styleId="879" w:customStyle="1">
    <w:name w:val="页脚 字符"/>
    <w:link w:val="779"/>
    <w:uiPriority w:val="99"/>
    <w:qFormat/>
    <w:rPr>
      <w:sz w:val="18"/>
      <w:szCs w:val="18"/>
    </w:rPr>
  </w:style>
  <w:style w:type="character" w:styleId="880" w:customStyle="1">
    <w:name w:val="标题4 Char Char"/>
    <w:link w:val="881"/>
    <w:uiPriority w:val="0"/>
    <w:qFormat/>
    <w:rPr>
      <w:rFonts w:ascii="Arial" w:hAnsi="Arial"/>
      <w:b/>
      <w:bCs/>
      <w:sz w:val="24"/>
      <w:szCs w:val="32"/>
    </w:rPr>
  </w:style>
  <w:style w:type="paragraph" w:styleId="881" w:customStyle="1">
    <w:name w:val="标题4"/>
    <w:basedOn w:val="751"/>
    <w:next w:val="771"/>
    <w:link w:val="880"/>
    <w:uiPriority w:val="0"/>
    <w:qFormat/>
    <w:pPr>
      <w:numPr>
        <w:ilvl w:val="0"/>
        <w:numId w:val="0"/>
      </w:numPr>
      <w:spacing w:line="413" w:lineRule="auto"/>
    </w:pPr>
    <w:rPr>
      <w:rFonts w:ascii="Arial" w:hAnsi="Arial"/>
      <w:sz w:val="24"/>
    </w:rPr>
  </w:style>
  <w:style w:type="character" w:styleId="882" w:customStyle="1">
    <w:name w:val="正文文本 Char1"/>
    <w:uiPriority w:val="0"/>
    <w:qFormat/>
    <w:rPr>
      <w:rFonts w:ascii="Calibri" w:hAnsi="Calibri" w:eastAsia="宋体" w:cs="Times New Roman"/>
    </w:rPr>
  </w:style>
  <w:style w:type="character" w:styleId="883" w:customStyle="1">
    <w:name w:val="明显引用 Char1"/>
    <w:uiPriority w:val="30"/>
    <w:qFormat/>
    <w:rPr>
      <w:b/>
      <w:bCs/>
      <w:i/>
      <w:iCs/>
      <w:color w:val="4f81bd"/>
      <w:sz w:val="21"/>
    </w:rPr>
  </w:style>
  <w:style w:type="character" w:styleId="884" w:customStyle="1">
    <w:name w:val="页眉 Char1"/>
    <w:uiPriority w:val="99"/>
    <w:semiHidden/>
    <w:qFormat/>
    <w:rPr>
      <w:rFonts w:ascii="Calibri" w:hAnsi="Calibri" w:eastAsia="宋体" w:cs="Times New Roman"/>
      <w:sz w:val="18"/>
      <w:szCs w:val="18"/>
    </w:rPr>
  </w:style>
  <w:style w:type="character" w:styleId="885" w:customStyle="1">
    <w:name w:val="不明显强调1"/>
    <w:uiPriority w:val="0"/>
    <w:qFormat/>
    <w:rPr>
      <w:i/>
      <w:iCs/>
      <w:color w:val="808080"/>
    </w:rPr>
  </w:style>
  <w:style w:type="character" w:styleId="886" w:customStyle="1">
    <w:name w:val="正文文本 3 字符"/>
    <w:link w:val="768"/>
    <w:uiPriority w:val="0"/>
    <w:qFormat/>
    <w:rPr>
      <w:rFonts w:ascii="宋体"/>
      <w:sz w:val="24"/>
    </w:rPr>
  </w:style>
  <w:style w:type="character" w:styleId="887" w:customStyle="1">
    <w:name w:val="正文文本缩进 3 字符"/>
    <w:link w:val="787"/>
    <w:uiPriority w:val="0"/>
    <w:qFormat/>
    <w:rPr>
      <w:sz w:val="16"/>
    </w:rPr>
  </w:style>
  <w:style w:type="character" w:styleId="888" w:customStyle="1">
    <w:name w:val="font21"/>
    <w:uiPriority w:val="0"/>
    <w:qFormat/>
    <w:rPr>
      <w:rFonts w:hint="eastAsia" w:ascii="宋体" w:hAnsi="宋体" w:eastAsia="宋体" w:cs="宋体"/>
      <w:color w:val="000000"/>
      <w:sz w:val="20"/>
      <w:szCs w:val="20"/>
      <w:u w:val="none"/>
    </w:rPr>
  </w:style>
  <w:style w:type="character" w:styleId="889" w:customStyle="1">
    <w:name w:val="批注框文本 字符"/>
    <w:link w:val="778"/>
    <w:uiPriority w:val="0"/>
    <w:qFormat/>
    <w:rPr>
      <w:sz w:val="18"/>
      <w:szCs w:val="18"/>
    </w:rPr>
  </w:style>
  <w:style w:type="character" w:styleId="890" w:customStyle="1">
    <w:name w:val="标题 7 字符"/>
    <w:link w:val="756"/>
    <w:uiPriority w:val="0"/>
    <w:qFormat/>
    <w:rPr>
      <w:b/>
      <w:bCs/>
      <w:sz w:val="24"/>
      <w:szCs w:val="24"/>
    </w:rPr>
  </w:style>
  <w:style w:type="character" w:styleId="891" w:customStyle="1">
    <w:name w:val="文档结构图 Char1"/>
    <w:uiPriority w:val="0"/>
    <w:qFormat/>
    <w:rPr>
      <w:rFonts w:ascii="宋体" w:hAnsi="Calibri" w:eastAsia="宋体" w:cs="Times New Roman"/>
      <w:sz w:val="18"/>
      <w:szCs w:val="18"/>
    </w:rPr>
  </w:style>
  <w:style w:type="character" w:styleId="892" w:customStyle="1">
    <w:name w:val="标题 2 Char_0"/>
    <w:link w:val="893"/>
    <w:uiPriority w:val="0"/>
    <w:qFormat/>
    <w:rPr>
      <w:rFonts w:ascii="Cambria" w:hAnsi="Cambria"/>
      <w:b/>
      <w:bCs/>
      <w:sz w:val="32"/>
      <w:szCs w:val="32"/>
    </w:rPr>
  </w:style>
  <w:style w:type="paragraph" w:styleId="893" w:customStyle="1">
    <w:name w:val="标题 2_0"/>
    <w:basedOn w:val="819"/>
    <w:next w:val="819"/>
    <w:link w:val="892"/>
    <w:uiPriority w:val="0"/>
    <w:unhideWhenUsed/>
    <w:qFormat/>
    <w:pPr>
      <w:keepLines/>
      <w:keepNext/>
      <w:spacing w:before="260" w:after="260" w:line="416" w:lineRule="auto"/>
      <w:outlineLvl w:val="1"/>
    </w:pPr>
    <w:rPr>
      <w:rFonts w:ascii="Cambria" w:hAnsi="Cambria"/>
      <w:b/>
      <w:bCs/>
      <w:sz w:val="32"/>
      <w:szCs w:val="32"/>
    </w:rPr>
  </w:style>
  <w:style w:type="character" w:styleId="894" w:customStyle="1">
    <w:name w:val="日期 Char2"/>
    <w:uiPriority w:val="99"/>
    <w:semiHidden/>
    <w:qFormat/>
    <w:rPr>
      <w:rFonts w:ascii="Calibri" w:hAnsi="Calibri" w:eastAsia="宋体" w:cs="Times New Roman"/>
    </w:rPr>
  </w:style>
  <w:style w:type="character" w:styleId="895" w:customStyle="1">
    <w:name w:val="批注框文本 Char2"/>
    <w:uiPriority w:val="99"/>
    <w:semiHidden/>
    <w:qFormat/>
    <w:rPr>
      <w:rFonts w:ascii="Calibri" w:hAnsi="Calibri" w:eastAsia="宋体" w:cs="Times New Roman"/>
      <w:sz w:val="18"/>
      <w:szCs w:val="18"/>
    </w:rPr>
  </w:style>
  <w:style w:type="character" w:styleId="896" w:customStyle="1">
    <w:name w:val="标题 4 字符"/>
    <w:link w:val="753"/>
    <w:uiPriority w:val="0"/>
    <w:qFormat/>
    <w:rPr>
      <w:rFonts w:ascii="Cambria" w:hAnsi="Cambria" w:eastAsia="宋体" w:cs="Times New Roman"/>
      <w:b/>
      <w:bCs/>
      <w:sz w:val="28"/>
      <w:szCs w:val="28"/>
    </w:rPr>
  </w:style>
  <w:style w:type="character" w:styleId="897" w:customStyle="1">
    <w:name w:val="列出段落 Char"/>
    <w:link w:val="898"/>
    <w:uiPriority w:val="99"/>
    <w:qFormat/>
    <w:rPr>
      <w:sz w:val="21"/>
      <w:szCs w:val="24"/>
    </w:rPr>
  </w:style>
  <w:style w:type="paragraph" w:styleId="898" w:customStyle="1">
    <w:name w:val="List Paragraph1"/>
    <w:basedOn w:val="749"/>
    <w:link w:val="897"/>
    <w:uiPriority w:val="99"/>
    <w:qFormat/>
    <w:pPr>
      <w:ind w:firstLine="420"/>
    </w:pPr>
  </w:style>
  <w:style w:type="paragraph" w:styleId="899" w:customStyle="1">
    <w:name w:val="样式 标题 3 + (中文) 黑体 小四 非加粗 段前: 7.8 磅 段后: 0 磅 行距: 固定值 20 磅"/>
    <w:basedOn w:val="752"/>
    <w:next w:val="749"/>
    <w:uiPriority w:val="0"/>
    <w:qFormat/>
    <w:pPr>
      <w:spacing w:before="0" w:after="0" w:line="400" w:lineRule="exact"/>
    </w:pPr>
    <w:rPr>
      <w:rFonts w:eastAsia="黑体" w:cs="宋体"/>
      <w:b w:val="0"/>
      <w:bCs w:val="0"/>
      <w:sz w:val="24"/>
      <w:szCs w:val="20"/>
    </w:rPr>
  </w:style>
  <w:style w:type="paragraph" w:styleId="900" w:customStyle="1">
    <w:name w:val="_Style 34"/>
    <w:next w:val="749"/>
    <w:uiPriority w:val="0"/>
    <w:qFormat/>
    <w:pPr>
      <w:jc w:val="both"/>
      <w:widowControl w:val="off"/>
    </w:pPr>
    <w:rPr>
      <w:rFonts w:ascii="Times New Roman" w:hAnsi="Times New Roman" w:eastAsia="宋体" w:cs="Times New Roman"/>
      <w:sz w:val="21"/>
      <w:lang w:val="en-US" w:eastAsia="zh-CN" w:bidi="ar-SA"/>
    </w:rPr>
  </w:style>
  <w:style w:type="paragraph" w:styleId="90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02" w:customStyle="1">
    <w:name w:val="_Style 36"/>
    <w:next w:val="749"/>
    <w:uiPriority w:val="0"/>
    <w:qFormat/>
    <w:pPr>
      <w:jc w:val="both"/>
      <w:widowControl w:val="off"/>
    </w:pPr>
    <w:rPr>
      <w:rFonts w:ascii="Times New Roman" w:hAnsi="Times New Roman" w:eastAsia="宋体" w:cs="Times New Roman"/>
      <w:sz w:val="21"/>
      <w:lang w:val="en-US" w:eastAsia="zh-CN" w:bidi="ar-SA"/>
    </w:rPr>
  </w:style>
  <w:style w:type="paragraph" w:styleId="903" w:customStyle="1">
    <w:name w:val="空半行"/>
    <w:basedOn w:val="749"/>
    <w:uiPriority w:val="0"/>
    <w:qFormat/>
    <w:pPr>
      <w:spacing w:line="120" w:lineRule="exact"/>
    </w:pPr>
    <w:rPr>
      <w:rFonts w:ascii="Calibri" w:hAnsi="Calibri" w:eastAsia="仿宋_GB2312"/>
      <w:color w:val="ffffff"/>
      <w:sz w:val="30"/>
      <w:szCs w:val="22"/>
    </w:rPr>
  </w:style>
  <w:style w:type="paragraph" w:styleId="904" w:customStyle="1">
    <w:name w:val="1方案格式1"/>
    <w:basedOn w:val="750"/>
    <w:uiPriority w:val="0"/>
    <w:qFormat/>
    <w:pPr>
      <w:numPr>
        <w:numId w:val="2"/>
      </w:numPr>
      <w:ind w:left="0" w:firstLine="0"/>
      <w:spacing w:line="360" w:lineRule="auto"/>
      <w:tabs>
        <w:tab w:val="left" w:pos="360" w:leader="none"/>
      </w:tabs>
    </w:pPr>
    <w:rPr>
      <w:rFonts w:eastAsia="微软雅黑"/>
      <w:bCs w:val="0"/>
      <w:sz w:val="48"/>
    </w:rPr>
  </w:style>
  <w:style w:type="paragraph" w:styleId="905" w:customStyle="1">
    <w:name w:val="格式３"/>
    <w:basedOn w:val="749"/>
    <w:uiPriority w:val="0"/>
    <w:qFormat/>
    <w:pPr>
      <w:ind w:left="600" w:hanging="600"/>
      <w:spacing w:line="420" w:lineRule="exact"/>
    </w:pPr>
    <w:rPr>
      <w:rFonts w:ascii="宋体" w:hAnsi="宋体"/>
      <w:color w:val="000000"/>
      <w:sz w:val="24"/>
      <w:szCs w:val="20"/>
    </w:rPr>
  </w:style>
  <w:style w:type="paragraph" w:styleId="906" w:customStyle="1">
    <w:name w:val="正文1"/>
    <w:uiPriority w:val="0"/>
    <w:qFormat/>
    <w:pPr>
      <w:jc w:val="both"/>
      <w:widowControl w:val="off"/>
    </w:pPr>
    <w:rPr>
      <w:rFonts w:ascii="Calibri" w:hAnsi="Calibri" w:eastAsia="宋体" w:cs="Times New Roman"/>
      <w:lang w:val="en-US" w:eastAsia="zh-CN" w:bidi="ar-SA"/>
    </w:rPr>
  </w:style>
  <w:style w:type="paragraph" w:styleId="907" w:customStyle="1">
    <w:name w:val="正文空2字"/>
    <w:basedOn w:val="749"/>
    <w:uiPriority w:val="0"/>
    <w:qFormat/>
    <w:pPr>
      <w:ind w:firstLine="200"/>
      <w:spacing w:line="360" w:lineRule="auto"/>
    </w:pPr>
    <w:rPr>
      <w:sz w:val="24"/>
      <w:lang w:bidi="en-US"/>
    </w:rPr>
  </w:style>
  <w:style w:type="paragraph" w:styleId="90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09" w:customStyle="1">
    <w:name w:val="目录 5_0"/>
    <w:basedOn w:val="819"/>
    <w:next w:val="819"/>
    <w:uiPriority w:val="39"/>
    <w:qFormat/>
    <w:pPr>
      <w:ind w:left="1680"/>
    </w:pPr>
    <w:rPr>
      <w:rFonts w:ascii="Calibri" w:hAnsi="Calibri"/>
    </w:rPr>
  </w:style>
  <w:style w:type="paragraph" w:styleId="910" w:customStyle="1">
    <w:name w:val="修订1"/>
    <w:uiPriority w:val="0"/>
    <w:qFormat/>
    <w:rPr>
      <w:rFonts w:ascii="Times New Roman" w:hAnsi="Times New Roman" w:eastAsia="宋体" w:cs="Times New Roman"/>
      <w:sz w:val="21"/>
      <w:szCs w:val="24"/>
      <w:lang w:val="en-US" w:eastAsia="zh-CN" w:bidi="ar-SA"/>
    </w:rPr>
  </w:style>
  <w:style w:type="paragraph" w:styleId="911" w:customStyle="1">
    <w:name w:val="标题 11"/>
    <w:basedOn w:val="906"/>
    <w:next w:val="90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12" w:customStyle="1">
    <w:name w:val="正文 + 行距: 固定值 20 磅"/>
    <w:basedOn w:val="749"/>
    <w:uiPriority w:val="0"/>
    <w:qFormat/>
    <w:pPr>
      <w:ind w:firstLine="716"/>
      <w:spacing w:line="400" w:lineRule="exact"/>
    </w:pPr>
    <w:rPr>
      <w:rFonts w:ascii="Calibri" w:hAnsi="Calibri"/>
      <w:szCs w:val="22"/>
    </w:rPr>
  </w:style>
  <w:style w:type="paragraph" w:styleId="913" w:customStyle="1">
    <w:name w:val="TOC 标题1"/>
    <w:basedOn w:val="750"/>
    <w:next w:val="74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14" w:customStyle="1">
    <w:name w:val="表格文字"/>
    <w:basedOn w:val="749"/>
    <w:link w:val="945"/>
    <w:uiPriority w:val="0"/>
    <w:qFormat/>
    <w:pPr>
      <w:jc w:val="left"/>
      <w:spacing w:line="420" w:lineRule="atLeast"/>
    </w:pPr>
    <w:rPr>
      <w:rFonts w:ascii="Calibri" w:hAnsi="Calibri"/>
      <w:szCs w:val="22"/>
    </w:rPr>
  </w:style>
  <w:style w:type="paragraph" w:styleId="915" w:customStyle="1">
    <w:name w:val="flNote"/>
    <w:basedOn w:val="749"/>
    <w:uiPriority w:val="0"/>
    <w:qFormat/>
    <w:pPr>
      <w:jc w:val="center"/>
      <w:spacing w:before="320" w:after="160" w:line="360" w:lineRule="atLeast"/>
    </w:pPr>
    <w:rPr>
      <w:rFonts w:ascii="Arial" w:hAnsi="Calibri" w:eastAsia="黑体"/>
      <w:sz w:val="30"/>
      <w:szCs w:val="22"/>
    </w:rPr>
  </w:style>
  <w:style w:type="paragraph" w:styleId="916" w:customStyle="1">
    <w:name w:val="文章正文"/>
    <w:basedOn w:val="749"/>
    <w:uiPriority w:val="99"/>
    <w:qFormat/>
    <w:pPr>
      <w:ind w:firstLine="480"/>
      <w:spacing w:line="360" w:lineRule="auto"/>
    </w:pPr>
    <w:rPr>
      <w:rFonts w:ascii="仿宋_GB2312" w:hAnsi="宋体" w:eastAsia="仿宋_GB2312"/>
      <w:color w:val="ff0000"/>
      <w:sz w:val="24"/>
    </w:rPr>
  </w:style>
  <w:style w:type="paragraph" w:styleId="917" w:customStyle="1">
    <w:name w:val="表格"/>
    <w:basedOn w:val="749"/>
    <w:uiPriority w:val="0"/>
    <w:qFormat/>
    <w:pPr>
      <w:jc w:val="center"/>
    </w:pPr>
    <w:rPr>
      <w:rFonts w:ascii="华文细黑" w:hAnsi="华文细黑"/>
      <w:szCs w:val="22"/>
    </w:rPr>
  </w:style>
  <w:style w:type="paragraph" w:styleId="918" w:customStyle="1">
    <w:name w:val="Char"/>
    <w:basedOn w:val="749"/>
    <w:uiPriority w:val="0"/>
    <w:qFormat/>
    <w:pPr>
      <w:jc w:val="left"/>
      <w:spacing w:after="160" w:line="240" w:lineRule="exact"/>
      <w:widowControl/>
    </w:pPr>
    <w:rPr>
      <w:rFonts w:ascii="Verdana" w:hAnsi="Verdana"/>
      <w:sz w:val="20"/>
      <w:szCs w:val="20"/>
      <w:lang w:eastAsia="en-US"/>
    </w:rPr>
  </w:style>
  <w:style w:type="paragraph" w:styleId="9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0" w:customStyle="1">
    <w:name w:val="列出段落2"/>
    <w:basedOn w:val="749"/>
    <w:uiPriority w:val="99"/>
    <w:qFormat/>
    <w:pPr>
      <w:ind w:firstLine="420"/>
    </w:pPr>
  </w:style>
  <w:style w:type="paragraph" w:styleId="921" w:customStyle="1">
    <w:name w:val="6'"/>
    <w:basedOn w:val="749"/>
    <w:uiPriority w:val="0"/>
    <w:qFormat/>
    <w:pPr>
      <w:jc w:val="center"/>
      <w:spacing w:line="320" w:lineRule="exact"/>
    </w:pPr>
    <w:rPr>
      <w:rFonts w:ascii="Calibri" w:hAnsi="Calibri"/>
      <w:spacing w:val="20"/>
      <w:szCs w:val="22"/>
    </w:rPr>
  </w:style>
  <w:style w:type="paragraph" w:styleId="922" w:customStyle="1">
    <w:name w:val="Char Char Char Char Char Char Char"/>
    <w:basedOn w:val="749"/>
    <w:uiPriority w:val="0"/>
    <w:qFormat/>
    <w:pPr>
      <w:spacing w:line="360" w:lineRule="auto"/>
    </w:pPr>
    <w:rPr>
      <w:sz w:val="24"/>
      <w:szCs w:val="20"/>
    </w:rPr>
  </w:style>
  <w:style w:type="paragraph" w:styleId="923" w:customStyle="1">
    <w:name w:val="2方案格式2"/>
    <w:basedOn w:val="904"/>
    <w:uiPriority w:val="0"/>
    <w:qFormat/>
    <w:pPr>
      <w:numPr>
        <w:ilvl w:val="1"/>
      </w:numPr>
      <w:spacing w:before="50" w:after="50" w:line="240" w:lineRule="auto"/>
      <w:outlineLvl w:val="1"/>
    </w:pPr>
    <w:rPr>
      <w:sz w:val="44"/>
    </w:rPr>
  </w:style>
  <w:style w:type="paragraph" w:styleId="92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25" w:customStyle="1">
    <w:name w:val="文档正文"/>
    <w:basedOn w:val="749"/>
    <w:uiPriority w:val="0"/>
    <w:qFormat/>
    <w:pPr>
      <w:ind w:firstLine="567"/>
      <w:spacing w:line="480" w:lineRule="atLeast"/>
    </w:pPr>
    <w:rPr>
      <w:rFonts w:ascii="Ari" w:eastAsia="Ari"/>
      <w:sz w:val="28"/>
      <w:szCs w:val="20"/>
    </w:rPr>
  </w:style>
  <w:style w:type="paragraph" w:styleId="926" w:customStyle="1">
    <w:name w:val="txt"/>
    <w:basedOn w:val="749"/>
    <w:uiPriority w:val="0"/>
    <w:qFormat/>
    <w:pPr>
      <w:jc w:val="left"/>
      <w:spacing w:before="100" w:beforeAutospacing="1" w:after="100" w:afterAutospacing="1"/>
      <w:widowControl/>
    </w:pPr>
    <w:rPr>
      <w:rFonts w:ascii="宋体" w:hAnsi="宋体" w:cs="宋体"/>
      <w:sz w:val="24"/>
    </w:rPr>
  </w:style>
  <w:style w:type="paragraph" w:styleId="927" w:customStyle="1">
    <w:name w:val="目录 4_0"/>
    <w:basedOn w:val="819"/>
    <w:next w:val="819"/>
    <w:uiPriority w:val="39"/>
    <w:qFormat/>
    <w:pPr>
      <w:ind w:left="1260"/>
    </w:pPr>
    <w:rPr>
      <w:rFonts w:ascii="Calibri" w:hAnsi="Calibri"/>
    </w:rPr>
  </w:style>
  <w:style w:type="paragraph" w:styleId="928" w:customStyle="1">
    <w:name w:val="目录 3_0"/>
    <w:basedOn w:val="819"/>
    <w:next w:val="819"/>
    <w:uiPriority w:val="39"/>
    <w:qFormat/>
    <w:pPr>
      <w:ind w:left="840"/>
    </w:pPr>
    <w:rPr>
      <w:rFonts w:ascii="Calibri" w:hAnsi="Calibri"/>
    </w:rPr>
  </w:style>
  <w:style w:type="paragraph" w:styleId="929" w:customStyle="1">
    <w:name w:val="样式 标题 1 + 黑体 三号 非加粗 居中 段前: 6 磅 段后: 6 磅 行距: 固定值 20 磅"/>
    <w:basedOn w:val="750"/>
    <w:uiPriority w:val="0"/>
    <w:qFormat/>
    <w:pPr>
      <w:numPr>
        <w:numId w:val="0"/>
      </w:numPr>
      <w:spacing w:before="120" w:after="120" w:line="400" w:lineRule="exact"/>
    </w:pPr>
    <w:rPr>
      <w:rFonts w:ascii="黑体" w:hAnsi="黑体" w:eastAsia="黑体"/>
      <w:b w:val="0"/>
      <w:bCs w:val="0"/>
      <w:szCs w:val="20"/>
    </w:rPr>
  </w:style>
  <w:style w:type="paragraph" w:styleId="930" w:customStyle="1">
    <w:name w:val="1"/>
    <w:basedOn w:val="749"/>
    <w:next w:val="749"/>
    <w:uiPriority w:val="0"/>
    <w:qFormat/>
    <w:rPr>
      <w:rFonts w:ascii="Calibri" w:hAnsi="Calibri"/>
      <w:szCs w:val="22"/>
    </w:rPr>
  </w:style>
  <w:style w:type="paragraph" w:styleId="931" w:customStyle="1">
    <w:name w:val="Blockquote_0"/>
    <w:basedOn w:val="819"/>
    <w:uiPriority w:val="0"/>
    <w:qFormat/>
    <w:pPr>
      <w:ind w:left="360" w:right="360"/>
      <w:jc w:val="left"/>
      <w:spacing w:before="100" w:after="100"/>
    </w:pPr>
    <w:rPr>
      <w:rFonts w:ascii="Calibri" w:hAnsi="Calibri" w:eastAsia="Times New Roman"/>
      <w:sz w:val="24"/>
      <w:szCs w:val="20"/>
    </w:rPr>
  </w:style>
  <w:style w:type="paragraph" w:styleId="932" w:customStyle="1">
    <w:name w:val="列出段落11"/>
    <w:basedOn w:val="749"/>
    <w:uiPriority w:val="0"/>
    <w:qFormat/>
    <w:pPr>
      <w:contextualSpacing/>
      <w:ind w:left="720"/>
      <w:jc w:val="left"/>
      <w:widowControl/>
    </w:pPr>
    <w:rPr>
      <w:rFonts w:ascii="Arial" w:hAnsi="Arial" w:eastAsia="黑体"/>
      <w:sz w:val="24"/>
      <w:lang w:eastAsia="en-US"/>
    </w:rPr>
  </w:style>
  <w:style w:type="paragraph" w:styleId="933" w:customStyle="1">
    <w:name w:val="样式 标题 2 + Times New Roman 四号 非加粗 段前: 5 磅 段后: 0 磅 行距: 固定值 20..._0"/>
    <w:basedOn w:val="749"/>
    <w:uiPriority w:val="0"/>
    <w:qFormat/>
    <w:pPr>
      <w:keepLines/>
      <w:keepNext/>
      <w:spacing w:before="100" w:line="360" w:lineRule="auto"/>
      <w:outlineLvl w:val="1"/>
    </w:pPr>
    <w:rPr>
      <w:rFonts w:eastAsia="Times New Roman" w:cs="宋体"/>
      <w:sz w:val="28"/>
      <w:szCs w:val="20"/>
    </w:rPr>
  </w:style>
  <w:style w:type="paragraph" w:styleId="934" w:customStyle="1">
    <w:name w:val="op_mapdots_left"/>
    <w:basedOn w:val="749"/>
    <w:uiPriority w:val="0"/>
    <w:qFormat/>
    <w:pPr>
      <w:jc w:val="left"/>
      <w:spacing w:before="100" w:beforeAutospacing="1" w:after="100" w:afterAutospacing="1"/>
      <w:widowControl/>
    </w:pPr>
    <w:rPr>
      <w:rFonts w:ascii="宋体" w:hAnsi="宋体" w:cs="宋体"/>
      <w:sz w:val="24"/>
    </w:rPr>
  </w:style>
  <w:style w:type="paragraph" w:styleId="935" w:customStyle="1">
    <w:name w:val="p0"/>
    <w:basedOn w:val="749"/>
    <w:uiPriority w:val="0"/>
    <w:qFormat/>
    <w:pPr>
      <w:widowControl/>
    </w:pPr>
    <w:rPr>
      <w:b/>
      <w:bCs/>
      <w:sz w:val="24"/>
    </w:rPr>
  </w:style>
  <w:style w:type="paragraph" w:styleId="936" w:customStyle="1">
    <w:name w:val="Blockquote"/>
    <w:basedOn w:val="749"/>
    <w:uiPriority w:val="0"/>
    <w:qFormat/>
    <w:pPr>
      <w:ind w:left="360" w:right="360"/>
      <w:jc w:val="left"/>
      <w:spacing w:before="100" w:after="100"/>
    </w:pPr>
    <w:rPr>
      <w:rFonts w:ascii="Calibri" w:hAnsi="Calibri"/>
      <w:sz w:val="24"/>
      <w:szCs w:val="22"/>
    </w:rPr>
  </w:style>
  <w:style w:type="paragraph" w:styleId="937" w:customStyle="1">
    <w:name w:val="3方案格式3"/>
    <w:basedOn w:val="923"/>
    <w:uiPriority w:val="0"/>
    <w:qFormat/>
    <w:pPr>
      <w:numPr>
        <w:ilvl w:val="2"/>
      </w:numPr>
      <w:outlineLvl w:val="2"/>
    </w:pPr>
    <w:rPr>
      <w:sz w:val="32"/>
    </w:rPr>
  </w:style>
  <w:style w:type="paragraph" w:styleId="938" w:customStyle="1">
    <w:name w:val="样式 标题 2 + Times New Roman 四号 非加粗 段前: 5 磅 段后: 0 磅 行距: 固定值 20..."/>
    <w:basedOn w:val="75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39" w:customStyle="1">
    <w:name w:val="标题2"/>
    <w:basedOn w:val="751"/>
    <w:next w:val="761"/>
    <w:uiPriority w:val="0"/>
    <w:qFormat/>
    <w:pPr>
      <w:spacing w:before="156" w:after="156" w:line="360" w:lineRule="auto"/>
    </w:pPr>
    <w:rPr>
      <w:bCs w:val="0"/>
      <w:sz w:val="24"/>
    </w:rPr>
  </w:style>
  <w:style w:type="paragraph" w:styleId="940" w:customStyle="1">
    <w:name w:val="普通正文"/>
    <w:basedOn w:val="749"/>
    <w:uiPriority w:val="0"/>
    <w:qFormat/>
    <w:pPr>
      <w:ind w:firstLine="480"/>
      <w:jc w:val="left"/>
      <w:spacing w:before="120" w:after="120" w:line="360" w:lineRule="auto"/>
    </w:pPr>
    <w:rPr>
      <w:rFonts w:ascii="Arial" w:hAnsi="Arial"/>
      <w:sz w:val="24"/>
    </w:rPr>
  </w:style>
  <w:style w:type="paragraph" w:styleId="941" w:customStyle="1">
    <w:name w:val="正文11"/>
    <w:uiPriority w:val="0"/>
    <w:qFormat/>
    <w:rPr>
      <w:rFonts w:ascii="Calibri" w:hAnsi="Calibri" w:eastAsia="宋体" w:cs="Calibri"/>
      <w:sz w:val="24"/>
      <w:szCs w:val="24"/>
      <w:lang w:val="en-US" w:eastAsia="zh-CN" w:bidi="ar-SA"/>
    </w:rPr>
  </w:style>
  <w:style w:type="paragraph" w:styleId="942" w:customStyle="1">
    <w:name w:val="正文2"/>
    <w:uiPriority w:val="0"/>
    <w:qFormat/>
    <w:rPr>
      <w:rFonts w:ascii="Times New Roman" w:hAnsi="Times New Roman" w:eastAsia="微软雅黑" w:cs="Times New Roman"/>
      <w:sz w:val="24"/>
      <w:szCs w:val="24"/>
      <w:lang w:val="en-US" w:eastAsia="zh-CN" w:bidi="ar-SA"/>
    </w:rPr>
  </w:style>
  <w:style w:type="paragraph" w:styleId="943" w:customStyle="1">
    <w:name w:val="列出段落3"/>
    <w:basedOn w:val="749"/>
    <w:uiPriority w:val="34"/>
    <w:qFormat/>
    <w:pPr>
      <w:ind w:firstLine="420"/>
      <w:jc w:val="left"/>
      <w:spacing w:after="200"/>
      <w:widowControl/>
    </w:pPr>
    <w:rPr>
      <w:rFonts w:ascii="Tahoma" w:hAnsi="Tahoma" w:eastAsia="微软雅黑"/>
      <w:sz w:val="22"/>
      <w:szCs w:val="22"/>
    </w:rPr>
  </w:style>
  <w:style w:type="paragraph" w:styleId="944" w:customStyle="1">
    <w:name w:val="纯文本2"/>
    <w:basedOn w:val="749"/>
    <w:uiPriority w:val="0"/>
    <w:qFormat/>
    <w:pPr>
      <w:jc w:val="left"/>
    </w:pPr>
    <w:rPr>
      <w:rFonts w:hint="eastAsia" w:ascii="宋体" w:hAnsi="宋体" w:cs="Courier New"/>
      <w:sz w:val="24"/>
      <w:szCs w:val="20"/>
      <w:lang w:bidi="hi-IN"/>
    </w:rPr>
  </w:style>
  <w:style w:type="character" w:styleId="945" w:customStyle="1">
    <w:name w:val="表格文字 字符"/>
    <w:link w:val="914"/>
    <w:uiPriority w:val="0"/>
    <w:qFormat/>
    <w:rPr>
      <w:rFonts w:ascii="Calibri" w:hAnsi="Calibri" w:eastAsia="宋体" w:cs="Times New Roman"/>
      <w:sz w:val="21"/>
      <w:szCs w:val="22"/>
    </w:rPr>
  </w:style>
  <w:style w:type="paragraph" w:styleId="946" w:customStyle="1">
    <w:name w:val="trs_editor"/>
    <w:basedOn w:val="749"/>
    <w:uiPriority w:val="0"/>
    <w:qFormat/>
    <w:pPr>
      <w:jc w:val="left"/>
      <w:spacing w:before="100" w:beforeAutospacing="1" w:after="100" w:afterAutospacing="1"/>
      <w:widowControl/>
    </w:pPr>
    <w:rPr>
      <w:rFonts w:ascii="宋体" w:hAnsi="宋体" w:cs="宋体"/>
      <w:sz w:val="24"/>
    </w:rPr>
  </w:style>
  <w:style w:type="paragraph" w:styleId="947" w:customStyle="1">
    <w:name w:val="标题二级"/>
    <w:basedOn w:val="749"/>
    <w:uiPriority w:val="0"/>
    <w:qFormat/>
    <w:pPr>
      <w:ind w:firstLine="412"/>
    </w:pPr>
    <w:rPr>
      <w:rFonts w:ascii="宋体" w:hAnsi="宋体"/>
      <w:szCs w:val="21"/>
    </w:rPr>
  </w:style>
  <w:style w:type="paragraph" w:styleId="948" w:customStyle="1">
    <w:name w:val="修订2"/>
    <w:hidden/>
    <w:uiPriority w:val="99"/>
    <w:semiHidden/>
    <w:qFormat/>
    <w:rPr>
      <w:rFonts w:ascii="Times New Roman" w:hAnsi="Times New Roman" w:eastAsia="宋体" w:cs="Times New Roman"/>
      <w:sz w:val="21"/>
      <w:szCs w:val="24"/>
      <w:lang w:val="en-US" w:eastAsia="zh-CN" w:bidi="ar-SA"/>
    </w:rPr>
  </w:style>
  <w:style w:type="paragraph" w:styleId="949" w:customStyle="1">
    <w:name w:val="修订3"/>
    <w:hidden/>
    <w:uiPriority w:val="99"/>
    <w:semiHidden/>
    <w:qFormat/>
    <w:rPr>
      <w:rFonts w:ascii="Times New Roman" w:hAnsi="Times New Roman" w:eastAsia="宋体" w:cs="Times New Roman"/>
      <w:sz w:val="21"/>
      <w:szCs w:val="24"/>
      <w:lang w:val="en-US" w:eastAsia="zh-CN" w:bidi="ar-SA"/>
    </w:rPr>
  </w:style>
  <w:style w:type="character" w:styleId="950" w:customStyle="1">
    <w:name w:val="无"/>
    <w:uiPriority w:val="0"/>
    <w:qFormat/>
  </w:style>
  <w:style w:type="paragraph" w:styleId="951" w:customStyle="1">
    <w:name w:val="Heading #2|1"/>
    <w:basedOn w:val="749"/>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52" w:customStyle="1">
    <w:name w:val="Body text|1"/>
    <w:basedOn w:val="749"/>
    <w:uiPriority w:val="0"/>
    <w:qFormat/>
    <w:pPr>
      <w:ind w:firstLine="400"/>
      <w:spacing w:line="401" w:lineRule="auto"/>
    </w:pPr>
    <w:rPr>
      <w:rFonts w:ascii="宋体" w:hAnsi="宋体" w:cs="宋体"/>
      <w:sz w:val="30"/>
      <w:szCs w:val="30"/>
      <w:lang w:val="zh-TW" w:eastAsia="zh-TW" w:bidi="zh-TW"/>
    </w:rPr>
  </w:style>
  <w:style w:type="paragraph" w:styleId="953" w:customStyle="1">
    <w:name w:val="_Style 1931"/>
    <w:basedOn w:val="749"/>
    <w:next w:val="806"/>
    <w:uiPriority w:val="34"/>
    <w:qFormat/>
    <w:pPr>
      <w:ind w:firstLine="420"/>
    </w:pPr>
  </w:style>
  <w:style w:type="paragraph" w:styleId="954" w:customStyle="1">
    <w:name w:val="段落"/>
    <w:basedOn w:val="749"/>
    <w:uiPriority w:val="0"/>
    <w:qFormat/>
    <w:pPr>
      <w:ind w:firstLine="480"/>
      <w:spacing w:line="460" w:lineRule="exact"/>
    </w:pPr>
    <w:rPr>
      <w:rFonts w:ascii="Calibri" w:hAnsi="Calibri"/>
      <w:sz w:val="24"/>
      <w:szCs w:val="20"/>
    </w:rPr>
  </w:style>
  <w:style w:type="paragraph" w:styleId="955" w:customStyle="1">
    <w:name w:val="首行缩进"/>
    <w:basedOn w:val="749"/>
    <w:uiPriority w:val="0"/>
    <w:qFormat/>
    <w:pPr>
      <w:ind w:firstLine="480"/>
      <w:spacing w:line="360" w:lineRule="auto"/>
    </w:pPr>
    <w:rPr>
      <w:rFonts w:ascii="宋体" w:hAnsi="宋体" w:cs="宋体"/>
      <w:sz w:val="24"/>
    </w:rPr>
  </w:style>
  <w:style w:type="paragraph" w:styleId="956" w:customStyle="1">
    <w:name w:val="列出段落4"/>
    <w:basedOn w:val="749"/>
    <w:uiPriority w:val="99"/>
    <w:unhideWhenUsed/>
    <w:qFormat/>
    <w:pPr>
      <w:ind w:firstLine="420"/>
      <w:spacing w:line="360" w:lineRule="auto"/>
    </w:pPr>
    <w:rPr>
      <w:rFonts w:ascii="Calibri" w:hAnsi="Calibri" w:eastAsia="仿宋_GB2312"/>
      <w:sz w:val="32"/>
      <w:szCs w:val="22"/>
    </w:rPr>
  </w:style>
  <w:style w:type="paragraph" w:styleId="957" w:customStyle="1">
    <w:name w:val="修订4"/>
    <w:hidden/>
    <w:uiPriority w:val="99"/>
    <w:semiHidden/>
    <w:qFormat/>
    <w:rPr>
      <w:rFonts w:ascii="Times New Roman" w:hAnsi="Times New Roman" w:eastAsia="宋体" w:cs="Times New Roman"/>
      <w:sz w:val="21"/>
      <w:szCs w:val="24"/>
      <w:lang w:val="en-US" w:eastAsia="zh-CN" w:bidi="ar-SA"/>
    </w:rPr>
  </w:style>
  <w:style w:type="paragraph" w:styleId="958" w:customStyle="1">
    <w:name w:val="正文 A"/>
    <w:next w:val="761"/>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95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960" w:customStyle="1">
    <w:name w:val="*正文"/>
    <w:basedOn w:val="749"/>
    <w:uiPriority w:val="0"/>
    <w:qFormat/>
    <w:pPr>
      <w:spacing w:line="360" w:lineRule="auto"/>
      <w:widowControl/>
    </w:pPr>
    <w:rPr>
      <w:rFonts w:ascii="仿宋_GB2312" w:eastAsia="仿宋_GB2312"/>
      <w:sz w:val="24"/>
      <w:szCs w:val="28"/>
    </w:rPr>
  </w:style>
  <w:style w:type="table" w:styleId="961" w:customStyle="1">
    <w:name w:val="Table Normal"/>
    <w:uiPriority w:val="0"/>
    <w:semiHidden/>
    <w:unhideWhenUsed/>
    <w:qFormat/>
    <w:tblPr>
      <w:tblCellMar>
        <w:left w:w="0" w:type="dxa"/>
        <w:top w:w="0" w:type="dxa"/>
        <w:right w:w="0" w:type="dxa"/>
        <w:bottom w:w="0" w:type="dxa"/>
      </w:tblCellMar>
    </w:tblPr>
  </w:style>
  <w:style w:type="character" w:styleId="962" w:customStyle="1">
    <w:name w:val="form-textarea-print1"/>
    <w:uiPriority w:val="0"/>
    <w:qFormat/>
    <w:rPr>
      <w:rFonts w:hint="default" w:ascii="微软雅黑" w:hAnsi="微软雅黑" w:eastAsia="宋体" w:cs="Times New Roman"/>
      <w:sz w:val="18"/>
      <w:szCs w:val="18"/>
    </w:rPr>
  </w:style>
  <w:style w:type="character" w:styleId="963" w:customStyle="1">
    <w:name w:val="cke_colorbox"/>
    <w:basedOn w:val="759"/>
    <w:uiPriority w:val="0"/>
    <w:qFormat/>
  </w:style>
  <w:style w:type="character" w:styleId="964" w:customStyle="1">
    <w:name w:val="cke_colorbox1"/>
    <w:basedOn w:val="759"/>
    <w:uiPriority w:val="0"/>
    <w:qFormat/>
  </w:style>
  <w:style w:type="character" w:styleId="965" w:customStyle="1">
    <w:name w:val="pwdtips_alert"/>
    <w:basedOn w:val="759"/>
    <w:uiPriority w:val="0"/>
    <w:qFormat/>
    <w:rPr>
      <w:shd w:val="clear" w:color="auto" w:fill="ffeaa6"/>
    </w:rPr>
  </w:style>
  <w:style w:type="character" w:styleId="966" w:customStyle="1">
    <w:name w:val="l-btn-left"/>
    <w:basedOn w:val="759"/>
    <w:uiPriority w:val="0"/>
    <w:qFormat/>
  </w:style>
  <w:style w:type="character" w:styleId="967" w:customStyle="1">
    <w:name w:val="l-btn-left1"/>
    <w:basedOn w:val="759"/>
    <w:uiPriority w:val="0"/>
    <w:qFormat/>
  </w:style>
  <w:style w:type="character" w:styleId="968" w:customStyle="1">
    <w:name w:val="l-btn-left2"/>
    <w:basedOn w:val="759"/>
    <w:uiPriority w:val="0"/>
    <w:qFormat/>
  </w:style>
  <w:style w:type="character" w:styleId="969" w:customStyle="1">
    <w:name w:val="l-btn-left3"/>
    <w:basedOn w:val="759"/>
    <w:uiPriority w:val="0"/>
    <w:qFormat/>
  </w:style>
  <w:style w:type="character" w:styleId="970" w:customStyle="1">
    <w:name w:val="combo2"/>
    <w:basedOn w:val="759"/>
    <w:uiPriority w:val="0"/>
    <w:qFormat/>
  </w:style>
  <w:style w:type="character" w:styleId="971" w:customStyle="1">
    <w:name w:val="l-btn-empty"/>
    <w:basedOn w:val="759"/>
    <w:uiPriority w:val="0"/>
    <w:qFormat/>
  </w:style>
  <w:style w:type="character" w:styleId="972" w:customStyle="1">
    <w:name w:val="red"/>
    <w:basedOn w:val="759"/>
    <w:uiPriority w:val="0"/>
    <w:qFormat/>
    <w:rPr>
      <w:color w:val="ff0000"/>
    </w:rPr>
  </w:style>
  <w:style w:type="character" w:styleId="973" w:customStyle="1">
    <w:name w:val="l-btn-text"/>
    <w:basedOn w:val="759"/>
    <w:uiPriority w:val="0"/>
    <w:qFormat/>
    <w:rPr>
      <w:color w:val="1864ac"/>
      <w:sz w:val="14"/>
      <w:szCs w:val="14"/>
    </w:rPr>
  </w:style>
  <w:style w:type="character" w:styleId="974" w:customStyle="1">
    <w:name w:val="l-btn-text1"/>
    <w:basedOn w:val="759"/>
    <w:uiPriority w:val="0"/>
    <w:qFormat/>
  </w:style>
  <w:style w:type="character" w:styleId="975" w:customStyle="1">
    <w:name w:val="green"/>
    <w:basedOn w:val="759"/>
    <w:uiPriority w:val="0"/>
    <w:qFormat/>
    <w:rPr>
      <w:color w:val="00a521"/>
    </w:rPr>
  </w:style>
  <w:style w:type="character" w:styleId="976" w:customStyle="1">
    <w:name w:val="valueinfo"/>
    <w:basedOn w:val="759"/>
    <w:uiPriority w:val="0"/>
    <w:qFormat/>
    <w:rPr>
      <w:color w:val="666666"/>
    </w:rPr>
  </w:style>
  <w:style w:type="character" w:styleId="977" w:customStyle="1">
    <w:name w:val="tree-file2"/>
    <w:basedOn w:val="759"/>
    <w:uiPriority w:val="0"/>
    <w:qFormat/>
  </w:style>
  <w:style w:type="character" w:styleId="978" w:customStyle="1">
    <w:name w:val="vainfo"/>
    <w:basedOn w:val="759"/>
    <w:uiPriority w:val="0"/>
    <w:qFormat/>
    <w:rPr>
      <w:color w:val="ff0000"/>
      <w:shd w:val="clear" w:color="auto" w:fill="ffe4e4"/>
    </w:rPr>
  </w:style>
  <w:style w:type="character" w:styleId="979" w:customStyle="1">
    <w:name w:val="pwdtips_ok"/>
    <w:basedOn w:val="759"/>
    <w:uiPriority w:val="0"/>
    <w:qFormat/>
    <w:rPr>
      <w:shd w:val="clear" w:color="auto" w:fill="b4ffa6"/>
    </w:rPr>
  </w:style>
  <w:style w:type="character" w:styleId="980" w:customStyle="1">
    <w:name w:val="pwdtips_error"/>
    <w:basedOn w:val="759"/>
    <w:uiPriority w:val="0"/>
    <w:qFormat/>
    <w:rPr>
      <w:shd w:val="clear" w:color="auto" w:fill="ffa6a6"/>
    </w:rPr>
  </w:style>
  <w:style w:type="character" w:styleId="981" w:customStyle="1">
    <w:name w:val="tree-title4"/>
    <w:basedOn w:val="759"/>
    <w:uiPriority w:val="0"/>
    <w:qFormat/>
    <w:rPr>
      <w:color w:val="1864ac"/>
    </w:rPr>
  </w:style>
  <w:style w:type="character" w:styleId="982" w:customStyle="1">
    <w:name w:val="tree-title5"/>
    <w:basedOn w:val="759"/>
    <w:uiPriority w:val="0"/>
    <w:qFormat/>
    <w:rPr>
      <w:color w:val="ffffff"/>
      <w:shd w:val="clear" w:color="auto" w:fill="3366cc"/>
    </w:rPr>
  </w:style>
  <w:style w:type="character" w:styleId="983" w:customStyle="1">
    <w:name w:val="info"/>
    <w:basedOn w:val="759"/>
    <w:uiPriority w:val="0"/>
    <w:qFormat/>
  </w:style>
  <w:style w:type="character" w:styleId="984" w:customStyle="1">
    <w:name w:val="topic"/>
    <w:basedOn w:val="759"/>
    <w:uiPriority w:val="0"/>
    <w:qFormat/>
    <w:rPr>
      <w:color w:val="ff0000"/>
    </w:rPr>
  </w:style>
  <w:style w:type="paragraph" w:styleId="985" w:customStyle="1">
    <w:name w:val="_Style 213"/>
    <w:basedOn w:val="749"/>
    <w:next w:val="806"/>
    <w:uiPriority w:val="34"/>
    <w:qFormat/>
    <w:pPr>
      <w:ind w:firstLine="420"/>
      <w:jc w:val="left"/>
      <w:spacing w:line="360" w:lineRule="atLeast"/>
    </w:pPr>
    <w:rPr>
      <w:rFonts w:ascii="Arial" w:hAnsi="Arial"/>
      <w:sz w:val="24"/>
    </w:rPr>
  </w:style>
  <w:style w:type="paragraph" w:styleId="986" w:customStyle="1">
    <w:name w:val="修订5"/>
    <w:hidden/>
    <w:uiPriority w:val="99"/>
    <w:semiHidden/>
    <w:qFormat/>
    <w:rPr>
      <w:rFonts w:ascii="Times New Roman" w:hAnsi="Times New Roman" w:eastAsia="宋体" w:cs="Times New Roman"/>
      <w:sz w:val="21"/>
      <w:szCs w:val="24"/>
      <w:lang w:val="en-US" w:eastAsia="zh-CN" w:bidi="ar-SA"/>
    </w:rPr>
  </w:style>
  <w:style w:type="paragraph" w:styleId="987" w:customStyle="1">
    <w:name w:val="修订6"/>
    <w:hidden/>
    <w:uiPriority w:val="99"/>
    <w:semiHidden/>
    <w:qFormat/>
    <w:rPr>
      <w:rFonts w:ascii="Times New Roman" w:hAnsi="Times New Roman" w:eastAsia="宋体" w:cs="Times New Roman"/>
      <w:sz w:val="21"/>
      <w:szCs w:val="24"/>
      <w:lang w:val="en-US" w:eastAsia="zh-CN" w:bidi="ar-SA"/>
    </w:rPr>
  </w:style>
  <w:style w:type="character" w:styleId="988" w:customStyle="1">
    <w:name w:val="NormalCharacter"/>
    <w:uiPriority w:val="0"/>
    <w:semiHidden/>
    <w:qFormat/>
    <w:rPr>
      <w:rFonts w:ascii="Calibri" w:hAnsi="Calibri" w:eastAsia="宋体"/>
      <w:sz w:val="21"/>
      <w:szCs w:val="24"/>
      <w:lang w:val="en-US" w:eastAsia="zh-CN" w:bidi="ar-SA"/>
    </w:rPr>
  </w:style>
  <w:style w:type="paragraph" w:styleId="989">
    <w:name w:val="No Spacing"/>
    <w:uiPriority w:val="1"/>
    <w:qFormat/>
    <w:pPr>
      <w:jc w:val="both"/>
      <w:widowControl w:val="off"/>
    </w:pPr>
    <w:rPr>
      <w:rFonts w:ascii="Times New Roman" w:hAnsi="Times New Roman" w:eastAsia="宋体" w:cs="Times New Roman"/>
      <w:sz w:val="21"/>
      <w:lang w:val="en-US" w:eastAsia="zh-CN" w:bidi="ar-SA"/>
    </w:rPr>
  </w:style>
  <w:style w:type="paragraph" w:styleId="990" w:customStyle="1">
    <w:name w:val="列表段落2"/>
    <w:basedOn w:val="749"/>
    <w:uiPriority w:val="0"/>
    <w:qFormat/>
    <w:pPr>
      <w:ind w:firstLine="420"/>
    </w:pPr>
    <w:rPr>
      <w:szCs w:val="21"/>
    </w:rPr>
  </w:style>
  <w:style w:type="paragraph" w:styleId="991" w:customStyle="1">
    <w:name w:val="正文_9_0"/>
    <w:basedOn w:val="749"/>
    <w:uiPriority w:val="0"/>
    <w:qFormat/>
    <w:rPr>
      <w:szCs w:val="21"/>
    </w:rPr>
  </w:style>
  <w:style w:type="paragraph" w:styleId="992" w:customStyle="1">
    <w:name w:val="p15"/>
    <w:basedOn w:val="749"/>
    <w:uiPriority w:val="0"/>
    <w:qFormat/>
    <w:pPr>
      <w:jc w:val="left"/>
      <w:widowControl/>
    </w:pPr>
    <w:rPr>
      <w:rFonts w:ascii="黑体" w:hAnsi="黑体" w:eastAsia="黑体" w:cs="宋体"/>
      <w:color w:val="000000"/>
      <w:sz w:val="24"/>
    </w:rPr>
  </w:style>
  <w:style w:type="paragraph" w:styleId="993" w:customStyle="1">
    <w:name w:val="a正文"/>
    <w:basedOn w:val="749"/>
    <w:uiPriority w:val="0"/>
    <w:qFormat/>
    <w:rPr>
      <w:color w:val="000000"/>
      <w:sz w:val="24"/>
      <w:szCs w:val="28"/>
      <w:lang w:val="zh-CN" w:bidi="zh-CN"/>
    </w:rPr>
  </w:style>
  <w:style w:type="paragraph" w:styleId="994" w:customStyle="1">
    <w:name w:val="标题 5（有编号）（绿盟科技）"/>
    <w:next w:val="995"/>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995"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96"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997" w:customStyle="1">
    <w:name w:val="font01"/>
    <w:uiPriority w:val="0"/>
    <w:qFormat/>
    <w:rPr>
      <w:rFonts w:hint="eastAsia" w:ascii="宋体" w:hAnsi="宋体" w:eastAsia="宋体" w:cs="宋体"/>
      <w:color w:val="000000"/>
      <w:sz w:val="22"/>
      <w:szCs w:val="22"/>
      <w:u w:val="none"/>
    </w:rPr>
  </w:style>
  <w:style w:type="paragraph" w:styleId="998" w:customStyle="1">
    <w:name w:val="Table Paragraph"/>
    <w:basedOn w:val="749"/>
    <w:uiPriority w:val="1"/>
    <w:qFormat/>
    <w:rPr>
      <w:rFonts w:ascii="宋体" w:hAnsi="宋体" w:cs="宋体"/>
      <w:lang w:val="zh-CN" w:bidi="zh-CN"/>
    </w:rPr>
  </w:style>
  <w:style w:type="paragraph" w:styleId="999" w:customStyle="1">
    <w:name w:val="List Paragraph_a51b13b6-d5a4-47e0-ab8f-95bc84043e19"/>
    <w:basedOn w:val="749"/>
    <w:next w:val="767"/>
    <w:uiPriority w:val="99"/>
    <w:qFormat/>
    <w:pPr>
      <w:ind w:firstLine="420"/>
    </w:pPr>
  </w:style>
  <w:style w:type="paragraph" w:styleId="1000" w:customStyle="1">
    <w:name w:val="_Style 193"/>
    <w:basedOn w:val="749"/>
    <w:next w:val="806"/>
    <w:uiPriority w:val="34"/>
    <w:qFormat/>
    <w:pPr>
      <w:ind w:firstLine="420"/>
    </w:pPr>
    <w:rPr>
      <w:rFonts w:ascii="Calibri" w:hAnsi="Calibri"/>
    </w:rPr>
  </w:style>
  <w:style w:type="paragraph" w:styleId="1001" w:customStyle="1">
    <w:name w:val="_Style 13"/>
    <w:uiPriority w:val="0"/>
    <w:qFormat/>
    <w:pPr>
      <w:ind w:left="0"/>
      <w:jc w:val="left"/>
      <w:spacing w:before="120" w:after="120" w:line="288" w:lineRule="auto"/>
    </w:pPr>
    <w:rPr>
      <w:rFonts w:ascii="Arial" w:hAnsi="Arial" w:eastAsia="等线" w:cs="Arial"/>
      <w:sz w:val="22"/>
      <w:szCs w:val="22"/>
    </w:rPr>
  </w:style>
  <w:style w:type="paragraph" w:styleId="1002" w:customStyle="1">
    <w:name w:val="副标题1"/>
    <w:basedOn w:val="785"/>
    <w:uiPriority w:val="0"/>
    <w:qFormat/>
    <w:pPr>
      <w:jc w:val="left"/>
      <w:spacing w:before="60" w:line="460" w:lineRule="exact"/>
    </w:pPr>
    <w:rPr>
      <w:rFonts w:ascii="宋体" w:hAnsi="宋体" w:cs="Times New Roman"/>
      <w:sz w:val="21"/>
      <w:szCs w:val="21"/>
    </w:rPr>
  </w:style>
  <w:style w:type="paragraph" w:styleId="1003" w:customStyle="1">
    <w:name w:val="普通(网站)1"/>
    <w:basedOn w:val="749"/>
    <w:uiPriority w:val="0"/>
    <w:qFormat/>
    <w:pPr>
      <w:jc w:val="left"/>
      <w:spacing w:beforeAutospacing="1" w:afterAutospacing="1"/>
      <w:widowControl/>
    </w:pPr>
    <w:rPr>
      <w:rFonts w:hint="eastAsia" w:ascii="宋体" w:hAnsi="宋体" w:eastAsia="宋体" w:cs="Times New Roman"/>
      <w:sz w:val="24"/>
    </w:rPr>
  </w:style>
  <w:style w:type="character" w:styleId="1004" w:customStyle="1">
    <w:name w:val="font51"/>
    <w:basedOn w:val="759"/>
    <w:uiPriority w:val="0"/>
    <w:qFormat/>
    <w:rPr>
      <w:rFonts w:hint="default" w:ascii="Times New Roman" w:hAnsi="Times New Roman" w:cs="Times New Roman"/>
      <w:b/>
      <w:bCs/>
      <w:color w:val="000000"/>
      <w:sz w:val="18"/>
      <w:szCs w:val="18"/>
      <w:u w:val="none"/>
    </w:rPr>
  </w:style>
  <w:style w:type="numbering" w:styleId="17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11</cp:revision>
  <dcterms:created xsi:type="dcterms:W3CDTF">2025-07-20T14:58:00Z</dcterms:created>
  <dcterms:modified xsi:type="dcterms:W3CDTF">2026-03-17T07:05:16Z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1AA1B95539134009B7C995F7DDDF380F_13</vt:lpwstr>
  </property>
  <property fmtid="{D5CDD505-2E9C-101B-9397-08002B2CF9AE}" pid="4" name="KSOTemplateDocerSaveRecord">
    <vt:lpwstr>eyJoZGlkIjoiNjNhMTcxM2JjY2MyMmMyOTY0M2I3NDgwZDg2YjRlZDgiLCJ1c2VySWQiOiI2NjYwMzMwNDQifQ==</vt:lpwstr>
  </property>
</Properties>
</file>