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39"/>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1039"/>
        <w:ind w:firstLine="1121"/>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cs="Times New Roman"/>
          <w:b/>
          <w:bCs/>
          <w:color w:val="000000"/>
          <w:sz w:val="32"/>
          <w:szCs w:val="24"/>
          <w:highlight w:val="none"/>
          <w:lang w:eastAsia="zh-CN"/>
        </w:rPr>
        <w:t xml:space="preserve">南通市崇川区狼山街道社区卫生服务中心</w:t>
      </w:r>
      <w:r>
        <w:rPr>
          <w:rFonts w:ascii="Times New Roman" w:hAnsi="Times New Roman" w:cs="Times New Roman"/>
          <w:b/>
          <w:bCs/>
          <w:color w:val="000000"/>
          <w:sz w:val="32"/>
          <w:szCs w:val="24"/>
          <w:highlight w:val="none"/>
        </w:rPr>
        <w:t xml:space="preserve">物业服务项目</w:t>
      </w:r>
      <w:r>
        <w:rPr>
          <w:rFonts w:hint="eastAsia" w:ascii="宋体" w:hAnsi="宋体" w:eastAsia="宋体" w:cs="宋体"/>
          <w:b/>
          <w:bCs/>
          <w:color w:val="000000"/>
          <w:sz w:val="32"/>
          <w:highlight w:val="none"/>
          <w:lang w:val="en-US" w:eastAsia="zh-CN"/>
        </w:rPr>
      </w:r>
      <w:r/>
    </w:p>
    <w:p>
      <w:pPr>
        <w:pStyle w:val="949"/>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w:t>
      </w:r>
      <w:r>
        <w:rPr>
          <w:rFonts w:ascii="Times New Roman" w:hAnsi="Times New Roman" w:cs="Times New Roman"/>
          <w:b/>
          <w:bCs/>
          <w:color w:val="000000"/>
          <w:sz w:val="32"/>
          <w:szCs w:val="24"/>
          <w:highlight w:val="none"/>
        </w:rPr>
        <w:t xml:space="preserve">JSZC-320600-JZCG-G2026-0016</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1039"/>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1039"/>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宋体" w:hAnsi="宋体" w:eastAsia="宋体" w:cs="宋体"/>
          <w:b/>
          <w:bCs/>
          <w:color w:val="000000"/>
          <w:sz w:val="32"/>
          <w:highlight w:val="none"/>
        </w:rPr>
        <w:t xml:space="preserve">年</w:t>
      </w:r>
      <w:r>
        <w:rPr>
          <w:rFonts w:hint="eastAsia" w:ascii="Arial" w:hAnsi="Arial"/>
          <w:b/>
          <w:bCs/>
          <w:color w:val="000000"/>
          <w:sz w:val="32"/>
          <w:szCs w:val="24"/>
          <w:highlight w:val="none"/>
          <w:lang w:val="en-US" w:eastAsia="zh-CN"/>
        </w:rPr>
        <w:t xml:space="preserve">04</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1039"/>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1039"/>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949"/>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投标邀请……………………………………</w:t>
      </w:r>
      <w:r>
        <w:rPr>
          <w:rFonts w:hint="eastAsia" w:ascii="宋体" w:hAnsi="宋体" w:eastAsia="宋体" w:cs="宋体"/>
          <w:color w:val="000000"/>
          <w:sz w:val="36"/>
          <w:highlight w:val="none"/>
          <w:lang w:val="en-US" w:eastAsia="zh-CN"/>
        </w:rPr>
        <w:t xml:space="preserve">2</w:t>
      </w:r>
      <w:r>
        <w:rPr>
          <w:rFonts w:hint="eastAsia" w:ascii="宋体" w:hAnsi="宋体" w:eastAsia="宋体" w:cs="宋体"/>
          <w:color w:val="000000"/>
          <w:sz w:val="36"/>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w:t>
      </w:r>
      <w:r>
        <w:rPr>
          <w:rFonts w:hint="eastAsia" w:ascii="宋体" w:hAnsi="宋体" w:eastAsia="宋体" w:cs="宋体"/>
          <w:color w:val="000000"/>
          <w:sz w:val="36"/>
          <w:highlight w:val="none"/>
          <w:lang w:val="en-US" w:eastAsia="zh-CN"/>
        </w:rPr>
        <w:t xml:space="preserve">6</w:t>
      </w:r>
      <w:r>
        <w:rPr>
          <w:rFonts w:hint="eastAsia" w:ascii="宋体" w:hAnsi="宋体" w:eastAsia="宋体" w:cs="宋体"/>
          <w:color w:val="000000"/>
          <w:sz w:val="36"/>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w:t>
      </w:r>
      <w:r>
        <w:rPr>
          <w:rFonts w:hint="eastAsia" w:ascii="宋体" w:hAnsi="宋体" w:eastAsia="宋体" w:cs="宋体"/>
          <w:color w:val="000000"/>
          <w:sz w:val="36"/>
          <w:highlight w:val="none"/>
          <w:lang w:val="en-US" w:eastAsia="zh-CN"/>
        </w:rPr>
        <w:t xml:space="preserve">18</w:t>
      </w:r>
      <w:r>
        <w:rPr>
          <w:rFonts w:hint="eastAsia" w:ascii="宋体" w:hAnsi="宋体" w:eastAsia="宋体" w:cs="宋体"/>
          <w:color w:val="000000"/>
          <w:sz w:val="36"/>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w:t>
      </w:r>
      <w:r>
        <w:rPr>
          <w:rFonts w:hint="eastAsia" w:ascii="宋体" w:hAnsi="宋体" w:eastAsia="宋体" w:cs="宋体"/>
          <w:color w:val="000000"/>
          <w:sz w:val="36"/>
          <w:highlight w:val="none"/>
          <w:lang w:val="en-US" w:eastAsia="zh-CN"/>
        </w:rPr>
        <w:t xml:space="preserve">24</w:t>
      </w:r>
      <w:r>
        <w:rPr>
          <w:rFonts w:hint="eastAsia" w:ascii="宋体" w:hAnsi="宋体" w:eastAsia="宋体" w:cs="宋体"/>
          <w:color w:val="000000"/>
          <w:sz w:val="36"/>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w:t>
      </w:r>
      <w:r>
        <w:rPr>
          <w:rFonts w:hint="eastAsia" w:ascii="宋体" w:hAnsi="宋体" w:eastAsia="宋体" w:cs="宋体"/>
          <w:color w:val="000000"/>
          <w:sz w:val="36"/>
          <w:highlight w:val="none"/>
          <w:lang w:val="en-US" w:eastAsia="zh-CN"/>
        </w:rPr>
        <w:t xml:space="preserve">54</w:t>
      </w:r>
      <w:r>
        <w:rPr>
          <w:rFonts w:hint="eastAsia" w:ascii="宋体" w:hAnsi="宋体" w:eastAsia="宋体" w:cs="宋体"/>
          <w:color w:val="000000"/>
          <w:sz w:val="36"/>
          <w:highlight w:val="none"/>
        </w:rPr>
      </w:r>
      <w:r/>
    </w:p>
    <w:p>
      <w:pPr>
        <w:pStyle w:val="949"/>
        <w:numPr>
          <w:ilvl w:val="0"/>
          <w:numId w:val="5"/>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w:t>
      </w:r>
      <w:r>
        <w:rPr>
          <w:rFonts w:hint="eastAsia" w:ascii="宋体" w:hAnsi="宋体" w:eastAsia="宋体" w:cs="宋体"/>
          <w:color w:val="000000"/>
          <w:sz w:val="36"/>
          <w:highlight w:val="none"/>
          <w:lang w:val="en-US" w:eastAsia="zh-CN"/>
        </w:rPr>
        <w:t xml:space="preserve">61</w:t>
      </w:r>
      <w:r>
        <w:rPr>
          <w:rFonts w:hint="eastAsia" w:ascii="宋体" w:hAnsi="宋体" w:eastAsia="宋体" w:cs="宋体"/>
          <w:color w:val="000000"/>
          <w:sz w:val="36"/>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0"/>
        <w:rPr>
          <w:rFonts w:hint="eastAsia" w:ascii="宋体" w:hAnsi="宋体" w:eastAsia="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950"/>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rPr>
        <w:t xml:space="preserve">南通市崇川区狼山街道社区卫生服务中心</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rPr>
        <w:t xml:space="preserve">南通市崇川区狼山街道社区卫生服务中心物业服务</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JSZC-320600-JZCG-G2026-0016</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南通市崇川区狼山街道社区卫生服务中心物业服务</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年04</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28</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2"/>
        <w:ind w:firstLine="498"/>
        <w:spacing w:before="145" w:after="145" w:line="360" w:lineRule="auto"/>
        <w:rPr>
          <w:rFonts w:hint="eastAsia" w:ascii="宋体" w:hAnsi="宋体" w:eastAsia="宋体" w:cs="宋体"/>
          <w:color w:val="000000"/>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949"/>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val="en-US" w:eastAsia="zh-CN"/>
        </w:rPr>
        <w:t xml:space="preserve">JSZC-320600-JZCG-G2026-0016</w:t>
      </w:r>
      <w:r>
        <w:rPr>
          <w:rFonts w:hint="eastAsia" w:ascii="宋体" w:hAnsi="宋体" w:eastAsia="宋体" w:cs="宋体"/>
          <w:color w:val="000000"/>
          <w:sz w:val="24"/>
          <w:szCs w:val="24"/>
          <w:highlight w:val="none"/>
          <w:lang w:val="en-US" w:eastAsia="zh-CN"/>
        </w:rPr>
      </w:r>
      <w:r/>
    </w:p>
    <w:p>
      <w:pPr>
        <w:pStyle w:val="949"/>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eastAsia="宋体" w:cs="宋体"/>
          <w:color w:val="000000"/>
          <w:sz w:val="24"/>
          <w:szCs w:val="24"/>
          <w:highlight w:val="none"/>
          <w:lang w:val="en-US" w:eastAsia="zh-CN"/>
        </w:rPr>
        <w:t xml:space="preserve">南通市崇川区狼山街道社区卫生服务中心物业服务项目</w:t>
      </w:r>
      <w:r>
        <w:rPr>
          <w:rFonts w:hint="eastAsia" w:ascii="宋体" w:hAnsi="宋体" w:eastAsia="宋体" w:cs="宋体"/>
          <w:color w:val="000000"/>
          <w:sz w:val="24"/>
          <w:szCs w:val="24"/>
          <w:highlight w:val="none"/>
          <w:lang w:val="en-US" w:eastAsia="zh-CN"/>
        </w:rPr>
      </w:r>
      <w:r/>
    </w:p>
    <w:p>
      <w:pPr>
        <w:pStyle w:val="949"/>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120万元</w:t>
      </w:r>
      <w:r>
        <w:rPr>
          <w:rFonts w:ascii="宋体" w:hAnsi="宋体" w:eastAsia="宋体" w:cs="宋体"/>
          <w:color w:val="000000"/>
          <w:sz w:val="24"/>
          <w:szCs w:val="24"/>
          <w:highlight w:val="none"/>
          <w:lang w:val="en-US" w:eastAsia="zh-CN"/>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120万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949"/>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cs="宋体"/>
          <w:color w:val="000000"/>
          <w:sz w:val="24"/>
          <w:szCs w:val="24"/>
          <w:highlight w:val="none"/>
        </w:rPr>
        <w:t xml:space="preserve">本项目“一招三年”，合同一年一签，经年度服务评价合格后，可签订下一年度“物业管理服务”合同</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52"/>
        <w:ind w:firstLine="498"/>
        <w:spacing w:before="145" w:after="145" w:line="360" w:lineRule="auto"/>
        <w:rPr>
          <w:rFonts w:hint="eastAsia" w:ascii="宋体" w:hAnsi="宋体" w:eastAsia="宋体" w:cs="宋体"/>
          <w:color w:val="000000"/>
          <w:highlight w:val="none"/>
        </w:rPr>
      </w:pPr>
      <w:r/>
      <w:bookmarkStart w:id="12" w:name="_Toc35393622"/>
      <w:r/>
      <w:bookmarkStart w:id="13" w:name="_Toc28359003"/>
      <w:r/>
      <w:bookmarkStart w:id="14" w:name="_Toc28359080"/>
      <w:r/>
      <w:bookmarkStart w:id="15" w:name="_Toc38985264"/>
      <w:r/>
      <w:bookmarkStart w:id="16" w:name="_Toc35393791"/>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949"/>
        <w:ind w:firstLine="480"/>
        <w:rPr>
          <w:rFonts w:hint="eastAsia" w:ascii="宋体" w:hAnsi="宋体" w:eastAsia="宋体" w:cs="宋体"/>
          <w:color w:val="000000"/>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rPr>
          <w:rFonts w:hint="eastAsia" w:ascii="宋体" w:hAnsi="宋体" w:eastAsia="宋体" w:cs="宋体"/>
          <w:color w:val="000000"/>
          <w:sz w:val="24"/>
          <w:szCs w:val="24"/>
          <w:highlight w:val="none"/>
        </w:rPr>
      </w:r>
      <w:r/>
    </w:p>
    <w:p>
      <w:pPr>
        <w:pStyle w:val="949"/>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52"/>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949"/>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949"/>
        <w:ind w:firstLine="54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2.方式：</w:t>
      </w:r>
      <w:bookmarkStart w:id="27" w:name="OLE_LINK27"/>
      <w:r/>
      <w:bookmarkStart w:id="28" w:name="OLE_LINK1"/>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color w:val="000000"/>
          <w:sz w:val="24"/>
          <w:szCs w:val="24"/>
          <w:highlight w:val="none"/>
          <w:u w:val="single"/>
          <w:lang w:val="en-US" w:eastAsia="zh-CN"/>
        </w:rPr>
      </w:r>
      <w:r/>
    </w:p>
    <w:p>
      <w:pPr>
        <w:pStyle w:val="952"/>
        <w:ind w:firstLine="498"/>
        <w:spacing w:before="145" w:after="145" w:line="360" w:lineRule="auto"/>
        <w:rPr>
          <w:rFonts w:hint="eastAsia" w:ascii="宋体" w:hAnsi="宋体" w:eastAsia="宋体" w:cs="宋体"/>
          <w:color w:val="000000"/>
          <w:highlight w:val="none"/>
        </w:rPr>
      </w:pPr>
      <w:r/>
      <w:bookmarkEnd w:id="28"/>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949"/>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年04</w:t>
      </w:r>
      <w:r>
        <w:rPr>
          <w:rFonts w:hint="eastAsia" w:ascii="宋体" w:hAnsi="宋体" w:eastAsia="宋体" w:cs="宋体"/>
          <w:bCs/>
          <w:color w:val="000000"/>
          <w:sz w:val="24"/>
          <w:szCs w:val="24"/>
          <w:highlight w:val="none"/>
          <w:u w:val="single"/>
        </w:rPr>
        <w:t xml:space="preserve">月28</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949"/>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952"/>
        <w:ind w:firstLine="498"/>
        <w:spacing w:before="145" w:after="145" w:line="360" w:lineRule="auto"/>
        <w:rPr>
          <w:rFonts w:hint="eastAsia" w:ascii="宋体" w:hAnsi="宋体" w:eastAsia="宋体" w:cs="宋体"/>
          <w:color w:val="000000"/>
          <w:highlight w:val="none"/>
        </w:rPr>
      </w:pPr>
      <w:r/>
      <w:bookmarkStart w:id="29" w:name="_Toc38985267"/>
      <w:r/>
      <w:bookmarkStart w:id="30" w:name="_Toc35393794"/>
      <w:r/>
      <w:bookmarkStart w:id="31" w:name="_Toc28359007"/>
      <w:r/>
      <w:bookmarkStart w:id="32" w:name="_Toc28359084"/>
      <w:r/>
      <w:bookmarkStart w:id="33" w:name="_Toc35393625"/>
      <w:r>
        <w:rPr>
          <w:rFonts w:hint="eastAsia" w:ascii="宋体" w:hAnsi="宋体" w:eastAsia="宋体" w:cs="宋体"/>
          <w:color w:val="000000"/>
          <w:highlight w:val="none"/>
        </w:rPr>
        <w:t xml:space="preserve">五、公告期限</w:t>
      </w:r>
      <w:bookmarkEnd w:id="29"/>
      <w:r/>
      <w:bookmarkEnd w:id="30"/>
      <w:r/>
      <w:bookmarkEnd w:id="31"/>
      <w:r/>
      <w:bookmarkEnd w:id="32"/>
      <w:r/>
      <w:bookmarkEnd w:id="33"/>
      <w:r>
        <w:rPr>
          <w:rFonts w:hint="eastAsia" w:ascii="宋体" w:hAnsi="宋体" w:eastAsia="宋体" w:cs="宋体"/>
          <w:color w:val="000000"/>
          <w:highlight w:val="none"/>
        </w:rPr>
      </w:r>
      <w:r/>
    </w:p>
    <w:p>
      <w:pPr>
        <w:pStyle w:val="949"/>
        <w:ind w:firstLine="480"/>
        <w:rPr>
          <w:rFonts w:hint="eastAsia" w:ascii="宋体" w:hAnsi="宋体" w:eastAsia="宋体" w:cs="宋体"/>
          <w:color w:val="000000"/>
          <w:sz w:val="24"/>
          <w:szCs w:val="24"/>
          <w:highlight w:val="none"/>
        </w:rPr>
      </w:pPr>
      <w:r/>
      <w:bookmarkStart w:id="34" w:name="_Toc35393795"/>
      <w:r/>
      <w:bookmarkStart w:id="35" w:name="_Toc38985268"/>
      <w:r/>
      <w:bookmarkStart w:id="36" w:name="_Toc35393626"/>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952"/>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4"/>
      <w:r/>
      <w:bookmarkEnd w:id="35"/>
      <w:r/>
      <w:bookmarkEnd w:id="36"/>
      <w:r>
        <w:rPr>
          <w:rFonts w:hint="eastAsia" w:ascii="宋体" w:hAnsi="宋体" w:eastAsia="宋体" w:cs="宋体"/>
          <w:color w:val="00000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949"/>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949"/>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949"/>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949"/>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w:t>
      </w:r>
      <w:r>
        <w:rPr>
          <w:rFonts w:hint="eastAsia" w:ascii="宋体" w:hAnsi="宋体" w:eastAsia="宋体" w:cs="宋体"/>
          <w:bCs/>
          <w:color w:val="000000"/>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10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52"/>
        <w:ind w:firstLine="498"/>
        <w:spacing w:before="145" w:after="145" w:line="360" w:lineRule="auto"/>
        <w:rPr>
          <w:rFonts w:hint="eastAsia" w:ascii="宋体" w:hAnsi="宋体" w:eastAsia="宋体" w:cs="宋体"/>
          <w:color w:val="000000"/>
          <w:highlight w:val="none"/>
        </w:rPr>
      </w:pPr>
      <w:r/>
      <w:bookmarkStart w:id="37" w:name="_Toc35393627"/>
      <w:r/>
      <w:bookmarkStart w:id="38" w:name="_Toc28359008"/>
      <w:r/>
      <w:bookmarkStart w:id="39" w:name="_Toc35393796"/>
      <w:r/>
      <w:bookmarkStart w:id="40" w:name="_Toc38985269"/>
      <w:r/>
      <w:bookmarkStart w:id="41" w:name="_Toc28359085"/>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Pr>
          <w:rFonts w:hint="eastAsia" w:ascii="宋体" w:hAnsi="宋体" w:eastAsia="宋体" w:cs="宋体"/>
          <w:color w:val="000000"/>
          <w:highlight w:val="none"/>
        </w:rPr>
      </w:r>
      <w:r/>
    </w:p>
    <w:p>
      <w:pPr>
        <w:pStyle w:val="949"/>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49"/>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南通市崇川区狼山街道社区卫生服务中心</w:t>
      </w:r>
      <w:r>
        <w:rPr>
          <w:rFonts w:hint="eastAsia" w:ascii="宋体" w:hAnsi="宋体" w:eastAsia="宋体" w:cs="宋体"/>
          <w:color w:val="000000"/>
          <w:sz w:val="24"/>
          <w:szCs w:val="24"/>
          <w:highlight w:val="none"/>
          <w:u w:val="single"/>
          <w:lang w:val="en-US" w:eastAsia="zh-CN"/>
        </w:rPr>
      </w:r>
      <w:r/>
    </w:p>
    <w:p>
      <w:pPr>
        <w:pStyle w:val="949"/>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江苏省南通市崇川区紫琅路120-1号</w:t>
      </w:r>
      <w:r>
        <w:rPr>
          <w:rFonts w:hint="eastAsia" w:ascii="宋体" w:hAnsi="宋体" w:eastAsia="宋体" w:cs="宋体"/>
          <w:color w:val="000000"/>
          <w:sz w:val="24"/>
          <w:szCs w:val="24"/>
          <w:highlight w:val="none"/>
          <w:u w:val="single"/>
          <w:lang w:val="en-US" w:eastAsia="zh-CN"/>
        </w:rPr>
      </w:r>
      <w:r/>
    </w:p>
    <w:p>
      <w:pPr>
        <w:pStyle w:val="949"/>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陈老师</w:t>
      </w:r>
      <w:r>
        <w:rPr>
          <w:rFonts w:hint="eastAsia" w:ascii="宋体" w:hAnsi="宋体" w:eastAsia="宋体" w:cs="宋体"/>
          <w:color w:val="000000"/>
          <w:sz w:val="24"/>
          <w:szCs w:val="24"/>
          <w:highlight w:val="none"/>
          <w:u w:val="single"/>
          <w:lang w:val="en-US" w:eastAsia="zh-CN"/>
        </w:rPr>
      </w:r>
      <w:r/>
    </w:p>
    <w:p>
      <w:pPr>
        <w:pStyle w:val="949"/>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2" w:name="_Toc28359009"/>
      <w:r/>
      <w:bookmarkStart w:id="43" w:name="_Toc28359086"/>
      <w:r>
        <w:rPr>
          <w:rFonts w:hint="eastAsia" w:ascii="宋体" w:hAnsi="宋体" w:eastAsia="宋体" w:cs="宋体"/>
          <w:color w:val="000000"/>
          <w:sz w:val="24"/>
          <w:szCs w:val="24"/>
          <w:highlight w:val="none"/>
          <w:u w:val="single"/>
          <w:lang w:val="en-US" w:eastAsia="zh-CN"/>
        </w:rPr>
        <w:t xml:space="preserve">15365553735</w:t>
      </w:r>
      <w:r>
        <w:rPr>
          <w:rFonts w:hint="eastAsia" w:ascii="宋体" w:hAnsi="宋体" w:eastAsia="宋体" w:cs="宋体"/>
          <w:color w:val="000000"/>
          <w:sz w:val="24"/>
          <w:szCs w:val="24"/>
          <w:highlight w:val="none"/>
          <w:u w:val="single"/>
          <w:lang w:val="en-US" w:eastAsia="zh-CN"/>
        </w:rPr>
      </w:r>
      <w:r/>
    </w:p>
    <w:p>
      <w:pPr>
        <w:pStyle w:val="949"/>
        <w:numPr>
          <w:ilvl w:val="0"/>
          <w:numId w:val="6"/>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2"/>
      <w:r/>
      <w:bookmarkEnd w:id="43"/>
      <w:r>
        <w:rPr>
          <w:rFonts w:hint="eastAsia" w:ascii="宋体" w:hAnsi="宋体" w:eastAsia="宋体" w:cs="宋体"/>
          <w:color w:val="000000"/>
          <w:sz w:val="24"/>
          <w:szCs w:val="24"/>
          <w:highlight w:val="none"/>
        </w:rPr>
      </w:r>
      <w:r/>
    </w:p>
    <w:p>
      <w:pPr>
        <w:pStyle w:val="949"/>
        <w:numPr>
          <w:ilvl w:val="0"/>
          <w:numId w:val="0"/>
        </w:numPr>
        <w:ind w:firstLine="24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南通市崇川区</w:t>
      </w:r>
      <w:r>
        <w:rPr>
          <w:rFonts w:hint="eastAsia" w:ascii="宋体" w:hAnsi="宋体" w:eastAsia="宋体" w:cs="宋体"/>
          <w:color w:val="000000"/>
          <w:sz w:val="24"/>
          <w:szCs w:val="24"/>
          <w:highlight w:val="none"/>
          <w:u w:val="single"/>
          <w:lang w:val="en-US" w:eastAsia="zh-CN"/>
        </w:rPr>
        <w:t xml:space="preserve">青年中路128号</w:t>
      </w:r>
      <w:r>
        <w:rPr>
          <w:rFonts w:hint="eastAsia" w:ascii="宋体" w:hAnsi="宋体" w:eastAsia="宋体" w:cs="宋体"/>
          <w:color w:val="000000"/>
          <w:sz w:val="24"/>
          <w:szCs w:val="24"/>
          <w:highlight w:val="none"/>
          <w:u w:val="single"/>
          <w:lang w:eastAsia="zh-CN"/>
        </w:rPr>
      </w:r>
      <w:r/>
    </w:p>
    <w:p>
      <w:pPr>
        <w:pStyle w:val="949"/>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4" w:name="_Toc28359010"/>
      <w:r/>
      <w:bookmarkStart w:id="45"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陆工           </w:t>
      </w:r>
      <w:r>
        <w:rPr>
          <w:rFonts w:hint="eastAsia" w:ascii="宋体" w:hAnsi="宋体" w:eastAsia="宋体" w:cs="宋体"/>
          <w:color w:val="000000"/>
          <w:sz w:val="24"/>
          <w:szCs w:val="24"/>
          <w:highlight w:val="none"/>
          <w:u w:val="single"/>
          <w:lang w:val="en-US" w:eastAsia="zh-CN"/>
        </w:rPr>
      </w:r>
      <w:r/>
    </w:p>
    <w:p>
      <w:pPr>
        <w:pStyle w:val="949"/>
        <w:ind w:left="1079" w:hanging="300"/>
        <w:jc w:val="left"/>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0513-810698</w:t>
      </w:r>
      <w:r>
        <w:rPr>
          <w:rFonts w:hint="eastAsia" w:ascii="宋体" w:hAnsi="宋体"/>
          <w:color w:val="000000"/>
          <w:sz w:val="24"/>
          <w:szCs w:val="24"/>
          <w:highlight w:val="none"/>
          <w:u w:val="single"/>
          <w:lang w:val="en-US" w:eastAsia="zh-CN"/>
        </w:rPr>
        <w:t xml:space="preserve">48</w:t>
      </w:r>
      <w:r>
        <w:rPr>
          <w:rFonts w:ascii="宋体" w:hAnsi="宋体" w:eastAsia="宋体" w:cs="宋体"/>
          <w:color w:val="000000"/>
          <w:sz w:val="24"/>
          <w:szCs w:val="24"/>
          <w:highlight w:val="none"/>
          <w:u w:val="single"/>
          <w:lang w:val="en-US" w:eastAsia="zh-CN"/>
        </w:rPr>
      </w:r>
      <w:r/>
    </w:p>
    <w:p>
      <w:pPr>
        <w:pStyle w:val="949"/>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1015"/>
        <w:ind w:firstLine="600"/>
        <w:rPr>
          <w:rFonts w:hint="eastAsia" w:ascii="宋体" w:hAnsi="宋体" w:eastAsia="宋体" w:cs="宋体"/>
          <w:color w:val="000000"/>
          <w:highlight w:val="none"/>
        </w:rPr>
      </w:pPr>
      <w:r/>
      <w:bookmarkEnd w:id="44"/>
      <w:r/>
      <w:bookmarkEnd w:id="45"/>
      <w:r>
        <w:rPr>
          <w:rFonts w:hint="eastAsia" w:ascii="宋体" w:hAnsi="宋体" w:eastAsia="宋体" w:cs="宋体"/>
          <w:color w:val="000000"/>
          <w:highlight w:val="none"/>
        </w:rPr>
      </w:r>
      <w:r/>
    </w:p>
    <w:p>
      <w:pPr>
        <w:pStyle w:val="1015"/>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51"/>
        <w:jc w:val="center"/>
        <w:rPr>
          <w:rFonts w:hint="eastAsia" w:ascii="宋体" w:hAnsi="宋体" w:eastAsia="宋体" w:cs="宋体"/>
          <w:b w:val="0"/>
          <w:bCs w:val="0"/>
          <w:color w:val="000000"/>
          <w:highlight w:val="none"/>
        </w:rPr>
      </w:pPr>
      <w:r/>
      <w:bookmarkStart w:id="46"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120614213"/>
      <w:r/>
      <w:bookmarkStart w:id="48" w:name="_Toc16938518"/>
      <w:r/>
      <w:bookmarkStart w:id="49" w:name="_Toc20823274"/>
      <w:r/>
      <w:bookmarkStart w:id="50" w:name="_Toc513029202"/>
      <w:r>
        <w:rPr>
          <w:rFonts w:hint="eastAsia" w:ascii="宋体" w:hAnsi="宋体" w:eastAsia="宋体" w:cs="宋体"/>
          <w:color w:val="000000"/>
          <w:highlight w:val="none"/>
        </w:rPr>
        <w:t xml:space="preserve">投标人须知</w:t>
      </w:r>
      <w:bookmarkEnd w:id="47"/>
      <w:r/>
      <w:bookmarkEnd w:id="48"/>
      <w:r/>
      <w:bookmarkEnd w:id="49"/>
      <w:r/>
      <w:bookmarkEnd w:id="50"/>
      <w:r>
        <w:rPr>
          <w:rFonts w:hint="eastAsia" w:ascii="宋体" w:hAnsi="宋体" w:eastAsia="宋体" w:cs="宋体"/>
          <w:b w:val="0"/>
          <w:bCs w:val="0"/>
          <w:color w:val="000000"/>
          <w:highlight w:val="none"/>
        </w:rPr>
      </w:r>
      <w:r/>
    </w:p>
    <w:p>
      <w:pPr>
        <w:pStyle w:val="952"/>
        <w:ind w:firstLine="498"/>
        <w:spacing w:before="145" w:after="145" w:line="360" w:lineRule="auto"/>
        <w:rPr>
          <w:rFonts w:hint="eastAsia" w:ascii="宋体" w:hAnsi="宋体" w:eastAsia="宋体" w:cs="宋体"/>
          <w:color w:val="000000"/>
          <w:highlight w:val="none"/>
        </w:rPr>
      </w:pPr>
      <w:r/>
      <w:bookmarkStart w:id="51" w:name="_Toc120614214"/>
      <w:r/>
      <w:bookmarkStart w:id="52" w:name="_Toc16938519"/>
      <w:r/>
      <w:bookmarkStart w:id="53" w:name="_Toc20823275"/>
      <w:r/>
      <w:bookmarkStart w:id="54" w:name="_Toc513029203"/>
      <w:r>
        <w:rPr>
          <w:rFonts w:hint="eastAsia" w:ascii="宋体" w:hAnsi="宋体" w:eastAsia="宋体" w:cs="宋体"/>
          <w:color w:val="000000"/>
          <w:highlight w:val="none"/>
        </w:rPr>
        <w:t xml:space="preserve">一、总则</w:t>
      </w:r>
      <w:bookmarkEnd w:id="51"/>
      <w:r/>
      <w:bookmarkEnd w:id="52"/>
      <w:r/>
      <w:bookmarkEnd w:id="53"/>
      <w:r/>
      <w:bookmarkEnd w:id="54"/>
      <w:r>
        <w:rPr>
          <w:rFonts w:hint="eastAsia" w:ascii="宋体" w:hAnsi="宋体" w:eastAsia="宋体" w:cs="宋体"/>
          <w:color w:val="000000"/>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宋体" w:hAnsi="宋体" w:eastAsia="宋体" w:cs="宋体"/>
          <w:b w:val="0"/>
          <w:bCs w:val="0"/>
          <w:color w:val="000000"/>
          <w:highlight w:val="none"/>
        </w:rPr>
        <w:t xml:space="preserve">1</w:t>
      </w:r>
      <w:bookmarkEnd w:id="56"/>
      <w:r>
        <w:rPr>
          <w:rFonts w:hint="eastAsia" w:ascii="宋体" w:hAnsi="宋体" w:eastAsia="宋体" w:cs="宋体"/>
          <w:b w:val="0"/>
          <w:bCs w:val="0"/>
          <w:color w:val="000000"/>
          <w:highlight w:val="none"/>
        </w:rPr>
        <w:t xml:space="preserve">、招标方式</w:t>
      </w:r>
      <w:bookmarkEnd w:id="57"/>
      <w:r/>
      <w:bookmarkEnd w:id="58"/>
      <w:r/>
      <w:bookmarkEnd w:id="59"/>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60" w:name="_Toc20823277"/>
      <w:r/>
      <w:bookmarkStart w:id="61" w:name="_Toc16938521"/>
      <w:r/>
      <w:bookmarkStart w:id="62" w:name="_Toc513029205"/>
      <w:r>
        <w:rPr>
          <w:rFonts w:hint="eastAsia" w:ascii="宋体" w:hAnsi="宋体" w:eastAsia="宋体" w:cs="宋体"/>
          <w:b w:val="0"/>
          <w:bCs w:val="0"/>
          <w:color w:val="000000"/>
          <w:highlight w:val="none"/>
        </w:rPr>
        <w:t xml:space="preserve">2、合格的投标人</w:t>
      </w:r>
      <w:bookmarkEnd w:id="60"/>
      <w:r/>
      <w:bookmarkEnd w:id="61"/>
      <w:r/>
      <w:bookmarkEnd w:id="62"/>
      <w:r>
        <w:rPr>
          <w:rFonts w:hint="eastAsia" w:ascii="宋体" w:hAnsi="宋体" w:eastAsia="宋体" w:cs="宋体"/>
          <w:b w:val="0"/>
          <w:bCs w:val="0"/>
          <w:color w:val="000000"/>
          <w:highlight w:val="none"/>
        </w:rPr>
      </w:r>
      <w:r/>
    </w:p>
    <w:p>
      <w:pPr>
        <w:pStyle w:val="94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94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lang w:val="en-US" w:eastAsia="zh-CN"/>
        </w:rPr>
      </w:pPr>
      <w:r/>
      <w:bookmarkStart w:id="63" w:name="_Toc20823278"/>
      <w:r/>
      <w:bookmarkStart w:id="64" w:name="_Toc16938522"/>
      <w:r/>
      <w:bookmarkStart w:id="65" w:name="_Toc513029206"/>
      <w:r/>
      <w:bookmarkStart w:id="66" w:name="_Toc513029207"/>
      <w:r/>
      <w:bookmarkStart w:id="67" w:name="_Toc16938523"/>
      <w:r/>
      <w:bookmarkStart w:id="68" w:name="_Toc20823279"/>
      <w:r/>
      <w:bookmarkStart w:id="69" w:name="_Toc462564067"/>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949"/>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4、投标费用</w:t>
      </w:r>
      <w:bookmarkEnd w:id="66"/>
      <w:r/>
      <w:bookmarkEnd w:id="67"/>
      <w:r/>
      <w:bookmarkEnd w:id="68"/>
      <w:r/>
      <w:bookmarkEnd w:id="69"/>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952"/>
        <w:ind w:firstLine="321"/>
        <w:spacing w:before="145" w:after="145" w:line="360" w:lineRule="auto"/>
        <w:rPr>
          <w:rFonts w:hint="eastAsia" w:ascii="宋体" w:hAnsi="宋体" w:eastAsia="宋体" w:cs="宋体"/>
          <w:color w:val="000000"/>
          <w:highlight w:val="none"/>
        </w:rPr>
      </w:pPr>
      <w:r/>
      <w:bookmarkStart w:id="70" w:name="_Toc20823281"/>
      <w:r/>
      <w:bookmarkStart w:id="71" w:name="_Toc120614215"/>
      <w:r/>
      <w:bookmarkStart w:id="72" w:name="_Toc513029209"/>
      <w:r/>
      <w:bookmarkStart w:id="73" w:name="_Toc16938525"/>
      <w:r>
        <w:rPr>
          <w:rFonts w:hint="eastAsia" w:ascii="宋体" w:hAnsi="宋体" w:eastAsia="宋体" w:cs="宋体"/>
          <w:color w:val="000000"/>
          <w:highlight w:val="none"/>
        </w:rPr>
        <w:t xml:space="preserve">二、招标文件</w:t>
      </w:r>
      <w:bookmarkEnd w:id="70"/>
      <w:r/>
      <w:bookmarkEnd w:id="71"/>
      <w:r/>
      <w:bookmarkEnd w:id="72"/>
      <w:r/>
      <w:bookmarkEnd w:id="73"/>
      <w:r>
        <w:rPr>
          <w:rFonts w:hint="eastAsia" w:ascii="宋体" w:hAnsi="宋体" w:eastAsia="宋体" w:cs="宋体"/>
          <w:color w:val="000000"/>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74" w:name="_Toc513029210"/>
      <w:r/>
      <w:bookmarkStart w:id="75" w:name="_Toc16938526"/>
      <w:r/>
      <w:bookmarkStart w:id="76" w:name="_Toc20823282"/>
      <w:r>
        <w:rPr>
          <w:rFonts w:hint="eastAsia" w:ascii="宋体" w:hAnsi="宋体" w:eastAsia="宋体" w:cs="宋体"/>
          <w:b w:val="0"/>
          <w:bCs w:val="0"/>
          <w:color w:val="000000"/>
          <w:highlight w:val="none"/>
        </w:rPr>
        <w:t xml:space="preserve">6、招标文件构成</w:t>
      </w:r>
      <w:bookmarkEnd w:id="74"/>
      <w:r/>
      <w:bookmarkEnd w:id="75"/>
      <w:r/>
      <w:bookmarkEnd w:id="76"/>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77" w:name="OLE_LINK3"/>
      <w:r>
        <w:rPr>
          <w:rFonts w:hint="eastAsia" w:ascii="宋体" w:hAnsi="宋体" w:eastAsia="宋体" w:cs="宋体"/>
          <w:color w:val="000000"/>
          <w:sz w:val="24"/>
          <w:highlight w:val="none"/>
        </w:rPr>
        <w:t xml:space="preserve">招</w:t>
      </w:r>
      <w:bookmarkStart w:id="78" w:name="OLE_LINK2"/>
      <w:r>
        <w:rPr>
          <w:rFonts w:hint="eastAsia" w:ascii="宋体" w:hAnsi="宋体" w:eastAsia="宋体" w:cs="宋体"/>
          <w:color w:val="000000"/>
          <w:sz w:val="24"/>
          <w:highlight w:val="none"/>
        </w:rPr>
        <w:t xml:space="preserve">标文件由以下部分</w:t>
      </w:r>
      <w:bookmarkEnd w:id="78"/>
      <w:r>
        <w:rPr>
          <w:rFonts w:hint="eastAsia" w:ascii="宋体" w:hAnsi="宋体" w:eastAsia="宋体" w:cs="宋体"/>
          <w:color w:val="000000"/>
          <w:sz w:val="24"/>
          <w:highlight w:val="none"/>
        </w:rPr>
        <w:t xml:space="preserve">组成：</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bookmarkEnd w:id="77"/>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953"/>
        <w:ind w:firstLine="560"/>
        <w:spacing w:before="0" w:after="0" w:line="240" w:lineRule="auto"/>
        <w:rPr>
          <w:rFonts w:hint="eastAsia" w:ascii="宋体" w:hAnsi="宋体" w:eastAsia="宋体" w:cs="宋体"/>
          <w:b w:val="0"/>
          <w:bCs w:val="0"/>
          <w:color w:val="000000"/>
          <w:highlight w:val="none"/>
        </w:rPr>
      </w:pPr>
      <w:r/>
      <w:bookmarkStart w:id="79" w:name="_Toc462564071"/>
      <w:r/>
      <w:bookmarkStart w:id="80" w:name="_Toc20823284"/>
      <w:r/>
      <w:bookmarkStart w:id="81" w:name="_Toc16938528"/>
      <w:r/>
      <w:bookmarkStart w:id="82" w:name="_Toc513029212"/>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79"/>
      <w:r/>
      <w:bookmarkEnd w:id="80"/>
      <w:r/>
      <w:bookmarkEnd w:id="81"/>
      <w:r/>
      <w:bookmarkEnd w:id="82"/>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952"/>
        <w:ind w:firstLine="482"/>
        <w:spacing w:before="145" w:after="145" w:line="360" w:lineRule="auto"/>
        <w:rPr>
          <w:rFonts w:hint="eastAsia" w:ascii="宋体" w:hAnsi="宋体" w:eastAsia="宋体" w:cs="宋体"/>
          <w:color w:val="000000"/>
          <w:highlight w:val="none"/>
        </w:rPr>
      </w:pPr>
      <w:r/>
      <w:bookmarkStart w:id="83" w:name="_Toc462564072"/>
      <w:r/>
      <w:bookmarkStart w:id="84" w:name="_Toc120614216"/>
      <w:r/>
      <w:bookmarkStart w:id="85" w:name="_Toc513029213"/>
      <w:r/>
      <w:bookmarkStart w:id="86" w:name="_Toc20823285"/>
      <w:r/>
      <w:bookmarkStart w:id="87" w:name="_Toc16938529"/>
      <w:r>
        <w:rPr>
          <w:rFonts w:hint="eastAsia" w:ascii="宋体" w:hAnsi="宋体" w:eastAsia="宋体" w:cs="宋体"/>
          <w:color w:val="000000"/>
          <w:highlight w:val="none"/>
        </w:rPr>
        <w:t xml:space="preserve">三、投标文件的编制</w:t>
      </w:r>
      <w:bookmarkEnd w:id="83"/>
      <w:r/>
      <w:bookmarkEnd w:id="84"/>
      <w:r/>
      <w:bookmarkEnd w:id="85"/>
      <w:r/>
      <w:bookmarkEnd w:id="86"/>
      <w:r/>
      <w:bookmarkEnd w:id="87"/>
      <w:r>
        <w:rPr>
          <w:rFonts w:hint="eastAsia" w:ascii="宋体" w:hAnsi="宋体" w:eastAsia="宋体" w:cs="宋体"/>
          <w:color w:val="000000"/>
          <w:highlight w:val="none"/>
        </w:rPr>
      </w:r>
      <w:r/>
    </w:p>
    <w:p>
      <w:pPr>
        <w:pStyle w:val="953"/>
        <w:ind w:firstLine="560"/>
        <w:spacing w:before="0" w:after="0" w:line="240" w:lineRule="auto"/>
        <w:rPr>
          <w:rFonts w:hint="eastAsia" w:ascii="宋体" w:hAnsi="宋体" w:eastAsia="宋体" w:cs="宋体"/>
          <w:bCs w:val="0"/>
          <w:color w:val="000000"/>
          <w:highlight w:val="none"/>
        </w:rPr>
      </w:pPr>
      <w:r/>
      <w:bookmarkStart w:id="88" w:name="_Toc513029214"/>
      <w:r/>
      <w:bookmarkStart w:id="89" w:name="_Toc20823286"/>
      <w:r/>
      <w:bookmarkStart w:id="90" w:name="_Toc16938530"/>
      <w:r/>
      <w:bookmarkStart w:id="91" w:name="_Toc462564073"/>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88"/>
      <w:r/>
      <w:bookmarkEnd w:id="89"/>
      <w:r/>
      <w:bookmarkEnd w:id="90"/>
      <w:r/>
      <w:bookmarkEnd w:id="91"/>
      <w:r>
        <w:rPr>
          <w:rFonts w:hint="eastAsia" w:ascii="宋体" w:hAnsi="宋体" w:eastAsia="宋体" w:cs="宋体"/>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color w:val="000000"/>
          <w:sz w:val="24"/>
          <w:highlight w:val="none"/>
        </w:rPr>
      </w:pPr>
      <w:r/>
      <w:bookmarkStart w:id="92" w:name="OLE_LINK6"/>
      <w:r/>
      <w:bookmarkStart w:id="93" w:name="OLE_LINK9"/>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w:t>
      </w:r>
      <w:bookmarkStart w:id="94" w:name="OLE_LINK5"/>
      <w:r>
        <w:rPr>
          <w:rFonts w:hint="eastAsia" w:ascii="宋体" w:hAnsi="宋体" w:eastAsia="宋体" w:cs="宋体"/>
          <w:color w:val="000000"/>
          <w:sz w:val="24"/>
          <w:highlight w:val="none"/>
        </w:rPr>
        <w:t xml:space="preserve">计量单位。</w:t>
      </w:r>
      <w:r>
        <w:rPr>
          <w:rFonts w:hint="eastAsia" w:ascii="宋体" w:hAnsi="宋体" w:eastAsia="宋体" w:cs="宋体"/>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95" w:name="_Toc513029215"/>
      <w:r/>
      <w:bookmarkStart w:id="96" w:name="_Toc462564074"/>
      <w:r/>
      <w:bookmarkStart w:id="97" w:name="_Toc20823287"/>
      <w:r/>
      <w:bookmarkStart w:id="98" w:name="_Toc16938531"/>
      <w:r/>
      <w:bookmarkStart w:id="99" w:name="OLE_LINK8"/>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5"/>
      <w:r/>
      <w:bookmarkEnd w:id="96"/>
      <w:r/>
      <w:bookmarkEnd w:id="97"/>
      <w:r/>
      <w:bookmarkEnd w:id="98"/>
      <w:r>
        <w:rPr>
          <w:rFonts w:hint="eastAsia" w:ascii="宋体" w:hAnsi="宋体" w:eastAsia="宋体" w:cs="宋体"/>
          <w:b w:val="0"/>
          <w:bCs w:val="0"/>
          <w:color w:val="000000"/>
          <w:highlight w:val="none"/>
        </w:rPr>
      </w:r>
      <w:r/>
    </w:p>
    <w:p>
      <w:pPr>
        <w:pStyle w:val="949"/>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w:t>
      </w:r>
      <w:bookmarkStart w:id="100" w:name="OLE_LINK4"/>
      <w:r>
        <w:rPr>
          <w:rFonts w:hint="eastAsia" w:ascii="宋体" w:hAnsi="宋体" w:eastAsia="宋体" w:cs="宋体"/>
          <w:color w:val="000000"/>
          <w:sz w:val="24"/>
          <w:highlight w:val="none"/>
        </w:rPr>
        <w:t xml:space="preserve">括资格</w:t>
      </w:r>
      <w:bookmarkEnd w:id="100"/>
      <w:r>
        <w:rPr>
          <w:rFonts w:hint="eastAsia" w:ascii="宋体" w:hAnsi="宋体" w:eastAsia="宋体" w:cs="宋体"/>
          <w:color w:val="000000"/>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949"/>
        <w:ind w:firstLine="480"/>
        <w:spacing w:line="440" w:lineRule="exact"/>
        <w:rPr>
          <w:rFonts w:hint="eastAsia" w:ascii="宋体" w:hAnsi="宋体" w:eastAsia="宋体" w:cs="宋体"/>
          <w:color w:val="000000"/>
          <w:sz w:val="24"/>
          <w:highlight w:val="none"/>
        </w:rPr>
      </w:pPr>
      <w:r/>
      <w:bookmarkStart w:id="101" w:name="OLE_LINK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End w:id="93"/>
      <w:r/>
      <w:bookmarkEnd w:id="94"/>
      <w:r/>
      <w:bookmarkEnd w:id="99"/>
      <w:r/>
      <w:bookmarkEnd w:id="101"/>
      <w:r/>
      <w:bookmarkStart w:id="102" w:name="_Hlt26670360"/>
      <w:r/>
      <w:bookmarkEnd w:id="102"/>
      <w:r/>
      <w:bookmarkStart w:id="103" w:name="_Hlt26954838"/>
      <w:r/>
      <w:bookmarkEnd w:id="103"/>
      <w:r/>
      <w:bookmarkStart w:id="104" w:name="_Toc513029219"/>
      <w:r/>
      <w:bookmarkStart w:id="105" w:name="_Toc14577357"/>
      <w:r/>
      <w:bookmarkStart w:id="106" w:name="_Toc49090509"/>
      <w:r/>
      <w:bookmarkStart w:id="107" w:name="_Hlt26668975"/>
      <w:r/>
      <w:bookmarkEnd w:id="107"/>
      <w:r/>
      <w:bookmarkStart w:id="108" w:name="_Toc513029216"/>
      <w:r/>
      <w:bookmarkStart w:id="109" w:name="_Toc49090507"/>
      <w:r/>
      <w:bookmarkStart w:id="110" w:name="_Toc1457735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bookmarkEnd w:id="104"/>
      <w:r/>
      <w:bookmarkEnd w:id="105"/>
      <w:r/>
      <w:bookmarkEnd w:id="106"/>
      <w:r>
        <w:rPr>
          <w:rFonts w:hint="eastAsia" w:ascii="宋体" w:hAnsi="宋体" w:eastAsia="宋体" w:cs="宋体"/>
          <w:b w:val="0"/>
          <w:bCs w:val="0"/>
          <w:color w:val="000000"/>
          <w:highlight w:val="none"/>
        </w:rPr>
      </w:r>
      <w:r/>
    </w:p>
    <w:p>
      <w:pPr>
        <w:pStyle w:val="949"/>
        <w:spacing w:line="480" w:lineRule="exact"/>
        <w:rPr>
          <w:rFonts w:hint="eastAsia" w:ascii="宋体" w:hAnsi="宋体" w:eastAsia="宋体" w:cs="宋体"/>
          <w:color w:val="000000"/>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End w:id="111"/>
      <w:r/>
      <w:bookmarkStart w:id="113" w:name="_Hlt26670373"/>
      <w:r/>
      <w:bookmarkEnd w:id="113"/>
      <w:r>
        <w:rPr>
          <w:rFonts w:hint="eastAsia" w:ascii="宋体" w:hAnsi="宋体" w:eastAsia="宋体" w:cs="宋体"/>
          <w:b w:val="0"/>
          <w:bCs w:val="0"/>
          <w:color w:val="000000"/>
          <w:highlight w:val="none"/>
        </w:rPr>
        <w:t xml:space="preserve">表</w:t>
      </w:r>
      <w:bookmarkEnd w:id="112"/>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4" w:name="_Hlt26954840"/>
      <w:r/>
      <w:bookmarkEnd w:id="114"/>
      <w:r>
        <w:rPr>
          <w:rFonts w:hint="eastAsia" w:ascii="宋体" w:hAnsi="宋体" w:eastAsia="宋体" w:cs="宋体"/>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16" w:name="_Hlt26670403"/>
      <w:r/>
      <w:bookmarkEnd w:id="116"/>
      <w:r/>
      <w:bookmarkStart w:id="117" w:name="_Hlt26954844"/>
      <w:r/>
      <w:bookmarkEnd w:id="117"/>
      <w:r/>
      <w:bookmarkStart w:id="118" w:name="_Hlt26954848"/>
      <w:r/>
      <w:bookmarkEnd w:id="118"/>
      <w:r/>
      <w:bookmarkStart w:id="119" w:name="_Hlt26670482"/>
      <w:r/>
      <w:bookmarkEnd w:id="119"/>
      <w:r/>
      <w:bookmarkStart w:id="120" w:name="_Hlt26954846"/>
      <w:r/>
      <w:bookmarkEnd w:id="120"/>
      <w:r/>
      <w:bookmarkStart w:id="121" w:name="_Hlt26670486"/>
      <w:r/>
      <w:bookmarkEnd w:id="121"/>
      <w:r/>
      <w:bookmarkStart w:id="122" w:name="_Hlt26954731"/>
      <w:r/>
      <w:bookmarkEnd w:id="122"/>
      <w:r/>
      <w:bookmarkStart w:id="123" w:name="_Hlt26670425"/>
      <w:r/>
      <w:bookmarkEnd w:id="123"/>
      <w:r/>
      <w:bookmarkStart w:id="124" w:name="_Hlt26954842"/>
      <w:r/>
      <w:bookmarkEnd w:id="124"/>
      <w:r/>
      <w:bookmarkStart w:id="125" w:name="_Hlt26668983"/>
      <w:r/>
      <w:bookmarkEnd w:id="12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949"/>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953"/>
        <w:ind w:firstLine="422"/>
        <w:spacing w:before="0" w:after="0" w:line="240" w:lineRule="auto"/>
        <w:rPr>
          <w:rFonts w:hint="eastAsia" w:ascii="宋体" w:hAnsi="宋体" w:eastAsia="宋体" w:cs="宋体"/>
          <w:b/>
          <w:bCs/>
          <w:color w:val="000000"/>
          <w:highlight w:val="none"/>
          <w:lang w:val="zh-CN"/>
        </w:rPr>
      </w:pPr>
      <w:r/>
      <w:bookmarkStart w:id="126" w:name="_Toc14577359"/>
      <w:r/>
      <w:bookmarkStart w:id="127" w:name="_Toc49090510"/>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949"/>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949"/>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949"/>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bookmarkStart w:id="128" w:name="OLE_LINK10"/>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End w:id="126"/>
      <w:r/>
      <w:bookmarkEnd w:id="127"/>
      <w:r/>
      <w:bookmarkEnd w:id="128"/>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32"/>
      <w:r/>
      <w:bookmarkEnd w:id="133"/>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i w:val="0"/>
          <w:iCs w:val="0"/>
          <w:color w:val="000000"/>
          <w:sz w:val="24"/>
          <w:highlight w:val="none"/>
          <w:u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val="0"/>
          <w:iCs w:val="0"/>
          <w:color w:val="000000"/>
          <w:sz w:val="24"/>
          <w:highlight w:val="none"/>
          <w:u w:val="none"/>
        </w:rPr>
        <w:t xml:space="preserve">投标有效期比规定短的将被视为未实质性响应招标文件而予以拒绝。</w:t>
      </w:r>
      <w:r>
        <w:rPr>
          <w:rFonts w:hint="eastAsia" w:ascii="宋体" w:hAnsi="宋体" w:eastAsia="宋体" w:cs="宋体"/>
          <w:bCs/>
          <w:i w:val="0"/>
          <w:iCs w:val="0"/>
          <w:color w:val="000000"/>
          <w:sz w:val="24"/>
          <w:highlight w:val="none"/>
          <w:u w:val="none"/>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52"/>
        <w:ind w:firstLine="482"/>
        <w:spacing w:before="145" w:after="145" w:line="360" w:lineRule="auto"/>
        <w:rPr>
          <w:rFonts w:hint="eastAsia" w:ascii="宋体" w:hAnsi="宋体" w:eastAsia="宋体" w:cs="宋体"/>
          <w:color w:val="000000"/>
          <w:highlight w:val="none"/>
        </w:rPr>
      </w:pPr>
      <w:r/>
      <w:bookmarkStart w:id="134" w:name="_Hlt26954739"/>
      <w:r/>
      <w:bookmarkEnd w:id="134"/>
      <w:r/>
      <w:bookmarkStart w:id="135" w:name="_Hlt26954852"/>
      <w:r/>
      <w:bookmarkEnd w:id="135"/>
      <w:r/>
      <w:bookmarkStart w:id="136" w:name="_Toc120614217"/>
      <w:r/>
      <w:bookmarkStart w:id="137" w:name="_Toc513029224"/>
      <w:r/>
      <w:bookmarkStart w:id="138" w:name="_Toc16938540"/>
      <w:r/>
      <w:bookmarkStart w:id="139" w:name="_Toc20823296"/>
      <w:r>
        <w:rPr>
          <w:rFonts w:hint="eastAsia" w:ascii="宋体" w:hAnsi="宋体" w:eastAsia="宋体" w:cs="宋体"/>
          <w:color w:val="000000"/>
          <w:highlight w:val="none"/>
        </w:rPr>
        <w:t xml:space="preserve">四、投标文件的递交</w:t>
      </w:r>
      <w:bookmarkEnd w:id="136"/>
      <w:r/>
      <w:bookmarkEnd w:id="137"/>
      <w:r/>
      <w:bookmarkEnd w:id="138"/>
      <w:r/>
      <w:bookmarkEnd w:id="139"/>
      <w:r>
        <w:rPr>
          <w:rFonts w:hint="eastAsia" w:ascii="宋体" w:hAnsi="宋体" w:eastAsia="宋体" w:cs="宋体"/>
          <w:color w:val="000000"/>
          <w:highlight w:val="none"/>
        </w:rPr>
      </w:r>
      <w:r/>
    </w:p>
    <w:p>
      <w:pPr>
        <w:pStyle w:val="953"/>
        <w:ind w:firstLine="560"/>
        <w:spacing w:before="0" w:after="0" w:line="240" w:lineRule="auto"/>
        <w:rPr>
          <w:rFonts w:hint="eastAsia" w:ascii="宋体" w:hAnsi="宋体" w:eastAsia="宋体" w:cs="宋体"/>
          <w:b w:val="0"/>
          <w:bCs w:val="0"/>
          <w:color w:val="000000"/>
          <w:highlight w:val="none"/>
        </w:rPr>
      </w:pPr>
      <w:r/>
      <w:bookmarkStart w:id="140" w:name="_Toc462564084"/>
      <w:r/>
      <w:bookmarkStart w:id="141" w:name="_Toc513029225"/>
      <w:r/>
      <w:bookmarkStart w:id="142" w:name="_Toc20823297"/>
      <w:r/>
      <w:bookmarkStart w:id="143" w:name="_Toc1693854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40"/>
      <w:r/>
      <w:bookmarkEnd w:id="141"/>
      <w:r/>
      <w:bookmarkEnd w:id="142"/>
      <w:r/>
      <w:bookmarkEnd w:id="143"/>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1064"/>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4" w:name="_Toc513029226"/>
      <w:r/>
      <w:bookmarkStart w:id="145" w:name="_Toc16938542"/>
      <w:r/>
      <w:bookmarkStart w:id="146" w:name="_Toc20823298"/>
      <w:r>
        <w:rPr>
          <w:rFonts w:hint="eastAsia" w:ascii="宋体" w:hAnsi="宋体" w:eastAsia="宋体" w:cs="宋体"/>
          <w:bCs/>
          <w:color w:val="000000"/>
          <w:sz w:val="24"/>
          <w:highlight w:val="none"/>
        </w:rPr>
      </w:r>
      <w:r/>
    </w:p>
    <w:p>
      <w:pPr>
        <w:pStyle w:val="953"/>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4"/>
      <w:r/>
      <w:bookmarkEnd w:id="145"/>
      <w:r/>
      <w:bookmarkEnd w:id="146"/>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949"/>
        <w:ind w:firstLine="480"/>
        <w:pageBreakBefore w:val="0"/>
        <w:spacing w:line="500" w:lineRule="exact"/>
        <w:widowControl w:val="off"/>
        <w:rPr>
          <w:rFonts w:hint="eastAsia" w:ascii="宋体" w:hAnsi="宋体" w:eastAsia="宋体" w:cs="宋体"/>
          <w:bCs/>
          <w:i w:val="0"/>
          <w:iCs/>
          <w:color w:val="000000"/>
          <w:sz w:val="24"/>
          <w:highlight w:val="none"/>
          <w:u w:val="none"/>
        </w:rPr>
      </w:pPr>
      <w:r>
        <w:rPr>
          <w:rFonts w:hint="eastAsia" w:ascii="宋体" w:hAnsi="宋体" w:eastAsia="宋体" w:cs="宋体"/>
          <w:i w:val="0"/>
          <w:iCs/>
          <w:color w:val="000000"/>
          <w:sz w:val="24"/>
          <w:highlight w:val="none"/>
          <w:u w:val="none"/>
        </w:rPr>
        <w:t xml:space="preserve">1</w:t>
      </w:r>
      <w:r>
        <w:rPr>
          <w:rFonts w:hint="eastAsia" w:ascii="宋体" w:hAnsi="宋体" w:eastAsia="宋体" w:cs="宋体"/>
          <w:i w:val="0"/>
          <w:iCs/>
          <w:color w:val="000000"/>
          <w:sz w:val="24"/>
          <w:highlight w:val="none"/>
          <w:u w:val="none"/>
          <w:lang w:val="en-US" w:eastAsia="zh-CN"/>
        </w:rPr>
        <w:t xml:space="preserve">8</w:t>
      </w:r>
      <w:r>
        <w:rPr>
          <w:rFonts w:hint="eastAsia" w:ascii="宋体" w:hAnsi="宋体" w:eastAsia="宋体" w:cs="宋体"/>
          <w:i w:val="0"/>
          <w:iCs/>
          <w:color w:val="000000"/>
          <w:sz w:val="24"/>
          <w:highlight w:val="none"/>
          <w:u w:val="none"/>
        </w:rPr>
        <w:t xml:space="preserve">.1</w:t>
      </w:r>
      <w:r>
        <w:rPr>
          <w:rFonts w:hint="eastAsia" w:ascii="宋体" w:hAnsi="宋体" w:eastAsia="宋体" w:cs="宋体"/>
          <w:bCs/>
          <w:i w:val="0"/>
          <w:iCs/>
          <w:color w:val="000000"/>
          <w:sz w:val="24"/>
          <w:highlight w:val="none"/>
          <w:u w:val="none"/>
        </w:rPr>
        <w:t xml:space="preserve"> 投标人上传电子投标文件的时间不得迟于招标公告中规定的投标截止时间。</w:t>
      </w:r>
      <w:r>
        <w:rPr>
          <w:rFonts w:hint="eastAsia" w:ascii="宋体" w:hAnsi="宋体" w:eastAsia="宋体" w:cs="宋体"/>
          <w:bCs/>
          <w:i w:val="0"/>
          <w:iCs/>
          <w:color w:val="000000"/>
          <w:sz w:val="24"/>
          <w:highlight w:val="none"/>
          <w:u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47" w:name="_Toc20823299"/>
      <w:r/>
      <w:bookmarkStart w:id="148" w:name="_Toc513029227"/>
      <w:r/>
      <w:bookmarkStart w:id="149" w:name="_Toc16938543"/>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w:t>
      </w:r>
      <w:bookmarkEnd w:id="147"/>
      <w:r/>
      <w:bookmarkEnd w:id="148"/>
      <w:r/>
      <w:bookmarkEnd w:id="149"/>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50" w:name="_Toc20823300"/>
      <w:r/>
      <w:bookmarkStart w:id="151" w:name="_Toc16938544"/>
      <w:r/>
      <w:bookmarkStart w:id="152" w:name="_Toc51302922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50"/>
      <w:r/>
      <w:bookmarkEnd w:id="151"/>
      <w:r/>
      <w:bookmarkEnd w:id="152"/>
      <w:r>
        <w:rPr>
          <w:rFonts w:hint="eastAsia" w:ascii="宋体" w:hAnsi="宋体" w:eastAsia="宋体" w:cs="宋体"/>
          <w:b w:val="0"/>
          <w:bCs w:val="0"/>
          <w:color w:val="000000"/>
          <w:highlight w:val="none"/>
        </w:rPr>
      </w:r>
      <w:r/>
    </w:p>
    <w:p>
      <w:pPr>
        <w:pStyle w:val="9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9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9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9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952"/>
        <w:ind w:firstLine="482"/>
        <w:spacing w:before="145" w:after="145" w:line="360" w:lineRule="auto"/>
        <w:rPr>
          <w:rFonts w:hint="eastAsia" w:ascii="宋体" w:hAnsi="宋体" w:eastAsia="宋体" w:cs="宋体"/>
          <w:color w:val="000000"/>
          <w:highlight w:val="none"/>
        </w:rPr>
      </w:pPr>
      <w:r/>
      <w:bookmarkStart w:id="153" w:name="_Toc513029229"/>
      <w:r/>
      <w:bookmarkStart w:id="154" w:name="_Toc20823301"/>
      <w:r/>
      <w:bookmarkStart w:id="155" w:name="_Toc16938545"/>
      <w:r/>
      <w:bookmarkStart w:id="156" w:name="_Toc120614218"/>
      <w:r>
        <w:rPr>
          <w:rFonts w:hint="eastAsia" w:ascii="宋体" w:hAnsi="宋体" w:eastAsia="宋体" w:cs="宋体"/>
          <w:color w:val="000000"/>
          <w:highlight w:val="none"/>
        </w:rPr>
        <w:t xml:space="preserve">五、开标与评标</w:t>
      </w:r>
      <w:bookmarkEnd w:id="153"/>
      <w:r/>
      <w:bookmarkEnd w:id="154"/>
      <w:r/>
      <w:bookmarkEnd w:id="155"/>
      <w:r/>
      <w:bookmarkEnd w:id="156"/>
      <w:r>
        <w:rPr>
          <w:rFonts w:hint="eastAsia" w:ascii="宋体" w:hAnsi="宋体" w:eastAsia="宋体" w:cs="宋体"/>
          <w:color w:val="000000"/>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57" w:name="_Toc16938546"/>
      <w:r/>
      <w:bookmarkStart w:id="158" w:name="_Toc513029230"/>
      <w:r/>
      <w:bookmarkStart w:id="159" w:name="_Toc20823302"/>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7"/>
      <w:r/>
      <w:bookmarkEnd w:id="158"/>
      <w:r/>
      <w:bookmarkEnd w:id="159"/>
      <w:r>
        <w:rPr>
          <w:rFonts w:hint="eastAsia" w:ascii="宋体" w:hAnsi="宋体" w:eastAsia="宋体" w:cs="宋体"/>
          <w:b w:val="0"/>
          <w:bCs w:val="0"/>
          <w:color w:val="000000"/>
          <w:highlight w:val="none"/>
        </w:rPr>
      </w:r>
      <w:r/>
    </w:p>
    <w:p>
      <w:pPr>
        <w:pStyle w:val="949"/>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94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94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60" w:name="_Toc20823303"/>
      <w:r/>
      <w:bookmarkStart w:id="161" w:name="_Toc513029231"/>
      <w:r/>
      <w:bookmarkStart w:id="162" w:name="_Toc16938547"/>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949"/>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949"/>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949"/>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.3评委会独立工作，负责评审所有投标文件并确定中标侯选人。</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949"/>
        <w:ind w:firstLine="480"/>
        <w:spacing w:line="500" w:lineRule="exact"/>
        <w:rPr>
          <w:rFonts w:hint="eastAsia" w:ascii="宋体" w:hAnsi="宋体" w:eastAsia="宋体" w:cs="宋体"/>
          <w:bCs/>
          <w:color w:val="000000"/>
          <w:sz w:val="24"/>
          <w:highlight w:val="none"/>
        </w:rPr>
      </w:pPr>
      <w:r/>
      <w:bookmarkEnd w:id="160"/>
      <w:r/>
      <w:bookmarkEnd w:id="161"/>
      <w:r/>
      <w:bookmarkEnd w:id="162"/>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63" w:name="_Toc16938548"/>
      <w:r/>
      <w:bookmarkStart w:id="164" w:name="_Toc20823304"/>
      <w:r/>
      <w:bookmarkStart w:id="165" w:name="_Toc513029232"/>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bookmarkEnd w:id="163"/>
      <w:r/>
      <w:bookmarkEnd w:id="164"/>
      <w:r/>
      <w:bookmarkEnd w:id="165"/>
      <w:r>
        <w:rPr>
          <w:rFonts w:hint="eastAsia" w:ascii="宋体" w:hAnsi="宋体" w:eastAsia="宋体" w:cs="宋体"/>
          <w:b w:val="0"/>
          <w:bCs w:val="0"/>
          <w:color w:val="00000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949"/>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953"/>
        <w:ind w:firstLine="420"/>
        <w:spacing w:before="0" w:after="0" w:line="240" w:lineRule="auto"/>
        <w:rPr>
          <w:rFonts w:hint="eastAsia" w:ascii="宋体" w:hAnsi="宋体" w:eastAsia="宋体" w:cs="宋体"/>
          <w:b w:val="0"/>
          <w:bCs w:val="0"/>
          <w:color w:val="000000"/>
          <w:highlight w:val="none"/>
        </w:rPr>
      </w:pPr>
      <w:r/>
      <w:bookmarkStart w:id="166" w:name="_Toc20823305"/>
      <w:r/>
      <w:bookmarkStart w:id="167" w:name="_Toc16938549"/>
      <w:r/>
      <w:bookmarkStart w:id="168" w:name="_Toc51302923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6"/>
      <w:r/>
      <w:bookmarkEnd w:id="167"/>
      <w:r/>
      <w:bookmarkEnd w:id="168"/>
      <w:r>
        <w:rPr>
          <w:rFonts w:hint="eastAsia" w:ascii="宋体" w:hAnsi="宋体" w:eastAsia="宋体" w:cs="宋体"/>
          <w:b w:val="0"/>
          <w:bCs w:val="0"/>
          <w:color w:val="000000"/>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949"/>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949"/>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4"/>
          <w:highlight w:val="none"/>
        </w:rPr>
      </w:r>
      <w:r/>
    </w:p>
    <w:p>
      <w:pPr>
        <w:pStyle w:val="949"/>
        <w:ind w:firstLine="480"/>
        <w:spacing w:line="4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949"/>
        <w:ind w:firstLine="420"/>
        <w:spacing w:line="460" w:lineRule="exact"/>
        <w:rPr>
          <w:rFonts w:hint="eastAsia" w:ascii="宋体" w:hAnsi="宋体" w:eastAsia="宋体" w:cs="宋体"/>
          <w:color w:val="000000"/>
          <w:sz w:val="24"/>
          <w:highlight w:val="none"/>
        </w:rPr>
      </w:pPr>
      <w:r/>
      <w:bookmarkStart w:id="169" w:name="_Toc16938550"/>
      <w:r/>
      <w:bookmarkStart w:id="170" w:name="_Toc513029234"/>
      <w:r/>
      <w:bookmarkStart w:id="171" w:name="_Toc20823306"/>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rPr>
          <w:rFonts w:hint="eastAsia" w:ascii="宋体" w:hAnsi="宋体" w:eastAsia="宋体" w:cs="宋体"/>
          <w:color w:val="000000"/>
          <w:sz w:val="24"/>
          <w:highlight w:val="none"/>
        </w:rPr>
      </w:r>
      <w:r/>
    </w:p>
    <w:p>
      <w:pPr>
        <w:pStyle w:val="953"/>
        <w:ind w:firstLine="422"/>
        <w:spacing w:before="0" w:after="0" w:line="240" w:lineRule="auto"/>
        <w:rPr>
          <w:rFonts w:hint="eastAsia" w:ascii="宋体" w:hAnsi="宋体" w:eastAsia="宋体" w:cs="宋体"/>
          <w:b/>
          <w:bCs/>
          <w:color w:val="000000"/>
          <w:highlight w:val="none"/>
          <w:lang w:val="en-US" w:eastAsia="zh-CN"/>
        </w:rPr>
      </w:pPr>
      <w:r/>
      <w:bookmarkEnd w:id="169"/>
      <w:r/>
      <w:bookmarkEnd w:id="170"/>
      <w:r/>
      <w:bookmarkEnd w:id="171"/>
      <w:r/>
      <w:bookmarkStart w:id="172" w:name="_Toc16938558"/>
      <w:r/>
      <w:bookmarkStart w:id="173" w:name="_Toc20823314"/>
      <w:r/>
      <w:bookmarkStart w:id="174" w:name="_Toc479757207"/>
      <w:r/>
      <w:bookmarkStart w:id="175" w:name="_Toc120614221"/>
      <w:r/>
      <w:bookmarkStart w:id="176" w:name="_Toc513029242"/>
      <w:r>
        <w:rPr>
          <w:rFonts w:hint="eastAsia" w:ascii="宋体" w:hAnsi="宋体" w:eastAsia="宋体" w:cs="宋体"/>
          <w:b/>
          <w:bCs/>
          <w:color w:val="000000"/>
          <w:highlight w:val="none"/>
          <w:lang w:val="en-US" w:eastAsia="zh-CN"/>
        </w:rPr>
        <w:t xml:space="preserve">26.异常低价审查</w:t>
      </w:r>
      <w:r>
        <w:rPr>
          <w:rFonts w:hint="eastAsia" w:ascii="宋体" w:hAnsi="宋体" w:eastAsia="宋体" w:cs="宋体"/>
          <w:b/>
          <w:bCs/>
          <w:color w:val="000000"/>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949"/>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953"/>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949"/>
        <w:ind w:left="479"/>
        <w:spacing w:line="440" w:lineRule="exact"/>
        <w:rPr>
          <w:rFonts w:hint="eastAsia" w:ascii="宋体" w:hAnsi="宋体" w:eastAsia="宋体" w:cs="宋体"/>
          <w:bCs/>
          <w:color w:val="000000"/>
          <w:sz w:val="24"/>
          <w:highlight w:val="none"/>
        </w:rPr>
      </w:pPr>
      <w:r/>
      <w:bookmarkStart w:id="177" w:name="_Toc16938551"/>
      <w:r/>
      <w:bookmarkStart w:id="178" w:name="_Toc513029235"/>
      <w:r/>
      <w:bookmarkStart w:id="179" w:name="_Toc20823307"/>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949"/>
        <w:ind w:firstLine="360"/>
        <w:spacing w:line="40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highlight w:val="none"/>
          <w:u w:val="singl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949"/>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highlight w:val="none"/>
        </w:rPr>
      </w:r>
      <w:r/>
    </w:p>
    <w:p>
      <w:pPr>
        <w:pStyle w:val="949"/>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rPr>
          <w:rFonts w:hint="eastAsia" w:ascii="宋体" w:hAnsi="宋体" w:eastAsia="宋体" w:cs="宋体"/>
          <w:bCs/>
          <w:color w:val="000000"/>
          <w:sz w:val="24"/>
          <w:szCs w:val="21"/>
          <w:highlight w:val="none"/>
        </w:rPr>
      </w:r>
      <w:r/>
    </w:p>
    <w:p>
      <w:pPr>
        <w:pStyle w:val="949"/>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rPr>
          <w:rFonts w:hint="eastAsia" w:ascii="宋体" w:hAnsi="宋体" w:eastAsia="宋体" w:cs="宋体"/>
          <w:bCs/>
          <w:color w:val="000000"/>
          <w:sz w:val="24"/>
          <w:szCs w:val="24"/>
          <w:highlight w:val="none"/>
        </w:rPr>
      </w:r>
      <w:r/>
    </w:p>
    <w:p>
      <w:pPr>
        <w:pStyle w:val="949"/>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949"/>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10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952"/>
        <w:ind w:firstLine="482"/>
        <w:spacing w:before="145" w:after="145" w:line="360" w:lineRule="auto"/>
        <w:rPr>
          <w:rFonts w:hint="eastAsia" w:ascii="宋体" w:hAnsi="宋体" w:eastAsia="宋体" w:cs="宋体"/>
          <w:color w:val="000000"/>
          <w:highlight w:val="none"/>
        </w:rPr>
      </w:pPr>
      <w:r/>
      <w:bookmarkStart w:id="180" w:name="_Toc120614219"/>
      <w:r>
        <w:rPr>
          <w:rFonts w:hint="eastAsia" w:ascii="宋体" w:hAnsi="宋体" w:eastAsia="宋体" w:cs="宋体"/>
          <w:color w:val="000000"/>
          <w:highlight w:val="none"/>
        </w:rPr>
        <w:t xml:space="preserve">六、</w:t>
      </w:r>
      <w:bookmarkEnd w:id="177"/>
      <w:r/>
      <w:bookmarkEnd w:id="178"/>
      <w:r/>
      <w:bookmarkEnd w:id="179"/>
      <w:r>
        <w:rPr>
          <w:rFonts w:hint="eastAsia" w:ascii="宋体" w:hAnsi="宋体" w:eastAsia="宋体" w:cs="宋体"/>
          <w:color w:val="000000"/>
          <w:highlight w:val="none"/>
        </w:rPr>
        <w:t xml:space="preserve">定标</w:t>
      </w:r>
      <w:bookmarkEnd w:id="180"/>
      <w:r>
        <w:rPr>
          <w:rFonts w:hint="eastAsia" w:ascii="宋体" w:hAnsi="宋体" w:eastAsia="宋体" w:cs="宋体"/>
          <w:color w:val="000000"/>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bookmarkStart w:id="181" w:name="_Toc513029238"/>
      <w:r/>
      <w:bookmarkStart w:id="182" w:name="_Toc20823310"/>
      <w:r/>
      <w:bookmarkStart w:id="183"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81"/>
      <w:r>
        <w:rPr>
          <w:rFonts w:hint="eastAsia" w:ascii="宋体" w:hAnsi="宋体" w:eastAsia="宋体" w:cs="宋体"/>
          <w:b w:val="0"/>
          <w:color w:val="000000"/>
          <w:sz w:val="30"/>
          <w:szCs w:val="30"/>
          <w:highlight w:val="none"/>
        </w:rPr>
        <w:t xml:space="preserve">确定</w:t>
      </w:r>
      <w:bookmarkEnd w:id="182"/>
      <w:r/>
      <w:bookmarkEnd w:id="183"/>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949"/>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bookmarkStart w:id="184"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84"/>
      <w:r>
        <w:rPr>
          <w:rFonts w:hint="eastAsia" w:ascii="宋体" w:hAnsi="宋体" w:eastAsia="宋体" w:cs="宋体"/>
          <w:b w:val="0"/>
          <w:color w:val="000000"/>
          <w:sz w:val="30"/>
          <w:szCs w:val="3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949"/>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949"/>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949"/>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952"/>
        <w:spacing w:before="145" w:after="145" w:line="360" w:lineRule="auto"/>
        <w:rPr>
          <w:rFonts w:hint="eastAsia" w:ascii="宋体" w:hAnsi="宋体" w:eastAsia="宋体" w:cs="宋体"/>
          <w:color w:val="000000"/>
          <w:highlight w:val="none"/>
        </w:rPr>
      </w:pPr>
      <w:r/>
      <w:bookmarkStart w:id="185" w:name="_Toc16938552"/>
      <w:r/>
      <w:bookmarkStart w:id="186" w:name="_Toc513029236"/>
      <w:r/>
      <w:bookmarkStart w:id="187" w:name="_Toc120614220"/>
      <w:r/>
      <w:bookmarkStart w:id="188" w:name="_Toc20823308"/>
      <w:r>
        <w:rPr>
          <w:rFonts w:hint="eastAsia" w:ascii="宋体" w:hAnsi="宋体" w:eastAsia="宋体" w:cs="宋体"/>
          <w:color w:val="000000"/>
          <w:highlight w:val="none"/>
        </w:rPr>
        <w:t xml:space="preserve">七、授予合同</w:t>
      </w:r>
      <w:bookmarkEnd w:id="187"/>
      <w:r>
        <w:rPr>
          <w:rFonts w:hint="eastAsia" w:ascii="宋体" w:hAnsi="宋体" w:eastAsia="宋体" w:cs="宋体"/>
          <w:color w:val="000000"/>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bookmarkEnd w:id="185"/>
      <w:r/>
      <w:bookmarkEnd w:id="186"/>
      <w:r/>
      <w:bookmarkEnd w:id="188"/>
      <w:r/>
      <w:bookmarkStart w:id="189" w:name="_Toc16938553"/>
      <w:r/>
      <w:bookmarkStart w:id="190" w:name="_Toc513029237"/>
      <w:r/>
      <w:bookmarkStart w:id="191" w:name="_Toc20823309"/>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949"/>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949"/>
        <w:ind w:firstLine="60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949"/>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color w:val="000000"/>
          <w:sz w:val="24"/>
          <w:szCs w:val="24"/>
          <w:highlight w:val="none"/>
          <w:u w:val="non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、服务（包含与服务相关的货物）的追加</w:t>
      </w:r>
      <w:r>
        <w:rPr>
          <w:rFonts w:hint="eastAsia" w:ascii="宋体" w:hAnsi="宋体" w:eastAsia="宋体" w:cs="宋体"/>
          <w:b w:val="0"/>
          <w:color w:val="000000"/>
          <w:sz w:val="30"/>
          <w:szCs w:val="30"/>
          <w:highlight w:val="none"/>
        </w:rPr>
      </w:r>
      <w:r/>
    </w:p>
    <w:p>
      <w:pPr>
        <w:pStyle w:val="949"/>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953"/>
        <w:ind w:firstLine="600"/>
        <w:spacing w:before="0" w:after="0" w:line="240" w:lineRule="auto"/>
        <w:rPr>
          <w:rFonts w:hint="eastAsia" w:ascii="宋体" w:hAnsi="宋体" w:eastAsia="宋体" w:cs="宋体"/>
          <w:b w:val="0"/>
          <w:color w:val="000000"/>
          <w:sz w:val="30"/>
          <w:szCs w:val="30"/>
          <w:highlight w:val="none"/>
        </w:rPr>
      </w:pPr>
      <w:r/>
      <w:bookmarkEnd w:id="189"/>
      <w:r/>
      <w:bookmarkEnd w:id="190"/>
      <w:r/>
      <w:bookmarkEnd w:id="191"/>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rPr>
          <w:rFonts w:hint="eastAsia" w:ascii="宋体" w:hAnsi="宋体" w:eastAsia="宋体" w:cs="宋体"/>
          <w:b w:val="0"/>
          <w:color w:val="000000"/>
          <w:sz w:val="30"/>
          <w:szCs w:val="30"/>
          <w:highlight w:val="none"/>
        </w:rPr>
      </w:r>
      <w:r/>
    </w:p>
    <w:p>
      <w:pPr>
        <w:pStyle w:val="96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highlight w:val="none"/>
        </w:rPr>
      </w:r>
      <w:r/>
    </w:p>
    <w:p>
      <w:pPr>
        <w:pStyle w:val="950"/>
        <w:rPr>
          <w:rFonts w:hint="eastAsia" w:ascii="宋体" w:hAnsi="宋体" w:eastAsia="宋体" w:cs="宋体"/>
          <w:bCs/>
          <w:color w:val="000000"/>
          <w:sz w:val="44"/>
          <w:highlight w:val="none"/>
          <w:lang w:eastAsia="zh-CN"/>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highlight w:val="none"/>
          <w:lang w:eastAsia="zh-CN"/>
        </w:rPr>
      </w:r>
      <w:r/>
    </w:p>
    <w:p>
      <w:pPr>
        <w:pStyle w:val="950"/>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72"/>
      <w:r/>
      <w:bookmarkEnd w:id="173"/>
      <w:r/>
      <w:bookmarkEnd w:id="174"/>
      <w:r/>
      <w:bookmarkEnd w:id="175"/>
      <w:r/>
      <w:bookmarkEnd w:id="176"/>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949"/>
        <w:ind w:firstLine="480"/>
        <w:spacing w:line="500" w:lineRule="exact"/>
        <w:rPr>
          <w:rFonts w:hint="eastAsia" w:ascii="宋体" w:hAnsi="宋体" w:eastAsia="宋体" w:cs="宋体"/>
          <w:bCs/>
          <w:color w:val="000000"/>
          <w:sz w:val="24"/>
          <w:highlight w:val="none"/>
        </w:rPr>
      </w:pPr>
      <w:r/>
      <w:bookmarkStart w:id="192" w:name="_Toc513029243"/>
      <w:r/>
      <w:bookmarkStart w:id="193" w:name="_Toc16938559"/>
      <w:r/>
      <w:bookmarkStart w:id="194" w:name="_Toc20823315"/>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Cs/>
          <w:color w:val="000000"/>
          <w:sz w:val="24"/>
          <w:highlight w:val="none"/>
        </w:rPr>
      </w:r>
      <w:r/>
    </w:p>
    <w:p>
      <w:pPr>
        <w:pStyle w:val="949"/>
        <w:jc w:val="center"/>
        <w:spacing w:before="145" w:after="145"/>
        <w:rPr>
          <w:rFonts w:hint="eastAsia" w:ascii="宋体" w:hAnsi="宋体" w:eastAsia="宋体" w:cs="宋体"/>
          <w:b/>
          <w:bCs/>
          <w:color w:val="000000"/>
          <w:sz w:val="30"/>
          <w:szCs w:val="20"/>
          <w:highlight w:val="none"/>
        </w:rPr>
        <w:outlineLvl w:val="0"/>
      </w:pPr>
      <w:r/>
      <w:bookmarkEnd w:id="192"/>
      <w:r/>
      <w:bookmarkEnd w:id="193"/>
      <w:r/>
      <w:bookmarkEnd w:id="194"/>
      <w:r/>
      <w:bookmarkStart w:id="195" w:name="_Hlt16619350"/>
      <w:r/>
      <w:bookmarkStart w:id="196" w:name="_Toc16938590"/>
      <w:r/>
      <w:bookmarkStart w:id="197" w:name="_Toc120614244"/>
      <w:r/>
      <w:bookmarkStart w:id="198" w:name="_Toc20823346"/>
      <w:r/>
      <w:bookmarkStart w:id="199" w:name="_Toc479757211"/>
      <w:r/>
      <w:bookmarkStart w:id="200" w:name="_Toc462564139"/>
      <w:r>
        <w:rPr>
          <w:rFonts w:hint="eastAsia" w:ascii="宋体" w:hAnsi="宋体" w:eastAsia="宋体" w:cs="宋体"/>
          <w:b/>
          <w:color w:val="000000"/>
          <w:sz w:val="30"/>
          <w:highlight w:val="none"/>
        </w:rPr>
        <w:t xml:space="preserve">江苏省政府采购合同（服务）（合同编号）</w:t>
      </w:r>
      <w:r>
        <w:rPr>
          <w:rFonts w:hint="eastAsia" w:ascii="宋体" w:hAnsi="宋体" w:eastAsia="宋体" w:cs="宋体"/>
          <w:b/>
          <w:bCs/>
          <w:color w:val="000000"/>
          <w:sz w:val="30"/>
          <w:szCs w:val="20"/>
          <w:highlight w:val="none"/>
        </w:rPr>
      </w:r>
      <w:r/>
    </w:p>
    <w:p>
      <w:pPr>
        <w:pStyle w:val="949"/>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949"/>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949"/>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ascii="宋体" w:hAnsi="宋体" w:eastAsia="宋体" w:cs="宋体"/>
          <w:color w:val="000000"/>
          <w:sz w:val="24"/>
          <w:szCs w:val="24"/>
          <w:highlight w:val="none"/>
          <w:u w:val="single"/>
        </w:rPr>
        <w:t xml:space="preserve">南通市崇川区狼山街道社区卫生服务中心物业服务</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val="en-US" w:eastAsia="zh-CN"/>
        </w:rPr>
        <w:t xml:space="preserve">南通市崇川区狼山街道社区卫生服务中心物业服务项目</w:t>
      </w:r>
      <w:r>
        <w:rPr>
          <w:rFonts w:hint="eastAsia" w:ascii="宋体" w:hAnsi="宋体" w:eastAsia="宋体" w:cs="宋体"/>
          <w:color w:val="000000"/>
          <w:sz w:val="24"/>
          <w:szCs w:val="24"/>
          <w:highlight w:val="none"/>
          <w:lang w:val="en-US" w:eastAsia="zh-CN"/>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符合甲方招标文件和乙方投标文件中承诺的质量标准，并且不得低于国家、南通市有关物业管理的质量标准，当各质量标准的规定不一致时，以较高质量标准为准。 </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履行时间（期限）：</w:t>
      </w:r>
      <w:r>
        <w:rPr>
          <w:rFonts w:hint="eastAsia" w:hAnsi="宋体" w:cs="宋体"/>
          <w:color w:val="000000"/>
          <w:sz w:val="24"/>
          <w:szCs w:val="24"/>
          <w:highlight w:val="none"/>
        </w:rPr>
        <w:t xml:space="preserve">本项目“一招三年”，合同一年一签，经年度服务评价合格后，可签订下一年度“物业管理服务”合同</w:t>
      </w:r>
      <w:r>
        <w:rPr>
          <w:rFonts w:hint="eastAsia" w:ascii="宋体" w:hAnsi="宋体" w:eastAsia="宋体" w:cs="宋体"/>
          <w:color w:val="000000"/>
          <w:sz w:val="24"/>
          <w:szCs w:val="24"/>
          <w:highlight w:val="none"/>
          <w:lang w:val="en-US" w:eastAsia="zh-CN"/>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履行地点：</w:t>
      </w:r>
      <w:r>
        <w:rPr>
          <w:rFonts w:hint="eastAsia" w:ascii="宋体" w:hAnsi="宋体" w:eastAsia="宋体" w:cs="宋体"/>
          <w:color w:val="000000"/>
          <w:sz w:val="24"/>
          <w:szCs w:val="24"/>
          <w:highlight w:val="none"/>
          <w:lang w:val="en-US" w:eastAsia="zh-CN"/>
        </w:rPr>
        <w:t xml:space="preserve">南通市崇川区狼山街道社区卫生服务中心所在地</w:t>
      </w:r>
      <w:r>
        <w:rPr>
          <w:rFonts w:hint="eastAsia" w:ascii="宋体" w:hAnsi="宋体" w:eastAsia="宋体" w:cs="宋体"/>
          <w:color w:val="000000"/>
          <w:sz w:val="24"/>
          <w:szCs w:val="24"/>
          <w:highlight w:val="none"/>
          <w:lang w:val="en-US" w:eastAsia="zh-CN"/>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履行方式：</w:t>
      </w:r>
      <w:r>
        <w:rPr>
          <w:rFonts w:hint="eastAsia" w:hAnsi="宋体"/>
          <w:color w:val="000000"/>
          <w:sz w:val="24"/>
          <w:szCs w:val="24"/>
          <w:highlight w:val="none"/>
        </w:rPr>
        <w:t xml:space="preserve">甲方根据相关规定，现将物业管理服务工作发包给乙方，由乙方采取费用包干管理形式承接本物业的管理服务业务</w:t>
      </w:r>
      <w:r>
        <w:rPr>
          <w:rFonts w:hint="eastAsia" w:ascii="宋体" w:hAnsi="宋体" w:eastAsia="宋体" w:cs="宋体"/>
          <w:color w:val="000000"/>
          <w:sz w:val="24"/>
          <w:szCs w:val="24"/>
          <w:highlight w:val="none"/>
          <w:lang w:val="en-US" w:eastAsia="zh-CN"/>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rPr>
        <w:t xml:space="preserve">本合同金额为（大写）：________圆（________元）人民币。合同价格按此次中标价格执行，应包含人员工资、社保、福利、劳保用品费、服装费、伙食费、加班费、培训费用；办公用品；同时包干消防监控、偷盗包干、日常考核、材料、机械、统一服装、胸卡、通讯器材、办公设备、保险、利润、及因人员辞退、工伤伤亡事故等造成的赔偿金，政策性文件规定招标文件所列物业管理的全部经费及合同包含的所有风险、责任等各项应有费用。乙方需充分考虑市场用工成本、物价指数的变化，核定好服务费用，自担风险，一旦中标，合同执行期间不作任何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1067"/>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10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10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1067"/>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10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rPr>
          <w:rFonts w:hint="eastAsia" w:ascii="宋体" w:hAnsi="宋体" w:eastAsia="宋体" w:cs="宋体"/>
          <w:color w:val="000000"/>
          <w:sz w:val="24"/>
          <w:szCs w:val="24"/>
          <w:highlight w:val="none"/>
        </w:rPr>
      </w:r>
      <w:r/>
    </w:p>
    <w:p>
      <w:pPr>
        <w:pStyle w:val="10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6.2 履约保证金不得转为质量保证金。</w:t>
      </w:r>
      <w:r>
        <w:rPr>
          <w:rFonts w:hint="eastAsia" w:ascii="宋体" w:hAnsi="宋体" w:eastAsia="宋体" w:cs="宋体"/>
          <w:color w:val="000000"/>
          <w:sz w:val="24"/>
          <w:szCs w:val="24"/>
          <w:highlight w:val="none"/>
        </w:rPr>
      </w:r>
      <w:r/>
    </w:p>
    <w:p>
      <w:pPr>
        <w:pStyle w:val="949"/>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949"/>
        <w:ind w:left="408" w:hanging="408"/>
        <w:keepLines w:val="0"/>
        <w:keepNext w:val="0"/>
        <w:pageBreakBefore w:val="0"/>
        <w:spacing w:before="120" w:after="12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.1履约保证金退还方式：</w:t>
      </w:r>
      <w:r>
        <w:rPr>
          <w:rFonts w:hint="eastAsia"/>
          <w:color w:val="000000"/>
          <w:sz w:val="24"/>
          <w:szCs w:val="24"/>
          <w:highlight w:val="none"/>
          <w:lang w:val="en-US" w:eastAsia="zh-CN"/>
        </w:rPr>
        <w:t xml:space="preserve">按</w:t>
      </w:r>
      <w:r>
        <w:rPr>
          <w:rFonts w:hint="eastAsia"/>
          <w:color w:val="000000"/>
          <w:sz w:val="24"/>
          <w:szCs w:val="24"/>
          <w:highlight w:val="none"/>
        </w:rPr>
        <w:t xml:space="preserve">供应商提交方式退还</w:t>
      </w:r>
      <w:r>
        <w:rPr>
          <w:rFonts w:ascii="宋体" w:hAnsi="宋体" w:eastAsia="宋体" w:cs="宋体"/>
          <w:color w:val="000000"/>
          <w:sz w:val="24"/>
          <w:szCs w:val="24"/>
          <w:highlight w:val="none"/>
          <w:lang w:val="en-US" w:eastAsia="zh-CN"/>
        </w:rPr>
      </w:r>
      <w:r/>
    </w:p>
    <w:p>
      <w:pPr>
        <w:pStyle w:val="949"/>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.2履约保证金退还时间：项目履约完毕后，甲方于收到乙方退款申请之日起30个工作日内一次性退还履约保证金</w:t>
      </w:r>
      <w:r>
        <w:rPr>
          <w:rFonts w:hint="eastAsia" w:ascii="宋体" w:hAnsi="宋体" w:eastAsia="宋体" w:cs="宋体"/>
          <w:color w:val="000000"/>
          <w:sz w:val="24"/>
          <w:szCs w:val="24"/>
          <w:highlight w:val="none"/>
        </w:rPr>
      </w:r>
      <w:r/>
    </w:p>
    <w:p>
      <w:pPr>
        <w:pStyle w:val="949"/>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履约保证金退还条件：乙方全部履约合同义务，经甲方验收合格无质量、进度等问题的，项目履约完毕后，甲方于收到乙方退款申请之日起30个工作日内一次性退还履约保证金，甲方若逾期退还履约保证金的，按照逾期部分的每日0.05%支付违约金。</w:t>
      </w:r>
      <w:r>
        <w:rPr>
          <w:rFonts w:hint="eastAsia" w:ascii="宋体" w:hAnsi="宋体" w:eastAsia="宋体" w:cs="宋体"/>
          <w:color w:val="000000"/>
          <w:sz w:val="24"/>
          <w:szCs w:val="24"/>
          <w:highlight w:val="none"/>
        </w:rPr>
      </w:r>
      <w:r/>
    </w:p>
    <w:p>
      <w:pPr>
        <w:pStyle w:val="949"/>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.4履约保证金不予退还的情形：</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b.乙方在履约过程中发生违约行为，给甲方造成损失的，甲方有权在乙方缴纳的履约保证金中予以扣款，以弥补采购单位经济损失，不足的部分乙方另外补齐。</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rPr>
          <w:rFonts w:hint="eastAsia" w:ascii="宋体" w:hAnsi="宋体" w:eastAsia="宋体" w:cs="宋体"/>
          <w:b/>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hint="eastAsia" w:ascii="宋体" w:hAnsi="宋体" w:eastAsia="宋体" w:cs="宋体"/>
          <w:b/>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949"/>
        <w:keepLines w:val="0"/>
        <w:keepNext w:val="0"/>
        <w:pageBreakBefore w:val="0"/>
        <w:spacing w:before="156" w:after="156" w:line="360" w:lineRule="auto"/>
        <w:widowControl w:val="off"/>
        <w:rPr>
          <w:rFonts w:hint="eastAsia" w:ascii="宋体" w:hAnsi="宋体" w:eastAsia="宋体" w:cs="宋体"/>
          <w:color w:val="000000"/>
          <w:highlight w:val="none"/>
          <w:shd w:val="clear" w:color="auto" w:fill="auto"/>
          <w:lang w:eastAsia="zh-CN"/>
        </w:rPr>
      </w:pPr>
      <w:r>
        <w:rPr>
          <w:rFonts w:hint="eastAsia" w:ascii="宋体" w:hAnsi="宋体" w:eastAsia="宋体" w:cs="宋体"/>
          <w:bCs/>
          <w:color w:val="000000"/>
          <w:sz w:val="24"/>
          <w:szCs w:val="24"/>
          <w:highlight w:val="none"/>
        </w:rPr>
        <w:t xml:space="preserve">8.1.1</w:t>
      </w:r>
      <w:r>
        <w:rPr>
          <w:rFonts w:hint="eastAsia" w:ascii="宋体" w:hAnsi="宋体" w:eastAsia="宋体" w:cs="宋体"/>
          <w:bCs/>
          <w:color w:val="000000"/>
          <w:sz w:val="24"/>
          <w:szCs w:val="24"/>
          <w:highlight w:val="none"/>
          <w:shd w:val="clear" w:color="auto" w:fill="auto"/>
        </w:rPr>
        <w:t xml:space="preserve">甲方的付款方式为月付。首付款时间为物业服务运行一整个月后的下一个月20号前，该付款前提为前一个月的考评合格并开具相应服务费税票，以此类推，以后每个月20号前甲方付清上一个月的费用。最后一次含年终考核费用一起支付</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color w:val="000000"/>
          <w:highlight w:val="none"/>
          <w:shd w:val="clear" w:color="auto" w:fill="auto"/>
          <w:lang w:eastAsia="zh-CN"/>
        </w:rPr>
      </w:r>
      <w:r/>
    </w:p>
    <w:p>
      <w:pPr>
        <w:pStyle w:val="949"/>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949"/>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10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hint="eastAsia" w:ascii="宋体" w:hAnsi="宋体" w:eastAsia="宋体" w:cs="宋体"/>
          <w:b/>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hint="eastAsia" w:ascii="宋体" w:hAnsi="宋体" w:eastAsia="宋体" w:cs="宋体"/>
          <w:b/>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hint="eastAsia" w:ascii="宋体" w:hAnsi="宋体" w:eastAsia="宋体" w:cs="宋体"/>
          <w:color w:val="000000"/>
          <w:sz w:val="24"/>
          <w:szCs w:val="24"/>
          <w:highlight w:val="none"/>
        </w:rPr>
      </w:r>
      <w:r/>
    </w:p>
    <w:p>
      <w:pPr>
        <w:pStyle w:val="949"/>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本合同正本一式三份，具有同等法律效力，甲方、乙方及财政监管部门各执一份。</w:t>
      </w:r>
      <w:r>
        <w:rPr>
          <w:rFonts w:hint="eastAsia" w:ascii="宋体" w:hAnsi="宋体" w:eastAsia="宋体" w:cs="宋体"/>
          <w:color w:val="000000"/>
          <w:sz w:val="24"/>
          <w:szCs w:val="24"/>
          <w:highlight w:val="none"/>
        </w:rPr>
      </w:r>
      <w:r/>
    </w:p>
    <w:p>
      <w:pPr>
        <w:pStyle w:val="10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hint="eastAsia" w:ascii="宋体" w:hAnsi="宋体" w:eastAsia="宋体" w:cs="宋体"/>
          <w:color w:val="000000"/>
          <w:sz w:val="24"/>
          <w:szCs w:val="24"/>
          <w:highlight w:val="none"/>
        </w:rPr>
      </w:r>
      <w:r/>
    </w:p>
    <w:p>
      <w:pPr>
        <w:pStyle w:val="10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hint="eastAsia" w:ascii="宋体" w:hAnsi="宋体" w:eastAsia="宋体" w:cs="宋体"/>
          <w:color w:val="000000"/>
          <w:sz w:val="24"/>
          <w:szCs w:val="24"/>
          <w:highlight w:val="none"/>
        </w:rPr>
      </w:r>
      <w:r/>
    </w:p>
    <w:p>
      <w:pPr>
        <w:pStyle w:val="1067"/>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1067"/>
        <w:jc w:val="center"/>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67"/>
        <w:jc w:val="righ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Start w:id="201" w:name="_Hlt16619369"/>
      <w:r/>
      <w:bookmarkEnd w:id="201"/>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w:t>
      </w:r>
      <w:bookmarkEnd w:id="195"/>
      <w:r>
        <w:rPr>
          <w:rFonts w:hint="eastAsia" w:ascii="宋体" w:hAnsi="宋体" w:eastAsia="宋体" w:cs="宋体"/>
          <w:bCs/>
          <w:color w:val="000000"/>
          <w:sz w:val="44"/>
          <w:highlight w:val="none"/>
        </w:rPr>
        <w:t xml:space="preserve">四章 采购需求</w:t>
      </w:r>
      <w:bookmarkEnd w:id="196"/>
      <w:r/>
      <w:bookmarkEnd w:id="197"/>
      <w:r/>
      <w:bookmarkEnd w:id="198"/>
      <w:r>
        <w:rPr>
          <w:rFonts w:hint="eastAsia" w:ascii="宋体" w:hAnsi="宋体" w:eastAsia="宋体" w:cs="宋体"/>
          <w:color w:val="000000"/>
          <w:sz w:val="24"/>
          <w:szCs w:val="24"/>
          <w:highlight w:val="none"/>
        </w:rPr>
      </w:r>
      <w:r/>
    </w:p>
    <w:p>
      <w:pPr>
        <w:pStyle w:val="949"/>
        <w:ind w:firstLine="480"/>
        <w:spacing w:line="520" w:lineRule="exact"/>
        <w:rPr>
          <w:rFonts w:hint="eastAsia" w:ascii="宋体" w:hAnsi="宋体" w:eastAsia="宋体" w:cs="宋体"/>
          <w:color w:val="000000"/>
          <w:sz w:val="24"/>
          <w:szCs w:val="24"/>
          <w:highlight w:val="none"/>
        </w:rPr>
      </w:pPr>
      <w:r/>
      <w:bookmarkStart w:id="202" w:name="_Toc49090575"/>
      <w:r/>
      <w:bookmarkStart w:id="203"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rPr>
      </w:r>
      <w:r/>
    </w:p>
    <w:p>
      <w:pPr>
        <w:pStyle w:val="949"/>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949"/>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693" w:type="dxa"/>
            <w:vAlign w:val="center"/>
            <w:textDirection w:val="lrTb"/>
            <w:noWrap/>
          </w:tcPr>
          <w:p>
            <w:pPr>
              <w:pStyle w:val="949"/>
              <w:ind w:firstLine="60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4610" w:type="dxa"/>
            <w:vAlign w:val="center"/>
            <w:textDirection w:val="lrTb"/>
            <w:noWrap/>
          </w:tcPr>
          <w:p>
            <w:pPr>
              <w:pStyle w:val="949"/>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291"/>
        </w:trPr>
        <w:tc>
          <w:tcPr>
            <w:tcW w:w="902" w:type="dxa"/>
            <w:vAlign w:val="center"/>
            <w:textDirection w:val="lrTb"/>
            <w:noWrap/>
          </w:tcPr>
          <w:p>
            <w:pPr>
              <w:pStyle w:val="949"/>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693" w:type="dxa"/>
            <w:vAlign w:val="center"/>
            <w:textDirection w:val="lrTb"/>
            <w:noWrap/>
          </w:tcPr>
          <w:p>
            <w:pPr>
              <w:pStyle w:val="949"/>
              <w:jc w:val="center"/>
              <w:spacing w:line="520" w:lineRule="exact"/>
              <w:tabs>
                <w:tab w:val="left" w:pos="20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南通市崇川区狼山街道社区卫生服务中心物业服务项目</w:t>
            </w:r>
            <w:r>
              <w:rPr>
                <w:rFonts w:hint="eastAsia" w:ascii="宋体" w:hAnsi="宋体" w:eastAsia="宋体" w:cs="宋体"/>
                <w:color w:val="000000"/>
                <w:sz w:val="24"/>
                <w:szCs w:val="24"/>
                <w:highlight w:val="none"/>
                <w:lang w:val="en-US" w:eastAsia="zh-CN"/>
              </w:rPr>
            </w:r>
            <w:r/>
          </w:p>
        </w:tc>
        <w:tc>
          <w:tcPr>
            <w:tcW w:w="4610" w:type="dxa"/>
            <w:vAlign w:val="center"/>
            <w:textDirection w:val="lrTb"/>
            <w:noWrap/>
          </w:tcPr>
          <w:p>
            <w:pPr>
              <w:pStyle w:val="949"/>
              <w:ind w:firstLine="60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r>
    </w:tbl>
    <w:p>
      <w:pPr>
        <w:pStyle w:val="949"/>
        <w:ind w:firstLine="562"/>
        <w:keepLines w:val="0"/>
        <w:keepNext w:val="0"/>
        <w:pageBreakBefore w:val="0"/>
        <w:spacing w:before="146" w:line="0" w:lineRule="atLeast"/>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8"/>
          <w:szCs w:val="28"/>
          <w:highlight w:val="none"/>
        </w:rPr>
        <w:t xml:space="preserve">二</w:t>
      </w:r>
      <w:r>
        <w:rPr>
          <w:rFonts w:hint="eastAsia" w:ascii="宋体" w:hAnsi="宋体" w:eastAsia="宋体" w:cs="宋体"/>
          <w:b/>
          <w:bCs w:val="0"/>
          <w:color w:val="000000"/>
          <w:sz w:val="28"/>
          <w:szCs w:val="28"/>
          <w:highlight w:val="none"/>
        </w:rPr>
        <w:t xml:space="preserve">、政府采购中实施本国产品标准及相关政策</w:t>
      </w:r>
      <w:r>
        <w:rPr>
          <w:rFonts w:hint="eastAsia" w:ascii="宋体" w:hAnsi="宋体" w:eastAsia="宋体" w:cs="宋体"/>
          <w:bCs/>
          <w:color w:val="000000"/>
          <w:sz w:val="24"/>
          <w:szCs w:val="24"/>
          <w:highlight w:val="none"/>
        </w:rPr>
      </w:r>
      <w:r/>
    </w:p>
    <w:p>
      <w:pPr>
        <w:pStyle w:val="949"/>
        <w:ind w:firstLine="480"/>
        <w:keepLines w:val="0"/>
        <w:keepNext w:val="0"/>
        <w:pageBreakBefore w:val="0"/>
        <w:spacing w:before="146"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949"/>
        <w:ind w:firstLine="480"/>
        <w:keepLines w:val="0"/>
        <w:keepNext w:val="0"/>
        <w:pageBreakBefore w:val="0"/>
        <w:spacing w:before="146"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949"/>
        <w:ind w:firstLine="480"/>
        <w:keepLines w:val="0"/>
        <w:keepNext w:val="0"/>
        <w:pageBreakBefore w:val="0"/>
        <w:spacing w:before="146"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 w:val="28"/>
          <w:szCs w:val="28"/>
          <w:highlight w:val="none"/>
        </w:rPr>
      </w:r>
      <w:r/>
    </w:p>
    <w:p>
      <w:pPr>
        <w:pStyle w:val="949"/>
        <w:ind w:firstLine="562"/>
        <w:keepLines w:val="0"/>
        <w:keepNext w:val="0"/>
        <w:pageBreakBefore w:val="0"/>
        <w:spacing w:before="146" w:line="0" w:lineRule="atLeas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949"/>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949"/>
        <w:numPr>
          <w:ilvl w:val="0"/>
          <w:numId w:val="7"/>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94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为提升医院服务形象，充分利用社会资源提供强有力的后勤服务保障，为病员创造舒适、安全、整洁、便捷的医疗环境，实现安全、优质、高效、低耗的后勤社会化和专业化目标，南通市崇川区狼山街道社区卫生服务中心现就物业服务项目对社会公开采购招标。</w:t>
      </w:r>
      <w:r>
        <w:rPr>
          <w:rFonts w:hint="eastAsia" w:ascii="宋体" w:hAnsi="宋体" w:eastAsia="宋体" w:cs="宋体"/>
          <w:bCs/>
          <w:color w:val="000000"/>
          <w:sz w:val="24"/>
          <w:szCs w:val="24"/>
          <w:highlight w:val="none"/>
          <w:lang w:val="en-US" w:eastAsia="zh-CN"/>
        </w:rPr>
      </w:r>
      <w:r/>
    </w:p>
    <w:p>
      <w:pPr>
        <w:pStyle w:val="94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服务内容包括：环境卫生保洁、运送服务、医疗辅助、医疗废物和生活垃圾收集及转运、电梯操作、后勤保障服务、地面养护等物业服务。具体需求详见招标文件。</w:t>
      </w:r>
      <w:r>
        <w:rPr>
          <w:rFonts w:hint="eastAsia" w:ascii="宋体" w:hAnsi="宋体" w:eastAsia="宋体" w:cs="宋体"/>
          <w:bCs/>
          <w:color w:val="000000"/>
          <w:sz w:val="24"/>
          <w:szCs w:val="24"/>
          <w:highlight w:val="none"/>
          <w:lang w:val="en-US" w:eastAsia="zh-CN"/>
        </w:rPr>
      </w:r>
      <w:r/>
    </w:p>
    <w:p>
      <w:pPr>
        <w:pStyle w:val="949"/>
        <w:ind w:firstLine="601"/>
        <w:keepLines w:val="0"/>
        <w:keepNext w:val="0"/>
        <w:pageBreakBefore w:val="0"/>
        <w:spacing w:line="420" w:lineRule="exact"/>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招标文</w:t>
      </w:r>
      <w:r>
        <w:rPr>
          <w:rFonts w:hint="eastAsia" w:ascii="宋体" w:hAnsi="宋体" w:eastAsia="宋体" w:cs="宋体"/>
          <w:bCs/>
          <w:color w:val="000000"/>
          <w:sz w:val="24"/>
          <w:szCs w:val="24"/>
          <w:highlight w:val="none"/>
          <w:lang w:val="en-US" w:eastAsia="zh-CN"/>
        </w:rPr>
        <w:t xml:space="preserve">件所提供的项目相关数据仅做参考，根据自身需要，投标人可在投标文件递交之日前对有关现场和周围环境进行勘察。勘察时间：工作日上午8:00-11:30，下午13:30-16:30；联系人：陈老师，联系电话：15365553735。以获取编制投标文件和签署合同所需的信息。勘察现场所发生的费用由投标人自己承担。在现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r>
        <w:rPr>
          <w:rFonts w:hint="eastAsia" w:ascii="宋体" w:hAnsi="宋体" w:eastAsia="宋体" w:cs="宋体"/>
          <w:caps/>
          <w:color w:val="000000"/>
          <w:sz w:val="24"/>
          <w:szCs w:val="24"/>
          <w:highlight w:val="none"/>
          <w:lang w:val="en-US" w:eastAsia="zh-CN" w:bidi="ar-SA"/>
        </w:rPr>
      </w:r>
      <w:r/>
    </w:p>
    <w:p>
      <w:pPr>
        <w:pStyle w:val="94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949"/>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949"/>
        <w:ind w:firstLine="601"/>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highlight w:val="none"/>
          <w:lang w:val="en-US" w:eastAsia="zh-CN"/>
        </w:rPr>
      </w:r>
      <w:r/>
    </w:p>
    <w:p>
      <w:pPr>
        <w:pStyle w:val="949"/>
        <w:numPr>
          <w:ilvl w:val="0"/>
          <w:numId w:val="7"/>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aps w:val="0"/>
          <w:color w:val="000000"/>
          <w:sz w:val="28"/>
          <w:szCs w:val="28"/>
          <w:highlight w:val="none"/>
          <w:lang w:val="en-US" w:eastAsia="zh-CN" w:bidi="ar-SA"/>
        </w:rPr>
      </w:r>
      <w:r/>
    </w:p>
    <w:p>
      <w:pPr>
        <w:pStyle w:val="949"/>
        <w:numPr>
          <w:ilvl w:val="0"/>
          <w:numId w:val="0"/>
        </w:numPr>
        <w:ind w:left="601"/>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《医院感染管理办法》卫生部令第48号；</w:t>
      </w:r>
      <w:r>
        <w:rPr>
          <w:rFonts w:hint="eastAsia" w:ascii="宋体" w:hAnsi="宋体" w:eastAsia="宋体" w:cs="宋体"/>
          <w:caps/>
          <w:color w:val="000000"/>
          <w:sz w:val="24"/>
          <w:szCs w:val="24"/>
          <w:highlight w:val="none"/>
          <w:lang w:val="en-US" w:eastAsia="zh-CN" w:bidi="ar-SA"/>
        </w:rPr>
      </w:r>
      <w:r/>
    </w:p>
    <w:p>
      <w:pPr>
        <w:pStyle w:val="949"/>
        <w:numPr>
          <w:ilvl w:val="0"/>
          <w:numId w:val="0"/>
        </w:numPr>
        <w:ind w:left="601"/>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《医疗废物管理条例》中华人民共和国国务院令第380号；</w:t>
      </w:r>
      <w:r>
        <w:rPr>
          <w:rFonts w:hint="eastAsia" w:ascii="宋体" w:hAnsi="宋体" w:eastAsia="宋体" w:cs="宋体"/>
          <w:caps/>
          <w:color w:val="000000"/>
          <w:sz w:val="24"/>
          <w:szCs w:val="24"/>
          <w:highlight w:val="none"/>
          <w:lang w:val="en-US" w:eastAsia="zh-CN" w:bidi="ar-SA"/>
        </w:rPr>
      </w:r>
      <w:r/>
    </w:p>
    <w:p>
      <w:pPr>
        <w:pStyle w:val="949"/>
        <w:numPr>
          <w:ilvl w:val="0"/>
          <w:numId w:val="0"/>
        </w:numPr>
        <w:ind w:left="601"/>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《医疗机构环境表面清洁消毒技术规范》WS/T512-2016；</w:t>
      </w:r>
      <w:r>
        <w:rPr>
          <w:rFonts w:hint="eastAsia" w:ascii="宋体" w:hAnsi="宋体" w:eastAsia="宋体" w:cs="宋体"/>
          <w:caps/>
          <w:color w:val="000000"/>
          <w:sz w:val="24"/>
          <w:szCs w:val="24"/>
          <w:highlight w:val="none"/>
          <w:lang w:val="en-US" w:eastAsia="zh-CN" w:bidi="ar-SA"/>
        </w:rPr>
      </w:r>
      <w:r/>
    </w:p>
    <w:p>
      <w:pPr>
        <w:pStyle w:val="949"/>
        <w:numPr>
          <w:ilvl w:val="0"/>
          <w:numId w:val="0"/>
        </w:numPr>
        <w:ind w:left="601"/>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《医疗机构环境卫生表面清洁与消毒隔离规范》WS/T512-2016</w:t>
      </w:r>
      <w:r>
        <w:rPr>
          <w:rFonts w:hint="eastAsia" w:ascii="宋体" w:hAnsi="宋体" w:eastAsia="宋体" w:cs="宋体"/>
          <w:caps/>
          <w:color w:val="000000"/>
          <w:sz w:val="24"/>
          <w:szCs w:val="24"/>
          <w:highlight w:val="none"/>
          <w:lang w:val="en-US" w:eastAsia="zh-CN" w:bidi="ar-SA"/>
        </w:rPr>
      </w:r>
      <w:r/>
    </w:p>
    <w:p>
      <w:pPr>
        <w:pStyle w:val="949"/>
        <w:numPr>
          <w:ilvl w:val="0"/>
          <w:numId w:val="0"/>
        </w:numPr>
        <w:ind w:left="601"/>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《医院医用织物消毒技术规范》WST508-2016；</w:t>
      </w:r>
      <w:r>
        <w:rPr>
          <w:rFonts w:hint="eastAsia" w:ascii="宋体" w:hAnsi="宋体" w:eastAsia="宋体" w:cs="宋体"/>
          <w:caps/>
          <w:color w:val="000000"/>
          <w:sz w:val="24"/>
          <w:szCs w:val="24"/>
          <w:highlight w:val="none"/>
          <w:lang w:val="en-US" w:eastAsia="zh-CN" w:bidi="ar-SA"/>
        </w:rPr>
      </w:r>
      <w:r/>
    </w:p>
    <w:p>
      <w:pPr>
        <w:pStyle w:val="949"/>
        <w:numPr>
          <w:ilvl w:val="0"/>
          <w:numId w:val="7"/>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949"/>
        <w:keepLines/>
        <w:keepNext/>
        <w:spacing w:before="145"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项目基本情况</w:t>
      </w:r>
      <w:r>
        <w:rPr>
          <w:rFonts w:hint="eastAsia" w:ascii="宋体" w:hAnsi="宋体" w:eastAsia="宋体" w:cs="宋体"/>
          <w:b/>
          <w:bCs/>
          <w:color w:val="000000"/>
          <w:sz w:val="24"/>
          <w:szCs w:val="24"/>
          <w:highlight w:val="none"/>
        </w:rPr>
      </w:r>
      <w:r/>
    </w:p>
    <w:p>
      <w:pPr>
        <w:pStyle w:val="949"/>
        <w:numPr>
          <w:ilvl w:val="0"/>
          <w:numId w:val="0"/>
        </w:numPr>
        <w:ind w:left="21" w:firstLine="39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江苏省南通市崇川区城山路202号崇川区狼山街道社区卫生服务中心采购物业管理服务，建筑面积13000平方米，南出入口1个、北出入口个。</w:t>
      </w:r>
      <w:r>
        <w:rPr>
          <w:rFonts w:hint="eastAsia" w:ascii="宋体" w:hAnsi="宋体" w:cs="宋体"/>
          <w:color w:val="000000"/>
          <w:sz w:val="24"/>
          <w:szCs w:val="24"/>
          <w:highlight w:val="none"/>
        </w:rPr>
      </w:r>
      <w:r/>
    </w:p>
    <w:p>
      <w:pPr>
        <w:pStyle w:val="952"/>
        <w:rPr>
          <w:rFonts w:hint="eastAsia" w:ascii="宋体" w:hAnsi="宋体" w:cs="宋体"/>
          <w:color w:val="000000"/>
          <w:sz w:val="24"/>
          <w:szCs w:val="24"/>
          <w:highlight w:val="none"/>
        </w:rPr>
      </w:pPr>
      <w:r>
        <w:rPr>
          <w:rFonts w:ascii="宋体" w:hAnsi="宋体" w:cs="宋体"/>
          <w:color w:val="000000"/>
          <w:sz w:val="24"/>
          <w:szCs w:val="24"/>
          <w:highlight w:val="none"/>
        </w:rPr>
        <w:t xml:space="preserve">1.1物业情况</w:t>
      </w:r>
      <w:r>
        <w:rPr>
          <w:rFonts w:hint="eastAsia" w:ascii="宋体" w:hAnsi="宋体" w:cs="宋体"/>
          <w:color w:val="000000"/>
          <w:sz w:val="24"/>
          <w:szCs w:val="24"/>
          <w:highlight w:val="none"/>
        </w:rPr>
      </w:r>
      <w:r/>
    </w:p>
    <w:tbl>
      <w:tblPr>
        <w:tblW w:w="4279" w:type="pct"/>
        <w:jc w:val="center"/>
        <w:tblInd w:w="-1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1"/>
        <w:gridCol w:w="4026"/>
      </w:tblGrid>
      <w:tr>
        <w:trPr>
          <w:trHeight w:val="454"/>
        </w:trPr>
        <w:tc>
          <w:tcPr>
            <w:tcW w:w="3821" w:type="dxa"/>
            <w:vAlign w:val="center"/>
            <w:textDirection w:val="lrTb"/>
            <w:noWrap w:val="false"/>
          </w:tcPr>
          <w:p>
            <w:pPr>
              <w:pStyle w:val="949"/>
              <w:spacing w:line="300" w:lineRule="auto"/>
              <w:rPr>
                <w:rFonts w:ascii="Calibri" w:hAnsi="Calibri" w:cs="Calibri"/>
                <w:color w:val="000000"/>
                <w:highlight w:val="none"/>
              </w:rPr>
            </w:pPr>
            <w:r>
              <w:rPr>
                <w:rFonts w:ascii="Calibri" w:hAnsi="Calibri" w:cs="Calibri"/>
                <w:color w:val="000000"/>
                <w:highlight w:val="none"/>
              </w:rPr>
              <w:t xml:space="preserve">物业名称</w:t>
            </w:r>
            <w:r>
              <w:rPr>
                <w:rFonts w:ascii="Calibri" w:hAnsi="Calibri" w:cs="Calibri"/>
                <w:color w:val="000000"/>
                <w:highlight w:val="none"/>
              </w:rPr>
            </w:r>
            <w:r/>
          </w:p>
        </w:tc>
        <w:tc>
          <w:tcPr>
            <w:tcW w:w="4026" w:type="dxa"/>
            <w:vAlign w:val="center"/>
            <w:textDirection w:val="lrTb"/>
            <w:noWrap w:val="false"/>
          </w:tcPr>
          <w:p>
            <w:pPr>
              <w:pStyle w:val="949"/>
              <w:spacing w:line="300" w:lineRule="auto"/>
              <w:rPr>
                <w:rFonts w:ascii="Calibri" w:hAnsi="Calibri" w:cs="Calibri"/>
                <w:color w:val="000000"/>
                <w:highlight w:val="none"/>
              </w:rPr>
            </w:pPr>
            <w:r>
              <w:rPr>
                <w:rFonts w:ascii="Calibri" w:hAnsi="Calibri" w:cs="Calibri"/>
                <w:color w:val="000000"/>
                <w:highlight w:val="none"/>
              </w:rPr>
              <w:t xml:space="preserve">物业地址</w:t>
            </w:r>
            <w:r>
              <w:rPr>
                <w:rFonts w:ascii="Calibri" w:hAnsi="Calibri" w:cs="Calibri"/>
                <w:color w:val="000000"/>
                <w:highlight w:val="none"/>
              </w:rPr>
            </w:r>
            <w:r/>
          </w:p>
        </w:tc>
      </w:tr>
      <w:tr>
        <w:trPr>
          <w:trHeight w:val="454"/>
        </w:trPr>
        <w:tc>
          <w:tcPr>
            <w:tcW w:w="3821" w:type="dxa"/>
            <w:vAlign w:val="center"/>
            <w:textDirection w:val="lrTb"/>
            <w:noWrap w:val="false"/>
          </w:tcPr>
          <w:p>
            <w:pPr>
              <w:pStyle w:val="949"/>
              <w:spacing w:line="300" w:lineRule="auto"/>
              <w:rPr>
                <w:rFonts w:hint="eastAsia" w:ascii="Calibri" w:hAnsi="Calibri" w:cs="Calibri"/>
                <w:color w:val="000000"/>
                <w:highlight w:val="none"/>
              </w:rPr>
            </w:pPr>
            <w:r>
              <w:rPr>
                <w:rFonts w:hint="eastAsia" w:ascii="Times New Roman" w:hAnsi="宋体" w:eastAsia="宋体" w:cs="宋体"/>
                <w:color w:val="000000"/>
                <w:sz w:val="24"/>
                <w:szCs w:val="24"/>
                <w:highlight w:val="none"/>
              </w:rPr>
              <w:t xml:space="preserve">崇</w:t>
            </w:r>
            <w:r>
              <w:rPr>
                <w:rFonts w:hint="eastAsia" w:hAnsi="宋体" w:cs="宋体"/>
                <w:color w:val="000000"/>
                <w:sz w:val="24"/>
                <w:szCs w:val="24"/>
                <w:highlight w:val="none"/>
              </w:rPr>
              <w:t xml:space="preserve">川区</w:t>
            </w:r>
            <w:r>
              <w:rPr>
                <w:rFonts w:hint="eastAsia" w:hAnsi="宋体" w:cs="宋体"/>
                <w:color w:val="000000"/>
                <w:sz w:val="24"/>
                <w:szCs w:val="24"/>
                <w:highlight w:val="none"/>
                <w:lang w:val="en-US" w:eastAsia="zh-CN"/>
              </w:rPr>
              <w:t xml:space="preserve">狼山街道社区卫生服务中心</w:t>
            </w:r>
            <w:r>
              <w:rPr>
                <w:rFonts w:hint="eastAsia" w:ascii="Calibri" w:hAnsi="Calibri" w:cs="Calibri"/>
                <w:color w:val="000000"/>
                <w:highlight w:val="none"/>
              </w:rPr>
            </w:r>
            <w:r/>
          </w:p>
        </w:tc>
        <w:tc>
          <w:tcPr>
            <w:tcW w:w="4026" w:type="dxa"/>
            <w:vAlign w:val="center"/>
            <w:textDirection w:val="lrTb"/>
            <w:noWrap w:val="false"/>
          </w:tcPr>
          <w:p>
            <w:pPr>
              <w:pStyle w:val="949"/>
              <w:spacing w:line="300" w:lineRule="auto"/>
              <w:rPr>
                <w:rFonts w:hint="eastAsia" w:ascii="Calibri" w:hAnsi="Calibri" w:cs="Calibri"/>
                <w:color w:val="000000"/>
                <w:highlight w:val="none"/>
              </w:rPr>
            </w:pPr>
            <w:r>
              <w:rPr>
                <w:rFonts w:hint="eastAsia" w:ascii="Times New Roman" w:hAnsi="宋体" w:eastAsia="宋体" w:cs="宋体"/>
                <w:color w:val="000000"/>
                <w:sz w:val="24"/>
                <w:szCs w:val="24"/>
                <w:highlight w:val="none"/>
                <w:lang w:val="en-US" w:eastAsia="zh-CN"/>
              </w:rPr>
              <w:t xml:space="preserve">江苏省南通市崇川区城山路202号</w:t>
            </w:r>
            <w:r>
              <w:rPr>
                <w:rFonts w:hint="eastAsia" w:ascii="Calibri" w:hAnsi="Calibri" w:cs="Calibri"/>
                <w:color w:val="000000"/>
                <w:highlight w:val="none"/>
              </w:rPr>
            </w:r>
            <w:r/>
          </w:p>
        </w:tc>
      </w:tr>
    </w:tbl>
    <w:p>
      <w:pPr>
        <w:pStyle w:val="95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1.2采购人提供供应商使用的场地、设施、设备、材料等（结合“4.供应商履行合同所需的设备”、“6.需要说明的其他事项”统筹考虑）</w:t>
      </w:r>
      <w:r>
        <w:rPr>
          <w:rFonts w:hint="eastAsia" w:ascii="宋体" w:hAnsi="宋体" w:cs="宋体"/>
          <w:color w:val="000000"/>
          <w:sz w:val="24"/>
          <w:szCs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（1）采购人提供办公室1间面积20㎡；</w:t>
      </w:r>
      <w:r>
        <w:rPr>
          <w:rFonts w:hint="eastAsia" w:ascii="宋体" w:hAnsi="宋体" w:cs="宋体"/>
          <w:color w:val="000000"/>
          <w:sz w:val="24"/>
          <w:szCs w:val="24"/>
          <w:highlight w:val="none"/>
        </w:rPr>
      </w:r>
      <w:r/>
    </w:p>
    <w:p>
      <w:pPr>
        <w:pStyle w:val="94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（2）采购人提供日常零星维修耗材，包含如灯泡、灯管、门锁、水龙头、建筑材料等日常耗材，供配电系统、给排水系统、中央空调系统、电梯系统、消防系统、监控会议系统等维修材料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（3）采购人提供食堂就餐，但餐费由供应商自理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注：本项目涉及维修、维护、养护服务由供应商承担，服务费用包含在物业服务项目合同金额之内。</w:t>
      </w:r>
      <w:r>
        <w:rPr>
          <w:rFonts w:hint="eastAsia" w:ascii="宋体" w:hAnsi="宋体" w:cs="宋体"/>
          <w:color w:val="000000"/>
          <w:sz w:val="24"/>
          <w:szCs w:val="24"/>
          <w:highlight w:val="none"/>
        </w:rPr>
      </w:r>
      <w:r/>
    </w:p>
    <w:p>
      <w:pPr>
        <w:pStyle w:val="949"/>
        <w:keepLines/>
        <w:keepNext/>
        <w:spacing w:before="145"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2.物业服务范围</w:t>
      </w:r>
      <w:r>
        <w:rPr>
          <w:rFonts w:hint="eastAsia" w:ascii="宋体" w:hAnsi="宋体" w:eastAsia="宋体" w:cs="宋体"/>
          <w:b/>
          <w:bCs/>
          <w:color w:val="000000"/>
          <w:sz w:val="24"/>
          <w:szCs w:val="24"/>
          <w:highlight w:val="none"/>
          <w:lang w:val="en-US" w:eastAsia="zh-CN"/>
        </w:rPr>
      </w:r>
      <w:r/>
    </w:p>
    <w:p>
      <w:pPr>
        <w:pStyle w:val="94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（1）物业管理（建筑物）</w:t>
      </w:r>
      <w:r>
        <w:rPr>
          <w:rFonts w:hint="eastAsia" w:ascii="宋体" w:hAnsi="宋体" w:cs="宋体"/>
          <w:b/>
          <w:bCs/>
          <w:color w:val="000000"/>
          <w:sz w:val="24"/>
          <w:szCs w:val="24"/>
          <w:highlight w:val="none"/>
        </w:rPr>
      </w:r>
      <w:r/>
    </w:p>
    <w:tbl>
      <w:tblPr>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797"/>
        <w:gridCol w:w="4005"/>
        <w:gridCol w:w="2559"/>
      </w:tblGrid>
      <w:tr>
        <w:trPr>
          <w:trHeight w:val="454"/>
        </w:trPr>
        <w:tc>
          <w:tcPr>
            <w:gridSpan w:val="2"/>
            <w:tcW w:w="259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名称</w:t>
            </w:r>
            <w:r>
              <w:rPr>
                <w:rFonts w:hint="eastAsia" w:ascii="宋体" w:hAnsi="宋体" w:cs="宋体"/>
                <w:b/>
                <w:bCs/>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明细</w:t>
            </w:r>
            <w:r>
              <w:rPr>
                <w:rFonts w:hint="eastAsia" w:ascii="宋体" w:hAnsi="宋体" w:cs="宋体"/>
                <w:b/>
                <w:bCs/>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服务内容及标准</w:t>
            </w:r>
            <w:r>
              <w:rPr>
                <w:rFonts w:hint="eastAsia" w:ascii="宋体" w:hAnsi="宋体" w:cs="宋体"/>
                <w:b/>
                <w:bCs/>
                <w:color w:val="000000"/>
                <w:sz w:val="24"/>
                <w:szCs w:val="24"/>
                <w:highlight w:val="none"/>
              </w:rPr>
            </w:r>
            <w:r/>
          </w:p>
        </w:tc>
      </w:tr>
      <w:tr>
        <w:trPr>
          <w:trHeight w:val="454"/>
        </w:trPr>
        <w:tc>
          <w:tcPr>
            <w:gridSpan w:val="2"/>
            <w:tcW w:w="259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建筑名称</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办公楼</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总面积</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建筑面积（㎡）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13000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含地下室</w:t>
            </w:r>
            <w:r>
              <w:rPr>
                <w:rFonts w:hint="eastAsia" w:ascii="宋体" w:hAnsi="宋体" w:cs="宋体"/>
                <w:color w:val="000000"/>
                <w:sz w:val="24"/>
                <w:szCs w:val="24"/>
                <w:highlight w:val="none"/>
                <w:lang w:val="en-US" w:eastAsia="zh-CN"/>
              </w:rPr>
              <w:t xml:space="preserve">7000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保安服务”</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需保洁面积（㎡）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20000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798"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门窗</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门窗总数量（个）及总面积（㎡）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门:</w:t>
            </w:r>
            <w:r>
              <w:rPr>
                <w:rFonts w:hint="eastAsia" w:ascii="宋体" w:hAnsi="宋体" w:cs="宋体"/>
                <w:color w:val="000000"/>
                <w:sz w:val="24"/>
                <w:szCs w:val="24"/>
                <w:highlight w:val="none"/>
                <w:lang w:val="en-US" w:eastAsia="zh-CN"/>
              </w:rPr>
              <w:t xml:space="preserve">214</w:t>
            </w:r>
            <w:r>
              <w:rPr>
                <w:rFonts w:hint="eastAsia" w:ascii="宋体" w:hAnsi="宋体" w:cs="宋体"/>
                <w:color w:val="000000"/>
                <w:sz w:val="24"/>
                <w:szCs w:val="24"/>
                <w:highlight w:val="none"/>
              </w:rPr>
              <w:t xml:space="preserve">套 总面积：</w:t>
            </w:r>
            <w:r>
              <w:rPr>
                <w:rFonts w:hint="eastAsia" w:ascii="宋体" w:hAnsi="宋体" w:cs="宋体"/>
                <w:color w:val="000000"/>
                <w:sz w:val="24"/>
                <w:szCs w:val="24"/>
                <w:highlight w:val="none"/>
                <w:lang w:val="en-US" w:eastAsia="zh-CN"/>
              </w:rPr>
              <w:t xml:space="preserve">443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铝合金门</w:t>
            </w:r>
            <w:r>
              <w:rPr>
                <w:rFonts w:hint="eastAsia" w:ascii="宋体" w:hAnsi="宋体" w:eastAsia="宋体" w:cs="宋体"/>
                <w:color w:val="000000"/>
                <w:sz w:val="24"/>
                <w:szCs w:val="24"/>
                <w:highlight w:val="none"/>
              </w:rPr>
              <w:t xml:space="preserve">窗：</w:t>
            </w:r>
            <w:r>
              <w:rPr>
                <w:rFonts w:hint="eastAsia" w:ascii="宋体" w:hAnsi="宋体" w:eastAsia="宋体" w:cs="宋体"/>
                <w:color w:val="000000"/>
                <w:sz w:val="24"/>
                <w:szCs w:val="24"/>
                <w:highlight w:val="none"/>
                <w:lang w:val="en-US" w:eastAsia="zh-CN"/>
              </w:rPr>
              <w:t xml:space="preserve">367</w:t>
            </w:r>
            <w:r>
              <w:rPr>
                <w:rFonts w:hint="eastAsia" w:ascii="宋体" w:hAnsi="宋体" w:eastAsia="宋体" w:cs="宋体"/>
                <w:color w:val="000000"/>
                <w:sz w:val="24"/>
                <w:szCs w:val="24"/>
                <w:highlight w:val="none"/>
              </w:rPr>
              <w:t xml:space="preserve">个 总面积：2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见“3.2房屋维护服务”“3.4保洁服务”</w:t>
            </w:r>
            <w:r>
              <w:rPr>
                <w:rFonts w:hint="eastAsia" w:ascii="宋体" w:hAnsi="宋体" w:cs="宋体"/>
                <w:color w:val="000000"/>
                <w:sz w:val="24"/>
                <w:szCs w:val="24"/>
                <w:highlight w:val="none"/>
              </w:rPr>
            </w:r>
            <w:r/>
          </w:p>
        </w:tc>
      </w:tr>
      <w:tr>
        <w:trPr>
          <w:trHeight w:val="454"/>
        </w:trPr>
        <w:tc>
          <w:tcPr>
            <w:tcW w:w="798"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地面</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地面各材质及总面积（㎡）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地砖</w:t>
            </w:r>
            <w:r>
              <w:rPr>
                <w:rFonts w:hint="eastAsia" w:ascii="宋体" w:hAnsi="宋体" w:cs="宋体"/>
                <w:color w:val="000000"/>
                <w:sz w:val="24"/>
                <w:szCs w:val="24"/>
                <w:highlight w:val="none"/>
                <w:lang w:val="en-US" w:eastAsia="zh-CN"/>
              </w:rPr>
              <w:t xml:space="preserve">地面</w:t>
            </w:r>
            <w:r>
              <w:rPr>
                <w:rFonts w:hint="eastAsia" w:ascii="宋体" w:hAnsi="宋体" w:cs="宋体"/>
                <w:color w:val="000000"/>
                <w:sz w:val="24"/>
                <w:szCs w:val="24"/>
                <w:highlight w:val="none"/>
              </w:rPr>
              <w:t xml:space="preserve">，总面积</w:t>
            </w:r>
            <w:r>
              <w:rPr>
                <w:rFonts w:hint="eastAsia" w:ascii="宋体" w:hAnsi="宋体" w:cs="宋体"/>
                <w:color w:val="000000"/>
                <w:sz w:val="24"/>
                <w:szCs w:val="24"/>
                <w:highlight w:val="none"/>
                <w:lang w:val="en-US" w:eastAsia="zh-CN"/>
              </w:rPr>
              <w:t xml:space="preserve">66</w:t>
            </w:r>
            <w:r>
              <w:rPr>
                <w:rFonts w:hint="eastAsia" w:ascii="宋体" w:hAnsi="宋体" w:cs="宋体"/>
                <w:color w:val="000000"/>
                <w:sz w:val="24"/>
                <w:szCs w:val="24"/>
                <w:highlight w:val="none"/>
              </w:rPr>
              <w:t xml:space="preserve">00㎡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地胶地面,</w:t>
            </w:r>
            <w:r>
              <w:rPr>
                <w:rFonts w:hint="eastAsia" w:ascii="宋体" w:hAnsi="宋体" w:cs="宋体"/>
                <w:color w:val="000000"/>
                <w:sz w:val="24"/>
                <w:szCs w:val="24"/>
                <w:highlight w:val="none"/>
              </w:rPr>
              <w:t xml:space="preserve">总面积</w:t>
            </w:r>
            <w:r>
              <w:rPr>
                <w:rFonts w:hint="eastAsia" w:ascii="宋体" w:hAnsi="宋体" w:cs="宋体"/>
                <w:color w:val="000000"/>
                <w:sz w:val="24"/>
                <w:szCs w:val="24"/>
                <w:highlight w:val="none"/>
                <w:lang w:val="en-US" w:eastAsia="zh-CN"/>
              </w:rPr>
              <w:t xml:space="preserve">3200</w:t>
            </w:r>
            <w:r>
              <w:rPr>
                <w:rFonts w:hint="eastAsia" w:ascii="宋体" w:hAnsi="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见“3.2房屋维护服务”“3.4保洁服务”</w:t>
            </w:r>
            <w:r>
              <w:rPr>
                <w:rFonts w:hint="eastAsia" w:ascii="宋体" w:hAnsi="宋体" w:cs="宋体"/>
                <w:color w:val="000000"/>
                <w:sz w:val="24"/>
                <w:szCs w:val="24"/>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会议室</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室内设施说明</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地砖及地胶</w:t>
            </w:r>
            <w:r>
              <w:rPr>
                <w:rFonts w:hint="eastAsia" w:ascii="宋体" w:hAnsi="宋体" w:cs="宋体"/>
                <w:color w:val="000000"/>
                <w:sz w:val="24"/>
                <w:szCs w:val="24"/>
                <w:highlight w:val="none"/>
              </w:rPr>
              <w:t xml:space="preserve">地面、桌椅、音响、</w:t>
            </w:r>
            <w:r>
              <w:rPr>
                <w:rFonts w:hint="eastAsia" w:ascii="宋体" w:hAnsi="宋体" w:cs="宋体"/>
                <w:color w:val="000000"/>
                <w:sz w:val="24"/>
                <w:szCs w:val="24"/>
                <w:highlight w:val="none"/>
                <w:lang w:val="en-US" w:eastAsia="zh-CN"/>
              </w:rPr>
              <w:t xml:space="preserve">电视</w:t>
            </w:r>
            <w:r>
              <w:rPr>
                <w:rFonts w:hint="eastAsia" w:ascii="宋体" w:hAnsi="宋体" w:cs="宋体"/>
                <w:color w:val="000000"/>
                <w:sz w:val="24"/>
                <w:szCs w:val="24"/>
                <w:highlight w:val="none"/>
              </w:rPr>
              <w:t xml:space="preserve">等相关设施</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见“3.2房屋维护服务”“3.4保洁服务”</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会议室数量（个）及总面积（㎡）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会议室总间数</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总面积5</w:t>
            </w: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798"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卫生间</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卫生间数量（个）及总面积（㎡）</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卫生间</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间、蹲坑</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个、小便器21个、坐便器</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总面积</w:t>
            </w:r>
            <w:r>
              <w:rPr>
                <w:rFonts w:hint="eastAsia" w:ascii="宋体" w:hAnsi="宋体" w:cs="宋体"/>
                <w:color w:val="000000"/>
                <w:sz w:val="24"/>
                <w:szCs w:val="24"/>
                <w:highlight w:val="none"/>
                <w:lang w:val="en-US" w:eastAsia="zh-CN"/>
              </w:rPr>
              <w:t xml:space="preserve">410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798"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垃圾存放点</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各垃圾存放点位置、面积（㎡）及数量（个）</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垃圾存放点</w:t>
            </w:r>
            <w:r>
              <w:rPr>
                <w:rFonts w:hint="eastAsia" w:ascii="宋体" w:hAnsi="宋体" w:cs="宋体"/>
                <w:color w:val="000000"/>
                <w:sz w:val="24"/>
                <w:szCs w:val="24"/>
                <w:highlight w:val="none"/>
                <w:lang w:val="en-US" w:eastAsia="zh-CN"/>
              </w:rPr>
              <w:t xml:space="preserve">地下室</w:t>
            </w:r>
            <w:r>
              <w:rPr>
                <w:rFonts w:hint="eastAsia" w:ascii="宋体" w:hAnsi="宋体" w:cs="宋体"/>
                <w:color w:val="000000"/>
                <w:sz w:val="24"/>
                <w:szCs w:val="24"/>
                <w:highlight w:val="none"/>
              </w:rPr>
              <w:t xml:space="preserve">1个，总面积</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生活垃圾桶</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个，餐余垃圾桶</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车位数</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地下车位数</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151</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地面车位数</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车行/人行口</w:t>
            </w: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车行口</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w:t>
            </w:r>
            <w:r>
              <w:rPr>
                <w:rFonts w:hint="eastAsia" w:ascii="宋体" w:hAnsi="宋体" w:cs="宋体"/>
                <w:color w:val="000000"/>
                <w:sz w:val="24"/>
                <w:szCs w:val="24"/>
                <w:highlight w:val="none"/>
                <w:lang w:val="en-US" w:eastAsia="zh-CN"/>
              </w:rPr>
              <w:t xml:space="preserve">出入</w:t>
            </w:r>
            <w:r>
              <w:rPr>
                <w:rFonts w:hint="eastAsia" w:ascii="宋体" w:hAnsi="宋体" w:cs="宋体"/>
                <w:color w:val="000000"/>
                <w:sz w:val="24"/>
                <w:szCs w:val="24"/>
                <w:highlight w:val="none"/>
              </w:rPr>
              <w:t xml:space="preserve">口1个、</w:t>
            </w:r>
            <w:r>
              <w:rPr>
                <w:rFonts w:hint="eastAsia" w:ascii="宋体" w:hAnsi="宋体" w:cs="宋体"/>
                <w:color w:val="000000"/>
                <w:sz w:val="24"/>
                <w:szCs w:val="24"/>
                <w:highlight w:val="none"/>
                <w:lang w:val="en-US" w:eastAsia="zh-CN"/>
              </w:rPr>
              <w:t xml:space="preserve">东</w:t>
            </w:r>
            <w:r>
              <w:rPr>
                <w:rFonts w:hint="eastAsia" w:ascii="宋体" w:hAnsi="宋体" w:cs="宋体"/>
                <w:color w:val="000000"/>
                <w:sz w:val="24"/>
                <w:szCs w:val="24"/>
                <w:highlight w:val="none"/>
              </w:rPr>
              <w:t xml:space="preserve">出入口</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人行口</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54"/>
        </w:trPr>
        <w:tc>
          <w:tcPr>
            <w:tcW w:w="798" w:type="dxa"/>
            <w:vAlign w:val="center"/>
            <w:vMerge w:val="restart"/>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设施设备（可另行附表）</w:t>
            </w:r>
            <w:r>
              <w:rPr>
                <w:rFonts w:hint="eastAsia" w:ascii="宋体" w:hAnsi="宋体" w:cs="宋体"/>
                <w:color w:val="000000"/>
                <w:sz w:val="24"/>
                <w:szCs w:val="24"/>
                <w:highlight w:val="none"/>
              </w:rPr>
            </w:r>
            <w:r/>
          </w:p>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电梯系统</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电梯</w:t>
            </w: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部</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”“3.3公用设施设备维护服务”</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消防系统</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left"/>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火灾报警系统、自动灭火系统、防排烟系统、防火分隔设施、应急照明、疏散指示、消防联动和应急广播系统等。</w:t>
            </w:r>
            <w:r>
              <w:rPr>
                <w:rFonts w:hint="eastAsia" w:ascii="宋体" w:hAnsi="宋体" w:cs="宋体"/>
                <w:color w:val="000000"/>
                <w:sz w:val="24"/>
                <w:szCs w:val="24"/>
                <w:highlight w:val="none"/>
              </w:rPr>
            </w:r>
            <w:r/>
          </w:p>
          <w:p>
            <w:pPr>
              <w:pStyle w:val="1069"/>
              <w:ind w:firstLine="0"/>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消防栓</w:t>
            </w: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火灾显示盘</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灭火器</w:t>
            </w:r>
            <w:r>
              <w:rPr>
                <w:rFonts w:hint="eastAsia" w:ascii="宋体" w:hAnsi="宋体" w:eastAsia="宋体" w:cs="宋体"/>
                <w:color w:val="000000"/>
                <w:sz w:val="24"/>
                <w:szCs w:val="24"/>
                <w:highlight w:val="none"/>
                <w:lang w:val="en-US" w:eastAsia="zh-CN"/>
              </w:rPr>
              <w:t xml:space="preserve">204</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声光报警系统</w:t>
            </w: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手动报警系统</w:t>
            </w: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消防水池</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喷淋头</w:t>
            </w:r>
            <w:r>
              <w:rPr>
                <w:rFonts w:hint="eastAsia" w:ascii="宋体" w:hAnsi="宋体" w:eastAsia="宋体" w:cs="宋体"/>
                <w:color w:val="000000"/>
                <w:sz w:val="24"/>
                <w:szCs w:val="24"/>
                <w:highlight w:val="none"/>
                <w:lang w:val="en-US" w:eastAsia="zh-CN"/>
              </w:rPr>
              <w:t xml:space="preserve">2496</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室外消防接合器</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室外消火栓</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防火门</w:t>
            </w:r>
            <w:r>
              <w:rPr>
                <w:rFonts w:hint="eastAsia" w:ascii="宋体" w:hAnsi="宋体" w:eastAsia="宋体" w:cs="宋体"/>
                <w:color w:val="000000"/>
                <w:sz w:val="24"/>
                <w:szCs w:val="24"/>
                <w:highlight w:val="none"/>
                <w:lang w:val="en-US" w:eastAsia="zh-CN"/>
              </w:rPr>
              <w:t xml:space="preserve">117</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卷帘门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烟感探测器</w:t>
            </w:r>
            <w:r>
              <w:rPr>
                <w:rFonts w:hint="eastAsia" w:ascii="宋体" w:hAnsi="宋体" w:eastAsia="宋体" w:cs="宋体"/>
                <w:color w:val="000000"/>
                <w:sz w:val="24"/>
                <w:szCs w:val="24"/>
                <w:highlight w:val="none"/>
                <w:lang w:val="en-US" w:eastAsia="zh-CN"/>
              </w:rPr>
              <w:t xml:space="preserve">742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”“3.3公用设施设备维护服务”</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安防系统</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总值班室1套</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”“3.3公用设施设备维护服务”</w:t>
            </w:r>
            <w:r>
              <w:rPr>
                <w:rFonts w:hint="eastAsia" w:ascii="宋体" w:hAnsi="宋体" w:cs="宋体"/>
                <w:color w:val="000000"/>
                <w:sz w:val="24"/>
                <w:szCs w:val="24"/>
                <w:highlight w:val="none"/>
              </w:rPr>
            </w:r>
            <w:r/>
          </w:p>
        </w:tc>
      </w:tr>
      <w:tr>
        <w:trPr>
          <w:trHeight w:val="454"/>
        </w:trPr>
        <w:tc>
          <w:tcPr>
            <w:tcW w:w="798" w:type="dxa"/>
            <w:vAlign w:val="center"/>
            <w:vMerge w:val="continue"/>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照明系统</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left"/>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灯具规格：0.</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3m</w:t>
            </w:r>
            <w:r>
              <w:rPr>
                <w:rFonts w:hint="eastAsia" w:ascii="宋体" w:hAnsi="宋体" w:cs="宋体"/>
                <w:color w:val="000000"/>
                <w:sz w:val="24"/>
                <w:szCs w:val="24"/>
                <w:highlight w:val="none"/>
              </w:rPr>
              <w:t xml:space="preserve">平板灯</w:t>
            </w: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*0.6</w:t>
            </w:r>
            <w:r>
              <w:rPr>
                <w:rFonts w:hint="eastAsia" w:ascii="宋体" w:hAnsi="宋体" w:cs="宋体"/>
                <w:color w:val="000000"/>
                <w:sz w:val="24"/>
                <w:szCs w:val="24"/>
                <w:highlight w:val="none"/>
                <w:lang w:val="en-US" w:eastAsia="zh-CN"/>
              </w:rPr>
              <w:t xml:space="preserve">m</w:t>
            </w:r>
            <w:r>
              <w:rPr>
                <w:rFonts w:hint="eastAsia" w:ascii="宋体" w:hAnsi="宋体" w:cs="宋体"/>
                <w:color w:val="000000"/>
                <w:sz w:val="24"/>
                <w:szCs w:val="24"/>
                <w:highlight w:val="none"/>
              </w:rPr>
              <w:t xml:space="preserve">平板灯</w:t>
            </w:r>
            <w:r>
              <w:rPr>
                <w:rFonts w:hint="eastAsia" w:ascii="宋体" w:hAnsi="宋体" w:cs="宋体"/>
                <w:color w:val="000000"/>
                <w:sz w:val="24"/>
                <w:szCs w:val="24"/>
                <w:highlight w:val="none"/>
                <w:lang w:val="en-US" w:eastAsia="zh-CN"/>
              </w:rPr>
              <w:t xml:space="preserve">470</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0.6*0.6</w:t>
            </w:r>
            <w:r>
              <w:rPr>
                <w:rFonts w:hint="eastAsia" w:ascii="宋体" w:hAnsi="宋体" w:cs="宋体"/>
                <w:color w:val="000000"/>
                <w:sz w:val="24"/>
                <w:szCs w:val="24"/>
                <w:highlight w:val="none"/>
                <w:lang w:val="en-US" w:eastAsia="zh-CN"/>
              </w:rPr>
              <w:t xml:space="preserve">m</w:t>
            </w:r>
            <w:r>
              <w:rPr>
                <w:rFonts w:hint="eastAsia" w:ascii="宋体" w:hAnsi="宋体" w:cs="宋体"/>
                <w:color w:val="000000"/>
                <w:sz w:val="24"/>
                <w:szCs w:val="24"/>
                <w:highlight w:val="none"/>
              </w:rPr>
              <w:t xml:space="preserve">平板灯</w:t>
            </w:r>
            <w:r>
              <w:rPr>
                <w:rFonts w:hint="eastAsia" w:ascii="宋体" w:hAnsi="宋体" w:cs="宋体"/>
                <w:color w:val="000000"/>
                <w:sz w:val="24"/>
                <w:szCs w:val="24"/>
                <w:highlight w:val="none"/>
                <w:lang w:val="en-US" w:eastAsia="zh-CN"/>
              </w:rPr>
              <w:t xml:space="preserve">640</w:t>
            </w:r>
            <w:r>
              <w:rPr>
                <w:rFonts w:hint="eastAsia" w:ascii="宋体" w:hAnsi="宋体" w:cs="宋体"/>
                <w:color w:val="000000"/>
                <w:sz w:val="24"/>
                <w:szCs w:val="24"/>
                <w:highlight w:val="none"/>
              </w:rPr>
              <w:t xml:space="preserve">个 筒灯：</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50个  </w:t>
            </w:r>
            <w:r>
              <w:rPr>
                <w:rFonts w:hint="eastAsia" w:ascii="宋体" w:hAnsi="宋体" w:cs="宋体"/>
                <w:color w:val="000000"/>
                <w:sz w:val="24"/>
                <w:szCs w:val="24"/>
                <w:highlight w:val="none"/>
              </w:rPr>
            </w:r>
            <w:r/>
          </w:p>
          <w:p>
            <w:pPr>
              <w:pStyle w:val="949"/>
              <w:jc w:val="left"/>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应急照明灯：</w:t>
            </w:r>
            <w:r>
              <w:rPr>
                <w:rFonts w:hint="eastAsia" w:ascii="宋体" w:hAnsi="宋体" w:cs="宋体"/>
                <w:color w:val="000000"/>
                <w:sz w:val="24"/>
                <w:szCs w:val="24"/>
                <w:highlight w:val="none"/>
                <w:lang w:val="en-US" w:eastAsia="zh-CN"/>
              </w:rPr>
              <w:t xml:space="preserve">385</w:t>
            </w:r>
            <w:r>
              <w:rPr>
                <w:rFonts w:hint="eastAsia" w:ascii="宋体" w:hAnsi="宋体" w:cs="宋体"/>
                <w:color w:val="000000"/>
                <w:sz w:val="24"/>
                <w:szCs w:val="24"/>
                <w:highlight w:val="none"/>
              </w:rPr>
              <w:t xml:space="preserve">盏</w:t>
            </w:r>
            <w:r>
              <w:rPr>
                <w:rFonts w:hint="eastAsia" w:ascii="宋体" w:hAnsi="宋体" w:cs="宋体"/>
                <w:color w:val="000000"/>
                <w:sz w:val="24"/>
                <w:szCs w:val="24"/>
                <w:highlight w:val="none"/>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”“3.3公用设施设备维护服务”</w:t>
            </w:r>
            <w:r>
              <w:rPr>
                <w:rFonts w:hint="eastAsia" w:ascii="宋体" w:hAnsi="宋体" w:cs="宋体"/>
                <w:color w:val="000000"/>
                <w:sz w:val="24"/>
                <w:szCs w:val="24"/>
                <w:highlight w:val="none"/>
              </w:rPr>
            </w:r>
            <w:r/>
          </w:p>
        </w:tc>
      </w:tr>
      <w:tr>
        <w:trPr>
          <w:trHeight w:val="865"/>
        </w:trPr>
        <w:tc>
          <w:tcPr>
            <w:tcW w:w="798" w:type="dxa"/>
            <w:vAlign w:val="center"/>
            <w:vMerge w:val="continue"/>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97"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供配电系统</w:t>
            </w:r>
            <w:r>
              <w:rPr>
                <w:rFonts w:hint="eastAsia" w:ascii="宋体" w:hAnsi="宋体" w:cs="宋体"/>
                <w:color w:val="000000"/>
                <w:sz w:val="24"/>
                <w:szCs w:val="24"/>
                <w:highlight w:val="none"/>
              </w:rPr>
            </w:r>
            <w:r/>
          </w:p>
        </w:tc>
        <w:tc>
          <w:tcPr>
            <w:tcW w:w="4005"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高压柜：</w:t>
            </w:r>
            <w:r>
              <w:rPr>
                <w:rFonts w:hint="eastAsia" w:ascii="宋体" w:hAnsi="宋体" w:cs="宋体"/>
                <w:color w:val="000000"/>
                <w:sz w:val="24"/>
                <w:szCs w:val="24"/>
                <w:highlight w:val="none"/>
                <w:lang w:val="en-US" w:eastAsia="zh-CN"/>
              </w:rPr>
              <w:t xml:space="preserve">5*2</w:t>
            </w: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低压柜：</w:t>
            </w:r>
            <w:r>
              <w:rPr>
                <w:rFonts w:hint="eastAsia" w:ascii="宋体" w:hAnsi="宋体" w:cs="宋体"/>
                <w:color w:val="000000"/>
                <w:sz w:val="24"/>
                <w:szCs w:val="24"/>
                <w:highlight w:val="none"/>
                <w:lang w:val="en-US" w:eastAsia="zh-CN"/>
              </w:rPr>
              <w:t xml:space="preserve">11*2</w:t>
            </w: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p>
            <w:pPr>
              <w:pStyle w:val="949"/>
              <w:jc w:val="center"/>
              <w:keepLines w:val="0"/>
              <w:keepNext w:val="0"/>
              <w:pageBreakBefore w:val="0"/>
              <w:spacing w:line="3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总功率：1000</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KV</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一主一备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255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见“3.3公用设施设备维护服务”</w:t>
            </w:r>
            <w:r>
              <w:rPr>
                <w:rFonts w:hint="eastAsia" w:ascii="宋体" w:hAnsi="宋体" w:cs="宋体"/>
                <w:color w:val="000000"/>
                <w:sz w:val="24"/>
                <w:szCs w:val="24"/>
                <w:highlight w:val="none"/>
              </w:rPr>
            </w:r>
            <w:r/>
          </w:p>
        </w:tc>
      </w:tr>
    </w:tbl>
    <w:p>
      <w:pPr>
        <w:pStyle w:val="949"/>
        <w:ind w:firstLine="422"/>
        <w:spacing w:line="300" w:lineRule="auto"/>
        <w:widowControl/>
        <w:rPr>
          <w:rFonts w:hint="eastAsia" w:ascii="Calibri" w:hAnsi="Calibri" w:cs="Calibri"/>
          <w:b/>
          <w:color w:val="000000"/>
          <w:szCs w:val="20"/>
          <w:highlight w:val="none"/>
        </w:rPr>
        <w:outlineLvl w:val="2"/>
      </w:pPr>
      <w:r>
        <w:rPr>
          <w:rFonts w:hint="eastAsia" w:ascii="Calibri" w:hAnsi="Calibri" w:cs="Calibri"/>
          <w:b/>
          <w:color w:val="000000"/>
          <w:szCs w:val="20"/>
          <w:highlight w:val="none"/>
        </w:rPr>
      </w:r>
      <w:r/>
    </w:p>
    <w:p>
      <w:pPr>
        <w:pStyle w:val="94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（2）物业管理（室外）</w:t>
      </w:r>
      <w:r>
        <w:rPr>
          <w:rFonts w:hint="eastAsia" w:ascii="宋体" w:hAnsi="宋体" w:cs="宋体"/>
          <w:b/>
          <w:bCs/>
          <w:color w:val="000000"/>
          <w:sz w:val="24"/>
          <w:szCs w:val="24"/>
          <w:highlight w:val="none"/>
        </w:rPr>
      </w:r>
      <w:r/>
    </w:p>
    <w:tbl>
      <w:tblPr>
        <w:tblW w:w="4997"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9"/>
        <w:gridCol w:w="3211"/>
        <w:gridCol w:w="4203"/>
      </w:tblGrid>
      <w:tr>
        <w:trPr>
          <w:trHeight w:val="454"/>
        </w:trPr>
        <w:tc>
          <w:tcPr>
            <w:tcW w:w="1749"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名称</w:t>
            </w:r>
            <w:r>
              <w:rPr>
                <w:rFonts w:hint="eastAsia" w:ascii="宋体" w:hAnsi="宋体" w:cs="宋体"/>
                <w:b/>
                <w:bCs/>
                <w:color w:val="000000"/>
                <w:sz w:val="24"/>
                <w:szCs w:val="24"/>
                <w:highlight w:val="none"/>
              </w:rPr>
            </w:r>
            <w:r/>
          </w:p>
        </w:tc>
        <w:tc>
          <w:tcPr>
            <w:tcW w:w="3212"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明细</w:t>
            </w:r>
            <w:r>
              <w:rPr>
                <w:rFonts w:hint="eastAsia" w:ascii="宋体" w:hAnsi="宋体" w:cs="宋体"/>
                <w:b/>
                <w:bCs/>
                <w:color w:val="000000"/>
                <w:sz w:val="24"/>
                <w:szCs w:val="24"/>
                <w:highlight w:val="none"/>
              </w:rPr>
            </w:r>
            <w:r/>
          </w:p>
        </w:tc>
        <w:tc>
          <w:tcPr>
            <w:tcW w:w="4204"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服务内容及标准</w:t>
            </w:r>
            <w:r>
              <w:rPr>
                <w:rFonts w:hint="eastAsia" w:ascii="宋体" w:hAnsi="宋体" w:cs="宋体"/>
                <w:b/>
                <w:bCs/>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室外面积</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lang w:val="en-US" w:eastAsia="zh-CN"/>
              </w:rPr>
              <w:t xml:space="preserve">84</w:t>
            </w:r>
            <w:r>
              <w:rPr>
                <w:rFonts w:hint="eastAsia" w:ascii="宋体" w:hAnsi="宋体" w:cs="宋体"/>
                <w:color w:val="000000"/>
                <w:spacing w:val="-2"/>
                <w:sz w:val="24"/>
                <w:szCs w:val="24"/>
                <w:highlight w:val="none"/>
              </w:rPr>
              <w:t xml:space="preserve">00㎡</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lang w:val="en-US" w:eastAsia="zh-CN"/>
              </w:rPr>
              <w:t xml:space="preserve">4550</w:t>
            </w:r>
            <w:r>
              <w:rPr>
                <w:rFonts w:hint="eastAsia" w:ascii="宋体" w:hAnsi="宋体" w:cs="宋体"/>
                <w:color w:val="000000"/>
                <w:spacing w:val="-2"/>
                <w:sz w:val="24"/>
                <w:szCs w:val="24"/>
                <w:highlight w:val="none"/>
              </w:rPr>
              <w:t xml:space="preserve">㎡</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绿化服务”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消防栓</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消防栓</w:t>
            </w:r>
            <w:r>
              <w:rPr>
                <w:rFonts w:hint="eastAsia" w:ascii="宋体" w:hAnsi="宋体" w:cs="宋体"/>
                <w:color w:val="000000"/>
                <w:sz w:val="24"/>
                <w:szCs w:val="24"/>
                <w:highlight w:val="none"/>
                <w:lang w:val="en-US" w:eastAsia="zh-CN"/>
              </w:rPr>
              <w:t xml:space="preserve">102</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val="en-US" w:eastAsia="zh-CN"/>
              </w:rPr>
              <w:t xml:space="preserve">室外取水口2个、</w:t>
            </w:r>
            <w:r>
              <w:rPr>
                <w:rFonts w:hint="eastAsia" w:ascii="宋体" w:hAnsi="宋体" w:cs="宋体"/>
                <w:color w:val="000000"/>
                <w:sz w:val="24"/>
                <w:szCs w:val="24"/>
                <w:highlight w:val="none"/>
              </w:rPr>
              <w:t xml:space="preserve">水泵接合器</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见“3.4保洁服务”“3.3公用设施设备维护服务”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垃圾箱</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室外配电箱</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见“3.4保洁服务”“3.3公用设施设备维护服务”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门前三包</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监控</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地下室普通监控摄像机30个，热感应摄像机14个，地上室内摄像机203个，室外摄像机39个</w:t>
            </w:r>
            <w:r>
              <w:rPr>
                <w:rFonts w:hint="eastAsia" w:ascii="宋体" w:hAnsi="宋体" w:cs="宋体"/>
                <w:color w:val="000000"/>
                <w:sz w:val="24"/>
                <w:szCs w:val="24"/>
                <w:highlight w:val="none"/>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见“3.4保洁服务”“3.3公用设施设备维护服务”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指示牌、显示屏</w:t>
            </w:r>
            <w:r>
              <w:rPr>
                <w:rFonts w:hint="eastAsia" w:ascii="宋体" w:hAnsi="宋体" w:cs="宋体"/>
                <w:color w:val="000000"/>
                <w:sz w:val="24"/>
                <w:szCs w:val="24"/>
                <w:highlight w:val="none"/>
              </w:rPr>
            </w:r>
            <w:r/>
          </w:p>
        </w:tc>
        <w:tc>
          <w:tcPr>
            <w:tcW w:w="3212" w:type="dxa"/>
            <w:vAlign w:val="center"/>
            <w:textDirection w:val="lrTb"/>
            <w:noWrap w:val="false"/>
          </w:tcPr>
          <w:p>
            <w:pPr>
              <w:pStyle w:val="949"/>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见“3.4保洁服务”“3.3公用设施设备维护服务”</w:t>
            </w:r>
            <w:r>
              <w:rPr>
                <w:rFonts w:hint="eastAsia" w:ascii="宋体" w:hAnsi="宋体" w:cs="宋体"/>
                <w:color w:val="000000"/>
                <w:sz w:val="24"/>
                <w:szCs w:val="24"/>
                <w:highlight w:val="none"/>
              </w:rPr>
            </w:r>
            <w:r/>
          </w:p>
        </w:tc>
      </w:tr>
      <w:tr>
        <w:trPr>
          <w:trHeight w:val="454"/>
        </w:trPr>
        <w:tc>
          <w:tcPr>
            <w:tcW w:w="1749" w:type="dxa"/>
            <w:vAlign w:val="center"/>
            <w:textDirection w:val="lrTb"/>
            <w:noWrap w:val="false"/>
          </w:tcPr>
          <w:p>
            <w:pPr>
              <w:pStyle w:val="949"/>
              <w:keepLines w:val="0"/>
              <w:keepNext w:val="0"/>
              <w:pageBreakBefore w:val="0"/>
              <w:spacing w:line="3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地下充电桩</w:t>
            </w:r>
            <w:r>
              <w:rPr>
                <w:rFonts w:hint="eastAsia" w:ascii="宋体" w:hAnsi="宋体" w:eastAsia="宋体" w:cs="宋体"/>
                <w:color w:val="000000"/>
                <w:sz w:val="24"/>
                <w:szCs w:val="24"/>
                <w:highlight w:val="none"/>
                <w:lang w:eastAsia="zh-CN"/>
              </w:rPr>
            </w:r>
            <w:r/>
          </w:p>
        </w:tc>
        <w:tc>
          <w:tcPr>
            <w:tcW w:w="3212" w:type="dxa"/>
            <w:vAlign w:val="center"/>
            <w:textDirection w:val="lrTb"/>
            <w:noWrap w:val="false"/>
          </w:tcPr>
          <w:p>
            <w:pPr>
              <w:pStyle w:val="949"/>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数量51个</w:t>
            </w:r>
            <w:r>
              <w:rPr>
                <w:rFonts w:ascii="宋体" w:hAnsi="宋体" w:eastAsia="宋体" w:cs="宋体"/>
                <w:color w:val="000000"/>
                <w:sz w:val="24"/>
                <w:szCs w:val="24"/>
                <w:highlight w:val="none"/>
                <w:lang w:val="en-US" w:eastAsia="zh-CN"/>
              </w:rPr>
            </w:r>
            <w:r/>
          </w:p>
        </w:tc>
        <w:tc>
          <w:tcPr>
            <w:tcW w:w="4204" w:type="dxa"/>
            <w:vAlign w:val="center"/>
            <w:textDirection w:val="lrTb"/>
            <w:noWrap w:val="false"/>
          </w:tcPr>
          <w:p>
            <w:pPr>
              <w:pStyle w:val="949"/>
              <w:keepLines w:val="0"/>
              <w:keepNext w:val="0"/>
              <w:pageBreakBefore w:val="0"/>
              <w:spacing w:line="3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见“3.4保洁服务”“3.3公用设施设备维护服务”见“</w:t>
            </w:r>
            <w:r>
              <w:rPr>
                <w:rFonts w:hint="eastAsia" w:ascii="宋体" w:hAnsi="宋体" w:cs="宋体"/>
                <w:color w:val="000000"/>
                <w:sz w:val="24"/>
                <w:szCs w:val="24"/>
                <w:highlight w:val="none"/>
                <w:lang w:eastAsia="zh-CN"/>
              </w:rPr>
              <w:t xml:space="preserve">3.6保安服务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bl>
    <w:p>
      <w:pPr>
        <w:pStyle w:val="949"/>
        <w:keepLines/>
        <w:keepNext/>
        <w:spacing w:before="145"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3.物业管理服务内容及标准</w:t>
      </w:r>
      <w:r>
        <w:rPr>
          <w:rFonts w:hint="eastAsia" w:ascii="宋体" w:hAnsi="宋体" w:cs="宋体"/>
          <w:b/>
          <w:bCs/>
          <w:color w:val="000000"/>
          <w:sz w:val="24"/>
          <w:szCs w:val="24"/>
          <w:highlight w:val="none"/>
        </w:rPr>
      </w:r>
      <w:r/>
    </w:p>
    <w:p>
      <w:pPr>
        <w:pStyle w:val="94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物业管理服务包括基本服务、房屋维护服务、公用设施设备维护服务、保洁服务、保安服务、</w:t>
      </w:r>
      <w:r>
        <w:rPr>
          <w:rFonts w:hint="eastAsia" w:hAnsi="宋体"/>
          <w:color w:val="000000"/>
          <w:sz w:val="24"/>
          <w:szCs w:val="24"/>
          <w:highlight w:val="none"/>
        </w:rPr>
        <w:t xml:space="preserve">绿化服务</w:t>
      </w:r>
      <w:r>
        <w:rPr>
          <w:rFonts w:hint="eastAsia" w:ascii="宋体" w:hAnsi="宋体" w:cs="宋体"/>
          <w:color w:val="000000"/>
          <w:sz w:val="24"/>
          <w:szCs w:val="24"/>
          <w:highlight w:val="none"/>
        </w:rPr>
        <w:t xml:space="preserve">等，对照基本服务和物业管理服务人员需求相关内容执行，本项目不接受分包供应商管理。</w:t>
      </w:r>
      <w:r>
        <w:rPr>
          <w:rFonts w:hint="eastAsia" w:ascii="宋体" w:hAnsi="宋体" w:cs="宋体"/>
          <w:color w:val="000000"/>
          <w:sz w:val="24"/>
          <w:szCs w:val="24"/>
          <w:highlight w:val="none"/>
        </w:rPr>
      </w:r>
      <w:r/>
    </w:p>
    <w:p>
      <w:pPr>
        <w:pStyle w:val="949"/>
        <w:ind w:firstLine="482"/>
        <w:spacing w:line="360" w:lineRule="auto"/>
        <w:widowControl/>
        <w:rPr>
          <w:rFonts w:hint="eastAsia" w:ascii="宋体" w:hAnsi="宋体" w:cs="宋体"/>
          <w:b/>
          <w:color w:val="000000"/>
          <w:sz w:val="24"/>
          <w:szCs w:val="24"/>
          <w:highlight w:val="none"/>
          <w:lang w:bidi="ar"/>
        </w:rPr>
        <w:outlineLvl w:val="2"/>
      </w:pPr>
      <w:r/>
      <w:bookmarkStart w:id="204" w:name="_Toc10498"/>
      <w:r/>
      <w:bookmarkStart w:id="205" w:name="_Toc26156"/>
      <w:r/>
      <w:bookmarkStart w:id="206" w:name="_Toc26485"/>
      <w:r>
        <w:rPr>
          <w:rFonts w:hint="eastAsia" w:ascii="宋体" w:hAnsi="宋体" w:cs="宋体"/>
          <w:b/>
          <w:color w:val="000000"/>
          <w:sz w:val="24"/>
          <w:szCs w:val="24"/>
          <w:highlight w:val="none"/>
        </w:rPr>
        <w:t xml:space="preserve">3.</w:t>
      </w:r>
      <w:bookmarkEnd w:id="204"/>
      <w:r/>
      <w:bookmarkEnd w:id="205"/>
      <w:r/>
      <w:bookmarkEnd w:id="206"/>
      <w:r>
        <w:rPr>
          <w:rFonts w:hint="eastAsia" w:ascii="宋体" w:hAnsi="宋体" w:cs="宋体"/>
          <w:b/>
          <w:color w:val="000000"/>
          <w:sz w:val="24"/>
          <w:szCs w:val="24"/>
          <w:highlight w:val="none"/>
          <w:lang w:bidi="ar"/>
        </w:rPr>
        <w:t xml:space="preserve">1基本服务</w:t>
      </w:r>
      <w:r>
        <w:rPr>
          <w:rFonts w:hint="eastAsia" w:ascii="宋体" w:hAnsi="宋体" w:cs="宋体"/>
          <w:b/>
          <w:color w:val="000000"/>
          <w:sz w:val="24"/>
          <w:szCs w:val="24"/>
          <w:highlight w:val="none"/>
          <w:lang w:bidi="ar"/>
        </w:rPr>
      </w:r>
      <w:r/>
    </w:p>
    <w:tbl>
      <w:tblPr>
        <w:tblW w:w="521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351"/>
        <w:gridCol w:w="7377"/>
      </w:tblGrid>
      <w:tr>
        <w:trPr>
          <w:trHeight w:val="454"/>
        </w:trPr>
        <w:tc>
          <w:tcPr>
            <w:tcW w:w="841"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351"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hint="eastAsia" w:ascii="宋体" w:hAnsi="宋体" w:cs="宋体"/>
                <w:b/>
                <w:bCs/>
                <w:color w:val="000000"/>
                <w:sz w:val="24"/>
                <w:szCs w:val="24"/>
                <w:highlight w:val="none"/>
              </w:rPr>
            </w:r>
            <w:r/>
          </w:p>
        </w:tc>
        <w:tc>
          <w:tcPr>
            <w:tcW w:w="7377"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hint="eastAsia" w:ascii="宋体" w:hAnsi="宋体" w:cs="宋体"/>
                <w:b/>
                <w:bCs/>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服务要求</w:t>
            </w:r>
            <w:r>
              <w:rPr>
                <w:rFonts w:hint="eastAsia" w:ascii="宋体" w:hAnsi="宋体" w:cs="宋体"/>
                <w:color w:val="000000"/>
                <w:sz w:val="24"/>
                <w:szCs w:val="24"/>
                <w:highlight w:val="none"/>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（1）所有服务人员必须经过岗前培训，培训合格方能入职。注重院感培训及消毒隔离的培训质量，严格遵守采购人消毒隔离</w:t>
            </w:r>
            <w:r>
              <w:rPr>
                <w:rFonts w:hint="eastAsia" w:ascii="宋体" w:hAnsi="宋体" w:eastAsia="宋体" w:cs="宋体"/>
                <w:color w:val="000000"/>
                <w:sz w:val="24"/>
                <w:szCs w:val="24"/>
                <w:highlight w:val="none"/>
                <w:lang w:val="en-US" w:eastAsia="en-US" w:bidi="ar-SA"/>
              </w:rPr>
              <w:t xml:space="preserve">等</w:t>
            </w:r>
            <w:r>
              <w:rPr>
                <w:rFonts w:hint="eastAsia" w:ascii="宋体" w:hAnsi="宋体" w:eastAsia="宋体" w:cs="宋体"/>
                <w:color w:val="000000"/>
                <w:sz w:val="24"/>
                <w:szCs w:val="24"/>
                <w:highlight w:val="none"/>
                <w:lang w:val="en-US" w:eastAsia="zh-CN" w:bidi="ar-SA"/>
              </w:rPr>
              <w:t xml:space="preserve">规章制度，提高工友手卫生的依从性</w:t>
            </w:r>
            <w:r>
              <w:rPr>
                <w:rFonts w:hint="eastAsia" w:ascii="宋体" w:hAnsi="宋体" w:eastAsia="宋体" w:cs="宋体"/>
                <w:color w:val="000000"/>
                <w:sz w:val="24"/>
                <w:szCs w:val="24"/>
                <w:highlight w:val="none"/>
                <w:lang w:val="en-US" w:eastAsia="en-US" w:bidi="ar-SA"/>
              </w:rPr>
              <w:t xml:space="preserve">以及个人防护、消毒的准确性。</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（2）物业服务人员岗位须固定，不得兼职非物业岗位。投标人应根据本物业服务的</w:t>
            </w:r>
            <w:r>
              <w:rPr>
                <w:rFonts w:hint="eastAsia" w:ascii="宋体" w:hAnsi="宋体" w:eastAsia="宋体" w:cs="宋体"/>
                <w:color w:val="000000"/>
                <w:sz w:val="24"/>
                <w:szCs w:val="24"/>
                <w:highlight w:val="none"/>
                <w:lang w:val="en-US" w:eastAsia="en-US" w:bidi="ar-SA"/>
              </w:rPr>
              <w:t xml:space="preserve">实际情况</w:t>
            </w:r>
            <w:r>
              <w:rPr>
                <w:rFonts w:hint="eastAsia" w:ascii="宋体" w:hAnsi="宋体" w:eastAsia="宋体" w:cs="宋体"/>
                <w:color w:val="000000"/>
                <w:sz w:val="24"/>
                <w:szCs w:val="24"/>
                <w:highlight w:val="none"/>
                <w:lang w:val="en-US" w:eastAsia="zh-CN" w:bidi="ar-SA"/>
              </w:rPr>
              <w:t xml:space="preserve">，配置机动人员，应当经过多方面培训，能够适应医院各区域临时的替班工作。</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left="0" w:firstLine="218"/>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（3）必须服从护士长（或护士长委托管理的护士）、部门科主任的安排。严格遵守医院各项规章制度，规范工作行为，保证工作质量；严格执行上下班时间，不得迟到早退，不随意换班；</w:t>
            </w:r>
            <w:r>
              <w:rPr>
                <w:rFonts w:hint="eastAsia" w:ascii="宋体" w:hAnsi="宋体" w:eastAsia="宋体" w:cs="宋体"/>
                <w:color w:val="000000"/>
                <w:sz w:val="24"/>
                <w:szCs w:val="24"/>
                <w:highlight w:val="none"/>
                <w:lang w:val="zh-CN" w:eastAsia="zh-CN" w:bidi="ar-SA"/>
              </w:rPr>
              <w:t xml:space="preserve">上班期间坚守岗位，不得脱岗、串岗</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（4）严格执行请假制度，若有请假缺岗情况，投标人需在经培训的机动人员中安排人员进行补充调配，以免影响日常工作。</w:t>
            </w:r>
            <w:r>
              <w:rPr>
                <w:rFonts w:hint="eastAsia" w:ascii="宋体" w:hAnsi="宋体" w:eastAsia="宋体" w:cs="宋体"/>
                <w:color w:val="000000"/>
                <w:sz w:val="24"/>
                <w:szCs w:val="24"/>
                <w:highlight w:val="none"/>
                <w:lang w:val="en-US" w:eastAsia="zh-CN" w:bidi="ar-SA"/>
              </w:rPr>
            </w:r>
            <w:r/>
          </w:p>
        </w:tc>
      </w:tr>
      <w:tr>
        <w:trPr>
          <w:trHeight w:val="90"/>
        </w:trPr>
        <w:tc>
          <w:tcPr>
            <w:tcW w:w="841" w:type="dxa"/>
            <w:vAlign w:val="center"/>
            <w:vMerge w:val="continue"/>
            <w:textDirection w:val="lrTb"/>
            <w:noWrap w:val="false"/>
          </w:tcPr>
          <w:p>
            <w:pPr>
              <w:pStyle w:val="949"/>
              <w:jc w:val="center"/>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（5）投标人必须制订详细的工作方案、工作流程、各类人员岗位职责及考核标准，并承诺能按采购人考核细则的要求接受采购人严格考核。</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人员要求</w:t>
            </w:r>
            <w:r>
              <w:rPr>
                <w:rFonts w:ascii="宋体" w:hAnsi="宋体" w:eastAsia="宋体" w:cs="宋体"/>
                <w:color w:val="000000"/>
                <w:sz w:val="24"/>
                <w:szCs w:val="24"/>
                <w:highlight w:val="none"/>
                <w:lang w:val="en-US" w:eastAsia="zh-CN"/>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（1）投标人采用项目负责人管理制，每个包干区域定员定岗，责任到人，逐级督查、考核。按照日常工作安排、周事安排、月事安排，明确具体人员班次，上报采购人，投标人管理人员要抓好落实。</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1351" w:type="dxa"/>
            <w:vAlign w:val="center"/>
            <w:vMerge w:val="continue"/>
            <w:textDirection w:val="lrTb"/>
            <w:noWrap w:val="false"/>
          </w:tcPr>
          <w:p>
            <w:pPr>
              <w:pStyle w:val="949"/>
              <w:keepLines w:val="0"/>
              <w:keepNext w:val="0"/>
              <w:pageBreakBefore w:val="0"/>
              <w:spacing w:line="30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7377" w:type="dxa"/>
            <w:vAlign w:val="center"/>
            <w:textDirection w:val="lrTb"/>
            <w:noWrap w:val="false"/>
          </w:tcPr>
          <w:p>
            <w:pPr>
              <w:pStyle w:val="1073"/>
              <w:ind w:left="0" w:firstLine="218"/>
              <w:jc w:val="left"/>
              <w:keepLines w:val="0"/>
              <w:keepNext w:val="0"/>
              <w:pageBreakBefore w:val="0"/>
              <w:spacing w:line="3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（2）投标人所提供的服务人员身体健康，没有明显的身体缺陷，并保证每年一次的基本体检，体检报告留档备查。要求服务人员尽可能年轻化。</w:t>
            </w:r>
            <w:r>
              <w:rPr>
                <w:rFonts w:hint="eastAsia" w:ascii="宋体" w:hAnsi="宋体" w:eastAsia="宋体" w:cs="宋体"/>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left="0" w:firstLine="218"/>
              <w:keepLines w:val="0"/>
              <w:keepNext w:val="0"/>
              <w:pageBreakBefore w:val="0"/>
              <w:spacing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（3）所有上岗人员必须经过严格的岗前培训以及不同科室有针对性的培训，且培训合格后上岗。</w:t>
            </w:r>
            <w:r>
              <w:rPr>
                <w:rFonts w:hint="eastAsia" w:ascii="宋体" w:hAnsi="宋体" w:eastAsia="宋体" w:cs="宋体"/>
                <w:b w:val="0"/>
                <w:bCs w:val="0"/>
                <w:color w:val="000000"/>
                <w:sz w:val="24"/>
                <w:szCs w:val="24"/>
                <w:highlight w:val="none"/>
                <w:lang w:val="en-US" w:eastAsia="zh-CN" w:bidi="ar-SA"/>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left="0" w:firstLine="218"/>
              <w:keepLines w:val="0"/>
              <w:keepNext w:val="0"/>
              <w:pageBreakBefore w:val="0"/>
              <w:spacing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（4）所有用工人员上岗前必须签订劳务合同/劳动合同。</w:t>
            </w:r>
            <w:r>
              <w:rPr>
                <w:rFonts w:hint="eastAsia" w:ascii="宋体" w:hAnsi="宋体" w:eastAsia="宋体" w:cs="宋体"/>
                <w:b w:val="0"/>
                <w:bCs w:val="0"/>
                <w:color w:val="000000"/>
                <w:sz w:val="24"/>
                <w:szCs w:val="24"/>
                <w:highlight w:val="none"/>
                <w:lang w:val="en-US" w:eastAsia="zh-CN" w:bidi="ar-SA"/>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服务改进</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（1）明确负责人，定期对物业服务过程进行自查，结合反馈意见与评价结果采取改进措施，持续提升管理与服务水平。</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（2）对不合格服务进行控制，对不合格服务的原因进行识别和分析，及时采取纠正措施，消除不合格的原因，防止不合格再发生。</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（3）需整改问题及时整改完成。</w:t>
            </w:r>
            <w:r>
              <w:rPr>
                <w:rFonts w:hint="eastAsia" w:ascii="宋体" w:hAnsi="宋体" w:cs="宋体"/>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重大活动后勤保障</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（1）制订流程。配合采购人制订重大活动后勤保障工作流程，需对任务进行详细了解，并根据工作安排制定详细的后勤保障计划。</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（3）收尾工作。对现场进行检查，做好清理工作。</w:t>
            </w:r>
            <w:r>
              <w:rPr>
                <w:rFonts w:hint="eastAsia" w:ascii="宋体" w:hAnsi="宋体" w:cs="宋体"/>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应急保障预案</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cs="宋体"/>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服务方案及工作制度</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（1）制定工作制度，</w:t>
            </w:r>
            <w:r>
              <w:rPr>
                <w:rFonts w:hint="eastAsia" w:ascii="宋体" w:hAnsi="宋体" w:cs="宋体"/>
                <w:bCs/>
                <w:color w:val="000000"/>
                <w:sz w:val="24"/>
                <w:szCs w:val="24"/>
                <w:highlight w:val="none"/>
              </w:rPr>
              <w:t xml:space="preserve">主要包括：人员录用制度、</w:t>
            </w:r>
            <w:r>
              <w:rPr>
                <w:rFonts w:hint="eastAsia" w:ascii="宋体" w:hAnsi="宋体" w:cs="宋体"/>
                <w:color w:val="000000"/>
                <w:sz w:val="24"/>
                <w:szCs w:val="24"/>
                <w:highlight w:val="none"/>
              </w:rPr>
              <w:t xml:space="preserve">档案管理制度、</w:t>
            </w:r>
            <w:r>
              <w:rPr>
                <w:rFonts w:hint="eastAsia" w:ascii="宋体" w:hAnsi="宋体" w:cs="宋体"/>
                <w:bCs/>
                <w:color w:val="000000"/>
                <w:sz w:val="24"/>
                <w:szCs w:val="24"/>
                <w:highlight w:val="none"/>
              </w:rPr>
              <w:t xml:space="preserve">物业服务管理制度、</w:t>
            </w:r>
            <w:r>
              <w:rPr>
                <w:rFonts w:hint="eastAsia" w:ascii="宋体" w:hAnsi="宋体" w:cs="宋体"/>
                <w:color w:val="000000"/>
                <w:sz w:val="24"/>
                <w:szCs w:val="24"/>
                <w:highlight w:val="none"/>
              </w:rPr>
              <w:t xml:space="preserve">公用设施设备相关管理制度等</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（2）制定</w:t>
            </w:r>
            <w:r>
              <w:rPr>
                <w:rFonts w:hint="eastAsia" w:ascii="宋体" w:hAnsi="宋体" w:cs="宋体"/>
                <w:bCs/>
                <w:color w:val="000000"/>
                <w:sz w:val="24"/>
                <w:szCs w:val="24"/>
                <w:highlight w:val="none"/>
              </w:rPr>
              <w:t xml:space="preserve">项目实施方案，主要包括：交接方案、人员培训方案、人员稳定性方案、保密方案等。</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（3）制定</w:t>
            </w:r>
            <w:r>
              <w:rPr>
                <w:rFonts w:hint="eastAsia" w:ascii="宋体" w:hAnsi="宋体" w:cs="宋体"/>
                <w:bCs/>
                <w:color w:val="000000"/>
                <w:sz w:val="24"/>
                <w:szCs w:val="24"/>
                <w:highlight w:val="none"/>
              </w:rPr>
              <w:t xml:space="preserve">物业服务方案，主要包括：房屋维护服务方案、公用设施设备维护服务方案、保洁服务方案、保安服务方案等。</w:t>
            </w:r>
            <w:r>
              <w:rPr>
                <w:rFonts w:hint="eastAsia" w:ascii="宋体" w:hAnsi="宋体" w:cs="宋体"/>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信报服务</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（1）对邮件、包裹和挂号信等进行正确分理、安全检查和防疫卫生检查。</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（2）及时投送或通知收件人领取。</w:t>
            </w:r>
            <w:r>
              <w:rPr>
                <w:rFonts w:hint="eastAsia" w:ascii="宋体" w:hAnsi="宋体" w:cs="宋体"/>
                <w:color w:val="000000"/>
                <w:sz w:val="24"/>
                <w:szCs w:val="24"/>
                <w:highlight w:val="none"/>
              </w:rPr>
            </w:r>
            <w:r/>
          </w:p>
        </w:tc>
      </w:tr>
      <w:tr>
        <w:trPr>
          <w:trHeight w:val="45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（3）大件物品出入向采购人报告，待采购人确认无误后放行。</w:t>
            </w:r>
            <w:r>
              <w:rPr>
                <w:rFonts w:hint="eastAsia" w:ascii="宋体" w:hAnsi="宋体" w:cs="宋体"/>
                <w:color w:val="000000"/>
                <w:sz w:val="24"/>
                <w:szCs w:val="24"/>
                <w:highlight w:val="none"/>
              </w:rPr>
            </w:r>
            <w:r/>
          </w:p>
        </w:tc>
      </w:tr>
      <w:tr>
        <w:trPr>
          <w:trHeight w:val="454"/>
        </w:trPr>
        <w:tc>
          <w:tcPr>
            <w:tcW w:w="84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1351"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服务热线及紧急维修</w:t>
            </w: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（1）设置24小时报修服务热线。</w:t>
            </w:r>
            <w:r>
              <w:rPr>
                <w:rFonts w:hint="eastAsia" w:ascii="宋体" w:hAnsi="宋体" w:cs="宋体"/>
                <w:color w:val="000000"/>
                <w:sz w:val="24"/>
                <w:szCs w:val="24"/>
                <w:highlight w:val="none"/>
              </w:rPr>
            </w:r>
            <w:r/>
          </w:p>
        </w:tc>
      </w:tr>
      <w:tr>
        <w:trPr>
          <w:trHeight w:val="724"/>
        </w:trPr>
        <w:tc>
          <w:tcPr>
            <w:tcW w:w="84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1"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77"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（2）紧急维修应当15分钟内到达现场，不间断维修直至修复。</w:t>
            </w:r>
            <w:r>
              <w:rPr>
                <w:rFonts w:hint="eastAsia" w:ascii="宋体" w:hAnsi="宋体" w:cs="宋体"/>
                <w:color w:val="000000"/>
                <w:sz w:val="24"/>
                <w:szCs w:val="24"/>
                <w:highlight w:val="none"/>
              </w:rPr>
            </w:r>
            <w:r/>
          </w:p>
        </w:tc>
      </w:tr>
    </w:tbl>
    <w:p>
      <w:pPr>
        <w:pStyle w:val="949"/>
        <w:ind w:firstLine="422"/>
        <w:spacing w:line="300" w:lineRule="auto"/>
        <w:widowControl/>
        <w:rPr>
          <w:rFonts w:hint="eastAsia" w:ascii="宋体" w:hAnsi="宋体" w:cs="宋体"/>
          <w:b/>
          <w:color w:val="000000"/>
          <w:sz w:val="24"/>
          <w:szCs w:val="22"/>
          <w:highlight w:val="none"/>
        </w:rPr>
        <w:outlineLvl w:val="2"/>
      </w:pPr>
      <w:r>
        <w:rPr>
          <w:rFonts w:ascii="Calibri" w:hAnsi="Calibri" w:cs="Calibri"/>
          <w:b/>
          <w:color w:val="000000"/>
          <w:szCs w:val="20"/>
          <w:highlight w:val="none"/>
        </w:rPr>
        <w:br w:type="page" w:clear="all"/>
      </w:r>
      <w:r>
        <w:rPr>
          <w:rFonts w:hint="eastAsia" w:ascii="宋体" w:hAnsi="宋体" w:cs="宋体"/>
          <w:b/>
          <w:color w:val="000000"/>
          <w:sz w:val="24"/>
          <w:szCs w:val="22"/>
          <w:highlight w:val="none"/>
        </w:rPr>
        <w:t xml:space="preserve">3.2房屋维护服务</w:t>
      </w:r>
      <w:r>
        <w:rPr>
          <w:rFonts w:hint="eastAsia" w:ascii="宋体" w:hAnsi="宋体" w:cs="宋体"/>
          <w:b/>
          <w:color w:val="000000"/>
          <w:sz w:val="24"/>
          <w:szCs w:val="22"/>
          <w:highlight w:val="none"/>
        </w:rPr>
      </w:r>
      <w:r/>
    </w:p>
    <w:tbl>
      <w:tblPr>
        <w:tblW w:w="4960" w:type="pct"/>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409"/>
        <w:gridCol w:w="7147"/>
      </w:tblGrid>
      <w:tr>
        <w:trPr>
          <w:trHeight w:val="454"/>
        </w:trPr>
        <w:tc>
          <w:tcPr>
            <w:tcW w:w="540"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409"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hint="eastAsia" w:ascii="宋体" w:hAnsi="宋体" w:cs="宋体"/>
                <w:b/>
                <w:bCs/>
                <w:color w:val="000000"/>
                <w:sz w:val="24"/>
                <w:szCs w:val="24"/>
                <w:highlight w:val="none"/>
              </w:rPr>
            </w:r>
            <w:r/>
          </w:p>
        </w:tc>
        <w:tc>
          <w:tcPr>
            <w:tcW w:w="7148"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hint="eastAsia" w:ascii="宋体" w:hAnsi="宋体" w:cs="宋体"/>
                <w:b/>
                <w:bCs/>
                <w:color w:val="000000"/>
                <w:sz w:val="24"/>
                <w:szCs w:val="24"/>
                <w:highlight w:val="none"/>
              </w:rPr>
            </w:r>
            <w:r/>
          </w:p>
        </w:tc>
      </w:tr>
      <w:tr>
        <w:trPr>
          <w:trHeight w:val="454"/>
        </w:trPr>
        <w:tc>
          <w:tcPr>
            <w:tcW w:w="540"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409"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主体结构、围护结构、部品部件</w:t>
            </w: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（1）每季度至少开展1次房屋结构安全巡视，发现外观有变形、开裂等现象，及时建议采购人申请房屋安全鉴定，并采取必要的避险和防护措施。</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（2）每季度至少开展1次外墙贴饰面、幕墙玻璃、雨篷、散水、空调室外机支撑构件等检查，发现破损，及时向采购人报告，按采购人要求出具维修方案，待采购人同意后按维修方案实施维修。</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（3）每半月至少开展1次公用部位的门、窗、楼梯、通风道、室内地面、墙面、吊顶和室外屋面等巡查，发现破损，及时向采购人报告，按采购人要求出具维修方案，待采购人同意后按维修方案实施维修。</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（4）每年强降雨天气前后、雨雪季节检查屋面防水和雨落管等，发现破损，及时向采购人报告，按采购人要求出具维修方案，待采购人同意后按维修方案实施维修。</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（5）办公楼外观完好，建筑装饰面无脱落、无破损、无污渍，玻璃幕墙无破损。</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（6）通道、楼梯、门窗等设施的完好和正常使用。</w:t>
            </w:r>
            <w:r>
              <w:rPr>
                <w:rFonts w:hint="eastAsia" w:ascii="宋体" w:hAnsi="宋体" w:cs="宋体"/>
                <w:color w:val="000000"/>
                <w:sz w:val="24"/>
                <w:szCs w:val="24"/>
                <w:highlight w:val="none"/>
              </w:rPr>
            </w:r>
            <w:r/>
          </w:p>
        </w:tc>
      </w:tr>
      <w:tr>
        <w:trPr>
          <w:trHeight w:val="454"/>
        </w:trPr>
        <w:tc>
          <w:tcPr>
            <w:tcW w:w="540"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409"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其他设施</w:t>
            </w: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（2）每年至少开展1次防雷装置检测，发现失效，及时向采购人报告，按采购人要求出具维修方案，待采购人同意后按维修方案实施维修。</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（3）路面状态良好，地漏通畅不堵塞。</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（4）接到采购人家具报修服务后，及时通知家具供货商对保修期内的家具进行维修，及时对保修期外的家具进行维修。</w:t>
            </w:r>
            <w:r>
              <w:rPr>
                <w:rFonts w:hint="eastAsia" w:ascii="宋体" w:hAnsi="宋体" w:cs="宋体"/>
                <w:color w:val="000000"/>
                <w:sz w:val="24"/>
                <w:szCs w:val="24"/>
                <w:highlight w:val="none"/>
              </w:rPr>
            </w:r>
            <w:r/>
          </w:p>
        </w:tc>
      </w:tr>
      <w:tr>
        <w:trPr>
          <w:trHeight w:val="454"/>
        </w:trPr>
        <w:tc>
          <w:tcPr>
            <w:tcW w:w="540"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409"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标识标牌</w:t>
            </w: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（1）标识标牌符合《公共信息图形符号 第1部分：通用符号》（GB/T 10001.1）的相关要求，消防与安全标识符合《安全标志及其使用导则》（GB2894）、《消防安全标志　第1部分：标志》（GB13495.1）的相关要求。</w:t>
            </w:r>
            <w:r>
              <w:rPr>
                <w:rFonts w:hint="eastAsia" w:ascii="宋体" w:hAnsi="宋体" w:cs="宋体"/>
                <w:color w:val="000000"/>
                <w:sz w:val="24"/>
                <w:szCs w:val="24"/>
                <w:highlight w:val="none"/>
              </w:rPr>
            </w:r>
            <w:r/>
          </w:p>
        </w:tc>
      </w:tr>
      <w:tr>
        <w:trPr>
          <w:trHeight w:val="454"/>
        </w:trPr>
        <w:tc>
          <w:tcPr>
            <w:tcW w:w="540"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9"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148"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（2）每月至少检查1次标识标牌和消防与安全标识。应当规范清晰、路线指引正确、安装稳固。</w:t>
            </w:r>
            <w:r>
              <w:rPr>
                <w:rFonts w:hint="eastAsia" w:ascii="宋体" w:hAnsi="宋体" w:cs="宋体"/>
                <w:color w:val="000000"/>
                <w:sz w:val="24"/>
                <w:szCs w:val="24"/>
                <w:highlight w:val="none"/>
              </w:rPr>
            </w:r>
            <w:r/>
          </w:p>
        </w:tc>
      </w:tr>
    </w:tbl>
    <w:p>
      <w:pPr>
        <w:pStyle w:val="949"/>
        <w:ind w:firstLine="422"/>
        <w:spacing w:line="300" w:lineRule="auto"/>
        <w:widowControl/>
        <w:rPr>
          <w:rFonts w:ascii="Calibri" w:hAnsi="Calibri" w:cs="Calibri"/>
          <w:b/>
          <w:color w:val="000000"/>
          <w:szCs w:val="20"/>
          <w:highlight w:val="none"/>
        </w:rPr>
        <w:outlineLvl w:val="2"/>
      </w:pPr>
      <w:r>
        <w:rPr>
          <w:rFonts w:ascii="Calibri" w:hAnsi="Calibri" w:cs="Calibri"/>
          <w:b/>
          <w:color w:val="000000"/>
          <w:szCs w:val="20"/>
          <w:highlight w:val="none"/>
        </w:rPr>
      </w:r>
      <w:r/>
    </w:p>
    <w:p>
      <w:pPr>
        <w:pStyle w:val="949"/>
        <w:ind w:firstLine="422"/>
        <w:spacing w:line="300" w:lineRule="auto"/>
        <w:widowControl/>
        <w:rPr>
          <w:rFonts w:hint="eastAsia" w:ascii="宋体" w:hAnsi="宋体" w:cs="宋体"/>
          <w:b/>
          <w:color w:val="000000"/>
          <w:sz w:val="24"/>
          <w:szCs w:val="22"/>
          <w:highlight w:val="none"/>
        </w:rPr>
        <w:outlineLvl w:val="2"/>
      </w:pPr>
      <w:r>
        <w:rPr>
          <w:rFonts w:hint="eastAsia" w:ascii="宋体" w:hAnsi="宋体" w:cs="宋体"/>
          <w:b/>
          <w:color w:val="000000"/>
          <w:sz w:val="24"/>
          <w:szCs w:val="22"/>
          <w:highlight w:val="none"/>
        </w:rPr>
        <w:t xml:space="preserve">3.3公用设施设备维护服务</w:t>
      </w:r>
      <w:r>
        <w:rPr>
          <w:rFonts w:hint="eastAsia" w:ascii="宋体" w:hAnsi="宋体" w:cs="宋体"/>
          <w:b/>
          <w:color w:val="000000"/>
          <w:sz w:val="24"/>
          <w:szCs w:val="22"/>
          <w:highlight w:val="none"/>
        </w:rPr>
      </w:r>
      <w:r/>
    </w:p>
    <w:tbl>
      <w:tblPr>
        <w:tblW w:w="501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122"/>
        <w:gridCol w:w="7454"/>
      </w:tblGrid>
      <w:tr>
        <w:trPr>
          <w:trHeight w:val="454"/>
        </w:trPr>
        <w:tc>
          <w:tcPr>
            <w:tcW w:w="621"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1122"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hint="eastAsia" w:ascii="宋体" w:hAnsi="宋体" w:cs="宋体"/>
                <w:b/>
                <w:bCs/>
                <w:color w:val="000000"/>
                <w:sz w:val="24"/>
                <w:szCs w:val="24"/>
                <w:highlight w:val="none"/>
              </w:rPr>
            </w:r>
            <w:r/>
          </w:p>
        </w:tc>
        <w:tc>
          <w:tcPr>
            <w:tcW w:w="7454" w:type="dxa"/>
            <w:vAlign w:val="center"/>
            <w:textDirection w:val="lrTb"/>
            <w:noWrap w:val="false"/>
          </w:tcPr>
          <w:p>
            <w:pPr>
              <w:pStyle w:val="949"/>
              <w:jc w:val="center"/>
              <w:keepLines w:val="0"/>
              <w:keepNext w:val="0"/>
              <w:pageBreakBefore w:val="0"/>
              <w:spacing w:line="30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服务标准</w:t>
            </w:r>
            <w:r>
              <w:rPr>
                <w:rFonts w:hint="eastAsia" w:ascii="宋体" w:hAnsi="宋体" w:cs="宋体"/>
                <w:b/>
                <w:bCs/>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基本要求</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（1）重大节假日及恶劣天气前后，组织系统巡检1次。</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（2）具备设施设备安全、稳定运行的环境和场所（含有限空间），温湿度、照度、粉尘和烟雾浓度等符合相关安全规范。</w:t>
            </w:r>
            <w:r>
              <w:rPr>
                <w:rFonts w:hint="eastAsia" w:ascii="宋体" w:hAnsi="宋体" w:cs="宋体"/>
                <w:color w:val="000000"/>
                <w:sz w:val="24"/>
                <w:szCs w:val="24"/>
                <w:highlight w:val="none"/>
              </w:rPr>
            </w:r>
            <w:r/>
          </w:p>
        </w:tc>
      </w:tr>
      <w:tr>
        <w:trPr>
          <w:trHeight w:val="90"/>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设备机房</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ascii="宋体" w:hAnsi="宋体" w:cs="宋体"/>
                <w:color w:val="000000"/>
                <w:sz w:val="24"/>
                <w:szCs w:val="24"/>
                <w:highlight w:val="none"/>
              </w:rPr>
            </w:r>
            <w:r/>
          </w:p>
        </w:tc>
      </w:tr>
      <w:tr>
        <w:trPr>
          <w:trHeight w:val="445"/>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（2）设备机房门窗、锁具应当完好、有效。</w:t>
            </w:r>
            <w:r>
              <w:rPr>
                <w:rFonts w:hint="eastAsia" w:ascii="宋体" w:hAnsi="宋体" w:cs="宋体"/>
                <w:color w:val="000000"/>
                <w:sz w:val="24"/>
                <w:szCs w:val="24"/>
                <w:highlight w:val="none"/>
              </w:rPr>
            </w:r>
            <w:r/>
          </w:p>
        </w:tc>
      </w:tr>
      <w:tr>
        <w:trPr>
          <w:trHeight w:val="483"/>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（3）每半月至少开展1次清洁，整洁有序、无杂物、无积尘、无鼠、无虫害，温湿度符合设备运行要求。</w:t>
            </w:r>
            <w:r>
              <w:rPr>
                <w:rFonts w:hint="eastAsia" w:ascii="宋体" w:hAnsi="宋体" w:cs="宋体"/>
                <w:color w:val="000000"/>
                <w:sz w:val="24"/>
                <w:szCs w:val="24"/>
                <w:highlight w:val="none"/>
              </w:rPr>
            </w:r>
            <w:r/>
          </w:p>
        </w:tc>
      </w:tr>
      <w:tr>
        <w:trPr>
          <w:trHeight w:val="481"/>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（4）按各设备机房国家标准规范规定维护/保管消防、通风、应急照明，防止小动物进入。</w:t>
            </w:r>
            <w:r>
              <w:rPr>
                <w:rFonts w:hint="eastAsia" w:ascii="宋体" w:hAnsi="宋体" w:cs="宋体"/>
                <w:color w:val="000000"/>
                <w:sz w:val="24"/>
                <w:szCs w:val="24"/>
                <w:highlight w:val="none"/>
              </w:rPr>
            </w:r>
            <w:r/>
          </w:p>
        </w:tc>
      </w:tr>
      <w:tr>
        <w:trPr>
          <w:trHeight w:val="493"/>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（5）安全防护用具配置齐全，检验合格。</w:t>
            </w:r>
            <w:r>
              <w:rPr>
                <w:rFonts w:hint="eastAsia" w:ascii="宋体" w:hAnsi="宋体" w:cs="宋体"/>
                <w:color w:val="000000"/>
                <w:sz w:val="24"/>
                <w:szCs w:val="24"/>
                <w:highlight w:val="none"/>
              </w:rPr>
            </w:r>
            <w:r/>
          </w:p>
        </w:tc>
      </w:tr>
      <w:tr>
        <w:trPr>
          <w:trHeight w:val="481"/>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（6）应急设施设备用品应当齐全、完备，可随时启用，定期进行维护。</w:t>
            </w:r>
            <w:r>
              <w:rPr>
                <w:rFonts w:hint="eastAsia" w:ascii="宋体" w:hAnsi="宋体" w:cs="宋体"/>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电梯系统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（1）电梯运行平稳、无异响、平层、开关正常。每周至少开展2次电梯的安全状况检查。</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（2）有电梯突发事件或事故的应急措施与救援预案，每年至少开展演练1次。电梯出现故障，物业服务人员10分钟内到场应急处理。</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（3）电梯维修、保养时在现场设置提示标识和防护围栏。</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（4）根据采购人需求，合理设置电梯开启的数量、时间，定期进行维护。</w:t>
            </w:r>
            <w:r>
              <w:rPr>
                <w:rFonts w:hint="eastAsia" w:ascii="宋体" w:hAnsi="宋体" w:cs="宋体"/>
                <w:color w:val="000000"/>
                <w:sz w:val="24"/>
                <w:szCs w:val="24"/>
                <w:highlight w:val="none"/>
              </w:rPr>
            </w:r>
            <w:r/>
          </w:p>
        </w:tc>
      </w:tr>
      <w:tr>
        <w:trPr>
          <w:trHeight w:val="454"/>
        </w:trPr>
        <w:tc>
          <w:tcPr>
            <w:tcW w:w="621"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122" w:type="dxa"/>
            <w:vAlign w:val="center"/>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空调系统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制冷、供暖系统温度设定及启用时间符合节能要求，定期进行维护。</w:t>
            </w:r>
            <w:r>
              <w:rPr>
                <w:rFonts w:hint="eastAsia" w:ascii="宋体" w:hAnsi="宋体" w:cs="宋体"/>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（1）消防设施平面图、火警疏散示意图、防火分区图等按幢设置在楼层醒目位置。</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（2）消防系统各设施设备使用说明清晰，宜图文结合。</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（3）消火栓箱、防火门、灭火器、消防水泵、红外线报警器、应急照明、安全疏散等系统运行正常。</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（4）消防监控系统运行良好，自动和手动报警设施启动正常，定期进行维护。</w:t>
            </w:r>
            <w:r>
              <w:rPr>
                <w:rFonts w:hint="eastAsia" w:ascii="宋体" w:hAnsi="宋体" w:cs="宋体"/>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供配电系统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（1）建立24小时运行值班监控制度。</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（2）对供电范围内的电气设备定期巡视维护，加强高低压配电柜、配电箱、控制柜及线路等重点部位监测。</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（3）公共使用的照明、指示灯具线路、开关、接地等保持完好，确保用电安全。</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（4）核心部位用电建立高可控用电保障和配备应急发电设备，定期维护应急发电设备。</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（5）发生非计划性停电的，应当在事件发生后及时通知采购人，快速恢复或启用应急电源，并做好应急事件上报及处理工作。</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（6）复杂故障涉及供电部门维修处置的及时与供电部门联系，并向采购人报告。</w:t>
            </w:r>
            <w:r>
              <w:rPr>
                <w:rFonts w:hint="eastAsia" w:ascii="宋体" w:hAnsi="宋体" w:cs="宋体"/>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弱电系统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（1）安全防范系统维护保养符合《安全防范系统维护保养规范》（GA/T 1081）的相关要求。</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（2）保持监控系统、门禁系统、安全防范系统等运行正常，有故障及时排除，定期进行维护。</w:t>
            </w:r>
            <w:r>
              <w:rPr>
                <w:rFonts w:hint="eastAsia" w:ascii="宋体" w:hAnsi="宋体" w:cs="宋体"/>
                <w:color w:val="000000"/>
                <w:sz w:val="24"/>
                <w:szCs w:val="24"/>
                <w:highlight w:val="none"/>
              </w:rPr>
            </w:r>
            <w:r/>
          </w:p>
        </w:tc>
      </w:tr>
      <w:tr>
        <w:trPr>
          <w:trHeight w:val="454"/>
        </w:trPr>
        <w:tc>
          <w:tcPr>
            <w:tcW w:w="621" w:type="dxa"/>
            <w:vAlign w:val="center"/>
            <w:vMerge w:val="restart"/>
            <w:textDirection w:val="lrTb"/>
            <w:noWrap w:val="false"/>
          </w:tcPr>
          <w:p>
            <w:pPr>
              <w:pStyle w:val="949"/>
              <w:jc w:val="center"/>
              <w:keepLines w:val="0"/>
              <w:keepNext w:val="0"/>
              <w:pageBreakBefore w:val="0"/>
              <w:spacing w:line="30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1122" w:type="dxa"/>
            <w:vAlign w:val="center"/>
            <w:vMerge w:val="restart"/>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照明系统</w:t>
            </w: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（1）外观整洁无缺损、无松落。</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（2）更换的照明灯具应当选用节能环保产品，亮度与更换前保持一致。</w:t>
            </w:r>
            <w:r>
              <w:rPr>
                <w:rFonts w:hint="eastAsia" w:ascii="宋体" w:hAnsi="宋体" w:cs="宋体"/>
                <w:color w:val="000000"/>
                <w:sz w:val="24"/>
                <w:szCs w:val="24"/>
                <w:highlight w:val="none"/>
              </w:rPr>
            </w:r>
            <w:r/>
          </w:p>
        </w:tc>
      </w:tr>
      <w:tr>
        <w:trPr>
          <w:trHeight w:val="454"/>
        </w:trPr>
        <w:tc>
          <w:tcPr>
            <w:tcW w:w="621" w:type="dxa"/>
            <w:vAlign w:val="center"/>
            <w:vMerge w:val="continue"/>
            <w:textDirection w:val="lrTb"/>
            <w:noWrap w:val="false"/>
          </w:tcPr>
          <w:p>
            <w:pPr>
              <w:pStyle w:val="949"/>
              <w:jc w:val="center"/>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22" w:type="dxa"/>
            <w:vAlign w:val="center"/>
            <w:vMerge w:val="continue"/>
            <w:textDirection w:val="lrTb"/>
            <w:noWrap w:val="false"/>
          </w:tcPr>
          <w:p>
            <w:pPr>
              <w:pStyle w:val="949"/>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4" w:type="dxa"/>
            <w:vAlign w:val="center"/>
            <w:textDirection w:val="lrTb"/>
            <w:noWrap w:val="false"/>
          </w:tcPr>
          <w:p>
            <w:pPr>
              <w:pStyle w:val="949"/>
              <w:ind w:firstLine="210"/>
              <w:jc w:val="left"/>
              <w:keepLines w:val="0"/>
              <w:keepNext w:val="0"/>
              <w:pageBreakBefore w:val="0"/>
              <w:spacing w:line="3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（3）每周至少开展1次公共区域照明设备巡视。</w:t>
            </w:r>
            <w:r>
              <w:rPr>
                <w:rFonts w:hint="eastAsia" w:ascii="宋体" w:hAnsi="宋体" w:cs="宋体"/>
                <w:color w:val="000000"/>
                <w:sz w:val="24"/>
                <w:szCs w:val="24"/>
                <w:highlight w:val="none"/>
              </w:rPr>
            </w:r>
            <w:r/>
          </w:p>
        </w:tc>
      </w:tr>
    </w:tbl>
    <w:p>
      <w:pPr>
        <w:pStyle w:val="949"/>
        <w:ind w:firstLine="482"/>
        <w:spacing w:line="360" w:lineRule="auto"/>
        <w:widowControl/>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3.4保洁服务</w:t>
      </w:r>
      <w:r>
        <w:rPr>
          <w:rFonts w:hint="eastAsia" w:ascii="宋体" w:hAnsi="宋体" w:cs="宋体"/>
          <w:b/>
          <w:color w:val="000000"/>
          <w:sz w:val="24"/>
          <w:szCs w:val="24"/>
          <w:highlight w:val="none"/>
        </w:rPr>
      </w:r>
      <w:r/>
    </w:p>
    <w:tbl>
      <w:tblPr>
        <w:tblW w:w="5209"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055"/>
        <w:gridCol w:w="7889"/>
      </w:tblGrid>
      <w:tr>
        <w:trPr>
          <w:trHeight w:val="454"/>
        </w:trPr>
        <w:tc>
          <w:tcPr>
            <w:tcW w:w="608" w:type="dxa"/>
            <w:vAlign w:val="center"/>
            <w:textDirection w:val="lrTb"/>
            <w:noWrap w:val="false"/>
          </w:tcPr>
          <w:p>
            <w:pPr>
              <w:pStyle w:val="949"/>
              <w:ind w:left="0"/>
              <w:jc w:val="center"/>
              <w:keepLines w:val="0"/>
              <w:keepNext w:val="0"/>
              <w:pageBreakBefore w:val="0"/>
              <w:spacing w:line="300" w:lineRule="exact"/>
              <w:widowControl/>
              <w:rPr>
                <w:rFonts w:hint="eastAsia"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序号</w:t>
            </w:r>
            <w:r>
              <w:rPr>
                <w:rFonts w:hint="eastAsia" w:ascii="Calibri" w:hAnsi="Calibri" w:cs="Calibri"/>
                <w:b/>
                <w:bCs/>
                <w:color w:val="000000"/>
                <w:sz w:val="24"/>
                <w:szCs w:val="24"/>
                <w:highlight w:val="none"/>
              </w:rPr>
            </w:r>
            <w:r/>
          </w:p>
        </w:tc>
        <w:tc>
          <w:tcPr>
            <w:tcW w:w="1055" w:type="dxa"/>
            <w:vAlign w:val="center"/>
            <w:textDirection w:val="lrTb"/>
            <w:noWrap w:val="false"/>
          </w:tcPr>
          <w:p>
            <w:pPr>
              <w:pStyle w:val="949"/>
              <w:ind w:left="0"/>
              <w:jc w:val="center"/>
              <w:keepLines w:val="0"/>
              <w:keepNext w:val="0"/>
              <w:pageBreakBefore w:val="0"/>
              <w:spacing w:line="300" w:lineRule="exact"/>
              <w:widowControl/>
              <w:rPr>
                <w:rFonts w:ascii="Calibri" w:hAnsi="Calibri" w:cs="Calibri"/>
                <w:b/>
                <w:bCs/>
                <w:color w:val="000000"/>
                <w:sz w:val="24"/>
                <w:szCs w:val="24"/>
                <w:highlight w:val="none"/>
              </w:rPr>
            </w:pPr>
            <w:r>
              <w:rPr>
                <w:rFonts w:ascii="Calibri" w:hAnsi="Calibri" w:cs="Calibri"/>
                <w:b/>
                <w:bCs/>
                <w:color w:val="000000"/>
                <w:sz w:val="24"/>
                <w:szCs w:val="24"/>
                <w:highlight w:val="none"/>
              </w:rPr>
              <w:t xml:space="preserve">服务内容</w:t>
            </w:r>
            <w:r>
              <w:rPr>
                <w:rFonts w:ascii="Calibri" w:hAnsi="Calibri" w:cs="Calibri"/>
                <w:b/>
                <w:bCs/>
                <w:color w:val="000000"/>
                <w:sz w:val="24"/>
                <w:szCs w:val="24"/>
                <w:highlight w:val="none"/>
              </w:rPr>
            </w:r>
            <w:r/>
          </w:p>
        </w:tc>
        <w:tc>
          <w:tcPr>
            <w:tcW w:w="7891" w:type="dxa"/>
            <w:vAlign w:val="center"/>
            <w:textDirection w:val="lrTb"/>
            <w:noWrap w:val="false"/>
          </w:tcPr>
          <w:p>
            <w:pPr>
              <w:pStyle w:val="949"/>
              <w:ind w:left="0"/>
              <w:jc w:val="center"/>
              <w:keepLines w:val="0"/>
              <w:keepNext w:val="0"/>
              <w:pageBreakBefore w:val="0"/>
              <w:spacing w:line="300" w:lineRule="exact"/>
              <w:widowControl/>
              <w:rPr>
                <w:rFonts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服务标准</w:t>
            </w:r>
            <w:r>
              <w:rPr>
                <w:rFonts w:ascii="Calibri" w:hAnsi="Calibri" w:cs="Calibri"/>
                <w:b/>
                <w:bCs/>
                <w:color w:val="000000"/>
                <w:sz w:val="24"/>
                <w:szCs w:val="24"/>
                <w:highlight w:val="none"/>
              </w:rPr>
            </w:r>
            <w:r/>
          </w:p>
        </w:tc>
      </w:tr>
      <w:tr>
        <w:trPr>
          <w:trHeight w:val="1507"/>
        </w:trPr>
        <w:tc>
          <w:tcPr>
            <w:tcW w:w="608" w:type="dxa"/>
            <w:vAlign w:val="center"/>
            <w:vMerge w:val="restart"/>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eastAsia="zh-CN"/>
              </w:rPr>
            </w:pPr>
            <w:r>
              <w:rPr>
                <w:rFonts w:hint="eastAsia" w:ascii="Calibri" w:hAnsi="Calibri" w:cs="Calibri"/>
                <w:color w:val="000000"/>
                <w:sz w:val="24"/>
                <w:szCs w:val="24"/>
                <w:highlight w:val="none"/>
                <w:lang w:val="en-US" w:eastAsia="zh-CN"/>
              </w:rPr>
              <w:t xml:space="preserve">1</w:t>
            </w:r>
            <w:r>
              <w:rPr>
                <w:rFonts w:hint="eastAsia" w:ascii="Calibri" w:hAnsi="Calibri" w:eastAsia="宋体" w:cs="Calibri"/>
                <w:color w:val="000000"/>
                <w:sz w:val="24"/>
                <w:szCs w:val="24"/>
                <w:highlight w:val="none"/>
                <w:lang w:eastAsia="zh-CN"/>
              </w:rPr>
            </w:r>
            <w:r/>
          </w:p>
        </w:tc>
        <w:tc>
          <w:tcPr>
            <w:tcW w:w="1055" w:type="dxa"/>
            <w:vAlign w:val="center"/>
            <w:vMerge w:val="restart"/>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办公用房区域保洁</w:t>
            </w:r>
            <w:r>
              <w:rPr>
                <w:rFonts w:ascii="Calibri" w:hAnsi="Calibri" w:cs="Calibri"/>
                <w:color w:val="000000"/>
                <w:sz w:val="24"/>
                <w:szCs w:val="24"/>
                <w:highlight w:val="none"/>
              </w:rPr>
            </w:r>
            <w:r/>
          </w:p>
        </w:tc>
        <w:tc>
          <w:tcPr>
            <w:tcW w:w="7891" w:type="dxa"/>
            <w:vAlign w:val="center"/>
            <w:textDirection w:val="lrTb"/>
            <w:noWrap w:val="false"/>
          </w:tcPr>
          <w:p>
            <w:pPr>
              <w:pStyle w:val="949"/>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（1）大厅、楼内公共通道：</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①公共通道保持干净，无异味、无杂物、无积水，每日至少开展2次清洁作业。</w:t>
            </w:r>
            <w:r>
              <w:rPr>
                <w:rFonts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②门窗玻璃干净无尘，透光性好，每周至少开展1次清洁作业。</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③指示牌干净，无污渍，每日至少开展1次清洁作业。</w:t>
            </w:r>
            <w:r>
              <w:rPr>
                <w:rFonts w:hint="eastAsia" w:ascii="Calibri" w:hAnsi="Calibri" w:cs="Calibri"/>
                <w:color w:val="000000"/>
                <w:sz w:val="24"/>
                <w:szCs w:val="24"/>
                <w:highlight w:val="none"/>
              </w:rPr>
            </w:r>
            <w:r/>
          </w:p>
        </w:tc>
      </w:tr>
      <w:tr>
        <w:trPr>
          <w:trHeight w:val="1095"/>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（2）电器、消防等设施设备：</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①配电箱、设备机房、会议室音视频设备、消防栓及开关插座等保持表面干净，无尘无污迹，每月至少开展1次清洁作业。</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②监控摄像头、门禁系统等表面光亮，无尘、无斑点，每月至少开展1次清洁作业。</w:t>
            </w:r>
            <w:r>
              <w:rPr>
                <w:rFonts w:hint="eastAsia" w:ascii="Calibri" w:hAnsi="Calibri" w:cs="Calibri"/>
                <w:color w:val="000000"/>
                <w:sz w:val="24"/>
                <w:szCs w:val="24"/>
                <w:highlight w:val="none"/>
              </w:rPr>
            </w:r>
            <w:r/>
          </w:p>
        </w:tc>
      </w:tr>
      <w:tr>
        <w:trPr>
          <w:trHeight w:val="509"/>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（3）值班室每天整理1次，被褥床单每天更换，物品归置整齐，地面、床头柜、桌面、空调无灰尘。</w:t>
            </w:r>
            <w:r>
              <w:rPr>
                <w:rFonts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（4）楼梯及楼梯间保持干净、无异味、无杂物、无积水，每日至少开展1次清洁作业。</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（5）开水间保持干净、无异味、无杂物、无积水，每日至少开展1次清洁作业。</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（6）作业工具间：</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①保持干净，无异味、无杂物、无积水，每日至少开展1次清洁作业。</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②作业工具摆放整齐有序，表面干净无渍，每日消毒。</w:t>
            </w:r>
            <w:r>
              <w:rPr>
                <w:rFonts w:hint="eastAsia" w:ascii="Calibri" w:hAnsi="Calibri" w:cs="Calibri"/>
                <w:color w:val="000000"/>
                <w:sz w:val="24"/>
                <w:szCs w:val="24"/>
                <w:highlight w:val="none"/>
              </w:rPr>
            </w:r>
            <w:r/>
          </w:p>
        </w:tc>
      </w:tr>
      <w:tr>
        <w:trPr>
          <w:trHeight w:val="1095"/>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（7）公共卫生间：</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①保持干净，无异味，垃圾无溢出，每日至少开展4次清洁作业，每周进行2次消毒，达到“三无”要求，即无异味、无污迹、无积水。卫生用品用卫生纸、洗手液等不断缺。</w:t>
            </w:r>
            <w:r>
              <w:rPr>
                <w:rFonts w:hint="eastAsia" w:ascii="Calibri" w:hAnsi="Calibri" w:cs="Calibri"/>
                <w:color w:val="000000"/>
                <w:sz w:val="24"/>
                <w:szCs w:val="24"/>
                <w:highlight w:val="none"/>
              </w:rPr>
            </w:r>
            <w:r/>
          </w:p>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②及时补充厕纸等必要用品。</w:t>
            </w:r>
            <w:r>
              <w:rPr>
                <w:rFonts w:hint="eastAsia" w:ascii="Calibri" w:hAnsi="Calibri" w:cs="Calibri"/>
                <w:color w:val="000000"/>
                <w:sz w:val="24"/>
                <w:szCs w:val="24"/>
                <w:highlight w:val="none"/>
              </w:rPr>
            </w:r>
            <w:r/>
          </w:p>
        </w:tc>
      </w:tr>
      <w:tr>
        <w:trPr>
          <w:trHeight w:val="1107"/>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（8）电梯轿厢：</w:t>
            </w:r>
            <w:r>
              <w:rPr>
                <w:rFonts w:hint="eastAsia" w:ascii="Calibri" w:hAnsi="Calibri" w:cs="Calibri"/>
                <w:color w:val="000000"/>
                <w:sz w:val="24"/>
                <w:szCs w:val="24"/>
                <w:highlight w:val="none"/>
              </w:rPr>
            </w:r>
            <w:r/>
          </w:p>
          <w:p>
            <w:pPr>
              <w:pStyle w:val="949"/>
              <w:ind w:left="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①保持干净，无污渍、无粘贴物、无异味，每日至少开展1次清洁作业。</w:t>
            </w:r>
            <w:r>
              <w:rPr>
                <w:rFonts w:hint="eastAsia" w:ascii="Calibri" w:hAnsi="Calibri" w:cs="Calibri"/>
                <w:color w:val="000000"/>
                <w:sz w:val="24"/>
                <w:szCs w:val="24"/>
                <w:highlight w:val="none"/>
              </w:rPr>
            </w:r>
            <w:r/>
          </w:p>
          <w:p>
            <w:pPr>
              <w:pStyle w:val="949"/>
              <w:ind w:left="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②灯具、操作指示板明亮。</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（9）平台、屋顶、天沟保持干净，有杂物及时清扫，每月至少开展1次清洁作业。</w:t>
            </w:r>
            <w:r>
              <w:rPr>
                <w:rFonts w:hint="eastAsia" w:ascii="Calibri" w:hAnsi="Calibri" w:cs="Calibri"/>
                <w:color w:val="000000"/>
                <w:sz w:val="24"/>
                <w:szCs w:val="24"/>
                <w:highlight w:val="none"/>
              </w:rPr>
            </w:r>
            <w:r/>
          </w:p>
        </w:tc>
      </w:tr>
      <w:tr>
        <w:trPr>
          <w:trHeight w:val="588"/>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（10）地毯干净、无油渍、无污渍、无褪色，每月至少开展1次清洁作业。</w:t>
            </w:r>
            <w:r>
              <w:rPr>
                <w:rFonts w:hint="eastAsia" w:ascii="Calibri" w:hAnsi="Calibri" w:cs="Calibri"/>
                <w:color w:val="000000"/>
                <w:sz w:val="24"/>
                <w:szCs w:val="24"/>
                <w:highlight w:val="none"/>
              </w:rPr>
            </w:r>
            <w:r/>
          </w:p>
        </w:tc>
      </w:tr>
      <w:tr>
        <w:trPr>
          <w:trHeight w:val="454"/>
        </w:trPr>
        <w:tc>
          <w:tcPr>
            <w:tcW w:w="608" w:type="dxa"/>
            <w:vAlign w:val="center"/>
            <w:vMerge w:val="restart"/>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eastAsia="zh-CN"/>
              </w:rPr>
            </w:pPr>
            <w:r>
              <w:rPr>
                <w:rFonts w:hint="eastAsia" w:ascii="Calibri" w:hAnsi="Calibri" w:cs="Calibri"/>
                <w:color w:val="000000"/>
                <w:sz w:val="24"/>
                <w:szCs w:val="24"/>
                <w:highlight w:val="none"/>
                <w:lang w:val="en-US" w:eastAsia="zh-CN"/>
              </w:rPr>
              <w:t xml:space="preserve">2</w:t>
            </w:r>
            <w:r>
              <w:rPr>
                <w:rFonts w:hint="eastAsia" w:ascii="Calibri" w:hAnsi="Calibri" w:eastAsia="宋体" w:cs="Calibri"/>
                <w:color w:val="000000"/>
                <w:sz w:val="24"/>
                <w:szCs w:val="24"/>
                <w:highlight w:val="none"/>
                <w:lang w:eastAsia="zh-CN"/>
              </w:rPr>
            </w:r>
            <w:r/>
          </w:p>
        </w:tc>
        <w:tc>
          <w:tcPr>
            <w:tcW w:w="1055" w:type="dxa"/>
            <w:vAlign w:val="center"/>
            <w:vMerge w:val="restart"/>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公共场地区域保洁</w:t>
            </w: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（1）每日清扫道路地面、停车场等公共区域2次，保持干净、无杂物、无积水。</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（2）雪、冰冻等恶劣天气时及时清扫积水、积雪，并采取安全防护措施。</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（3）各种路标、宣传栏等保持干净，每月至少开展1次清洁作业。</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（4）清洁室外照明设备，每月至少开展1次清洁作业。</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（5）绿地内无杂物、无改变用途和破坏、践踏、占用现象，每天至少开展1次巡查。</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MS Mincho" w:hAnsi="MS Mincho" w:eastAsia="MS Mincho" w:cs="MS Mincho"/>
                <w:color w:val="000000"/>
                <w:sz w:val="24"/>
                <w:szCs w:val="24"/>
                <w:highlight w:val="none"/>
              </w:rPr>
            </w:pPr>
            <w:r>
              <w:rPr>
                <w:rFonts w:hint="eastAsia" w:ascii="Calibri" w:hAnsi="Calibri" w:cs="Calibri"/>
                <w:color w:val="000000"/>
                <w:sz w:val="24"/>
                <w:szCs w:val="24"/>
                <w:highlight w:val="none"/>
              </w:rPr>
              <w:t xml:space="preserve">（6）恶劣天气后，及时清除倒树断枝子，疏通道路，尽快恢复原状。</w:t>
            </w:r>
            <w:r>
              <w:rPr>
                <w:rFonts w:hint="eastAsia" w:ascii="MS Mincho" w:hAnsi="MS Mincho" w:eastAsia="MS Mincho" w:cs="MS Mincho"/>
                <w:color w:val="000000"/>
                <w:sz w:val="24"/>
                <w:szCs w:val="24"/>
                <w:highlight w:val="none"/>
              </w:rPr>
            </w:r>
            <w:r/>
          </w:p>
        </w:tc>
      </w:tr>
      <w:tr>
        <w:trPr>
          <w:trHeight w:val="454"/>
        </w:trPr>
        <w:tc>
          <w:tcPr>
            <w:tcW w:w="608" w:type="dxa"/>
            <w:vAlign w:val="center"/>
            <w:vMerge w:val="restart"/>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eastAsia="zh-CN"/>
              </w:rPr>
            </w:pPr>
            <w:r>
              <w:rPr>
                <w:rFonts w:hint="eastAsia" w:ascii="Calibri" w:hAnsi="Calibri" w:cs="Calibri"/>
                <w:color w:val="000000"/>
                <w:sz w:val="24"/>
                <w:szCs w:val="24"/>
                <w:highlight w:val="none"/>
                <w:lang w:val="en-US" w:eastAsia="zh-CN"/>
              </w:rPr>
              <w:t xml:space="preserve">3</w:t>
            </w:r>
            <w:r>
              <w:rPr>
                <w:rFonts w:hint="eastAsia" w:ascii="Calibri" w:hAnsi="Calibri" w:eastAsia="宋体" w:cs="Calibri"/>
                <w:color w:val="000000"/>
                <w:sz w:val="24"/>
                <w:szCs w:val="24"/>
                <w:highlight w:val="none"/>
                <w:lang w:eastAsia="zh-CN"/>
              </w:rPr>
            </w:r>
            <w:r/>
          </w:p>
        </w:tc>
        <w:tc>
          <w:tcPr>
            <w:tcW w:w="1055" w:type="dxa"/>
            <w:vAlign w:val="center"/>
            <w:vMerge w:val="restart"/>
            <w:textDirection w:val="lrTb"/>
            <w:noWrap w:val="false"/>
          </w:tcPr>
          <w:p>
            <w:pPr>
              <w:pStyle w:val="949"/>
              <w:ind w:left="0"/>
              <w:jc w:val="center"/>
              <w:keepLines w:val="0"/>
              <w:keepNext w:val="0"/>
              <w:pageBreakBefore w:val="0"/>
              <w:spacing w:line="300" w:lineRule="exact"/>
              <w:widowControl/>
              <w:rPr>
                <w:rFonts w:ascii="Calibri" w:hAnsi="Calibri" w:eastAsia="宋体" w:cs="Calibri"/>
                <w:color w:val="000000"/>
                <w:sz w:val="24"/>
                <w:szCs w:val="24"/>
                <w:highlight w:val="none"/>
                <w:lang w:val="en-US" w:eastAsia="zh-CN"/>
              </w:rPr>
            </w:pPr>
            <w:r>
              <w:rPr>
                <w:rFonts w:hint="eastAsia" w:ascii="Calibri" w:hAnsi="Calibri" w:cs="Calibri"/>
                <w:color w:val="000000"/>
                <w:sz w:val="24"/>
                <w:szCs w:val="24"/>
                <w:highlight w:val="none"/>
                <w:lang w:val="en-US" w:eastAsia="zh-CN"/>
              </w:rPr>
              <w:t xml:space="preserve">医废处理</w:t>
            </w:r>
            <w:r>
              <w:rPr>
                <w:rFonts w:ascii="Calibri" w:hAnsi="Calibri" w:eastAsia="宋体"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60" w:lineRule="auto"/>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严格按照《医院感染管理办法》的要求做好相关工作，进行医疗废物管理信息系统的录入。</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firstLine="240"/>
              <w:jc w:val="left"/>
              <w:keepLines w:val="0"/>
              <w:keepNext w:val="0"/>
              <w:pageBreakBefore w:val="0"/>
              <w:spacing w:line="360" w:lineRule="auto"/>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医疗废物处理程序分类、收集、封扎、交接、转运、过秤、登记。做到医疗废物与生活废物分开收集、医疗废物中不得混入生活垃圾，生活垃圾一旦混入医疗废物必须按医疗废物处理。医疗废物使用标有警示标识的黄色塑料袋，生活垃圾使用黑色塑料袋。</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firstLine="240"/>
              <w:jc w:val="left"/>
              <w:keepLines w:val="0"/>
              <w:keepNext w:val="0"/>
              <w:pageBreakBefore w:val="0"/>
              <w:spacing w:line="360" w:lineRule="auto"/>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医疗废物处置过程中封扎时袋口要扎紧，挂签项目要填全，转运途中无渗漏，专用密封车辆运送，交接过秤不忘签字。分类登记要详细，资料保存需三年，责任到人。</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firstLine="240"/>
              <w:jc w:val="left"/>
              <w:keepLines w:val="0"/>
              <w:keepNext w:val="0"/>
              <w:pageBreakBefore w:val="0"/>
              <w:spacing w:line="360" w:lineRule="auto"/>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损伤性废物处理要注意安全。务必将损伤性废物置于防渗漏的硬质容器内，处置时倒入适量的消毒液后，将容器口封紧，外套标有警示标识的黄色塑料袋封扎，按医疗废物程序转运。</w:t>
            </w:r>
            <w:r>
              <w:rPr>
                <w:rFonts w:hint="eastAsia" w:ascii="Calibri" w:hAnsi="Calibri" w:cs="Calibri"/>
                <w:color w:val="000000"/>
                <w:sz w:val="24"/>
                <w:szCs w:val="24"/>
                <w:highlight w:val="none"/>
              </w:rPr>
            </w:r>
            <w:r/>
          </w:p>
        </w:tc>
      </w:tr>
      <w:tr>
        <w:trPr>
          <w:trHeight w:val="454"/>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firstLine="240"/>
              <w:jc w:val="left"/>
              <w:keepLines w:val="0"/>
              <w:keepNext w:val="0"/>
              <w:pageBreakBefore w:val="0"/>
              <w:spacing w:line="360" w:lineRule="auto"/>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做好院外送到本院的医疗废物的收集，按处理程序分类、收集、封扎、交接、转运、过秤、登记。</w:t>
            </w:r>
            <w:r>
              <w:rPr>
                <w:rFonts w:hint="eastAsia" w:ascii="Calibri" w:hAnsi="Calibri" w:cs="Calibri"/>
                <w:color w:val="000000"/>
                <w:sz w:val="24"/>
                <w:szCs w:val="24"/>
                <w:highlight w:val="none"/>
              </w:rPr>
            </w:r>
            <w:r/>
          </w:p>
        </w:tc>
      </w:tr>
      <w:tr>
        <w:trPr>
          <w:trHeight w:val="532"/>
        </w:trPr>
        <w:tc>
          <w:tcPr>
            <w:tcW w:w="608" w:type="dxa"/>
            <w:vAlign w:val="center"/>
            <w:vMerge w:val="restart"/>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eastAsia="zh-CN"/>
              </w:rPr>
            </w:pPr>
            <w:r>
              <w:rPr>
                <w:rFonts w:hint="eastAsia" w:ascii="Calibri" w:hAnsi="Calibri" w:cs="Calibri"/>
                <w:color w:val="000000"/>
                <w:sz w:val="24"/>
                <w:szCs w:val="24"/>
                <w:highlight w:val="none"/>
                <w:lang w:val="en-US" w:eastAsia="zh-CN"/>
              </w:rPr>
              <w:t xml:space="preserve">4</w:t>
            </w:r>
            <w:r>
              <w:rPr>
                <w:rFonts w:hint="eastAsia" w:ascii="Calibri" w:hAnsi="Calibri" w:eastAsia="宋体" w:cs="Calibri"/>
                <w:color w:val="000000"/>
                <w:sz w:val="24"/>
                <w:szCs w:val="24"/>
                <w:highlight w:val="none"/>
                <w:lang w:eastAsia="zh-CN"/>
              </w:rPr>
            </w:r>
            <w:r/>
          </w:p>
        </w:tc>
        <w:tc>
          <w:tcPr>
            <w:tcW w:w="1055" w:type="dxa"/>
            <w:vAlign w:val="center"/>
            <w:vMerge w:val="restart"/>
            <w:textDirection w:val="lrTb"/>
            <w:noWrap w:val="false"/>
          </w:tcPr>
          <w:p>
            <w:pPr>
              <w:pStyle w:val="949"/>
              <w:ind w:left="0"/>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卫生消毒</w:t>
            </w: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（1）办公用房区域、公共场所区域和周围环境预防性卫生消毒，消毒后及时通风，每周至少开展1次作业。</w:t>
            </w:r>
            <w:r>
              <w:rPr>
                <w:rFonts w:hint="eastAsia" w:ascii="Calibri" w:hAnsi="Calibri" w:cs="Calibri"/>
                <w:color w:val="000000"/>
                <w:sz w:val="24"/>
                <w:szCs w:val="24"/>
                <w:highlight w:val="none"/>
              </w:rPr>
            </w:r>
            <w:r/>
          </w:p>
        </w:tc>
      </w:tr>
      <w:tr>
        <w:trPr>
          <w:trHeight w:val="418"/>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（2）采取综合措施消灭老鼠、蟑螂，控制室内外蚊虫孳生，达到基本无蝇，每季度至少开展1次作业。</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55" w:type="dxa"/>
            <w:vAlign w:val="center"/>
            <w:vMerge w:val="continue"/>
            <w:textDirection w:val="lrTb"/>
            <w:noWrap w:val="false"/>
          </w:tcPr>
          <w:p>
            <w:pPr>
              <w:pStyle w:val="949"/>
              <w:ind w:left="0"/>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891" w:type="dxa"/>
            <w:vAlign w:val="center"/>
            <w:textDirection w:val="lrTb"/>
            <w:noWrap w:val="false"/>
          </w:tcPr>
          <w:p>
            <w:pPr>
              <w:pStyle w:val="949"/>
              <w:ind w:left="0"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（3）发生公共卫生事件时，建议采购商邀请专业单位开展消毒、检测等工作。</w:t>
            </w:r>
            <w:r>
              <w:rPr>
                <w:rFonts w:ascii="Calibri" w:hAnsi="Calibri" w:cs="Calibri"/>
                <w:color w:val="000000"/>
                <w:sz w:val="24"/>
                <w:szCs w:val="24"/>
                <w:highlight w:val="none"/>
              </w:rPr>
            </w:r>
            <w:r/>
          </w:p>
        </w:tc>
      </w:tr>
      <w:tr>
        <w:trPr>
          <w:trHeight w:val="536"/>
        </w:trPr>
        <w:tc>
          <w:tcPr>
            <w:tcW w:w="608" w:type="dxa"/>
            <w:vAlign w:val="center"/>
            <w:vMerge w:val="restart"/>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val="en-US" w:eastAsia="zh-CN"/>
              </w:rPr>
            </w:pPr>
            <w:r>
              <w:rPr>
                <w:rFonts w:hint="eastAsia" w:ascii="Calibri" w:hAnsi="Calibri" w:cs="Calibri"/>
                <w:color w:val="000000"/>
                <w:sz w:val="24"/>
                <w:szCs w:val="24"/>
                <w:highlight w:val="none"/>
                <w:lang w:val="en-US" w:eastAsia="zh-CN"/>
              </w:rPr>
              <w:t xml:space="preserve">5</w:t>
            </w:r>
            <w:r>
              <w:rPr>
                <w:rFonts w:hint="eastAsia" w:ascii="Calibri" w:hAnsi="Calibri" w:eastAsia="宋体" w:cs="Calibri"/>
                <w:color w:val="000000"/>
                <w:sz w:val="24"/>
                <w:szCs w:val="24"/>
                <w:highlight w:val="none"/>
                <w:lang w:val="en-US" w:eastAsia="zh-CN"/>
              </w:rPr>
            </w:r>
            <w:r/>
          </w:p>
        </w:tc>
        <w:tc>
          <w:tcPr>
            <w:tcW w:w="1055" w:type="dxa"/>
            <w:vAlign w:val="center"/>
            <w:vMerge w:val="restart"/>
            <w:textDirection w:val="lrTb"/>
            <w:noWrap w:val="false"/>
          </w:tcPr>
          <w:p>
            <w:pPr>
              <w:pStyle w:val="949"/>
              <w:ind w:left="0"/>
              <w:jc w:val="center"/>
              <w:keepLines w:val="0"/>
              <w:keepNext w:val="0"/>
              <w:pageBreakBefore w:val="0"/>
              <w:spacing w:line="300" w:lineRule="exact"/>
              <w:widowControl/>
              <w:rPr>
                <w:rFonts w:ascii="Calibri" w:hAnsi="Calibri" w:eastAsia="宋体" w:cs="Calibri"/>
                <w:color w:val="000000"/>
                <w:sz w:val="24"/>
                <w:szCs w:val="24"/>
                <w:highlight w:val="none"/>
                <w:lang w:val="en-US" w:eastAsia="zh-CN"/>
              </w:rPr>
            </w:pPr>
            <w:r>
              <w:rPr>
                <w:rFonts w:hint="eastAsia" w:ascii="Calibri" w:hAnsi="Calibri" w:cs="Calibri"/>
                <w:color w:val="000000"/>
                <w:sz w:val="24"/>
                <w:szCs w:val="24"/>
                <w:highlight w:val="none"/>
                <w:lang w:val="en-US" w:eastAsia="zh-CN"/>
              </w:rPr>
              <w:t xml:space="preserve">病区保洁</w:t>
            </w:r>
            <w:r>
              <w:rPr>
                <w:rFonts w:ascii="Calibri" w:hAnsi="Calibri" w:eastAsia="宋体"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按时完成周事，及时完成护士长、护士临时交办的各项工作。</w:t>
            </w:r>
            <w:r>
              <w:rPr>
                <w:rFonts w:hint="eastAsia" w:ascii="宋体" w:hAnsi="宋体" w:eastAsia="宋体" w:cs="宋体"/>
                <w:color w:val="000000"/>
                <w:sz w:val="24"/>
                <w:highlight w:val="none"/>
                <w:lang w:val="en-US" w:eastAsia="zh-CN"/>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eastAsia="宋体" w:cs="Calibri"/>
                <w:color w:val="000000"/>
                <w:sz w:val="24"/>
                <w:szCs w:val="24"/>
                <w:highlight w:val="none"/>
                <w:lang w:val="en-US" w:eastAsia="zh-CN"/>
              </w:rPr>
            </w:pPr>
            <w:r>
              <w:rPr>
                <w:rFonts w:hint="eastAsia" w:ascii="Calibri" w:hAnsi="Calibri" w:eastAsia="宋体"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ascii="Calibri" w:hAnsi="Calibri" w:eastAsia="宋体" w:cs="Calibri"/>
                <w:color w:val="000000"/>
                <w:sz w:val="24"/>
                <w:szCs w:val="24"/>
                <w:highlight w:val="none"/>
                <w:lang w:val="en-US" w:eastAsia="zh-CN"/>
              </w:rPr>
            </w:pPr>
            <w:r>
              <w:rPr>
                <w:rFonts w:ascii="Calibri" w:hAnsi="Calibri" w:eastAsia="宋体"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负责病区内所有地面（每日两次）、门、窗、天花板、灯、病床、空调、电视机、微波炉、电话、橱、桌、椅、走廊扶手、晒衣杆、水池、纸篓、瓷砖、玻璃、墙壁、厕所、楼梯、电梯大厅的清洁。</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每天负责病房床头柜、床栏、床架、地面、厕所等的清洁，毛巾、拖把的浸泡消毒和清洗，做到一床一巾，拖把四分开使用，防止交叉感染。</w:t>
            </w:r>
            <w:r>
              <w:rPr>
                <w:rFonts w:hint="eastAsia" w:ascii="Calibri" w:hAnsi="Calibri" w:cs="Calibri"/>
                <w:color w:val="000000"/>
                <w:sz w:val="24"/>
                <w:szCs w:val="24"/>
                <w:highlight w:val="none"/>
              </w:rPr>
            </w:r>
            <w:r/>
          </w:p>
        </w:tc>
      </w:tr>
      <w:tr>
        <w:trPr>
          <w:trHeight w:val="37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随时整理清洁仓库、配餐室、污洗间、贮藏室、处置室、男女更衣室、医护办公室、值班室以及空房间等，并保持整洁。</w:t>
            </w:r>
            <w:r>
              <w:rPr>
                <w:rFonts w:hint="eastAsia" w:ascii="Calibri" w:hAnsi="Calibri" w:cs="Calibri"/>
                <w:color w:val="000000"/>
                <w:sz w:val="24"/>
                <w:szCs w:val="24"/>
                <w:highlight w:val="none"/>
              </w:rPr>
            </w:r>
            <w:r/>
          </w:p>
        </w:tc>
      </w:tr>
      <w:tr>
        <w:trPr>
          <w:trHeight w:val="421"/>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按医院感染控制要求分类处置好各类垃圾、配置各种消毒液。</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做好新病员床铺的准备、协助病人搬运、搬迁床位。出院病员床单元的终末处理、消毒并做好消毒登记。</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收发陪客椅和陪客被。夜班工人负责陪客椅开锁，并指导患者家属正确折叠陪客椅。</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负责病员开水的供应，每日两次将开水送至病员床头，严禁病员自己冲开水。</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及时清理病员呕吐物、排泄物。倒痰盂、尿壶、便盆、吸引器贮液瓶内液体，并负责消毒和清洗。</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及时关公共区域不必要的电灯、开水炉，注意节约能源。</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负责将更换的工作服、病员被服，及时送洗衣房，清点并交接清楚。每月协助护士清点病区物资并登记。</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巡视病区，检查病房、大厅及各室卫生状况，及时打扫，并做好禁烟管理。</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应急处理各类事情，如物资调配、送出院病历、取送维修器材、标本、用物等。</w:t>
            </w:r>
            <w:r>
              <w:rPr>
                <w:rFonts w:hint="eastAsia" w:ascii="Calibri" w:hAnsi="Calibri" w:cs="Calibri"/>
                <w:color w:val="000000"/>
                <w:sz w:val="24"/>
                <w:szCs w:val="24"/>
                <w:highlight w:val="none"/>
              </w:rPr>
            </w:r>
            <w:r/>
          </w:p>
        </w:tc>
      </w:tr>
      <w:tr>
        <w:trPr>
          <w:trHeight w:val="53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上班时间死亡病人的运送。</w:t>
            </w:r>
            <w:r>
              <w:rPr>
                <w:rFonts w:hint="eastAsia" w:ascii="Calibri" w:hAnsi="Calibri" w:cs="Calibri"/>
                <w:color w:val="000000"/>
                <w:sz w:val="24"/>
                <w:szCs w:val="24"/>
                <w:highlight w:val="none"/>
              </w:rPr>
            </w:r>
            <w:r/>
          </w:p>
        </w:tc>
      </w:tr>
      <w:tr>
        <w:trPr>
          <w:trHeight w:val="466"/>
        </w:trPr>
        <w:tc>
          <w:tcPr>
            <w:tcW w:w="608"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1055" w:type="dxa"/>
            <w:vAlign w:val="center"/>
            <w:vMerge w:val="continue"/>
            <w:textDirection w:val="lrTb"/>
            <w:noWrap w:val="false"/>
          </w:tcPr>
          <w:p>
            <w:pPr>
              <w:pStyle w:val="949"/>
              <w:ind w:left="0"/>
              <w:jc w:val="center"/>
              <w:keepLines w:val="0"/>
              <w:keepNext w:val="0"/>
              <w:pageBreakBefore w:val="0"/>
              <w:spacing w:line="300" w:lineRule="exact"/>
              <w:widowControl/>
              <w:rPr>
                <w:rFonts w:hint="eastAsia" w:ascii="Calibri" w:hAnsi="Calibri" w:cs="Calibri"/>
                <w:color w:val="000000"/>
                <w:sz w:val="24"/>
                <w:szCs w:val="24"/>
                <w:highlight w:val="none"/>
                <w:lang w:val="en-US" w:eastAsia="zh-CN"/>
              </w:rPr>
            </w:pPr>
            <w:r>
              <w:rPr>
                <w:rFonts w:hint="eastAsia" w:ascii="Calibri" w:hAnsi="Calibri" w:cs="Calibri"/>
                <w:color w:val="000000"/>
                <w:sz w:val="24"/>
                <w:szCs w:val="24"/>
                <w:highlight w:val="none"/>
                <w:lang w:val="en-US" w:eastAsia="zh-CN"/>
              </w:rPr>
            </w:r>
            <w:r/>
          </w:p>
        </w:tc>
        <w:tc>
          <w:tcPr>
            <w:tcW w:w="7891" w:type="dxa"/>
            <w:vAlign w:val="center"/>
            <w:textDirection w:val="lrTb"/>
            <w:noWrap w:val="false"/>
          </w:tcPr>
          <w:p>
            <w:pPr>
              <w:pStyle w:val="949"/>
              <w:ind w:firstLine="24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落实突发公共卫生事件应急配合所需工作内容</w:t>
            </w:r>
            <w:r>
              <w:rPr>
                <w:rFonts w:hint="eastAsia" w:ascii="Calibri" w:hAnsi="Calibri" w:cs="Calibri"/>
                <w:color w:val="000000"/>
                <w:sz w:val="24"/>
                <w:szCs w:val="24"/>
                <w:highlight w:val="none"/>
              </w:rPr>
            </w:r>
            <w:r/>
          </w:p>
        </w:tc>
      </w:tr>
    </w:tbl>
    <w:p>
      <w:pPr>
        <w:pStyle w:val="949"/>
        <w:ind w:firstLine="482"/>
        <w:spacing w:line="360" w:lineRule="auto"/>
        <w:widowControl/>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r>
      <w:r/>
    </w:p>
    <w:p>
      <w:pPr>
        <w:pStyle w:val="949"/>
        <w:ind w:firstLine="482"/>
        <w:spacing w:line="360" w:lineRule="auto"/>
        <w:widowControl/>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3.4.1具体清洁要求</w:t>
      </w:r>
      <w:r>
        <w:rPr>
          <w:rFonts w:hint="eastAsia" w:ascii="宋体" w:hAnsi="宋体" w:cs="宋体"/>
          <w:b/>
          <w:color w:val="000000"/>
          <w:sz w:val="24"/>
          <w:szCs w:val="24"/>
          <w:highlight w:val="none"/>
        </w:rPr>
      </w:r>
      <w:r/>
    </w:p>
    <w:p>
      <w:pPr>
        <w:pStyle w:val="949"/>
        <w:ind w:firstLine="56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病房洗手间日常保洁</w:t>
      </w:r>
      <w:r>
        <w:rPr>
          <w:rFonts w:hint="eastAsia" w:ascii="宋体" w:hAnsi="宋体" w:eastAsia="宋体" w:cs="宋体"/>
          <w:b w:val="0"/>
          <w:bCs w:val="0"/>
          <w:color w:val="000000"/>
          <w:sz w:val="22"/>
          <w:szCs w:val="22"/>
          <w:highlight w:val="none"/>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1394"/>
        <w:gridCol w:w="2613"/>
        <w:gridCol w:w="1230"/>
        <w:gridCol w:w="1581"/>
        <w:gridCol w:w="1314"/>
      </w:tblGrid>
      <w:tr>
        <w:trPr>
          <w:trHeight w:val="145"/>
        </w:trPr>
        <w:tc>
          <w:tcPr>
            <w:tcW w:w="1345"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394"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标准（质量要求）</w:t>
            </w:r>
            <w:r>
              <w:rPr>
                <w:rFonts w:hint="eastAsia" w:ascii="宋体" w:hAnsi="宋体" w:eastAsia="宋体" w:cs="宋体"/>
                <w:b/>
                <w:bCs/>
                <w:color w:val="000000"/>
                <w:sz w:val="21"/>
                <w:szCs w:val="21"/>
                <w:highlight w:val="none"/>
              </w:rPr>
            </w:r>
            <w:r/>
          </w:p>
        </w:tc>
        <w:tc>
          <w:tcPr>
            <w:tcW w:w="2613"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程序</w:t>
            </w:r>
            <w:r>
              <w:rPr>
                <w:rFonts w:hint="eastAsia" w:ascii="宋体" w:hAnsi="宋体" w:eastAsia="宋体" w:cs="宋体"/>
                <w:b/>
                <w:bCs/>
                <w:color w:val="000000"/>
                <w:sz w:val="21"/>
                <w:szCs w:val="21"/>
                <w:highlight w:val="none"/>
              </w:rPr>
            </w:r>
            <w:r/>
          </w:p>
        </w:tc>
        <w:tc>
          <w:tcPr>
            <w:tcW w:w="1230"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频次</w:t>
            </w:r>
            <w:r>
              <w:rPr>
                <w:rFonts w:hint="eastAsia" w:ascii="宋体" w:hAnsi="宋体" w:eastAsia="宋体" w:cs="宋体"/>
                <w:b/>
                <w:bCs/>
                <w:color w:val="000000"/>
                <w:sz w:val="21"/>
                <w:szCs w:val="21"/>
                <w:highlight w:val="none"/>
              </w:rPr>
            </w:r>
            <w:r/>
          </w:p>
        </w:tc>
        <w:tc>
          <w:tcPr>
            <w:tcW w:w="158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注意</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事 项</w:t>
            </w:r>
            <w:r>
              <w:rPr>
                <w:rFonts w:hint="eastAsia" w:ascii="宋体" w:hAnsi="宋体" w:eastAsia="宋体" w:cs="宋体"/>
                <w:b/>
                <w:bCs/>
                <w:color w:val="000000"/>
                <w:sz w:val="21"/>
                <w:szCs w:val="21"/>
                <w:highlight w:val="none"/>
              </w:rPr>
            </w:r>
            <w:r/>
          </w:p>
        </w:tc>
        <w:tc>
          <w:tcPr>
            <w:tcW w:w="1314"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tc>
      </w:tr>
      <w:tr>
        <w:trPr>
          <w:trHeight w:val="14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无浮灰、水迹、杂物、鞋印及污迹</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1、将地面清扫干净；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2、用拖把拖净地面；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3、对污迹用毛刷蘸清洁剂刷洗；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4、用干拖把拖净地面。</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每天上、下午各一次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随脏随拖</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注意马桶后及脸盆下的地面；及时清理病人遗留的地面废物。</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清洁剂、毛刷、抹布（百洁布）、拖把</w:t>
            </w:r>
            <w:r>
              <w:rPr>
                <w:rFonts w:hint="eastAsia" w:ascii="宋体" w:hAnsi="宋体" w:eastAsia="宋体" w:cs="宋体"/>
                <w:color w:val="000000"/>
                <w:sz w:val="21"/>
                <w:szCs w:val="21"/>
                <w:highlight w:val="none"/>
              </w:rPr>
            </w:r>
            <w:r/>
          </w:p>
        </w:tc>
      </w:tr>
      <w:tr>
        <w:trPr>
          <w:trHeight w:val="14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墙壁瓷砖</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无灰尘、水迹、皂迹等，瓷砖缝隙处洁白</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1、用蘸有清洁剂的抹布由上至下擦拭干净；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2、用抹布擦净。</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先用牙刷蘸清洁剂，先刷洗缝隙，再按程序操作。</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清洁剂、毛刷（牙刷）、抹布（百洁布）</w:t>
            </w:r>
            <w:r>
              <w:rPr>
                <w:rFonts w:hint="eastAsia" w:ascii="宋体" w:hAnsi="宋体" w:eastAsia="宋体" w:cs="宋体"/>
                <w:color w:val="000000"/>
                <w:sz w:val="21"/>
                <w:szCs w:val="21"/>
                <w:highlight w:val="none"/>
              </w:rPr>
            </w:r>
            <w:r/>
          </w:p>
        </w:tc>
      </w:tr>
      <w:tr>
        <w:trPr>
          <w:trHeight w:val="14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不锈钢置物架、台面</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无水迹、锈迹等，洁净、光亮</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1、用蘸有清洁剂的抹布擦拭不锈钢置物架及台面；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3、及时清理台面废物。</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1、不可遗漏台面下的弯头；</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2、与病人良好沟通、及时清理台面废物，出院病人遗留物及时清理。</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清洁剂、抹布（百洁布）</w:t>
            </w:r>
            <w:r>
              <w:rPr>
                <w:rFonts w:hint="eastAsia" w:ascii="宋体" w:hAnsi="宋体" w:eastAsia="宋体" w:cs="宋体"/>
                <w:color w:val="000000"/>
                <w:sz w:val="21"/>
                <w:szCs w:val="21"/>
                <w:highlight w:val="none"/>
              </w:rPr>
            </w:r>
            <w:r/>
          </w:p>
        </w:tc>
      </w:tr>
      <w:tr>
        <w:trPr>
          <w:trHeight w:val="14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镜面、镜框</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无灰尘、水迹、锈迹，镜面上无顽垢</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1、用玻璃刮刮净镜面上的水迹；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2、用抹布蘸矿物油擦拭镜框；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3、用清洁剂清除污迹。</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玻璃不能擦花。</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玻璃刮、抹布（百洁布）、矿物油</w:t>
            </w:r>
            <w:r>
              <w:rPr>
                <w:rFonts w:hint="eastAsia" w:ascii="宋体" w:hAnsi="宋体" w:eastAsia="宋体" w:cs="宋体"/>
                <w:color w:val="000000"/>
                <w:sz w:val="21"/>
                <w:szCs w:val="21"/>
                <w:highlight w:val="none"/>
              </w:rPr>
            </w:r>
            <w:r/>
          </w:p>
        </w:tc>
      </w:tr>
      <w:tr>
        <w:trPr>
          <w:trHeight w:val="14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所有金属架、龙头、污物钩、软管、下水弯头、开关、扶手等</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光亮、无斑迹</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1、用抹布抹浮灰；</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2、用抹布蘸清洁剂擦拭金属器；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3、用抹布擦净。</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抹布要分开使用。</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抹布、不锈钢清洁剂</w:t>
            </w:r>
            <w:r>
              <w:rPr>
                <w:rFonts w:hint="eastAsia" w:ascii="宋体" w:hAnsi="宋体" w:eastAsia="宋体" w:cs="宋体"/>
                <w:color w:val="000000"/>
                <w:sz w:val="21"/>
                <w:szCs w:val="21"/>
                <w:highlight w:val="none"/>
              </w:rPr>
            </w:r>
            <w:r/>
          </w:p>
        </w:tc>
      </w:tr>
      <w:tr>
        <w:trPr>
          <w:cantSplit/>
          <w:trHeight w:val="2065"/>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抽水马桶及水箱</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无水痕、锈迹、斑迹、毛发、尿碱</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1、先冲一次马桶；</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2、倒入清洁剂清洗；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3、用清水过洗干净；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4、用专用抹布擦干马桶底座；</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5、擦拭顺序从上到下、从外到内。</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1、马桶铰链、出水口、溢水口、水阀、控制器、四周瓷砖的卫生不能忽略；</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2、一房一巾；</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3、用过毛巾放置专用桶内。</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清洁剂、手套、马桶刷（带底座）、百洁布、牙刷、抹布</w:t>
            </w:r>
            <w:r>
              <w:rPr>
                <w:rFonts w:hint="eastAsia" w:ascii="宋体" w:hAnsi="宋体" w:eastAsia="宋体" w:cs="宋体"/>
                <w:color w:val="000000"/>
                <w:sz w:val="21"/>
                <w:szCs w:val="21"/>
                <w:highlight w:val="none"/>
              </w:rPr>
            </w:r>
            <w:r/>
          </w:p>
        </w:tc>
      </w:tr>
      <w:tr>
        <w:trPr>
          <w:trHeight w:val="1336"/>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卫生间垃圾桶</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光亮、无污迹、无水迹，周边无垃圾</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1、将垃圾袋取出，扎紧放入工具车垃圾桶内；</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2、用清洁剂刷洗垃圾桶内外；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3、擦干、擦净；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4、更换干净垃圾袋。</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随满随倒</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垃圾袋平整地套在垃圾桶上，与垃圾桶之间无缝隙，翻边约5厘米,不能满溢。</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清洁剂、百洁布、毛刷、抹布、手套、塑料袋</w:t>
            </w:r>
            <w:r>
              <w:rPr>
                <w:rFonts w:hint="eastAsia" w:ascii="宋体" w:hAnsi="宋体" w:eastAsia="宋体" w:cs="宋体"/>
                <w:color w:val="000000"/>
                <w:sz w:val="21"/>
                <w:szCs w:val="21"/>
                <w:highlight w:val="none"/>
              </w:rPr>
            </w:r>
            <w:r/>
          </w:p>
        </w:tc>
      </w:tr>
      <w:tr>
        <w:trPr>
          <w:trHeight w:val="694"/>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门（面、框、锁把手）</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无浮灰、手印、斑迹</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用抹布喷清洁剂擦灰尘、污迹。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用抹布清洁门（面、框、锁把手）</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936"/>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地漏</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无头发、纱头，无灰尘、纸屑，无污迹、水迹</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1、用清洁剂刷洗地漏；</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2、抹布抹净。</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地漏清洁后应盖在地漏孔上，不可有积水。</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刷子</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936"/>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风口及风口挡板</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无灰尘、无印迹</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1、用抹布擦净挡风板；</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2、用抹布擦净风口四周墙壁。</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风口四周墙壁不可有污迹，不可站在病人用椅上。</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468"/>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房顶、墙角</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无斑迹、无吊灰、无蜘蛛网</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用抹布擦净。</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防止灰尘扬起。</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牵尘扫、抹布</w:t>
            </w:r>
            <w:r>
              <w:rPr>
                <w:rFonts w:hint="eastAsia" w:ascii="宋体" w:hAnsi="宋体" w:eastAsia="宋体" w:cs="宋体"/>
                <w:color w:val="000000"/>
                <w:sz w:val="21"/>
                <w:szCs w:val="21"/>
                <w:highlight w:val="none"/>
              </w:rPr>
            </w:r>
            <w:r/>
          </w:p>
        </w:tc>
      </w:tr>
      <w:tr>
        <w:trPr>
          <w:trHeight w:val="709"/>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顶灯及罩</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用抹布擦净。</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擦时不要把灯罩周围墙壁碰有印迹。</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除尘掸、抹布（百洁布）</w:t>
            </w:r>
            <w:r>
              <w:rPr>
                <w:rFonts w:hint="eastAsia" w:ascii="宋体" w:hAnsi="宋体" w:eastAsia="宋体" w:cs="宋体"/>
                <w:color w:val="000000"/>
                <w:sz w:val="21"/>
                <w:szCs w:val="21"/>
                <w:highlight w:val="none"/>
              </w:rPr>
            </w:r>
            <w:r/>
          </w:p>
        </w:tc>
      </w:tr>
      <w:tr>
        <w:trPr>
          <w:trHeight w:val="709"/>
        </w:trPr>
        <w:tc>
          <w:tcPr>
            <w:tcW w:w="13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卫生间空气</w:t>
            </w:r>
            <w:r>
              <w:rPr>
                <w:rFonts w:hint="eastAsia" w:ascii="宋体" w:hAnsi="宋体" w:eastAsia="宋体" w:cs="宋体"/>
                <w:color w:val="000000"/>
                <w:sz w:val="21"/>
                <w:szCs w:val="21"/>
                <w:highlight w:val="none"/>
              </w:rPr>
            </w:r>
            <w:r/>
          </w:p>
        </w:tc>
        <w:tc>
          <w:tcPr>
            <w:tcW w:w="139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无异味、空气清新</w:t>
            </w:r>
            <w:r>
              <w:rPr>
                <w:rFonts w:hint="eastAsia" w:ascii="宋体" w:hAnsi="宋体" w:eastAsia="宋体" w:cs="宋体"/>
                <w:color w:val="000000"/>
                <w:sz w:val="21"/>
                <w:szCs w:val="21"/>
                <w:highlight w:val="none"/>
              </w:rPr>
            </w:r>
            <w:r/>
          </w:p>
        </w:tc>
        <w:tc>
          <w:tcPr>
            <w:tcW w:w="261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酌情在洗手间内喷洒空气清新剂。</w:t>
            </w:r>
            <w:r>
              <w:rPr>
                <w:rFonts w:hint="eastAsia" w:ascii="宋体" w:hAnsi="宋体" w:eastAsia="宋体" w:cs="宋体"/>
                <w:color w:val="000000"/>
                <w:sz w:val="21"/>
                <w:szCs w:val="21"/>
                <w:highlight w:val="none"/>
              </w:rPr>
            </w:r>
            <w:r/>
          </w:p>
        </w:tc>
        <w:tc>
          <w:tcPr>
            <w:tcW w:w="1230"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必要时</w:t>
            </w:r>
            <w:r>
              <w:rPr>
                <w:rFonts w:hint="eastAsia" w:ascii="宋体" w:hAnsi="宋体" w:eastAsia="宋体" w:cs="宋体"/>
                <w:color w:val="000000"/>
                <w:sz w:val="21"/>
                <w:szCs w:val="21"/>
                <w:highlight w:val="none"/>
              </w:rPr>
            </w:r>
            <w:r/>
          </w:p>
        </w:tc>
        <w:tc>
          <w:tcPr>
            <w:tcW w:w="15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喷洒时征求病人及家属意见。</w:t>
            </w:r>
            <w:r>
              <w:rPr>
                <w:rFonts w:hint="eastAsia" w:ascii="宋体" w:hAnsi="宋体" w:eastAsia="宋体" w:cs="宋体"/>
                <w:color w:val="000000"/>
                <w:sz w:val="21"/>
                <w:szCs w:val="21"/>
                <w:highlight w:val="none"/>
              </w:rPr>
            </w:r>
            <w:r/>
          </w:p>
        </w:tc>
        <w:tc>
          <w:tcPr>
            <w:tcW w:w="1314"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空气清新剂</w:t>
            </w:r>
            <w:r>
              <w:rPr>
                <w:rFonts w:hint="eastAsia" w:ascii="宋体" w:hAnsi="宋体" w:eastAsia="宋体" w:cs="宋体"/>
                <w:color w:val="000000"/>
                <w:sz w:val="21"/>
                <w:szCs w:val="21"/>
                <w:highlight w:val="none"/>
              </w:rPr>
            </w:r>
            <w:r/>
          </w:p>
        </w:tc>
      </w:tr>
    </w:tbl>
    <w:p>
      <w:pPr>
        <w:pStyle w:val="1074"/>
        <w:numPr>
          <w:ilvl w:val="2"/>
          <w:numId w:val="0"/>
        </w:numPr>
        <w:spacing w:before="120" w:after="1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病房日常保洁</w:t>
      </w:r>
      <w:r>
        <w:rPr>
          <w:rFonts w:hint="eastAsia" w:ascii="宋体" w:hAnsi="宋体" w:eastAsia="宋体" w:cs="宋体"/>
          <w:b w:val="0"/>
          <w:bCs/>
          <w:color w:val="000000"/>
          <w:sz w:val="21"/>
          <w:szCs w:val="21"/>
          <w:highlight w:val="none"/>
        </w:rPr>
      </w:r>
      <w:r/>
    </w:p>
    <w:tbl>
      <w:tblPr>
        <w:tblW w:w="96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481"/>
        <w:gridCol w:w="2593"/>
        <w:gridCol w:w="1121"/>
        <w:gridCol w:w="1727"/>
        <w:gridCol w:w="1411"/>
      </w:tblGrid>
      <w:tr>
        <w:trPr>
          <w:trHeight w:val="150"/>
        </w:trPr>
        <w:tc>
          <w:tcPr>
            <w:tcW w:w="1346"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48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标准（质量要求）</w:t>
            </w:r>
            <w:r>
              <w:rPr>
                <w:rFonts w:hint="eastAsia" w:ascii="宋体" w:hAnsi="宋体" w:eastAsia="宋体" w:cs="宋体"/>
                <w:b/>
                <w:bCs/>
                <w:color w:val="000000"/>
                <w:sz w:val="21"/>
                <w:szCs w:val="21"/>
                <w:highlight w:val="none"/>
              </w:rPr>
            </w:r>
            <w:r/>
          </w:p>
        </w:tc>
        <w:tc>
          <w:tcPr>
            <w:tcW w:w="2593"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程序</w:t>
            </w:r>
            <w:r>
              <w:rPr>
                <w:rFonts w:hint="eastAsia" w:ascii="宋体" w:hAnsi="宋体" w:eastAsia="宋体" w:cs="宋体"/>
                <w:b/>
                <w:bCs/>
                <w:color w:val="000000"/>
                <w:sz w:val="21"/>
                <w:szCs w:val="21"/>
                <w:highlight w:val="none"/>
              </w:rPr>
            </w:r>
            <w:r/>
          </w:p>
        </w:tc>
        <w:tc>
          <w:tcPr>
            <w:tcW w:w="112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频次</w:t>
            </w:r>
            <w:r>
              <w:rPr>
                <w:rFonts w:hint="eastAsia" w:ascii="宋体" w:hAnsi="宋体" w:eastAsia="宋体" w:cs="宋体"/>
                <w:b/>
                <w:bCs/>
                <w:color w:val="000000"/>
                <w:sz w:val="21"/>
                <w:szCs w:val="21"/>
                <w:highlight w:val="none"/>
              </w:rPr>
            </w:r>
            <w:r/>
          </w:p>
        </w:tc>
        <w:tc>
          <w:tcPr>
            <w:tcW w:w="1727"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注意 </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事项</w:t>
            </w:r>
            <w:r>
              <w:rPr>
                <w:rFonts w:hint="eastAsia" w:ascii="宋体" w:hAnsi="宋体" w:eastAsia="宋体" w:cs="宋体"/>
                <w:b/>
                <w:bCs/>
                <w:color w:val="000000"/>
                <w:sz w:val="21"/>
                <w:szCs w:val="21"/>
                <w:highlight w:val="none"/>
              </w:rPr>
            </w:r>
            <w:r/>
          </w:p>
        </w:tc>
        <w:tc>
          <w:tcPr>
            <w:tcW w:w="141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通道防火门</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无浮灰、手印、斑迹，光亮</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1、用抹布擦净门面、框、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2、用抹布喷清洁剂擦拭把手及四周。</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1、应急疏散示意图不可破损、脱落。</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2、耐药菌病房最后擦拭，防止交叉感染</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无灰尘、污迹、水迹，清洁、干净、无斑迹</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1、先用尘推牵尘再用湿拖片拖净；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2、用清洁剂清除污迹；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3、对黏附物如口香糖等污物，用刮刀去除。</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每天二次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随脏随拖</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1、床脚、陪客椅、床头柜四周的地面卫生不可忽略；</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2、S型拖地。</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尘推、小扫帚、簸箕、拖片清洁剂、刮刀</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壁橱</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无灰尘、污迹、蟑螂，干净</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1、用抹布逐层擦拭；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2、对污迹处用清洁剂擦拭，尤其是把手四周；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3、必要时喷除虫剂。</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1、家具不能擦花，清除残留在家具面上的清洁剂泡沫，除净并擦均匀；2、出院后物品彻底清除并消毒。</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床头柜</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无灰尘、污迹、蟑螂，干净</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1、用抹布逐层擦拭；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2、对污迹处用清洁剂擦拭；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3、必要时喷除虫剂。</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1、床头柜四周和脚的卫生不可忽略，抽屉和手把处不可有污迹；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2、出院后物品彻底清除并消毒。（尤其是柜内小垃圾和污渍）</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421"/>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床、床栏、餐桌、床头板、床尾框</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无灰尘、污迹、破损</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1、用抹布逐层擦拭至洁净；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2、对污迹处用清洁剂擦拭；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3、一床一巾。</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1、床头板不可有污迹，擦拭时不可用脱色剂；</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2、出院后床下、板下、框内杂物、污迹彻底清除并消毒。</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42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床头设备带、呼叫铃</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清洁，无污迹</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用抹布擦拭干净。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不可带水擦拭，一床一巾和一房一巾的正确运用。</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w:t>
            </w:r>
            <w:r>
              <w:rPr>
                <w:rFonts w:hint="eastAsia" w:ascii="宋体" w:hAnsi="宋体" w:eastAsia="宋体" w:cs="宋体"/>
                <w:color w:val="000000"/>
                <w:sz w:val="21"/>
                <w:szCs w:val="21"/>
                <w:highlight w:val="none"/>
              </w:rPr>
            </w:r>
            <w:r/>
          </w:p>
        </w:tc>
      </w:tr>
      <w:tr>
        <w:trPr>
          <w:cantSplit/>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椅子、输液架</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无灰尘、污迹、水迹、变形、破损，洁净、稳固、完好</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2、用清洁剂去除污迹；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3、用干抹布抹净。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1、椅子横档不能积灰，如破损及时报修；</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2、输液架缺杆子随时补上。</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喷淋、烟感器</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无灰尘、吊灰</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用抹布抹净。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墙壁</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无灰尘、水迹、污迹，干净、明亮、无脱落</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1、用干抹布抹浮灰；</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2、用抹布蘸清洁剂去除污迹；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3、用干净抹布抹净。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不可损坏墙面，清洁剂不可脱色。</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房顶、输液轨道</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无斑迹、吊灰、蜘蛛网</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1、用干净抹布擦净；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2、定期给轨道注矿物油。</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保持轨道顺滑。</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顶灯、罩</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擦时不要把灯罩周围墙壁碰有印迹。</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开关、插座、空调调节器</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无灰尘、污迹，光亮、无破损</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1、抹布抹浮灰；</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2、用抹布蘸清洁剂去除污迹；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3、用干净抹布抹净。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1、在清洁过程中，避免让水进入插座内部；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2、清洁后一定要擦干表面，确保开关和插座干燥，避免水分滞留和损坏。</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窗户玻璃、窗框、窗台</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玻璃干净、明亮，无灰尘、污迹，窗框无破损，窗扣完好</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1、用涂水器蘸上清洁剂均匀涂于玻璃表面；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2、用刮水器刮除玻璃上污水；</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3、刮水器刮在玻璃上运行的起止处应是边框到对门边框；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4、用力均匀，每刮一回用抹布将刮水器擦干，再行下一回；</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5、刮洗结束后，要用干净抹布将边框处水道擦去。</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1、污水不可滴落楼下；</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2、刮大风、下雨时勿作业.</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抹布、清洁剂、刮水器</w:t>
            </w:r>
            <w:r>
              <w:rPr>
                <w:rFonts w:hint="eastAsia" w:ascii="宋体" w:hAnsi="宋体" w:eastAsia="宋体" w:cs="宋体"/>
                <w:color w:val="000000"/>
                <w:sz w:val="21"/>
                <w:szCs w:val="21"/>
                <w:highlight w:val="none"/>
              </w:rPr>
            </w:r>
            <w:r/>
          </w:p>
        </w:tc>
      </w:tr>
      <w:tr>
        <w:trPr>
          <w:trHeight w:val="982"/>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处置柜</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台面、柜内干净，无污渍、无可视垃圾</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1、用规定的毛巾将台面、柜内擦拭干净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每天2次、随脏随清洁</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1、做好自身保护，防止针刺伤</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手套、毛巾</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窗帘、隔离帘、屏风、开关及拉绳、轨道</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干净，无破损、脱钩、污迹、变形</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1、用抹布擦净轨道；</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2、对拉绳污迹进行除污处理至洁净；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3、清洗更换窗帘。</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1、窗帘、隔离帘清洗根据院感要求从每月到半年不等。</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2、耐药菌感染病人出院后及时清洗。</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1、窗帘挂钩破损等及时报修。</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2、床、窗帘更换时严格按院感要求执行。</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w:t>
            </w:r>
            <w:r>
              <w:rPr>
                <w:rFonts w:hint="eastAsia" w:ascii="宋体" w:hAnsi="宋体" w:eastAsia="宋体" w:cs="宋体"/>
                <w:color w:val="000000"/>
                <w:sz w:val="21"/>
                <w:szCs w:val="21"/>
                <w:highlight w:val="none"/>
              </w:rPr>
            </w:r>
            <w:r/>
          </w:p>
        </w:tc>
      </w:tr>
      <w:tr>
        <w:trPr>
          <w:trHeight w:val="1311"/>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垃圾分类</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垃圾正确分类</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1、将生活垃圾正确分类：蓝色可回收物，绿色易腐垃圾，灰色其他垃圾，红色有害垃圾</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每天一次集中清理，随满随清理</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做好病人和家属的宣教</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口罩、手套、垃圾袋</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光亮、无污迹、无水迹，周边无垃圾</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1、将垃圾袋取出，扎紧放入工作车垃圾桶内；</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2、用清洁剂刷洗垃圾桶内外；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3、擦干、擦净；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4、更换干净垃圾袋。</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每天上、下午各一次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随满随倒</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垃圾袋平整地套在垃圾桶上，与垃圾桶之间无缝隙，翻边约5厘米,不能漫溢，不可只倒垃圾不换袋。</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清洁剂、抹布（百洁布）、毛刷、手套、塑料袋</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病房门</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房门两面、凹槽、横档无灰尘、污迹、污物，清洁、干净、无斑迹</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2、污迹处用清洁剂去除。</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可移动房门需彻底清洁。</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踢脚板</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无污物、斑迹，干净、光亮</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1、用抹布裹着平口起子擦拭踢脚板沟缝内的污迹；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2、抹净踢脚板表面。</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墙面注意不要抹黑。</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抹布、平口起子</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空调风口及风口挡板</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无冷凝水，清洁无灰尘</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用干抹布抹净。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不可站在病人用椅上</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梯子、干净抹布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骨科牵引架、拉环带</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无灰尘、污迹、无破损</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1、用抹布抹净牵引架、拉环；</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2、取下拉环带，用清洁剂去污清洗；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3、用干抹布吸干水分并安装复原。</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出院时彻底清洁、消毒</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空调机房、电梯机房、储藏室</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物品放置整洁，地面、墙面、顶面干净、无多余私人物品</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1、用抹布擦拭、整理物品；</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2、闲杂人员物品及时清除。</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随脏随清理</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1、禁止收集废纸、饮料瓶、花篮；</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2、禁止贩卖尿垫、卫生纸、尿壶、便盆等；</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3、禁止夜间留宿；</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4、禁止拉线晾衣。</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50"/>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电话机</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清洁，无污迹、异味</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1、用抹布擦拭污迹；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2、用酒精棉球擦拭话筒。</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清洁时按下电话键。</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抹布、酒精棉球</w:t>
            </w:r>
            <w:r>
              <w:rPr>
                <w:rFonts w:hint="eastAsia" w:ascii="宋体" w:hAnsi="宋体" w:eastAsia="宋体" w:cs="宋体"/>
                <w:color w:val="000000"/>
                <w:sz w:val="21"/>
                <w:szCs w:val="21"/>
                <w:highlight w:val="none"/>
              </w:rPr>
            </w:r>
            <w:r/>
          </w:p>
        </w:tc>
      </w:tr>
      <w:tr>
        <w:trPr>
          <w:trHeight w:val="1937"/>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冰箱</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内外清洁，外部光亮，无异味、斑迹，运转正常</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1、用抹布擦净冰壳；</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2、用清洁剂去除斑迹；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3、关掉冰箱电源，将冰箱内食品取出，化霜，擦净；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4、医用冰箱仅擦拭外壳，按护士长要求定时除霜。</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1、取出食品时，需征得病人同意后再行擦拭；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2、冰箱门边缘封胶处的清洁不可忽略。</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rHeight w:val="469"/>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地灯</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无灰尘，灯罩完好、光亮</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用抹布擦拭干净。</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27" w:type="dxa"/>
            <w:vAlign w:val="top"/>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灯罩、灯泡损坏及时报修。</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203"/>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热水瓶</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瓶身干净，无污迹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瓶口无缺损</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瓶塞消毒</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保温</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1、用抹布擦拭瓶身、瓶把至洁净；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2、瓶塞用消毒液浸泡后用开水冲洗；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3、瓶口缺损，应及时更换。</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72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不保温水瓶及时更换。</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抹布、稀释后的消毒液</w:t>
            </w:r>
            <w:r>
              <w:rPr>
                <w:rFonts w:hint="eastAsia" w:ascii="宋体" w:hAnsi="宋体" w:eastAsia="宋体" w:cs="宋体"/>
                <w:color w:val="000000"/>
                <w:sz w:val="21"/>
                <w:szCs w:val="21"/>
                <w:highlight w:val="none"/>
              </w:rPr>
            </w:r>
            <w:r/>
          </w:p>
        </w:tc>
      </w:tr>
      <w:tr>
        <w:trPr>
          <w:trHeight w:val="2563"/>
        </w:trPr>
        <w:tc>
          <w:tcPr>
            <w:tcW w:w="1346"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病区微波炉使用和管理</w:t>
            </w:r>
            <w:r>
              <w:rPr>
                <w:rFonts w:hint="eastAsia" w:ascii="宋体" w:hAnsi="宋体" w:eastAsia="宋体" w:cs="宋体"/>
                <w:color w:val="000000"/>
                <w:sz w:val="21"/>
                <w:szCs w:val="21"/>
                <w:highlight w:val="none"/>
              </w:rPr>
            </w:r>
            <w:r/>
          </w:p>
        </w:tc>
        <w:tc>
          <w:tcPr>
            <w:tcW w:w="148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1、机身无灰尘、污迹、油垢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2、保证微波炉卫生与安全使用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3、听从所在科室护士长或主班护士的安排</w:t>
            </w:r>
            <w:r>
              <w:rPr>
                <w:rFonts w:hint="eastAsia" w:ascii="宋体" w:hAnsi="宋体" w:eastAsia="宋体" w:cs="宋体"/>
                <w:color w:val="000000"/>
                <w:sz w:val="21"/>
                <w:szCs w:val="21"/>
                <w:highlight w:val="none"/>
              </w:rPr>
            </w:r>
            <w:r/>
          </w:p>
        </w:tc>
        <w:tc>
          <w:tcPr>
            <w:tcW w:w="259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1、用抹布抹净，用清洁剂去除油污迹，用干净抹布抹净；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2、时间段的管理，听从所在科室护士长或主班护士的安排.。</w:t>
            </w:r>
            <w:r>
              <w:rPr>
                <w:rFonts w:hint="eastAsia" w:ascii="宋体" w:hAnsi="宋体" w:eastAsia="宋体" w:cs="宋体"/>
                <w:color w:val="000000"/>
                <w:sz w:val="21"/>
                <w:szCs w:val="21"/>
                <w:highlight w:val="none"/>
              </w:rPr>
            </w:r>
            <w:r/>
          </w:p>
        </w:tc>
        <w:tc>
          <w:tcPr>
            <w:tcW w:w="112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协助有需要的病人热餐</w:t>
            </w:r>
            <w:r>
              <w:rPr>
                <w:rFonts w:hint="eastAsia" w:ascii="宋体" w:hAnsi="宋体" w:eastAsia="宋体" w:cs="宋体"/>
                <w:color w:val="000000"/>
                <w:sz w:val="21"/>
                <w:szCs w:val="21"/>
                <w:highlight w:val="none"/>
              </w:rPr>
            </w:r>
            <w:r/>
          </w:p>
        </w:tc>
        <w:tc>
          <w:tcPr>
            <w:tcW w:w="1727" w:type="dxa"/>
            <w:vAlign w:val="top"/>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1、清洁时请勿拆下除转盘、盘架、滚珠以外的任何部件，以免损坏微波炉及引起触电的危险；</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2、勿用金属刷子、颗粒状洗涤剂、酸碱性洗涤剂、溶化剂、去污粉、碱性肥皂洗刷微波炉的任何部位；</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3、不得煮生食。</w:t>
            </w:r>
            <w:r>
              <w:rPr>
                <w:rFonts w:hint="eastAsia" w:ascii="宋体" w:hAnsi="宋体" w:eastAsia="宋体" w:cs="宋体"/>
                <w:color w:val="000000"/>
                <w:sz w:val="21"/>
                <w:szCs w:val="21"/>
                <w:highlight w:val="none"/>
              </w:rPr>
            </w:r>
            <w:r/>
          </w:p>
        </w:tc>
        <w:tc>
          <w:tcPr>
            <w:tcW w:w="141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bl>
    <w:p>
      <w:pPr>
        <w:pStyle w:val="1074"/>
        <w:numPr>
          <w:ilvl w:val="2"/>
          <w:numId w:val="0"/>
        </w:numPr>
        <w:spacing w:before="120" w:after="1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门急诊、医技科室等日常保洁</w:t>
      </w:r>
      <w:r>
        <w:rPr>
          <w:rFonts w:hint="eastAsia" w:ascii="宋体" w:hAnsi="宋体" w:eastAsia="宋体" w:cs="宋体"/>
          <w:b w:val="0"/>
          <w:bCs/>
          <w:color w:val="000000"/>
          <w:sz w:val="21"/>
          <w:szCs w:val="21"/>
          <w:highlight w:val="none"/>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1525"/>
        <w:gridCol w:w="2537"/>
        <w:gridCol w:w="1138"/>
        <w:gridCol w:w="1712"/>
        <w:gridCol w:w="1532"/>
      </w:tblGrid>
      <w:tr>
        <w:trPr/>
        <w:tc>
          <w:tcPr>
            <w:tcW w:w="1445"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525"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标准（质量要求）</w:t>
            </w:r>
            <w:r>
              <w:rPr>
                <w:rFonts w:hint="eastAsia" w:ascii="宋体" w:hAnsi="宋体" w:eastAsia="宋体" w:cs="宋体"/>
                <w:b/>
                <w:bCs/>
                <w:color w:val="000000"/>
                <w:sz w:val="21"/>
                <w:szCs w:val="21"/>
                <w:highlight w:val="none"/>
              </w:rPr>
            </w:r>
            <w:r/>
          </w:p>
        </w:tc>
        <w:tc>
          <w:tcPr>
            <w:tcW w:w="2537"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程序</w:t>
            </w:r>
            <w:r>
              <w:rPr>
                <w:rFonts w:hint="eastAsia" w:ascii="宋体" w:hAnsi="宋体" w:eastAsia="宋体" w:cs="宋体"/>
                <w:b/>
                <w:bCs/>
                <w:color w:val="000000"/>
                <w:sz w:val="21"/>
                <w:szCs w:val="21"/>
                <w:highlight w:val="none"/>
              </w:rPr>
            </w:r>
            <w:r/>
          </w:p>
        </w:tc>
        <w:tc>
          <w:tcPr>
            <w:tcW w:w="1138"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频次</w:t>
            </w:r>
            <w:r>
              <w:rPr>
                <w:rFonts w:hint="eastAsia" w:ascii="宋体" w:hAnsi="宋体" w:eastAsia="宋体" w:cs="宋体"/>
                <w:b/>
                <w:bCs/>
                <w:color w:val="000000"/>
                <w:sz w:val="21"/>
                <w:szCs w:val="21"/>
                <w:highlight w:val="none"/>
              </w:rPr>
            </w:r>
            <w:r/>
          </w:p>
        </w:tc>
        <w:tc>
          <w:tcPr>
            <w:tcW w:w="1712"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注意事项</w:t>
            </w:r>
            <w:r>
              <w:rPr>
                <w:rFonts w:hint="eastAsia" w:ascii="宋体" w:hAnsi="宋体" w:eastAsia="宋体" w:cs="宋体"/>
                <w:b/>
                <w:bCs/>
                <w:color w:val="000000"/>
                <w:sz w:val="21"/>
                <w:szCs w:val="21"/>
                <w:highlight w:val="none"/>
              </w:rPr>
            </w:r>
            <w:r/>
          </w:p>
        </w:tc>
        <w:tc>
          <w:tcPr>
            <w:tcW w:w="1532"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走廊、大厅、各候诊区</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清洁光亮，无尘、斑迹、油迹、污迹、烟头</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1、用尘推往返推尘；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2、将灰尘推至拐角用抹布抹掉；</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3、更换干净推头；</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4、在不影响人员进出的情况下对斑迹、油迹用湿拖。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5、新综合大楼需洗地机清洗。</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1、尘推：2小时1次，随脏随打扫</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2、湿拖：每日两次，随脏随拖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3、洗地机：每天1次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1、尘推不可靠近病人及家属；</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2、不可跟在病人后面推尘，应绕道推尘；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3、视就诊人数，随机增加洗地次数。</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尘推、抹布、拖把、洗地机</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诊室</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地面、台面清洁光亮、无尘，洗手池清洁无污垢</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1、台面用较干抹布擦拭；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2、用尘推牵尘后地面湿拖；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3、用百洁布清洁洗手池。</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1、地面干净防滑；</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2、台面清洁时注意电脑。</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尘推、拖把、抹布</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楼梯</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无灰尘、无烟蒂、无杂物、无斑迹</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1、用湿拖把拖净；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2、烟蒂、杂物及时清除；</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3、用干净的抹布抹净扶手。；</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1、每天一次湿拖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2、烟蒂清除间隔时间不超过40分钟</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1、血迹、呕吐物污染时按院感要求清洁；</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2、污染时做到及时性。</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抹布、拖把、扫帚、簸箕</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78"/>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楼道顶、墙面</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无灰尘、无蛛网、无污迹</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1、用专用除尘掸除尘；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2、用抹布蘸清洁剂去除黏附在墙壁上的污物。</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随脏随拖</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注意安全。</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除尘掸、抹布、清洁剂</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防滑垫</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无沙土、杂物、污物残留，干净、美观</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1、用吸尘器彻底吸尘；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2、用高压水枪冲洗地垫，去除污物直至结束；</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3、用吸水器吸取残留在地垫中的水分；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4、用拖把将地垫周围的水迹拖掉。</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检查清洗后的地垫，对有些镶嵌在地垫中的杂物挑除。</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吸尘器、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高压水枪、拖把</w:t>
            </w:r>
            <w:r>
              <w:rPr>
                <w:rFonts w:hint="eastAsia" w:ascii="宋体" w:hAnsi="宋体" w:eastAsia="宋体" w:cs="宋体"/>
                <w:color w:val="000000"/>
                <w:sz w:val="21"/>
                <w:szCs w:val="21"/>
                <w:highlight w:val="none"/>
              </w:rPr>
            </w:r>
            <w:r/>
          </w:p>
        </w:tc>
      </w:tr>
      <w:tr>
        <w:trPr>
          <w:cantSplit/>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门帘</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无灰尘、污迹、缺损，清洁</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1、用抹布蘸清洁剂逐条抹净；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2、用干抹布抹净。</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避免在人员进出高峰期进行保洁。</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cantSplit/>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等候椅</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无灰尘、污迹、杂物、水迹，干净明亮</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1、抹布蘸清洁剂逐个抹净；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2、用干抹布抹净。</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等候椅下方的卫生不要忽略。</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cantSplit/>
          <w:trHeight w:val="866"/>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自助服务机</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无灰尘、污迹、杂物、水迹，干净明亮</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1、抹布蘸清水逐个抹净</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每天一次，随脏随擦</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避免在人员使用高峰期进行保洁。</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光亮、无污迹、无水迹，周边无垃圾</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1、将垃圾袋取出，扎紧放入工作车垃圾桶内；</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2、用清洁剂刷洗垃圾桶内外；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3、擦干、擦净；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4、更换干净垃圾袋。</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每天三次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随满随倒</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不可满溢。</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刷子、清洁剂、抹布、垃圾袋</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花盆、花架、装饰花卉</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无枯枝败叶、灰尘、杂物、异味、虫害</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1、用抹布抹去灰尘，捡去杂物及枯枝败叶，放进垃圾袋里；</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2、发现绿植有虫害时及时上报；</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3、通知绿化养护公司清除有异味的花卉盆。</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摆放合理。</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抹布、垃圾袋、杀虫剂</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易拉宝、标识牌、框</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无灰尘、无损坏、无脱落</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1、用抹布抹去灰尘；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2、脱落处妥善处理；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3、易拉宝倒地或倾斜时及时纠正。</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1、避免损坏易拉宝；</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2、摆放合理。</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楼梯、走廊两侧墙壁</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无灰尘、污迹、脱落</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1、用抹布由上而下抹净；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2、污迹处用清洁剂清除；</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3、用干抹布抹净。</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勿忽略踢脚板的卫生，不可将墙壁擦花。</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立式烟缸、吸烟区、窨井盖</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干净，无烟头、烟灰、痰迹、垃圾无晃动，窨井盖表面无痕迹、污迹，下水孔无阻塞、破损</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1、将烟灰桶内的杂物、砂子表面的烟头倒净；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2、将烟缸盖上的痰迹擦净，表面外壳擦干净；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3、用蘸有清洁剂的刷子刷洗。</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1、定期清洗，更换砂子；</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2、必要时加强巡查。</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电子触摸屏</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无灰尘、污迹，完好</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用拧干水分的干净抹布擦拭至洁净。</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不可沾水。</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大厅、连廊、所有走廊玻璃面</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无灰尘、污迹，洁净明亮</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1、用涂水器蘸上清洁剂均匀涂于玻璃表面；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2、用刮水器刮除玻璃上污水；</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3、刮水器刮在玻璃上运行的起止处应是边框到对门边框；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4、用力均匀，每刮一回用抹布将刮水器擦干，再行下一回；</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5、刮洗结束后，要用干净抹布将边框处水道擦去。</w:t>
            </w: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1、污水不可滴落；</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2、外侧玻璃刮大风、下雨时勿作业；</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3、作业时确保安全。</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抹布、扶梯、清洁剂</w:t>
            </w:r>
            <w:r>
              <w:rPr>
                <w:rFonts w:hint="eastAsia" w:ascii="宋体" w:hAnsi="宋体" w:eastAsia="宋体" w:cs="宋体"/>
                <w:color w:val="000000"/>
                <w:sz w:val="21"/>
                <w:szCs w:val="21"/>
                <w:highlight w:val="none"/>
              </w:rPr>
            </w:r>
            <w:r/>
          </w:p>
        </w:tc>
      </w:tr>
      <w:tr>
        <w:trPr/>
        <w:tc>
          <w:tcPr>
            <w:tcW w:w="144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员工休息室、污洗间</w:t>
            </w:r>
            <w:r>
              <w:rPr>
                <w:rFonts w:hint="eastAsia" w:ascii="宋体" w:hAnsi="宋体" w:eastAsia="宋体" w:cs="宋体"/>
                <w:color w:val="000000"/>
                <w:sz w:val="21"/>
                <w:szCs w:val="21"/>
                <w:highlight w:val="none"/>
              </w:rPr>
            </w:r>
            <w:r/>
          </w:p>
        </w:tc>
        <w:tc>
          <w:tcPr>
            <w:tcW w:w="152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整洁、干净、无废纸、无饮料瓶、无电器使用</w:t>
            </w:r>
            <w:r>
              <w:rPr>
                <w:rFonts w:hint="eastAsia" w:ascii="宋体" w:hAnsi="宋体" w:eastAsia="宋体" w:cs="宋体"/>
                <w:color w:val="000000"/>
                <w:sz w:val="21"/>
                <w:szCs w:val="21"/>
                <w:highlight w:val="none"/>
              </w:rPr>
            </w:r>
            <w:r/>
          </w:p>
        </w:tc>
        <w:tc>
          <w:tcPr>
            <w:tcW w:w="25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1、生活用品放置整洁；</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2、桌面干净。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3、窗台没有衣物悬挂。</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4、墙面、门窗上无私人钉钩。</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每日一次</w:t>
            </w:r>
            <w:r>
              <w:rPr>
                <w:rFonts w:hint="eastAsia" w:ascii="宋体" w:hAnsi="宋体" w:eastAsia="宋体" w:cs="宋体"/>
                <w:color w:val="000000"/>
                <w:sz w:val="21"/>
                <w:szCs w:val="21"/>
                <w:highlight w:val="none"/>
              </w:rPr>
            </w:r>
            <w:r/>
          </w:p>
        </w:tc>
        <w:tc>
          <w:tcPr>
            <w:tcW w:w="171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1、禁止收集废纸、饮料瓶、花篮；</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2、禁止在管道井放置工具或生活用品；</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3、禁止使用煮饭类电器。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4、禁止在医院清洗、悬挂私人湿衣物</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5、禁止私藏、使用工作人员被服。</w:t>
            </w:r>
            <w:r>
              <w:rPr>
                <w:rFonts w:hint="eastAsia" w:ascii="宋体" w:hAnsi="宋体" w:eastAsia="宋体" w:cs="宋体"/>
                <w:color w:val="000000"/>
                <w:sz w:val="21"/>
                <w:szCs w:val="21"/>
                <w:highlight w:val="none"/>
              </w:rPr>
            </w:r>
            <w:r/>
          </w:p>
        </w:tc>
        <w:tc>
          <w:tcPr>
            <w:tcW w:w="1532"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w:t>
            </w:r>
            <w:r>
              <w:rPr>
                <w:rFonts w:hint="eastAsia" w:ascii="宋体" w:hAnsi="宋体" w:eastAsia="宋体" w:cs="宋体"/>
                <w:color w:val="000000"/>
                <w:sz w:val="21"/>
                <w:szCs w:val="21"/>
                <w:highlight w:val="none"/>
              </w:rPr>
            </w:r>
            <w:r/>
          </w:p>
        </w:tc>
      </w:tr>
    </w:tbl>
    <w:p>
      <w:pPr>
        <w:pStyle w:val="1074"/>
        <w:numPr>
          <w:ilvl w:val="2"/>
          <w:numId w:val="0"/>
        </w:numPr>
        <w:spacing w:before="120" w:after="1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公共洗手间日常保洁</w:t>
      </w:r>
      <w:r>
        <w:rPr>
          <w:rFonts w:hint="eastAsia" w:ascii="宋体" w:hAnsi="宋体" w:eastAsia="宋体" w:cs="宋体"/>
          <w:b w:val="0"/>
          <w:bCs/>
          <w:color w:val="000000"/>
          <w:sz w:val="21"/>
          <w:szCs w:val="21"/>
          <w:highlight w:val="none"/>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1751"/>
        <w:gridCol w:w="2579"/>
        <w:gridCol w:w="1191"/>
        <w:gridCol w:w="1817"/>
        <w:gridCol w:w="1233"/>
      </w:tblGrid>
      <w:tr>
        <w:trPr>
          <w:trHeight w:val="143"/>
        </w:trPr>
        <w:tc>
          <w:tcPr>
            <w:tcW w:w="139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75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（质量要求）</w:t>
            </w:r>
            <w:r>
              <w:rPr>
                <w:rFonts w:hint="eastAsia" w:ascii="宋体" w:hAnsi="宋体" w:eastAsia="宋体" w:cs="宋体"/>
                <w:b/>
                <w:bCs/>
                <w:color w:val="000000"/>
                <w:sz w:val="21"/>
                <w:szCs w:val="21"/>
                <w:highlight w:val="none"/>
              </w:rPr>
            </w:r>
            <w:r/>
          </w:p>
        </w:tc>
        <w:tc>
          <w:tcPr>
            <w:tcW w:w="2579"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程序</w:t>
            </w:r>
            <w:r>
              <w:rPr>
                <w:rFonts w:hint="eastAsia" w:ascii="宋体" w:hAnsi="宋体" w:eastAsia="宋体" w:cs="宋体"/>
                <w:b/>
                <w:bCs/>
                <w:color w:val="000000"/>
                <w:sz w:val="21"/>
                <w:szCs w:val="21"/>
                <w:highlight w:val="none"/>
              </w:rPr>
            </w:r>
            <w:r/>
          </w:p>
        </w:tc>
        <w:tc>
          <w:tcPr>
            <w:tcW w:w="119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频次</w:t>
            </w:r>
            <w:r>
              <w:rPr>
                <w:rFonts w:hint="eastAsia" w:ascii="宋体" w:hAnsi="宋体" w:eastAsia="宋体" w:cs="宋体"/>
                <w:b/>
                <w:bCs/>
                <w:color w:val="000000"/>
                <w:sz w:val="21"/>
                <w:szCs w:val="21"/>
                <w:highlight w:val="none"/>
              </w:rPr>
            </w:r>
            <w:r/>
          </w:p>
        </w:tc>
        <w:tc>
          <w:tcPr>
            <w:tcW w:w="1817"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注意</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事项</w:t>
            </w:r>
            <w:r>
              <w:rPr>
                <w:rFonts w:hint="eastAsia" w:ascii="宋体" w:hAnsi="宋体" w:eastAsia="宋体" w:cs="宋体"/>
                <w:b/>
                <w:bCs/>
                <w:color w:val="000000"/>
                <w:sz w:val="21"/>
                <w:szCs w:val="21"/>
                <w:highlight w:val="none"/>
              </w:rPr>
            </w:r>
            <w:r/>
          </w:p>
        </w:tc>
        <w:tc>
          <w:tcPr>
            <w:tcW w:w="1233"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无浮灰、水迹、杂物、鞋印及污迹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1、将地面清扫干净；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2、用拖把拖净地面；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3、对污迹用毛刷蘸清洁剂刷洗；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4、用干拖把拖净地面。</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每小时一次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随脏随拖</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注意马桶后及垃圾桶周地面，保持地面无水渍。</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毛刷、抹布（百洁布）、拖把</w:t>
            </w:r>
            <w:r>
              <w:rPr>
                <w:rFonts w:hint="eastAsia" w:ascii="宋体" w:hAnsi="宋体" w:eastAsia="宋体" w:cs="宋体"/>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墙壁瓷砖</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无灰尘、水迹、皂迹，瓷砖缝隙处洁白，无脱落</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1、用蘸有清洁剂的抹布由上至下擦拭干净；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先用毛刷蘸清洁剂，先刷洗缝隙，再按程序操作。</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清洁剂、毛刷、抹布（百洁布）</w:t>
            </w:r>
            <w:r>
              <w:rPr>
                <w:rFonts w:hint="eastAsia" w:ascii="宋体" w:hAnsi="宋体" w:eastAsia="宋体" w:cs="宋体"/>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洗手盆及台面</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无水迹、污迹，洁净、光亮、畅通</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1、用蘸有清洁剂的抹布擦拭脸盆、台面；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2、用抹布擦干净。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每小时一次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不可遗漏台面下的弯头。</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清洁剂、抹布（百洁布）</w:t>
            </w:r>
            <w:r>
              <w:rPr>
                <w:rFonts w:hint="eastAsia" w:ascii="宋体" w:hAnsi="宋体" w:eastAsia="宋体" w:cs="宋体"/>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镜面、镜框</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无灰尘、水迹、锈迹，镜面上无污迹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1、用玻璃刮刮净镜面上的水迹；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2、用抹布蘸清洁剂擦拭镜框；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3、用清洁剂清除污迹。</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玻璃不能擦花。</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玻璃刮、抹布（百洁布）、清洁剂</w:t>
            </w:r>
            <w:r>
              <w:rPr>
                <w:rFonts w:hint="eastAsia" w:ascii="宋体" w:hAnsi="宋体" w:eastAsia="宋体" w:cs="宋体"/>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龙头、挂钩、下水弯头、开关、扶手等</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光亮、无斑迹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1、用抹布抹浮灰；</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2、用抹布蘸清洁剂擦拭金属器；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3、用抹布擦净。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每天上、下午各一次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抹布要分开使用。</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抹布、不锈钢清洁剂</w:t>
            </w:r>
            <w:r>
              <w:rPr>
                <w:rFonts w:hint="eastAsia" w:ascii="宋体" w:hAnsi="宋体" w:eastAsia="宋体" w:cs="宋体"/>
                <w:color w:val="000000"/>
                <w:sz w:val="21"/>
                <w:szCs w:val="21"/>
                <w:highlight w:val="none"/>
              </w:rPr>
            </w:r>
            <w:r/>
          </w:p>
        </w:tc>
      </w:tr>
      <w:tr>
        <w:trPr>
          <w:cantSplit/>
          <w:trHeight w:val="143"/>
        </w:trPr>
        <w:tc>
          <w:tcPr>
            <w:tcW w:w="1391" w:type="dxa"/>
            <w:vAlign w:val="center"/>
            <w:vMerge w:val="restart"/>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小便池、抽水马桶及水箱</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无水痕、锈迹、斑迹、毛发、尿碱</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1、先抽一次马桶；</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2、倒入清洁剂清洗；</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3、用清水过洗干净；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4、用抹布擦干马桶内外底座，一用一消毒；</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5、擦拭顺序从上到下、从外到内。</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每天三次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随脏随洗</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出水口、溢水口、水阀、控制器、四周瓷砖的卫生不能忽略。</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清洁剂、百洁布、牙刷、抹布</w:t>
            </w:r>
            <w:r>
              <w:rPr>
                <w:rFonts w:hint="eastAsia" w:ascii="宋体" w:hAnsi="宋体" w:eastAsia="宋体" w:cs="宋体"/>
                <w:color w:val="000000"/>
                <w:sz w:val="21"/>
                <w:szCs w:val="21"/>
                <w:highlight w:val="none"/>
              </w:rPr>
            </w:r>
            <w:r/>
          </w:p>
        </w:tc>
      </w:tr>
      <w:tr>
        <w:trPr>
          <w:cantSplit/>
          <w:trHeight w:val="143"/>
        </w:trPr>
        <w:tc>
          <w:tcPr>
            <w:tcW w:w="1391" w:type="dxa"/>
            <w:vAlign w:val="center"/>
            <w:vMerge w:val="continue"/>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无灰尘、无黄迹、无沉淀物</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1、用抹布抹浮灰；</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2、用抹布蘸清洁剂擦黄迹、污迹；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3、用专用毛刷刷水箱内壁。</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每天上、下午各一次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1、水箱盖一定要放在安全的地方，防止打烂；</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2、刷洗时要小心，避免损坏内部构件。</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清洁剂、抹布（百洁布）、手套、毛刷、牙膏</w:t>
            </w:r>
            <w:r>
              <w:rPr>
                <w:rFonts w:hint="eastAsia" w:ascii="宋体" w:hAnsi="宋体" w:eastAsia="宋体" w:cs="宋体"/>
                <w:color w:val="000000"/>
                <w:sz w:val="21"/>
                <w:szCs w:val="21"/>
                <w:highlight w:val="none"/>
              </w:rPr>
            </w:r>
            <w:r/>
          </w:p>
        </w:tc>
      </w:tr>
      <w:tr>
        <w:trPr>
          <w:trHeight w:val="143"/>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光亮、无污迹、无水迹，周边无垃圾</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1、将垃圾袋取出，扎紧放入工作车垃圾桶内；</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2、用清洁剂刷洗垃圾桶内外；</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3、擦干、擦净；</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4、更换干净垃圾袋。</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每天三次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随满随倒</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垃圾袋平整地套在垃圾桶上，与垃圾桶之间无缝隙，翻边约5厘米,不能漫溢。</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清洁剂、百洁布、毛刷、抹布、手套、塑料袋</w:t>
            </w:r>
            <w:r>
              <w:rPr>
                <w:rFonts w:hint="eastAsia" w:ascii="宋体" w:hAnsi="宋体" w:eastAsia="宋体" w:cs="宋体"/>
                <w:color w:val="000000"/>
                <w:sz w:val="21"/>
                <w:szCs w:val="21"/>
                <w:highlight w:val="none"/>
              </w:rPr>
            </w:r>
            <w:r/>
          </w:p>
        </w:tc>
      </w:tr>
      <w:tr>
        <w:trPr>
          <w:trHeight w:val="684"/>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门（面、框、锁把手）</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无浮灰、手印、斑迹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用抹布喷清洁剂擦灰尘、污迹；</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每天上午一次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用抹布清洁门（面、框、锁把手）</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1145"/>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门槛、防滑垫、地漏</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无头发、纱头，无灰尘、纸屑，无污迹、水迹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1、用毛刷剔除门槛缝隙内的头发、杂物；</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2、用清洁剂刷洗门槛、防滑垫、地漏；</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3、抹布抹净。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每天上、下午一次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地漏清洁后应盖在地漏孔上，不可有积水。</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毛刷、清洁剂、抹布</w:t>
            </w:r>
            <w:r>
              <w:rPr>
                <w:rFonts w:hint="eastAsia" w:ascii="宋体" w:hAnsi="宋体" w:eastAsia="宋体" w:cs="宋体"/>
                <w:color w:val="000000"/>
                <w:sz w:val="21"/>
                <w:szCs w:val="21"/>
                <w:highlight w:val="none"/>
              </w:rPr>
            </w:r>
            <w:r/>
          </w:p>
        </w:tc>
      </w:tr>
      <w:tr>
        <w:trPr>
          <w:trHeight w:val="922"/>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风口及风口挡板</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无灰尘、无印迹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1、用抹布擦净挡风板；</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2、用抹布擦净风口四周墙壁。</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风口四周墙壁不可有污迹，不可站在病人用椅上。</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461"/>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房顶</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无斑迹、无吊灰、无蜘蛛网</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防止灰尘扬起。</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684"/>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顶灯及罩</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用抹布擦净。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擦时不要把灯罩周围墙壁碰有印迹。</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w:t>
            </w:r>
            <w:r>
              <w:rPr>
                <w:rFonts w:hint="eastAsia" w:ascii="宋体" w:hAnsi="宋体" w:eastAsia="宋体" w:cs="宋体"/>
                <w:color w:val="000000"/>
                <w:sz w:val="21"/>
                <w:szCs w:val="21"/>
                <w:highlight w:val="none"/>
              </w:rPr>
            </w:r>
            <w:r/>
          </w:p>
        </w:tc>
      </w:tr>
      <w:tr>
        <w:trPr>
          <w:trHeight w:val="461"/>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卫生间空气</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无异味、空气清新</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酌情在洗手间内喷洒空气清新剂。</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必要时</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慎用，从根本上找出恶臭的来源，进行彻底清除。</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空气清新剂、卫生球</w:t>
            </w:r>
            <w:r>
              <w:rPr>
                <w:rFonts w:hint="eastAsia" w:ascii="宋体" w:hAnsi="宋体" w:eastAsia="宋体" w:cs="宋体"/>
                <w:color w:val="000000"/>
                <w:sz w:val="21"/>
                <w:szCs w:val="21"/>
                <w:highlight w:val="none"/>
              </w:rPr>
            </w:r>
            <w:r/>
          </w:p>
        </w:tc>
      </w:tr>
      <w:tr>
        <w:trPr>
          <w:trHeight w:val="1866"/>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玻璃窗、框、窗台</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窗框无灰尘、玻璃明亮无污迹</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1、涂水器蘸上清洁剂均匀涂于玻璃表面；</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2、刮水器刮除玻璃上污水；</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3、刮水器刮在玻璃上运行的起止处应是边框到对面边框；</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4、用力均匀，每刮一回用抹布将刮水器擦干，再行下一回；</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5、刮洗结束后，要用干净抹布将边框处水道擦去。</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玻璃每周一次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窗框、台每天一次</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1、污水不可滴落楼下；</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2、刮大风、下雨时勿作业。</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抹布、清洁剂、刮水器</w:t>
            </w:r>
            <w:r>
              <w:rPr>
                <w:rFonts w:hint="eastAsia" w:ascii="宋体" w:hAnsi="宋体" w:eastAsia="宋体" w:cs="宋体"/>
                <w:color w:val="000000"/>
                <w:sz w:val="21"/>
                <w:szCs w:val="21"/>
                <w:highlight w:val="none"/>
              </w:rPr>
            </w:r>
            <w:r/>
          </w:p>
        </w:tc>
      </w:tr>
      <w:tr>
        <w:trPr>
          <w:trHeight w:val="699"/>
        </w:trPr>
        <w:tc>
          <w:tcPr>
            <w:tcW w:w="13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便池隔板</w:t>
            </w:r>
            <w:r>
              <w:rPr>
                <w:rFonts w:hint="eastAsia" w:ascii="宋体" w:hAnsi="宋体" w:eastAsia="宋体" w:cs="宋体"/>
                <w:color w:val="000000"/>
                <w:sz w:val="21"/>
                <w:szCs w:val="21"/>
                <w:highlight w:val="none"/>
              </w:rPr>
            </w:r>
            <w:r/>
          </w:p>
        </w:tc>
        <w:tc>
          <w:tcPr>
            <w:tcW w:w="17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无灰尘、污迹、水迹、鞋印</w:t>
            </w:r>
            <w:r>
              <w:rPr>
                <w:rFonts w:hint="eastAsia" w:ascii="宋体" w:hAnsi="宋体" w:eastAsia="宋体" w:cs="宋体"/>
                <w:color w:val="000000"/>
                <w:sz w:val="21"/>
                <w:szCs w:val="21"/>
                <w:highlight w:val="none"/>
              </w:rPr>
            </w:r>
            <w:r/>
          </w:p>
        </w:tc>
        <w:tc>
          <w:tcPr>
            <w:tcW w:w="2579"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1、用抹布抹净灰尘；</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2、用抹布蘸清洁剂擦拭；</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3、用干抹布抹净。</w:t>
            </w:r>
            <w:r>
              <w:rPr>
                <w:rFonts w:hint="eastAsia" w:ascii="宋体" w:hAnsi="宋体" w:eastAsia="宋体" w:cs="宋体"/>
                <w:color w:val="000000"/>
                <w:sz w:val="21"/>
                <w:szCs w:val="21"/>
                <w:highlight w:val="none"/>
              </w:rPr>
            </w:r>
            <w:r/>
          </w:p>
        </w:tc>
        <w:tc>
          <w:tcPr>
            <w:tcW w:w="119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每天二次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随脏随擦</w:t>
            </w:r>
            <w:r>
              <w:rPr>
                <w:rFonts w:hint="eastAsia" w:ascii="宋体" w:hAnsi="宋体" w:eastAsia="宋体" w:cs="宋体"/>
                <w:color w:val="000000"/>
                <w:sz w:val="21"/>
                <w:szCs w:val="21"/>
                <w:highlight w:val="none"/>
              </w:rPr>
            </w:r>
            <w:r/>
          </w:p>
        </w:tc>
        <w:tc>
          <w:tcPr>
            <w:tcW w:w="181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禁止使用高浓度酸、碱清洁剂，以免损坏瓷面。</w:t>
            </w:r>
            <w:r>
              <w:rPr>
                <w:rFonts w:hint="eastAsia" w:ascii="宋体" w:hAnsi="宋体" w:eastAsia="宋体" w:cs="宋体"/>
                <w:color w:val="000000"/>
                <w:sz w:val="21"/>
                <w:szCs w:val="21"/>
                <w:highlight w:val="none"/>
              </w:rPr>
            </w:r>
            <w:r/>
          </w:p>
        </w:tc>
        <w:tc>
          <w:tcPr>
            <w:tcW w:w="123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清洁剂、抹布</w:t>
            </w:r>
            <w:r>
              <w:rPr>
                <w:rFonts w:hint="eastAsia" w:ascii="宋体" w:hAnsi="宋体" w:eastAsia="宋体" w:cs="宋体"/>
                <w:color w:val="000000"/>
                <w:sz w:val="21"/>
                <w:szCs w:val="21"/>
                <w:highlight w:val="none"/>
              </w:rPr>
            </w:r>
            <w:r/>
          </w:p>
        </w:tc>
      </w:tr>
    </w:tbl>
    <w:p>
      <w:pPr>
        <w:pStyle w:val="1074"/>
        <w:numPr>
          <w:ilvl w:val="2"/>
          <w:numId w:val="0"/>
        </w:numPr>
        <w:spacing w:before="120" w:after="1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病区各种医用推车日常保洁</w:t>
      </w:r>
      <w:r>
        <w:rPr>
          <w:rFonts w:hint="eastAsia" w:ascii="宋体" w:hAnsi="宋体" w:eastAsia="宋体" w:cs="宋体"/>
          <w:b w:val="0"/>
          <w:bCs/>
          <w:color w:val="000000"/>
          <w:sz w:val="21"/>
          <w:szCs w:val="21"/>
          <w:highlight w:val="none"/>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803"/>
        <w:gridCol w:w="2451"/>
        <w:gridCol w:w="1337"/>
        <w:gridCol w:w="1538"/>
        <w:gridCol w:w="1515"/>
      </w:tblGrid>
      <w:tr>
        <w:trPr>
          <w:trHeight w:val="143"/>
        </w:trPr>
        <w:tc>
          <w:tcPr>
            <w:tcW w:w="1438"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1803"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标准</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（质量要求）</w:t>
            </w:r>
            <w:r>
              <w:rPr>
                <w:rFonts w:hint="eastAsia" w:ascii="宋体" w:hAnsi="宋体" w:eastAsia="宋体" w:cs="宋体"/>
                <w:b/>
                <w:bCs/>
                <w:color w:val="000000"/>
                <w:sz w:val="21"/>
                <w:szCs w:val="21"/>
                <w:highlight w:val="none"/>
              </w:rPr>
            </w:r>
            <w:r/>
          </w:p>
        </w:tc>
        <w:tc>
          <w:tcPr>
            <w:tcW w:w="2451"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程序</w:t>
            </w:r>
            <w:r>
              <w:rPr>
                <w:rFonts w:hint="eastAsia" w:ascii="宋体" w:hAnsi="宋体" w:eastAsia="宋体" w:cs="宋体"/>
                <w:b/>
                <w:bCs/>
                <w:color w:val="000000"/>
                <w:sz w:val="21"/>
                <w:szCs w:val="21"/>
                <w:highlight w:val="none"/>
              </w:rPr>
            </w:r>
            <w:r/>
          </w:p>
        </w:tc>
        <w:tc>
          <w:tcPr>
            <w:tcW w:w="1337"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频次</w:t>
            </w:r>
            <w:r>
              <w:rPr>
                <w:rFonts w:hint="eastAsia" w:ascii="宋体" w:hAnsi="宋体" w:eastAsia="宋体" w:cs="宋体"/>
                <w:b/>
                <w:bCs/>
                <w:color w:val="000000"/>
                <w:sz w:val="21"/>
                <w:szCs w:val="21"/>
                <w:highlight w:val="none"/>
              </w:rPr>
            </w:r>
            <w:r/>
          </w:p>
        </w:tc>
        <w:tc>
          <w:tcPr>
            <w:tcW w:w="1538"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注意事项</w:t>
            </w:r>
            <w:r>
              <w:rPr>
                <w:rFonts w:hint="eastAsia" w:ascii="宋体" w:hAnsi="宋体" w:eastAsia="宋体" w:cs="宋体"/>
                <w:b/>
                <w:bCs/>
                <w:color w:val="000000"/>
                <w:sz w:val="21"/>
                <w:szCs w:val="21"/>
                <w:highlight w:val="none"/>
              </w:rPr>
            </w:r>
            <w:r/>
          </w:p>
        </w:tc>
        <w:tc>
          <w:tcPr>
            <w:tcW w:w="1515" w:type="dxa"/>
            <w:vAlign w:val="center"/>
            <w:textDirection w:val="lrTb"/>
            <w:noWrap/>
          </w:tcPr>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工具</w:t>
            </w:r>
            <w:r>
              <w:rPr>
                <w:rFonts w:hint="eastAsia" w:ascii="宋体" w:hAnsi="宋体" w:eastAsia="宋体" w:cs="宋体"/>
                <w:b/>
                <w:bCs/>
                <w:color w:val="000000"/>
                <w:sz w:val="21"/>
                <w:szCs w:val="21"/>
                <w:highlight w:val="none"/>
              </w:rPr>
            </w:r>
            <w:r/>
          </w:p>
          <w:p>
            <w:pPr>
              <w:pStyle w:val="94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（材料）</w:t>
            </w:r>
            <w:r>
              <w:rPr>
                <w:rFonts w:hint="eastAsia" w:ascii="宋体" w:hAnsi="宋体" w:eastAsia="宋体" w:cs="宋体"/>
                <w:b/>
                <w:bCs/>
                <w:color w:val="000000"/>
                <w:sz w:val="21"/>
                <w:szCs w:val="21"/>
                <w:highlight w:val="none"/>
              </w:rPr>
            </w:r>
            <w:r/>
          </w:p>
        </w:tc>
      </w:tr>
      <w:tr>
        <w:trPr>
          <w:trHeight w:val="143"/>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病历车、电脑车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无灰尘、污迹、水迹，光亮洁净</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1、用拧干水分的干净抹布；擦拭灰尘污迹至光亮</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2、用毛刷剔除车轮上缠绕物；</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3、定期给车轮轴注润滑油。</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不可把病历淋湿或污染，车轮不可发出“吱吱”声。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抹布（百洁布）、毛刷、清洁剂、润滑油</w:t>
            </w:r>
            <w:r>
              <w:rPr>
                <w:rFonts w:hint="eastAsia" w:ascii="宋体" w:hAnsi="宋体" w:eastAsia="宋体" w:cs="宋体"/>
                <w:color w:val="000000"/>
                <w:sz w:val="21"/>
                <w:szCs w:val="21"/>
                <w:highlight w:val="none"/>
              </w:rPr>
            </w:r>
            <w:r/>
          </w:p>
        </w:tc>
      </w:tr>
      <w:tr>
        <w:trPr>
          <w:trHeight w:val="143"/>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治疗车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无灰尘、污迹、水迹，光亮洁净</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抹布（百洁布）、毛刷、清洁剂、润滑油</w:t>
            </w:r>
            <w:r>
              <w:rPr>
                <w:rFonts w:hint="eastAsia" w:ascii="宋体" w:hAnsi="宋体" w:eastAsia="宋体" w:cs="宋体"/>
                <w:color w:val="000000"/>
                <w:sz w:val="21"/>
                <w:szCs w:val="21"/>
                <w:highlight w:val="none"/>
              </w:rPr>
            </w:r>
            <w:r/>
          </w:p>
        </w:tc>
      </w:tr>
      <w:tr>
        <w:trPr>
          <w:trHeight w:val="143"/>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护理车、移动护士站</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无灰尘、污迹、水迹，光亮洁净</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抹布（百洁布）、毛刷、清洁剂、润滑油</w:t>
            </w:r>
            <w:r>
              <w:rPr>
                <w:rFonts w:hint="eastAsia" w:ascii="宋体" w:hAnsi="宋体" w:eastAsia="宋体" w:cs="宋体"/>
                <w:color w:val="000000"/>
                <w:sz w:val="21"/>
                <w:szCs w:val="21"/>
                <w:highlight w:val="none"/>
              </w:rPr>
            </w:r>
            <w:r/>
          </w:p>
        </w:tc>
      </w:tr>
      <w:tr>
        <w:trPr>
          <w:trHeight w:val="143"/>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急救车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无灰尘、污迹，完好</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仅擦拭车体表面车轮不可发出“吱吱”声。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抹布（百洁布）、牙刷、清洁剂、润滑油</w:t>
            </w:r>
            <w:r>
              <w:rPr>
                <w:rFonts w:hint="eastAsia" w:ascii="宋体" w:hAnsi="宋体" w:eastAsia="宋体" w:cs="宋体"/>
                <w:color w:val="000000"/>
                <w:sz w:val="21"/>
                <w:szCs w:val="21"/>
                <w:highlight w:val="none"/>
              </w:rPr>
            </w:r>
            <w:r/>
          </w:p>
        </w:tc>
      </w:tr>
      <w:tr>
        <w:trPr>
          <w:trHeight w:val="143"/>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发药车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无灰尘、污迹，完好</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不可忽略抽屉内的卫生，车轮不可发出“吱吱”声。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抹布（百洁布）、牙刷、清洁剂、润滑油</w:t>
            </w:r>
            <w:r>
              <w:rPr>
                <w:rFonts w:hint="eastAsia" w:ascii="宋体" w:hAnsi="宋体" w:eastAsia="宋体" w:cs="宋体"/>
                <w:color w:val="000000"/>
                <w:sz w:val="21"/>
                <w:szCs w:val="21"/>
                <w:highlight w:val="none"/>
              </w:rPr>
            </w:r>
            <w:r/>
          </w:p>
        </w:tc>
      </w:tr>
      <w:tr>
        <w:trPr>
          <w:cantSplit/>
          <w:trHeight w:val="925"/>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平推车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无灰尘、污迹，表面无破损</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抹布（百洁布）、牙刷、清洁剂、润滑油</w:t>
            </w:r>
            <w:r>
              <w:rPr>
                <w:rFonts w:hint="eastAsia" w:ascii="宋体" w:hAnsi="宋体" w:eastAsia="宋体" w:cs="宋体"/>
                <w:color w:val="000000"/>
                <w:sz w:val="21"/>
                <w:szCs w:val="21"/>
                <w:highlight w:val="none"/>
              </w:rPr>
            </w:r>
            <w:r/>
          </w:p>
        </w:tc>
      </w:tr>
      <w:tr>
        <w:trPr>
          <w:cantSplit/>
          <w:trHeight w:val="910"/>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轮椅</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无灰尘、污迹，表面无破损</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同上</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抹布（百洁布）、牙刷、清洁剂、润滑油</w:t>
            </w:r>
            <w:r>
              <w:rPr>
                <w:rFonts w:hint="eastAsia" w:ascii="宋体" w:hAnsi="宋体" w:eastAsia="宋体" w:cs="宋体"/>
                <w:color w:val="000000"/>
                <w:sz w:val="21"/>
                <w:szCs w:val="21"/>
                <w:highlight w:val="none"/>
              </w:rPr>
            </w:r>
            <w:r/>
          </w:p>
        </w:tc>
      </w:tr>
      <w:tr>
        <w:trPr>
          <w:trHeight w:val="925"/>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平板车（污物车）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无污迹、水迹、异味</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用蘸有清洁剂的抹布擦洗至干净。</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每天一次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1、抹布专用；</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抹布、润滑油</w:t>
            </w:r>
            <w:r>
              <w:rPr>
                <w:rFonts w:hint="eastAsia" w:ascii="宋体" w:hAnsi="宋体" w:eastAsia="宋体" w:cs="宋体"/>
                <w:color w:val="000000"/>
                <w:sz w:val="21"/>
                <w:szCs w:val="21"/>
                <w:highlight w:val="none"/>
              </w:rPr>
            </w:r>
            <w:r/>
          </w:p>
        </w:tc>
      </w:tr>
      <w:tr>
        <w:trPr>
          <w:trHeight w:val="686"/>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送水车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无灰尘、污迹，洁净</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用干净抹布擦拭至洁净。</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每天二次</w:t>
            </w:r>
            <w:r>
              <w:rPr>
                <w:rFonts w:hint="eastAsia" w:ascii="宋体" w:hAnsi="宋体" w:eastAsia="宋体" w:cs="宋体"/>
                <w:color w:val="000000"/>
                <w:sz w:val="21"/>
                <w:szCs w:val="21"/>
                <w:highlight w:val="none"/>
              </w:rPr>
            </w:r>
            <w:r/>
          </w:p>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每周彻底清洁一次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925"/>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榨水车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无污迹，，车内无污水，无污物浸泡，表面无破损，放置点规范</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使用后清洗干净。</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一用一清洗</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车轮能灵活转动，不可发出“吱吱”声。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r>
        <w:trPr>
          <w:trHeight w:val="940"/>
        </w:trPr>
        <w:tc>
          <w:tcPr>
            <w:tcW w:w="14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保洁车</w:t>
            </w:r>
            <w:r>
              <w:rPr>
                <w:rFonts w:hint="eastAsia" w:ascii="宋体" w:hAnsi="宋体" w:eastAsia="宋体" w:cs="宋体"/>
                <w:color w:val="000000"/>
                <w:sz w:val="21"/>
                <w:szCs w:val="21"/>
                <w:highlight w:val="none"/>
              </w:rPr>
            </w:r>
            <w:r/>
          </w:p>
        </w:tc>
        <w:tc>
          <w:tcPr>
            <w:tcW w:w="1803"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无灰尘、污迹、水迹，保洁物品放置合理、规范，放置点规范</w:t>
            </w:r>
            <w:r>
              <w:rPr>
                <w:rFonts w:hint="eastAsia" w:ascii="宋体" w:hAnsi="宋体" w:eastAsia="宋体" w:cs="宋体"/>
                <w:color w:val="000000"/>
                <w:sz w:val="21"/>
                <w:szCs w:val="21"/>
                <w:highlight w:val="none"/>
              </w:rPr>
            </w:r>
            <w:r/>
          </w:p>
        </w:tc>
        <w:tc>
          <w:tcPr>
            <w:tcW w:w="2451"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用干净抹布擦拭至洁净，保洁用具放置规范、齐全。</w:t>
            </w:r>
            <w:r>
              <w:rPr>
                <w:rFonts w:hint="eastAsia" w:ascii="宋体" w:hAnsi="宋体" w:eastAsia="宋体" w:cs="宋体"/>
                <w:color w:val="000000"/>
                <w:sz w:val="21"/>
                <w:szCs w:val="21"/>
                <w:highlight w:val="none"/>
              </w:rPr>
            </w:r>
            <w:r/>
          </w:p>
        </w:tc>
        <w:tc>
          <w:tcPr>
            <w:tcW w:w="1337"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一天二次</w:t>
            </w:r>
            <w:r>
              <w:rPr>
                <w:rFonts w:hint="eastAsia" w:ascii="宋体" w:hAnsi="宋体" w:eastAsia="宋体" w:cs="宋体"/>
                <w:color w:val="000000"/>
                <w:sz w:val="21"/>
                <w:szCs w:val="21"/>
                <w:highlight w:val="none"/>
              </w:rPr>
            </w:r>
            <w:r/>
          </w:p>
        </w:tc>
        <w:tc>
          <w:tcPr>
            <w:tcW w:w="1538"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车轮能灵活转动，不可发出“吱吱”声。</w:t>
            </w:r>
            <w:r>
              <w:rPr>
                <w:rFonts w:hint="eastAsia" w:ascii="宋体" w:hAnsi="宋体" w:eastAsia="宋体" w:cs="宋体"/>
                <w:color w:val="000000"/>
                <w:sz w:val="21"/>
                <w:szCs w:val="21"/>
                <w:highlight w:val="none"/>
              </w:rPr>
            </w:r>
            <w:r/>
          </w:p>
        </w:tc>
        <w:tc>
          <w:tcPr>
            <w:tcW w:w="1515" w:type="dxa"/>
            <w:vAlign w:val="center"/>
            <w:textDirection w:val="lrTb"/>
            <w:noWrap/>
          </w:tcPr>
          <w:p>
            <w:pPr>
              <w:pStyle w:val="949"/>
              <w:ind w:right="-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抹布</w:t>
            </w:r>
            <w:r>
              <w:rPr>
                <w:rFonts w:hint="eastAsia" w:ascii="宋体" w:hAnsi="宋体" w:eastAsia="宋体" w:cs="宋体"/>
                <w:color w:val="000000"/>
                <w:sz w:val="21"/>
                <w:szCs w:val="21"/>
                <w:highlight w:val="none"/>
              </w:rPr>
            </w:r>
            <w:r/>
          </w:p>
        </w:tc>
      </w:tr>
    </w:tbl>
    <w:p>
      <w:pPr>
        <w:pStyle w:val="1074"/>
        <w:numPr>
          <w:ilvl w:val="2"/>
          <w:numId w:val="0"/>
        </w:numPr>
        <w:spacing w:before="120" w:after="120"/>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lang w:eastAsia="zh-CN"/>
        </w:rPr>
        <w:t xml:space="preserve">）病房大楼（含新综合大楼）地面使用期间养护范围、服务要求</w:t>
      </w:r>
      <w:r>
        <w:rPr>
          <w:rFonts w:hint="eastAsia" w:ascii="宋体" w:hAnsi="宋体" w:eastAsia="宋体" w:cs="宋体"/>
          <w:b w:val="0"/>
          <w:bCs/>
          <w:color w:val="000000"/>
          <w:sz w:val="21"/>
          <w:szCs w:val="21"/>
          <w:highlight w:val="none"/>
          <w:lang w:eastAsia="zh-CN"/>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1776"/>
        <w:gridCol w:w="1341"/>
        <w:gridCol w:w="1341"/>
        <w:gridCol w:w="1872"/>
      </w:tblGrid>
      <w:tr>
        <w:trPr>
          <w:tblHeader/>
        </w:trPr>
        <w:tc>
          <w:tcPr>
            <w:tcMar>
              <w:left w:w="108" w:type="dxa"/>
              <w:top w:w="0" w:type="dxa"/>
              <w:right w:w="108" w:type="dxa"/>
              <w:bottom w:w="0" w:type="dxa"/>
            </w:tcMar>
            <w:tcW w:w="2838" w:type="dxa"/>
            <w:vAlign w:val="center"/>
            <w:textDirection w:val="lrTb"/>
            <w:noWrap/>
          </w:tcPr>
          <w:p>
            <w:pPr>
              <w:pStyle w:val="949"/>
              <w:rPr>
                <w:rFonts w:hint="eastAsia"/>
                <w:color w:val="000000"/>
                <w:highlight w:val="none"/>
              </w:rPr>
            </w:pPr>
            <w:r>
              <w:rPr>
                <w:rFonts w:hint="eastAsia"/>
                <w:color w:val="000000"/>
                <w:highlight w:val="none"/>
              </w:rPr>
              <w:t xml:space="preserve">区域</w:t>
            </w:r>
            <w:r>
              <w:rPr>
                <w:rFonts w:hint="eastAsia"/>
                <w:color w:val="000000"/>
                <w:highlight w:val="none"/>
              </w:rPr>
            </w:r>
            <w:r/>
          </w:p>
        </w:tc>
        <w:tc>
          <w:tcPr>
            <w:tcMar>
              <w:left w:w="108" w:type="dxa"/>
              <w:top w:w="0" w:type="dxa"/>
              <w:right w:w="108" w:type="dxa"/>
              <w:bottom w:w="0" w:type="dxa"/>
            </w:tcMar>
            <w:tcW w:w="1776" w:type="dxa"/>
            <w:vAlign w:val="center"/>
            <w:textDirection w:val="lrTb"/>
            <w:noWrap/>
          </w:tcPr>
          <w:p>
            <w:pPr>
              <w:pStyle w:val="949"/>
              <w:rPr>
                <w:rFonts w:hint="eastAsia"/>
                <w:color w:val="000000"/>
                <w:highlight w:val="none"/>
              </w:rPr>
            </w:pPr>
            <w:r>
              <w:rPr>
                <w:rFonts w:hint="eastAsia"/>
                <w:color w:val="000000"/>
                <w:highlight w:val="none"/>
              </w:rPr>
              <w:t xml:space="preserve">地面类型</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养护方式</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养护频率</w:t>
            </w:r>
            <w:r>
              <w:rPr>
                <w:rFonts w:hint="eastAsia"/>
                <w:color w:val="000000"/>
                <w:highlight w:val="none"/>
              </w:rPr>
            </w:r>
            <w:r/>
          </w:p>
        </w:tc>
        <w:tc>
          <w:tcPr>
            <w:tcMar>
              <w:left w:w="108" w:type="dxa"/>
              <w:top w:w="0" w:type="dxa"/>
              <w:right w:w="108" w:type="dxa"/>
              <w:bottom w:w="0" w:type="dxa"/>
            </w:tcMar>
            <w:tcW w:w="1872" w:type="dxa"/>
            <w:vAlign w:val="center"/>
            <w:textDirection w:val="lrTb"/>
            <w:noWrap/>
          </w:tcPr>
          <w:p>
            <w:pPr>
              <w:pStyle w:val="949"/>
              <w:rPr>
                <w:rFonts w:hint="eastAsia"/>
                <w:color w:val="000000"/>
                <w:highlight w:val="none"/>
              </w:rPr>
            </w:pPr>
            <w:r>
              <w:rPr>
                <w:rFonts w:hint="eastAsia"/>
                <w:color w:val="000000"/>
                <w:highlight w:val="none"/>
              </w:rPr>
              <w:t xml:space="preserve">标准及要求</w:t>
            </w:r>
            <w:r>
              <w:rPr>
                <w:rFonts w:hint="eastAsia"/>
                <w:color w:val="000000"/>
                <w:highlight w:val="none"/>
              </w:rPr>
            </w:r>
            <w:r/>
          </w:p>
        </w:tc>
      </w:tr>
      <w:tr>
        <w:trPr/>
        <w:tc>
          <w:tcPr>
            <w:tcMar>
              <w:left w:w="108" w:type="dxa"/>
              <w:top w:w="0" w:type="dxa"/>
              <w:right w:w="108" w:type="dxa"/>
              <w:bottom w:w="0" w:type="dxa"/>
            </w:tcMar>
            <w:tcW w:w="2838" w:type="dxa"/>
            <w:vAlign w:val="center"/>
            <w:vMerge w:val="restart"/>
            <w:textDirection w:val="lrTb"/>
            <w:noWrap/>
          </w:tcPr>
          <w:p>
            <w:pPr>
              <w:pStyle w:val="949"/>
              <w:rPr>
                <w:rFonts w:hint="eastAsia"/>
                <w:color w:val="000000"/>
                <w:highlight w:val="none"/>
              </w:rPr>
            </w:pPr>
            <w:r>
              <w:rPr>
                <w:rFonts w:hint="eastAsia"/>
                <w:color w:val="000000"/>
                <w:highlight w:val="none"/>
              </w:rPr>
              <w:t xml:space="preserve">原病房大楼（使用期间）</w:t>
            </w:r>
            <w:r>
              <w:rPr>
                <w:rFonts w:hint="eastAsia"/>
                <w:color w:val="000000"/>
                <w:highlight w:val="none"/>
              </w:rPr>
            </w:r>
            <w:r/>
          </w:p>
        </w:tc>
        <w:tc>
          <w:tcPr>
            <w:tcMar>
              <w:left w:w="108" w:type="dxa"/>
              <w:top w:w="0" w:type="dxa"/>
              <w:right w:w="108" w:type="dxa"/>
              <w:bottom w:w="0" w:type="dxa"/>
            </w:tcMar>
            <w:tcW w:w="1776" w:type="dxa"/>
            <w:vAlign w:val="center"/>
            <w:vMerge w:val="restart"/>
            <w:textDirection w:val="lrTb"/>
            <w:noWrap/>
          </w:tcPr>
          <w:p>
            <w:pPr>
              <w:pStyle w:val="949"/>
              <w:rPr>
                <w:rFonts w:hint="eastAsia"/>
                <w:color w:val="000000"/>
                <w:highlight w:val="none"/>
              </w:rPr>
            </w:pPr>
            <w:r>
              <w:rPr>
                <w:rFonts w:hint="eastAsia"/>
                <w:color w:val="000000"/>
                <w:highlight w:val="none"/>
              </w:rPr>
              <w:t xml:space="preserve">水磨石</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刷洗</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1次/两月</w:t>
            </w:r>
            <w:r>
              <w:rPr>
                <w:rFonts w:hint="eastAsia"/>
                <w:color w:val="000000"/>
                <w:highlight w:val="none"/>
              </w:rPr>
            </w:r>
            <w:r/>
          </w:p>
        </w:tc>
        <w:tc>
          <w:tcPr>
            <w:tcMar>
              <w:left w:w="108" w:type="dxa"/>
              <w:top w:w="0" w:type="dxa"/>
              <w:right w:w="108" w:type="dxa"/>
              <w:bottom w:w="0" w:type="dxa"/>
            </w:tcMar>
            <w:tcW w:w="1872" w:type="dxa"/>
            <w:vAlign w:val="center"/>
            <w:vMerge w:val="restart"/>
            <w:textDirection w:val="lrTb"/>
            <w:noWrap/>
          </w:tcPr>
          <w:p>
            <w:pPr>
              <w:pStyle w:val="949"/>
              <w:rPr>
                <w:rFonts w:hint="eastAsia"/>
                <w:color w:val="000000"/>
                <w:highlight w:val="none"/>
              </w:rPr>
            </w:pPr>
            <w:r>
              <w:rPr>
                <w:rFonts w:hint="eastAsia"/>
                <w:color w:val="000000"/>
                <w:highlight w:val="none"/>
              </w:rPr>
              <w:t xml:space="preserve">清洁明亮</w:t>
            </w:r>
            <w:r>
              <w:rPr>
                <w:rFonts w:hint="eastAsia"/>
                <w:color w:val="000000"/>
                <w:highlight w:val="none"/>
                <w:lang w:eastAsia="zh-CN"/>
              </w:rPr>
              <w:t xml:space="preserve">、</w:t>
            </w:r>
            <w:r>
              <w:rPr>
                <w:rFonts w:hint="eastAsia"/>
                <w:color w:val="000000"/>
                <w:highlight w:val="none"/>
              </w:rPr>
              <w:t xml:space="preserve">无污渍、无死角</w:t>
            </w:r>
            <w:r>
              <w:rPr>
                <w:rFonts w:hint="eastAsia"/>
                <w:color w:val="000000"/>
                <w:highlight w:val="none"/>
              </w:rPr>
            </w:r>
            <w:r/>
          </w:p>
        </w:tc>
      </w:tr>
      <w:tr>
        <w:trPr/>
        <w:tc>
          <w:tcPr>
            <w:tcW w:w="2838" w:type="dxa"/>
            <w:vAlign w:val="center"/>
            <w:vMerge w:val="continue"/>
            <w:textDirection w:val="lrTb"/>
            <w:noWrap/>
          </w:tcPr>
          <w:p>
            <w:pPr>
              <w:pStyle w:val="949"/>
              <w:rPr>
                <w:rFonts w:hint="eastAsia"/>
                <w:color w:val="000000"/>
                <w:highlight w:val="none"/>
              </w:rPr>
            </w:pPr>
            <w:r>
              <w:rPr>
                <w:rFonts w:hint="eastAsia"/>
                <w:color w:val="000000"/>
                <w:highlight w:val="none"/>
              </w:rPr>
            </w:r>
            <w:r/>
          </w:p>
        </w:tc>
        <w:tc>
          <w:tcPr>
            <w:tcW w:w="1776" w:type="dxa"/>
            <w:vAlign w:val="center"/>
            <w:vMerge w:val="continue"/>
            <w:textDirection w:val="lrTb"/>
            <w:noWrap/>
          </w:tcPr>
          <w:p>
            <w:pPr>
              <w:pStyle w:val="949"/>
              <w:rPr>
                <w:rFonts w:hint="eastAsia"/>
                <w:color w:val="000000"/>
                <w:highlight w:val="none"/>
              </w:rPr>
            </w:pP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专业养护</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1次/两月</w:t>
            </w:r>
            <w:r>
              <w:rPr>
                <w:rFonts w:hint="eastAsia"/>
                <w:color w:val="000000"/>
                <w:highlight w:val="none"/>
              </w:rPr>
            </w:r>
            <w:r/>
          </w:p>
        </w:tc>
        <w:tc>
          <w:tcPr>
            <w:tcW w:w="1872" w:type="dxa"/>
            <w:vAlign w:val="center"/>
            <w:vMerge w:val="continue"/>
            <w:textDirection w:val="lrTb"/>
            <w:noWrap/>
          </w:tcPr>
          <w:p>
            <w:pPr>
              <w:pStyle w:val="949"/>
              <w:rPr>
                <w:rFonts w:hint="eastAsia"/>
                <w:color w:val="000000"/>
                <w:highlight w:val="none"/>
              </w:rPr>
            </w:pPr>
            <w:r>
              <w:rPr>
                <w:rFonts w:hint="eastAsia"/>
                <w:color w:val="000000"/>
                <w:highlight w:val="none"/>
              </w:rPr>
            </w:r>
            <w:r/>
          </w:p>
        </w:tc>
      </w:tr>
      <w:tr>
        <w:trPr/>
        <w:tc>
          <w:tcPr>
            <w:tcW w:w="2838" w:type="dxa"/>
            <w:vAlign w:val="center"/>
            <w:vMerge w:val="continue"/>
            <w:textDirection w:val="lrTb"/>
            <w:noWrap/>
          </w:tcPr>
          <w:p>
            <w:pPr>
              <w:pStyle w:val="949"/>
              <w:rPr>
                <w:rFonts w:hint="eastAsia"/>
                <w:color w:val="000000"/>
                <w:highlight w:val="none"/>
              </w:rPr>
            </w:pPr>
            <w:r>
              <w:rPr>
                <w:rFonts w:hint="eastAsia"/>
                <w:color w:val="000000"/>
                <w:highlight w:val="none"/>
              </w:rPr>
            </w:r>
            <w:r/>
          </w:p>
        </w:tc>
        <w:tc>
          <w:tcPr>
            <w:tcW w:w="1776" w:type="dxa"/>
            <w:vAlign w:val="center"/>
            <w:textDirection w:val="lrTb"/>
            <w:noWrap/>
          </w:tcPr>
          <w:p>
            <w:pPr>
              <w:pStyle w:val="949"/>
              <w:rPr>
                <w:rFonts w:hint="eastAsia"/>
                <w:color w:val="000000"/>
                <w:highlight w:val="none"/>
              </w:rPr>
            </w:pPr>
            <w:r>
              <w:rPr>
                <w:rFonts w:hint="eastAsia"/>
                <w:color w:val="000000"/>
                <w:highlight w:val="none"/>
              </w:rPr>
              <w:t xml:space="preserve">PVC</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专业养护</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2次/年</w:t>
            </w:r>
            <w:r>
              <w:rPr>
                <w:rFonts w:hint="eastAsia"/>
                <w:color w:val="000000"/>
                <w:highlight w:val="none"/>
              </w:rPr>
            </w:r>
            <w:r/>
          </w:p>
        </w:tc>
        <w:tc>
          <w:tcPr>
            <w:tcW w:w="1872" w:type="dxa"/>
            <w:vAlign w:val="center"/>
            <w:textDirection w:val="lrTb"/>
            <w:noWrap/>
          </w:tcPr>
          <w:p>
            <w:pPr>
              <w:pStyle w:val="949"/>
              <w:rPr>
                <w:rFonts w:hint="eastAsia"/>
                <w:color w:val="000000"/>
                <w:highlight w:val="none"/>
              </w:rPr>
            </w:pPr>
            <w:r>
              <w:rPr>
                <w:rFonts w:hint="eastAsia"/>
                <w:color w:val="000000"/>
                <w:highlight w:val="none"/>
              </w:rPr>
              <w:t xml:space="preserve">清洁明亮</w:t>
            </w:r>
            <w:r>
              <w:rPr>
                <w:rFonts w:hint="eastAsia"/>
                <w:color w:val="000000"/>
                <w:highlight w:val="none"/>
                <w:lang w:eastAsia="zh-CN"/>
              </w:rPr>
              <w:t xml:space="preserve">、</w:t>
            </w:r>
            <w:r>
              <w:rPr>
                <w:rFonts w:hint="eastAsia"/>
                <w:color w:val="000000"/>
                <w:highlight w:val="none"/>
              </w:rPr>
              <w:t xml:space="preserve">无污渍、无死角</w:t>
            </w:r>
            <w:r>
              <w:rPr>
                <w:rFonts w:hint="eastAsia"/>
                <w:color w:val="000000"/>
                <w:highlight w:val="none"/>
              </w:rPr>
            </w:r>
            <w:r/>
          </w:p>
        </w:tc>
      </w:tr>
      <w:tr>
        <w:trPr/>
        <w:tc>
          <w:tcPr>
            <w:tcMar>
              <w:left w:w="108" w:type="dxa"/>
              <w:top w:w="0" w:type="dxa"/>
              <w:right w:w="108" w:type="dxa"/>
              <w:bottom w:w="0" w:type="dxa"/>
            </w:tcMar>
            <w:tcW w:w="2838" w:type="dxa"/>
            <w:vAlign w:val="center"/>
            <w:vMerge w:val="continue"/>
            <w:textDirection w:val="lrTb"/>
            <w:noWrap/>
          </w:tcPr>
          <w:p>
            <w:pPr>
              <w:pStyle w:val="949"/>
              <w:rPr>
                <w:rFonts w:hint="eastAsia"/>
                <w:color w:val="000000"/>
                <w:highlight w:val="none"/>
              </w:rPr>
            </w:pPr>
            <w:r>
              <w:rPr>
                <w:rFonts w:hint="eastAsia"/>
                <w:color w:val="000000"/>
                <w:highlight w:val="none"/>
              </w:rPr>
            </w:r>
            <w:r/>
          </w:p>
        </w:tc>
        <w:tc>
          <w:tcPr>
            <w:tcMar>
              <w:left w:w="108" w:type="dxa"/>
              <w:top w:w="0" w:type="dxa"/>
              <w:right w:w="108" w:type="dxa"/>
              <w:bottom w:w="0" w:type="dxa"/>
            </w:tcMar>
            <w:tcW w:w="1776" w:type="dxa"/>
            <w:vAlign w:val="center"/>
            <w:textDirection w:val="lrTb"/>
            <w:noWrap/>
          </w:tcPr>
          <w:p>
            <w:pPr>
              <w:pStyle w:val="949"/>
              <w:rPr>
                <w:rFonts w:hint="eastAsia"/>
                <w:color w:val="000000"/>
                <w:highlight w:val="none"/>
              </w:rPr>
            </w:pPr>
            <w:r>
              <w:rPr>
                <w:rFonts w:hint="eastAsia"/>
                <w:color w:val="000000"/>
                <w:highlight w:val="none"/>
              </w:rPr>
              <w:t xml:space="preserve">大理石</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刷洗</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1次/月</w:t>
            </w:r>
            <w:r>
              <w:rPr>
                <w:rFonts w:hint="eastAsia"/>
                <w:color w:val="000000"/>
                <w:highlight w:val="none"/>
              </w:rPr>
            </w:r>
            <w:r/>
          </w:p>
        </w:tc>
        <w:tc>
          <w:tcPr>
            <w:tcMar>
              <w:left w:w="108" w:type="dxa"/>
              <w:top w:w="0" w:type="dxa"/>
              <w:right w:w="108" w:type="dxa"/>
              <w:bottom w:w="0" w:type="dxa"/>
            </w:tcMar>
            <w:tcW w:w="1872" w:type="dxa"/>
            <w:vAlign w:val="center"/>
            <w:textDirection w:val="lrTb"/>
            <w:noWrap/>
          </w:tcPr>
          <w:p>
            <w:pPr>
              <w:pStyle w:val="949"/>
              <w:rPr>
                <w:rFonts w:hint="eastAsia"/>
                <w:color w:val="000000"/>
                <w:highlight w:val="none"/>
              </w:rPr>
            </w:pPr>
            <w:r>
              <w:rPr>
                <w:rFonts w:hint="eastAsia"/>
                <w:color w:val="000000"/>
                <w:highlight w:val="none"/>
              </w:rPr>
              <w:t xml:space="preserve">清洁明亮</w:t>
            </w:r>
            <w:r>
              <w:rPr>
                <w:rFonts w:hint="eastAsia"/>
                <w:color w:val="000000"/>
                <w:highlight w:val="none"/>
                <w:lang w:eastAsia="zh-CN"/>
              </w:rPr>
              <w:t xml:space="preserve">、</w:t>
            </w:r>
            <w:r>
              <w:rPr>
                <w:rFonts w:hint="eastAsia"/>
                <w:color w:val="000000"/>
                <w:highlight w:val="none"/>
              </w:rPr>
              <w:t xml:space="preserve">无污渍、无死角</w:t>
            </w:r>
            <w:r>
              <w:rPr>
                <w:rFonts w:hint="eastAsia"/>
                <w:color w:val="000000"/>
                <w:highlight w:val="none"/>
              </w:rPr>
            </w:r>
            <w:r/>
          </w:p>
        </w:tc>
      </w:tr>
      <w:tr>
        <w:trPr/>
        <w:tc>
          <w:tcPr>
            <w:tcMar>
              <w:left w:w="108" w:type="dxa"/>
              <w:top w:w="0" w:type="dxa"/>
              <w:right w:w="108" w:type="dxa"/>
              <w:bottom w:w="0" w:type="dxa"/>
            </w:tcMar>
            <w:tcW w:w="2838" w:type="dxa"/>
            <w:vAlign w:val="center"/>
            <w:textDirection w:val="lrTb"/>
            <w:noWrap/>
          </w:tcPr>
          <w:p>
            <w:pPr>
              <w:pStyle w:val="949"/>
              <w:rPr>
                <w:rFonts w:hint="eastAsia"/>
                <w:color w:val="000000"/>
                <w:highlight w:val="none"/>
              </w:rPr>
            </w:pPr>
            <w:r>
              <w:rPr>
                <w:rFonts w:hint="eastAsia"/>
                <w:color w:val="000000"/>
                <w:highlight w:val="none"/>
              </w:rPr>
              <w:t xml:space="preserve">内镜中心</w:t>
            </w:r>
            <w:r>
              <w:rPr>
                <w:rFonts w:hint="eastAsia"/>
                <w:color w:val="000000"/>
                <w:highlight w:val="none"/>
              </w:rPr>
            </w:r>
            <w:r/>
          </w:p>
        </w:tc>
        <w:tc>
          <w:tcPr>
            <w:tcMar>
              <w:left w:w="108" w:type="dxa"/>
              <w:top w:w="0" w:type="dxa"/>
              <w:right w:w="108" w:type="dxa"/>
              <w:bottom w:w="0" w:type="dxa"/>
            </w:tcMar>
            <w:tcW w:w="1776" w:type="dxa"/>
            <w:vAlign w:val="center"/>
            <w:textDirection w:val="lrTb"/>
            <w:noWrap/>
          </w:tcPr>
          <w:p>
            <w:pPr>
              <w:pStyle w:val="949"/>
              <w:rPr>
                <w:rFonts w:hint="eastAsia"/>
                <w:color w:val="000000"/>
                <w:highlight w:val="none"/>
              </w:rPr>
            </w:pPr>
            <w:r>
              <w:rPr>
                <w:rFonts w:hint="eastAsia"/>
                <w:color w:val="000000"/>
                <w:highlight w:val="none"/>
              </w:rPr>
              <w:t xml:space="preserve">PVC</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专业养护</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2次/年</w:t>
            </w:r>
            <w:r>
              <w:rPr>
                <w:rFonts w:hint="eastAsia"/>
                <w:color w:val="000000"/>
                <w:highlight w:val="none"/>
              </w:rPr>
            </w:r>
            <w:r/>
          </w:p>
        </w:tc>
        <w:tc>
          <w:tcPr>
            <w:tcMar>
              <w:left w:w="108" w:type="dxa"/>
              <w:top w:w="0" w:type="dxa"/>
              <w:right w:w="108" w:type="dxa"/>
              <w:bottom w:w="0" w:type="dxa"/>
            </w:tcMar>
            <w:tcW w:w="1872" w:type="dxa"/>
            <w:vAlign w:val="center"/>
            <w:textDirection w:val="lrTb"/>
            <w:noWrap/>
          </w:tcPr>
          <w:p>
            <w:pPr>
              <w:pStyle w:val="949"/>
              <w:rPr>
                <w:rFonts w:hint="eastAsia"/>
                <w:color w:val="000000"/>
                <w:highlight w:val="none"/>
              </w:rPr>
            </w:pPr>
            <w:r>
              <w:rPr>
                <w:rFonts w:hint="eastAsia"/>
                <w:color w:val="000000"/>
                <w:highlight w:val="none"/>
              </w:rPr>
              <w:t xml:space="preserve">清洁明亮</w:t>
            </w:r>
            <w:r>
              <w:rPr>
                <w:rFonts w:hint="eastAsia"/>
                <w:color w:val="000000"/>
                <w:highlight w:val="none"/>
                <w:lang w:eastAsia="zh-CN"/>
              </w:rPr>
              <w:t xml:space="preserve">、</w:t>
            </w:r>
            <w:r>
              <w:rPr>
                <w:rFonts w:hint="eastAsia"/>
                <w:color w:val="000000"/>
                <w:highlight w:val="none"/>
              </w:rPr>
              <w:t xml:space="preserve">无污渍、无死角</w:t>
            </w:r>
            <w:r>
              <w:rPr>
                <w:rFonts w:hint="eastAsia"/>
                <w:color w:val="000000"/>
                <w:highlight w:val="none"/>
              </w:rPr>
            </w:r>
            <w:r/>
          </w:p>
        </w:tc>
      </w:tr>
      <w:tr>
        <w:trPr/>
        <w:tc>
          <w:tcPr>
            <w:tcW w:w="2838" w:type="dxa"/>
            <w:vAlign w:val="center"/>
            <w:textDirection w:val="lrTb"/>
            <w:noWrap/>
          </w:tcPr>
          <w:p>
            <w:pPr>
              <w:pStyle w:val="949"/>
              <w:rPr>
                <w:rFonts w:hint="eastAsia"/>
                <w:color w:val="000000"/>
                <w:highlight w:val="none"/>
              </w:rPr>
            </w:pPr>
            <w:r>
              <w:rPr>
                <w:rFonts w:hint="eastAsia"/>
                <w:color w:val="000000"/>
                <w:highlight w:val="none"/>
              </w:rPr>
              <w:t xml:space="preserve">新综合大楼</w:t>
            </w:r>
            <w:r>
              <w:rPr>
                <w:rFonts w:hint="eastAsia"/>
                <w:color w:val="000000"/>
                <w:highlight w:val="none"/>
              </w:rPr>
            </w:r>
            <w:r/>
          </w:p>
        </w:tc>
        <w:tc>
          <w:tcPr>
            <w:tcMar>
              <w:left w:w="108" w:type="dxa"/>
              <w:top w:w="0" w:type="dxa"/>
              <w:right w:w="108" w:type="dxa"/>
              <w:bottom w:w="0" w:type="dxa"/>
            </w:tcMar>
            <w:tcW w:w="1776" w:type="dxa"/>
            <w:vAlign w:val="center"/>
            <w:textDirection w:val="lrTb"/>
            <w:noWrap/>
          </w:tcPr>
          <w:p>
            <w:pPr>
              <w:pStyle w:val="949"/>
              <w:rPr>
                <w:rFonts w:hint="eastAsia"/>
                <w:color w:val="000000"/>
                <w:highlight w:val="none"/>
              </w:rPr>
            </w:pPr>
            <w:r>
              <w:rPr>
                <w:rFonts w:hint="eastAsia"/>
                <w:color w:val="000000"/>
                <w:highlight w:val="none"/>
              </w:rPr>
              <w:t xml:space="preserve">PVC</w:t>
            </w:r>
            <w:r>
              <w:rPr>
                <w:rFonts w:hint="eastAsia"/>
                <w:color w:val="000000"/>
                <w:highlight w:val="none"/>
              </w:rPr>
            </w:r>
            <w:r/>
          </w:p>
          <w:p>
            <w:pPr>
              <w:pStyle w:val="949"/>
              <w:rPr>
                <w:rFonts w:hint="eastAsia"/>
                <w:color w:val="000000"/>
                <w:highlight w:val="none"/>
              </w:rPr>
            </w:pPr>
            <w:r>
              <w:rPr>
                <w:rFonts w:hint="eastAsia"/>
                <w:color w:val="000000"/>
                <w:highlight w:val="none"/>
              </w:rPr>
              <w:t xml:space="preserve">环氧磨石地坪</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专业养护</w:t>
            </w:r>
            <w:r>
              <w:rPr>
                <w:rFonts w:hint="eastAsia"/>
                <w:color w:val="000000"/>
                <w:highlight w:val="none"/>
              </w:rPr>
            </w:r>
            <w:r/>
          </w:p>
        </w:tc>
        <w:tc>
          <w:tcPr>
            <w:tcMar>
              <w:left w:w="108" w:type="dxa"/>
              <w:top w:w="0" w:type="dxa"/>
              <w:right w:w="108" w:type="dxa"/>
              <w:bottom w:w="0" w:type="dxa"/>
            </w:tcMar>
            <w:tcW w:w="1341" w:type="dxa"/>
            <w:vAlign w:val="center"/>
            <w:textDirection w:val="lrTb"/>
            <w:noWrap/>
          </w:tcPr>
          <w:p>
            <w:pPr>
              <w:pStyle w:val="949"/>
              <w:rPr>
                <w:rFonts w:hint="eastAsia"/>
                <w:color w:val="000000"/>
                <w:highlight w:val="none"/>
              </w:rPr>
            </w:pPr>
            <w:r>
              <w:rPr>
                <w:rFonts w:hint="eastAsia"/>
                <w:color w:val="000000"/>
                <w:highlight w:val="none"/>
              </w:rPr>
              <w:t xml:space="preserve">1-2次/年</w:t>
            </w:r>
            <w:r>
              <w:rPr>
                <w:rFonts w:hint="eastAsia"/>
                <w:color w:val="000000"/>
                <w:highlight w:val="none"/>
              </w:rPr>
            </w:r>
            <w:r/>
          </w:p>
        </w:tc>
        <w:tc>
          <w:tcPr>
            <w:tcW w:w="1872" w:type="dxa"/>
            <w:vAlign w:val="center"/>
            <w:textDirection w:val="lrTb"/>
            <w:noWrap/>
          </w:tcPr>
          <w:p>
            <w:pPr>
              <w:pStyle w:val="949"/>
              <w:rPr>
                <w:rFonts w:hint="eastAsia"/>
                <w:color w:val="000000"/>
                <w:highlight w:val="none"/>
              </w:rPr>
            </w:pPr>
            <w:r>
              <w:rPr>
                <w:rFonts w:hint="eastAsia"/>
                <w:color w:val="000000"/>
                <w:highlight w:val="none"/>
              </w:rPr>
              <w:t xml:space="preserve">清洁明亮</w:t>
            </w:r>
            <w:r>
              <w:rPr>
                <w:rFonts w:hint="eastAsia"/>
                <w:color w:val="000000"/>
                <w:highlight w:val="none"/>
                <w:lang w:eastAsia="zh-CN"/>
              </w:rPr>
              <w:t xml:space="preserve">、</w:t>
            </w:r>
            <w:r>
              <w:rPr>
                <w:rFonts w:hint="eastAsia"/>
                <w:color w:val="000000"/>
                <w:highlight w:val="none"/>
              </w:rPr>
              <w:t xml:space="preserve">无污渍、无死角</w:t>
            </w:r>
            <w:r>
              <w:rPr>
                <w:rFonts w:hint="eastAsia"/>
                <w:color w:val="000000"/>
                <w:highlight w:val="none"/>
              </w:rPr>
            </w:r>
            <w:r/>
          </w:p>
        </w:tc>
      </w:tr>
    </w:tbl>
    <w:p>
      <w:pPr>
        <w:pStyle w:val="949"/>
        <w:spacing w:line="360" w:lineRule="auto"/>
        <w:widowControl/>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r>
      <w:r/>
    </w:p>
    <w:p>
      <w:pPr>
        <w:pStyle w:val="949"/>
        <w:ind w:firstLine="482"/>
        <w:spacing w:line="360" w:lineRule="auto"/>
        <w:widowControl/>
        <w:rPr>
          <w:rFonts w:eastAsia="宋体"/>
          <w:i w:val="0"/>
          <w:iCs w:val="0"/>
          <w:color w:val="000000"/>
          <w:highlight w:val="none"/>
          <w:u w:val="none"/>
          <w:lang w:val="en-US" w:eastAsia="zh-CN"/>
        </w:rPr>
        <w:outlineLvl w:val="2"/>
      </w:pPr>
      <w:r>
        <w:rPr>
          <w:rFonts w:hint="eastAsia" w:ascii="宋体" w:hAnsi="宋体" w:cs="宋体"/>
          <w:b/>
          <w:i w:val="0"/>
          <w:iCs w:val="0"/>
          <w:color w:val="000000"/>
          <w:sz w:val="24"/>
          <w:szCs w:val="24"/>
          <w:highlight w:val="none"/>
          <w:u w:val="none"/>
        </w:rPr>
        <w:t xml:space="preserve">3.4.</w:t>
      </w:r>
      <w:r>
        <w:rPr>
          <w:rFonts w:hint="eastAsia" w:ascii="宋体" w:hAnsi="宋体" w:cs="宋体"/>
          <w:b/>
          <w:i w:val="0"/>
          <w:iCs w:val="0"/>
          <w:color w:val="000000"/>
          <w:sz w:val="24"/>
          <w:szCs w:val="24"/>
          <w:highlight w:val="none"/>
          <w:u w:val="none"/>
          <w:lang w:val="en-US" w:eastAsia="zh-CN"/>
        </w:rPr>
        <w:t xml:space="preserve">2物业人员工作时间要求</w:t>
      </w:r>
      <w:r>
        <w:rPr>
          <w:rFonts w:eastAsia="宋体"/>
          <w:i w:val="0"/>
          <w:iCs w:val="0"/>
          <w:color w:val="000000"/>
          <w:highlight w:val="none"/>
          <w:u w:val="none"/>
          <w:lang w:val="en-US" w:eastAsia="zh-CN"/>
        </w:rPr>
      </w:r>
      <w:r/>
    </w:p>
    <w:tbl>
      <w:tblPr>
        <w:tblW w:w="9452" w:type="dxa"/>
        <w:jc w:val="center"/>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320"/>
        <w:gridCol w:w="3119"/>
        <w:gridCol w:w="4381"/>
      </w:tblGrid>
      <w:tr>
        <w:trPr>
          <w:trHeight w:val="544" w:hRule="exact"/>
        </w:trPr>
        <w:tc>
          <w:tcPr>
            <w:tcW w:w="632" w:type="dxa"/>
            <w:vAlign w:val="center"/>
            <w:textDirection w:val="lrTb"/>
            <w:noWrap w:val="false"/>
          </w:tcPr>
          <w:p>
            <w:pPr>
              <w:pStyle w:val="980"/>
              <w:widowControl/>
              <w:rPr>
                <w:rFonts w:hint="eastAsia" w:ascii="宋体" w:hAnsi="宋体" w:eastAsia="宋体" w:cs="宋体"/>
                <w:bCs/>
                <w:color w:val="000000"/>
                <w:sz w:val="21"/>
                <w:szCs w:val="21"/>
                <w:highlight w:val="none"/>
                <w:lang w:eastAsia="en-US"/>
              </w:rPr>
            </w:pPr>
            <w:r>
              <w:rPr>
                <w:rFonts w:hint="eastAsia" w:ascii="宋体" w:hAnsi="宋体" w:eastAsia="宋体" w:cs="宋体"/>
                <w:bCs/>
                <w:color w:val="000000"/>
                <w:sz w:val="21"/>
                <w:szCs w:val="21"/>
                <w:highlight w:val="none"/>
                <w:lang w:eastAsia="en-US"/>
              </w:rPr>
              <w:t xml:space="preserve">序号</w:t>
            </w:r>
            <w:r>
              <w:rPr>
                <w:rFonts w:hint="eastAsia" w:ascii="宋体" w:hAnsi="宋体" w:eastAsia="宋体" w:cs="宋体"/>
                <w:bCs/>
                <w:color w:val="000000"/>
                <w:sz w:val="21"/>
                <w:szCs w:val="21"/>
                <w:highlight w:val="none"/>
                <w:lang w:eastAsia="en-US"/>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时间安排</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要求保洁的区域</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质量要求</w:t>
            </w:r>
            <w:r>
              <w:rPr>
                <w:rFonts w:hint="eastAsia" w:ascii="宋体" w:hAnsi="宋体" w:eastAsia="宋体" w:cs="宋体"/>
                <w:bCs/>
                <w:color w:val="000000"/>
                <w:sz w:val="21"/>
                <w:szCs w:val="21"/>
                <w:highlight w:val="none"/>
              </w:rPr>
            </w:r>
            <w:r/>
          </w:p>
        </w:tc>
      </w:tr>
      <w:tr>
        <w:trPr>
          <w:trHeight w:val="397"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6:20-6:30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仪容仪表准备，工具准备</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符合公司标准</w:t>
            </w:r>
            <w:r>
              <w:rPr>
                <w:rFonts w:hint="eastAsia" w:ascii="宋体" w:hAnsi="宋体" w:eastAsia="宋体" w:cs="宋体"/>
                <w:bCs/>
                <w:color w:val="000000"/>
                <w:sz w:val="21"/>
                <w:szCs w:val="21"/>
                <w:highlight w:val="none"/>
              </w:rPr>
            </w:r>
            <w:r/>
          </w:p>
        </w:tc>
      </w:tr>
      <w:tr>
        <w:trPr>
          <w:trHeight w:val="1381"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6:30-8:00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收集生活垃圾及医疗垃圾，清扫和区分码放垃圾袋，口扎紧不滴漏,湿拖所辖区域地面及安全通道楼梯</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放置警示牌，工具色码区分明确，确保地面干净无水渍无垃圾</w:t>
            </w:r>
            <w:r>
              <w:rPr>
                <w:rFonts w:hint="eastAsia" w:ascii="宋体" w:hAnsi="宋体" w:eastAsia="宋体" w:cs="宋体"/>
                <w:bCs/>
                <w:color w:val="000000"/>
                <w:sz w:val="21"/>
                <w:szCs w:val="21"/>
                <w:highlight w:val="none"/>
              </w:rPr>
            </w:r>
            <w:r/>
          </w:p>
        </w:tc>
      </w:tr>
      <w:tr>
        <w:trPr>
          <w:trHeight w:val="561"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8:00-9:00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打扫医护办公室、生活用房及示教室等</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确保安全，防止烫伤；保证各区域清洁整齐</w:t>
            </w:r>
            <w:r>
              <w:rPr>
                <w:rFonts w:hint="eastAsia" w:ascii="宋体" w:hAnsi="宋体" w:eastAsia="宋体" w:cs="宋体"/>
                <w:bCs/>
                <w:color w:val="000000"/>
                <w:sz w:val="21"/>
                <w:szCs w:val="21"/>
                <w:highlight w:val="none"/>
              </w:rPr>
            </w:r>
            <w:r/>
          </w:p>
        </w:tc>
      </w:tr>
      <w:tr>
        <w:trPr>
          <w:trHeight w:val="573"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9:00-10:00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病房卫生间的清洁及病房门板擦拭</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厕所无异味，镜面、水龙头无水渍，门板、墙面无污渍，坐便器无积垢</w:t>
            </w:r>
            <w:r>
              <w:rPr>
                <w:rFonts w:hint="eastAsia" w:ascii="宋体" w:hAnsi="宋体" w:eastAsia="宋体" w:cs="宋体"/>
                <w:bCs/>
                <w:color w:val="000000"/>
                <w:sz w:val="21"/>
                <w:szCs w:val="21"/>
                <w:highlight w:val="none"/>
              </w:rPr>
            </w:r>
            <w:r/>
          </w:p>
        </w:tc>
      </w:tr>
      <w:tr>
        <w:trPr>
          <w:trHeight w:val="397"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10:00-11:00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一床一桌一巾消毒</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正确配比消毒液浓度及毛巾的使用</w:t>
            </w:r>
            <w:r>
              <w:rPr>
                <w:rFonts w:hint="eastAsia" w:ascii="宋体" w:hAnsi="宋体" w:eastAsia="宋体" w:cs="宋体"/>
                <w:bCs/>
                <w:color w:val="000000"/>
                <w:sz w:val="21"/>
                <w:szCs w:val="21"/>
                <w:highlight w:val="none"/>
              </w:rPr>
            </w:r>
            <w:r/>
          </w:p>
        </w:tc>
      </w:tr>
      <w:tr>
        <w:trPr>
          <w:trHeight w:val="523"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11:00-11:30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巡视大厅及通道、楼梯并及时清理</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保持地面干净无垃圾，楼梯无污物</w:t>
            </w:r>
            <w:r>
              <w:rPr>
                <w:rFonts w:hint="eastAsia" w:ascii="宋体" w:hAnsi="宋体" w:eastAsia="宋体" w:cs="宋体"/>
                <w:bCs/>
                <w:color w:val="000000"/>
                <w:sz w:val="21"/>
                <w:szCs w:val="21"/>
                <w:highlight w:val="none"/>
              </w:rPr>
            </w:r>
            <w:r/>
          </w:p>
        </w:tc>
      </w:tr>
      <w:tr>
        <w:trPr>
          <w:trHeight w:val="397"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11:30-13:30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午休</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11"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13：30-14:00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收集垃圾，清扫湿拖地面及出院病房消毒</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地面干净无垃圾，垃圾袋口扎紧不处理 滴漏,消毒处理无遗漏</w:t>
            </w:r>
            <w:r>
              <w:rPr>
                <w:rFonts w:hint="eastAsia" w:ascii="宋体" w:hAnsi="宋体" w:eastAsia="宋体" w:cs="宋体"/>
                <w:bCs/>
                <w:color w:val="000000"/>
                <w:sz w:val="21"/>
                <w:szCs w:val="21"/>
                <w:highlight w:val="none"/>
              </w:rPr>
            </w:r>
            <w:r/>
          </w:p>
        </w:tc>
      </w:tr>
      <w:tr>
        <w:trPr>
          <w:trHeight w:val="643"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14:00-15:30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床单位出院清洁及终末消毒 地面干净无垃圾，垃圾袋口</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扎紧不滴漏,消毒处理无遗漏</w:t>
            </w:r>
            <w:r>
              <w:rPr>
                <w:rFonts w:hint="eastAsia" w:ascii="宋体" w:hAnsi="宋体" w:eastAsia="宋体" w:cs="宋体"/>
                <w:bCs/>
                <w:color w:val="000000"/>
                <w:sz w:val="21"/>
                <w:szCs w:val="21"/>
                <w:highlight w:val="none"/>
              </w:rPr>
            </w:r>
            <w:r/>
          </w:p>
        </w:tc>
      </w:tr>
      <w:tr>
        <w:trPr>
          <w:trHeight w:val="4416"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15:30-16:20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每日工作重点</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周一 清洁门、门把手、门、窗框、窗槽无积灰，玻璃明亮，无污迹，无水迹，无血迹，无手印；</w:t>
            </w:r>
            <w:r>
              <w:rPr>
                <w:rFonts w:hint="eastAsia" w:ascii="宋体" w:hAnsi="宋体" w:eastAsia="宋体" w:cs="宋体"/>
                <w:bCs/>
                <w:color w:val="000000"/>
                <w:sz w:val="21"/>
                <w:szCs w:val="21"/>
                <w:highlight w:val="none"/>
              </w:rPr>
            </w:r>
            <w:r/>
          </w:p>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周二 清洁开水间、公共厕所、污洗间 </w:t>
            </w:r>
            <w:r>
              <w:rPr>
                <w:rFonts w:hint="eastAsia" w:ascii="宋体" w:hAnsi="宋体" w:eastAsia="宋体" w:cs="宋体"/>
                <w:bCs/>
                <w:color w:val="000000"/>
                <w:sz w:val="21"/>
                <w:szCs w:val="21"/>
                <w:highlight w:val="none"/>
              </w:rPr>
            </w:r>
            <w:r/>
          </w:p>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周三 1、清洁窗槽、窗台、墙面 2、病房间清洁明亮，，地面干燥无污渍；通道畅通，扶手清洁，标牌无积灰等</w:t>
            </w:r>
            <w:r>
              <w:rPr>
                <w:rFonts w:hint="eastAsia" w:ascii="宋体" w:hAnsi="宋体" w:eastAsia="宋体" w:cs="宋体"/>
                <w:bCs/>
                <w:color w:val="000000"/>
                <w:sz w:val="21"/>
                <w:szCs w:val="21"/>
                <w:highlight w:val="none"/>
              </w:rPr>
            </w:r>
            <w:r/>
          </w:p>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周四 清洁辅助用房、公共区域家具,通道扶手，标牌</w:t>
            </w:r>
            <w:r>
              <w:rPr>
                <w:rFonts w:hint="eastAsia" w:ascii="宋体" w:hAnsi="宋体" w:eastAsia="宋体" w:cs="宋体"/>
                <w:bCs/>
                <w:color w:val="000000"/>
                <w:sz w:val="21"/>
                <w:szCs w:val="21"/>
                <w:highlight w:val="none"/>
              </w:rPr>
            </w:r>
            <w:r/>
          </w:p>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周五 重点清洁病房卫生间马桶、坐便器、水池 、淋浴房玻璃、淋浴房墙面、地面 3、卫生间无异味，无尿垢，无便痕，地面干燥无污迹，淋浴房墙面、地面无污迹，水池表面无污迹，水龙头洁净，镜面光亮。</w:t>
            </w:r>
            <w:r>
              <w:rPr>
                <w:rFonts w:hint="eastAsia" w:ascii="宋体" w:hAnsi="宋体" w:eastAsia="宋体" w:cs="宋体"/>
                <w:bCs/>
                <w:color w:val="000000"/>
                <w:sz w:val="21"/>
                <w:szCs w:val="21"/>
                <w:highlight w:val="none"/>
              </w:rPr>
            </w:r>
            <w:r/>
          </w:p>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以上工作内容，由管理人员及后勤监管人员做到检查及监督</w:t>
            </w:r>
            <w:r>
              <w:rPr>
                <w:rFonts w:hint="eastAsia" w:ascii="宋体" w:hAnsi="宋体" w:eastAsia="宋体" w:cs="宋体"/>
                <w:bCs/>
                <w:color w:val="000000"/>
                <w:sz w:val="21"/>
                <w:szCs w:val="21"/>
                <w:highlight w:val="none"/>
              </w:rPr>
            </w:r>
            <w:r/>
          </w:p>
        </w:tc>
      </w:tr>
      <w:tr>
        <w:trPr>
          <w:trHeight w:val="1024"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16:20-16:50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巡视所辖区域科室、大厅、楼梯、电梯</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大厅、地面干净无垃圾,保持电梯厅及公共卫生间，及时清扫 楼梯的干净无污物,厕所无浓烈异味</w:t>
            </w:r>
            <w:r>
              <w:rPr>
                <w:rFonts w:hint="eastAsia" w:ascii="宋体" w:hAnsi="宋体" w:eastAsia="宋体" w:cs="宋体"/>
                <w:bCs/>
                <w:color w:val="000000"/>
                <w:sz w:val="21"/>
                <w:szCs w:val="21"/>
                <w:highlight w:val="none"/>
              </w:rPr>
            </w:r>
            <w:r/>
          </w:p>
        </w:tc>
      </w:tr>
      <w:tr>
        <w:trPr>
          <w:trHeight w:val="397"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16:50-17:00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整理保洁车及摆放</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必须摆放在固定地点</w:t>
            </w:r>
            <w:r>
              <w:rPr>
                <w:rFonts w:hint="eastAsia" w:ascii="宋体" w:hAnsi="宋体" w:eastAsia="宋体" w:cs="宋体"/>
                <w:bCs/>
                <w:color w:val="000000"/>
                <w:sz w:val="21"/>
                <w:szCs w:val="21"/>
                <w:highlight w:val="none"/>
              </w:rPr>
            </w:r>
            <w:r/>
          </w:p>
        </w:tc>
      </w:tr>
      <w:tr>
        <w:trPr>
          <w:trHeight w:val="397" w:hRule="exact"/>
        </w:trPr>
        <w:tc>
          <w:tcPr>
            <w:tcW w:w="632"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rPr>
            </w:r>
            <w:r/>
          </w:p>
        </w:tc>
        <w:tc>
          <w:tcPr>
            <w:tcW w:w="1320"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17:00</w:t>
            </w:r>
            <w:r>
              <w:rPr>
                <w:rFonts w:hint="eastAsia" w:ascii="宋体" w:hAnsi="宋体" w:eastAsia="宋体" w:cs="宋体"/>
                <w:bCs/>
                <w:color w:val="000000"/>
                <w:sz w:val="21"/>
                <w:szCs w:val="21"/>
                <w:highlight w:val="none"/>
              </w:rPr>
            </w:r>
            <w:r/>
          </w:p>
        </w:tc>
        <w:tc>
          <w:tcPr>
            <w:tcW w:w="3119"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打卡下班</w:t>
            </w:r>
            <w:r>
              <w:rPr>
                <w:rFonts w:hint="eastAsia" w:ascii="宋体" w:hAnsi="宋体" w:eastAsia="宋体" w:cs="宋体"/>
                <w:bCs/>
                <w:color w:val="000000"/>
                <w:sz w:val="21"/>
                <w:szCs w:val="21"/>
                <w:highlight w:val="none"/>
              </w:rPr>
            </w:r>
            <w:r/>
          </w:p>
        </w:tc>
        <w:tc>
          <w:tcPr>
            <w:tcW w:w="4381" w:type="dxa"/>
            <w:vAlign w:val="center"/>
            <w:textDirection w:val="lrTb"/>
            <w:noWrap w:val="false"/>
          </w:tcPr>
          <w:p>
            <w:pPr>
              <w:pStyle w:val="98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97" w:hRule="exact"/>
        </w:trPr>
        <w:tc>
          <w:tcPr>
            <w:gridSpan w:val="4"/>
            <w:tcW w:w="9452" w:type="dxa"/>
            <w:vAlign w:val="center"/>
            <w:textDirection w:val="lrTb"/>
            <w:noWrap w:val="false"/>
          </w:tcPr>
          <w:p>
            <w:pPr>
              <w:pStyle w:val="980"/>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备注：此工作流程还会根据现场实际情况进行调整</w:t>
            </w:r>
            <w:r>
              <w:rPr>
                <w:rFonts w:hint="eastAsia" w:ascii="宋体" w:hAnsi="宋体" w:eastAsia="宋体" w:cs="宋体"/>
                <w:bCs/>
                <w:color w:val="000000"/>
                <w:sz w:val="21"/>
                <w:szCs w:val="21"/>
                <w:highlight w:val="none"/>
              </w:rPr>
            </w:r>
            <w:r/>
          </w:p>
        </w:tc>
      </w:tr>
    </w:tbl>
    <w:p>
      <w:pPr>
        <w:pStyle w:val="949"/>
        <w:ind w:firstLine="422"/>
        <w:spacing w:line="360" w:lineRule="auto"/>
        <w:widowControl/>
        <w:rPr>
          <w:rFonts w:ascii="宋体" w:hAnsi="宋体" w:cs="宋体"/>
          <w:b/>
          <w:color w:val="000000"/>
          <w:sz w:val="24"/>
          <w:szCs w:val="22"/>
          <w:highlight w:val="none"/>
        </w:rPr>
        <w:outlineLvl w:val="2"/>
      </w:pPr>
      <w:r>
        <w:rPr>
          <w:rFonts w:hint="eastAsia" w:ascii="宋体" w:hAnsi="宋体" w:cs="宋体"/>
          <w:b/>
          <w:color w:val="000000"/>
          <w:sz w:val="24"/>
          <w:szCs w:val="22"/>
          <w:highlight w:val="none"/>
        </w:rPr>
        <w:t xml:space="preserve">3.5绿化服务</w:t>
      </w:r>
      <w:r>
        <w:rPr>
          <w:rFonts w:ascii="宋体" w:hAnsi="宋体" w:cs="宋体"/>
          <w:b/>
          <w:color w:val="000000"/>
          <w:sz w:val="24"/>
          <w:szCs w:val="22"/>
          <w:highlight w:val="none"/>
        </w:rPr>
      </w:r>
      <w:r/>
    </w:p>
    <w:tbl>
      <w:tblPr>
        <w:tblW w:w="5003"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055"/>
        <w:gridCol w:w="7512"/>
      </w:tblGrid>
      <w:tr>
        <w:trPr>
          <w:trHeight w:val="454"/>
        </w:trPr>
        <w:tc>
          <w:tcPr>
            <w:tcW w:w="830" w:type="dxa"/>
            <w:vAlign w:val="center"/>
            <w:textDirection w:val="lrTb"/>
            <w:noWrap w:val="false"/>
          </w:tcPr>
          <w:p>
            <w:pPr>
              <w:pStyle w:val="949"/>
              <w:jc w:val="center"/>
              <w:keepLines w:val="0"/>
              <w:keepNext w:val="0"/>
              <w:pageBreakBefore w:val="0"/>
              <w:spacing w:line="300" w:lineRule="exact"/>
              <w:widowControl/>
              <w:rPr>
                <w:rFonts w:hint="eastAsia"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序号</w:t>
            </w:r>
            <w:r>
              <w:rPr>
                <w:rFonts w:hint="eastAsia" w:ascii="Calibri" w:hAnsi="Calibri" w:cs="Calibri"/>
                <w:b/>
                <w:bCs/>
                <w:color w:val="000000"/>
                <w:sz w:val="24"/>
                <w:szCs w:val="24"/>
                <w:highlight w:val="none"/>
              </w:rPr>
            </w:r>
            <w:r/>
          </w:p>
        </w:tc>
        <w:tc>
          <w:tcPr>
            <w:tcW w:w="1543" w:type="dxa"/>
            <w:vAlign w:val="center"/>
            <w:textDirection w:val="lrTb"/>
            <w:noWrap w:val="false"/>
          </w:tcPr>
          <w:p>
            <w:pPr>
              <w:pStyle w:val="949"/>
              <w:jc w:val="center"/>
              <w:keepLines w:val="0"/>
              <w:keepNext w:val="0"/>
              <w:pageBreakBefore w:val="0"/>
              <w:spacing w:line="300" w:lineRule="exact"/>
              <w:widowControl/>
              <w:rPr>
                <w:rFonts w:ascii="Calibri" w:hAnsi="Calibri" w:cs="Calibri"/>
                <w:b/>
                <w:bCs/>
                <w:color w:val="000000"/>
                <w:sz w:val="24"/>
                <w:szCs w:val="24"/>
                <w:highlight w:val="none"/>
              </w:rPr>
            </w:pPr>
            <w:r>
              <w:rPr>
                <w:rFonts w:ascii="Calibri" w:hAnsi="Calibri" w:cs="Calibri"/>
                <w:b/>
                <w:bCs/>
                <w:color w:val="000000"/>
                <w:sz w:val="24"/>
                <w:szCs w:val="24"/>
                <w:highlight w:val="none"/>
              </w:rPr>
              <w:t xml:space="preserve">服务内容</w:t>
            </w:r>
            <w:r>
              <w:rPr>
                <w:rFonts w:ascii="Calibri" w:hAnsi="Calibri" w:cs="Calibri"/>
                <w:b/>
                <w:bCs/>
                <w:color w:val="000000"/>
                <w:sz w:val="24"/>
                <w:szCs w:val="24"/>
                <w:highlight w:val="none"/>
              </w:rPr>
            </w:r>
            <w:r/>
          </w:p>
        </w:tc>
        <w:tc>
          <w:tcPr>
            <w:tcW w:w="11854" w:type="dxa"/>
            <w:vAlign w:val="center"/>
            <w:textDirection w:val="lrTb"/>
            <w:noWrap w:val="false"/>
          </w:tcPr>
          <w:p>
            <w:pPr>
              <w:pStyle w:val="949"/>
              <w:jc w:val="center"/>
              <w:keepLines w:val="0"/>
              <w:keepNext w:val="0"/>
              <w:pageBreakBefore w:val="0"/>
              <w:spacing w:line="300" w:lineRule="exact"/>
              <w:widowControl/>
              <w:rPr>
                <w:rFonts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服务标准</w:t>
            </w:r>
            <w:r>
              <w:rPr>
                <w:rFonts w:ascii="Calibri" w:hAnsi="Calibri" w:cs="Calibri"/>
                <w:b/>
                <w:bCs/>
                <w:color w:val="000000"/>
                <w:sz w:val="24"/>
                <w:szCs w:val="24"/>
                <w:highlight w:val="none"/>
              </w:rPr>
            </w:r>
            <w:r/>
          </w:p>
        </w:tc>
      </w:tr>
      <w:tr>
        <w:trPr>
          <w:trHeight w:val="888"/>
        </w:trPr>
        <w:tc>
          <w:tcPr>
            <w:tcW w:w="830" w:type="dxa"/>
            <w:vAlign w:val="center"/>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1</w:t>
            </w:r>
            <w:r>
              <w:rPr>
                <w:rFonts w:ascii="Calibri" w:hAnsi="Calibri" w:cs="Calibri"/>
                <w:color w:val="000000"/>
                <w:sz w:val="24"/>
                <w:szCs w:val="24"/>
                <w:highlight w:val="none"/>
              </w:rPr>
            </w:r>
            <w:r/>
          </w:p>
        </w:tc>
        <w:tc>
          <w:tcPr>
            <w:tcW w:w="1543" w:type="dxa"/>
            <w:vAlign w:val="center"/>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基本要求</w:t>
            </w: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对绿化区域，按照二级养护标准，做好施肥、修剪、清除杂草、病虫害防治、扶正加固、绿化补（移）植及更换、切边、涂白、中耕松土、叶面除积尘、绿化保护、绿化灌溉设施（备）维护、绿化排水设施（备）维护等工作；</w:t>
            </w:r>
            <w:r>
              <w:rPr>
                <w:rFonts w:hint="eastAsia" w:ascii="Calibri" w:hAnsi="Calibri" w:cs="Calibri"/>
                <w:color w:val="000000"/>
                <w:sz w:val="24"/>
                <w:szCs w:val="24"/>
                <w:highlight w:val="none"/>
              </w:rPr>
            </w:r>
            <w:r/>
          </w:p>
        </w:tc>
      </w:tr>
      <w:tr>
        <w:trPr>
          <w:trHeight w:val="642"/>
        </w:trPr>
        <w:tc>
          <w:tcPr>
            <w:tcW w:w="830"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2</w:t>
            </w:r>
            <w:r>
              <w:rPr>
                <w:rFonts w:ascii="Calibri" w:hAnsi="Calibri" w:cs="Calibri"/>
                <w:color w:val="000000"/>
                <w:sz w:val="24"/>
                <w:szCs w:val="24"/>
                <w:highlight w:val="none"/>
              </w:rPr>
            </w:r>
            <w:r/>
          </w:p>
        </w:tc>
        <w:tc>
          <w:tcPr>
            <w:tcW w:w="1543"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绿化服务要求</w:t>
            </w: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（1）负责浇水：草坪、灌木、树木为主，具体视天气情况，保持植物长势良好，不出现大面积枯萎等缺水现象。</w:t>
            </w:r>
            <w:r>
              <w:rPr>
                <w:rFonts w:hint="eastAsia" w:ascii="Calibri" w:hAnsi="Calibri" w:cs="Calibri"/>
                <w:color w:val="000000"/>
                <w:sz w:val="24"/>
                <w:szCs w:val="24"/>
                <w:highlight w:val="none"/>
              </w:rPr>
            </w:r>
            <w:r/>
          </w:p>
        </w:tc>
      </w:tr>
      <w:tr>
        <w:trPr>
          <w:trHeight w:val="650"/>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（2）负责施肥：根据实际情况年施肥2—3次，做到施肥均匀、充足、适度、保证绿化植物枝叶茂盛。</w:t>
            </w:r>
            <w:r>
              <w:rPr>
                <w:rFonts w:hint="eastAsia" w:ascii="Calibri" w:hAnsi="Calibri" w:cs="Calibri"/>
                <w:color w:val="000000"/>
                <w:sz w:val="24"/>
                <w:szCs w:val="24"/>
                <w:highlight w:val="none"/>
              </w:rPr>
            </w:r>
            <w:r/>
          </w:p>
        </w:tc>
      </w:tr>
      <w:tr>
        <w:trPr>
          <w:trHeight w:val="509"/>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（3）负责适当修剪：按不同的时节和季节，视具体情况，经常性对草地、灌木、乔木进行修剪整形，使草坪的高度一致，整齐美观。</w:t>
            </w:r>
            <w:r>
              <w:rPr>
                <w:rFonts w:ascii="Calibri" w:hAnsi="Calibri" w:cs="Calibri"/>
                <w:color w:val="000000"/>
                <w:sz w:val="24"/>
                <w:szCs w:val="24"/>
                <w:highlight w:val="none"/>
              </w:rPr>
            </w:r>
            <w:r/>
          </w:p>
        </w:tc>
      </w:tr>
      <w:tr>
        <w:trPr>
          <w:trHeight w:val="474"/>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（4）负责病虫害防治：要及时对草地、灌木、乔木进行病虫害防治，确保病株、虫害现象不成灾。</w:t>
            </w:r>
            <w:r>
              <w:rPr>
                <w:rFonts w:hint="eastAsia" w:ascii="Calibri" w:hAnsi="Calibri" w:cs="Calibri"/>
                <w:color w:val="000000"/>
                <w:sz w:val="24"/>
                <w:szCs w:val="24"/>
                <w:highlight w:val="none"/>
              </w:rPr>
            </w:r>
            <w:r/>
          </w:p>
        </w:tc>
      </w:tr>
      <w:tr>
        <w:trPr>
          <w:trHeight w:val="454"/>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（5）负责除杂草松土：草坪上、花木丛中，无杂草。</w:t>
            </w:r>
            <w:r>
              <w:rPr>
                <w:rFonts w:hint="eastAsia" w:ascii="Calibri" w:hAnsi="Calibri" w:cs="Calibri"/>
                <w:color w:val="000000"/>
                <w:sz w:val="24"/>
                <w:szCs w:val="24"/>
                <w:highlight w:val="none"/>
              </w:rPr>
            </w:r>
            <w:r/>
          </w:p>
        </w:tc>
      </w:tr>
      <w:tr>
        <w:trPr>
          <w:trHeight w:val="454"/>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（6）负责补植：对因生长不良造成的残缺花草、树木及时补植恢复。</w:t>
            </w:r>
            <w:r>
              <w:rPr>
                <w:rFonts w:hint="eastAsia" w:ascii="Calibri" w:hAnsi="Calibri" w:cs="Calibri"/>
                <w:color w:val="000000"/>
                <w:sz w:val="24"/>
                <w:szCs w:val="24"/>
                <w:highlight w:val="none"/>
              </w:rPr>
            </w:r>
            <w:r/>
          </w:p>
        </w:tc>
      </w:tr>
      <w:tr>
        <w:trPr>
          <w:trHeight w:val="535"/>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（7）负责清理绿化：修剪下来的树枝和杂草，及时清运处理。</w:t>
            </w:r>
            <w:r>
              <w:rPr>
                <w:rFonts w:hint="eastAsia" w:ascii="Calibri" w:hAnsi="Calibri" w:cs="Calibri"/>
                <w:color w:val="000000"/>
                <w:sz w:val="24"/>
                <w:szCs w:val="24"/>
                <w:highlight w:val="none"/>
              </w:rPr>
            </w:r>
            <w:r/>
          </w:p>
        </w:tc>
      </w:tr>
      <w:tr>
        <w:trPr>
          <w:trHeight w:val="1289"/>
        </w:trPr>
        <w:tc>
          <w:tcPr>
            <w:tcW w:w="830"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543"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1854" w:type="dxa"/>
            <w:vAlign w:val="center"/>
            <w:textDirection w:val="lrTb"/>
            <w:noWrap w:val="false"/>
          </w:tcPr>
          <w:p>
            <w:pPr>
              <w:pStyle w:val="949"/>
              <w:ind w:left="315"/>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8）负责防汛、防风、防冻：灾前积极预防，对树木加固，灾后及时清除倒树断枝，尽快恢复原状。寒潮到来之前根据植物的具体情况做好防寒越冬工作（扎草绳或刷白灰）。大雪过后，及时清理树枝，树叶上的积雪。</w:t>
            </w:r>
            <w:r>
              <w:rPr>
                <w:rFonts w:hint="eastAsia" w:ascii="Calibri" w:hAnsi="Calibri" w:cs="Calibri"/>
                <w:color w:val="000000"/>
                <w:sz w:val="24"/>
                <w:szCs w:val="24"/>
                <w:highlight w:val="none"/>
              </w:rPr>
            </w:r>
            <w:r/>
          </w:p>
        </w:tc>
      </w:tr>
    </w:tbl>
    <w:p>
      <w:pPr>
        <w:pStyle w:val="949"/>
        <w:ind w:firstLine="422"/>
        <w:keepLines/>
        <w:keepNext/>
        <w:spacing w:line="300" w:lineRule="auto"/>
        <w:rPr>
          <w:rFonts w:hint="eastAsia" w:ascii="Calibri" w:hAnsi="Calibri" w:cs="Calibri"/>
          <w:b/>
          <w:bCs/>
          <w:color w:val="000000"/>
          <w:szCs w:val="32"/>
          <w:highlight w:val="none"/>
        </w:rPr>
        <w:outlineLvl w:val="1"/>
      </w:pPr>
      <w:r>
        <w:rPr>
          <w:rFonts w:hint="eastAsia" w:ascii="Calibri" w:hAnsi="Calibri" w:cs="Calibri"/>
          <w:b/>
          <w:bCs/>
          <w:color w:val="000000"/>
          <w:szCs w:val="32"/>
          <w:highlight w:val="none"/>
        </w:rPr>
      </w:r>
      <w:r/>
    </w:p>
    <w:p>
      <w:pPr>
        <w:pStyle w:val="949"/>
        <w:ind w:firstLine="422"/>
        <w:spacing w:line="360" w:lineRule="auto"/>
        <w:widowControl/>
        <w:rPr>
          <w:rFonts w:hint="eastAsia" w:ascii="宋体" w:hAnsi="宋体" w:cs="宋体"/>
          <w:b/>
          <w:color w:val="000000"/>
          <w:sz w:val="24"/>
          <w:szCs w:val="22"/>
          <w:highlight w:val="none"/>
        </w:rPr>
        <w:outlineLvl w:val="2"/>
      </w:pPr>
      <w:r>
        <w:rPr>
          <w:rFonts w:hint="eastAsia" w:ascii="宋体" w:hAnsi="宋体" w:cs="宋体"/>
          <w:b/>
          <w:color w:val="000000"/>
          <w:sz w:val="24"/>
          <w:szCs w:val="22"/>
          <w:highlight w:val="none"/>
        </w:rPr>
        <w:t xml:space="preserve">3.6</w:t>
      </w:r>
      <w:r>
        <w:rPr>
          <w:rFonts w:hint="eastAsia" w:ascii="宋体" w:hAnsi="宋体" w:cs="宋体"/>
          <w:b/>
          <w:color w:val="000000"/>
          <w:sz w:val="24"/>
          <w:szCs w:val="24"/>
          <w:highlight w:val="none"/>
        </w:rPr>
        <w:t xml:space="preserve">保安服务</w:t>
      </w:r>
      <w:r>
        <w:rPr>
          <w:rFonts w:hint="eastAsia" w:ascii="宋体" w:hAnsi="宋体" w:cs="宋体"/>
          <w:b/>
          <w:color w:val="000000"/>
          <w:sz w:val="24"/>
          <w:szCs w:val="22"/>
          <w:highlight w:val="none"/>
        </w:rPr>
      </w:r>
      <w:r/>
    </w:p>
    <w:tbl>
      <w:tblPr>
        <w:tblW w:w="522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041"/>
        <w:gridCol w:w="7927"/>
      </w:tblGrid>
      <w:tr>
        <w:trPr>
          <w:trHeight w:val="454"/>
        </w:trPr>
        <w:tc>
          <w:tcPr>
            <w:tcW w:w="615" w:type="dxa"/>
            <w:vAlign w:val="center"/>
            <w:textDirection w:val="lrTb"/>
            <w:noWrap w:val="false"/>
          </w:tcPr>
          <w:p>
            <w:pPr>
              <w:pStyle w:val="949"/>
              <w:jc w:val="center"/>
              <w:keepLines w:val="0"/>
              <w:keepNext w:val="0"/>
              <w:pageBreakBefore w:val="0"/>
              <w:spacing w:line="300" w:lineRule="exact"/>
              <w:widowControl/>
              <w:rPr>
                <w:rFonts w:hint="eastAsia"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序号</w:t>
            </w:r>
            <w:r>
              <w:rPr>
                <w:rFonts w:hint="eastAsia" w:ascii="Calibri" w:hAnsi="Calibri" w:cs="Calibri"/>
                <w:b/>
                <w:bCs/>
                <w:color w:val="000000"/>
                <w:sz w:val="24"/>
                <w:szCs w:val="24"/>
                <w:highlight w:val="none"/>
              </w:rPr>
            </w:r>
            <w:r/>
          </w:p>
        </w:tc>
        <w:tc>
          <w:tcPr>
            <w:tcW w:w="1041" w:type="dxa"/>
            <w:vAlign w:val="center"/>
            <w:textDirection w:val="lrTb"/>
            <w:noWrap w:val="false"/>
          </w:tcPr>
          <w:p>
            <w:pPr>
              <w:pStyle w:val="949"/>
              <w:jc w:val="center"/>
              <w:keepLines w:val="0"/>
              <w:keepNext w:val="0"/>
              <w:pageBreakBefore w:val="0"/>
              <w:spacing w:line="300" w:lineRule="exact"/>
              <w:widowControl/>
              <w:rPr>
                <w:rFonts w:ascii="Calibri" w:hAnsi="Calibri" w:cs="Calibri"/>
                <w:b/>
                <w:bCs/>
                <w:color w:val="000000"/>
                <w:sz w:val="24"/>
                <w:szCs w:val="24"/>
                <w:highlight w:val="none"/>
              </w:rPr>
            </w:pPr>
            <w:r>
              <w:rPr>
                <w:rFonts w:ascii="Calibri" w:hAnsi="Calibri" w:cs="Calibri"/>
                <w:b/>
                <w:bCs/>
                <w:color w:val="000000"/>
                <w:sz w:val="24"/>
                <w:szCs w:val="24"/>
                <w:highlight w:val="none"/>
              </w:rPr>
              <w:t xml:space="preserve">服务内容</w:t>
            </w:r>
            <w:r>
              <w:rPr>
                <w:rFonts w:ascii="Calibri" w:hAnsi="Calibri" w:cs="Calibri"/>
                <w:b/>
                <w:bCs/>
                <w:color w:val="000000"/>
                <w:sz w:val="24"/>
                <w:szCs w:val="24"/>
                <w:highlight w:val="none"/>
              </w:rPr>
            </w:r>
            <w:r/>
          </w:p>
        </w:tc>
        <w:tc>
          <w:tcPr>
            <w:tcW w:w="7929" w:type="dxa"/>
            <w:vAlign w:val="center"/>
            <w:textDirection w:val="lrTb"/>
            <w:noWrap w:val="false"/>
          </w:tcPr>
          <w:p>
            <w:pPr>
              <w:pStyle w:val="949"/>
              <w:jc w:val="center"/>
              <w:keepLines w:val="0"/>
              <w:keepNext w:val="0"/>
              <w:pageBreakBefore w:val="0"/>
              <w:spacing w:line="300" w:lineRule="exact"/>
              <w:widowControl/>
              <w:rPr>
                <w:rFonts w:ascii="Calibri" w:hAnsi="Calibri" w:cs="Calibri"/>
                <w:b/>
                <w:bCs/>
                <w:color w:val="000000"/>
                <w:sz w:val="24"/>
                <w:szCs w:val="24"/>
                <w:highlight w:val="none"/>
              </w:rPr>
            </w:pPr>
            <w:r>
              <w:rPr>
                <w:rFonts w:hint="eastAsia" w:ascii="Calibri" w:hAnsi="Calibri" w:cs="Calibri"/>
                <w:b/>
                <w:bCs/>
                <w:color w:val="000000"/>
                <w:sz w:val="24"/>
                <w:szCs w:val="24"/>
                <w:highlight w:val="none"/>
              </w:rPr>
              <w:t xml:space="preserve">服务标准</w:t>
            </w:r>
            <w:r>
              <w:rPr>
                <w:rFonts w:ascii="Calibri" w:hAnsi="Calibri" w:cs="Calibri"/>
                <w:b/>
                <w:bCs/>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基本要求</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（1）建立保安服务相关制度，并按照执行。</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（2）对巡查、值守及异常情况等做好相关记录，填写规范，保存完好。</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（3）配备保安服务必要的器材。</w:t>
            </w:r>
            <w:r>
              <w:rPr>
                <w:rFonts w:hint="eastAsia"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ascii="Calibri" w:hAnsi="Calibri" w:cs="Calibri"/>
                <w:color w:val="000000"/>
                <w:sz w:val="24"/>
                <w:szCs w:val="24"/>
                <w:highlight w:val="none"/>
              </w:rPr>
              <w:t xml:space="preserve">出入管理</w:t>
            </w:r>
            <w:r>
              <w:rPr>
                <w:rFonts w:hint="eastAsia"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（1）办公楼（区）主出入口应当实行 24小时值班制。</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（2）设置门岗，工作日上下班前后30分钟须立岗，维持门口交通秩序。</w:t>
            </w:r>
            <w:r>
              <w:rPr>
                <w:rFonts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（3）在出入口对外来人员及其携带大件物品、外来车辆进行询问和记录，并与相关部门取得联系，同意后方可进入。</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（4）大件物品搬出有相关部门开具的证明和清单，经核实后放行。</w:t>
            </w:r>
            <w:r>
              <w:rPr>
                <w:rFonts w:hint="eastAsia" w:ascii="Calibri" w:hAnsi="Calibri" w:cs="Calibri"/>
                <w:color w:val="000000"/>
                <w:sz w:val="24"/>
                <w:szCs w:val="24"/>
                <w:highlight w:val="none"/>
              </w:rPr>
            </w:r>
            <w:r/>
          </w:p>
        </w:tc>
      </w:tr>
      <w:tr>
        <w:trPr>
          <w:trHeight w:val="736"/>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（5）排查可疑人员，对于不出示证件、不按规定登记、不听劝阻而强行闯入者，及时劝离，必要时通知公安机关进行处理。</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（6）配合相关部门积极疏导上访人员，有效疏导如出入口人群集聚、车辆拥堵、货物堵塞道路等情况。</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（8）</w:t>
            </w:r>
            <w:r>
              <w:rPr>
                <w:rFonts w:ascii="Calibri" w:hAnsi="Calibri" w:cs="Calibri"/>
                <w:color w:val="000000"/>
                <w:sz w:val="24"/>
                <w:szCs w:val="24"/>
                <w:highlight w:val="none"/>
              </w:rPr>
              <w:t xml:space="preserve">提供现场接待服务。</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①做好来访人员、车辆进出证件登记，及时通报</w:t>
            </w:r>
            <w:r>
              <w:rPr>
                <w:rFonts w:hint="eastAsia" w:ascii="Calibri" w:hAnsi="Calibri" w:cs="Calibri"/>
                <w:color w:val="000000"/>
                <w:sz w:val="24"/>
                <w:szCs w:val="24"/>
                <w:highlight w:val="none"/>
              </w:rPr>
              <w:t xml:space="preserve">。</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②严禁无关人员、可疑人员和危险物品进入办公楼（区）内。</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③物品摆放整齐有序、分类放置。</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④现场办理等待时间不超过5分钟，等待较长时间应</w:t>
            </w:r>
            <w:r>
              <w:rPr>
                <w:rFonts w:hint="eastAsia" w:ascii="Calibri" w:hAnsi="Calibri" w:cs="Calibri"/>
                <w:color w:val="000000"/>
                <w:sz w:val="24"/>
                <w:szCs w:val="24"/>
                <w:highlight w:val="none"/>
              </w:rPr>
              <w:t xml:space="preserve">当</w:t>
            </w:r>
            <w:r>
              <w:rPr>
                <w:rFonts w:ascii="Calibri" w:hAnsi="Calibri" w:cs="Calibri"/>
                <w:color w:val="000000"/>
                <w:sz w:val="24"/>
                <w:szCs w:val="24"/>
                <w:highlight w:val="none"/>
              </w:rPr>
              <w:t xml:space="preserve">及时沟通。</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⑤对来访人员咨询、建议、求助等事项，及时处理或答复，处理和答复率100%。</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⑥接待服务工作时间应</w:t>
            </w:r>
            <w:r>
              <w:rPr>
                <w:rFonts w:hint="eastAsia" w:ascii="Calibri" w:hAnsi="Calibri" w:cs="Calibri"/>
                <w:color w:val="000000"/>
                <w:sz w:val="24"/>
                <w:szCs w:val="24"/>
                <w:highlight w:val="none"/>
              </w:rPr>
              <w:t xml:space="preserve">当</w:t>
            </w:r>
            <w:r>
              <w:rPr>
                <w:rFonts w:ascii="Calibri" w:hAnsi="Calibri" w:cs="Calibri"/>
                <w:color w:val="000000"/>
                <w:sz w:val="24"/>
                <w:szCs w:val="24"/>
                <w:highlight w:val="none"/>
              </w:rPr>
              <w:t xml:space="preserve">覆盖采购人工作时间（上班时间为</w:t>
            </w:r>
            <w:r>
              <w:rPr>
                <w:rFonts w:hint="eastAsia" w:ascii="Calibri" w:hAnsi="Calibri" w:cs="Calibri"/>
                <w:color w:val="000000"/>
                <w:sz w:val="24"/>
                <w:szCs w:val="24"/>
                <w:highlight w:val="none"/>
                <w:lang w:val="en-US" w:eastAsia="zh-CN"/>
              </w:rPr>
              <w:t xml:space="preserve">8</w:t>
            </w:r>
            <w:r>
              <w:rPr>
                <w:rFonts w:hint="eastAsia" w:ascii="Calibri" w:hAnsi="Calibri" w:cs="Calibri"/>
                <w:color w:val="000000"/>
                <w:sz w:val="24"/>
                <w:szCs w:val="24"/>
                <w:highlight w:val="none"/>
              </w:rPr>
              <w:t xml:space="preserve">:00—17:30</w:t>
            </w:r>
            <w:r>
              <w:rPr>
                <w:rFonts w:ascii="Calibri" w:hAnsi="Calibri" w:cs="Calibri"/>
                <w:color w:val="000000"/>
                <w:sz w:val="24"/>
                <w:szCs w:val="24"/>
                <w:highlight w:val="none"/>
              </w:rPr>
              <w:t xml:space="preserve">）。</w:t>
            </w:r>
            <w:r>
              <w:rPr>
                <w:rFonts w:ascii="Calibri" w:hAnsi="Calibri" w:cs="Calibri"/>
                <w:color w:val="000000"/>
                <w:sz w:val="24"/>
                <w:szCs w:val="24"/>
                <w:highlight w:val="none"/>
              </w:rPr>
            </w:r>
            <w:r/>
          </w:p>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⑦与被访人进行核实确认；告知被访人的办公室门牌号；告知访客注意事项（</w:t>
            </w:r>
            <w:r>
              <w:rPr>
                <w:rFonts w:hint="eastAsia" w:ascii="Calibri" w:hAnsi="Calibri" w:cs="Calibri"/>
                <w:color w:val="000000"/>
                <w:sz w:val="24"/>
                <w:szCs w:val="24"/>
                <w:highlight w:val="none"/>
              </w:rPr>
              <w:t xml:space="preserve">根据实际需要</w:t>
            </w:r>
            <w:r>
              <w:rPr>
                <w:rFonts w:ascii="Calibri" w:hAnsi="Calibri" w:cs="Calibri"/>
                <w:color w:val="000000"/>
                <w:sz w:val="24"/>
                <w:szCs w:val="24"/>
                <w:highlight w:val="none"/>
              </w:rPr>
              <w:t xml:space="preserve">填写</w:t>
            </w:r>
            <w:r>
              <w:rPr>
                <w:rFonts w:hint="eastAsia" w:ascii="Calibri" w:hAnsi="Calibri" w:cs="Calibri"/>
                <w:color w:val="000000"/>
                <w:sz w:val="24"/>
                <w:szCs w:val="24"/>
                <w:highlight w:val="none"/>
              </w:rPr>
              <w:t xml:space="preserve">注意事项</w:t>
            </w:r>
            <w:r>
              <w:rPr>
                <w:rFonts w:ascii="Calibri" w:hAnsi="Calibri" w:cs="Calibri"/>
                <w:color w:val="000000"/>
                <w:sz w:val="24"/>
                <w:szCs w:val="24"/>
                <w:highlight w:val="none"/>
              </w:rPr>
              <w:t xml:space="preserve">）。</w:t>
            </w:r>
            <w:r>
              <w:rPr>
                <w:rFonts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3</w:t>
            </w:r>
            <w:r>
              <w:rPr>
                <w:rFonts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值班巡查</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（1）建立24小时值班巡查制度。</w:t>
            </w:r>
            <w:r>
              <w:rPr>
                <w:rFonts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（2）制定巡查路线，按照指定时间和路线执行，加强重点区域、重点部位及装修区域的巡查，其中夜班执行巡更制度，前半夜巡更二次，后半夜巡更四次。</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（3）巡查期间保持通信设施设备畅通，遇到异常情况立即上报并在现场采取相应措施。</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（4）收到监控室指令后，巡查人员及时到达指定地点并迅速采取相应措施。</w:t>
            </w:r>
            <w:r>
              <w:rPr>
                <w:rFonts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监控值守</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（1）监控设备24小时正常运行，监控室实行专人24小时值班制度</w:t>
            </w:r>
            <w:r>
              <w:rPr>
                <w:rFonts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（2）监控室收到火情等报警信号、其他异常情况信号后，及时报警并安排其他安保人员前往现场进行处理。</w:t>
            </w:r>
            <w:r>
              <w:rPr>
                <w:rFonts w:hint="eastAsia"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车辆停放</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（1）车辆行驶路线设置合理、规范，导向标志完整、清晰。</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（2）合理规划车辆停放区域，张贴车辆引导标识，对车辆及停放区域实行规范管理。</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（3）严禁在办公楼的公用走道、楼梯间、安全出口处等公共区域停放车辆或充电。</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（4）非机动车定点有序停放。</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（5）发现车辆异常情况及时通知车主，并做好登记；发生交通事故、自然灾害等意外事故时及时赶赴现场疏导和协助处理，响应时间不超过3分钟。</w:t>
            </w:r>
            <w:r>
              <w:rPr>
                <w:rFonts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6</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ascii="Calibri" w:hAnsi="Calibri" w:cs="Calibri"/>
                <w:color w:val="000000"/>
                <w:sz w:val="24"/>
                <w:szCs w:val="24"/>
                <w:highlight w:val="none"/>
              </w:rPr>
              <w:t xml:space="preserve">消防安全管理</w:t>
            </w:r>
            <w:r>
              <w:rPr>
                <w:rFonts w:hint="eastAsia"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（1）建立消防安全责任制，确定各级消防安全责任人及其职责。</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（2）消防控制室实行24小时值班制度，值班人员须持有消防设施操作员（建构筑物消防员）证。</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（3）消火栓、应急照明、应急物资、消防及人员逃生通道、消防车通道可随时正常使用。</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（4）易燃易爆品设专区专人管理，做好相关记录。</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（5）定期组织消防安全宣传，每半年至少开展1次消防演练。</w:t>
            </w:r>
            <w:r>
              <w:rPr>
                <w:rFonts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7</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突发事件处理</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（1）制定突发事件安全责任书，明确突发事件责任人及应承担的安全责任。</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（2）建立应急突发事件处置队伍，明确各自的职责。</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（3）识别、分析各种潜在风险，针对不同风险类型制定相应解决方案，并配备应急物资。</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（4）每半年至少开展1次突发事件应急演练，并有相应记录。</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（5）发生意外事件时，及时采取应急措施，维护办公区域物业服务正常进行，保护人身财产安全。</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（6）办公区域物业服务应急预案终止实施后，积极采取措施，在尽可能短的时间内，消除事故带来的不良影响，妥善安置和慰问受害及受影响的人员和部门。</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（7）事故处理后，及时形成事故应急总结报告，完善应急救援工作方案。</w:t>
            </w:r>
            <w:r>
              <w:rPr>
                <w:rFonts w:ascii="Calibri" w:hAnsi="Calibri" w:cs="Calibri"/>
                <w:color w:val="000000"/>
                <w:sz w:val="24"/>
                <w:szCs w:val="24"/>
                <w:highlight w:val="none"/>
              </w:rPr>
            </w:r>
            <w:r/>
          </w:p>
        </w:tc>
      </w:tr>
      <w:tr>
        <w:trPr>
          <w:trHeight w:val="454"/>
        </w:trPr>
        <w:tc>
          <w:tcPr>
            <w:tcW w:w="615" w:type="dxa"/>
            <w:vAlign w:val="center"/>
            <w:vMerge w:val="restart"/>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8</w:t>
            </w:r>
            <w:r>
              <w:rPr>
                <w:rFonts w:hint="eastAsia" w:ascii="Calibri" w:hAnsi="Calibri" w:cs="Calibri"/>
                <w:color w:val="000000"/>
                <w:sz w:val="24"/>
                <w:szCs w:val="24"/>
                <w:highlight w:val="none"/>
              </w:rPr>
            </w:r>
            <w:r/>
          </w:p>
        </w:tc>
        <w:tc>
          <w:tcPr>
            <w:tcW w:w="1041" w:type="dxa"/>
            <w:vAlign w:val="center"/>
            <w:vMerge w:val="restart"/>
            <w:textDirection w:val="lrTb"/>
            <w:noWrap w:val="false"/>
          </w:tcPr>
          <w:p>
            <w:pPr>
              <w:pStyle w:val="949"/>
              <w:jc w:val="center"/>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t xml:space="preserve">大型活动秩序</w:t>
            </w: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（1）制定相应的活动秩序维护方案，合理安排人员，并对场所的安全隐患进行排查。</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t xml:space="preserve">（2）应当保障通道、出入口、停车场等区域畅通。</w:t>
            </w:r>
            <w:r>
              <w:rPr>
                <w:rFonts w:hint="eastAsia" w:ascii="Calibri" w:hAnsi="Calibri" w:cs="Calibri"/>
                <w:color w:val="000000"/>
                <w:sz w:val="24"/>
                <w:szCs w:val="24"/>
                <w:highlight w:val="none"/>
              </w:rPr>
            </w:r>
            <w:r/>
          </w:p>
        </w:tc>
      </w:tr>
      <w:tr>
        <w:trPr>
          <w:trHeight w:val="454"/>
        </w:trPr>
        <w:tc>
          <w:tcPr>
            <w:tcW w:w="615" w:type="dxa"/>
            <w:vAlign w:val="center"/>
            <w:vMerge w:val="continue"/>
            <w:textDirection w:val="lrTb"/>
            <w:noWrap w:val="false"/>
          </w:tcPr>
          <w:p>
            <w:pPr>
              <w:pStyle w:val="949"/>
              <w:jc w:val="center"/>
              <w:keepLines w:val="0"/>
              <w:keepNext w:val="0"/>
              <w:pageBreakBefore w:val="0"/>
              <w:spacing w:line="300" w:lineRule="exact"/>
              <w:widowControl/>
              <w:rPr>
                <w:rFonts w:hint="eastAsia" w:ascii="Calibri" w:hAnsi="Calibri" w:cs="Calibri"/>
                <w:color w:val="000000"/>
                <w:sz w:val="24"/>
                <w:szCs w:val="24"/>
                <w:highlight w:val="none"/>
              </w:rPr>
            </w:pPr>
            <w:r>
              <w:rPr>
                <w:rFonts w:hint="eastAsia" w:ascii="Calibri" w:hAnsi="Calibri" w:cs="Calibri"/>
                <w:color w:val="000000"/>
                <w:sz w:val="24"/>
                <w:szCs w:val="24"/>
                <w:highlight w:val="none"/>
              </w:rPr>
            </w:r>
            <w:r/>
          </w:p>
        </w:tc>
        <w:tc>
          <w:tcPr>
            <w:tcW w:w="1041" w:type="dxa"/>
            <w:vAlign w:val="center"/>
            <w:vMerge w:val="continue"/>
            <w:textDirection w:val="lrTb"/>
            <w:noWrap w:val="false"/>
          </w:tcPr>
          <w:p>
            <w:pPr>
              <w:pStyle w:val="949"/>
              <w:keepLines w:val="0"/>
              <w:keepNext w:val="0"/>
              <w:pageBreakBefore w:val="0"/>
              <w:spacing w:line="300" w:lineRule="exact"/>
              <w:widowControl/>
              <w:rPr>
                <w:rFonts w:ascii="Calibri" w:hAnsi="Calibri" w:cs="Calibri"/>
                <w:color w:val="000000"/>
                <w:sz w:val="24"/>
                <w:szCs w:val="24"/>
                <w:highlight w:val="none"/>
              </w:rPr>
            </w:pPr>
            <w:r>
              <w:rPr>
                <w:rFonts w:ascii="Calibri" w:hAnsi="Calibri" w:cs="Calibri"/>
                <w:color w:val="000000"/>
                <w:sz w:val="24"/>
                <w:szCs w:val="24"/>
                <w:highlight w:val="none"/>
              </w:rPr>
            </w:r>
            <w:r/>
          </w:p>
        </w:tc>
        <w:tc>
          <w:tcPr>
            <w:tcW w:w="7929" w:type="dxa"/>
            <w:vAlign w:val="center"/>
            <w:textDirection w:val="lrTb"/>
            <w:noWrap w:val="false"/>
          </w:tcPr>
          <w:p>
            <w:pPr>
              <w:pStyle w:val="949"/>
              <w:ind w:firstLine="210"/>
              <w:jc w:val="left"/>
              <w:keepLines w:val="0"/>
              <w:keepNext w:val="0"/>
              <w:pageBreakBefore w:val="0"/>
              <w:spacing w:line="300" w:lineRule="exact"/>
              <w:widowControl/>
              <w:rPr>
                <w:rFonts w:ascii="Calibri" w:hAnsi="Calibri" w:cs="Calibri"/>
                <w:color w:val="000000"/>
                <w:sz w:val="24"/>
                <w:szCs w:val="24"/>
                <w:highlight w:val="none"/>
              </w:rPr>
            </w:pPr>
            <w:r>
              <w:rPr>
                <w:rFonts w:hint="eastAsia" w:ascii="Calibri" w:hAnsi="Calibri" w:cs="Calibri"/>
                <w:color w:val="000000"/>
                <w:sz w:val="24"/>
                <w:szCs w:val="24"/>
                <w:highlight w:val="none"/>
              </w:rPr>
              <w:t xml:space="preserve">（3）活动举办过程中，做好现场秩序的维护和突发事故的处置工作，确保活动正常进行。</w:t>
            </w:r>
            <w:r>
              <w:rPr>
                <w:rFonts w:ascii="Calibri" w:hAnsi="Calibri" w:cs="Calibri"/>
                <w:color w:val="000000"/>
                <w:sz w:val="24"/>
                <w:szCs w:val="24"/>
                <w:highlight w:val="none"/>
              </w:rPr>
            </w:r>
            <w:r/>
          </w:p>
        </w:tc>
      </w:tr>
    </w:tbl>
    <w:p>
      <w:pPr>
        <w:pStyle w:val="94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9"/>
        <w:ind w:firstLine="422"/>
        <w:keepLines/>
        <w:keepNext/>
        <w:spacing w:line="30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4.供应商履行合同所需的设备、材料等</w:t>
      </w:r>
      <w:r>
        <w:rPr>
          <w:rFonts w:ascii="宋体" w:hAnsi="宋体" w:cs="宋体"/>
          <w:b/>
          <w:bCs/>
          <w:color w:val="000000"/>
          <w:sz w:val="24"/>
          <w:szCs w:val="24"/>
          <w:highlight w:val="none"/>
        </w:rPr>
      </w:r>
      <w:r/>
    </w:p>
    <w:p>
      <w:pPr>
        <w:pStyle w:val="949"/>
        <w:ind w:firstLine="422"/>
        <w:keepLines/>
        <w:keepNext/>
        <w:spacing w:line="300" w:lineRule="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（1）本项目物业管理服务中需要的基本服务、房屋维修、公用设施设备维护、保洁、绿化、保安、会议服务等需要的各类设施设备、工具（含清洁、</w:t>
      </w:r>
      <w:r>
        <w:rPr>
          <w:rFonts w:hint="eastAsia" w:ascii="宋体" w:hAnsi="宋体" w:cs="宋体"/>
          <w:color w:val="000000"/>
          <w:sz w:val="24"/>
          <w:szCs w:val="24"/>
          <w:highlight w:val="none"/>
          <w:lang w:val="en-US" w:eastAsia="zh-CN"/>
        </w:rPr>
        <w:t xml:space="preserve">保养、</w:t>
      </w:r>
      <w:r>
        <w:rPr>
          <w:rFonts w:hint="eastAsia" w:ascii="宋体" w:hAnsi="宋体" w:cs="宋体"/>
          <w:color w:val="000000"/>
          <w:sz w:val="24"/>
          <w:szCs w:val="24"/>
          <w:highlight w:val="none"/>
        </w:rPr>
        <w:t xml:space="preserve">维修等）、垃圾清运、养护（石材、木地板）、绿化养护工具、防虫药剂、施肥材料、补植的草籽或树苗等均由供应商负责。</w:t>
      </w:r>
      <w:r>
        <w:rPr>
          <w:rFonts w:hint="eastAsia" w:ascii="宋体" w:hAnsi="宋体" w:cs="宋体"/>
          <w:color w:val="000000"/>
          <w:sz w:val="24"/>
          <w:szCs w:val="24"/>
          <w:highlight w:val="none"/>
        </w:rPr>
      </w:r>
      <w:r/>
    </w:p>
    <w:p>
      <w:pPr>
        <w:pStyle w:val="949"/>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（2）物业管理服务人员所需四季工作服、工号牌由中标供应商提供。</w:t>
      </w:r>
      <w:r>
        <w:rPr>
          <w:rFonts w:hint="eastAsia" w:ascii="宋体" w:hAnsi="宋体" w:cs="宋体"/>
          <w:color w:val="000000"/>
          <w:sz w:val="24"/>
          <w:szCs w:val="24"/>
          <w:highlight w:val="none"/>
        </w:rPr>
      </w:r>
      <w:r/>
    </w:p>
    <w:p>
      <w:pPr>
        <w:pStyle w:val="949"/>
        <w:ind w:firstLine="42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（3）物业管理项目管理处使用的办公物资、桌椅、橱柜、电脑、打印（复印）机由供应商提供。</w:t>
      </w:r>
      <w:r>
        <w:rPr>
          <w:rFonts w:hint="eastAsia" w:ascii="宋体" w:hAnsi="宋体" w:cs="宋体"/>
          <w:color w:val="000000"/>
          <w:sz w:val="24"/>
          <w:szCs w:val="24"/>
          <w:highlight w:val="none"/>
        </w:rPr>
      </w:r>
      <w:r/>
    </w:p>
    <w:p>
      <w:pPr>
        <w:pStyle w:val="949"/>
        <w:ind w:firstLine="420"/>
        <w:spacing w:line="300" w:lineRule="auto"/>
        <w:rPr>
          <w:rFonts w:hint="eastAsia" w:ascii="宋体" w:hAnsi="宋体" w:cs="宋体"/>
          <w:color w:val="000000"/>
          <w:sz w:val="24"/>
          <w:highlight w:val="none"/>
        </w:rPr>
      </w:pPr>
      <w:r>
        <w:rPr>
          <w:rFonts w:hint="eastAsia" w:ascii="宋体" w:hAnsi="宋体" w:cs="宋体"/>
          <w:b w:val="0"/>
          <w:bCs w:val="0"/>
          <w:i/>
          <w:iCs/>
          <w:color w:val="000000"/>
          <w:sz w:val="24"/>
          <w:szCs w:val="24"/>
          <w:highlight w:val="none"/>
          <w:u w:val="single"/>
        </w:rPr>
        <w:t xml:space="preserve">供应商</w:t>
      </w:r>
      <w:r>
        <w:rPr>
          <w:rFonts w:hint="eastAsia" w:ascii="宋体" w:hAnsi="宋体" w:cs="宋体"/>
          <w:b w:val="0"/>
          <w:bCs w:val="0"/>
          <w:i/>
          <w:iCs/>
          <w:color w:val="000000"/>
          <w:sz w:val="24"/>
          <w:szCs w:val="24"/>
          <w:highlight w:val="none"/>
          <w:u w:val="single"/>
          <w:lang w:val="en-US" w:eastAsia="zh-CN"/>
        </w:rPr>
        <w:t xml:space="preserve">应综合考虑为完成本项目服务要求所需使用（无论自行购置或租用）的设备、器材，列明拟</w:t>
      </w:r>
      <w:r>
        <w:rPr>
          <w:rFonts w:hint="eastAsia" w:ascii="宋体" w:hAnsi="宋体" w:cs="宋体"/>
          <w:b w:val="0"/>
          <w:bCs w:val="0"/>
          <w:i/>
          <w:iCs/>
          <w:color w:val="000000"/>
          <w:sz w:val="24"/>
          <w:szCs w:val="24"/>
          <w:highlight w:val="none"/>
          <w:u w:val="single"/>
        </w:rPr>
        <w:t xml:space="preserve">在本项目</w:t>
      </w:r>
      <w:r>
        <w:rPr>
          <w:rFonts w:hint="eastAsia" w:ascii="宋体" w:hAnsi="宋体" w:cs="宋体"/>
          <w:b w:val="0"/>
          <w:bCs w:val="0"/>
          <w:i/>
          <w:iCs/>
          <w:color w:val="000000"/>
          <w:sz w:val="24"/>
          <w:szCs w:val="24"/>
          <w:highlight w:val="none"/>
          <w:u w:val="single"/>
          <w:lang w:val="en-US" w:eastAsia="zh-CN"/>
        </w:rPr>
        <w:t xml:space="preserve">服务期间</w:t>
      </w:r>
      <w:r>
        <w:rPr>
          <w:rFonts w:hint="eastAsia" w:ascii="宋体" w:hAnsi="宋体" w:cs="宋体"/>
          <w:b w:val="0"/>
          <w:bCs w:val="0"/>
          <w:i/>
          <w:iCs/>
          <w:color w:val="000000"/>
          <w:sz w:val="24"/>
          <w:szCs w:val="24"/>
          <w:highlight w:val="none"/>
          <w:u w:val="single"/>
        </w:rPr>
        <w:t xml:space="preserve">提供的设备、工具</w:t>
      </w:r>
      <w:r>
        <w:rPr>
          <w:rFonts w:hint="eastAsia" w:ascii="宋体" w:hAnsi="宋体" w:cs="宋体"/>
          <w:b w:val="0"/>
          <w:bCs w:val="0"/>
          <w:i/>
          <w:iCs/>
          <w:color w:val="000000"/>
          <w:sz w:val="24"/>
          <w:szCs w:val="24"/>
          <w:highlight w:val="none"/>
          <w:u w:val="single"/>
          <w:lang w:val="en-US" w:eastAsia="zh-CN"/>
        </w:rPr>
        <w:t xml:space="preserve">及</w:t>
      </w:r>
      <w:r>
        <w:rPr>
          <w:rFonts w:hint="eastAsia" w:ascii="宋体" w:hAnsi="宋体" w:cs="宋体"/>
          <w:b w:val="0"/>
          <w:bCs w:val="0"/>
          <w:i/>
          <w:iCs/>
          <w:color w:val="000000"/>
          <w:sz w:val="24"/>
          <w:szCs w:val="24"/>
          <w:highlight w:val="none"/>
          <w:u w:val="single"/>
        </w:rPr>
        <w:t xml:space="preserve">配置清单，清单内容包括但不限于设备、工具及物资的名称、规格、品牌、单位及数量。中标供应商在合同签订后1个月内必须配备并到场相应的设备、工具及物资。如供应商无法履行承诺且无法获得招标人同意的，招标人有权单方解除合同。供应商投标时须提供加盖公章的承诺函，格式自理。</w:t>
      </w:r>
      <w:r>
        <w:rPr>
          <w:rFonts w:hint="eastAsia" w:ascii="宋体" w:hAnsi="宋体" w:cs="宋体"/>
          <w:color w:val="000000"/>
          <w:sz w:val="24"/>
          <w:highlight w:val="none"/>
        </w:rPr>
      </w:r>
      <w:r/>
    </w:p>
    <w:p>
      <w:pPr>
        <w:pStyle w:val="949"/>
        <w:numPr>
          <w:ilvl w:val="0"/>
          <w:numId w:val="0"/>
        </w:numPr>
        <w:spacing w:line="360" w:lineRule="auto"/>
        <w:rPr>
          <w:rFonts w:hint="eastAsia" w:ascii="宋体" w:hAnsi="宋体" w:cs="宋体"/>
          <w:b/>
          <w:i/>
          <w:iCs/>
          <w:color w:val="000000"/>
          <w:sz w:val="24"/>
          <w:highlight w:val="none"/>
          <w:u w:val="single"/>
        </w:rPr>
      </w:pPr>
      <w:r>
        <w:rPr>
          <w:rFonts w:hint="eastAsia" w:ascii="宋体" w:hAnsi="宋体" w:cs="宋体"/>
          <w:b/>
          <w:i/>
          <w:iCs/>
          <w:color w:val="000000"/>
          <w:sz w:val="24"/>
          <w:highlight w:val="none"/>
          <w:u w:val="single"/>
          <w:lang w:val="en-US" w:eastAsia="zh-CN"/>
        </w:rPr>
        <w:t xml:space="preserve">5.</w:t>
      </w:r>
      <w:r>
        <w:rPr>
          <w:rFonts w:hint="eastAsia" w:ascii="宋体" w:hAnsi="宋体" w:cs="宋体"/>
          <w:b/>
          <w:i/>
          <w:iCs/>
          <w:color w:val="000000"/>
          <w:sz w:val="24"/>
          <w:highlight w:val="none"/>
          <w:u w:val="single"/>
        </w:rPr>
        <w:t xml:space="preserve">岗位配备表</w:t>
      </w:r>
      <w:r>
        <w:rPr>
          <w:rFonts w:hint="eastAsia" w:ascii="宋体" w:hAnsi="宋体" w:cs="宋体"/>
          <w:b/>
          <w:i/>
          <w:iCs/>
          <w:color w:val="000000"/>
          <w:sz w:val="24"/>
          <w:highlight w:val="none"/>
          <w:u w:val="single"/>
          <w:lang w:eastAsia="zh-CN"/>
        </w:rPr>
        <w:t xml:space="preserve">（</w:t>
      </w:r>
      <w:r>
        <w:rPr>
          <w:rFonts w:hint="eastAsia" w:ascii="宋体" w:hAnsi="宋体" w:cs="宋体"/>
          <w:b/>
          <w:i/>
          <w:iCs/>
          <w:color w:val="000000"/>
          <w:sz w:val="24"/>
          <w:highlight w:val="none"/>
          <w:u w:val="single"/>
          <w:lang w:val="en-US" w:eastAsia="zh-CN"/>
        </w:rPr>
        <w:t xml:space="preserve">18人</w:t>
      </w:r>
      <w:r>
        <w:rPr>
          <w:rFonts w:hint="eastAsia" w:ascii="宋体" w:hAnsi="宋体" w:cs="宋体"/>
          <w:b/>
          <w:i/>
          <w:iCs/>
          <w:color w:val="000000"/>
          <w:sz w:val="24"/>
          <w:highlight w:val="none"/>
          <w:u w:val="single"/>
          <w:lang w:eastAsia="zh-CN"/>
        </w:rPr>
        <w:t xml:space="preserve">）</w:t>
      </w:r>
      <w:r>
        <w:rPr>
          <w:rFonts w:hint="eastAsia" w:ascii="宋体" w:hAnsi="宋体" w:cs="宋体"/>
          <w:b/>
          <w:i/>
          <w:iCs/>
          <w:color w:val="000000"/>
          <w:sz w:val="24"/>
          <w:highlight w:val="none"/>
          <w:u w:val="single"/>
        </w:rPr>
        <w:t xml:space="preserve">：</w:t>
      </w:r>
      <w:r>
        <w:rPr>
          <w:rFonts w:hint="eastAsia" w:ascii="宋体" w:hAnsi="宋体" w:cs="宋体"/>
          <w:b/>
          <w:i/>
          <w:iCs/>
          <w:color w:val="000000"/>
          <w:sz w:val="24"/>
          <w:highlight w:val="none"/>
          <w:u w:val="single"/>
        </w:rPr>
      </w:r>
      <w:r/>
    </w:p>
    <w:tbl>
      <w:tblPr>
        <w:tblW w:w="8278" w:type="dxa"/>
        <w:jc w:val="center"/>
        <w:tblInd w:w="-12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12"/>
        <w:gridCol w:w="1216"/>
        <w:gridCol w:w="1334"/>
        <w:gridCol w:w="4416"/>
      </w:tblGrid>
      <w:tr>
        <w:trPr>
          <w:trHeight w:val="624"/>
        </w:trPr>
        <w:tc>
          <w:tcPr>
            <w:tcW w:w="1312" w:type="dxa"/>
            <w:vAlign w:val="center"/>
            <w:textDirection w:val="lrTb"/>
            <w:noWrap w:val="false"/>
          </w:tcPr>
          <w:p>
            <w:pPr>
              <w:pStyle w:val="949"/>
              <w:jc w:val="center"/>
              <w:keepLines w:val="0"/>
              <w:keepNext w:val="0"/>
              <w:pageBreakBefore w:val="0"/>
              <w:spacing w:line="300" w:lineRule="exact"/>
              <w:widowControl/>
              <w:rPr>
                <w:rFonts w:ascii="宋体" w:hAnsi="宋体"/>
                <w:color w:val="000000"/>
                <w:sz w:val="21"/>
                <w:szCs w:val="21"/>
                <w:highlight w:val="none"/>
              </w:rPr>
            </w:pPr>
            <w:r>
              <w:rPr>
                <w:rFonts w:hint="eastAsia" w:ascii="宋体" w:hAnsi="宋体" w:cs="宋体"/>
                <w:b/>
                <w:color w:val="000000"/>
                <w:sz w:val="24"/>
                <w:szCs w:val="24"/>
                <w:highlight w:val="none"/>
              </w:rPr>
              <w:t xml:space="preserve">部门职能</w:t>
            </w:r>
            <w:r>
              <w:rPr>
                <w:rFonts w:ascii="宋体" w:hAnsi="宋体"/>
                <w:color w:val="000000"/>
                <w:sz w:val="21"/>
                <w:szCs w:val="21"/>
                <w:highlight w:val="none"/>
              </w:rPr>
            </w:r>
            <w:r/>
          </w:p>
        </w:tc>
        <w:tc>
          <w:tcPr>
            <w:tcW w:w="1216" w:type="dxa"/>
            <w:vAlign w:val="center"/>
            <w:textDirection w:val="lrTb"/>
            <w:noWrap w:val="false"/>
          </w:tcPr>
          <w:p>
            <w:pPr>
              <w:pStyle w:val="949"/>
              <w:jc w:val="center"/>
              <w:keepLines w:val="0"/>
              <w:keepNext w:val="0"/>
              <w:pageBreakBefore w:val="0"/>
              <w:spacing w:line="300" w:lineRule="exact"/>
              <w:widowControl/>
              <w:rPr>
                <w:rFonts w:ascii="宋体" w:hAnsi="宋体"/>
                <w:color w:val="000000"/>
                <w:sz w:val="21"/>
                <w:szCs w:val="21"/>
                <w:highlight w:val="none"/>
              </w:rPr>
            </w:pPr>
            <w:r>
              <w:rPr>
                <w:rFonts w:hint="eastAsia" w:ascii="宋体" w:hAnsi="宋体" w:cs="宋体"/>
                <w:b/>
                <w:color w:val="000000"/>
                <w:sz w:val="24"/>
                <w:szCs w:val="24"/>
                <w:highlight w:val="none"/>
              </w:rPr>
              <w:t xml:space="preserve">岗位</w:t>
            </w:r>
            <w:r>
              <w:rPr>
                <w:rFonts w:ascii="宋体" w:hAnsi="宋体"/>
                <w:color w:val="000000"/>
                <w:sz w:val="21"/>
                <w:szCs w:val="21"/>
                <w:highlight w:val="none"/>
              </w:rPr>
            </w:r>
            <w:r/>
          </w:p>
        </w:tc>
        <w:tc>
          <w:tcPr>
            <w:tcW w:w="1334" w:type="dxa"/>
            <w:vAlign w:val="center"/>
            <w:textDirection w:val="lrTb"/>
            <w:noWrap w:val="false"/>
          </w:tcPr>
          <w:p>
            <w:pPr>
              <w:pStyle w:val="949"/>
              <w:jc w:val="center"/>
              <w:keepLines w:val="0"/>
              <w:keepNext w:val="0"/>
              <w:pageBreakBefore w:val="0"/>
              <w:spacing w:line="300" w:lineRule="exact"/>
              <w:widowControl/>
              <w:rPr>
                <w:rFonts w:ascii="宋体" w:hAnsi="宋体"/>
                <w:color w:val="000000"/>
                <w:sz w:val="21"/>
                <w:szCs w:val="21"/>
                <w:highlight w:val="none"/>
              </w:rPr>
            </w:pPr>
            <w:r>
              <w:rPr>
                <w:rFonts w:hint="eastAsia" w:ascii="宋体" w:hAnsi="宋体" w:cs="宋体"/>
                <w:b/>
                <w:color w:val="000000"/>
                <w:sz w:val="24"/>
                <w:szCs w:val="24"/>
                <w:highlight w:val="none"/>
              </w:rPr>
              <w:t xml:space="preserve">岗位所需总人数</w:t>
            </w:r>
            <w:r>
              <w:rPr>
                <w:rFonts w:ascii="宋体" w:hAnsi="宋体"/>
                <w:color w:val="000000"/>
                <w:sz w:val="21"/>
                <w:szCs w:val="21"/>
                <w:highlight w:val="none"/>
              </w:rPr>
            </w:r>
            <w:r/>
          </w:p>
        </w:tc>
        <w:tc>
          <w:tcPr>
            <w:tcW w:w="4416" w:type="dxa"/>
            <w:vAlign w:val="center"/>
            <w:textDirection w:val="lrTb"/>
            <w:noWrap w:val="false"/>
          </w:tcPr>
          <w:p>
            <w:pPr>
              <w:pStyle w:val="949"/>
              <w:jc w:val="center"/>
              <w:keepLines w:val="0"/>
              <w:keepNext w:val="0"/>
              <w:pageBreakBefore w:val="0"/>
              <w:spacing w:line="300" w:lineRule="exact"/>
              <w:widowControl/>
              <w:rPr>
                <w:rFonts w:ascii="宋体" w:hAnsi="宋体"/>
                <w:color w:val="000000"/>
                <w:sz w:val="21"/>
                <w:szCs w:val="21"/>
                <w:highlight w:val="none"/>
              </w:rPr>
            </w:pPr>
            <w:r>
              <w:rPr>
                <w:rFonts w:hint="eastAsia" w:ascii="宋体" w:hAnsi="宋体" w:cs="宋体"/>
                <w:b/>
                <w:color w:val="000000"/>
                <w:sz w:val="24"/>
                <w:szCs w:val="24"/>
                <w:highlight w:val="none"/>
              </w:rPr>
              <w:t xml:space="preserve">备注（岗位所需服务时长或时段、需具备的上岗资格证、人员学历、工作经验等要求）</w:t>
            </w:r>
            <w:r>
              <w:rPr>
                <w:rFonts w:ascii="宋体" w:hAnsi="宋体"/>
                <w:color w:val="000000"/>
                <w:sz w:val="21"/>
                <w:szCs w:val="21"/>
                <w:highlight w:val="none"/>
              </w:rPr>
            </w:r>
            <w:r/>
          </w:p>
        </w:tc>
      </w:tr>
      <w:tr>
        <w:trPr>
          <w:trHeight w:val="624"/>
        </w:trPr>
        <w:tc>
          <w:tcPr>
            <w:tcW w:w="1312"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服务中心</w:t>
            </w:r>
            <w:r>
              <w:rPr>
                <w:rFonts w:hint="eastAsia" w:ascii="宋体" w:hAnsi="宋体" w:eastAsia="宋体" w:cs="Times New Roman"/>
                <w:color w:val="000000"/>
                <w:sz w:val="21"/>
                <w:szCs w:val="21"/>
                <w:highlight w:val="none"/>
              </w:rPr>
            </w:r>
            <w:r/>
          </w:p>
        </w:tc>
        <w:tc>
          <w:tcPr>
            <w:tcW w:w="1216"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项目经理</w:t>
            </w:r>
            <w:r>
              <w:rPr>
                <w:rFonts w:hint="eastAsia" w:ascii="宋体" w:hAnsi="宋体" w:eastAsia="宋体" w:cs="Times New Roman"/>
                <w:color w:val="000000"/>
                <w:sz w:val="21"/>
                <w:szCs w:val="21"/>
                <w:highlight w:val="none"/>
              </w:rPr>
            </w:r>
            <w:r/>
          </w:p>
        </w:tc>
        <w:tc>
          <w:tcPr>
            <w:tcW w:w="1334"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r>
            <w:r/>
          </w:p>
        </w:tc>
        <w:tc>
          <w:tcPr>
            <w:tcW w:w="4416" w:type="dxa"/>
            <w:vAlign w:val="center"/>
            <w:textDirection w:val="lrTb"/>
            <w:noWrap w:val="false"/>
          </w:tcPr>
          <w:p>
            <w:pPr>
              <w:pStyle w:val="949"/>
              <w:jc w:val="left"/>
              <w:keepLines w:val="0"/>
              <w:keepNext w:val="0"/>
              <w:pageBreakBefore w:val="0"/>
              <w:spacing w:line="300" w:lineRule="exact"/>
              <w:widowControl/>
              <w:rPr>
                <w:rFonts w:hint="eastAsia" w:ascii="宋体" w:hAnsi="宋体" w:cs="宋体"/>
                <w:b/>
                <w:color w:val="000000"/>
                <w:sz w:val="24"/>
                <w:szCs w:val="24"/>
                <w:highlight w:val="none"/>
              </w:rPr>
            </w:pPr>
            <w:r>
              <w:rPr>
                <w:rFonts w:hint="eastAsia" w:ascii="宋体" w:hAnsi="宋体" w:cs="Times New Roman"/>
                <w:color w:val="000000"/>
                <w:sz w:val="21"/>
                <w:szCs w:val="21"/>
                <w:highlight w:val="none"/>
              </w:rPr>
              <w:t xml:space="preserve">男女不限，</w:t>
            </w:r>
            <w:r>
              <w:rPr>
                <w:rFonts w:hint="eastAsia" w:ascii="宋体" w:hAnsi="宋体" w:cs="Times New Roman"/>
                <w:color w:val="000000"/>
                <w:sz w:val="21"/>
                <w:szCs w:val="21"/>
                <w:highlight w:val="none"/>
                <w:lang w:val="en-US" w:eastAsia="zh-CN"/>
              </w:rPr>
              <w:t xml:space="preserve">须</w:t>
            </w:r>
            <w:r>
              <w:rPr>
                <w:rFonts w:hint="eastAsia" w:ascii="宋体" w:hAnsi="宋体" w:cs="Times New Roman"/>
                <w:color w:val="000000"/>
                <w:sz w:val="21"/>
                <w:szCs w:val="21"/>
                <w:highlight w:val="none"/>
              </w:rPr>
              <w:t xml:space="preserve">具备丰富的项目管理经验，</w:t>
            </w:r>
            <w:r>
              <w:rPr>
                <w:rFonts w:hint="eastAsia" w:ascii="宋体" w:hAnsi="宋体"/>
                <w:color w:val="000000"/>
                <w:sz w:val="21"/>
                <w:szCs w:val="21"/>
                <w:highlight w:val="none"/>
              </w:rPr>
              <w:t xml:space="preserve">熟悉和掌握相关</w:t>
            </w:r>
            <w:r>
              <w:rPr>
                <w:rFonts w:hint="eastAsia" w:ascii="宋体" w:hAnsi="宋体"/>
                <w:color w:val="000000"/>
                <w:sz w:val="21"/>
                <w:szCs w:val="21"/>
                <w:highlight w:val="none"/>
                <w:lang w:val="en-US" w:eastAsia="zh-CN"/>
              </w:rPr>
              <w:t xml:space="preserve">应急</w:t>
            </w:r>
            <w:r>
              <w:rPr>
                <w:rFonts w:hint="eastAsia" w:ascii="宋体" w:hAnsi="宋体"/>
                <w:color w:val="000000"/>
                <w:sz w:val="21"/>
                <w:szCs w:val="21"/>
                <w:highlight w:val="none"/>
              </w:rPr>
              <w:t xml:space="preserve">知识，遇到紧急情况能</w:t>
            </w:r>
            <w:r>
              <w:rPr>
                <w:rFonts w:hint="eastAsia" w:ascii="宋体" w:hAnsi="宋体"/>
                <w:color w:val="000000"/>
                <w:sz w:val="21"/>
                <w:szCs w:val="21"/>
                <w:highlight w:val="none"/>
                <w:lang w:val="en-US" w:eastAsia="zh-CN"/>
              </w:rPr>
              <w:t xml:space="preserve">及时应急处理</w:t>
            </w:r>
            <w:r>
              <w:rPr>
                <w:rFonts w:hint="eastAsia" w:ascii="宋体" w:hAnsi="宋体"/>
                <w:color w:val="000000"/>
                <w:sz w:val="21"/>
                <w:szCs w:val="21"/>
                <w:highlight w:val="none"/>
              </w:rPr>
              <w:t xml:space="preserve">。</w:t>
            </w:r>
            <w:r>
              <w:rPr>
                <w:rFonts w:hint="eastAsia" w:ascii="宋体" w:hAnsi="宋体" w:cs="宋体"/>
                <w:b/>
                <w:color w:val="000000"/>
                <w:sz w:val="24"/>
                <w:szCs w:val="24"/>
                <w:highlight w:val="none"/>
              </w:rPr>
            </w:r>
            <w:r/>
          </w:p>
        </w:tc>
      </w:tr>
      <w:tr>
        <w:trPr>
          <w:trHeight w:val="624"/>
        </w:trPr>
        <w:tc>
          <w:tcPr>
            <w:tcW w:w="1312"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保洁服务</w:t>
            </w:r>
            <w:r>
              <w:rPr>
                <w:rFonts w:hint="eastAsia" w:ascii="宋体" w:hAnsi="宋体" w:eastAsia="宋体" w:cs="Times New Roman"/>
                <w:color w:val="000000"/>
                <w:sz w:val="21"/>
                <w:szCs w:val="21"/>
                <w:highlight w:val="none"/>
              </w:rPr>
            </w:r>
            <w:r/>
          </w:p>
        </w:tc>
        <w:tc>
          <w:tcPr>
            <w:tcW w:w="1216"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保洁员</w:t>
            </w:r>
            <w:r>
              <w:rPr>
                <w:rFonts w:hint="eastAsia" w:ascii="宋体" w:hAnsi="宋体" w:eastAsia="宋体" w:cs="Times New Roman"/>
                <w:color w:val="000000"/>
                <w:sz w:val="21"/>
                <w:szCs w:val="21"/>
                <w:highlight w:val="none"/>
              </w:rPr>
            </w:r>
            <w:r/>
          </w:p>
        </w:tc>
        <w:tc>
          <w:tcPr>
            <w:tcW w:w="1334"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r>
            <w:r/>
          </w:p>
        </w:tc>
        <w:tc>
          <w:tcPr>
            <w:tcW w:w="4416" w:type="dxa"/>
            <w:vAlign w:val="center"/>
            <w:textDirection w:val="lrTb"/>
            <w:noWrap w:val="false"/>
          </w:tcPr>
          <w:p>
            <w:pPr>
              <w:pStyle w:val="949"/>
              <w:jc w:val="left"/>
              <w:keepLines w:val="0"/>
              <w:keepNext w:val="0"/>
              <w:pageBreakBefore w:val="0"/>
              <w:spacing w:line="300" w:lineRule="exact"/>
              <w:widowControl/>
              <w:rPr>
                <w:rFonts w:hint="eastAsia" w:ascii="宋体" w:hAnsi="宋体" w:cs="宋体"/>
                <w:b/>
                <w:color w:val="000000"/>
                <w:sz w:val="24"/>
                <w:szCs w:val="24"/>
                <w:highlight w:val="none"/>
              </w:rPr>
            </w:pPr>
            <w:r>
              <w:rPr>
                <w:rFonts w:hint="eastAsia" w:ascii="宋体" w:hAnsi="宋体" w:cs="Times New Roman"/>
                <w:color w:val="000000"/>
                <w:sz w:val="21"/>
                <w:szCs w:val="21"/>
                <w:highlight w:val="none"/>
              </w:rPr>
              <w:t xml:space="preserve">男女不限，身体健康，工作时间服从</w:t>
            </w:r>
            <w:r>
              <w:rPr>
                <w:rFonts w:hint="eastAsia" w:ascii="宋体" w:hAnsi="宋体" w:cs="Times New Roman"/>
                <w:color w:val="000000"/>
                <w:sz w:val="21"/>
                <w:szCs w:val="21"/>
                <w:highlight w:val="none"/>
                <w:lang w:val="en-US" w:eastAsia="zh-CN"/>
              </w:rPr>
              <w:t xml:space="preserve">中心</w:t>
            </w:r>
            <w:r>
              <w:rPr>
                <w:rFonts w:hint="eastAsia" w:ascii="宋体" w:hAnsi="宋体" w:cs="Times New Roman"/>
                <w:color w:val="000000"/>
                <w:sz w:val="21"/>
                <w:szCs w:val="21"/>
                <w:highlight w:val="none"/>
              </w:rPr>
              <w:t xml:space="preserve">安排工作，工作任务也可由各科室进行安排。</w:t>
            </w:r>
            <w:r>
              <w:rPr>
                <w:rFonts w:hint="eastAsia" w:ascii="宋体" w:hAnsi="宋体" w:cs="Times New Roman"/>
                <w:b/>
                <w:bCs/>
                <w:color w:val="000000"/>
                <w:sz w:val="21"/>
                <w:szCs w:val="21"/>
                <w:highlight w:val="none"/>
                <w:lang w:val="en-US" w:eastAsia="zh-CN"/>
              </w:rPr>
              <w:t xml:space="preserve">持有有效期内的预防性健康检查合格证明。</w:t>
            </w:r>
            <w:r>
              <w:rPr>
                <w:rFonts w:hint="eastAsia" w:ascii="宋体" w:hAnsi="宋体" w:cs="宋体"/>
                <w:b/>
                <w:color w:val="000000"/>
                <w:sz w:val="24"/>
                <w:szCs w:val="24"/>
                <w:highlight w:val="none"/>
              </w:rPr>
            </w:r>
            <w:r/>
          </w:p>
        </w:tc>
      </w:tr>
      <w:tr>
        <w:trPr>
          <w:trHeight w:val="624"/>
        </w:trPr>
        <w:tc>
          <w:tcPr>
            <w:tcW w:w="1312"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公共设施设备维护服务</w:t>
            </w:r>
            <w:r>
              <w:rPr>
                <w:rFonts w:hint="eastAsia" w:ascii="宋体" w:hAnsi="宋体" w:eastAsia="宋体" w:cs="Times New Roman"/>
                <w:color w:val="000000"/>
                <w:sz w:val="21"/>
                <w:szCs w:val="21"/>
                <w:highlight w:val="none"/>
              </w:rPr>
            </w:r>
            <w:r/>
          </w:p>
        </w:tc>
        <w:tc>
          <w:tcPr>
            <w:tcW w:w="1216"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消防</w:t>
            </w:r>
            <w:r>
              <w:rPr>
                <w:rFonts w:hint="eastAsia" w:ascii="宋体" w:hAnsi="宋体" w:eastAsia="宋体" w:cs="Times New Roman"/>
                <w:color w:val="000000"/>
                <w:sz w:val="21"/>
                <w:szCs w:val="21"/>
                <w:highlight w:val="none"/>
              </w:rPr>
              <w:t xml:space="preserve">监控室人员</w:t>
            </w:r>
            <w:r>
              <w:rPr>
                <w:rFonts w:hint="eastAsia" w:ascii="宋体" w:hAnsi="宋体" w:eastAsia="宋体" w:cs="Times New Roman"/>
                <w:color w:val="000000"/>
                <w:sz w:val="21"/>
                <w:szCs w:val="21"/>
                <w:highlight w:val="none"/>
              </w:rPr>
            </w:r>
            <w:r/>
          </w:p>
        </w:tc>
        <w:tc>
          <w:tcPr>
            <w:tcW w:w="1334"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r>
            <w:r/>
          </w:p>
        </w:tc>
        <w:tc>
          <w:tcPr>
            <w:tcW w:w="4416" w:type="dxa"/>
            <w:vAlign w:val="center"/>
            <w:textDirection w:val="lrTb"/>
            <w:noWrap w:val="false"/>
          </w:tcPr>
          <w:p>
            <w:pPr>
              <w:pStyle w:val="949"/>
              <w:jc w:val="left"/>
              <w:keepLines w:val="0"/>
              <w:keepNext w:val="0"/>
              <w:pageBreakBefore w:val="0"/>
              <w:spacing w:line="300" w:lineRule="exact"/>
              <w:widowControl/>
              <w:rPr>
                <w:rFonts w:hint="eastAsia" w:ascii="宋体" w:hAnsi="宋体" w:cs="宋体"/>
                <w:b/>
                <w:color w:val="000000"/>
                <w:sz w:val="24"/>
                <w:szCs w:val="24"/>
                <w:highlight w:val="none"/>
              </w:rPr>
            </w:pPr>
            <w:r>
              <w:rPr>
                <w:rFonts w:hint="eastAsia" w:ascii="宋体" w:hAnsi="宋体" w:cs="Times New Roman"/>
                <w:color w:val="000000"/>
                <w:sz w:val="21"/>
                <w:szCs w:val="21"/>
                <w:highlight w:val="none"/>
              </w:rPr>
              <w:t xml:space="preserve">男性，</w:t>
            </w:r>
            <w:r>
              <w:rPr>
                <w:rFonts w:hint="eastAsia" w:ascii="宋体" w:hAnsi="宋体" w:cs="Times New Roman"/>
                <w:b/>
                <w:bCs/>
                <w:color w:val="000000"/>
                <w:sz w:val="21"/>
                <w:szCs w:val="21"/>
                <w:highlight w:val="none"/>
              </w:rPr>
              <w:t xml:space="preserve">持有建（构）筑物消防员证书或消防设施操作员证</w:t>
            </w:r>
            <w:r>
              <w:rPr>
                <w:rFonts w:hint="eastAsia" w:ascii="宋体" w:hAnsi="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消防、监控设备24小时正常运行，消防监控室实行专人24小时值班制度。</w:t>
            </w:r>
            <w:r>
              <w:rPr>
                <w:rFonts w:hint="eastAsia" w:ascii="宋体" w:hAnsi="宋体" w:cs="宋体"/>
                <w:b/>
                <w:color w:val="000000"/>
                <w:sz w:val="24"/>
                <w:szCs w:val="24"/>
                <w:highlight w:val="none"/>
              </w:rPr>
            </w:r>
            <w:r/>
          </w:p>
        </w:tc>
      </w:tr>
      <w:tr>
        <w:trPr>
          <w:trHeight w:val="624"/>
        </w:trPr>
        <w:tc>
          <w:tcPr>
            <w:tcW w:w="1312"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公共设施设备维护服务</w:t>
            </w:r>
            <w:r>
              <w:rPr>
                <w:rFonts w:hint="eastAsia" w:ascii="宋体" w:hAnsi="宋体" w:eastAsia="宋体" w:cs="Times New Roman"/>
                <w:color w:val="000000"/>
                <w:sz w:val="21"/>
                <w:szCs w:val="21"/>
                <w:highlight w:val="none"/>
              </w:rPr>
            </w:r>
            <w:r/>
          </w:p>
        </w:tc>
        <w:tc>
          <w:tcPr>
            <w:tcW w:w="1216"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电工服务人员</w:t>
            </w:r>
            <w:r>
              <w:rPr>
                <w:rFonts w:hint="eastAsia" w:ascii="宋体" w:hAnsi="宋体" w:eastAsia="宋体" w:cs="Times New Roman"/>
                <w:color w:val="000000"/>
                <w:sz w:val="21"/>
                <w:szCs w:val="21"/>
                <w:highlight w:val="none"/>
              </w:rPr>
            </w:r>
            <w:r/>
          </w:p>
        </w:tc>
        <w:tc>
          <w:tcPr>
            <w:tcW w:w="1334"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r>
            <w:r/>
          </w:p>
        </w:tc>
        <w:tc>
          <w:tcPr>
            <w:tcW w:w="4416" w:type="dxa"/>
            <w:vAlign w:val="center"/>
            <w:textDirection w:val="lrTb"/>
            <w:noWrap w:val="false"/>
          </w:tcPr>
          <w:p>
            <w:pPr>
              <w:pStyle w:val="949"/>
              <w:jc w:val="left"/>
              <w:keepLines w:val="0"/>
              <w:keepNext w:val="0"/>
              <w:pageBreakBefore w:val="0"/>
              <w:spacing w:line="300" w:lineRule="exact"/>
              <w:widowControl/>
              <w:rPr>
                <w:rFonts w:hint="eastAsia" w:ascii="宋体" w:hAnsi="宋体" w:cs="宋体"/>
                <w:b/>
                <w:color w:val="000000"/>
                <w:sz w:val="24"/>
                <w:szCs w:val="24"/>
                <w:highlight w:val="none"/>
              </w:rPr>
            </w:pPr>
            <w:r>
              <w:rPr>
                <w:rFonts w:hint="eastAsia" w:ascii="宋体" w:hAnsi="宋体" w:cs="Times New Roman"/>
                <w:b/>
                <w:bCs/>
                <w:color w:val="000000"/>
                <w:sz w:val="21"/>
                <w:szCs w:val="21"/>
                <w:highlight w:val="none"/>
              </w:rPr>
              <w:t xml:space="preserve">须持</w:t>
            </w:r>
            <w:r>
              <w:rPr>
                <w:rFonts w:hint="eastAsia" w:ascii="宋体" w:hAnsi="宋体" w:cs="Times New Roman"/>
                <w:b/>
                <w:bCs/>
                <w:color w:val="000000"/>
                <w:sz w:val="21"/>
                <w:szCs w:val="21"/>
                <w:highlight w:val="none"/>
                <w:lang w:val="en-US" w:eastAsia="zh-CN"/>
              </w:rPr>
              <w:t xml:space="preserve">有高压操作的</w:t>
            </w:r>
            <w:r>
              <w:rPr>
                <w:rFonts w:hint="eastAsia" w:ascii="宋体" w:hAnsi="宋体" w:cs="Times New Roman"/>
                <w:b/>
                <w:bCs/>
                <w:color w:val="000000"/>
                <w:sz w:val="21"/>
                <w:szCs w:val="21"/>
                <w:highlight w:val="none"/>
              </w:rPr>
              <w:t xml:space="preserve">有效电工证</w:t>
            </w:r>
            <w:r>
              <w:rPr>
                <w:rFonts w:hint="eastAsia" w:ascii="宋体" w:hAnsi="宋体" w:cs="Times New Roman"/>
                <w:color w:val="000000"/>
                <w:sz w:val="21"/>
                <w:szCs w:val="21"/>
                <w:highlight w:val="none"/>
              </w:rPr>
              <w:t xml:space="preserve">，能够在接到通知后30分钟内响应到位，无需日常坐班。</w:t>
            </w:r>
            <w:r>
              <w:rPr>
                <w:rFonts w:hint="eastAsia" w:ascii="宋体" w:hAnsi="宋体" w:cs="宋体"/>
                <w:b/>
                <w:color w:val="000000"/>
                <w:sz w:val="24"/>
                <w:szCs w:val="24"/>
                <w:highlight w:val="none"/>
              </w:rPr>
            </w:r>
            <w:r/>
          </w:p>
        </w:tc>
      </w:tr>
      <w:tr>
        <w:trPr>
          <w:trHeight w:val="624"/>
        </w:trPr>
        <w:tc>
          <w:tcPr>
            <w:tcW w:w="1312"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保安服务</w:t>
            </w:r>
            <w:r>
              <w:rPr>
                <w:rFonts w:hint="eastAsia" w:ascii="宋体" w:hAnsi="宋体" w:eastAsia="宋体" w:cs="Times New Roman"/>
                <w:color w:val="000000"/>
                <w:sz w:val="21"/>
                <w:szCs w:val="21"/>
                <w:highlight w:val="none"/>
              </w:rPr>
            </w:r>
            <w:r/>
          </w:p>
        </w:tc>
        <w:tc>
          <w:tcPr>
            <w:tcW w:w="1216"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门岗</w:t>
            </w:r>
            <w:r>
              <w:rPr>
                <w:rFonts w:hint="eastAsia" w:ascii="宋体" w:hAnsi="宋体" w:eastAsia="宋体" w:cs="Times New Roman"/>
                <w:color w:val="000000"/>
                <w:sz w:val="21"/>
                <w:szCs w:val="21"/>
                <w:highlight w:val="none"/>
                <w:lang w:val="en-US" w:eastAsia="zh-CN"/>
              </w:rPr>
            </w:r>
            <w:r/>
          </w:p>
        </w:tc>
        <w:tc>
          <w:tcPr>
            <w:tcW w:w="1334" w:type="dxa"/>
            <w:vAlign w:val="center"/>
            <w:textDirection w:val="lrTb"/>
            <w:noWrap w:val="false"/>
          </w:tcPr>
          <w:p>
            <w:pPr>
              <w:pStyle w:val="949"/>
              <w:jc w:val="center"/>
              <w:keepLines w:val="0"/>
              <w:keepNext w:val="0"/>
              <w:pageBreakBefore w:val="0"/>
              <w:spacing w:line="300" w:lineRule="exact"/>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r>
            <w:r/>
          </w:p>
        </w:tc>
        <w:tc>
          <w:tcPr>
            <w:tcW w:w="4416" w:type="dxa"/>
            <w:vAlign w:val="center"/>
            <w:textDirection w:val="lrTb"/>
            <w:noWrap w:val="false"/>
          </w:tcPr>
          <w:p>
            <w:pPr>
              <w:pStyle w:val="949"/>
              <w:jc w:val="left"/>
              <w:keepLines w:val="0"/>
              <w:keepNext w:val="0"/>
              <w:pageBreakBefore w:val="0"/>
              <w:spacing w:line="300" w:lineRule="exact"/>
              <w:widowControl/>
              <w:rPr>
                <w:rFonts w:hint="eastAsia" w:ascii="宋体" w:hAnsi="宋体" w:cs="宋体"/>
                <w:b/>
                <w:color w:val="000000"/>
                <w:sz w:val="24"/>
                <w:szCs w:val="24"/>
                <w:highlight w:val="none"/>
              </w:rPr>
            </w:pPr>
            <w:r>
              <w:rPr>
                <w:rFonts w:hint="eastAsia" w:ascii="宋体" w:hAnsi="宋体" w:cs="Times New Roman"/>
                <w:color w:val="000000"/>
                <w:sz w:val="21"/>
                <w:szCs w:val="21"/>
                <w:highlight w:val="none"/>
              </w:rPr>
              <w:t xml:space="preserve">无不良记录，形体无明显缺陷，身体健康，外貌端正，经过专门保安培训并</w:t>
            </w:r>
            <w:r>
              <w:rPr>
                <w:rFonts w:hint="eastAsia" w:ascii="宋体" w:hAnsi="宋体" w:cs="Times New Roman"/>
                <w:b/>
                <w:color w:val="000000"/>
                <w:sz w:val="21"/>
                <w:szCs w:val="21"/>
                <w:highlight w:val="none"/>
              </w:rPr>
              <w:t xml:space="preserve">须持有公安部门颁发的保安员证上岗。</w:t>
            </w:r>
            <w:r>
              <w:rPr>
                <w:rFonts w:hint="eastAsia" w:ascii="宋体" w:hAnsi="宋体" w:cs="宋体"/>
                <w:b/>
                <w:color w:val="000000"/>
                <w:sz w:val="24"/>
                <w:szCs w:val="24"/>
                <w:highlight w:val="none"/>
              </w:rPr>
            </w:r>
            <w:r/>
          </w:p>
        </w:tc>
      </w:tr>
      <w:tr>
        <w:trPr>
          <w:trHeight w:val="624"/>
        </w:trPr>
        <w:tc>
          <w:tcPr>
            <w:gridSpan w:val="4"/>
            <w:tcW w:w="8278" w:type="dxa"/>
            <w:vAlign w:val="center"/>
            <w:textDirection w:val="lrTb"/>
            <w:noWrap w:val="false"/>
          </w:tcPr>
          <w:p>
            <w:pPr>
              <w:pStyle w:val="949"/>
              <w:jc w:val="left"/>
              <w:keepLines w:val="0"/>
              <w:keepNext w:val="0"/>
              <w:pageBreakBefore w:val="0"/>
              <w:spacing w:line="300" w:lineRule="exact"/>
              <w:widowControl/>
              <w:rPr>
                <w:rFonts w:hint="eastAsia" w:ascii="宋体" w:hAnsi="宋体" w:eastAsia="宋体" w:cs="Times New Roman"/>
                <w:color w:val="000000"/>
                <w:sz w:val="21"/>
                <w:szCs w:val="21"/>
                <w:highlight w:val="none"/>
                <w:lang w:val="en-US" w:eastAsia="zh-CN"/>
              </w:rPr>
            </w:pPr>
            <w:r>
              <w:rPr>
                <w:rFonts w:hint="eastAsia" w:ascii="宋体" w:hAnsi="宋体" w:eastAsia="宋体" w:cs="宋体"/>
                <w:b/>
                <w:bCs/>
                <w:i/>
                <w:iCs/>
                <w:color w:val="000000"/>
                <w:sz w:val="21"/>
                <w:szCs w:val="21"/>
                <w:highlight w:val="none"/>
                <w:u w:val="single"/>
                <w:lang w:val="en-US" w:eastAsia="zh-CN"/>
              </w:rPr>
              <w:t xml:space="preserve">注：</w:t>
            </w:r>
            <w:r>
              <w:rPr>
                <w:rFonts w:hint="eastAsia" w:ascii="宋体" w:hAnsi="宋体" w:eastAsia="宋体" w:cs="宋体"/>
                <w:b/>
                <w:bCs/>
                <w:i/>
                <w:iCs/>
                <w:color w:val="000000"/>
                <w:highlight w:val="none"/>
                <w:u w:val="single"/>
              </w:rPr>
              <w:t xml:space="preserve">投标时须提供</w:t>
            </w:r>
            <w:r>
              <w:rPr>
                <w:rFonts w:hint="eastAsia" w:ascii="宋体" w:hAnsi="宋体" w:eastAsia="宋体" w:cs="宋体"/>
                <w:b/>
                <w:bCs/>
                <w:i/>
                <w:iCs/>
                <w:color w:val="000000"/>
                <w:highlight w:val="none"/>
                <w:u w:val="single"/>
                <w:lang w:val="en-US" w:eastAsia="zh-CN"/>
              </w:rPr>
              <w:t xml:space="preserve">有效的拟派</w:t>
            </w:r>
            <w:r>
              <w:rPr>
                <w:rFonts w:hint="eastAsia" w:ascii="宋体" w:hAnsi="宋体" w:eastAsia="宋体" w:cs="宋体"/>
                <w:b/>
                <w:bCs/>
                <w:i/>
                <w:iCs/>
                <w:color w:val="000000"/>
                <w:sz w:val="21"/>
                <w:szCs w:val="21"/>
                <w:highlight w:val="none"/>
                <w:u w:val="single"/>
              </w:rPr>
              <w:t xml:space="preserve">保洁员</w:t>
            </w:r>
            <w:r>
              <w:rPr>
                <w:rFonts w:hint="eastAsia" w:ascii="宋体" w:hAnsi="宋体" w:eastAsia="宋体" w:cs="宋体"/>
                <w:b/>
                <w:bCs/>
                <w:i/>
                <w:iCs/>
                <w:color w:val="000000"/>
                <w:sz w:val="21"/>
                <w:szCs w:val="21"/>
                <w:highlight w:val="none"/>
                <w:u w:val="single"/>
                <w:lang w:val="en-US" w:eastAsia="zh-CN"/>
              </w:rPr>
              <w:t xml:space="preserve">预防性健康检查合格证明</w:t>
            </w:r>
            <w:r>
              <w:rPr>
                <w:rFonts w:hint="eastAsia" w:ascii="宋体" w:hAnsi="宋体" w:eastAsia="宋体" w:cs="宋体"/>
                <w:b/>
                <w:bCs/>
                <w:i/>
                <w:iCs/>
                <w:color w:val="000000"/>
                <w:highlight w:val="none"/>
                <w:u w:val="single"/>
              </w:rPr>
              <w:t xml:space="preserve">、</w:t>
            </w:r>
            <w:r>
              <w:rPr>
                <w:rFonts w:hint="eastAsia" w:ascii="宋体" w:hAnsi="宋体" w:eastAsia="宋体" w:cs="宋体"/>
                <w:b/>
                <w:bCs/>
                <w:i/>
                <w:iCs/>
                <w:color w:val="000000"/>
                <w:sz w:val="21"/>
                <w:szCs w:val="21"/>
                <w:highlight w:val="none"/>
                <w:u w:val="single"/>
                <w:lang w:val="en-US" w:eastAsia="zh-CN"/>
              </w:rPr>
              <w:t xml:space="preserve">消防</w:t>
            </w:r>
            <w:r>
              <w:rPr>
                <w:rFonts w:hint="eastAsia" w:ascii="宋体" w:hAnsi="宋体" w:eastAsia="宋体" w:cs="宋体"/>
                <w:b/>
                <w:bCs/>
                <w:i/>
                <w:iCs/>
                <w:color w:val="000000"/>
                <w:sz w:val="21"/>
                <w:szCs w:val="21"/>
                <w:highlight w:val="none"/>
                <w:u w:val="single"/>
              </w:rPr>
              <w:t xml:space="preserve">监控室人员建（构）筑物消防员证书或消防设施操作员证</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电工服务人员</w:t>
            </w:r>
            <w:r>
              <w:rPr>
                <w:rFonts w:hint="eastAsia" w:ascii="宋体" w:hAnsi="宋体" w:eastAsia="宋体" w:cs="宋体"/>
                <w:b/>
                <w:bCs/>
                <w:i/>
                <w:iCs/>
                <w:color w:val="000000"/>
                <w:highlight w:val="none"/>
                <w:u w:val="single"/>
              </w:rPr>
              <w:t xml:space="preserve">高压电工操作证</w:t>
            </w:r>
            <w:r>
              <w:rPr>
                <w:rFonts w:hint="eastAsia" w:ascii="宋体" w:hAnsi="宋体" w:eastAsia="宋体" w:cs="宋体"/>
                <w:b/>
                <w:bCs/>
                <w:i/>
                <w:iCs/>
                <w:color w:val="000000"/>
                <w:highlight w:val="none"/>
                <w:u w:val="single"/>
                <w:lang w:eastAsia="zh-CN"/>
              </w:rPr>
              <w:t xml:space="preserve">、门岗</w:t>
            </w:r>
            <w:r>
              <w:rPr>
                <w:rFonts w:hint="eastAsia" w:ascii="宋体" w:hAnsi="宋体" w:eastAsia="宋体" w:cs="宋体"/>
                <w:b/>
                <w:bCs/>
                <w:i/>
                <w:iCs/>
                <w:color w:val="000000"/>
                <w:highlight w:val="none"/>
                <w:u w:val="single"/>
                <w:lang w:val="en-US" w:eastAsia="zh-CN"/>
              </w:rPr>
              <w:t xml:space="preserve">人员由公安部门颁发的保安员证</w:t>
            </w:r>
            <w:r>
              <w:rPr>
                <w:rFonts w:hint="eastAsia" w:ascii="宋体" w:hAnsi="宋体" w:eastAsia="宋体" w:cs="宋体"/>
                <w:b/>
                <w:bCs/>
                <w:i/>
                <w:iCs/>
                <w:color w:val="000000"/>
                <w:highlight w:val="none"/>
                <w:u w:val="single"/>
              </w:rPr>
              <w:t xml:space="preserve">扫描件</w:t>
            </w:r>
            <w:r>
              <w:rPr>
                <w:rFonts w:hint="eastAsia" w:ascii="宋体" w:hAnsi="宋体" w:eastAsia="宋体" w:cs="宋体"/>
                <w:b/>
                <w:bCs/>
                <w:i/>
                <w:iCs/>
                <w:color w:val="000000"/>
                <w:highlight w:val="none"/>
                <w:u w:val="single"/>
                <w:lang w:val="en-US" w:eastAsia="zh-CN"/>
              </w:rPr>
              <w:t xml:space="preserve">及上述人员的身份证、</w:t>
            </w:r>
            <w:r>
              <w:rPr>
                <w:rFonts w:hint="eastAsia" w:ascii="宋体" w:hAnsi="宋体" w:eastAsia="宋体" w:cs="宋体"/>
                <w:b/>
                <w:bCs/>
                <w:i/>
                <w:iCs/>
                <w:color w:val="000000"/>
                <w:highlight w:val="none"/>
                <w:u w:val="single"/>
              </w:rPr>
              <w:t xml:space="preserve">开标前一年内任意一个月投标供应商为其缴纳的社保证明材料（新成立企业距投标截止日不足30日的，可不提供社保证明材料，以新办企业营业执照发放日期为准），否则做无效投标处理</w:t>
            </w:r>
            <w:r>
              <w:rPr>
                <w:rFonts w:hint="eastAsia" w:ascii="宋体" w:hAnsi="宋体" w:eastAsia="宋体" w:cs="宋体"/>
                <w:b/>
                <w:bCs/>
                <w:i/>
                <w:iCs/>
                <w:color w:val="000000"/>
                <w:highlight w:val="none"/>
                <w:u w:val="single"/>
                <w:lang w:eastAsia="zh-CN"/>
              </w:rPr>
              <w:t xml:space="preserve">。</w:t>
            </w:r>
            <w:r>
              <w:rPr>
                <w:rFonts w:hint="eastAsia" w:ascii="宋体" w:hAnsi="宋体" w:eastAsia="宋体" w:cs="Times New Roman"/>
                <w:color w:val="000000"/>
                <w:sz w:val="21"/>
                <w:szCs w:val="21"/>
                <w:highlight w:val="none"/>
                <w:lang w:val="en-US" w:eastAsia="zh-CN"/>
              </w:rPr>
            </w:r>
            <w:r/>
          </w:p>
        </w:tc>
      </w:tr>
    </w:tbl>
    <w:p>
      <w:pPr>
        <w:pStyle w:val="949"/>
        <w:ind w:firstLine="480"/>
        <w:keepLines w:val="0"/>
        <w:keepNext w:val="0"/>
        <w:pageBreakBefore w:val="0"/>
        <w:spacing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949"/>
        <w:ind w:firstLine="480"/>
        <w:keepLines w:val="0"/>
        <w:keepNext w:val="0"/>
        <w:pageBreakBefore w:val="0"/>
        <w:spacing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备注：（1）配足人力提供病区及急诊科等相关科室的物业服务。人员名单及相关台账资料报总务科室及时备案，如有人员变动，请于1个月内补齐，否则从下一个月起扣除相关人员定额费用。每区每组要有相应台账资料，按规范操作，每季整理提交给保洁管理科室留存。</w:t>
      </w:r>
      <w:r>
        <w:rPr>
          <w:rFonts w:hint="eastAsia" w:ascii="宋体" w:hAnsi="宋体" w:cs="宋体"/>
          <w:color w:val="000000"/>
          <w:sz w:val="24"/>
          <w:highlight w:val="none"/>
        </w:rPr>
      </w:r>
      <w:r/>
    </w:p>
    <w:p>
      <w:pPr>
        <w:pStyle w:val="949"/>
        <w:ind w:firstLine="420"/>
        <w:jc w:val="left"/>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w:t>
      </w:r>
      <w:r>
        <w:rPr>
          <w:rFonts w:hint="eastAsia" w:ascii="宋体"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w:t>
      </w:r>
      <w:r>
        <w:rPr>
          <w:rFonts w:hint="eastAsia" w:ascii="宋体" w:hAnsi="宋体" w:cs="宋体"/>
          <w:bCs/>
          <w:color w:val="000000"/>
          <w:sz w:val="24"/>
          <w:szCs w:val="24"/>
          <w:highlight w:val="none"/>
        </w:rPr>
        <w:t xml:space="preserve">以上物业管理服务人数为最低配置，采购人在实际运行过程可根据需求调整人员岗位，但总人数不得低于物业管理服务最低人员配置。</w:t>
      </w:r>
      <w:r>
        <w:rPr>
          <w:rFonts w:hint="eastAsia" w:ascii="宋体" w:hAnsi="宋体" w:cs="宋体"/>
          <w:bCs/>
          <w:color w:val="000000"/>
          <w:sz w:val="24"/>
          <w:szCs w:val="24"/>
          <w:highlight w:val="none"/>
        </w:rPr>
      </w:r>
      <w:r/>
    </w:p>
    <w:p>
      <w:pPr>
        <w:pStyle w:val="949"/>
        <w:ind w:firstLine="422"/>
        <w:jc w:val="left"/>
        <w:spacing w:line="42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宋体" w:hAnsi="宋体" w:cs="宋体"/>
          <w:b/>
          <w:bCs/>
          <w:i/>
          <w:iCs/>
          <w:color w:val="000000"/>
          <w:sz w:val="24"/>
          <w:szCs w:val="24"/>
          <w:highlight w:val="none"/>
          <w:u w:val="single"/>
          <w:lang w:val="en-US" w:eastAsia="zh-CN"/>
        </w:rPr>
        <w:t xml:space="preserve">本项目服务人数及服务</w:t>
      </w:r>
      <w:r>
        <w:rPr>
          <w:rFonts w:hint="eastAsia" w:ascii="宋体" w:hAnsi="宋体" w:cs="宋体"/>
          <w:b/>
          <w:bCs/>
          <w:i/>
          <w:iCs/>
          <w:color w:val="000000"/>
          <w:sz w:val="24"/>
          <w:szCs w:val="24"/>
          <w:highlight w:val="none"/>
          <w:u w:val="single"/>
        </w:rPr>
        <w:t xml:space="preserve">岗位要求为本项目</w:t>
      </w:r>
      <w:r>
        <w:rPr>
          <w:rFonts w:hint="eastAsia" w:ascii="宋体" w:hAnsi="宋体" w:cs="宋体"/>
          <w:b/>
          <w:bCs/>
          <w:i/>
          <w:iCs/>
          <w:color w:val="000000"/>
          <w:sz w:val="24"/>
          <w:szCs w:val="24"/>
          <w:highlight w:val="none"/>
          <w:u w:val="single"/>
          <w:lang w:val="en-US" w:eastAsia="zh-CN"/>
        </w:rPr>
        <w:t xml:space="preserve">必须满足的要求</w:t>
      </w:r>
      <w:r>
        <w:rPr>
          <w:rFonts w:hint="eastAsia" w:ascii="宋体" w:hAnsi="宋体" w:cs="宋体"/>
          <w:b/>
          <w:bCs/>
          <w:i/>
          <w:iCs/>
          <w:color w:val="000000"/>
          <w:sz w:val="24"/>
          <w:szCs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投标时提供承诺函，</w:t>
      </w:r>
      <w:r>
        <w:rPr>
          <w:rFonts w:hint="eastAsia" w:ascii="宋体" w:hAnsi="宋体" w:cs="宋体"/>
          <w:b/>
          <w:bCs/>
          <w:i/>
          <w:iCs/>
          <w:color w:val="000000"/>
          <w:sz w:val="24"/>
          <w:szCs w:val="24"/>
          <w:highlight w:val="none"/>
          <w:u w:val="single"/>
        </w:rPr>
        <w:t xml:space="preserve">投标人拟配备人员均不得低于以上标准，否则做无效投标处理</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）供应商应当按国家相关法律法规，合理确定服务人员工资标准、工作时间等。供应商应当自行为服务人员办理必需的保险，有关人员伤亡及第三者责任险均应当考虑在报价因素中。</w:t>
      </w:r>
      <w:r>
        <w:rPr>
          <w:rFonts w:hint="eastAsia" w:ascii="宋体" w:hAnsi="宋体" w:eastAsia="宋体" w:cs="宋体"/>
          <w:color w:val="000000"/>
          <w:sz w:val="24"/>
          <w:highlight w:val="none"/>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TW"/>
        </w:rPr>
        <w:t xml:space="preserve">）供应商在进场服务前提供拟派本项目所有人员名单、劳动合同、履历表、证书等相关证明材料，经采购人审核通过后方可上岗。录用人员须严格审查，保证录用人员没有刑事犯罪记录，身体健康。录用人员须严格审查，保证录用人员没有刑事犯罪记录，身体健康。</w:t>
      </w:r>
      <w:r>
        <w:rPr>
          <w:rFonts w:hint="eastAsia" w:ascii="宋体" w:hAnsi="宋体" w:eastAsia="宋体" w:cs="宋体"/>
          <w:color w:val="000000"/>
          <w:sz w:val="24"/>
          <w:highlight w:val="none"/>
          <w:lang w:val="zh-TW"/>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TW"/>
        </w:rPr>
        <w:t xml:space="preserve">）中标供应商必须严格执行《中华人民共和国劳动法》《中华人民共和国劳动合同法》《中华人民共和国民法典》等国家有关法律法规，具体负责所属人员的招聘、用工手续、用工合同、相关费用、责任及日常管理，确保人员稳定。并依法与项目组所有成员签订劳动合同，办理各种用工手续，按法律规定支付所有的工资和有关福利待遇。</w:t>
      </w:r>
      <w:r>
        <w:rPr>
          <w:rFonts w:hint="eastAsia" w:ascii="宋体" w:hAnsi="宋体" w:eastAsia="宋体" w:cs="宋体"/>
          <w:color w:val="000000"/>
          <w:sz w:val="24"/>
          <w:highlight w:val="none"/>
          <w:lang w:val="zh-TW"/>
        </w:rPr>
      </w:r>
      <w:r/>
    </w:p>
    <w:p>
      <w:pPr>
        <w:pStyle w:val="951"/>
        <w:jc w:val="left"/>
        <w:keepLines/>
        <w:keepNext/>
        <w:pageBreakBefore w:val="0"/>
        <w:spacing w:before="140" w:after="140" w:line="416"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6.需要说明的其他事项</w:t>
      </w:r>
      <w:r>
        <w:rPr>
          <w:rFonts w:hint="eastAsia" w:ascii="宋体" w:hAnsi="宋体" w:eastAsia="宋体" w:cs="宋体"/>
          <w:bCs w:val="0"/>
          <w:color w:val="000000"/>
          <w:sz w:val="24"/>
          <w:szCs w:val="24"/>
          <w:highlight w:val="none"/>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lang w:val="zh-TW"/>
        </w:rPr>
        <w:t xml:space="preserve">（1）节假日值班</w:t>
      </w:r>
      <w:r>
        <w:rPr>
          <w:rFonts w:hint="eastAsia" w:ascii="宋体" w:hAnsi="宋体" w:eastAsia="宋体" w:cs="宋体"/>
          <w:color w:val="000000"/>
          <w:sz w:val="24"/>
          <w:highlight w:val="none"/>
          <w:lang w:val="zh-TW"/>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lang w:val="zh-TW"/>
        </w:rPr>
        <w:t xml:space="preserve">节假日期间的基本卫生保洁、水电运维、保安消防值班是本项目的基本服务要求，不以加班论处，由供应商安排调休。</w:t>
      </w:r>
      <w:r>
        <w:rPr>
          <w:rFonts w:hint="eastAsia" w:ascii="宋体" w:hAnsi="宋体" w:eastAsia="宋体" w:cs="宋体"/>
          <w:color w:val="000000"/>
          <w:sz w:val="24"/>
          <w:highlight w:val="none"/>
          <w:lang w:val="zh-TW"/>
        </w:rPr>
      </w:r>
      <w:r/>
    </w:p>
    <w:p>
      <w:pPr>
        <w:pStyle w:val="949"/>
        <w:ind w:firstLine="480"/>
        <w:keepLines w:val="0"/>
        <w:keepNext w:val="0"/>
        <w:pageBreakBefore w:val="0"/>
        <w:spacing w:line="420" w:lineRule="exact"/>
        <w:widowControl w:val="off"/>
        <w:rPr>
          <w:rFonts w:hint="eastAsia" w:ascii="宋体" w:hAnsi="宋体" w:eastAsia="宋体" w:cs="宋体"/>
          <w:color w:val="000000"/>
          <w:sz w:val="24"/>
          <w:highlight w:val="none"/>
          <w:lang w:val="zh-TW"/>
        </w:rPr>
      </w:pPr>
      <w:r>
        <w:rPr>
          <w:rFonts w:hint="eastAsia" w:ascii="宋体" w:hAnsi="宋体" w:eastAsia="宋体" w:cs="宋体"/>
          <w:color w:val="000000"/>
          <w:sz w:val="24"/>
          <w:highlight w:val="none"/>
          <w:lang w:val="zh-TW"/>
        </w:rPr>
        <w:t xml:space="preserve">（2）零星服务</w:t>
      </w:r>
      <w:r>
        <w:rPr>
          <w:rFonts w:hint="eastAsia" w:ascii="宋体" w:hAnsi="宋体" w:eastAsia="宋体" w:cs="宋体"/>
          <w:color w:val="000000"/>
          <w:sz w:val="24"/>
          <w:highlight w:val="none"/>
          <w:lang w:val="zh-TW"/>
        </w:rPr>
      </w:r>
      <w:r/>
    </w:p>
    <w:p>
      <w:pPr>
        <w:pStyle w:val="949"/>
        <w:ind w:firstLine="480"/>
        <w:keepLines w:val="0"/>
        <w:keepNext w:val="0"/>
        <w:pageBreakBefore w:val="0"/>
        <w:spacing w:line="420" w:lineRule="exact"/>
        <w:widowControl w:val="off"/>
        <w:rPr>
          <w:rFonts w:hint="eastAsia"/>
          <w:color w:val="000000"/>
          <w:highlight w:val="none"/>
          <w:lang w:val="en-US" w:eastAsia="zh-CN"/>
        </w:rPr>
      </w:pPr>
      <w:r>
        <w:rPr>
          <w:rFonts w:hint="eastAsia" w:ascii="宋体" w:hAnsi="宋体" w:eastAsia="宋体" w:cs="宋体"/>
          <w:color w:val="000000"/>
          <w:sz w:val="24"/>
          <w:highlight w:val="none"/>
          <w:lang w:val="zh-TW"/>
        </w:rPr>
        <w:t xml:space="preserve">楼内设备设施、办公家具的搬运、维护是本项目的基本服务内容，不以额外服务论处。</w:t>
      </w:r>
      <w:r>
        <w:rPr>
          <w:rFonts w:hint="eastAsia"/>
          <w:color w:val="000000"/>
          <w:highlight w:val="none"/>
          <w:lang w:val="en-US" w:eastAsia="zh-CN"/>
        </w:rPr>
      </w:r>
      <w:r/>
    </w:p>
    <w:p>
      <w:pPr>
        <w:pStyle w:val="949"/>
        <w:numPr>
          <w:ilvl w:val="0"/>
          <w:numId w:val="7"/>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p>
      <w:pPr>
        <w:pStyle w:val="1000"/>
        <w:tabs>
          <w:tab w:val="right" w:pos="8720" w:leader="dot"/>
        </w:tabs>
        <w:rPr>
          <w:rFonts w:hint="eastAsia" w:ascii="宋体" w:hAnsi="宋体" w:eastAsia="宋体" w:cs="宋体"/>
          <w:color w:val="000000"/>
          <w:highlight w:val="none"/>
        </w:rPr>
      </w:pPr>
      <w:r>
        <w:rPr>
          <w:rFonts w:hint="eastAsia" w:eastAsia="宋体" w:cs="宋体"/>
          <w:caps/>
          <w:color w:val="000000"/>
          <w:sz w:val="24"/>
          <w:szCs w:val="24"/>
          <w:highlight w:val="none"/>
          <w:lang w:val="en-US" w:eastAsia="zh-CN" w:bidi="ar-SA"/>
        </w:rPr>
        <w:t xml:space="preserve">无</w:t>
      </w: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olor w:val="000000"/>
          <w:highlight w:val="none"/>
        </w:rPr>
      </w:r>
      <w:r/>
    </w:p>
    <w:p>
      <w:pPr>
        <w:pStyle w:val="949"/>
        <w:numPr>
          <w:ilvl w:val="0"/>
          <w:numId w:val="0"/>
        </w:numPr>
        <w:ind w:firstLine="28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949"/>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949"/>
        <w:numPr>
          <w:ilvl w:val="0"/>
          <w:numId w:val="9"/>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采购项目交付时间：</w:t>
      </w:r>
      <w:r>
        <w:rPr>
          <w:rFonts w:hint="eastAsia" w:ascii="宋体" w:hAnsi="宋体"/>
          <w:i/>
          <w:iCs/>
          <w:color w:val="000000"/>
          <w:sz w:val="24"/>
          <w:szCs w:val="24"/>
          <w:highlight w:val="none"/>
          <w:u w:val="single"/>
        </w:rPr>
        <w:t xml:space="preserve">中标人应在合同签订生效后7个工作日内进入医院全面开展工作</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49"/>
        <w:numPr>
          <w:ilvl w:val="0"/>
          <w:numId w:val="9"/>
        </w:numPr>
        <w:ind w:left="945" w:firstLine="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采购项目交付地点：</w:t>
      </w:r>
      <w:r>
        <w:rPr>
          <w:rFonts w:hint="eastAsia" w:ascii="宋体" w:hAnsi="宋体" w:cs="宋体"/>
          <w:color w:val="000000"/>
          <w:sz w:val="24"/>
          <w:szCs w:val="24"/>
          <w:highlight w:val="none"/>
        </w:rPr>
        <w:t xml:space="preserve">江苏省南通市崇川区城山路202号崇川区狼山街道社区卫生服务中心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numPr>
          <w:ilvl w:val="0"/>
          <w:numId w:val="8"/>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10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﹑服务标准：满足甲方的保洁及运送等相关需求。</w:t>
      </w:r>
      <w:r>
        <w:rPr>
          <w:rFonts w:hint="eastAsia" w:ascii="宋体" w:hAnsi="宋体" w:eastAsia="宋体" w:cs="宋体"/>
          <w:color w:val="000000"/>
          <w:highlight w:val="none"/>
          <w:lang w:val="en-US" w:eastAsia="zh-CN"/>
        </w:rPr>
      </w:r>
      <w:r/>
    </w:p>
    <w:p>
      <w:pPr>
        <w:pStyle w:val="1000"/>
        <w:ind w:left="1056" w:firstLine="0"/>
        <w:tabs>
          <w:tab w:val="right" w:pos="8720" w:leader="dot"/>
        </w:tabs>
        <w:rPr>
          <w:rFonts w:hint="eastAsia" w:ascii="宋体" w:hAnsi="宋体" w:eastAsia="宋体" w:cs="宋体"/>
          <w:color w:val="000000"/>
          <w:highlight w:val="none"/>
          <w:lang w:val="en-US" w:eastAsia="zh-CN"/>
        </w:rPr>
      </w:pPr>
      <w:r>
        <w:rPr>
          <w:rFonts w:hint="eastAsia"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﹑期限：</w:t>
      </w:r>
      <w:r>
        <w:rPr>
          <w:rFonts w:hint="eastAsia" w:ascii="宋体" w:hAnsi="宋体"/>
          <w:i/>
          <w:iCs/>
          <w:color w:val="000000"/>
          <w:sz w:val="24"/>
          <w:szCs w:val="24"/>
          <w:highlight w:val="none"/>
          <w:u w:val="single"/>
        </w:rPr>
        <w:t xml:space="preserve">本预算合同履行期限一年。本项目“一招三年”，合同一年一签，（经年度服务评价合格后，可签订下一年度“物业管理服务”合同）</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49"/>
        <w:numPr>
          <w:ilvl w:val="0"/>
          <w:numId w:val="8"/>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10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i/>
          <w:iCs/>
          <w:caps/>
          <w:color w:val="000000"/>
          <w:highlight w:val="none"/>
          <w:u w:val="single"/>
          <w:lang w:val="en-US" w:eastAsia="zh-CN"/>
        </w:rPr>
        <w:t xml:space="preserve">甲方根据前一个月乙方月度考核得分情况进行费用结算，以最终中标价的1/12作为考核基础费用，考核后得出应付费用。（如因甲方服务需求改变出现岗位数及人数变动，甲方提前一个月通知乙方，乙方自次月调整到位后，按照调整后合同金额结算。</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49"/>
        <w:numPr>
          <w:ilvl w:val="0"/>
          <w:numId w:val="8"/>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4、缴纳履约保证金形式：支票、汇票、本票或者金融机构、担保机构出具的保函、履约保证金保险等非现金形式。</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5、退还履约保证金时间：项目履约完毕后，甲方于收到乙方退款申请之日起30个工作日内一次性退还履约保证金</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6、退还履约保证金方式：</w:t>
      </w:r>
      <w:r>
        <w:rPr>
          <w:rFonts w:hint="eastAsia" w:ascii="宋体" w:hAnsi="宋体" w:eastAsia="宋体" w:cs="宋体"/>
          <w:color w:val="000000"/>
          <w:sz w:val="24"/>
          <w:szCs w:val="24"/>
          <w:highlight w:val="none"/>
          <w:lang w:val="en-US" w:eastAsia="zh-CN"/>
        </w:rPr>
        <w:t xml:space="preserve">按供应商提交方式退还</w:t>
      </w:r>
      <w:r>
        <w:rPr>
          <w:rFonts w:ascii="宋体" w:hAnsi="宋体" w:eastAsia="宋体" w:cs="宋体"/>
          <w:color w:val="000000"/>
          <w:sz w:val="24"/>
          <w:szCs w:val="24"/>
          <w:highlight w:val="none"/>
          <w:lang w:val="en-US"/>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szCs w:val="24"/>
          <w:highlight w:val="none"/>
        </w:rPr>
      </w:r>
      <w:r/>
    </w:p>
    <w:p>
      <w:pPr>
        <w:pStyle w:val="949"/>
        <w:ind w:left="525"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1000"/>
        <w:numPr>
          <w:ilvl w:val="0"/>
          <w:numId w:val="0"/>
        </w:numPr>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49"/>
        <w:numPr>
          <w:ilvl w:val="0"/>
          <w:numId w:val="8"/>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p>
      <w:pPr>
        <w:pStyle w:val="949"/>
        <w:numPr>
          <w:ilvl w:val="0"/>
          <w:numId w:val="0"/>
        </w:numPr>
        <w:spacing w:line="52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无</w:t>
      </w:r>
      <w:r>
        <w:rPr>
          <w:rFonts w:ascii="宋体" w:hAnsi="宋体" w:eastAsia="宋体" w:cs="宋体"/>
          <w:b/>
          <w:bCs/>
          <w:color w:val="000000"/>
          <w:sz w:val="28"/>
          <w:szCs w:val="28"/>
          <w:highlight w:val="none"/>
          <w:lang w:val="en-US" w:eastAsia="zh-CN"/>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949"/>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无 </w:t>
      </w:r>
      <w:r>
        <w:rPr>
          <w:rFonts w:hint="eastAsia" w:ascii="宋体" w:hAnsi="宋体" w:eastAsia="宋体" w:cs="宋体"/>
          <w:color w:val="000000"/>
          <w:sz w:val="24"/>
          <w:szCs w:val="24"/>
          <w:highlight w:val="none"/>
          <w:lang w:val="en-US" w:eastAsia="zh-CN"/>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bCs/>
          <w:color w:val="000000"/>
          <w:sz w:val="28"/>
          <w:szCs w:val="28"/>
          <w:highlight w:val="none"/>
          <w:lang w:eastAsia="zh-CN"/>
        </w:rPr>
      </w:r>
      <w:r/>
    </w:p>
    <w:p>
      <w:pPr>
        <w:pStyle w:val="949"/>
        <w:numPr>
          <w:ilvl w:val="0"/>
          <w:numId w:val="8"/>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rPr>
          <w:rFonts w:hint="eastAsia" w:ascii="宋体" w:hAnsi="宋体" w:eastAsia="宋体" w:cs="宋体"/>
          <w:b/>
          <w:bCs/>
          <w:color w:val="000000"/>
          <w:sz w:val="28"/>
          <w:szCs w:val="28"/>
          <w:highlight w:val="none"/>
          <w:lang w:eastAsia="zh-CN"/>
        </w:rPr>
      </w:r>
      <w:r/>
    </w:p>
    <w:p>
      <w:pPr>
        <w:pStyle w:val="94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49"/>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rPr>
        <w:t xml:space="preserve">四、采购需求中必须满足的实质性要求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949"/>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10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49"/>
              <w:jc w:val="center"/>
              <w:keepLines w:val="0"/>
              <w:keepNext w:val="0"/>
              <w:pageBreakBefore w:val="0"/>
              <w:spacing w:line="300" w:lineRule="exact"/>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序号</w:t>
            </w:r>
            <w:r>
              <w:rPr>
                <w:rFonts w:hint="eastAsia" w:ascii="宋体" w:hAnsi="宋体" w:eastAsia="宋体" w:cs="宋体"/>
                <w:b w:val="0"/>
                <w:bCs/>
                <w:i w:val="0"/>
                <w:iCs/>
                <w:color w:val="000000"/>
                <w:sz w:val="21"/>
                <w:szCs w:val="21"/>
                <w:highlight w:val="none"/>
                <w:u w:val="none"/>
                <w:vertAlign w:val="baseline"/>
                <w:lang w:val="en-US" w:eastAsia="zh-CN"/>
              </w:rPr>
            </w:r>
            <w:r/>
          </w:p>
        </w:tc>
        <w:tc>
          <w:tcPr>
            <w:tcW w:w="2050" w:type="dxa"/>
            <w:vAlign w:val="top"/>
            <w:textDirection w:val="lrTb"/>
            <w:noWrap w:val="false"/>
          </w:tcPr>
          <w:p>
            <w:pPr>
              <w:pStyle w:val="949"/>
              <w:jc w:val="center"/>
              <w:keepLines w:val="0"/>
              <w:keepNext w:val="0"/>
              <w:pageBreakBefore w:val="0"/>
              <w:spacing w:line="300" w:lineRule="exact"/>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要求名称</w:t>
            </w:r>
            <w:r>
              <w:rPr>
                <w:rFonts w:hint="eastAsia" w:ascii="宋体" w:hAnsi="宋体" w:eastAsia="宋体" w:cs="宋体"/>
                <w:b w:val="0"/>
                <w:bCs/>
                <w:i w:val="0"/>
                <w:iCs/>
                <w:color w:val="000000"/>
                <w:sz w:val="21"/>
                <w:szCs w:val="21"/>
                <w:highlight w:val="none"/>
                <w:u w:val="none"/>
                <w:vertAlign w:val="baseline"/>
                <w:lang w:val="en-US" w:eastAsia="zh-CN"/>
              </w:rPr>
            </w:r>
            <w:r/>
          </w:p>
        </w:tc>
        <w:tc>
          <w:tcPr>
            <w:tcW w:w="5641" w:type="dxa"/>
            <w:vAlign w:val="top"/>
            <w:textDirection w:val="lrTb"/>
            <w:noWrap w:val="false"/>
          </w:tcPr>
          <w:p>
            <w:pPr>
              <w:pStyle w:val="949"/>
              <w:jc w:val="center"/>
              <w:keepLines w:val="0"/>
              <w:keepNext w:val="0"/>
              <w:pageBreakBefore w:val="0"/>
              <w:spacing w:line="300" w:lineRule="exact"/>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要求内容</w:t>
            </w:r>
            <w:r>
              <w:rPr>
                <w:rFonts w:hint="eastAsia" w:ascii="宋体" w:hAnsi="宋体" w:eastAsia="宋体" w:cs="宋体"/>
                <w:b w:val="0"/>
                <w:bCs/>
                <w:i w:val="0"/>
                <w:iCs/>
                <w:color w:val="000000"/>
                <w:sz w:val="21"/>
                <w:szCs w:val="21"/>
                <w:highlight w:val="none"/>
                <w:u w:val="none"/>
                <w:vertAlign w:val="baseline"/>
                <w:lang w:val="en-US" w:eastAsia="zh-CN"/>
              </w:rPr>
            </w:r>
            <w:r/>
          </w:p>
        </w:tc>
      </w:tr>
      <w:tr>
        <w:trPr/>
        <w:tc>
          <w:tcPr>
            <w:tcW w:w="762" w:type="dxa"/>
            <w:vAlign w:val="center"/>
            <w:textDirection w:val="lrTb"/>
            <w:noWrap w:val="false"/>
          </w:tcPr>
          <w:p>
            <w:pPr>
              <w:pStyle w:val="949"/>
              <w:numPr>
                <w:ilvl w:val="0"/>
                <w:numId w:val="0"/>
              </w:numPr>
              <w:ind w:left="0" w:firstLine="0"/>
              <w:jc w:val="center"/>
              <w:keepLines w:val="0"/>
              <w:keepNext w:val="0"/>
              <w:pageBreakBefore w:val="0"/>
              <w:spacing w:line="300" w:lineRule="exact"/>
              <w:widowControl/>
              <w:rPr>
                <w:rFonts w:hint="eastAsia" w:ascii="宋体" w:hAnsi="宋体" w:eastAsia="宋体" w:cs="宋体"/>
                <w:b w:val="0"/>
                <w:bCs/>
                <w:i/>
                <w:color w:val="000000"/>
                <w:sz w:val="21"/>
                <w:szCs w:val="21"/>
                <w:highlight w:val="none"/>
                <w:u w:val="single"/>
                <w:vertAlign w:val="baseline"/>
                <w:lang w:val="en-US" w:eastAsia="zh-CN"/>
              </w:rPr>
            </w:pPr>
            <w:r>
              <w:rPr>
                <w:rFonts w:hint="eastAsia" w:ascii="方正仿宋_GBK" w:hAnsi="方正仿宋_GBK" w:eastAsia="方正仿宋_GBK" w:cs="方正仿宋_GBK"/>
                <w:b w:val="0"/>
                <w:bCs w:val="0"/>
                <w:i/>
                <w:iCs/>
                <w:color w:val="000000"/>
                <w:sz w:val="21"/>
                <w:szCs w:val="21"/>
                <w:highlight w:val="none"/>
                <w:u w:val="single"/>
                <w:lang w:val="en-US" w:eastAsia="zh-CN" w:bidi="ar-SA"/>
              </w:rPr>
              <w:t xml:space="preserve">1</w:t>
            </w:r>
            <w:r>
              <w:rPr>
                <w:rFonts w:hint="eastAsia" w:ascii="宋体" w:hAnsi="宋体" w:eastAsia="宋体" w:cs="宋体"/>
                <w:b w:val="0"/>
                <w:bCs/>
                <w:i/>
                <w:color w:val="000000"/>
                <w:sz w:val="21"/>
                <w:szCs w:val="21"/>
                <w:highlight w:val="none"/>
                <w:u w:val="single"/>
                <w:vertAlign w:val="baseline"/>
                <w:lang w:val="en-US" w:eastAsia="zh-CN"/>
              </w:rPr>
            </w:r>
            <w:r/>
          </w:p>
        </w:tc>
        <w:tc>
          <w:tcPr>
            <w:tcW w:w="2050" w:type="dxa"/>
            <w:vAlign w:val="center"/>
            <w:textDirection w:val="lrTb"/>
            <w:noWrap w:val="false"/>
          </w:tcPr>
          <w:p>
            <w:pPr>
              <w:pStyle w:val="949"/>
              <w:ind w:left="0"/>
              <w:jc w:val="center"/>
              <w:keepLines w:val="0"/>
              <w:keepNext w:val="0"/>
              <w:pageBreakBefore w:val="0"/>
              <w:spacing w:line="300" w:lineRule="exact"/>
              <w:widowControl/>
              <w:rPr>
                <w:rFonts w:ascii="宋体" w:hAnsi="宋体" w:eastAsia="宋体" w:cs="宋体"/>
                <w:b w:val="0"/>
                <w:bCs/>
                <w:i/>
                <w:color w:val="000000"/>
                <w:sz w:val="21"/>
                <w:szCs w:val="21"/>
                <w:highlight w:val="none"/>
                <w:u w:val="single"/>
                <w:vertAlign w:val="baseline"/>
                <w:lang w:val="en-US" w:eastAsia="zh-CN"/>
              </w:rPr>
            </w:pPr>
            <w:r>
              <w:rPr>
                <w:rFonts w:ascii="宋体" w:hAnsi="宋体" w:eastAsia="宋体" w:cs="宋体"/>
                <w:b w:val="0"/>
                <w:bCs/>
                <w:i/>
                <w:color w:val="000000"/>
                <w:sz w:val="21"/>
                <w:szCs w:val="21"/>
                <w:highlight w:val="none"/>
                <w:u w:val="single"/>
                <w:vertAlign w:val="baseline"/>
                <w:lang w:val="en-US" w:eastAsia="zh-CN"/>
              </w:rPr>
              <w:t xml:space="preserve">供应商履行合同所需的设备、材料等</w:t>
            </w:r>
            <w:r>
              <w:rPr>
                <w:rFonts w:ascii="宋体" w:hAnsi="宋体" w:eastAsia="宋体" w:cs="宋体"/>
                <w:b w:val="0"/>
                <w:bCs/>
                <w:i/>
                <w:color w:val="000000"/>
                <w:sz w:val="21"/>
                <w:szCs w:val="21"/>
                <w:highlight w:val="none"/>
                <w:u w:val="single"/>
                <w:vertAlign w:val="baseline"/>
                <w:lang w:val="en-US" w:eastAsia="zh-CN"/>
              </w:rPr>
            </w:r>
            <w:r/>
          </w:p>
        </w:tc>
        <w:tc>
          <w:tcPr>
            <w:tcW w:w="5641" w:type="dxa"/>
            <w:vAlign w:val="center"/>
            <w:textDirection w:val="lrTb"/>
            <w:noWrap w:val="false"/>
          </w:tcPr>
          <w:p>
            <w:pPr>
              <w:pStyle w:val="949"/>
              <w:ind w:left="0"/>
              <w:jc w:val="left"/>
              <w:keepLines w:val="0"/>
              <w:keepNext w:val="0"/>
              <w:pageBreakBefore w:val="0"/>
              <w:spacing w:line="300" w:lineRule="exact"/>
              <w:widowControl/>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供应商应综合考虑为完成本项目服务要求所需使用（无论自行购置或租用）的设备、器材，列明拟在本项目服务期间提供的设备、工具及配置清单，清单内容包括但不限于设备、工具及物资的名称、规格、品牌、单位及数量。中标供应商在合同签订后1个月内必须配备并到场相应的设备、工具及物资。如供应商无法履行承诺且无法获得招标人同意的，招标人有权单方解除合同。供应商投标时须提供加盖公章的承诺函，格式自理。</w:t>
            </w:r>
            <w:r>
              <w:rPr>
                <w:rFonts w:hint="eastAsia" w:ascii="宋体" w:hAnsi="宋体" w:eastAsia="宋体" w:cs="宋体"/>
                <w:b w:val="0"/>
                <w:bCs/>
                <w:i/>
                <w:color w:val="000000"/>
                <w:sz w:val="21"/>
                <w:szCs w:val="21"/>
                <w:highlight w:val="none"/>
                <w:u w:val="single"/>
                <w:vertAlign w:val="baseline"/>
                <w:lang w:val="en-US" w:eastAsia="zh-CN"/>
              </w:rPr>
            </w:r>
            <w:r/>
          </w:p>
        </w:tc>
      </w:tr>
      <w:tr>
        <w:trPr>
          <w:trHeight w:val="1282"/>
        </w:trPr>
        <w:tc>
          <w:tcPr>
            <w:tcW w:w="762" w:type="dxa"/>
            <w:vAlign w:val="center"/>
            <w:textDirection w:val="lrTb"/>
            <w:noWrap w:val="false"/>
          </w:tcPr>
          <w:p>
            <w:pPr>
              <w:pStyle w:val="949"/>
              <w:numPr>
                <w:ilvl w:val="0"/>
                <w:numId w:val="0"/>
              </w:numPr>
              <w:ind w:left="0" w:firstLine="0"/>
              <w:jc w:val="center"/>
              <w:keepLines w:val="0"/>
              <w:keepNext w:val="0"/>
              <w:pageBreakBefore w:val="0"/>
              <w:spacing w:line="300" w:lineRule="exact"/>
              <w:widowControl/>
              <w:rPr>
                <w:rFonts w:hint="eastAsia" w:ascii="宋体" w:hAnsi="宋体" w:eastAsia="宋体" w:cs="宋体"/>
                <w:b w:val="0"/>
                <w:bCs/>
                <w:i/>
                <w:color w:val="000000"/>
                <w:sz w:val="21"/>
                <w:szCs w:val="21"/>
                <w:highlight w:val="none"/>
                <w:u w:val="single"/>
                <w:vertAlign w:val="baseline"/>
                <w:lang w:val="en-US" w:eastAsia="zh-CN"/>
              </w:rPr>
            </w:pPr>
            <w:r>
              <w:rPr>
                <w:rFonts w:hint="eastAsia" w:ascii="方正仿宋_GBK" w:hAnsi="方正仿宋_GBK" w:eastAsia="方正仿宋_GBK" w:cs="方正仿宋_GBK"/>
                <w:b w:val="0"/>
                <w:bCs w:val="0"/>
                <w:i/>
                <w:iCs/>
                <w:color w:val="000000"/>
                <w:sz w:val="21"/>
                <w:szCs w:val="21"/>
                <w:highlight w:val="none"/>
                <w:u w:val="single"/>
                <w:lang w:val="en-US" w:eastAsia="zh-CN" w:bidi="ar-SA"/>
              </w:rPr>
              <w:t xml:space="preserve">2</w:t>
            </w:r>
            <w:r>
              <w:rPr>
                <w:rFonts w:hint="eastAsia" w:ascii="宋体" w:hAnsi="宋体" w:eastAsia="宋体" w:cs="宋体"/>
                <w:b w:val="0"/>
                <w:bCs/>
                <w:i/>
                <w:color w:val="000000"/>
                <w:sz w:val="21"/>
                <w:szCs w:val="21"/>
                <w:highlight w:val="none"/>
                <w:u w:val="single"/>
                <w:vertAlign w:val="baseline"/>
                <w:lang w:val="en-US" w:eastAsia="zh-CN"/>
              </w:rPr>
            </w:r>
            <w:r/>
          </w:p>
        </w:tc>
        <w:tc>
          <w:tcPr>
            <w:tcW w:w="2050" w:type="dxa"/>
            <w:vAlign w:val="center"/>
            <w:textDirection w:val="lrTb"/>
            <w:noWrap w:val="false"/>
          </w:tcPr>
          <w:p>
            <w:pPr>
              <w:pStyle w:val="949"/>
              <w:ind w:left="0"/>
              <w:jc w:val="center"/>
              <w:keepLines w:val="0"/>
              <w:keepNext w:val="0"/>
              <w:pageBreakBefore w:val="0"/>
              <w:spacing w:line="300" w:lineRule="exact"/>
              <w:widowControl/>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岗位配备</w:t>
            </w:r>
            <w:r>
              <w:rPr>
                <w:rFonts w:hint="eastAsia" w:ascii="宋体" w:hAnsi="宋体" w:eastAsia="宋体" w:cs="宋体"/>
                <w:b w:val="0"/>
                <w:bCs/>
                <w:i/>
                <w:color w:val="000000"/>
                <w:sz w:val="21"/>
                <w:szCs w:val="21"/>
                <w:highlight w:val="none"/>
                <w:u w:val="single"/>
                <w:vertAlign w:val="baseline"/>
                <w:lang w:val="en-US" w:eastAsia="zh-CN"/>
              </w:rPr>
            </w:r>
            <w:r/>
          </w:p>
        </w:tc>
        <w:tc>
          <w:tcPr>
            <w:tcW w:w="5641" w:type="dxa"/>
            <w:vAlign w:val="center"/>
            <w:textDirection w:val="lrTb"/>
            <w:noWrap w:val="false"/>
          </w:tcPr>
          <w:p>
            <w:pPr>
              <w:pStyle w:val="949"/>
              <w:ind w:left="0"/>
              <w:jc w:val="left"/>
              <w:keepLines w:val="0"/>
              <w:keepNext w:val="0"/>
              <w:pageBreakBefore w:val="0"/>
              <w:spacing w:line="300" w:lineRule="exact"/>
              <w:widowControl/>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项目服务人数及服务岗位要求为本项目必须满足的要求，投标时提供承诺函，投标人拟配备人员均不得低于以上标准，否则做无效投标处理。</w:t>
            </w:r>
            <w:r>
              <w:rPr>
                <w:rFonts w:hint="eastAsia" w:ascii="宋体" w:hAnsi="宋体" w:eastAsia="宋体" w:cs="宋体"/>
                <w:b w:val="0"/>
                <w:bCs/>
                <w:i/>
                <w:color w:val="000000"/>
                <w:sz w:val="21"/>
                <w:szCs w:val="21"/>
                <w:highlight w:val="none"/>
                <w:u w:val="single"/>
                <w:vertAlign w:val="baseline"/>
                <w:lang w:val="en-US" w:eastAsia="zh-CN"/>
              </w:rPr>
            </w:r>
            <w:r/>
          </w:p>
        </w:tc>
      </w:tr>
      <w:tr>
        <w:trPr>
          <w:trHeight w:val="1282"/>
        </w:trPr>
        <w:tc>
          <w:tcPr>
            <w:tcW w:w="762" w:type="dxa"/>
            <w:vAlign w:val="center"/>
            <w:textDirection w:val="lrTb"/>
            <w:noWrap w:val="false"/>
          </w:tcPr>
          <w:p>
            <w:pPr>
              <w:pStyle w:val="949"/>
              <w:numPr>
                <w:ilvl w:val="0"/>
                <w:numId w:val="0"/>
              </w:numPr>
              <w:ind w:left="0" w:firstLine="0"/>
              <w:jc w:val="center"/>
              <w:keepLines w:val="0"/>
              <w:keepNext w:val="0"/>
              <w:pageBreakBefore w:val="0"/>
              <w:spacing w:line="300" w:lineRule="exact"/>
              <w:widowControl/>
              <w:rPr>
                <w:rFonts w:ascii="方正仿宋_GBK" w:hAnsi="方正仿宋_GBK" w:eastAsia="方正仿宋_GBK" w:cs="方正仿宋_GBK"/>
                <w:b w:val="0"/>
                <w:bCs w:val="0"/>
                <w:i/>
                <w:iCs/>
                <w:color w:val="000000"/>
                <w:sz w:val="21"/>
                <w:szCs w:val="21"/>
                <w:highlight w:val="none"/>
                <w:u w:val="single"/>
                <w:lang w:val="en-US" w:eastAsia="zh-CN" w:bidi="ar-SA"/>
              </w:rPr>
            </w:pPr>
            <w:r>
              <w:rPr>
                <w:rFonts w:hint="eastAsia" w:ascii="方正仿宋_GBK" w:hAnsi="方正仿宋_GBK" w:eastAsia="方正仿宋_GBK" w:cs="方正仿宋_GBK"/>
                <w:b w:val="0"/>
                <w:bCs w:val="0"/>
                <w:i/>
                <w:iCs/>
                <w:color w:val="000000"/>
                <w:sz w:val="21"/>
                <w:szCs w:val="21"/>
                <w:highlight w:val="none"/>
                <w:u w:val="single"/>
                <w:lang w:val="en-US" w:eastAsia="zh-CN" w:bidi="ar-SA"/>
              </w:rPr>
              <w:t xml:space="preserve">3</w:t>
            </w:r>
            <w:r>
              <w:rPr>
                <w:rFonts w:ascii="方正仿宋_GBK" w:hAnsi="方正仿宋_GBK" w:eastAsia="方正仿宋_GBK" w:cs="方正仿宋_GBK"/>
                <w:b w:val="0"/>
                <w:bCs w:val="0"/>
                <w:i/>
                <w:iCs/>
                <w:color w:val="000000"/>
                <w:sz w:val="21"/>
                <w:szCs w:val="21"/>
                <w:highlight w:val="none"/>
                <w:u w:val="single"/>
                <w:lang w:val="en-US" w:eastAsia="zh-CN" w:bidi="ar-SA"/>
              </w:rPr>
            </w:r>
            <w:r/>
          </w:p>
        </w:tc>
        <w:tc>
          <w:tcPr>
            <w:tcW w:w="2050" w:type="dxa"/>
            <w:vAlign w:val="center"/>
            <w:textDirection w:val="lrTb"/>
            <w:noWrap w:val="false"/>
          </w:tcPr>
          <w:p>
            <w:pPr>
              <w:pStyle w:val="949"/>
              <w:ind w:left="0"/>
              <w:jc w:val="center"/>
              <w:keepLines w:val="0"/>
              <w:keepNext w:val="0"/>
              <w:pageBreakBefore w:val="0"/>
              <w:spacing w:line="300" w:lineRule="exact"/>
              <w:widowControl/>
              <w:rPr>
                <w:rFonts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岗位人员资质</w:t>
            </w:r>
            <w:r>
              <w:rPr>
                <w:rFonts w:ascii="宋体" w:hAnsi="宋体" w:eastAsia="宋体" w:cs="宋体"/>
                <w:b w:val="0"/>
                <w:bCs/>
                <w:i/>
                <w:color w:val="000000"/>
                <w:sz w:val="21"/>
                <w:szCs w:val="21"/>
                <w:highlight w:val="none"/>
                <w:u w:val="single"/>
                <w:vertAlign w:val="baseline"/>
                <w:lang w:val="en-US" w:eastAsia="zh-CN"/>
              </w:rPr>
            </w:r>
            <w:r/>
          </w:p>
        </w:tc>
        <w:tc>
          <w:tcPr>
            <w:tcW w:w="5641" w:type="dxa"/>
            <w:vAlign w:val="center"/>
            <w:textDirection w:val="lrTb"/>
            <w:noWrap w:val="false"/>
          </w:tcPr>
          <w:p>
            <w:pPr>
              <w:pStyle w:val="949"/>
              <w:ind w:left="0"/>
              <w:jc w:val="left"/>
              <w:keepLines w:val="0"/>
              <w:keepNext w:val="0"/>
              <w:pageBreakBefore w:val="0"/>
              <w:spacing w:line="300" w:lineRule="exact"/>
              <w:widowControl/>
              <w:rPr>
                <w:rFonts w:ascii="方正仿宋_GBK" w:hAnsi="方正仿宋_GBK" w:eastAsia="方正仿宋_GBK" w:cs="方正仿宋_GBK"/>
                <w:b w:val="0"/>
                <w:bCs w:val="0"/>
                <w:i/>
                <w:iCs/>
                <w:color w:val="000000"/>
                <w:sz w:val="21"/>
                <w:szCs w:val="21"/>
                <w:highlight w:val="none"/>
                <w:u w:val="single"/>
                <w:lang w:val="en-US" w:eastAsia="zh-CN" w:bidi="ar-SA"/>
              </w:rPr>
            </w:pPr>
            <w:r>
              <w:rPr>
                <w:rFonts w:ascii="宋体" w:hAnsi="宋体" w:eastAsia="宋体" w:cs="宋体"/>
                <w:b w:val="0"/>
                <w:bCs/>
                <w:i/>
                <w:color w:val="000000"/>
                <w:sz w:val="21"/>
                <w:szCs w:val="21"/>
                <w:highlight w:val="none"/>
                <w:u w:val="single"/>
                <w:vertAlign w:val="baseline"/>
                <w:lang w:val="en-US" w:eastAsia="zh-CN"/>
              </w:rPr>
              <w:t xml:space="preserve">投标时须提供有效的拟派保洁员预防性健康检查合格证明、消防监控室人员建（构）筑物消防员证书或消防设施操作员证、电工服务人员高压电工操作证扫描件</w:t>
            </w:r>
            <w:r>
              <w:rPr>
                <w:rFonts w:hint="eastAsia" w:ascii="宋体" w:hAnsi="宋体" w:eastAsia="宋体" w:cs="宋体"/>
                <w:b w:val="0"/>
                <w:bCs/>
                <w:i/>
                <w:color w:val="000000"/>
                <w:sz w:val="21"/>
                <w:szCs w:val="21"/>
                <w:highlight w:val="none"/>
                <w:u w:val="single"/>
                <w:vertAlign w:val="baseline"/>
                <w:lang w:val="en-US" w:eastAsia="zh-CN"/>
              </w:rPr>
              <w:t xml:space="preserve">、</w:t>
            </w:r>
            <w:r>
              <w:rPr>
                <w:rFonts w:ascii="宋体" w:hAnsi="宋体" w:eastAsia="宋体" w:cs="宋体"/>
                <w:b w:val="0"/>
                <w:bCs/>
                <w:i/>
                <w:color w:val="000000"/>
                <w:sz w:val="21"/>
                <w:szCs w:val="21"/>
                <w:highlight w:val="none"/>
                <w:u w:val="single"/>
                <w:vertAlign w:val="baseline"/>
                <w:lang w:val="en-US" w:eastAsia="zh-CN"/>
              </w:rPr>
              <w:t xml:space="preserve">门岗人员由公安部门颁发的保安员证扫描件及上述人员的身份证、开标前一年内任意一个月投标供应商为其缴纳的社保证明材料（新成立企业距投标截止日不足30日的，可不提供社保证明材料，以新办企业营业执照发放日期为准），否则做无效投标处理。</w:t>
            </w:r>
            <w:r>
              <w:rPr>
                <w:rFonts w:ascii="方正仿宋_GBK" w:hAnsi="方正仿宋_GBK" w:eastAsia="方正仿宋_GBK" w:cs="方正仿宋_GBK"/>
                <w:b w:val="0"/>
                <w:bCs w:val="0"/>
                <w:i/>
                <w:iCs/>
                <w:color w:val="000000"/>
                <w:sz w:val="21"/>
                <w:szCs w:val="21"/>
                <w:highlight w:val="none"/>
                <w:u w:val="single"/>
                <w:lang w:val="en-US" w:eastAsia="zh-CN" w:bidi="ar-SA"/>
              </w:rPr>
            </w:r>
            <w:r/>
          </w:p>
        </w:tc>
      </w:tr>
    </w:tbl>
    <w:p>
      <w:pPr>
        <w:pStyle w:val="949"/>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10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序号</w:t>
            </w:r>
            <w:r>
              <w:rPr>
                <w:rFonts w:hint="eastAsia" w:ascii="宋体" w:hAnsi="宋体" w:eastAsia="宋体" w:cs="宋体"/>
                <w:b w:val="0"/>
                <w:bCs/>
                <w:i w:val="0"/>
                <w:iCs/>
                <w:color w:val="000000"/>
                <w:sz w:val="21"/>
                <w:szCs w:val="21"/>
                <w:highlight w:val="none"/>
                <w:u w:val="none"/>
                <w:vertAlign w:val="baseline"/>
                <w:lang w:val="en-US" w:eastAsia="zh-CN"/>
              </w:rPr>
            </w:r>
            <w:r/>
          </w:p>
        </w:tc>
        <w:tc>
          <w:tcPr>
            <w:tcW w:w="2050"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要求名称</w:t>
            </w:r>
            <w:r>
              <w:rPr>
                <w:rFonts w:hint="eastAsia" w:ascii="宋体" w:hAnsi="宋体" w:eastAsia="宋体" w:cs="宋体"/>
                <w:b w:val="0"/>
                <w:bCs/>
                <w:i w:val="0"/>
                <w:iCs/>
                <w:color w:val="000000"/>
                <w:sz w:val="21"/>
                <w:szCs w:val="21"/>
                <w:highlight w:val="none"/>
                <w:u w:val="none"/>
                <w:vertAlign w:val="baseline"/>
                <w:lang w:val="en-US" w:eastAsia="zh-CN"/>
              </w:rPr>
            </w:r>
            <w:r/>
          </w:p>
        </w:tc>
        <w:tc>
          <w:tcPr>
            <w:tcW w:w="5641"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要求内容</w:t>
            </w:r>
            <w:r>
              <w:rPr>
                <w:rFonts w:hint="eastAsia" w:ascii="宋体" w:hAnsi="宋体" w:eastAsia="宋体" w:cs="宋体"/>
                <w:b w:val="0"/>
                <w:bCs/>
                <w:i w:val="0"/>
                <w:iCs/>
                <w:color w:val="000000"/>
                <w:sz w:val="21"/>
                <w:szCs w:val="21"/>
                <w:highlight w:val="none"/>
                <w:u w:val="none"/>
                <w:vertAlign w:val="baseline"/>
                <w:lang w:val="en-US" w:eastAsia="zh-CN"/>
              </w:rPr>
            </w:r>
            <w:r/>
          </w:p>
        </w:tc>
      </w:tr>
      <w:tr>
        <w:trPr/>
        <w:tc>
          <w:tcPr>
            <w:tcW w:w="762" w:type="dxa"/>
            <w:vAlign w:val="center"/>
            <w:textDirection w:val="lrTb"/>
            <w:noWrap w:val="false"/>
          </w:tcPr>
          <w:p>
            <w:pPr>
              <w:pStyle w:val="949"/>
              <w:jc w:val="center"/>
              <w:keepLines w:val="0"/>
              <w:keepNext w:val="0"/>
              <w:pageBreakBefore w:val="0"/>
              <w:spacing w:line="300" w:lineRule="exact"/>
              <w:widowControl w:val="off"/>
              <w:rPr>
                <w:rFonts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1</w:t>
            </w:r>
            <w:r>
              <w:rPr>
                <w:rFonts w:ascii="宋体" w:hAnsi="宋体" w:eastAsia="宋体" w:cs="宋体"/>
                <w:b w:val="0"/>
                <w:bCs/>
                <w:i w:val="0"/>
                <w:iCs/>
                <w:color w:val="000000"/>
                <w:sz w:val="21"/>
                <w:szCs w:val="21"/>
                <w:highlight w:val="none"/>
                <w:u w:val="none"/>
                <w:vertAlign w:val="baseline"/>
                <w:lang w:val="en-US" w:eastAsia="zh-CN"/>
              </w:rPr>
            </w:r>
            <w:r/>
          </w:p>
        </w:tc>
        <w:tc>
          <w:tcPr>
            <w:tcW w:w="2050" w:type="dxa"/>
            <w:vAlign w:val="top"/>
            <w:textDirection w:val="lrTb"/>
            <w:noWrap w:val="false"/>
          </w:tcPr>
          <w:p>
            <w:pPr>
              <w:pStyle w:val="949"/>
              <w:jc w:val="center"/>
              <w:keepLines w:val="0"/>
              <w:keepNext w:val="0"/>
              <w:pageBreakBefore w:val="0"/>
              <w:spacing w:line="300" w:lineRule="exact"/>
              <w:widowControl w:val="off"/>
              <w:rPr>
                <w:rFonts w:ascii="宋体" w:hAnsi="宋体" w:eastAsia="宋体" w:cs="宋体"/>
                <w:b w:val="0"/>
                <w:bCs/>
                <w:i/>
                <w:color w:val="000000"/>
                <w:sz w:val="21"/>
                <w:szCs w:val="21"/>
                <w:highlight w:val="none"/>
                <w:u w:val="single"/>
                <w:vertAlign w:val="baseline"/>
                <w:lang w:val="en-US" w:eastAsia="zh-CN"/>
              </w:rPr>
            </w:pPr>
            <w:r>
              <w:rPr>
                <w:rFonts w:ascii="宋体" w:hAnsi="宋体" w:eastAsia="宋体" w:cs="宋体"/>
                <w:b w:val="0"/>
                <w:bCs/>
                <w:i/>
                <w:color w:val="000000"/>
                <w:sz w:val="21"/>
                <w:szCs w:val="21"/>
                <w:highlight w:val="none"/>
                <w:u w:val="single"/>
                <w:vertAlign w:val="baseline"/>
                <w:lang w:val="en-US" w:eastAsia="zh-CN"/>
              </w:rPr>
              <w:t xml:space="preserve">采购项目交付时间</w:t>
            </w:r>
            <w:r>
              <w:rPr>
                <w:rFonts w:ascii="宋体" w:hAnsi="宋体" w:eastAsia="宋体" w:cs="宋体"/>
                <w:b w:val="0"/>
                <w:bCs/>
                <w:i/>
                <w:color w:val="000000"/>
                <w:sz w:val="21"/>
                <w:szCs w:val="21"/>
                <w:highlight w:val="none"/>
                <w:u w:val="single"/>
                <w:vertAlign w:val="baseline"/>
                <w:lang w:val="en-US" w:eastAsia="zh-CN"/>
              </w:rPr>
            </w:r>
            <w:r/>
          </w:p>
        </w:tc>
        <w:tc>
          <w:tcPr>
            <w:tcW w:w="5641" w:type="dxa"/>
            <w:vAlign w:val="top"/>
            <w:textDirection w:val="lrTb"/>
            <w:noWrap w:val="false"/>
          </w:tcPr>
          <w:p>
            <w:pPr>
              <w:pStyle w:val="949"/>
              <w:jc w:val="left"/>
              <w:keepLines w:val="0"/>
              <w:keepNext w:val="0"/>
              <w:pageBreakBefore w:val="0"/>
              <w:spacing w:line="300" w:lineRule="exact"/>
              <w:widowControl w:val="off"/>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中标人应在合同签订生效后7个工作日内进入医院全面开展工作</w:t>
            </w:r>
            <w:r>
              <w:rPr>
                <w:rFonts w:hint="eastAsia" w:ascii="宋体" w:hAnsi="宋体" w:eastAsia="宋体" w:cs="宋体"/>
                <w:b w:val="0"/>
                <w:bCs/>
                <w:i/>
                <w:color w:val="000000"/>
                <w:sz w:val="21"/>
                <w:szCs w:val="21"/>
                <w:highlight w:val="none"/>
                <w:u w:val="single"/>
                <w:vertAlign w:val="baseline"/>
                <w:lang w:val="en-US" w:eastAsia="zh-CN"/>
              </w:rPr>
            </w:r>
            <w:r/>
          </w:p>
        </w:tc>
      </w:tr>
      <w:tr>
        <w:trPr/>
        <w:tc>
          <w:tcPr>
            <w:tcW w:w="762" w:type="dxa"/>
            <w:vAlign w:val="center"/>
            <w:textDirection w:val="lrTb"/>
            <w:noWrap w:val="false"/>
          </w:tcPr>
          <w:p>
            <w:pPr>
              <w:pStyle w:val="949"/>
              <w:jc w:val="center"/>
              <w:keepLines w:val="0"/>
              <w:keepNext w:val="0"/>
              <w:pageBreakBefore w:val="0"/>
              <w:spacing w:line="300" w:lineRule="exact"/>
              <w:widowControl w:val="off"/>
              <w:rPr>
                <w:rFonts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2</w:t>
            </w:r>
            <w:r>
              <w:rPr>
                <w:rFonts w:ascii="宋体" w:hAnsi="宋体" w:eastAsia="宋体" w:cs="宋体"/>
                <w:b w:val="0"/>
                <w:bCs/>
                <w:i/>
                <w:color w:val="000000"/>
                <w:sz w:val="21"/>
                <w:szCs w:val="21"/>
                <w:highlight w:val="none"/>
                <w:u w:val="single"/>
                <w:vertAlign w:val="baseline"/>
                <w:lang w:val="en-US" w:eastAsia="zh-CN"/>
              </w:rPr>
            </w:r>
            <w:r/>
          </w:p>
        </w:tc>
        <w:tc>
          <w:tcPr>
            <w:tcW w:w="2050" w:type="dxa"/>
            <w:vAlign w:val="center"/>
            <w:textDirection w:val="lrTb"/>
            <w:noWrap w:val="false"/>
          </w:tcPr>
          <w:p>
            <w:pPr>
              <w:pStyle w:val="949"/>
              <w:jc w:val="center"/>
              <w:keepLines w:val="0"/>
              <w:keepNext w:val="0"/>
              <w:pageBreakBefore w:val="0"/>
              <w:spacing w:line="300" w:lineRule="exact"/>
              <w:widowControl w:val="off"/>
              <w:rPr>
                <w:rFonts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实施期限:</w:t>
            </w:r>
            <w:r>
              <w:rPr>
                <w:rFonts w:ascii="宋体" w:hAnsi="宋体" w:eastAsia="宋体" w:cs="宋体"/>
                <w:b w:val="0"/>
                <w:bCs/>
                <w:i w:val="0"/>
                <w:iCs/>
                <w:color w:val="000000"/>
                <w:sz w:val="21"/>
                <w:szCs w:val="21"/>
                <w:highlight w:val="none"/>
                <w:u w:val="none"/>
                <w:vertAlign w:val="baseline"/>
                <w:lang w:val="en-US" w:eastAsia="zh-CN"/>
              </w:rPr>
            </w:r>
            <w:r/>
          </w:p>
        </w:tc>
        <w:tc>
          <w:tcPr>
            <w:tcW w:w="5641" w:type="dxa"/>
            <w:vAlign w:val="top"/>
            <w:textDirection w:val="lrTb"/>
            <w:noWrap w:val="false"/>
          </w:tcPr>
          <w:p>
            <w:pPr>
              <w:pStyle w:val="949"/>
              <w:jc w:val="left"/>
              <w:keepLines w:val="0"/>
              <w:keepNext w:val="0"/>
              <w:pageBreakBefore w:val="0"/>
              <w:spacing w:line="300" w:lineRule="exact"/>
              <w:widowControl w:val="off"/>
              <w:rPr>
                <w:rFonts w:hint="eastAsia" w:ascii="宋体" w:hAnsi="宋体"/>
                <w:i/>
                <w:iCs/>
                <w:color w:val="000000"/>
                <w:sz w:val="24"/>
                <w:szCs w:val="24"/>
                <w:highlight w:val="none"/>
                <w:u w:val="single"/>
              </w:rPr>
            </w:pPr>
            <w:r>
              <w:rPr>
                <w:rFonts w:hint="eastAsia"/>
                <w:i/>
                <w:iCs/>
                <w:color w:val="000000"/>
                <w:sz w:val="21"/>
                <w:szCs w:val="21"/>
                <w:highlight w:val="none"/>
                <w:u w:val="single"/>
              </w:rPr>
              <w:t xml:space="preserve">本预算合同履行期限一年。本项目“一招三年”，合同一年一签，（经年度服务评价合格后，可签订下一年度“物业管理服务”合同）</w:t>
            </w:r>
            <w:r>
              <w:rPr>
                <w:rFonts w:hint="eastAsia" w:ascii="宋体" w:hAnsi="宋体"/>
                <w:i/>
                <w:iCs/>
                <w:color w:val="000000"/>
                <w:sz w:val="24"/>
                <w:szCs w:val="24"/>
                <w:highlight w:val="none"/>
                <w:u w:val="single"/>
              </w:rPr>
            </w:r>
            <w:r/>
          </w:p>
        </w:tc>
      </w:tr>
      <w:tr>
        <w:trPr/>
        <w:tc>
          <w:tcPr>
            <w:tcW w:w="762"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3</w:t>
            </w:r>
            <w:r>
              <w:rPr>
                <w:rFonts w:hint="eastAsia" w:ascii="宋体" w:hAnsi="宋体" w:eastAsia="宋体" w:cs="宋体"/>
                <w:b w:val="0"/>
                <w:bCs/>
                <w:i/>
                <w:color w:val="000000"/>
                <w:sz w:val="21"/>
                <w:szCs w:val="21"/>
                <w:highlight w:val="none"/>
                <w:u w:val="single"/>
                <w:vertAlign w:val="baseline"/>
                <w:lang w:val="en-US" w:eastAsia="zh-CN"/>
              </w:rPr>
            </w:r>
            <w:r/>
          </w:p>
        </w:tc>
        <w:tc>
          <w:tcPr>
            <w:tcW w:w="2050" w:type="dxa"/>
            <w:vAlign w:val="center"/>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付款方式</w:t>
            </w:r>
            <w:r>
              <w:rPr>
                <w:rFonts w:hint="eastAsia" w:ascii="宋体" w:hAnsi="宋体" w:eastAsia="宋体" w:cs="宋体"/>
                <w:b w:val="0"/>
                <w:bCs/>
                <w:i/>
                <w:color w:val="000000"/>
                <w:sz w:val="21"/>
                <w:szCs w:val="21"/>
                <w:highlight w:val="none"/>
                <w:u w:val="single"/>
                <w:vertAlign w:val="baseline"/>
                <w:lang w:val="en-US" w:eastAsia="zh-CN"/>
              </w:rPr>
            </w:r>
            <w:r/>
          </w:p>
        </w:tc>
        <w:tc>
          <w:tcPr>
            <w:tcW w:w="5641" w:type="dxa"/>
            <w:vAlign w:val="top"/>
            <w:textDirection w:val="lrTb"/>
            <w:noWrap w:val="false"/>
          </w:tcPr>
          <w:p>
            <w:pPr>
              <w:pStyle w:val="949"/>
              <w:jc w:val="left"/>
              <w:keepLines w:val="0"/>
              <w:keepNext w:val="0"/>
              <w:pageBreakBefore w:val="0"/>
              <w:spacing w:line="300" w:lineRule="exact"/>
              <w:widowControl w:val="off"/>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甲方根据前一个月乙方月度考核得分情况进行费用结算，以最终中标价的1/12作为考核基础费用，考核后得出应付费用。（如因甲方服务需求改变出现岗位数及人数变动，甲方提前一个月通知乙方，乙方自次月调整到位后，按照调整后合同金额结算）（提供投标单位同意支付方式的承诺函）</w:t>
            </w:r>
            <w:r>
              <w:rPr>
                <w:rFonts w:hint="eastAsia" w:ascii="宋体" w:hAnsi="宋体" w:eastAsia="宋体" w:cs="宋体"/>
                <w:b w:val="0"/>
                <w:bCs/>
                <w:i/>
                <w:color w:val="000000"/>
                <w:sz w:val="21"/>
                <w:szCs w:val="21"/>
                <w:highlight w:val="none"/>
                <w:u w:val="single"/>
                <w:vertAlign w:val="baseline"/>
                <w:lang w:val="en-US" w:eastAsia="zh-CN"/>
              </w:rPr>
            </w:r>
            <w:r/>
          </w:p>
        </w:tc>
      </w:tr>
    </w:tbl>
    <w:p>
      <w:pPr>
        <w:pStyle w:val="949"/>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10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rHeight w:val="524"/>
        </w:trPr>
        <w:tc>
          <w:tcPr>
            <w:tcW w:w="762"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序号</w:t>
            </w:r>
            <w:r>
              <w:rPr>
                <w:rFonts w:hint="eastAsia" w:ascii="宋体" w:hAnsi="宋体" w:eastAsia="宋体" w:cs="宋体"/>
                <w:b w:val="0"/>
                <w:bCs/>
                <w:i w:val="0"/>
                <w:iCs/>
                <w:color w:val="000000"/>
                <w:sz w:val="21"/>
                <w:szCs w:val="21"/>
                <w:highlight w:val="none"/>
                <w:u w:val="none"/>
                <w:vertAlign w:val="baseline"/>
                <w:lang w:val="en-US" w:eastAsia="zh-CN"/>
              </w:rPr>
            </w:r>
            <w:r/>
          </w:p>
        </w:tc>
        <w:tc>
          <w:tcPr>
            <w:tcW w:w="2050"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要求名称</w:t>
            </w:r>
            <w:r>
              <w:rPr>
                <w:rFonts w:hint="eastAsia" w:ascii="宋体" w:hAnsi="宋体" w:eastAsia="宋体" w:cs="宋体"/>
                <w:b w:val="0"/>
                <w:bCs/>
                <w:i w:val="0"/>
                <w:iCs/>
                <w:color w:val="000000"/>
                <w:sz w:val="21"/>
                <w:szCs w:val="21"/>
                <w:highlight w:val="none"/>
                <w:u w:val="none"/>
                <w:vertAlign w:val="baseline"/>
                <w:lang w:val="en-US" w:eastAsia="zh-CN"/>
              </w:rPr>
            </w:r>
            <w:r/>
          </w:p>
        </w:tc>
        <w:tc>
          <w:tcPr>
            <w:tcW w:w="5641"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val="0"/>
                <w:iCs/>
                <w:color w:val="000000"/>
                <w:sz w:val="21"/>
                <w:szCs w:val="21"/>
                <w:highlight w:val="none"/>
                <w:u w:val="none"/>
                <w:vertAlign w:val="baseline"/>
                <w:lang w:val="en-US" w:eastAsia="zh-CN"/>
              </w:rPr>
            </w:pPr>
            <w:r>
              <w:rPr>
                <w:rFonts w:hint="eastAsia" w:ascii="宋体" w:hAnsi="宋体" w:eastAsia="宋体" w:cs="宋体"/>
                <w:b w:val="0"/>
                <w:bCs/>
                <w:i w:val="0"/>
                <w:iCs/>
                <w:color w:val="000000"/>
                <w:sz w:val="21"/>
                <w:szCs w:val="21"/>
                <w:highlight w:val="none"/>
                <w:u w:val="none"/>
                <w:vertAlign w:val="baseline"/>
                <w:lang w:val="en-US" w:eastAsia="zh-CN"/>
              </w:rPr>
              <w:t xml:space="preserve">要求内容</w:t>
            </w:r>
            <w:r>
              <w:rPr>
                <w:rFonts w:hint="eastAsia" w:ascii="宋体" w:hAnsi="宋体" w:eastAsia="宋体" w:cs="宋体"/>
                <w:b w:val="0"/>
                <w:bCs/>
                <w:i w:val="0"/>
                <w:iCs/>
                <w:color w:val="000000"/>
                <w:sz w:val="21"/>
                <w:szCs w:val="21"/>
                <w:highlight w:val="none"/>
                <w:u w:val="none"/>
                <w:vertAlign w:val="baseline"/>
                <w:lang w:val="en-US" w:eastAsia="zh-CN"/>
              </w:rPr>
            </w:r>
            <w:r/>
          </w:p>
        </w:tc>
      </w:tr>
      <w:tr>
        <w:trPr/>
        <w:tc>
          <w:tcPr>
            <w:tcW w:w="762" w:type="dxa"/>
            <w:vAlign w:val="top"/>
            <w:textDirection w:val="lrTb"/>
            <w:noWrap w:val="false"/>
          </w:tcPr>
          <w:p>
            <w:pPr>
              <w:pStyle w:val="949"/>
              <w:jc w:val="center"/>
              <w:keepLines w:val="0"/>
              <w:keepNext w:val="0"/>
              <w:pageBreakBefore w:val="0"/>
              <w:spacing w:line="300" w:lineRule="exact"/>
              <w:widowControl w:val="off"/>
              <w:rPr>
                <w:rFonts w:hint="eastAsia"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1</w:t>
            </w:r>
            <w:r>
              <w:rPr>
                <w:rFonts w:hint="eastAsia" w:ascii="宋体" w:hAnsi="宋体" w:eastAsia="宋体" w:cs="宋体"/>
                <w:b w:val="0"/>
                <w:bCs/>
                <w:i/>
                <w:color w:val="000000"/>
                <w:sz w:val="21"/>
                <w:szCs w:val="21"/>
                <w:highlight w:val="none"/>
                <w:u w:val="single"/>
                <w:vertAlign w:val="baseline"/>
                <w:lang w:val="en-US" w:eastAsia="zh-CN"/>
              </w:rPr>
            </w:r>
            <w:r/>
          </w:p>
        </w:tc>
        <w:tc>
          <w:tcPr>
            <w:tcW w:w="2050" w:type="dxa"/>
            <w:vAlign w:val="top"/>
            <w:textDirection w:val="lrTb"/>
            <w:noWrap w:val="false"/>
          </w:tcPr>
          <w:p>
            <w:pPr>
              <w:pStyle w:val="949"/>
              <w:keepLines w:val="0"/>
              <w:keepNext w:val="0"/>
              <w:pageBreakBefore w:val="0"/>
              <w:spacing w:line="300" w:lineRule="exact"/>
              <w:widowControl w:val="off"/>
              <w:rPr>
                <w:rFonts w:ascii="宋体" w:hAnsi="宋体" w:eastAsia="宋体" w:cs="宋体"/>
                <w:b w:val="0"/>
                <w:bCs/>
                <w:i/>
                <w:color w:val="000000"/>
                <w:sz w:val="21"/>
                <w:szCs w:val="21"/>
                <w:highlight w:val="none"/>
                <w:u w:val="single"/>
                <w:vertAlign w:val="baseline"/>
                <w:lang w:val="en-US" w:eastAsia="zh-CN"/>
              </w:rPr>
            </w:pPr>
            <w:r>
              <w:rPr>
                <w:rFonts w:ascii="宋体" w:hAnsi="宋体" w:eastAsia="宋体" w:cs="宋体"/>
                <w:b w:val="0"/>
                <w:bCs/>
                <w:i/>
                <w:color w:val="000000"/>
                <w:sz w:val="21"/>
                <w:szCs w:val="21"/>
                <w:highlight w:val="none"/>
                <w:u w:val="single"/>
                <w:vertAlign w:val="baseline"/>
                <w:lang w:val="en-US" w:eastAsia="zh-CN"/>
              </w:rPr>
              <w:t xml:space="preserve">投标报价</w:t>
            </w:r>
            <w:r>
              <w:rPr>
                <w:rFonts w:ascii="宋体" w:hAnsi="宋体" w:eastAsia="宋体" w:cs="宋体"/>
                <w:b w:val="0"/>
                <w:bCs/>
                <w:i/>
                <w:color w:val="000000"/>
                <w:sz w:val="21"/>
                <w:szCs w:val="21"/>
                <w:highlight w:val="none"/>
                <w:u w:val="single"/>
                <w:vertAlign w:val="baseline"/>
                <w:lang w:val="en-US" w:eastAsia="zh-CN"/>
              </w:rPr>
            </w:r>
            <w:r/>
          </w:p>
        </w:tc>
        <w:tc>
          <w:tcPr>
            <w:tcW w:w="5641" w:type="dxa"/>
            <w:vAlign w:val="top"/>
            <w:textDirection w:val="lrTb"/>
            <w:noWrap w:val="false"/>
          </w:tcPr>
          <w:p>
            <w:pPr>
              <w:pStyle w:val="949"/>
              <w:keepLines w:val="0"/>
              <w:keepNext w:val="0"/>
              <w:pageBreakBefore w:val="0"/>
              <w:spacing w:line="300" w:lineRule="exact"/>
              <w:widowControl w:val="off"/>
              <w:rPr>
                <w:rFonts w:ascii="宋体" w:hAnsi="宋体" w:eastAsia="宋体" w:cs="宋体"/>
                <w:b w:val="0"/>
                <w:bCs/>
                <w:i/>
                <w:color w:val="000000"/>
                <w:sz w:val="21"/>
                <w:szCs w:val="21"/>
                <w:highlight w:val="none"/>
                <w:u w:val="single"/>
                <w:vertAlign w:val="baseline"/>
                <w:lang w:val="en-US" w:eastAsia="zh-CN"/>
              </w:rPr>
            </w:pPr>
            <w:r>
              <w:rPr>
                <w:rFonts w:hint="eastAsia" w:ascii="宋体" w:hAnsi="宋体" w:eastAsia="宋体" w:cs="宋体"/>
                <w:b w:val="0"/>
                <w:bCs/>
                <w:i/>
                <w:color w:val="000000"/>
                <w:sz w:val="21"/>
                <w:szCs w:val="21"/>
                <w:highlight w:val="none"/>
                <w:u w:val="single"/>
                <w:vertAlign w:val="baseline"/>
                <w:lang w:val="en-US" w:eastAsia="zh-CN"/>
              </w:rPr>
              <w:t xml:space="preserve">投标报价不得超过本项目预算。</w:t>
            </w:r>
            <w:r>
              <w:rPr>
                <w:rFonts w:ascii="宋体" w:hAnsi="宋体" w:eastAsia="宋体" w:cs="宋体"/>
                <w:b w:val="0"/>
                <w:bCs/>
                <w:i/>
                <w:color w:val="000000"/>
                <w:sz w:val="21"/>
                <w:szCs w:val="21"/>
                <w:highlight w:val="none"/>
                <w:u w:val="single"/>
                <w:vertAlign w:val="baseline"/>
                <w:lang w:val="en-US" w:eastAsia="zh-CN"/>
              </w:rPr>
            </w:r>
            <w:r/>
          </w:p>
        </w:tc>
      </w:tr>
    </w:tbl>
    <w:p>
      <w:pPr>
        <w:pStyle w:val="1000"/>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spacing w:line="520" w:lineRule="exact"/>
        <w:rPr>
          <w:rFonts w:hint="eastAsia" w:ascii="宋体" w:hAnsi="宋体" w:eastAsia="宋体" w:cs="宋体"/>
          <w:color w:val="000000"/>
          <w:highlight w:val="none"/>
          <w:lang w:val="en-US" w:eastAsia="zh-CN"/>
        </w:rPr>
      </w:pPr>
      <w:r/>
      <w:bookmarkStart w:id="207" w:name="_Toc12061428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50"/>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50"/>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rPr>
          <w:rFonts w:hint="eastAsia" w:ascii="宋体" w:hAnsi="宋体" w:eastAsia="宋体" w:cs="宋体"/>
          <w:bCs/>
          <w:color w:val="000000"/>
          <w:sz w:val="44"/>
          <w:highlight w:val="none"/>
        </w:rPr>
      </w:r>
      <w:r/>
    </w:p>
    <w:p>
      <w:pPr>
        <w:pStyle w:val="9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ind w:firstLine="384"/>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1名中标候选人。</w:t>
      </w:r>
      <w:r>
        <w:rPr>
          <w:rFonts w:hint="eastAsia" w:ascii="宋体" w:hAnsi="宋体" w:eastAsia="宋体" w:cs="宋体"/>
          <w:color w:val="000000"/>
          <w:highlight w:val="none"/>
        </w:rPr>
      </w:r>
      <w:r/>
    </w:p>
    <w:p>
      <w:pPr>
        <w:pStyle w:val="1039"/>
        <w:ind w:firstLine="441"/>
        <w:rPr>
          <w:rFonts w:hint="eastAsia" w:ascii="宋体" w:hAnsi="宋体" w:eastAsia="宋体" w:cs="宋体"/>
          <w:b/>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none"/>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1、采购本国产品的支持政策</w:t>
      </w:r>
      <w:r>
        <w:rPr>
          <w:rFonts w:hint="eastAsia" w:ascii="宋体" w:hAnsi="宋体" w:eastAsia="宋体" w:cs="宋体"/>
          <w:color w:val="000000"/>
          <w:sz w:val="24"/>
          <w:szCs w:val="24"/>
          <w:highlight w:val="none"/>
          <w:lang w:val="en-US" w:eastAsia="zh-CN" w:bidi="ar-SA"/>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lang w:val="en-US" w:eastAsia="zh-CN" w:bidi="ar-SA"/>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49"/>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1039"/>
        <w:spacing w:line="40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强制采购节能产品。政府强制采购节能产品是指</w:t>
      </w:r>
      <w:bookmarkStart w:id="208"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8"/>
      <w:r>
        <w:rPr>
          <w:rFonts w:hint="eastAsia" w:ascii="宋体" w:hAnsi="宋体" w:eastAsia="宋体" w:cs="宋体"/>
          <w:color w:val="000000"/>
          <w:highlight w:val="none"/>
          <w:lang w:val="zh-CN"/>
        </w:rPr>
        <w:t xml:space="preserve">；本项目中涉及到强制采购产品的，供应商须按照上述要求提供相关产品的证明材料，否则响应无效。</w:t>
      </w:r>
      <w:bookmarkStart w:id="209" w:name="OLE_LINK210"/>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bookmarkEnd w:id="209"/>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（1）商品包装层数不得超过 3 层，空隙率不大于 40%；</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（2）商品包装尽可能使用单一材质的包装材料，如因功能需求必需使用不同材质，不同材质间应便于分离；</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（5）塑料材质商品包装上呈现的印刷颜色不得超过 6 色；</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（6）纸质商品包装应使用 75%以上的可再生纤维原料生产；</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（7）木质商品包装的原料应来源于可持续性森林。</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rPr>
        <w:t xml:space="preserve">快递包装环保要求：</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（1）快递包装中重金属（铅、汞、镉、六价铬）总量应不大于 100mg/kg；</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（2）快递包装印刷使用的油墨中不应添加邻苯二甲酸酯，其挥发性有机化合物(VOCs)含量应不大于5%（以重量计）；</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（3）快递包装中使用纸基材的包装材料，纸基材中的有机氯的含量应不大于 150 mg/kg；</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（5）快递中使用的塑料包装袋不得使用聚氯乙烯作为原料，且原料应为单一材质制成，生物分解率大于60%；</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（6）快递中使用的充气类填充物不得使用聚氯乙烯作为 原料，且原料为单一材质制成，生物分解率大于60%；</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（7）快递中使用的集装袋应为单一材质制成，其重复使用次数应不小于 80 次；</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（8）快递中应使用幅宽不大于45mm 的生物降解胶带；</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（9）快递包装中不得使用溶剂型胶粘剂；</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（11）快递应使用电子面单；</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（12）直接使用商品包装作为快递包装的商品，其商品包装满足《商品包装政府采购需求标准（试行）》即可；</w:t>
      </w:r>
      <w:r>
        <w:rPr>
          <w:rFonts w:hint="eastAsia" w:ascii="宋体" w:hAnsi="宋体" w:eastAsia="宋体" w:cs="宋体"/>
          <w:color w:val="000000"/>
          <w:highlight w:val="none"/>
          <w:lang w:val="zh-CN"/>
        </w:rPr>
      </w:r>
      <w:r/>
    </w:p>
    <w:p>
      <w:pPr>
        <w:pStyle w:val="10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（13）快递包装产品质量和封装方式应符合相关国家或行业标准技术指标要求。</w:t>
      </w:r>
      <w:r>
        <w:rPr>
          <w:rFonts w:hint="eastAsia" w:ascii="宋体" w:hAnsi="宋体" w:eastAsia="宋体" w:cs="宋体"/>
          <w:color w:val="000000"/>
          <w:highlight w:val="none"/>
          <w:lang w:val="zh-CN"/>
        </w:rPr>
      </w:r>
      <w:r/>
    </w:p>
    <w:p>
      <w:pPr>
        <w:pStyle w:val="1039"/>
        <w:spacing w:line="40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highlight w:val="none"/>
          <w:lang w:val="zh-CN"/>
        </w:rPr>
      </w:r>
      <w:r/>
    </w:p>
    <w:p>
      <w:pPr>
        <w:pStyle w:val="1039"/>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1039"/>
        <w:numPr>
          <w:ilvl w:val="0"/>
          <w:numId w:val="10"/>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p>
      <w:pPr>
        <w:pStyle w:val="949"/>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1039"/>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1039"/>
        <w:numPr>
          <w:ilvl w:val="0"/>
          <w:numId w:val="10"/>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
        <w:gridCol w:w="912"/>
        <w:gridCol w:w="5052"/>
        <w:gridCol w:w="1164"/>
        <w:gridCol w:w="1092"/>
        <w:gridCol w:w="963"/>
      </w:tblGrid>
      <w:tr>
        <w:trPr/>
        <w:tc>
          <w:tcPr>
            <w:tcW w:w="423"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912"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5052"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1164"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1092"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963"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c>
          <w:tcPr>
            <w:tcW w:w="423" w:type="dxa"/>
            <w:vAlign w:val="center"/>
            <w:textDirection w:val="lrTb"/>
            <w:noWrap/>
          </w:tcPr>
          <w:p>
            <w:pPr>
              <w:pStyle w:val="1039"/>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912" w:type="dxa"/>
            <w:vAlign w:val="center"/>
            <w:textDirection w:val="lrTb"/>
            <w:noWrap/>
          </w:tcPr>
          <w:p>
            <w:pPr>
              <w:pStyle w:val="1039"/>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服务理念及组织架构</w:t>
            </w:r>
            <w:r>
              <w:rPr>
                <w:rFonts w:hint="eastAsia" w:ascii="宋体" w:hAnsi="宋体" w:eastAsia="宋体" w:cs="宋体"/>
                <w:b/>
                <w:color w:val="000000"/>
                <w:sz w:val="24"/>
                <w:szCs w:val="24"/>
                <w:highlight w:val="none"/>
              </w:rPr>
            </w:r>
            <w:r/>
          </w:p>
        </w:tc>
        <w:tc>
          <w:tcPr>
            <w:tcW w:w="5052" w:type="dxa"/>
            <w:vAlign w:val="center"/>
            <w:textDirection w:val="lrTb"/>
            <w:noWrap/>
          </w:tcPr>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投标人根据本项目特点，制定下列内容：</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1.服务管理工作目标与定位</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2.管理模式、服务理念；</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3.整体运作流程质量保证措施；</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4.组织架构及内部管理机制健全；</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以上每项最高得分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分，合计最高得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分，每项评分标准如下：</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上述每项应逐条叙述，方案内容完整详实，思路清晰，重难点把握准确，理念新颖有特色且切实可行的，每项得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方案中有重难点分析但不够全面，服务预期目标基本满足采购需求、工作设想及策划简单，每项得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叙述内容与采购需求偏差较大或未作整完叙述的，每项不得分。</w:t>
            </w:r>
            <w:r>
              <w:rPr>
                <w:rFonts w:hint="eastAsia" w:ascii="宋体" w:hAnsi="宋体" w:eastAsia="宋体" w:cs="宋体"/>
                <w:bCs/>
                <w:color w:val="000000"/>
                <w:sz w:val="24"/>
                <w:szCs w:val="24"/>
                <w:highlight w:val="none"/>
              </w:rPr>
            </w:r>
            <w:r/>
          </w:p>
        </w:tc>
        <w:tc>
          <w:tcPr>
            <w:tcW w:w="1164" w:type="dxa"/>
            <w:vAlign w:val="center"/>
            <w:textDirection w:val="lrTb"/>
            <w:noWrap/>
          </w:tcPr>
          <w:p>
            <w:pPr>
              <w:pStyle w:val="1039"/>
              <w:ind w:firstLine="0"/>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1092" w:type="dxa"/>
            <w:vAlign w:val="center"/>
            <w:textDirection w:val="lrTb"/>
            <w:noWrap/>
          </w:tcPr>
          <w:p>
            <w:pPr>
              <w:pStyle w:val="1039"/>
              <w:ind w:firstLine="0"/>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r>
            <w:r/>
          </w:p>
        </w:tc>
        <w:tc>
          <w:tcPr>
            <w:tcW w:w="963" w:type="dxa"/>
            <w:vAlign w:val="center"/>
            <w:textDirection w:val="lrTb"/>
            <w:noWrap/>
          </w:tcPr>
          <w:p>
            <w:pPr>
              <w:pStyle w:val="1039"/>
              <w:ind w:firstLine="0"/>
              <w:jc w:val="center"/>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主观分</w:t>
            </w:r>
            <w:r>
              <w:rPr>
                <w:rFonts w:hint="eastAsia" w:ascii="宋体" w:hAnsi="宋体" w:eastAsia="宋体" w:cs="宋体"/>
                <w:color w:val="000000"/>
                <w:sz w:val="24"/>
                <w:szCs w:val="24"/>
                <w:highlight w:val="none"/>
                <w:lang w:val="en-US" w:eastAsia="zh-CN" w:bidi="ar-SA"/>
              </w:rPr>
            </w:r>
            <w:r/>
          </w:p>
        </w:tc>
      </w:tr>
      <w:tr>
        <w:trPr/>
        <w:tc>
          <w:tcPr>
            <w:tcW w:w="423" w:type="dxa"/>
            <w:vAlign w:val="center"/>
            <w:textDirection w:val="lrTb"/>
            <w:noWrap/>
          </w:tcPr>
          <w:p>
            <w:pPr>
              <w:pStyle w:val="10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r>
            <w:r/>
          </w:p>
        </w:tc>
        <w:tc>
          <w:tcPr>
            <w:tcW w:w="912" w:type="dxa"/>
            <w:vAlign w:val="center"/>
            <w:textDirection w:val="lrTb"/>
            <w:noWrap/>
          </w:tcPr>
          <w:p>
            <w:pPr>
              <w:pStyle w:val="1039"/>
              <w:ind w:firstLine="0"/>
              <w:jc w:val="both"/>
              <w:spacing w:line="0" w:lineRule="atLeas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管理服务制度</w:t>
            </w:r>
            <w:r>
              <w:rPr>
                <w:rFonts w:hint="eastAsia" w:ascii="宋体" w:hAnsi="宋体" w:eastAsia="宋体" w:cs="宋体"/>
                <w:b/>
                <w:color w:val="000000"/>
                <w:sz w:val="24"/>
                <w:szCs w:val="24"/>
                <w:highlight w:val="none"/>
              </w:rPr>
            </w:r>
            <w:r/>
          </w:p>
        </w:tc>
        <w:tc>
          <w:tcPr>
            <w:tcW w:w="5052" w:type="dxa"/>
            <w:vAlign w:val="center"/>
            <w:textDirection w:val="lrTb"/>
            <w:noWrap/>
          </w:tcPr>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投标人根据本项目特点，制定下列管理服务制度：</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1.环境清洁管理制度； </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2.安全管理制度；</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3.人力资源及财务管理制度； </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4.档案管理制度；</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5.运送管理制度；</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6.人员培训制度;</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以上制度齐全，制定合理，内容完整，条理清晰，便于落实，针对性强，得6分；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制度制定不齐全，内容不够详实，管理模式基本能满足服务要求得3分； </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叙述内容与采购需求偏差较大或未作完整叙述的，得1分。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bCs/>
                <w:color w:val="000000"/>
                <w:sz w:val="24"/>
                <w:szCs w:val="24"/>
                <w:highlight w:val="none"/>
              </w:rPr>
            </w:r>
            <w:r/>
          </w:p>
        </w:tc>
        <w:tc>
          <w:tcPr>
            <w:tcW w:w="1164" w:type="dxa"/>
            <w:vAlign w:val="center"/>
            <w:textDirection w:val="lrTb"/>
            <w:noWrap/>
          </w:tcPr>
          <w:p>
            <w:pPr>
              <w:pStyle w:val="949"/>
              <w:jc w:val="center"/>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color w:val="000000"/>
                <w:sz w:val="24"/>
                <w:szCs w:val="24"/>
                <w:highlight w:val="none"/>
              </w:rPr>
            </w:r>
            <w:r/>
          </w:p>
        </w:tc>
        <w:tc>
          <w:tcPr>
            <w:tcW w:w="1092" w:type="dxa"/>
            <w:vAlign w:val="center"/>
            <w:textDirection w:val="lrTb"/>
            <w:noWrap/>
          </w:tcPr>
          <w:p>
            <w:pPr>
              <w:pStyle w:val="949"/>
              <w:jc w:val="center"/>
              <w:spacing w:before="120" w:after="120"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b/>
                <w:color w:val="000000"/>
                <w:sz w:val="24"/>
                <w:szCs w:val="24"/>
                <w:highlight w:val="none"/>
              </w:rPr>
            </w:r>
            <w:r/>
          </w:p>
        </w:tc>
        <w:tc>
          <w:tcPr>
            <w:tcW w:w="963" w:type="dxa"/>
            <w:vAlign w:val="center"/>
            <w:textDirection w:val="lrTb"/>
            <w:noWrap/>
          </w:tcPr>
          <w:p>
            <w:pPr>
              <w:pStyle w:val="949"/>
              <w:jc w:val="center"/>
              <w:spacing w:before="120" w:after="120" w:line="5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主观分</w:t>
            </w:r>
            <w:r>
              <w:rPr>
                <w:rFonts w:hint="eastAsia" w:ascii="宋体" w:hAnsi="宋体" w:eastAsia="宋体" w:cs="宋体"/>
                <w:b/>
                <w:color w:val="000000"/>
                <w:sz w:val="24"/>
                <w:szCs w:val="24"/>
                <w:highlight w:val="none"/>
                <w:lang w:val="en-US" w:eastAsia="zh-CN"/>
              </w:rPr>
            </w:r>
            <w:r/>
          </w:p>
        </w:tc>
      </w:tr>
      <w:tr>
        <w:trPr/>
        <w:tc>
          <w:tcPr>
            <w:tcW w:w="423" w:type="dxa"/>
            <w:vAlign w:val="center"/>
            <w:textDirection w:val="lrTb"/>
            <w:noWrap/>
          </w:tcPr>
          <w:p>
            <w:pPr>
              <w:pStyle w:val="949"/>
              <w:jc w:val="center"/>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b/>
                <w:color w:val="000000"/>
                <w:sz w:val="24"/>
                <w:szCs w:val="24"/>
                <w:highlight w:val="none"/>
                <w:lang w:val="en-US" w:eastAsia="zh-CN"/>
              </w:rPr>
            </w:r>
            <w:r/>
          </w:p>
        </w:tc>
        <w:tc>
          <w:tcPr>
            <w:tcW w:w="912"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管理服务方案</w:t>
            </w:r>
            <w:r>
              <w:rPr>
                <w:rFonts w:hint="eastAsia" w:ascii="宋体" w:hAnsi="宋体" w:eastAsia="宋体" w:cs="宋体"/>
                <w:color w:val="000000"/>
                <w:sz w:val="24"/>
                <w:szCs w:val="24"/>
                <w:highlight w:val="none"/>
              </w:rPr>
            </w:r>
            <w:r/>
          </w:p>
        </w:tc>
        <w:tc>
          <w:tcPr>
            <w:tcW w:w="5052" w:type="dxa"/>
            <w:vAlign w:val="center"/>
            <w:textDirection w:val="lrTb"/>
            <w:noWrap/>
          </w:tcPr>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投标人根据本项目特点，制定下列管理服务方案：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1.保洁服务方案；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2.运送服务方案；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3.能耗管理方案；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4.后勤零星维修及运营（空调、锅炉）服务方案；</w:t>
            </w:r>
            <w:r>
              <w:rPr>
                <w:rFonts w:hint="eastAsia" w:ascii="宋体" w:hAnsi="宋体" w:eastAsia="宋体" w:cs="宋体"/>
                <w:color w:val="000000"/>
                <w:sz w:val="24"/>
                <w:szCs w:val="24"/>
                <w:highlight w:val="none"/>
                <w:lang w:val="en-US" w:eastAsia="zh-CN"/>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上述方案逐条叙述齐全，内容完整，条理清晰，操作规程符合规范要求和实际工作，得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上述方案叙述不够齐全，方案基本能满足采购需求，方案内容不够详实，和实际工作结合度一般的得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每小项叙述内容与采购需求偏差较大或未作完整叙述的，得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164"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r>
            <w:r/>
          </w:p>
        </w:tc>
        <w:tc>
          <w:tcPr>
            <w:tcW w:w="1092" w:type="dxa"/>
            <w:vAlign w:val="center"/>
            <w:textDirection w:val="lrTb"/>
            <w:noWrap/>
          </w:tcPr>
          <w:p>
            <w:pPr>
              <w:pStyle w:val="949"/>
              <w:ind w:firstLine="213"/>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963" w:type="dxa"/>
            <w:vAlign w:val="center"/>
            <w:textDirection w:val="lrTb"/>
            <w:noWrap/>
          </w:tcPr>
          <w:p>
            <w:pPr>
              <w:pStyle w:val="949"/>
              <w:jc w:val="center"/>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r>
      <w:tr>
        <w:trPr/>
        <w:tc>
          <w:tcPr>
            <w:tcW w:w="423"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12"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管理保障方案</w:t>
            </w:r>
            <w:r>
              <w:rPr>
                <w:rFonts w:hint="eastAsia" w:ascii="宋体" w:hAnsi="宋体" w:eastAsia="宋体" w:cs="宋体"/>
                <w:color w:val="000000"/>
                <w:sz w:val="24"/>
                <w:szCs w:val="24"/>
                <w:highlight w:val="none"/>
              </w:rPr>
            </w:r>
            <w:r/>
          </w:p>
        </w:tc>
        <w:tc>
          <w:tcPr>
            <w:tcW w:w="5052" w:type="dxa"/>
            <w:vAlign w:val="center"/>
            <w:textDirection w:val="lrTb"/>
            <w:noWrap/>
          </w:tcPr>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投标人根据本项目特点，制定以下物资类保障方案及相关管理类保障方案：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1.设备配置方案：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针对本项目特点，投标人提供设备类配置方案（包括名称、规格、实物图片、数量等内容，以上内容提供不齐全不得分，品种及数量低于采购人配置清单不得分）</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设备配置清单要求，所配置的设备规格档次高，功能及性能强，配置齐全，完全满足项目使用需求的得3分，设备功能较简单，配置较齐全，基本满足项目使用需求的得1分，叙述内容与采购需求偏差较大或未作完整叙述的，不得分。</w:t>
            </w:r>
            <w:r>
              <w:rPr>
                <w:rFonts w:hint="eastAsia" w:ascii="宋体" w:hAnsi="宋体" w:eastAsia="宋体" w:cs="宋体"/>
                <w:color w:val="000000"/>
                <w:sz w:val="24"/>
                <w:szCs w:val="24"/>
                <w:highlight w:val="none"/>
              </w:rPr>
            </w:r>
            <w:r/>
          </w:p>
          <w:p>
            <w:pPr>
              <w:pStyle w:val="949"/>
              <w:ind w:left="100"/>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2.重大活动保障方案：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采购人需要提供会议、庆典、节日、学术、义诊等活动的保障服务，主要完成相关会议室的会议室卫生及物品管理等，针对医院各类检查、参观、创建评审等事件提供相应服务，提出可操作性方案，方案内容完整详实，服务响应及时，服务标准规范，措施扎实有效的，得3分；服务方案内容有简略、服务内容基本满足采购要求，操作规程部分符合规范要求，和实际工作结合度一般的得1分；叙述内容与采购需求偏差较大或未作完整叙述的，不得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3.应急预案：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投标人提供物业服务区域内各级各</w:t>
            </w:r>
            <w:r>
              <w:rPr>
                <w:rFonts w:hint="eastAsia" w:ascii="宋体" w:hAnsi="宋体" w:eastAsia="宋体" w:cs="宋体"/>
                <w:color w:val="000000"/>
                <w:sz w:val="24"/>
                <w:szCs w:val="24"/>
                <w:highlight w:val="none"/>
              </w:rPr>
              <w:t xml:space="preserve">类应急预案。应包括各类纠纷、台风、暴雨、冻雪等灾害性天气、突发公共卫生事件（如传染病防控措施等）、通用设施设备故障及医院其他突发事件，提供相应的措施，重点说明如何快速调配所需人员、具体操作流程、长效措施等，说明所需人员岗位安排分配明细情况（包括人员数量配置，公司支持力度等），方案内容完整详实，服务响应及时，服务标准规范，措施扎实有效，符合院感要求的得3分；服务方案内容有简略、服务内容基本满足采购要求，操作规程部分符合规范要求，和实际工作结合度一般的得1分，叙述内容与采购需求偏差较大或未作完整叙述的，不得分。</w:t>
            </w:r>
            <w:r>
              <w:rPr>
                <w:rFonts w:hint="eastAsia" w:ascii="宋体" w:hAnsi="宋体" w:eastAsia="宋体" w:cs="宋体"/>
                <w:color w:val="000000"/>
                <w:sz w:val="24"/>
                <w:szCs w:val="24"/>
                <w:highlight w:val="none"/>
              </w:rPr>
            </w:r>
            <w:r/>
          </w:p>
        </w:tc>
        <w:tc>
          <w:tcPr>
            <w:tcW w:w="1164"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r>
            <w:r/>
          </w:p>
        </w:tc>
        <w:tc>
          <w:tcPr>
            <w:tcW w:w="1092" w:type="dxa"/>
            <w:vAlign w:val="center"/>
            <w:textDirection w:val="lrTb"/>
            <w:noWrap/>
          </w:tcPr>
          <w:p>
            <w:pPr>
              <w:pStyle w:val="949"/>
              <w:ind w:firstLine="215"/>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963" w:type="dxa"/>
            <w:vAlign w:val="center"/>
            <w:textDirection w:val="lrTb"/>
            <w:noWrap/>
          </w:tcPr>
          <w:p>
            <w:pPr>
              <w:pStyle w:val="949"/>
              <w:jc w:val="center"/>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r>
      <w:tr>
        <w:trPr/>
        <w:tc>
          <w:tcPr>
            <w:tcW w:w="423"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912"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医院专项服务方案</w:t>
            </w:r>
            <w:r>
              <w:rPr>
                <w:rFonts w:hint="eastAsia" w:ascii="宋体" w:hAnsi="宋体" w:eastAsia="宋体" w:cs="宋体"/>
                <w:color w:val="000000"/>
                <w:sz w:val="24"/>
                <w:szCs w:val="24"/>
                <w:highlight w:val="none"/>
              </w:rPr>
            </w:r>
            <w:r/>
          </w:p>
        </w:tc>
        <w:tc>
          <w:tcPr>
            <w:tcW w:w="5052" w:type="dxa"/>
            <w:vAlign w:val="center"/>
            <w:textDirection w:val="lrTb"/>
            <w:noWrap/>
          </w:tcPr>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投标人根据本项目特点，制定以下专项服务方案：</w:t>
            </w:r>
            <w:r>
              <w:rPr>
                <w:rFonts w:hint="eastAsia" w:ascii="宋体" w:hAnsi="宋体" w:eastAsia="宋体" w:cs="宋体"/>
                <w:color w:val="000000"/>
                <w:sz w:val="24"/>
                <w:szCs w:val="24"/>
                <w:highlight w:val="none"/>
              </w:rPr>
            </w:r>
            <w:r/>
          </w:p>
          <w:p>
            <w:pPr>
              <w:pStyle w:val="949"/>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1.防止交叉感染管理方案：提供符合本项目特点的防止交叉感染作业规程方案，作业方案详细完整有针对性的得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分；服务方案内容有简略、服务内容基本满足采购要求，操作规程部分符合规范要求，和实际工作结合度一般的得1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分，每项叙述内容与采购需求偏差较大或未作完整叙述的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2.医废收集转运方案：提供符合本项目特点的方案，应包括收集与运送、分类、暂存、消杀等内容，方案内容完整详实，服务响应及时，服务标准规范，措施扎实有效，符合院感要求的得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分；服务方案内容有简略、服务内容基本满足采购要求，操作规程部分符合规范要求，和实际工作结合度一般的得1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分，每项叙述内容与采购需求偏差较大或未作完整叙述的，不得分。</w:t>
            </w:r>
            <w:r>
              <w:rPr>
                <w:rFonts w:hint="eastAsia" w:ascii="宋体" w:hAnsi="宋体" w:eastAsia="宋体" w:cs="宋体"/>
                <w:color w:val="000000"/>
                <w:sz w:val="24"/>
                <w:szCs w:val="24"/>
                <w:highlight w:val="none"/>
              </w:rPr>
            </w:r>
            <w:r/>
          </w:p>
        </w:tc>
        <w:tc>
          <w:tcPr>
            <w:tcW w:w="1164"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r>
            <w:r/>
          </w:p>
        </w:tc>
        <w:tc>
          <w:tcPr>
            <w:tcW w:w="1092" w:type="dxa"/>
            <w:vAlign w:val="center"/>
            <w:textDirection w:val="lrTb"/>
            <w:noWrap/>
          </w:tcPr>
          <w:p>
            <w:pPr>
              <w:pStyle w:val="949"/>
              <w:ind w:firstLine="215"/>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963" w:type="dxa"/>
            <w:vAlign w:val="center"/>
            <w:textDirection w:val="lrTb"/>
            <w:noWrap/>
          </w:tcPr>
          <w:p>
            <w:pPr>
              <w:pStyle w:val="949"/>
              <w:jc w:val="center"/>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r>
      <w:tr>
        <w:trPr/>
        <w:tc>
          <w:tcPr>
            <w:tcW w:w="423"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12" w:type="dxa"/>
            <w:vAlign w:val="center"/>
            <w:textDirection w:val="lrTb"/>
            <w:noWrap/>
          </w:tcPr>
          <w:p>
            <w:pPr>
              <w:pStyle w:val="94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交接过渡方案</w:t>
            </w:r>
            <w:r>
              <w:rPr>
                <w:rFonts w:hint="eastAsia" w:ascii="宋体" w:hAnsi="宋体" w:eastAsia="宋体" w:cs="宋体"/>
                <w:color w:val="000000"/>
                <w:sz w:val="24"/>
                <w:szCs w:val="24"/>
                <w:highlight w:val="none"/>
              </w:rPr>
            </w:r>
            <w:r/>
          </w:p>
        </w:tc>
        <w:tc>
          <w:tcPr>
            <w:tcW w:w="5052" w:type="dxa"/>
            <w:vAlign w:val="center"/>
            <w:textDirection w:val="lrTb"/>
            <w:noWrap/>
          </w:tcPr>
          <w:p>
            <w:pPr>
              <w:pStyle w:val="949"/>
              <w:jc w:val="left"/>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采购人需求，提供与采购人原有物业服务单位的具体衔接方案及与下一轮中标供应商交接方案。主要从总体工作思路、不同点位不同岗位人员的配置、衔接过程中可能发生的矛盾冲突、具体衔接需要的时间等等方面详细提供具体的方案。提供详细切实可行的工作思路、考虑的突发情况全面、解决矛盾冲突切实有效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分，提供方案达到以上列明内容但缺乏实际操作性的得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分，提供方案未全部包含以上列明内容的得1分，不提供方案不得分。</w:t>
            </w:r>
            <w:r>
              <w:rPr>
                <w:rFonts w:hint="eastAsia" w:ascii="宋体" w:hAnsi="宋体" w:eastAsia="宋体" w:cs="宋体"/>
                <w:color w:val="000000"/>
                <w:sz w:val="24"/>
                <w:szCs w:val="24"/>
                <w:highlight w:val="none"/>
              </w:rPr>
            </w:r>
            <w:r/>
          </w:p>
        </w:tc>
        <w:tc>
          <w:tcPr>
            <w:tcW w:w="1164" w:type="dxa"/>
            <w:vAlign w:val="center"/>
            <w:textDirection w:val="lrTb"/>
            <w:noWrap/>
          </w:tcPr>
          <w:p>
            <w:pPr>
              <w:pStyle w:val="949"/>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092" w:type="dxa"/>
            <w:vAlign w:val="center"/>
            <w:textDirection w:val="lrTb"/>
            <w:noWrap/>
          </w:tcPr>
          <w:p>
            <w:pPr>
              <w:pStyle w:val="949"/>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963" w:type="dxa"/>
            <w:vAlign w:val="center"/>
            <w:textDirection w:val="lrTb"/>
            <w:noWrap/>
          </w:tcPr>
          <w:p>
            <w:pPr>
              <w:pStyle w:val="949"/>
              <w:jc w:val="center"/>
              <w:spacing w:before="120" w:after="12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r>
    </w:tbl>
    <w:p>
      <w:pPr>
        <w:pStyle w:val="1039"/>
        <w:numPr>
          <w:ilvl w:val="0"/>
          <w:numId w:val="10"/>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14"/>
        <w:gridCol w:w="5475"/>
        <w:gridCol w:w="675"/>
        <w:gridCol w:w="870"/>
        <w:gridCol w:w="642"/>
      </w:tblGrid>
      <w:tr>
        <w:trPr/>
        <w:tc>
          <w:tcPr>
            <w:tcW w:w="730"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214"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5475"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675"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870"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642" w:type="dxa"/>
            <w:vAlign w:val="center"/>
            <w:textDirection w:val="lrTb"/>
            <w:noWrap/>
          </w:tcPr>
          <w:p>
            <w:pPr>
              <w:pStyle w:val="10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rHeight w:val="513"/>
        </w:trPr>
        <w:tc>
          <w:tcPr>
            <w:tcW w:w="73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14" w:type="dxa"/>
            <w:vAlign w:val="center"/>
            <w:textDirection w:val="lrTb"/>
            <w:noWrap/>
          </w:tcPr>
          <w:p>
            <w:pPr>
              <w:pStyle w:val="949"/>
              <w:jc w:val="center"/>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体系认证</w:t>
            </w:r>
            <w:r>
              <w:rPr>
                <w:rFonts w:hint="eastAsia" w:ascii="宋体" w:hAnsi="宋体" w:eastAsia="宋体" w:cs="宋体"/>
                <w:color w:val="000000"/>
                <w:sz w:val="24"/>
                <w:szCs w:val="24"/>
                <w:highlight w:val="none"/>
                <w:lang w:val="en-US" w:eastAsia="zh-CN"/>
              </w:rPr>
            </w:r>
            <w:r/>
          </w:p>
        </w:tc>
        <w:tc>
          <w:tcPr>
            <w:tcW w:w="5475"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1.具有质量管理体系标准认证得2分。                                       </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2.具有职业健康安全管理体系标准认得2分。                               </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3.具有环境管理体系标准认证得2分。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注：供应商需要同时提供①认证证书在“国家认证认可监督管理委员会”官网（http://www.cnca.gov.cn/)的截图并加盖供应商公章；②认证证书原件的扫描件。原件扫描件（或复印件）或有但未盖章、查询截图缺少缺任意一项，则不得分。</w:t>
            </w:r>
            <w:r>
              <w:rPr>
                <w:rFonts w:hint="eastAsia" w:ascii="宋体" w:hAnsi="宋体" w:eastAsia="宋体" w:cs="宋体"/>
                <w:color w:val="000000"/>
                <w:sz w:val="24"/>
                <w:szCs w:val="24"/>
                <w:highlight w:val="none"/>
                <w:lang w:val="en-US" w:eastAsia="zh-CN"/>
              </w:rPr>
            </w:r>
            <w:r/>
          </w:p>
        </w:tc>
        <w:tc>
          <w:tcPr>
            <w:tcW w:w="675" w:type="dxa"/>
            <w:vAlign w:val="center"/>
            <w:textDirection w:val="lrTb"/>
            <w:noWrap/>
          </w:tcPr>
          <w:p>
            <w:pPr>
              <w:pStyle w:val="949"/>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6</w:t>
            </w:r>
            <w:r>
              <w:rPr>
                <w:rFonts w:hint="eastAsia" w:ascii="宋体" w:hAnsi="宋体" w:eastAsia="宋体" w:cs="宋体"/>
                <w:color w:val="000000"/>
                <w:sz w:val="24"/>
                <w:szCs w:val="24"/>
                <w:highlight w:val="none"/>
                <w:lang w:val="en-US" w:eastAsia="zh-CN"/>
              </w:rPr>
            </w:r>
            <w:r/>
          </w:p>
        </w:tc>
        <w:tc>
          <w:tcPr>
            <w:tcW w:w="87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642"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43"/>
        </w:trPr>
        <w:tc>
          <w:tcPr>
            <w:tcW w:w="73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14" w:type="dxa"/>
            <w:vAlign w:val="center"/>
            <w:textDirection w:val="lrTb"/>
            <w:noWrap/>
          </w:tcPr>
          <w:p>
            <w:pPr>
              <w:pStyle w:val="949"/>
              <w:jc w:val="center"/>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项目组成员</w:t>
            </w:r>
            <w:r>
              <w:rPr>
                <w:rFonts w:hint="eastAsia" w:ascii="宋体" w:hAnsi="宋体" w:eastAsia="宋体" w:cs="宋体"/>
                <w:color w:val="000000"/>
                <w:sz w:val="24"/>
                <w:szCs w:val="24"/>
                <w:highlight w:val="none"/>
                <w:lang w:val="en-US" w:eastAsia="zh-CN"/>
              </w:rPr>
            </w:r>
            <w:r/>
          </w:p>
        </w:tc>
        <w:tc>
          <w:tcPr>
            <w:tcW w:w="5475"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拟派项目负责人具有物业管理项目经理上岗证的得3分；具有本科学历及以上的得3分；具有园林绿化及相关专业中级及以上工程师证书的得2分，具有四级消防设施操作员证书的得2分。本项满分得8分。（需提供负责人证书原件清晰彩色扫描件；人社部门盖章的2025年9月-2026年3月期间任意一个月投标人为项目负责人交纳社保的证明原件清晰彩色扫描件加盖公章，未提供社保证明的本项不得分；</w:t>
            </w:r>
            <w:r>
              <w:rPr>
                <w:rFonts w:hint="eastAsia" w:ascii="宋体" w:hAnsi="宋体" w:eastAsia="宋体" w:cs="宋体"/>
                <w:color w:val="000000"/>
                <w:sz w:val="24"/>
                <w:szCs w:val="24"/>
                <w:highlight w:val="none"/>
                <w:lang w:val="en-US" w:eastAsia="zh-CN"/>
              </w:rPr>
            </w:r>
            <w:r/>
          </w:p>
        </w:tc>
        <w:tc>
          <w:tcPr>
            <w:tcW w:w="675" w:type="dxa"/>
            <w:vAlign w:val="center"/>
            <w:textDirection w:val="lrTb"/>
            <w:noWrap/>
          </w:tcPr>
          <w:p>
            <w:pPr>
              <w:pStyle w:val="949"/>
              <w:jc w:val="center"/>
              <w:keepLines w:val="0"/>
              <w:keepNext w:val="0"/>
              <w:pageBreakBefore w:val="0"/>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87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642"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43"/>
        </w:trPr>
        <w:tc>
          <w:tcPr>
            <w:tcW w:w="73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14" w:type="dxa"/>
            <w:vAlign w:val="center"/>
            <w:textDirection w:val="lrTb"/>
            <w:noWrap/>
          </w:tcPr>
          <w:p>
            <w:pPr>
              <w:pStyle w:val="949"/>
              <w:jc w:val="center"/>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物业服务业绩</w:t>
            </w:r>
            <w:r>
              <w:rPr>
                <w:rFonts w:hint="eastAsia" w:ascii="宋体" w:hAnsi="宋体" w:eastAsia="宋体" w:cs="宋体"/>
                <w:color w:val="000000"/>
                <w:sz w:val="24"/>
                <w:szCs w:val="24"/>
                <w:highlight w:val="none"/>
                <w:lang w:val="en-US" w:eastAsia="zh-CN"/>
              </w:rPr>
            </w:r>
            <w:r/>
          </w:p>
        </w:tc>
        <w:tc>
          <w:tcPr>
            <w:tcW w:w="5475"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投标人自 2023年以来非住宅类物业项目合同，有 1 个得 1分，最高得 6 分；</w:t>
            </w:r>
            <w:r>
              <w:rPr>
                <w:rFonts w:hint="eastAsia" w:ascii="宋体" w:hAnsi="宋体" w:eastAsia="宋体" w:cs="宋体"/>
                <w:color w:val="000000"/>
                <w:sz w:val="24"/>
                <w:szCs w:val="24"/>
                <w:highlight w:val="none"/>
                <w:lang w:val="en-US" w:eastAsia="zh-CN"/>
              </w:rPr>
            </w:r>
            <w:r/>
          </w:p>
        </w:tc>
        <w:tc>
          <w:tcPr>
            <w:tcW w:w="675" w:type="dxa"/>
            <w:vAlign w:val="center"/>
            <w:textDirection w:val="lrTb"/>
            <w:noWrap/>
          </w:tcPr>
          <w:p>
            <w:pPr>
              <w:pStyle w:val="949"/>
              <w:jc w:val="center"/>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70"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642" w:type="dxa"/>
            <w:vAlign w:val="center"/>
            <w:textDirection w:val="lrTb"/>
            <w:noWrap/>
          </w:tcPr>
          <w:p>
            <w:pPr>
              <w:pStyle w:val="94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hint="eastAsia" w:ascii="宋体" w:hAnsi="宋体" w:eastAsia="宋体" w:cs="宋体"/>
                <w:color w:val="000000"/>
                <w:sz w:val="24"/>
                <w:szCs w:val="24"/>
                <w:highlight w:val="none"/>
                <w:lang w:val="en-US" w:eastAsia="zh-CN"/>
              </w:rPr>
            </w:r>
            <w:r/>
          </w:p>
        </w:tc>
      </w:tr>
      <w:tr>
        <w:trPr>
          <w:trHeight w:val="443"/>
        </w:trPr>
        <w:tc>
          <w:tcPr>
            <w:tcW w:w="730"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214"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工具物资配置要求</w:t>
            </w:r>
            <w:r>
              <w:rPr>
                <w:rFonts w:hint="eastAsia" w:ascii="宋体" w:hAnsi="宋体" w:eastAsia="宋体" w:cs="宋体"/>
                <w:bCs/>
                <w:color w:val="000000"/>
                <w:sz w:val="24"/>
                <w:szCs w:val="24"/>
                <w:highlight w:val="none"/>
                <w:lang w:val="en-US" w:eastAsia="zh-CN"/>
              </w:rPr>
            </w:r>
            <w:r/>
          </w:p>
        </w:tc>
        <w:tc>
          <w:tcPr>
            <w:tcW w:w="5475"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评委根据供应商拟投入本项目保洁工具、清洁设备等物资、设备、档次、规格及数量的清单进行综合评分：</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（1）上述物资、设备分列完整详细合理，规格档次高的，得5分；</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（2）上述物资、设备分列较完整详细，规格档次较高，得3分；</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上述物资分列欠完整，规格档次低的，得1分；</w:t>
            </w:r>
            <w:r>
              <w:rPr>
                <w:rFonts w:hint="eastAsia" w:ascii="宋体" w:hAnsi="宋体" w:eastAsia="宋体" w:cs="宋体"/>
                <w:bCs/>
                <w:color w:val="000000"/>
                <w:sz w:val="24"/>
                <w:szCs w:val="24"/>
                <w:highlight w:val="none"/>
                <w:lang w:val="en-US" w:eastAsia="zh-CN"/>
              </w:rPr>
            </w:r>
            <w:r/>
          </w:p>
        </w:tc>
        <w:tc>
          <w:tcPr>
            <w:tcW w:w="675" w:type="dxa"/>
            <w:vAlign w:val="center"/>
            <w:textDirection w:val="lrTb"/>
            <w:noWrap/>
          </w:tcPr>
          <w:p>
            <w:pPr>
              <w:pStyle w:val="949"/>
              <w:jc w:val="center"/>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870"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US" w:eastAsia="zh-CN"/>
              </w:rPr>
            </w:r>
            <w:r/>
          </w:p>
        </w:tc>
        <w:tc>
          <w:tcPr>
            <w:tcW w:w="642" w:type="dxa"/>
            <w:vAlign w:val="center"/>
            <w:textDirection w:val="lrTb"/>
            <w:noWrap/>
          </w:tcPr>
          <w:p>
            <w:pPr>
              <w:pStyle w:val="949"/>
              <w:jc w:val="left"/>
              <w:keepLines w:val="0"/>
              <w:keepNext w:val="0"/>
              <w:pageBreakBefore w:val="0"/>
              <w:spacing w:line="420" w:lineRule="exact"/>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主观分</w:t>
            </w:r>
            <w:r/>
          </w:p>
        </w:tc>
      </w:tr>
    </w:tbl>
    <w:p>
      <w:pPr>
        <w:pStyle w:val="949"/>
        <w:jc w:val="center"/>
        <w:rPr>
          <w:rFonts w:hint="eastAsia" w:ascii="宋体" w:hAnsi="宋体" w:eastAsia="宋体" w:cs="宋体"/>
          <w:bCs/>
          <w:color w:val="000000"/>
          <w:sz w:val="44"/>
          <w:highlight w:val="none"/>
        </w:rPr>
      </w:pPr>
      <w:r/>
      <w:bookmarkEnd w:id="199"/>
      <w:r/>
      <w:bookmarkEnd w:id="200"/>
      <w:r/>
      <w:bookmarkEnd w:id="202"/>
      <w:r/>
      <w:bookmarkEnd w:id="203"/>
      <w:r/>
      <w:bookmarkEnd w:id="207"/>
      <w:r>
        <w:rPr>
          <w:rFonts w:hint="eastAsia" w:ascii="宋体" w:hAnsi="宋体" w:eastAsia="宋体" w:cs="宋体"/>
          <w:bCs/>
          <w:color w:val="000000"/>
          <w:sz w:val="44"/>
          <w:highlight w:val="none"/>
        </w:rPr>
      </w:r>
      <w:r/>
    </w:p>
    <w:p>
      <w:pPr>
        <w:pStyle w:val="949"/>
        <w:jc w:val="center"/>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49"/>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第六章  投标文件格式</w:t>
      </w:r>
      <w:r>
        <w:rPr>
          <w:rFonts w:hint="eastAsia" w:ascii="宋体" w:hAnsi="宋体" w:eastAsia="宋体" w:cs="宋体"/>
          <w:bCs/>
          <w:color w:val="000000"/>
          <w:sz w:val="44"/>
          <w:highlight w:val="none"/>
        </w:rPr>
      </w:r>
      <w:r/>
    </w:p>
    <w:p>
      <w:pPr>
        <w:pStyle w:val="949"/>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949"/>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49"/>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49"/>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49"/>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49"/>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49"/>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49"/>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49"/>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949"/>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49"/>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49"/>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9"/>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949"/>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49"/>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94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hint="eastAsia" w:ascii="宋体" w:hAnsi="宋体" w:eastAsia="宋体" w:cs="宋体"/>
          <w:color w:val="000000"/>
          <w:sz w:val="24"/>
          <w:highlight w:val="none"/>
        </w:rPr>
      </w:r>
      <w:r/>
    </w:p>
    <w:p>
      <w:pPr>
        <w:pStyle w:val="949"/>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949"/>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49"/>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94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94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949"/>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开标一览表</w:t>
      </w:r>
      <w:r>
        <w:rPr>
          <w:rFonts w:hint="eastAsia" w:ascii="宋体" w:hAnsi="宋体" w:eastAsia="宋体" w:cs="宋体"/>
          <w:color w:val="000000"/>
          <w:sz w:val="24"/>
          <w:szCs w:val="20"/>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206" w:type="dxa"/>
            <w:vAlign w:val="center"/>
            <w:textDirection w:val="lrTb"/>
            <w:noWrap w:val="false"/>
          </w:tcPr>
          <w:p>
            <w:pPr>
              <w:pStyle w:val="1039"/>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rPr>
                <w:rFonts w:hint="eastAsia" w:ascii="宋体" w:hAnsi="宋体" w:eastAsia="宋体" w:cs="宋体"/>
                <w:color w:val="000000"/>
                <w:szCs w:val="21"/>
                <w:highlight w:val="none"/>
              </w:rPr>
            </w:r>
            <w:r/>
          </w:p>
        </w:tc>
      </w:tr>
    </w:tbl>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投标分项报价表</w:t>
      </w:r>
      <w:r>
        <w:rPr>
          <w:rFonts w:hint="eastAsia" w:ascii="宋体" w:hAnsi="宋体" w:eastAsia="宋体" w:cs="宋体"/>
          <w:b/>
          <w:color w:val="000000"/>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r>
      <w:tr>
        <w:trPr>
          <w:cantSplit/>
          <w:trHeight w:val="294"/>
        </w:trPr>
        <w:tc>
          <w:tcPr>
            <w:tcW w:w="556" w:type="dxa"/>
            <w:vAlign w:val="center"/>
            <w:vMerge w:val="continue"/>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w:t>
            </w:r>
            <w:r>
              <w:rPr>
                <w:rFonts w:hint="eastAsia" w:ascii="宋体" w:hAnsi="宋体" w:eastAsia="宋体" w:cs="宋体"/>
                <w:color w:val="000000"/>
                <w:sz w:val="24"/>
                <w:szCs w:val="24"/>
                <w:highlight w:val="none"/>
              </w:rPr>
            </w:r>
            <w:r/>
          </w:p>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务名称</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r>
      <w:tr>
        <w:trPr>
          <w:cantSplit/>
          <w:trHeight w:val="654"/>
        </w:trPr>
        <w:tc>
          <w:tcPr>
            <w:tcW w:w="556"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1134"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556"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95"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621" w:type="dxa"/>
            <w:vAlign w:val="center"/>
            <w:textDirection w:val="lrTb"/>
            <w:noWrap w:val="false"/>
          </w:tcPr>
          <w:p>
            <w:pPr>
              <w:pStyle w:val="949"/>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559" w:type="dxa"/>
            <w:vAlign w:val="top"/>
            <w:textDirection w:val="lrTb"/>
            <w:noWrap w:val="false"/>
          </w:tcPr>
          <w:p>
            <w:pPr>
              <w:pStyle w:val="949"/>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7"/>
            <w:tcW w:w="9180" w:type="dxa"/>
            <w:vAlign w:val="center"/>
            <w:textDirection w:val="lrTb"/>
            <w:noWrap w:val="false"/>
          </w:tcPr>
          <w:p>
            <w:pPr>
              <w:pStyle w:val="949"/>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9"/>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采用总承包方式，“投标总报价”应包括应包含人员工资、社保、福利、劳保用品费、服装费、伙食费、加班费、培训费用；办公用品；同时包干消防监控、偷盗包干、日常考核、材料、机械、统一服装、胸卡、通讯器材、办公设备、保险、利润、及因人员辞退、工伤伤亡事故等造成的赔偿金，政策性文件规定招标文件所列物业管理的全部经费及合同包含的所有风险、责任等各项应有费用。乙方需充分考虑市场用工成本、物价指数的变化，核定好服务费用，自担风险，一旦中标，合同执行期间不作任何调整。</w:t>
      </w:r>
      <w:r>
        <w:rPr>
          <w:rFonts w:hint="eastAsia" w:ascii="宋体" w:hAnsi="宋体" w:eastAsia="宋体" w:cs="宋体"/>
          <w:color w:val="000000"/>
          <w:sz w:val="24"/>
          <w:szCs w:val="24"/>
          <w:highlight w:val="none"/>
        </w:rPr>
      </w:r>
      <w:r/>
    </w:p>
    <w:p>
      <w:pPr>
        <w:pStyle w:val="949"/>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2.“投标分项报价表”中“投标总报价”数额应当与“开标一览表”中“投标总报价”数额一致。</w:t>
      </w:r>
      <w:r>
        <w:rPr>
          <w:rFonts w:hint="eastAsia" w:ascii="宋体" w:hAnsi="宋体" w:eastAsia="宋体" w:cs="宋体"/>
          <w:color w:val="000000"/>
          <w:sz w:val="24"/>
          <w:szCs w:val="24"/>
          <w:highlight w:val="none"/>
        </w:rPr>
      </w:r>
      <w:r/>
    </w:p>
    <w:p>
      <w:pPr>
        <w:pStyle w:val="949"/>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highlight w:val="none"/>
        </w:rPr>
        <w:t xml:space="preserve"> 项目经办人可以根据项目实际需要对表格结构进行调整。</w:t>
      </w:r>
      <w:r>
        <w:rPr>
          <w:rFonts w:hint="eastAsia" w:ascii="宋体" w:hAnsi="宋体" w:eastAsia="宋体" w:cs="宋体"/>
          <w:color w:val="000000"/>
          <w:sz w:val="24"/>
          <w:highlight w:val="none"/>
        </w:rPr>
      </w:r>
      <w:r/>
    </w:p>
    <w:p>
      <w:pPr>
        <w:pStyle w:val="94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949"/>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949"/>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949"/>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9"/>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49"/>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9"/>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94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4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49"/>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66"/>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949"/>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49"/>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949"/>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94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949"/>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949"/>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949"/>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49"/>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附件8、中小微企业声明函（服务）</w:t>
      </w:r>
      <w:r>
        <w:rPr>
          <w:rFonts w:hint="eastAsia" w:ascii="宋体" w:hAnsi="宋体" w:eastAsia="宋体" w:cs="宋体"/>
          <w:b/>
          <w:color w:val="000000"/>
          <w:sz w:val="24"/>
          <w:szCs w:val="24"/>
          <w:highlight w:val="none"/>
        </w:rPr>
      </w:r>
      <w:r/>
    </w:p>
    <w:p>
      <w:pPr>
        <w:pStyle w:val="949"/>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4"/>
          <w:szCs w:val="24"/>
          <w:highlight w:val="none"/>
        </w:rPr>
      </w:r>
      <w:r/>
    </w:p>
    <w:p>
      <w:pPr>
        <w:pStyle w:val="949"/>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949"/>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949"/>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49"/>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49"/>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949"/>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49"/>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949"/>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color w:val="000000"/>
          <w:sz w:val="24"/>
          <w:szCs w:val="24"/>
          <w:highlight w:val="none"/>
        </w:rPr>
      </w:r>
      <w:r/>
    </w:p>
    <w:p>
      <w:pPr>
        <w:pStyle w:val="94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949"/>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949"/>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949"/>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949"/>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9"/>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949"/>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949"/>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49"/>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9"/>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49"/>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949"/>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10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9"/>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r>
            <w:r/>
          </w:p>
        </w:tc>
        <w:tc>
          <w:tcPr>
            <w:tcW w:w="3317"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4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49"/>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949"/>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4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4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49"/>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49"/>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949"/>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9"/>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细等线_GBK">
    <w:panose1 w:val="020B0503020202020204"/>
  </w:font>
  <w:font w:name="方正仿宋_GBK">
    <w:panose1 w:val="020B0503020202020204"/>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pStyle w:val="949"/>
        <w:ind w:left="1440" w:hanging="1440"/>
        <w:tabs>
          <w:tab w:val="num" w:pos="1440" w:leader="none"/>
        </w:tabs>
      </w:pPr>
      <w:rPr>
        <w:rFonts w:hint="eastAsia" w:ascii="黑体" w:eastAsia="黑体"/>
        <w:b w:val="0"/>
        <w:sz w:val="36"/>
      </w:rPr>
    </w:lvl>
    <w:lvl w:ilvl="1">
      <w:start w:val="1"/>
      <w:numFmt w:val="bullet"/>
      <w:isLgl w:val="false"/>
      <w:suff w:val="space"/>
      <w:lvlText w:val="o"/>
      <w:lvlJc w:val="left"/>
      <w:pPr>
        <w:pStyle w:val="949"/>
        <w:ind w:left="1440" w:hanging="360"/>
      </w:pPr>
      <w:rPr>
        <w:rFonts w:ascii="Courier New" w:hAnsi="Courier New" w:eastAsia="Courier New" w:cs="Courier New"/>
      </w:rPr>
    </w:lvl>
    <w:lvl w:ilvl="2">
      <w:start w:val="1"/>
      <w:numFmt w:val="bullet"/>
      <w:pStyle w:val="1074"/>
      <w:isLgl w:val="false"/>
      <w:suff w:val="space"/>
      <w:lvlText w:val="§"/>
      <w:lvlJc w:val="left"/>
      <w:pPr>
        <w:pStyle w:val="949"/>
        <w:ind w:left="2160" w:hanging="360"/>
      </w:pPr>
      <w:rPr>
        <w:rFonts w:ascii="Wingdings" w:hAnsi="Wingdings" w:eastAsia="Wingdings" w:cs="Wingdings"/>
      </w:rPr>
    </w:lvl>
    <w:lvl w:ilvl="3">
      <w:start w:val="1"/>
      <w:numFmt w:val="bullet"/>
      <w:isLgl w:val="false"/>
      <w:suff w:val="space"/>
      <w:lvlText w:val="·"/>
      <w:lvlJc w:val="left"/>
      <w:pPr>
        <w:pStyle w:val="949"/>
        <w:ind w:left="2880" w:hanging="360"/>
      </w:pPr>
      <w:rPr>
        <w:rFonts w:ascii="Symbol" w:hAnsi="Symbol" w:eastAsia="Symbol" w:cs="Symbol"/>
      </w:rPr>
    </w:lvl>
    <w:lvl w:ilvl="4">
      <w:start w:val="1"/>
      <w:numFmt w:val="bullet"/>
      <w:isLgl w:val="false"/>
      <w:suff w:val="space"/>
      <w:lvlText w:val="o"/>
      <w:lvlJc w:val="left"/>
      <w:pPr>
        <w:pStyle w:val="949"/>
        <w:ind w:left="3600" w:hanging="360"/>
      </w:pPr>
      <w:rPr>
        <w:rFonts w:ascii="Courier New" w:hAnsi="Courier New" w:eastAsia="Courier New" w:cs="Courier New"/>
      </w:rPr>
    </w:lvl>
    <w:lvl w:ilvl="5">
      <w:start w:val="1"/>
      <w:numFmt w:val="bullet"/>
      <w:isLgl w:val="false"/>
      <w:suff w:val="space"/>
      <w:lvlText w:val="§"/>
      <w:lvlJc w:val="left"/>
      <w:pPr>
        <w:pStyle w:val="949"/>
        <w:ind w:left="4320" w:hanging="360"/>
      </w:pPr>
      <w:rPr>
        <w:rFonts w:ascii="Wingdings" w:hAnsi="Wingdings" w:eastAsia="Wingdings" w:cs="Wingdings"/>
      </w:rPr>
    </w:lvl>
    <w:lvl w:ilvl="6">
      <w:start w:val="1"/>
      <w:numFmt w:val="bullet"/>
      <w:isLgl w:val="false"/>
      <w:suff w:val="space"/>
      <w:lvlText w:val="·"/>
      <w:lvlJc w:val="left"/>
      <w:pPr>
        <w:pStyle w:val="949"/>
        <w:ind w:left="5040" w:hanging="360"/>
      </w:pPr>
      <w:rPr>
        <w:rFonts w:ascii="Symbol" w:hAnsi="Symbol" w:eastAsia="Symbol" w:cs="Symbol"/>
      </w:rPr>
    </w:lvl>
    <w:lvl w:ilvl="7">
      <w:start w:val="1"/>
      <w:numFmt w:val="bullet"/>
      <w:isLgl w:val="false"/>
      <w:suff w:val="space"/>
      <w:lvlText w:val="o"/>
      <w:lvlJc w:val="left"/>
      <w:pPr>
        <w:pStyle w:val="949"/>
        <w:ind w:left="5760" w:hanging="360"/>
      </w:pPr>
      <w:rPr>
        <w:rFonts w:ascii="Courier New" w:hAnsi="Courier New" w:eastAsia="Courier New" w:cs="Courier New"/>
      </w:rPr>
    </w:lvl>
    <w:lvl w:ilvl="8">
      <w:start w:val="1"/>
      <w:numFmt w:val="bullet"/>
      <w:isLgl w:val="false"/>
      <w:suff w:val="space"/>
      <w:lvlText w:val="§"/>
      <w:lvlJc w:val="left"/>
      <w:pPr>
        <w:pStyle w:val="949"/>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1"/>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9"/>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49"/>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8"/>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94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1"/>
  </w:num>
  <w:num w:numId="5">
    <w:abstractNumId w:val="9"/>
  </w:num>
  <w:num w:numId="6">
    <w:abstractNumId w:val="4"/>
  </w:num>
  <w:num w:numId="7">
    <w:abstractNumId w:val="2"/>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b/>
      <w:bCs/>
      <w:sz w:val="44"/>
      <w:szCs w:val="44"/>
    </w:rPr>
  </w:style>
  <w:style w:type="paragraph" w:styleId="952">
    <w:name w:val="标题 3"/>
    <w:basedOn w:val="949"/>
    <w:next w:val="949"/>
    <w:link w:val="963"/>
    <w:qFormat/>
    <w:pPr>
      <w:keepLines/>
      <w:keepNext/>
      <w:spacing w:before="260" w:after="260" w:line="416" w:lineRule="auto"/>
      <w:outlineLvl w:val="2"/>
    </w:pPr>
    <w:rPr>
      <w:b/>
      <w:bCs/>
      <w:sz w:val="32"/>
      <w:szCs w:val="32"/>
    </w:rPr>
  </w:style>
  <w:style w:type="paragraph" w:styleId="953">
    <w:name w:val="标题 4"/>
    <w:basedOn w:val="949"/>
    <w:next w:val="949"/>
    <w:link w:val="964"/>
    <w:qFormat/>
    <w:pPr>
      <w:keepLines/>
      <w:keepNext/>
      <w:spacing w:before="280" w:after="290" w:line="376" w:lineRule="auto"/>
      <w:outlineLvl w:val="3"/>
    </w:pPr>
    <w:rPr>
      <w:rFonts w:ascii="Arial" w:hAnsi="Arial" w:eastAsia="黑体"/>
      <w:b/>
      <w:bCs/>
      <w:sz w:val="28"/>
      <w:szCs w:val="28"/>
    </w:rPr>
  </w:style>
  <w:style w:type="paragraph" w:styleId="954">
    <w:name w:val="标题 5"/>
    <w:basedOn w:val="949"/>
    <w:next w:val="966"/>
    <w:link w:val="965"/>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sz w:val="20"/>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character" w:styleId="963">
    <w:name w:val="标题 3 Char"/>
    <w:next w:val="963"/>
    <w:link w:val="952"/>
    <w:rPr>
      <w:rFonts w:ascii="Times New Roman" w:hAnsi="Times New Roman" w:eastAsia="宋体" w:cs="Times New Roman"/>
      <w:b/>
      <w:bCs/>
      <w:sz w:val="32"/>
      <w:szCs w:val="32"/>
    </w:rPr>
  </w:style>
  <w:style w:type="character" w:styleId="964">
    <w:name w:val="标题 4 Char"/>
    <w:next w:val="964"/>
    <w:link w:val="953"/>
    <w:rPr>
      <w:rFonts w:ascii="Arial" w:hAnsi="Arial" w:eastAsia="黑体" w:cs="Arial"/>
      <w:b/>
      <w:bCs/>
      <w:sz w:val="28"/>
      <w:szCs w:val="28"/>
    </w:rPr>
  </w:style>
  <w:style w:type="character" w:styleId="965">
    <w:name w:val="标题 5 Char"/>
    <w:next w:val="965"/>
    <w:link w:val="954"/>
    <w:rPr>
      <w:rFonts w:ascii="宋体" w:hAnsi="Times New Roman" w:eastAsia="宋体" w:cs="Times New Roman"/>
      <w:color w:val="000000"/>
      <w:sz w:val="28"/>
      <w:szCs w:val="28"/>
    </w:rPr>
  </w:style>
  <w:style w:type="paragraph" w:styleId="966">
    <w:name w:val="正文缩进"/>
    <w:basedOn w:val="949"/>
    <w:next w:val="966"/>
    <w:link w:val="967"/>
    <w:pPr>
      <w:ind w:firstLine="420"/>
    </w:pPr>
    <w:rPr>
      <w:sz w:val="20"/>
    </w:rPr>
  </w:style>
  <w:style w:type="character" w:styleId="967">
    <w:name w:val="正文缩进 Char"/>
    <w:next w:val="967"/>
    <w:link w:val="966"/>
    <w:rPr>
      <w:rFonts w:ascii="Times New Roman" w:hAnsi="Times New Roman" w:eastAsia="宋体" w:cs="Times New Roman"/>
      <w:szCs w:val="21"/>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rPr>
      <w:sz w:val="20"/>
    </w:r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rPr>
      <w:sz w:val="20"/>
    </w:r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49"/>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sz w:val="20"/>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pPr>
      <w:jc w:val="left"/>
      <w:tabs>
        <w:tab w:val="center" w:pos="4153" w:leader="none"/>
        <w:tab w:val="right" w:pos="8306" w:leader="none"/>
      </w:tabs>
    </w:pPr>
    <w:rPr>
      <w:sz w:val="18"/>
      <w:szCs w:val="18"/>
    </w:rPr>
  </w:style>
  <w:style w:type="character" w:styleId="997">
    <w:name w:val="页脚 Char"/>
    <w:next w:val="997"/>
    <w:link w:val="996"/>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80"/>
    <w:next w:val="1015"/>
    <w:link w:val="1016"/>
    <w:pPr>
      <w:ind w:firstLine="200"/>
      <w:spacing w:line="360" w:lineRule="auto"/>
    </w:pPr>
    <w:rPr>
      <w:rFonts w:ascii="仿宋_GB2312" w:hAnsi="Times New Roman"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paragraph" w:styleId="1026">
    <w:name w:val="正文首行缩进1"/>
    <w:basedOn w:val="1027"/>
    <w:next w:val="1026"/>
    <w:link w:val="949"/>
    <w:qFormat/>
    <w:pPr>
      <w:ind w:firstLine="200"/>
    </w:pPr>
    <w:rPr>
      <w:rFonts w:ascii="仿宋_GB2312" w:eastAsia="仿宋_GB2312"/>
      <w:sz w:val="30"/>
      <w:szCs w:val="30"/>
    </w:rPr>
  </w:style>
  <w:style w:type="paragraph" w:styleId="1027">
    <w:name w:val="正文文本1"/>
    <w:basedOn w:val="949"/>
    <w:next w:val="1027"/>
    <w:link w:val="949"/>
    <w:qFormat/>
    <w:rPr>
      <w:rFonts w:ascii="楷体_GB2312" w:hAnsi="Arial" w:eastAsia="楷体_GB2312"/>
      <w:sz w:val="28"/>
      <w:szCs w:val="28"/>
    </w:rPr>
  </w:style>
  <w:style w:type="paragraph" w:styleId="1028">
    <w:name w:val="正文文本11"/>
    <w:basedOn w:val="949"/>
    <w:next w:val="949"/>
    <w:link w:val="949"/>
    <w:qFormat/>
    <w:rPr>
      <w:rFonts w:ascii="仿宋_GB2312" w:eastAsia="仿宋_GB2312"/>
      <w:sz w:val="24"/>
      <w:lang w:val="en-US" w:eastAsia="en-US"/>
    </w:rPr>
  </w:style>
  <w:style w:type="character" w:styleId="1029">
    <w:name w:val="font5 Char"/>
    <w:next w:val="1029"/>
    <w:link w:val="949"/>
    <w:rPr>
      <w:rFonts w:ascii="宋体" w:hAnsi="宋体" w:eastAsia="宋体"/>
      <w:sz w:val="28"/>
      <w:szCs w:val="28"/>
      <w:lang w:val="en-US" w:eastAsia="zh-CN" w:bidi="ar-SA"/>
    </w:rPr>
  </w:style>
  <w:style w:type="character" w:styleId="1030">
    <w:name w:val="二级目录 Char"/>
    <w:next w:val="1030"/>
    <w:link w:val="1031"/>
    <w:rPr>
      <w:b/>
      <w:sz w:val="30"/>
      <w:szCs w:val="28"/>
      <w:lang w:val="en-US" w:eastAsia="zh-CN" w:bidi="ar-SA"/>
    </w:rPr>
  </w:style>
  <w:style w:type="paragraph" w:styleId="1031">
    <w:name w:val="二级目录"/>
    <w:next w:val="949"/>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49"/>
    <w:next w:val="1033"/>
    <w:link w:val="1032"/>
    <w:qFormat/>
    <w:pPr>
      <w:contextualSpacing/>
      <w:ind w:left="720"/>
      <w:jc w:val="left"/>
      <w:widowControl/>
    </w:pPr>
    <w:rPr>
      <w:rFonts w:ascii="Calibri" w:hAnsi="Calibri"/>
      <w:sz w:val="24"/>
      <w:szCs w:val="24"/>
      <w:lang w:eastAsia="en-US" w:bidi="en-US"/>
    </w:rPr>
  </w:style>
  <w:style w:type="paragraph" w:styleId="1034">
    <w:name w:val="Body Text(ch)"/>
    <w:basedOn w:val="949"/>
    <w:next w:val="980"/>
    <w:link w:val="949"/>
    <w:pPr>
      <w:spacing w:after="120"/>
    </w:pPr>
    <w:rPr>
      <w:rFonts w:ascii="宋体" w:hAnsi="Arial"/>
      <w:bCs/>
      <w:iCs/>
      <w:szCs w:val="24"/>
    </w:rPr>
  </w:style>
  <w:style w:type="paragraph" w:styleId="1035">
    <w:name w:val="xl27"/>
    <w:basedOn w:val="949"/>
    <w:next w:val="1035"/>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49"/>
    <w:next w:val="1036"/>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49"/>
    <w:next w:val="1037"/>
    <w:link w:val="949"/>
    <w:pPr>
      <w:ind w:firstLine="200"/>
      <w:tabs>
        <w:tab w:val="left" w:pos="360" w:leader="none"/>
      </w:tabs>
    </w:pPr>
    <w:rPr>
      <w:sz w:val="28"/>
      <w:szCs w:val="30"/>
    </w:rPr>
  </w:style>
  <w:style w:type="paragraph" w:styleId="1038">
    <w:name w:val=" Char"/>
    <w:basedOn w:val="974"/>
    <w:next w:val="1038"/>
    <w:link w:val="949"/>
    <w:rPr>
      <w:rFonts w:ascii="Tahoma" w:hAnsi="Tahoma"/>
      <w:sz w:val="24"/>
      <w:szCs w:val="24"/>
    </w:rPr>
  </w:style>
  <w:style w:type="paragraph" w:styleId="1039">
    <w:name w:val="普通正文"/>
    <w:basedOn w:val="949"/>
    <w:next w:val="1039"/>
    <w:link w:val="949"/>
    <w:qFormat/>
    <w:pPr>
      <w:ind w:firstLine="480"/>
      <w:jc w:val="left"/>
      <w:spacing w:before="120" w:after="120" w:line="360" w:lineRule="auto"/>
    </w:pPr>
    <w:rPr>
      <w:rFonts w:ascii="Arial" w:hAnsi="Arial"/>
      <w:sz w:val="24"/>
      <w:szCs w:val="24"/>
    </w:rPr>
  </w:style>
  <w:style w:type="paragraph" w:styleId="1040">
    <w:name w:val="table_lines"/>
    <w:basedOn w:val="949"/>
    <w:next w:val="1040"/>
    <w:link w:val="949"/>
    <w:pPr>
      <w:jc w:val="left"/>
      <w:widowControl/>
    </w:pPr>
    <w:rPr>
      <w:sz w:val="20"/>
      <w:szCs w:val="20"/>
      <w:lang w:val="de-DE" w:eastAsia="de-DE"/>
    </w:rPr>
  </w:style>
  <w:style w:type="paragraph" w:styleId="1041">
    <w:name w:val="附录1"/>
    <w:next w:val="1041"/>
    <w:link w:val="94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42">
    <w:name w:val="font7"/>
    <w:basedOn w:val="949"/>
    <w:next w:val="1042"/>
    <w:link w:val="949"/>
    <w:pPr>
      <w:jc w:val="left"/>
      <w:spacing w:before="100" w:beforeAutospacing="1" w:after="100" w:afterAutospacing="1"/>
      <w:widowControl/>
    </w:pPr>
    <w:rPr>
      <w:rFonts w:hint="eastAsia" w:ascii="宋体" w:hAnsi="宋体"/>
      <w:sz w:val="18"/>
      <w:szCs w:val="18"/>
    </w:rPr>
  </w:style>
  <w:style w:type="paragraph" w:styleId="1043">
    <w:name w:val=" Char Char Char Char"/>
    <w:basedOn w:val="974"/>
    <w:next w:val="1043"/>
    <w:link w:val="949"/>
    <w:pPr>
      <w:spacing w:line="360" w:lineRule="auto"/>
    </w:pPr>
    <w:rPr>
      <w:rFonts w:ascii="Tahoma" w:hAnsi="Tahoma"/>
      <w:sz w:val="24"/>
      <w:szCs w:val="24"/>
    </w:rPr>
  </w:style>
  <w:style w:type="paragraph" w:styleId="1044">
    <w:name w:val="列出段落"/>
    <w:basedOn w:val="949"/>
    <w:next w:val="1044"/>
    <w:link w:val="949"/>
    <w:qFormat/>
    <w:pPr>
      <w:contextualSpacing/>
      <w:ind w:left="720"/>
      <w:jc w:val="left"/>
      <w:widowControl/>
    </w:pPr>
    <w:rPr>
      <w:rFonts w:ascii="Calibri" w:hAnsi="Calibri"/>
      <w:sz w:val="24"/>
      <w:szCs w:val="24"/>
      <w:lang w:eastAsia="en-US" w:bidi="en-US"/>
    </w:rPr>
  </w:style>
  <w:style w:type="paragraph" w:styleId="1045">
    <w:name w:val="4"/>
    <w:basedOn w:val="949"/>
    <w:next w:val="1004"/>
    <w:link w:val="949"/>
    <w:pPr>
      <w:ind w:firstLine="420"/>
      <w:spacing w:line="360" w:lineRule="auto"/>
    </w:pPr>
    <w:rPr>
      <w:color w:val="ff0000"/>
      <w:sz w:val="24"/>
      <w:szCs w:val="24"/>
    </w:rPr>
  </w:style>
  <w:style w:type="paragraph" w:styleId="1046">
    <w:name w:val="普通 (Web)"/>
    <w:basedOn w:val="949"/>
    <w:next w:val="1046"/>
    <w:link w:val="949"/>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49"/>
    <w:next w:val="1047"/>
    <w:link w:val="949"/>
    <w:pPr>
      <w:spacing w:line="360" w:lineRule="auto"/>
    </w:pPr>
    <w:rPr>
      <w:sz w:val="24"/>
      <w:szCs w:val="20"/>
    </w:rPr>
  </w:style>
  <w:style w:type="paragraph" w:styleId="1048">
    <w:name w:val="样式1"/>
    <w:basedOn w:val="949"/>
    <w:next w:val="1048"/>
    <w:link w:val="949"/>
    <w:pPr>
      <w:numPr>
        <w:ilvl w:val="0"/>
        <w:numId w:val="3"/>
      </w:numPr>
      <w:tabs>
        <w:tab w:val="left" w:pos="709" w:leader="none"/>
      </w:tabs>
    </w:pPr>
    <w:rPr>
      <w:rFonts w:ascii="宋体" w:hAnsi="宋体"/>
    </w:rPr>
  </w:style>
  <w:style w:type="paragraph" w:styleId="1049">
    <w:name w:val="font6"/>
    <w:basedOn w:val="949"/>
    <w:next w:val="1049"/>
    <w:link w:val="949"/>
    <w:pPr>
      <w:jc w:val="left"/>
      <w:spacing w:before="100" w:beforeAutospacing="1" w:after="100" w:afterAutospacing="1"/>
      <w:widowControl/>
    </w:pPr>
    <w:rPr>
      <w:rFonts w:hint="eastAsia" w:ascii="宋体" w:hAnsi="宋体"/>
      <w:sz w:val="28"/>
      <w:szCs w:val="28"/>
      <w:u w:val="single"/>
    </w:rPr>
  </w:style>
  <w:style w:type="paragraph" w:styleId="1050">
    <w:name w:val="xl25"/>
    <w:basedOn w:val="949"/>
    <w:next w:val="1050"/>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49"/>
    <w:next w:val="949"/>
    <w:link w:val="949"/>
    <w:pPr>
      <w:ind w:firstLine="624"/>
      <w:spacing w:line="590" w:lineRule="atLeast"/>
    </w:pPr>
    <w:rPr>
      <w:rFonts w:ascii="方正黑体_GBK" w:eastAsia="方正黑体_GBK"/>
      <w:sz w:val="32"/>
      <w:szCs w:val="32"/>
    </w:rPr>
  </w:style>
  <w:style w:type="paragraph" w:styleId="1053">
    <w:name w:val="xl24"/>
    <w:basedOn w:val="949"/>
    <w:next w:val="1053"/>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49"/>
    <w:next w:val="1054"/>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49"/>
    <w:next w:val="1055"/>
    <w:link w:val="949"/>
    <w:pPr>
      <w:jc w:val="left"/>
      <w:spacing w:after="160" w:line="240" w:lineRule="exact"/>
      <w:widowControl/>
    </w:pPr>
    <w:rPr>
      <w:rFonts w:ascii="Verdana" w:hAnsi="Verdana"/>
      <w:sz w:val="20"/>
      <w:szCs w:val="20"/>
      <w:lang w:eastAsia="en-US"/>
    </w:rPr>
  </w:style>
  <w:style w:type="paragraph" w:styleId="1056">
    <w:name w:val="xl28"/>
    <w:basedOn w:val="949"/>
    <w:next w:val="1056"/>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49"/>
    <w:next w:val="1057"/>
    <w:link w:val="949"/>
    <w:pPr>
      <w:jc w:val="left"/>
      <w:spacing w:after="160" w:line="240" w:lineRule="exact"/>
      <w:widowControl/>
    </w:pPr>
    <w:rPr>
      <w:rFonts w:ascii="Verdana" w:hAnsi="Verdana"/>
      <w:sz w:val="20"/>
      <w:szCs w:val="20"/>
      <w:lang w:eastAsia="en-US"/>
    </w:rPr>
  </w:style>
  <w:style w:type="paragraph" w:styleId="1058">
    <w:name w:val="xl30"/>
    <w:basedOn w:val="949"/>
    <w:next w:val="1058"/>
    <w:link w:val="949"/>
    <w:pPr>
      <w:jc w:val="center"/>
      <w:spacing w:before="100" w:beforeAutospacing="1" w:after="100" w:afterAutospacing="1"/>
      <w:widowControl/>
    </w:pPr>
    <w:rPr>
      <w:rFonts w:ascii="宋体" w:hAnsi="宋体"/>
      <w:b/>
      <w:bCs/>
      <w:sz w:val="36"/>
      <w:szCs w:val="36"/>
    </w:rPr>
  </w:style>
  <w:style w:type="paragraph" w:styleId="1059">
    <w:name w:val="Char Char Char Char"/>
    <w:basedOn w:val="974"/>
    <w:next w:val="1059"/>
    <w:link w:val="949"/>
    <w:pPr>
      <w:spacing w:line="360" w:lineRule="auto"/>
    </w:pPr>
    <w:rPr>
      <w:rFonts w:ascii="Tahoma" w:hAnsi="Tahoma"/>
      <w:sz w:val="24"/>
      <w:szCs w:val="24"/>
    </w:rPr>
  </w:style>
  <w:style w:type="paragraph" w:styleId="1060">
    <w:name w:val="table_1stline"/>
    <w:basedOn w:val="949"/>
    <w:next w:val="1060"/>
    <w:link w:val="949"/>
    <w:pPr>
      <w:jc w:val="left"/>
      <w:spacing w:before="120"/>
      <w:widowControl/>
    </w:pPr>
    <w:rPr>
      <w:bCs/>
      <w:sz w:val="20"/>
      <w:szCs w:val="20"/>
      <w:lang w:val="de-DE" w:eastAsia="de-DE"/>
    </w:rPr>
  </w:style>
  <w:style w:type="paragraph" w:styleId="1061">
    <w:name w:val="font5"/>
    <w:basedOn w:val="949"/>
    <w:next w:val="1061"/>
    <w:link w:val="949"/>
    <w:pPr>
      <w:jc w:val="left"/>
      <w:spacing w:before="100" w:beforeAutospacing="1" w:after="100" w:afterAutospacing="1"/>
      <w:widowControl/>
    </w:pPr>
    <w:rPr>
      <w:rFonts w:hint="eastAsia" w:ascii="宋体" w:hAnsi="宋体"/>
      <w:sz w:val="28"/>
      <w:szCs w:val="28"/>
    </w:rPr>
  </w:style>
  <w:style w:type="paragraph" w:styleId="1062">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49"/>
    <w:uiPriority w:val="99"/>
    <w:semiHidden/>
    <w:rPr>
      <w:rFonts w:ascii="Times New Roman" w:hAnsi="Times New Roman"/>
      <w:sz w:val="21"/>
      <w:szCs w:val="21"/>
      <w:lang w:val="en-US" w:eastAsia="zh-CN" w:bidi="ar-SA"/>
    </w:rPr>
  </w:style>
  <w:style w:type="paragraph" w:styleId="1064">
    <w:name w:val="无间隔"/>
    <w:next w:val="1064"/>
    <w:link w:val="949"/>
    <w:uiPriority w:val="99"/>
    <w:qFormat/>
    <w:pPr>
      <w:jc w:val="both"/>
      <w:widowControl w:val="off"/>
    </w:pPr>
    <w:rPr>
      <w:rFonts w:ascii="Times New Roman" w:hAnsi="Times New Roman"/>
      <w:sz w:val="21"/>
      <w:szCs w:val="21"/>
      <w:lang w:val="en-US" w:eastAsia="zh-CN" w:bidi="ar-SA"/>
    </w:rPr>
  </w:style>
  <w:style w:type="paragraph" w:styleId="1065">
    <w:name w:val="Heading 1"/>
    <w:basedOn w:val="949"/>
    <w:next w:val="949"/>
    <w:link w:val="1066"/>
    <w:uiPriority w:val="9"/>
    <w:qFormat/>
    <w:pPr>
      <w:keepLines/>
      <w:keepNext/>
      <w:spacing w:before="480" w:after="200"/>
      <w:outlineLvl w:val="0"/>
    </w:pPr>
    <w:rPr>
      <w:rFonts w:ascii="Arial" w:hAnsi="Arial" w:eastAsia="Arial"/>
      <w:sz w:val="40"/>
      <w:szCs w:val="40"/>
    </w:rPr>
  </w:style>
  <w:style w:type="character" w:styleId="1066">
    <w:name w:val="Heading 1 Char"/>
    <w:next w:val="1066"/>
    <w:link w:val="1065"/>
    <w:uiPriority w:val="9"/>
    <w:rPr>
      <w:rFonts w:ascii="Arial" w:hAnsi="Arial" w:eastAsia="Arial" w:cs="Arial"/>
      <w:sz w:val="40"/>
      <w:szCs w:val="40"/>
    </w:rPr>
  </w:style>
  <w:style w:type="paragraph" w:styleId="1067">
    <w:name w:val="纯文本1"/>
    <w:basedOn w:val="949"/>
    <w:next w:val="1067"/>
    <w:link w:val="949"/>
    <w:rPr>
      <w:rFonts w:ascii="宋体" w:hAnsi="Courier New" w:cs="Courier New"/>
    </w:rPr>
  </w:style>
  <w:style w:type="paragraph" w:styleId="1068">
    <w:name w:val="标题 21"/>
    <w:basedOn w:val="949"/>
    <w:next w:val="949"/>
    <w:link w:val="949"/>
    <w:qFormat/>
    <w:pPr>
      <w:jc w:val="center"/>
      <w:keepLines/>
      <w:keepNext/>
      <w:spacing w:before="260" w:after="260" w:line="416" w:lineRule="auto"/>
      <w:outlineLvl w:val="1"/>
    </w:pPr>
    <w:rPr>
      <w:rFonts w:ascii="Arial" w:hAnsi="Arial" w:eastAsia="幼圆" w:cs="Arial"/>
      <w:b/>
      <w:bCs/>
      <w:sz w:val="44"/>
      <w:szCs w:val="44"/>
    </w:rPr>
  </w:style>
  <w:style w:type="paragraph" w:styleId="1069">
    <w:name w:val="正文首行缩进11"/>
    <w:basedOn w:val="1027"/>
    <w:next w:val="1069"/>
    <w:link w:val="949"/>
    <w:qFormat/>
    <w:pPr>
      <w:ind w:firstLine="200"/>
      <w:spacing w:line="360" w:lineRule="auto"/>
    </w:pPr>
    <w:rPr>
      <w:rFonts w:ascii="仿宋_GB2312" w:eastAsia="仿宋_GB2312"/>
      <w:sz w:val="30"/>
      <w:szCs w:val="30"/>
    </w:rPr>
  </w:style>
  <w:style w:type="paragraph" w:styleId="1070">
    <w:name w:val="正文首行缩进 21"/>
    <w:basedOn w:val="1071"/>
    <w:next w:val="1070"/>
    <w:link w:val="949"/>
    <w:qFormat/>
    <w:pPr>
      <w:ind w:firstLine="420"/>
      <w:spacing w:line="360" w:lineRule="auto"/>
    </w:pPr>
    <w:rPr>
      <w:rFonts w:ascii="宋体" w:hAnsi="宋体" w:eastAsia="宋体"/>
      <w:szCs w:val="20"/>
    </w:rPr>
  </w:style>
  <w:style w:type="paragraph" w:styleId="1071">
    <w:name w:val="正文文本缩进1"/>
    <w:basedOn w:val="949"/>
    <w:next w:val="1072"/>
    <w:link w:val="949"/>
    <w:qFormat/>
    <w:pPr>
      <w:ind w:firstLine="645"/>
    </w:pPr>
    <w:rPr>
      <w:rFonts w:ascii="楷体_GB2312" w:eastAsia="楷体_GB2312"/>
      <w:sz w:val="32"/>
      <w:szCs w:val="32"/>
    </w:rPr>
  </w:style>
  <w:style w:type="paragraph" w:styleId="1072">
    <w:name w:val="寄信人地址1"/>
    <w:basedOn w:val="949"/>
    <w:next w:val="1072"/>
    <w:link w:val="949"/>
    <w:uiPriority w:val="99"/>
    <w:unhideWhenUsed/>
    <w:qFormat/>
    <w:rPr>
      <w:rFonts w:ascii="Arial" w:hAnsi="Arial"/>
    </w:rPr>
  </w:style>
  <w:style w:type="paragraph" w:styleId="1073">
    <w:name w:val="列出段落3"/>
    <w:basedOn w:val="949"/>
    <w:next w:val="1073"/>
    <w:link w:val="949"/>
    <w:pPr>
      <w:ind w:firstLine="420"/>
    </w:pPr>
    <w:rPr>
      <w:rFonts w:ascii="Calibri" w:hAnsi="Calibri" w:eastAsia="宋体" w:cs="Times New Roman"/>
      <w:szCs w:val="22"/>
    </w:rPr>
  </w:style>
  <w:style w:type="paragraph" w:styleId="1074">
    <w:name w:val="标书三级编号"/>
    <w:basedOn w:val="949"/>
    <w:next w:val="1074"/>
    <w:link w:val="949"/>
    <w:qFormat/>
    <w:pPr>
      <w:numPr>
        <w:ilvl w:val="2"/>
        <w:numId w:val="4"/>
      </w:numPr>
      <w:spacing w:line="480" w:lineRule="exact"/>
      <w:outlineLvl w:val="4"/>
    </w:pPr>
    <w:rPr>
      <w:rFonts w:hAnsi="Helvetica" w:eastAsia="方正细等线_GBK"/>
      <w:b/>
      <w:sz w:val="24"/>
      <w:szCs w:val="24"/>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3</cp:revision>
  <dcterms:created xsi:type="dcterms:W3CDTF">2024-05-08T01:23:00Z</dcterms:created>
  <dcterms:modified xsi:type="dcterms:W3CDTF">2026-04-07T06:35:52Z</dcterms:modified>
</cp:coreProperties>
</file>