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eastAsia="宋体"/>
          <w:b/>
          <w:bCs/>
          <w:color w:val="auto"/>
          <w:sz w:val="36"/>
          <w:highlight w:val="none"/>
          <w:lang w:eastAsia="zh-CN"/>
        </w:rPr>
        <w:t xml:space="preserve">JSZC-320000-SWGC-G2026-0040号</w:t>
      </w:r>
      <w:r/>
    </w:p>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eastAsia="宋体"/>
          <w:b/>
          <w:bCs/>
          <w:color w:val="auto"/>
          <w:sz w:val="36"/>
          <w:highlight w:val="none"/>
          <w:lang w:eastAsia="zh-CN"/>
        </w:rPr>
        <w:t xml:space="preserve">扬州大学2026年端午节、中秋节福利项目</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公开招标文件 </w:t>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w:t xml:space="preserve"> </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highlight w:val="none"/>
        </w:rPr>
        <mc:AlternateContent>
          <mc:Choice Requires="wpg">
            <w:drawing>
              <wp:inline xmlns:wp="http://schemas.openxmlformats.org/drawingml/2006/wordprocessingDrawing" distT="0" distB="0" distL="0" distR="0">
                <wp:extent cx="5268595" cy="3741420"/>
                <wp:effectExtent l="0" t="0" r="8255" b="1143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5268595" cy="3741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94.6pt;mso-wrap-distance-left:0.0pt;mso-wrap-distance-top:0.0pt;mso-wrap-distance-right:0.0pt;mso-wrap-distance-bottom:0.0pt;" stroked="f">
                <v:path textboxrect="0,0,0,0"/>
                <v:imagedata r:id="rId16"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ascii="Times New Roman" w:hAnsi="Times New Roman" w:eastAsia="宋体"/>
          <w:b/>
          <w:bCs/>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jc w:val="center"/>
        <w:pageBreakBefore w:val="0"/>
        <w:spacing w:line="360" w:lineRule="auto"/>
        <w:rPr>
          <w:rFonts w:hint="eastAsia" w:ascii="Times New Roman" w:hAnsi="Times New Roman" w:eastAsia="宋体"/>
          <w:b/>
          <w:bCs/>
          <w:color w:val="auto"/>
          <w:sz w:val="36"/>
          <w:highlight w:val="none"/>
          <w:lang w:eastAsia="zh-CN"/>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bCs/>
          <w:color w:val="auto"/>
          <w:sz w:val="36"/>
          <w:highlight w:val="none"/>
          <w:lang w:eastAsia="zh-CN"/>
        </w:rPr>
        <w:t xml:space="preserve">2026年03月31日</w:t>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sdt>
      <w:sdtPr>
        <w15:appearance w15:val="boundingBox"/>
        <w15:color w:val="dbdbdb"/>
        <w:id w:val="147468845"/>
        <w:docPartObj>
          <w:docPartGallery w:val="Table of Contents"/>
          <w:docPartUnique w:val="true"/>
        </w:docPartObj>
        <w:rPr>
          <w:rFonts w:ascii="Times New Roman" w:hAnsi="Times New Roman" w:eastAsia="宋体"/>
          <w:color w:val="auto"/>
          <w:highlight w:val="none"/>
        </w:rPr>
      </w:sdtPr>
      <w:sdtContent>
        <w:p>
          <w:pPr>
            <w:jc w:val="center"/>
            <w:pageBreakBefore w:val="0"/>
            <w:spacing w:line="360" w:lineRule="auto"/>
            <w:rPr>
              <w:rFonts w:ascii="Times New Roman" w:hAnsi="Times New Roman" w:eastAsia="宋体"/>
              <w:color w:val="auto"/>
              <w:sz w:val="30"/>
              <w:szCs w:val="30"/>
              <w:highlight w:val="none"/>
            </w:rPr>
          </w:pPr>
          <w:r>
            <w:rPr>
              <w:rFonts w:ascii="Times New Roman" w:hAnsi="Times New Roman" w:eastAsia="宋体"/>
              <w:color w:val="auto"/>
              <w:sz w:val="30"/>
              <w:szCs w:val="30"/>
              <w:highlight w:val="none"/>
            </w:rPr>
            <w:t xml:space="preserve">目录</w:t>
          </w:r>
          <w:r/>
        </w:p>
        <w:p>
          <w:pPr>
            <w:pStyle w:val="971"/>
            <w:pageBreakBefore w:val="0"/>
            <w:spacing w:line="360" w:lineRule="auto"/>
            <w:tabs>
              <w:tab w:val="right" w:pos="8306" w:leader="dot"/>
            </w:tabs>
            <w:rPr>
              <w:rFonts w:ascii="Times New Roman" w:hAnsi="Times New Roman" w:eastAsia="宋体"/>
              <w:color w:val="auto"/>
              <w:sz w:val="30"/>
              <w:szCs w:val="30"/>
              <w:highlight w:val="none"/>
            </w:rPr>
          </w:pP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TOC \o "1-1" \h \u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"_Toc15918" </w:instrText>
          </w:r>
          <w:r>
            <w:rPr>
              <w:rFonts w:ascii="Times New Roman" w:hAnsi="Times New Roman" w:eastAsia="宋体"/>
              <w:color w:val="auto"/>
              <w:highlight w:val="none"/>
            </w:rPr>
            <w:fldChar w:fldCharType="separate"/>
          </w:r>
          <w:r>
            <w:rPr>
              <w:rFonts w:hint="eastAsia" w:ascii="Times New Roman" w:hAnsi="Times New Roman" w:eastAsia="宋体"/>
              <w:color w:val="auto"/>
              <w:sz w:val="30"/>
              <w:szCs w:val="30"/>
              <w:highlight w:val="none"/>
            </w:rPr>
            <w:t xml:space="preserve">第一章</w:t>
          </w:r>
          <w:r>
            <w:rPr>
              <w:rFonts w:ascii="Times New Roman" w:hAnsi="Times New Roman" w:eastAsia="宋体"/>
              <w:color w:val="auto"/>
              <w:sz w:val="30"/>
              <w:szCs w:val="30"/>
              <w:highlight w:val="none"/>
            </w:rPr>
            <w:t xml:space="preserve"> </w:t>
          </w:r>
          <w:r>
            <w:rPr>
              <w:rFonts w:hint="eastAsia" w:ascii="Times New Roman" w:hAnsi="Times New Roman" w:eastAsia="宋体"/>
              <w:color w:val="auto"/>
              <w:sz w:val="30"/>
              <w:szCs w:val="30"/>
              <w:highlight w:val="none"/>
            </w:rPr>
            <w:t xml:space="preserve">投标邀请书</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_Toc15918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w:t>
          </w:r>
          <w:r>
            <w:rPr>
              <w:rFonts w:ascii="Times New Roman" w:hAnsi="Times New Roman" w:eastAsia="宋体"/>
              <w:color w:val="auto"/>
              <w:sz w:val="30"/>
              <w:szCs w:val="30"/>
              <w:highlight w:val="none"/>
            </w:rPr>
            <w:fldChar w:fldCharType="end"/>
          </w:r>
          <w:r>
            <w:rPr>
              <w:rFonts w:ascii="Times New Roman" w:hAnsi="Times New Roman" w:eastAsia="宋体"/>
              <w:color w:val="auto"/>
              <w:sz w:val="30"/>
              <w:szCs w:val="30"/>
              <w:highlight w:val="none"/>
            </w:rPr>
            <w:fldChar w:fldCharType="end"/>
          </w:r>
          <w:r/>
        </w:p>
        <w:p>
          <w:pPr>
            <w:pStyle w:val="971"/>
            <w:pageBreakBefore w:val="0"/>
            <w:spacing w:line="360" w:lineRule="auto"/>
            <w:tabs>
              <w:tab w:val="right" w:pos="8306" w:leader="dot"/>
            </w:tabs>
            <w:rPr>
              <w:rFonts w:ascii="Times New Roman" w:hAnsi="Times New Roman" w:eastAsia="宋体"/>
              <w:color w:val="auto"/>
              <w:sz w:val="30"/>
              <w:szCs w:val="30"/>
              <w:highlight w:val="none"/>
            </w:rPr>
          </w:pP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"_Toc17412" </w:instrText>
          </w:r>
          <w:r>
            <w:rPr>
              <w:rFonts w:ascii="Times New Roman" w:hAnsi="Times New Roman" w:eastAsia="宋体"/>
              <w:color w:val="auto"/>
              <w:highlight w:val="none"/>
            </w:rPr>
            <w:fldChar w:fldCharType="separate"/>
          </w:r>
          <w:r>
            <w:rPr>
              <w:rFonts w:hint="eastAsia" w:ascii="Times New Roman" w:hAnsi="Times New Roman" w:eastAsia="宋体"/>
              <w:color w:val="auto"/>
              <w:sz w:val="30"/>
              <w:szCs w:val="30"/>
              <w:highlight w:val="none"/>
            </w:rPr>
            <w:t xml:space="preserve">第二章 投标人须知</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_Toc17412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5</w:t>
          </w:r>
          <w:r>
            <w:rPr>
              <w:rFonts w:ascii="Times New Roman" w:hAnsi="Times New Roman" w:eastAsia="宋体"/>
              <w:color w:val="auto"/>
              <w:sz w:val="30"/>
              <w:szCs w:val="30"/>
              <w:highlight w:val="none"/>
            </w:rPr>
            <w:fldChar w:fldCharType="end"/>
          </w:r>
          <w:r>
            <w:rPr>
              <w:rFonts w:ascii="Times New Roman" w:hAnsi="Times New Roman" w:eastAsia="宋体"/>
              <w:color w:val="auto"/>
              <w:sz w:val="30"/>
              <w:szCs w:val="30"/>
              <w:highlight w:val="none"/>
            </w:rPr>
            <w:fldChar w:fldCharType="end"/>
          </w:r>
          <w:r/>
        </w:p>
        <w:p>
          <w:pPr>
            <w:pStyle w:val="971"/>
            <w:pageBreakBefore w:val="0"/>
            <w:spacing w:line="360" w:lineRule="auto"/>
            <w:tabs>
              <w:tab w:val="right" w:pos="8306" w:leader="dot"/>
            </w:tabs>
            <w:rPr>
              <w:rFonts w:ascii="Times New Roman" w:hAnsi="Times New Roman" w:eastAsia="宋体"/>
              <w:color w:val="auto"/>
              <w:sz w:val="30"/>
              <w:szCs w:val="30"/>
              <w:highlight w:val="none"/>
            </w:rPr>
          </w:pP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"_Toc7828" </w:instrText>
          </w:r>
          <w:r>
            <w:rPr>
              <w:rFonts w:ascii="Times New Roman" w:hAnsi="Times New Roman" w:eastAsia="宋体"/>
              <w:color w:val="auto"/>
              <w:highlight w:val="none"/>
            </w:rPr>
            <w:fldChar w:fldCharType="separate"/>
          </w:r>
          <w:r>
            <w:rPr>
              <w:rFonts w:hint="eastAsia" w:ascii="Times New Roman" w:hAnsi="Times New Roman" w:eastAsia="宋体" w:cs="宋体"/>
              <w:color w:val="auto"/>
              <w:sz w:val="30"/>
              <w:szCs w:val="30"/>
              <w:highlight w:val="none"/>
            </w:rPr>
            <w:t xml:space="preserve">第三章 合同条款及格式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_Toc7828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21</w:t>
          </w:r>
          <w:r>
            <w:rPr>
              <w:rFonts w:ascii="Times New Roman" w:hAnsi="Times New Roman" w:eastAsia="宋体"/>
              <w:color w:val="auto"/>
              <w:sz w:val="30"/>
              <w:szCs w:val="30"/>
              <w:highlight w:val="none"/>
            </w:rPr>
            <w:fldChar w:fldCharType="end"/>
          </w:r>
          <w:r>
            <w:rPr>
              <w:rFonts w:ascii="Times New Roman" w:hAnsi="Times New Roman" w:eastAsia="宋体"/>
              <w:color w:val="auto"/>
              <w:sz w:val="30"/>
              <w:szCs w:val="30"/>
              <w:highlight w:val="none"/>
            </w:rPr>
            <w:fldChar w:fldCharType="end"/>
          </w:r>
          <w:r/>
        </w:p>
        <w:p>
          <w:pPr>
            <w:pStyle w:val="971"/>
            <w:pageBreakBefore w:val="0"/>
            <w:spacing w:line="360" w:lineRule="auto"/>
            <w:tabs>
              <w:tab w:val="right" w:pos="8306" w:leader="dot"/>
            </w:tabs>
            <w:rPr>
              <w:rFonts w:ascii="Times New Roman" w:hAnsi="Times New Roman" w:eastAsia="宋体"/>
              <w:color w:val="auto"/>
              <w:sz w:val="30"/>
              <w:szCs w:val="30"/>
              <w:highlight w:val="none"/>
            </w:rPr>
          </w:pP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"_Toc6111" </w:instrText>
          </w:r>
          <w:r>
            <w:rPr>
              <w:rFonts w:ascii="Times New Roman" w:hAnsi="Times New Roman" w:eastAsia="宋体"/>
              <w:color w:val="auto"/>
              <w:highlight w:val="none"/>
            </w:rPr>
            <w:fldChar w:fldCharType="separate"/>
          </w:r>
          <w:r>
            <w:rPr>
              <w:rFonts w:hint="eastAsia" w:ascii="Times New Roman" w:hAnsi="Times New Roman" w:eastAsia="宋体"/>
              <w:color w:val="auto"/>
              <w:sz w:val="30"/>
              <w:szCs w:val="30"/>
              <w:highlight w:val="none"/>
            </w:rPr>
            <w:t xml:space="preserve">第四章 项目需求</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_Toc6111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25</w:t>
          </w:r>
          <w:r>
            <w:rPr>
              <w:rFonts w:ascii="Times New Roman" w:hAnsi="Times New Roman" w:eastAsia="宋体"/>
              <w:color w:val="auto"/>
              <w:sz w:val="30"/>
              <w:szCs w:val="30"/>
              <w:highlight w:val="none"/>
            </w:rPr>
            <w:fldChar w:fldCharType="end"/>
          </w:r>
          <w:r>
            <w:rPr>
              <w:rFonts w:ascii="Times New Roman" w:hAnsi="Times New Roman" w:eastAsia="宋体"/>
              <w:color w:val="auto"/>
              <w:sz w:val="30"/>
              <w:szCs w:val="30"/>
              <w:highlight w:val="none"/>
            </w:rPr>
            <w:fldChar w:fldCharType="end"/>
          </w:r>
          <w:r/>
        </w:p>
        <w:p>
          <w:pPr>
            <w:pStyle w:val="971"/>
            <w:pageBreakBefore w:val="0"/>
            <w:spacing w:line="360" w:lineRule="auto"/>
            <w:tabs>
              <w:tab w:val="right" w:pos="8306" w:leader="dot"/>
            </w:tabs>
            <w:rPr>
              <w:rFonts w:ascii="Times New Roman" w:hAnsi="Times New Roman" w:eastAsia="宋体"/>
              <w:color w:val="auto"/>
              <w:sz w:val="30"/>
              <w:szCs w:val="30"/>
              <w:highlight w:val="none"/>
            </w:rPr>
          </w:pP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"_Toc27003" </w:instrText>
          </w:r>
          <w:r>
            <w:rPr>
              <w:rFonts w:ascii="Times New Roman" w:hAnsi="Times New Roman" w:eastAsia="宋体"/>
              <w:color w:val="auto"/>
              <w:highlight w:val="none"/>
            </w:rPr>
            <w:fldChar w:fldCharType="separate"/>
          </w:r>
          <w:r>
            <w:rPr>
              <w:rFonts w:hint="eastAsia" w:ascii="Times New Roman" w:hAnsi="Times New Roman" w:eastAsia="宋体"/>
              <w:color w:val="auto"/>
              <w:sz w:val="30"/>
              <w:szCs w:val="30"/>
              <w:highlight w:val="none"/>
            </w:rPr>
            <w:t xml:space="preserve">第五章 评标方法及评标标准</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_Toc27003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29</w:t>
          </w:r>
          <w:r>
            <w:rPr>
              <w:rFonts w:ascii="Times New Roman" w:hAnsi="Times New Roman" w:eastAsia="宋体"/>
              <w:color w:val="auto"/>
              <w:sz w:val="30"/>
              <w:szCs w:val="30"/>
              <w:highlight w:val="none"/>
            </w:rPr>
            <w:fldChar w:fldCharType="end"/>
          </w:r>
          <w:r>
            <w:rPr>
              <w:rFonts w:ascii="Times New Roman" w:hAnsi="Times New Roman" w:eastAsia="宋体"/>
              <w:color w:val="auto"/>
              <w:sz w:val="30"/>
              <w:szCs w:val="30"/>
              <w:highlight w:val="none"/>
            </w:rPr>
            <w:fldChar w:fldCharType="end"/>
          </w:r>
          <w:r/>
        </w:p>
        <w:p>
          <w:pPr>
            <w:pStyle w:val="971"/>
            <w:pageBreakBefore w:val="0"/>
            <w:spacing w:line="360" w:lineRule="auto"/>
            <w:tabs>
              <w:tab w:val="right" w:pos="8306" w:leader="dot"/>
            </w:tabs>
            <w:rPr>
              <w:rFonts w:ascii="Times New Roman" w:hAnsi="Times New Roman" w:eastAsia="宋体"/>
              <w:color w:val="auto"/>
              <w:sz w:val="30"/>
              <w:szCs w:val="30"/>
              <w:highlight w:val="none"/>
            </w:rPr>
          </w:pP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"_Toc29407" </w:instrText>
          </w:r>
          <w:r>
            <w:rPr>
              <w:rFonts w:ascii="Times New Roman" w:hAnsi="Times New Roman" w:eastAsia="宋体"/>
              <w:color w:val="auto"/>
              <w:highlight w:val="none"/>
            </w:rPr>
            <w:fldChar w:fldCharType="separate"/>
          </w:r>
          <w:r>
            <w:rPr>
              <w:rFonts w:hint="eastAsia" w:ascii="Times New Roman" w:hAnsi="Times New Roman" w:eastAsia="宋体"/>
              <w:color w:val="auto"/>
              <w:sz w:val="30"/>
              <w:szCs w:val="30"/>
              <w:highlight w:val="none"/>
            </w:rPr>
            <w:t xml:space="preserve">第六章 投标文件格式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_Toc29407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36</w:t>
          </w:r>
          <w:r>
            <w:rPr>
              <w:rFonts w:ascii="Times New Roman" w:hAnsi="Times New Roman" w:eastAsia="宋体"/>
              <w:color w:val="auto"/>
              <w:sz w:val="30"/>
              <w:szCs w:val="30"/>
              <w:highlight w:val="none"/>
            </w:rPr>
            <w:fldChar w:fldCharType="end"/>
          </w:r>
          <w:r>
            <w:rPr>
              <w:rFonts w:ascii="Times New Roman" w:hAnsi="Times New Roman" w:eastAsia="宋体"/>
              <w:color w:val="auto"/>
              <w:sz w:val="30"/>
              <w:szCs w:val="30"/>
              <w:highlight w:val="none"/>
            </w:rPr>
            <w:fldChar w:fldCharType="end"/>
          </w:r>
          <w:r/>
        </w:p>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sz w:val="30"/>
              <w:szCs w:val="30"/>
              <w:highlight w:val="none"/>
            </w:rPr>
            <w:fldChar w:fldCharType="end"/>
          </w:r>
          <w:r/>
        </w:p>
      </w:sdtContent>
    </w:sdt>
    <w:p>
      <w:pPr>
        <w:pStyle w:val="971"/>
        <w:pageBreakBefore w:val="0"/>
        <w:spacing w:line="360" w:lineRule="auto"/>
        <w:rPr>
          <w:rFonts w:ascii="Times New Roman" w:hAnsi="Times New Roman" w:eastAsia="宋体"/>
          <w:color w:val="auto"/>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rPr>
          <w:rFonts w:ascii="Times New Roman" w:hAnsi="Times New Roman" w:eastAsia="宋体"/>
          <w:color w:val="auto"/>
          <w:highlight w:val="none"/>
        </w:rPr>
      </w:r>
      <w:r/>
    </w:p>
    <w:p>
      <w:pPr>
        <w:pStyle w:val="946"/>
        <w:jc w:val="center"/>
        <w:pageBreakBefore w:val="0"/>
        <w:spacing w:before="0" w:after="0" w:line="360" w:lineRule="auto"/>
        <w:rPr>
          <w:rFonts w:ascii="Times New Roman" w:hAnsi="Times New Roman" w:eastAsia="宋体"/>
          <w:color w:val="auto"/>
          <w:sz w:val="36"/>
          <w:highlight w:val="none"/>
        </w:rPr>
      </w:pPr>
      <w:r/>
      <w:bookmarkStart w:id="0" w:name="_Toc497133090"/>
      <w:r/>
      <w:bookmarkStart w:id="1" w:name="_Toc15918"/>
      <w:r>
        <w:rPr>
          <w:rFonts w:hint="eastAsia" w:ascii="Times New Roman" w:hAnsi="Times New Roman" w:eastAsia="宋体"/>
          <w:color w:val="auto"/>
          <w:sz w:val="36"/>
          <w:highlight w:val="none"/>
        </w:rPr>
        <w:t xml:space="preserve">第一章</w:t>
      </w:r>
      <w:r>
        <w:rPr>
          <w:rFonts w:ascii="Times New Roman" w:hAnsi="Times New Roman" w:eastAsia="宋体"/>
          <w:color w:val="auto"/>
          <w:sz w:val="36"/>
          <w:highlight w:val="none"/>
        </w:rPr>
        <w:t xml:space="preserve"> </w:t>
      </w:r>
      <w:bookmarkEnd w:id="0"/>
      <w:r>
        <w:rPr>
          <w:rFonts w:hint="eastAsia" w:ascii="Times New Roman" w:hAnsi="Times New Roman" w:eastAsia="宋体"/>
          <w:color w:val="auto"/>
          <w:sz w:val="36"/>
          <w:highlight w:val="none"/>
        </w:rPr>
        <w:t xml:space="preserve">投标邀请书</w:t>
      </w:r>
      <w:bookmarkEnd w:id="1"/>
      <w:r/>
      <w:r/>
    </w:p>
    <w:p>
      <w:pPr>
        <w:ind w:firstLine="420"/>
        <w:pageBreakBefore w:val="0"/>
        <w:spacing w:line="360" w:lineRule="auto"/>
        <w:tabs>
          <w:tab w:val="left" w:pos="266" w:leader="none"/>
        </w:tabs>
        <w:rPr>
          <w:rFonts w:ascii="Times New Roman" w:hAnsi="Times New Roman" w:eastAsia="宋体" w:cs="宋体"/>
          <w:color w:val="auto"/>
          <w:szCs w:val="21"/>
          <w:highlight w:val="none"/>
        </w:rPr>
      </w:pPr>
      <w:r/>
      <w:bookmarkStart w:id="2" w:name="_Toc35393629"/>
      <w:r/>
      <w:bookmarkStart w:id="3" w:name="_Toc28359089"/>
      <w:r/>
      <w:bookmarkStart w:id="4" w:name="_Toc35393798"/>
      <w:r/>
      <w:bookmarkStart w:id="5" w:name="_Toc28359012"/>
      <w:r>
        <w:rPr>
          <w:rFonts w:hint="eastAsia" w:ascii="Times New Roman" w:hAnsi="Times New Roman" w:eastAsia="宋体" w:cs="宋体"/>
          <w:color w:val="auto"/>
          <w:szCs w:val="21"/>
          <w:highlight w:val="none"/>
        </w:rPr>
        <w:t xml:space="preserve">受扬州大学的委托，江苏苏维工程管理有限公司就</w:t>
      </w:r>
      <w:r>
        <w:rPr>
          <w:rFonts w:hint="eastAsia" w:ascii="Times New Roman" w:hAnsi="Times New Roman" w:eastAsia="宋体" w:cs="宋体"/>
          <w:color w:val="auto"/>
          <w:szCs w:val="21"/>
          <w:highlight w:val="none"/>
          <w:lang w:eastAsia="zh-CN"/>
        </w:rPr>
        <w:t xml:space="preserve">扬州大学2026年端午节、中秋节福利项目</w:t>
      </w:r>
      <w:r>
        <w:rPr>
          <w:rFonts w:hint="eastAsia" w:ascii="Times New Roman" w:hAnsi="Times New Roman" w:eastAsia="宋体" w:cs="宋体"/>
          <w:color w:val="auto"/>
          <w:szCs w:val="21"/>
          <w:highlight w:val="none"/>
        </w:rPr>
        <w:t xml:space="preserve">（</w:t>
      </w:r>
      <w:r>
        <w:rPr>
          <w:rFonts w:hint="eastAsia" w:ascii="Times New Roman" w:hAnsi="Times New Roman" w:eastAsia="宋体"/>
          <w:color w:val="auto"/>
          <w:szCs w:val="21"/>
          <w:highlight w:val="none"/>
          <w:lang w:eastAsia="zh-CN"/>
        </w:rPr>
        <w:t xml:space="preserve">JSZC-320000-SWGC-G2026-0040号</w:t>
      </w:r>
      <w:r>
        <w:rPr>
          <w:rFonts w:hint="eastAsia" w:ascii="Times New Roman" w:hAnsi="Times New Roman" w:eastAsia="宋体" w:cs="宋体"/>
          <w:color w:val="auto"/>
          <w:szCs w:val="21"/>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szCs w:val="21"/>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szCs w:val="21"/>
          <w:highlight w:val="none"/>
        </w:rPr>
        <w:t xml:space="preserve">项目概况：</w:t>
      </w:r>
      <w:r/>
    </w:p>
    <w:p>
      <w:pPr>
        <w:ind w:firstLine="420"/>
        <w:pageBreakBefore w:val="0"/>
        <w:spacing w:line="360" w:lineRule="auto"/>
        <w:rPr>
          <w:rFonts w:ascii="Times New Roman" w:hAnsi="Times New Roman"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olor w:val="auto"/>
          <w:szCs w:val="21"/>
          <w:highlight w:val="none"/>
          <w:u w:val="single"/>
          <w:lang w:eastAsia="zh-CN"/>
        </w:rPr>
        <w:t xml:space="preserve">扬州大学2026年端午节、中秋节福利项目</w:t>
      </w:r>
      <w:r>
        <w:rPr>
          <w:rFonts w:hint="eastAsia" w:ascii="Times New Roman" w:hAnsi="Times New Roman" w:eastAsia="宋体" w:cs="宋体"/>
          <w:color w:val="auto"/>
          <w:szCs w:val="21"/>
          <w:highlight w:val="none"/>
        </w:rPr>
        <w:t xml:space="preserve">的潜在投标人可在</w:t>
      </w:r>
      <w:r>
        <w:rPr>
          <w:rFonts w:hint="eastAsia" w:ascii="Times New Roman" w:hAnsi="Times New Roman" w:eastAsia="宋体" w:cs="宋体"/>
          <w:color w:val="auto"/>
          <w:szCs w:val="21"/>
          <w:highlight w:val="none"/>
          <w:u w:val="single"/>
        </w:rPr>
        <w:t xml:space="preserve">江苏苏维工程管理有限公司三楼报名处（扬州市邗江区翠岗路48号） </w:t>
      </w:r>
      <w:r>
        <w:rPr>
          <w:rFonts w:hint="eastAsia" w:ascii="Times New Roman" w:hAnsi="Times New Roman" w:eastAsia="宋体" w:cs="宋体"/>
          <w:color w:val="auto"/>
          <w:szCs w:val="21"/>
          <w:highlight w:val="none"/>
        </w:rPr>
        <w:t xml:space="preserve">获取招标文件，并于</w:t>
      </w:r>
      <w:r>
        <w:rPr>
          <w:rFonts w:hint="eastAsia" w:ascii="Times New Roman" w:hAnsi="Times New Roman" w:eastAsia="宋体" w:cs="宋体"/>
          <w:bCs/>
          <w:color w:val="auto"/>
          <w:szCs w:val="21"/>
          <w:highlight w:val="none"/>
          <w:u w:val="single"/>
        </w:rPr>
        <w:t xml:space="preserve">2026年04月23日 上午10：00</w:t>
      </w:r>
      <w:r>
        <w:rPr>
          <w:rFonts w:hint="eastAsia" w:ascii="Times New Roman" w:hAnsi="Times New Roman" w:eastAsia="宋体" w:cs="宋体"/>
          <w:bCs/>
          <w:color w:val="auto"/>
          <w:szCs w:val="21"/>
          <w:highlight w:val="none"/>
        </w:rPr>
        <w:t xml:space="preserve">（北京时间）前递交投标文件</w:t>
      </w:r>
      <w:r>
        <w:rPr>
          <w:rFonts w:hint="eastAsia" w:ascii="Times New Roman" w:hAnsi="Times New Roman" w:eastAsia="宋体" w:cs="宋体"/>
          <w:color w:val="auto"/>
          <w:szCs w:val="21"/>
          <w:highlight w:val="none"/>
        </w:rPr>
        <w:t xml:space="preserve">。</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bCs/>
          <w:color w:val="auto"/>
          <w:szCs w:val="21"/>
          <w:highlight w:val="none"/>
        </w:rPr>
        <w:t xml:space="preserve">一、项目基本情况</w:t>
      </w:r>
      <w:bookmarkEnd w:id="2"/>
      <w:r/>
      <w:bookmarkEnd w:id="3"/>
      <w:r/>
      <w:bookmarkEnd w:id="4"/>
      <w:r/>
      <w:bookmarkEnd w:id="5"/>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rPr>
        <w:t xml:space="preserve">1.项目编号：</w:t>
      </w:r>
      <w:r>
        <w:rPr>
          <w:rFonts w:hint="eastAsia" w:ascii="Times New Roman" w:hAnsi="Times New Roman" w:eastAsia="宋体"/>
          <w:color w:val="auto"/>
          <w:szCs w:val="21"/>
          <w:highlight w:val="none"/>
          <w:lang w:eastAsia="zh-CN"/>
        </w:rPr>
        <w:t xml:space="preserve">JSZC-320000-SWGC-G2026-0040号</w:t>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rPr>
        <w:t xml:space="preserve">2.项目名称：</w:t>
      </w:r>
      <w:r>
        <w:rPr>
          <w:rFonts w:hint="eastAsia" w:ascii="Times New Roman" w:hAnsi="Times New Roman" w:eastAsia="宋体"/>
          <w:color w:val="auto"/>
          <w:szCs w:val="21"/>
          <w:highlight w:val="none"/>
          <w:lang w:eastAsia="zh-CN"/>
        </w:rPr>
        <w:t xml:space="preserve">扬州大学2026年端午节、中秋节福利项目</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3.</w:t>
      </w:r>
      <w:r>
        <w:rPr>
          <w:rFonts w:hint="eastAsia" w:ascii="Times New Roman" w:hAnsi="Times New Roman" w:eastAsia="宋体"/>
          <w:color w:val="auto"/>
          <w:szCs w:val="21"/>
          <w:highlight w:val="none"/>
        </w:rPr>
        <w:t xml:space="preserve">预算金额：</w:t>
      </w:r>
      <w:r/>
    </w:p>
    <w:tbl>
      <w:tblPr>
        <w:tblStyle w:val="956"/>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5"/>
        <w:gridCol w:w="4125"/>
      </w:tblGrid>
      <w:tr>
        <w:trPr/>
        <w:tc>
          <w:tcPr>
            <w:tcW w:w="241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采购包号</w:t>
            </w:r>
            <w:r/>
          </w:p>
        </w:tc>
        <w:tc>
          <w:tcPr>
            <w:tcW w:w="412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预算金额（人民币：万元）</w:t>
            </w:r>
            <w:r/>
          </w:p>
        </w:tc>
      </w:tr>
      <w:tr>
        <w:trPr/>
        <w:tc>
          <w:tcPr>
            <w:tcW w:w="241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包一</w:t>
            </w:r>
            <w:r/>
          </w:p>
        </w:tc>
        <w:tc>
          <w:tcPr>
            <w:tcW w:w="4125"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91.5</w:t>
            </w:r>
            <w:r/>
          </w:p>
        </w:tc>
      </w:tr>
      <w:tr>
        <w:trPr/>
        <w:tc>
          <w:tcPr>
            <w:shd w:val="clear" w:color="auto" w:fill="auto"/>
            <w:tcW w:w="241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包二</w:t>
            </w:r>
            <w:r/>
          </w:p>
        </w:tc>
        <w:tc>
          <w:tcPr>
            <w:tcW w:w="412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91.5</w:t>
            </w:r>
            <w:r/>
          </w:p>
        </w:tc>
      </w:tr>
      <w:tr>
        <w:trPr/>
        <w:tc>
          <w:tcPr>
            <w:shd w:val="clear" w:color="auto" w:fill="auto"/>
            <w:tcW w:w="241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包三</w:t>
            </w:r>
            <w:r/>
          </w:p>
        </w:tc>
        <w:tc>
          <w:tcPr>
            <w:tcW w:w="412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91.5</w:t>
            </w:r>
            <w:r/>
          </w:p>
        </w:tc>
      </w:tr>
      <w:tr>
        <w:trPr/>
        <w:tc>
          <w:tcPr>
            <w:shd w:val="clear" w:color="auto" w:fill="auto"/>
            <w:tcW w:w="241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包四</w:t>
            </w:r>
            <w:r/>
          </w:p>
        </w:tc>
        <w:tc>
          <w:tcPr>
            <w:tcW w:w="4125"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102.75</w:t>
            </w:r>
            <w:r/>
          </w:p>
        </w:tc>
      </w:tr>
      <w:tr>
        <w:trPr/>
        <w:tc>
          <w:tcPr>
            <w:tcW w:w="241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包五</w:t>
            </w:r>
            <w:r/>
          </w:p>
        </w:tc>
        <w:tc>
          <w:tcPr>
            <w:tcW w:w="412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lang w:val="en-US" w:eastAsia="zh-CN"/>
              </w:rPr>
              <w:t xml:space="preserve">102.75</w:t>
            </w:r>
            <w:r/>
          </w:p>
        </w:tc>
      </w:tr>
    </w:tbl>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4.最高限价：</w:t>
      </w:r>
      <w:r/>
    </w:p>
    <w:tbl>
      <w:tblPr>
        <w:tblStyle w:val="956"/>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2160"/>
        <w:gridCol w:w="2067"/>
        <w:gridCol w:w="2493"/>
      </w:tblGrid>
      <w:tr>
        <w:trPr/>
        <w:tc>
          <w:tcPr>
            <w:tcW w:w="133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采购包号</w:t>
            </w:r>
            <w:r/>
          </w:p>
        </w:tc>
        <w:tc>
          <w:tcPr>
            <w:tcW w:w="216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是否设定最高限价</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w:t>
            </w:r>
            <w:r/>
          </w:p>
        </w:tc>
        <w:tc>
          <w:tcPr>
            <w:tcW w:w="2067"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最高限价</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（人民币：万元）</w:t>
            </w:r>
            <w:r/>
          </w:p>
        </w:tc>
        <w:tc>
          <w:tcPr>
            <w:tcW w:w="2493"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最低券面总金额</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（单价：元/份）</w:t>
            </w:r>
            <w:r/>
          </w:p>
        </w:tc>
      </w:tr>
      <w:tr>
        <w:trPr/>
        <w:tc>
          <w:tcPr>
            <w:tcW w:w="133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包一</w:t>
            </w:r>
            <w:r/>
          </w:p>
        </w:tc>
        <w:tc>
          <w:tcPr>
            <w:tcW w:w="216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w:t>
            </w:r>
            <w:r/>
          </w:p>
        </w:tc>
        <w:tc>
          <w:tcPr>
            <w:tcW w:w="2067"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80</w:t>
            </w:r>
            <w:r/>
          </w:p>
        </w:tc>
        <w:tc>
          <w:tcPr>
            <w:tcW w:w="2493"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535</w:t>
            </w:r>
            <w:r/>
          </w:p>
        </w:tc>
      </w:tr>
      <w:tr>
        <w:trPr/>
        <w:tc>
          <w:tcPr>
            <w:shd w:val="clear" w:color="auto" w:fill="auto"/>
            <w:tcW w:w="133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包二</w:t>
            </w:r>
            <w:r/>
          </w:p>
        </w:tc>
        <w:tc>
          <w:tcPr>
            <w:shd w:val="clear" w:color="auto" w:fill="auto"/>
            <w:tcW w:w="216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w:t>
            </w:r>
            <w:r/>
          </w:p>
        </w:tc>
        <w:tc>
          <w:tcPr>
            <w:shd w:val="clear" w:color="auto" w:fill="auto"/>
            <w:tcW w:w="2067"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80</w:t>
            </w:r>
            <w:r/>
          </w:p>
        </w:tc>
        <w:tc>
          <w:tcPr>
            <w:tcW w:w="2493"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535</w:t>
            </w:r>
            <w:r/>
          </w:p>
        </w:tc>
      </w:tr>
      <w:tr>
        <w:trPr/>
        <w:tc>
          <w:tcPr>
            <w:shd w:val="clear" w:color="auto" w:fill="auto"/>
            <w:tcW w:w="133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包三</w:t>
            </w:r>
            <w:r/>
          </w:p>
        </w:tc>
        <w:tc>
          <w:tcPr>
            <w:shd w:val="clear" w:color="auto" w:fill="auto"/>
            <w:tcW w:w="216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w:t>
            </w:r>
            <w:r/>
          </w:p>
        </w:tc>
        <w:tc>
          <w:tcPr>
            <w:tcW w:w="2067"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80</w:t>
            </w:r>
            <w:r/>
          </w:p>
        </w:tc>
        <w:tc>
          <w:tcPr>
            <w:tcW w:w="2493"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535</w:t>
            </w:r>
            <w:r/>
          </w:p>
        </w:tc>
      </w:tr>
      <w:tr>
        <w:trPr/>
        <w:tc>
          <w:tcPr>
            <w:shd w:val="clear" w:color="auto" w:fill="auto"/>
            <w:tcW w:w="133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包四</w:t>
            </w:r>
            <w:r/>
          </w:p>
        </w:tc>
        <w:tc>
          <w:tcPr>
            <w:shd w:val="clear" w:color="auto" w:fill="auto"/>
            <w:tcW w:w="216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w:t>
            </w:r>
            <w:r/>
          </w:p>
        </w:tc>
        <w:tc>
          <w:tcPr>
            <w:tcW w:w="2067"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91.25</w:t>
            </w:r>
            <w:r/>
          </w:p>
        </w:tc>
        <w:tc>
          <w:tcPr>
            <w:tcW w:w="2493"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w:t>
            </w:r>
            <w:r/>
          </w:p>
        </w:tc>
      </w:tr>
      <w:tr>
        <w:trPr/>
        <w:tc>
          <w:tcPr>
            <w:tcW w:w="133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包五</w:t>
            </w:r>
            <w:r/>
          </w:p>
        </w:tc>
        <w:tc>
          <w:tcPr>
            <w:shd w:val="clear" w:color="auto" w:fill="auto"/>
            <w:tcW w:w="216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w:t>
            </w:r>
            <w:r/>
          </w:p>
        </w:tc>
        <w:tc>
          <w:tcPr>
            <w:tcW w:w="2067"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91.25</w:t>
            </w:r>
            <w:r/>
          </w:p>
        </w:tc>
        <w:tc>
          <w:tcPr>
            <w:tcW w:w="2493"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w:t>
            </w:r>
            <w:r/>
          </w:p>
        </w:tc>
      </w:tr>
    </w:tbl>
    <w:p>
      <w:pPr>
        <w:ind w:firstLine="420"/>
        <w:pageBreakBefore w:val="0"/>
        <w:spacing w:line="360" w:lineRule="auto"/>
        <w:rPr>
          <w:rFonts w:ascii="Times New Roman" w:hAnsi="Times New Roman" w:eastAsia="宋体" w:cs="宋体"/>
          <w:color w:val="auto"/>
          <w:szCs w:val="21"/>
          <w:highlight w:val="none"/>
          <w:u w:val="single"/>
        </w:rPr>
      </w:pPr>
      <w:r>
        <w:rPr>
          <w:rFonts w:hint="eastAsia" w:ascii="Times New Roman" w:hAnsi="Times New Roman" w:eastAsia="宋体" w:cs="宋体"/>
          <w:color w:val="auto"/>
          <w:szCs w:val="21"/>
          <w:highlight w:val="none"/>
        </w:rPr>
        <w:t xml:space="preserve">5.采购需求：</w:t>
      </w:r>
      <w:r>
        <w:rPr>
          <w:rFonts w:hint="eastAsia" w:ascii="Times New Roman" w:hAnsi="Times New Roman" w:eastAsia="宋体"/>
          <w:color w:val="auto"/>
          <w:szCs w:val="21"/>
          <w:highlight w:val="none"/>
        </w:rPr>
        <w:t xml:space="preserve">本次采购以固定单价结算，包一、包二、包三、包四、包五均以固定价500元/份结算，采购人不保证各包最低供应量，以教职工自行选择的结果为准。投标人可多包兼投，包一、包二、包三不可兼中，包四和包五不可兼中，投标人无需分别制作投标文件，但封面需注明所投包号并分别填写开标一览表。其余详见招标文件第四章</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6.合同履行期限：</w:t>
      </w:r>
      <w:r>
        <w:rPr>
          <w:rFonts w:hint="eastAsia" w:ascii="Times New Roman" w:hAnsi="Times New Roman" w:eastAsia="宋体"/>
          <w:color w:val="auto"/>
          <w:szCs w:val="21"/>
          <w:highlight w:val="none"/>
        </w:rPr>
        <w:t xml:space="preserve">详见招标文件第四章</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7.本项目不接受联合体投标。  </w:t>
      </w:r>
      <w:r/>
    </w:p>
    <w:p>
      <w:pPr>
        <w:ind w:firstLine="42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cs="宋体"/>
          <w:color w:val="auto"/>
          <w:szCs w:val="21"/>
          <w:highlight w:val="none"/>
        </w:rPr>
        <w:t xml:space="preserve">8.本项目不接受进口产品投标</w:t>
      </w:r>
      <w:bookmarkStart w:id="6" w:name="_Toc28359090"/>
      <w:r/>
      <w:bookmarkStart w:id="7" w:name="_Toc35393630"/>
      <w:r/>
      <w:bookmarkStart w:id="8" w:name="_Toc28359013"/>
      <w:r/>
      <w:bookmarkStart w:id="9" w:name="_Toc35393799"/>
      <w:r/>
      <w:r/>
    </w:p>
    <w:p>
      <w:pP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二、申请人的资格要求</w:t>
      </w:r>
      <w:r>
        <w:rPr>
          <w:rFonts w:hint="eastAsia" w:ascii="Times New Roman" w:hAnsi="Times New Roman" w:eastAsia="宋体" w:cs="宋体"/>
          <w:b/>
          <w:bCs/>
          <w:color w:val="auto"/>
          <w:szCs w:val="21"/>
          <w:highlight w:val="none"/>
        </w:rPr>
        <w:t xml:space="preserve">：</w:t>
      </w:r>
      <w:bookmarkEnd w:id="6"/>
      <w:r/>
      <w:bookmarkEnd w:id="7"/>
      <w:r/>
      <w:bookmarkEnd w:id="8"/>
      <w:r/>
      <w:bookmarkEnd w:id="9"/>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ascii="Times New Roman" w:hAnsi="Times New Roman" w:eastAsia="宋体" w:cs="宋体"/>
          <w:b/>
          <w:bCs/>
          <w:i/>
          <w:iCs/>
          <w:color w:val="auto"/>
          <w:szCs w:val="21"/>
          <w:highlight w:val="none"/>
          <w:u w:val="single"/>
        </w:rPr>
      </w:pPr>
      <w:r/>
      <w:bookmarkStart w:id="10" w:name="_Toc28359091"/>
      <w:r/>
      <w:bookmarkStart w:id="11" w:name="_Toc28359014"/>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rPr>
          <w:rFonts w:hint="eastAsia" w:ascii="Times New Roman" w:hAnsi="Times New Roman" w:eastAsia="宋体" w:cs="宋体"/>
          <w:b/>
          <w:bCs/>
          <w:i/>
          <w:iCs/>
          <w:color w:val="auto"/>
          <w:szCs w:val="21"/>
          <w:highlight w:val="none"/>
          <w:u w:val="single"/>
        </w:rPr>
        <w:t xml:space="preserve">（复印件加盖投标人公章）</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 2024年度或2025年度的财务状况报告（成立不满一年无需提供）</w:t>
      </w:r>
      <w:r>
        <w:rPr>
          <w:rFonts w:hint="eastAsia" w:ascii="Times New Roman" w:hAnsi="Times New Roman" w:eastAsia="宋体" w:cs="宋体"/>
          <w:b/>
          <w:bCs/>
          <w:i/>
          <w:iCs/>
          <w:color w:val="auto"/>
          <w:szCs w:val="21"/>
          <w:highlight w:val="none"/>
          <w:u w:val="single"/>
        </w:rPr>
        <w:t xml:space="preserve">（复印件加盖投标人公章）</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1.3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Times New Roman" w:hAnsi="Times New Roman" w:eastAsia="宋体" w:cs="宋体"/>
          <w:b/>
          <w:bCs/>
          <w:i/>
          <w:iCs/>
          <w:color w:val="auto"/>
          <w:szCs w:val="21"/>
          <w:highlight w:val="none"/>
          <w:u w:val="single"/>
        </w:rPr>
        <w:t xml:space="preserve">（复印件加盖投标人公章）</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1.4具备履行合同所必需的设备和专业技术能力的书面声明</w:t>
      </w:r>
      <w:r>
        <w:rPr>
          <w:rFonts w:hint="eastAsia" w:ascii="Times New Roman" w:hAnsi="Times New Roman" w:eastAsia="宋体" w:cs="宋体"/>
          <w:b/>
          <w:bCs/>
          <w:i/>
          <w:iCs/>
          <w:color w:val="auto"/>
          <w:szCs w:val="21"/>
          <w:highlight w:val="none"/>
          <w:u w:val="single"/>
        </w:rPr>
        <w:t xml:space="preserve">（原件加盖投标人公章）</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1.5参加政府采购活动前3年内在经营活动中没有重大违法记录的书面声明</w:t>
      </w:r>
      <w:r>
        <w:rPr>
          <w:rFonts w:hint="eastAsia" w:ascii="Times New Roman" w:hAnsi="Times New Roman" w:eastAsia="宋体" w:cs="宋体"/>
          <w:b/>
          <w:bCs/>
          <w:i/>
          <w:iCs/>
          <w:color w:val="auto"/>
          <w:szCs w:val="21"/>
          <w:highlight w:val="none"/>
          <w:u w:val="single"/>
        </w:rPr>
        <w:t xml:space="preserve">（原件加盖投标人公章）</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1.6供应商信用承诺书</w:t>
      </w:r>
      <w:r>
        <w:rPr>
          <w:rFonts w:hint="eastAsia" w:ascii="Times New Roman" w:hAnsi="Times New Roman" w:eastAsia="宋体" w:cs="宋体"/>
          <w:b/>
          <w:bCs/>
          <w:i/>
          <w:iCs/>
          <w:color w:val="auto"/>
          <w:szCs w:val="21"/>
          <w:highlight w:val="none"/>
          <w:u w:val="single"/>
        </w:rPr>
        <w:t xml:space="preserve">（原件加盖投标人公章）</w:t>
      </w:r>
      <w:r/>
    </w:p>
    <w:p>
      <w:pPr>
        <w:ind w:firstLine="42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i/>
          <w:iCs/>
          <w:color w:val="auto"/>
          <w:szCs w:val="21"/>
          <w:highlight w:val="none"/>
          <w:u w:val="single"/>
        </w:rPr>
      </w:pPr>
      <w:r/>
      <w:bookmarkStart w:id="12" w:name="_Toc35393631"/>
      <w:r/>
      <w:bookmarkStart w:id="13" w:name="_Toc35393800"/>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cs="宋体"/>
          <w:i/>
          <w:iCs/>
          <w:color w:val="auto"/>
          <w:szCs w:val="21"/>
          <w:highlight w:val="none"/>
          <w:u w:val="single"/>
        </w:rPr>
        <w:t xml:space="preserve">无。</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eastAsia="宋体"/>
          <w:i/>
          <w:iCs/>
          <w:color w:val="auto"/>
          <w:szCs w:val="21"/>
          <w:highlight w:val="none"/>
          <w:u w:val="single"/>
        </w:rPr>
        <w:t xml:space="preserve">无。</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三、获取招标文件</w:t>
      </w:r>
      <w:bookmarkEnd w:id="10"/>
      <w:r/>
      <w:bookmarkEnd w:id="11"/>
      <w:r/>
      <w:bookmarkEnd w:id="12"/>
      <w:r/>
      <w:bookmarkEnd w:id="13"/>
      <w:r/>
      <w:r/>
    </w:p>
    <w:p>
      <w:pPr>
        <w:ind w:firstLine="420"/>
        <w:pageBreakBefore w:val="0"/>
        <w:spacing w:line="360" w:lineRule="auto"/>
        <w:tabs>
          <w:tab w:val="left" w:pos="900" w:leader="none"/>
        </w:tabs>
        <w:rPr>
          <w:rFonts w:ascii="Times New Roman" w:hAnsi="Times New Roman" w:eastAsia="宋体" w:cs="宋体"/>
          <w:color w:val="auto"/>
          <w:szCs w:val="21"/>
          <w:highlight w:val="none"/>
        </w:rPr>
      </w:pPr>
      <w:r/>
      <w:bookmarkStart w:id="14" w:name="_Toc35393632"/>
      <w:r/>
      <w:bookmarkStart w:id="15" w:name="_Toc28359092"/>
      <w:r/>
      <w:bookmarkStart w:id="16" w:name="_Toc35393801"/>
      <w:r/>
      <w:bookmarkStart w:id="17" w:name="_Toc28359015"/>
      <w:r>
        <w:rPr>
          <w:rFonts w:hint="eastAsia" w:ascii="Times New Roman" w:hAnsi="Times New Roman" w:eastAsia="宋体" w:cs="宋体"/>
          <w:color w:val="auto"/>
          <w:szCs w:val="21"/>
          <w:highlight w:val="none"/>
        </w:rPr>
        <w:t xml:space="preserve">获取期限：自招标文件公告发布之日起5个工作日。2026年0</w:t>
      </w:r>
      <w:r>
        <w:rPr>
          <w:rFonts w:hint="eastAsia" w:ascii="Times New Roman" w:hAnsi="Times New Roman" w:eastAsia="宋体" w:cs="宋体"/>
          <w:color w:val="auto"/>
          <w:szCs w:val="21"/>
          <w:highlight w:val="none"/>
          <w:lang w:val="en-US" w:eastAsia="zh-CN"/>
        </w:rPr>
        <w:t xml:space="preserve">3</w:t>
      </w:r>
      <w:r>
        <w:rPr>
          <w:rFonts w:hint="eastAsia" w:ascii="Times New Roman" w:hAnsi="Times New Roman" w:eastAsia="宋体" w:cs="宋体"/>
          <w:color w:val="auto"/>
          <w:szCs w:val="21"/>
          <w:highlight w:val="none"/>
        </w:rPr>
        <w:t xml:space="preserve">月</w:t>
      </w:r>
      <w:r>
        <w:rPr>
          <w:rFonts w:hint="eastAsia" w:ascii="Times New Roman" w:hAnsi="Times New Roman" w:eastAsia="宋体" w:cs="宋体"/>
          <w:color w:val="auto"/>
          <w:szCs w:val="21"/>
          <w:highlight w:val="none"/>
          <w:lang w:val="en-US" w:eastAsia="zh-CN"/>
        </w:rPr>
        <w:t xml:space="preserve">31</w:t>
      </w:r>
      <w:r>
        <w:rPr>
          <w:rFonts w:hint="eastAsia" w:ascii="Times New Roman" w:hAnsi="Times New Roman" w:eastAsia="宋体" w:cs="宋体"/>
          <w:color w:val="auto"/>
          <w:szCs w:val="21"/>
          <w:highlight w:val="none"/>
        </w:rPr>
        <w:t xml:space="preserve">日至2026年0</w:t>
      </w:r>
      <w:r>
        <w:rPr>
          <w:rFonts w:hint="eastAsia" w:ascii="Times New Roman" w:hAnsi="Times New Roman" w:eastAsia="宋体" w:cs="宋体"/>
          <w:color w:val="auto"/>
          <w:szCs w:val="21"/>
          <w:highlight w:val="none"/>
          <w:lang w:val="en-US" w:eastAsia="zh-CN"/>
        </w:rPr>
        <w:t xml:space="preserve">4</w:t>
      </w:r>
      <w:r>
        <w:rPr>
          <w:rFonts w:hint="eastAsia" w:ascii="Times New Roman" w:hAnsi="Times New Roman" w:eastAsia="宋体" w:cs="宋体"/>
          <w:color w:val="auto"/>
          <w:szCs w:val="21"/>
          <w:highlight w:val="none"/>
        </w:rPr>
        <w:t xml:space="preserve">月</w:t>
      </w:r>
      <w:r>
        <w:rPr>
          <w:rFonts w:hint="eastAsia" w:ascii="Times New Roman" w:hAnsi="Times New Roman" w:eastAsia="宋体" w:cs="宋体"/>
          <w:color w:val="auto"/>
          <w:szCs w:val="21"/>
          <w:highlight w:val="none"/>
          <w:lang w:val="en-US" w:eastAsia="zh-CN"/>
        </w:rPr>
        <w:t xml:space="preserve">08</w:t>
      </w:r>
      <w:r>
        <w:rPr>
          <w:rFonts w:hint="eastAsia" w:ascii="Times New Roman" w:hAnsi="Times New Roman" w:eastAsia="宋体" w:cs="宋体"/>
          <w:color w:val="auto"/>
          <w:szCs w:val="21"/>
          <w:highlight w:val="none"/>
        </w:rPr>
        <w:t xml:space="preserve">日，每天上午9：00至11：30，下午2：30至5：00（北京时间，法定节假日除外）。</w:t>
      </w:r>
      <w:r/>
    </w:p>
    <w:p>
      <w:pPr>
        <w:ind w:firstLine="420"/>
        <w:pageBreakBefore w:val="0"/>
        <w:spacing w:line="360" w:lineRule="auto"/>
        <w:tabs>
          <w:tab w:val="left" w:pos="900" w:leader="none"/>
        </w:tabs>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获取地点：江苏苏维工程管理有限公司三楼报名处（扬州市邗江区翠岗路48号）</w:t>
      </w:r>
      <w:r/>
    </w:p>
    <w:p>
      <w:pPr>
        <w:ind w:firstLine="420"/>
        <w:pageBreakBefore w:val="0"/>
        <w:spacing w:line="360" w:lineRule="auto"/>
        <w:tabs>
          <w:tab w:val="left" w:pos="900" w:leader="none"/>
        </w:tabs>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方式：现场领取或邮寄。</w:t>
      </w:r>
      <w:r/>
    </w:p>
    <w:p>
      <w:pPr>
        <w:ind w:firstLine="420"/>
        <w:pageBreakBefore w:val="0"/>
        <w:spacing w:line="360" w:lineRule="auto"/>
        <w:tabs>
          <w:tab w:val="left" w:pos="900" w:leader="none"/>
        </w:tabs>
        <w:rPr>
          <w:rFonts w:hint="default"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color w:val="auto"/>
          <w:szCs w:val="21"/>
          <w:highlight w:val="none"/>
        </w:rPr>
        <w:t xml:space="preserve">售价：100元</w:t>
      </w:r>
      <w:r>
        <w:rPr>
          <w:rFonts w:hint="eastAsia" w:ascii="Times New Roman" w:hAnsi="Times New Roman" w:eastAsia="宋体" w:cs="宋体"/>
          <w:color w:val="auto"/>
          <w:szCs w:val="21"/>
          <w:highlight w:val="none"/>
          <w:lang w:val="en-US" w:eastAsia="zh-CN"/>
        </w:rPr>
        <w:t xml:space="preserve">/包</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四、投标文件提交</w:t>
      </w:r>
      <w:bookmarkEnd w:id="14"/>
      <w:r/>
      <w:bookmarkEnd w:id="15"/>
      <w:r/>
      <w:bookmarkEnd w:id="16"/>
      <w:r/>
      <w:bookmarkEnd w:id="17"/>
      <w:r/>
      <w:r/>
    </w:p>
    <w:p>
      <w:pPr>
        <w:ind w:firstLine="420"/>
        <w:pageBreakBefore w:val="0"/>
        <w:spacing w:line="360" w:lineRule="auto"/>
        <w:rPr>
          <w:rFonts w:ascii="Times New Roman" w:hAnsi="Times New Roman" w:eastAsia="宋体" w:cs="宋体"/>
          <w:color w:val="auto"/>
          <w:szCs w:val="21"/>
          <w:highlight w:val="none"/>
        </w:rPr>
      </w:pPr>
      <w:r/>
      <w:bookmarkStart w:id="18" w:name="_Toc35393633"/>
      <w:r/>
      <w:bookmarkStart w:id="19" w:name="_Toc28359016"/>
      <w:r/>
      <w:bookmarkStart w:id="20" w:name="_Toc35393802"/>
      <w:r/>
      <w:bookmarkStart w:id="21" w:name="_Toc28359093"/>
      <w:r>
        <w:rPr>
          <w:rFonts w:hint="eastAsia" w:ascii="Times New Roman" w:hAnsi="Times New Roman" w:eastAsia="宋体" w:cs="宋体"/>
          <w:color w:val="auto"/>
          <w:szCs w:val="21"/>
          <w:highlight w:val="none"/>
        </w:rPr>
        <w:t xml:space="preserve">投标文件、样品接收开始时间：2026年04月</w:t>
      </w:r>
      <w:r>
        <w:rPr>
          <w:rFonts w:hint="eastAsia" w:ascii="Times New Roman" w:hAnsi="Times New Roman" w:eastAsia="宋体" w:cs="宋体"/>
          <w:color w:val="auto"/>
          <w:szCs w:val="21"/>
          <w:highlight w:val="none"/>
          <w:lang w:val="en-US" w:eastAsia="zh-CN"/>
        </w:rPr>
        <w:t xml:space="preserve">23</w:t>
      </w:r>
      <w:r>
        <w:rPr>
          <w:rFonts w:hint="eastAsia" w:ascii="Times New Roman" w:hAnsi="Times New Roman" w:eastAsia="宋体" w:cs="宋体"/>
          <w:color w:val="auto"/>
          <w:szCs w:val="21"/>
          <w:highlight w:val="none"/>
        </w:rPr>
        <w:t xml:space="preserve">日 上午9：00（北京时间）</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投标文件、样品接收结束时间：2026年04月</w:t>
      </w:r>
      <w:r>
        <w:rPr>
          <w:rFonts w:hint="eastAsia" w:ascii="Times New Roman" w:hAnsi="Times New Roman" w:eastAsia="宋体" w:cs="宋体"/>
          <w:color w:val="auto"/>
          <w:szCs w:val="21"/>
          <w:highlight w:val="none"/>
          <w:lang w:val="en-US" w:eastAsia="zh-CN"/>
        </w:rPr>
        <w:t xml:space="preserve">23</w:t>
      </w:r>
      <w:r>
        <w:rPr>
          <w:rFonts w:hint="eastAsia" w:ascii="Times New Roman" w:hAnsi="Times New Roman" w:eastAsia="宋体" w:cs="宋体"/>
          <w:color w:val="auto"/>
          <w:szCs w:val="21"/>
          <w:highlight w:val="none"/>
        </w:rPr>
        <w:t xml:space="preserve">日 上午10：0</w:t>
      </w:r>
      <w:r>
        <w:rPr>
          <w:rFonts w:ascii="Times New Roman" w:hAnsi="Times New Roman" w:eastAsia="宋体" w:cs="宋体"/>
          <w:color w:val="auto"/>
          <w:szCs w:val="21"/>
          <w:highlight w:val="none"/>
        </w:rPr>
        <w:t xml:space="preserve">0</w:t>
      </w:r>
      <w:r>
        <w:rPr>
          <w:rFonts w:hint="eastAsia" w:ascii="Times New Roman" w:hAnsi="Times New Roman" w:eastAsia="宋体" w:cs="宋体"/>
          <w:color w:val="auto"/>
          <w:szCs w:val="21"/>
          <w:highlight w:val="none"/>
        </w:rPr>
        <w:t xml:space="preserve">（北京时间）</w:t>
      </w:r>
      <w:r/>
    </w:p>
    <w:p>
      <w:pPr>
        <w:ind w:firstLine="420"/>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投标</w:t>
      </w:r>
      <w:r>
        <w:rPr>
          <w:rFonts w:hint="eastAsia" w:ascii="Times New Roman" w:hAnsi="Times New Roman" w:eastAsia="宋体" w:cs="宋体"/>
          <w:color w:val="auto"/>
          <w:szCs w:val="21"/>
          <w:highlight w:val="none"/>
          <w:lang w:val="en-US" w:eastAsia="zh-CN"/>
        </w:rPr>
        <w:t xml:space="preserve">文件递交地点：</w:t>
      </w:r>
      <w:r>
        <w:rPr>
          <w:rFonts w:hint="eastAsia" w:ascii="Times New Roman" w:hAnsi="Times New Roman" w:eastAsia="宋体" w:cs="宋体"/>
          <w:color w:val="auto"/>
          <w:szCs w:val="21"/>
          <w:highlight w:val="none"/>
        </w:rPr>
        <w:t xml:space="preserve">江苏苏维工程管理有限公司二楼开标室（扬州市邗江区翠岗路48号</w:t>
      </w:r>
      <w:r>
        <w:rPr>
          <w:rFonts w:hint="eastAsia" w:ascii="Times New Roman" w:hAnsi="Times New Roman" w:eastAsia="宋体"/>
          <w:color w:val="auto"/>
          <w:szCs w:val="21"/>
          <w:highlight w:val="none"/>
        </w:rPr>
        <w:t xml:space="preserve">）</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olor w:val="auto"/>
          <w:szCs w:val="21"/>
          <w:highlight w:val="none"/>
        </w:rPr>
        <w:t xml:space="preserve">样品接收地点：江苏苏维工程管理有限公司三楼东开标四室（扬州市</w:t>
      </w:r>
      <w:r>
        <w:rPr>
          <w:rFonts w:hint="eastAsia" w:ascii="Times New Roman" w:hAnsi="Times New Roman" w:eastAsia="宋体" w:cs="宋体"/>
          <w:color w:val="auto"/>
          <w:szCs w:val="21"/>
          <w:highlight w:val="none"/>
        </w:rPr>
        <w:t xml:space="preserve">邗江区</w:t>
      </w:r>
      <w:r>
        <w:rPr>
          <w:rFonts w:hint="eastAsia" w:ascii="Times New Roman" w:hAnsi="Times New Roman" w:eastAsia="宋体"/>
          <w:color w:val="auto"/>
          <w:szCs w:val="21"/>
          <w:highlight w:val="none"/>
        </w:rPr>
        <w:t xml:space="preserve">翠岗路48号）</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投标文件、样品接收人：李韦林</w:t>
      </w:r>
      <w:r/>
    </w:p>
    <w:p>
      <w:pPr>
        <w:ind w:firstLine="422"/>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b/>
          <w:bCs/>
          <w:i/>
          <w:iCs/>
          <w:color w:val="auto"/>
          <w:szCs w:val="21"/>
          <w:highlight w:val="none"/>
          <w:u w:val="single"/>
        </w:rPr>
        <w:t xml:space="preserve">注：投标人须由法定代表人或其授权委托人现场参加投标并递交投标文件，否则投标文件不予接收。递交投标文件时现场核查法定代表人或授权委托人身份证原件。</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五、</w:t>
      </w:r>
      <w:bookmarkEnd w:id="18"/>
      <w:r/>
      <w:bookmarkEnd w:id="19"/>
      <w:r/>
      <w:bookmarkEnd w:id="20"/>
      <w:r/>
      <w:bookmarkEnd w:id="21"/>
      <w:r>
        <w:rPr>
          <w:rFonts w:hint="eastAsia" w:ascii="Times New Roman" w:hAnsi="Times New Roman" w:eastAsia="宋体" w:cs="宋体"/>
          <w:b/>
          <w:bCs/>
          <w:color w:val="auto"/>
          <w:szCs w:val="21"/>
          <w:highlight w:val="none"/>
        </w:rPr>
        <w:t xml:space="preserve">开标</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时间：2026年04月</w:t>
      </w:r>
      <w:r>
        <w:rPr>
          <w:rFonts w:hint="eastAsia" w:ascii="Times New Roman" w:hAnsi="Times New Roman" w:eastAsia="宋体" w:cs="宋体"/>
          <w:color w:val="auto"/>
          <w:szCs w:val="21"/>
          <w:highlight w:val="none"/>
          <w:lang w:val="en-US" w:eastAsia="zh-CN"/>
        </w:rPr>
        <w:t xml:space="preserve">23</w:t>
      </w:r>
      <w:r>
        <w:rPr>
          <w:rFonts w:hint="eastAsia" w:ascii="Times New Roman" w:hAnsi="Times New Roman" w:eastAsia="宋体" w:cs="宋体"/>
          <w:color w:val="auto"/>
          <w:szCs w:val="21"/>
          <w:highlight w:val="none"/>
        </w:rPr>
        <w:t xml:space="preserve">日 上午10：0</w:t>
      </w:r>
      <w:r>
        <w:rPr>
          <w:rFonts w:ascii="Times New Roman" w:hAnsi="Times New Roman" w:eastAsia="宋体" w:cs="宋体"/>
          <w:color w:val="auto"/>
          <w:szCs w:val="21"/>
          <w:highlight w:val="none"/>
        </w:rPr>
        <w:t xml:space="preserve">0</w:t>
      </w:r>
      <w:r>
        <w:rPr>
          <w:rFonts w:hint="eastAsia" w:ascii="Times New Roman" w:hAnsi="Times New Roman" w:eastAsia="宋体" w:cs="宋体"/>
          <w:color w:val="auto"/>
          <w:szCs w:val="21"/>
          <w:highlight w:val="none"/>
        </w:rPr>
        <w:t xml:space="preserve">（北京时间）</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地点：江苏苏维工程管理有限公司二楼开标室（扬州市邗江区翠岗路48号）</w:t>
      </w:r>
      <w:r/>
    </w:p>
    <w:p>
      <w:pPr>
        <w:pageBreakBefore w:val="0"/>
        <w:spacing w:line="360" w:lineRule="auto"/>
        <w:rPr>
          <w:rFonts w:ascii="Times New Roman" w:hAnsi="Times New Roman" w:eastAsia="宋体" w:cs="宋体"/>
          <w:b/>
          <w:bCs/>
          <w:color w:val="auto"/>
          <w:szCs w:val="21"/>
          <w:highlight w:val="none"/>
        </w:rPr>
      </w:pPr>
      <w:r/>
      <w:bookmarkStart w:id="22" w:name="_Toc28359017"/>
      <w:r/>
      <w:bookmarkStart w:id="23" w:name="_Toc35393634"/>
      <w:r/>
      <w:bookmarkStart w:id="24" w:name="_Toc28359094"/>
      <w:r/>
      <w:bookmarkStart w:id="25" w:name="_Toc35393803"/>
      <w:r>
        <w:rPr>
          <w:rFonts w:hint="eastAsia" w:ascii="Times New Roman" w:hAnsi="Times New Roman" w:eastAsia="宋体" w:cs="宋体"/>
          <w:b/>
          <w:bCs/>
          <w:color w:val="auto"/>
          <w:szCs w:val="21"/>
          <w:highlight w:val="none"/>
        </w:rPr>
        <w:t xml:space="preserve">六、公告期限</w:t>
      </w:r>
      <w:bookmarkEnd w:id="22"/>
      <w:r/>
      <w:bookmarkEnd w:id="23"/>
      <w:r/>
      <w:bookmarkEnd w:id="24"/>
      <w:r/>
      <w:bookmarkEnd w:id="25"/>
      <w:r/>
      <w:r/>
    </w:p>
    <w:p>
      <w:pPr>
        <w:ind w:firstLine="420"/>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color w:val="auto"/>
          <w:szCs w:val="21"/>
          <w:highlight w:val="none"/>
        </w:rPr>
        <w:t xml:space="preserve">招标公告及招标文件公告期限为自本公告发布之日起5个工作日</w:t>
      </w:r>
      <w:r>
        <w:rPr>
          <w:rFonts w:hint="eastAsia" w:ascii="Times New Roman" w:hAnsi="Times New Roman" w:eastAsia="宋体" w:cs="宋体"/>
          <w:color w:val="auto"/>
          <w:szCs w:val="21"/>
          <w:highlight w:val="none"/>
        </w:rPr>
        <w:t xml:space="preserve">。</w:t>
      </w:r>
      <w:r/>
    </w:p>
    <w:p>
      <w:pPr>
        <w:pageBreakBefore w:val="0"/>
        <w:spacing w:line="360" w:lineRule="auto"/>
        <w:rPr>
          <w:rFonts w:ascii="Times New Roman" w:hAnsi="Times New Roman" w:eastAsia="宋体" w:cs="宋体"/>
          <w:b/>
          <w:bCs/>
          <w:color w:val="auto"/>
          <w:szCs w:val="21"/>
          <w:highlight w:val="none"/>
        </w:rPr>
      </w:pPr>
      <w:r/>
      <w:bookmarkStart w:id="26" w:name="_Toc35393804"/>
      <w:r/>
      <w:bookmarkStart w:id="27" w:name="_Toc35393635"/>
      <w:r>
        <w:rPr>
          <w:rFonts w:hint="eastAsia" w:ascii="Times New Roman" w:hAnsi="Times New Roman" w:eastAsia="宋体" w:cs="宋体"/>
          <w:b/>
          <w:bCs/>
          <w:color w:val="auto"/>
          <w:szCs w:val="21"/>
          <w:highlight w:val="none"/>
        </w:rPr>
        <w:t xml:space="preserve">七、其他补充事宜</w:t>
      </w:r>
      <w:bookmarkEnd w:id="26"/>
      <w:r/>
      <w:bookmarkEnd w:id="27"/>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w:t>
      </w:r>
      <w:r>
        <w:rPr>
          <w:rFonts w:ascii="Times New Roman" w:hAnsi="Times New Roman" w:eastAsia="宋体"/>
          <w:b/>
          <w:bCs/>
          <w:i/>
          <w:iCs/>
          <w:color w:val="auto"/>
          <w:szCs w:val="21"/>
          <w:highlight w:val="none"/>
          <w:u w:val="single"/>
        </w:rPr>
        <w:t xml:space="preserve">纸质版一式伍份</w:t>
      </w:r>
      <w:r>
        <w:rPr>
          <w:rFonts w:hint="eastAsia" w:ascii="Times New Roman" w:hAnsi="Times New Roman" w:eastAsia="宋体"/>
          <w:b/>
          <w:bCs/>
          <w:i/>
          <w:iCs/>
          <w:color w:val="auto"/>
          <w:szCs w:val="21"/>
          <w:highlight w:val="none"/>
          <w:u w:val="single"/>
        </w:rPr>
        <w:t xml:space="preserve">（</w:t>
      </w:r>
      <w:r>
        <w:rPr>
          <w:rFonts w:ascii="Times New Roman" w:hAnsi="Times New Roman" w:eastAsia="宋体"/>
          <w:b/>
          <w:bCs/>
          <w:i/>
          <w:iCs/>
          <w:color w:val="auto"/>
          <w:szCs w:val="21"/>
          <w:highlight w:val="none"/>
          <w:u w:val="single"/>
        </w:rPr>
        <w:t xml:space="preserve">壹份正本、肆份副本</w:t>
      </w:r>
      <w:r>
        <w:rPr>
          <w:rFonts w:hint="eastAsia" w:ascii="Times New Roman" w:hAnsi="Times New Roman" w:eastAsia="宋体"/>
          <w:b/>
          <w:bCs/>
          <w:i/>
          <w:iCs/>
          <w:color w:val="auto"/>
          <w:szCs w:val="21"/>
          <w:highlight w:val="none"/>
          <w:u w:val="single"/>
        </w:rPr>
        <w:t xml:space="preserve">）</w:t>
      </w:r>
      <w:r>
        <w:rPr>
          <w:rFonts w:ascii="Times New Roman" w:hAnsi="Times New Roman" w:eastAsia="宋体"/>
          <w:b/>
          <w:bCs/>
          <w:i/>
          <w:iCs/>
          <w:color w:val="auto"/>
          <w:szCs w:val="21"/>
          <w:highlight w:val="none"/>
          <w:u w:val="single"/>
        </w:rPr>
        <w:t xml:space="preserve">、电子版壹份</w:t>
      </w:r>
      <w:r>
        <w:rPr>
          <w:rFonts w:hint="eastAsia" w:ascii="Times New Roman" w:hAnsi="Times New Roman" w:eastAsia="宋体"/>
          <w:b/>
          <w:bCs/>
          <w:i/>
          <w:iCs/>
          <w:color w:val="auto"/>
          <w:szCs w:val="21"/>
          <w:highlight w:val="none"/>
          <w:u w:val="single"/>
        </w:rPr>
        <w:t xml:space="preserve">（</w:t>
      </w:r>
      <w:r>
        <w:rPr>
          <w:rFonts w:ascii="Times New Roman" w:hAnsi="Times New Roman" w:eastAsia="宋体"/>
          <w:b/>
          <w:bCs/>
          <w:i/>
          <w:iCs/>
          <w:color w:val="auto"/>
          <w:szCs w:val="21"/>
          <w:highlight w:val="none"/>
          <w:u w:val="single"/>
        </w:rPr>
        <w:t xml:space="preserve">应为</w:t>
      </w:r>
      <w:r>
        <w:rPr>
          <w:rFonts w:hint="eastAsia" w:ascii="Times New Roman" w:hAnsi="Times New Roman" w:eastAsia="宋体"/>
          <w:b/>
          <w:bCs/>
          <w:i/>
          <w:iCs/>
          <w:color w:val="auto"/>
          <w:szCs w:val="21"/>
          <w:highlight w:val="none"/>
          <w:u w:val="single"/>
        </w:rPr>
        <w:t xml:space="preserve">不加密的</w:t>
      </w:r>
      <w:r>
        <w:rPr>
          <w:rFonts w:ascii="Times New Roman" w:hAnsi="Times New Roman" w:eastAsia="宋体"/>
          <w:b/>
          <w:bCs/>
          <w:i/>
          <w:iCs/>
          <w:color w:val="auto"/>
          <w:szCs w:val="21"/>
          <w:highlight w:val="none"/>
          <w:u w:val="single"/>
        </w:rPr>
        <w:t xml:space="preserve">U盘或光盘形式</w:t>
      </w:r>
      <w:r>
        <w:rPr>
          <w:rFonts w:hint="eastAsia" w:ascii="Times New Roman" w:hAnsi="Times New Roman" w:eastAsia="宋体"/>
          <w:b/>
          <w:bCs/>
          <w:i/>
          <w:iCs/>
          <w:color w:val="auto"/>
          <w:szCs w:val="21"/>
          <w:highlight w:val="none"/>
          <w:u w:val="single"/>
        </w:rPr>
        <w:t xml:space="preserve">递交</w:t>
      </w:r>
      <w:r>
        <w:rPr>
          <w:rFonts w:ascii="Times New Roman" w:hAnsi="Times New Roman" w:eastAsia="宋体"/>
          <w:b/>
          <w:bCs/>
          <w:i/>
          <w:iCs/>
          <w:color w:val="auto"/>
          <w:szCs w:val="21"/>
          <w:highlight w:val="none"/>
          <w:u w:val="single"/>
        </w:rPr>
        <w:t xml:space="preserve">、</w:t>
      </w:r>
      <w:r>
        <w:rPr>
          <w:rFonts w:hint="eastAsia" w:ascii="Times New Roman" w:hAnsi="Times New Roman" w:eastAsia="宋体"/>
          <w:b/>
          <w:bCs/>
          <w:i/>
          <w:iCs/>
          <w:color w:val="auto"/>
          <w:szCs w:val="21"/>
          <w:highlight w:val="none"/>
          <w:u w:val="single"/>
        </w:rPr>
        <w:t xml:space="preserve">内容为</w:t>
      </w:r>
      <w:r>
        <w:rPr>
          <w:rFonts w:ascii="Times New Roman" w:hAnsi="Times New Roman" w:eastAsia="宋体"/>
          <w:b/>
          <w:bCs/>
          <w:i/>
          <w:iCs/>
          <w:color w:val="auto"/>
          <w:szCs w:val="21"/>
          <w:highlight w:val="none"/>
          <w:u w:val="single"/>
        </w:rPr>
        <w:t xml:space="preserve">盖章后的</w:t>
      </w:r>
      <w:r>
        <w:rPr>
          <w:rFonts w:hint="eastAsia" w:ascii="Times New Roman" w:hAnsi="Times New Roman" w:eastAsia="宋体"/>
          <w:b/>
          <w:bCs/>
          <w:i/>
          <w:iCs/>
          <w:color w:val="auto"/>
          <w:szCs w:val="21"/>
          <w:highlight w:val="none"/>
          <w:u w:val="single"/>
        </w:rPr>
        <w:t xml:space="preserve">纸质版投标文件的扫描件，电子版</w:t>
      </w:r>
      <w:r>
        <w:rPr>
          <w:rFonts w:ascii="Times New Roman" w:hAnsi="Times New Roman" w:eastAsia="宋体"/>
          <w:b/>
          <w:bCs/>
          <w:i/>
          <w:iCs/>
          <w:color w:val="auto"/>
          <w:szCs w:val="21"/>
          <w:highlight w:val="none"/>
          <w:u w:val="single"/>
        </w:rPr>
        <w:t xml:space="preserve">内容应与纸质文件正本一致</w:t>
      </w:r>
      <w:r>
        <w:rPr>
          <w:rFonts w:hint="eastAsia" w:ascii="Times New Roman" w:hAnsi="Times New Roman" w:eastAsia="宋体"/>
          <w:b/>
          <w:bCs/>
          <w:i/>
          <w:iCs/>
          <w:color w:val="auto"/>
          <w:szCs w:val="21"/>
          <w:highlight w:val="none"/>
          <w:u w:val="single"/>
        </w:rPr>
        <w:t xml:space="preserve">，</w:t>
      </w:r>
      <w:r>
        <w:rPr>
          <w:rFonts w:ascii="Times New Roman" w:hAnsi="Times New Roman" w:eastAsia="宋体"/>
          <w:b/>
          <w:bCs/>
          <w:i/>
          <w:iCs/>
          <w:color w:val="auto"/>
          <w:szCs w:val="21"/>
          <w:highlight w:val="none"/>
          <w:u w:val="single"/>
        </w:rPr>
        <w:t xml:space="preserve">随纸质正本文件一并或单独密封提交</w:t>
      </w:r>
      <w:r>
        <w:rPr>
          <w:rFonts w:hint="eastAsia" w:ascii="Times New Roman" w:hAnsi="Times New Roman" w:eastAsia="宋体"/>
          <w:b/>
          <w:bCs/>
          <w:i/>
          <w:iCs/>
          <w:color w:val="auto"/>
          <w:szCs w:val="21"/>
          <w:highlight w:val="none"/>
          <w:u w:val="single"/>
        </w:rPr>
        <w:t xml:space="preserve">）</w:t>
      </w:r>
      <w:r>
        <w:rPr>
          <w:rFonts w:ascii="Times New Roman" w:hAnsi="Times New Roman" w:eastAsia="宋体"/>
          <w:b/>
          <w:bCs/>
          <w:i/>
          <w:iCs/>
          <w:color w:val="auto"/>
          <w:szCs w:val="21"/>
          <w:highlight w:val="none"/>
          <w:u w:val="single"/>
        </w:rPr>
        <w:t xml:space="preserve">。</w:t>
      </w:r>
      <w:r>
        <w:rPr>
          <w:rFonts w:hint="eastAsia" w:ascii="Times New Roman" w:hAnsi="Times New Roman" w:eastAsia="宋体" w:cs="宋体"/>
          <w:color w:val="auto"/>
          <w:szCs w:val="21"/>
          <w:highlight w:val="none"/>
        </w:rPr>
        <w:t xml:space="preserve">当电子版文件和纸质正本文件不一致时，以纸质正本文件为准。电子版文件用于辅助评标和平台存档，投标人需承担前述不一致造成的不利后果。每份投标文件须清楚标明“正本”或“副本”字样。一旦正本和副本不符，以正本为准。</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2、本项目在“扬州大学采购管理办公室网”、“扬州大学网”、“江苏省政府采购网”和“中国政府采购网”发布公告。</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w:t>
      </w:r>
      <w:r>
        <w:rPr>
          <w:rFonts w:hint="eastAsia" w:ascii="Times New Roman" w:hAnsi="Times New Roman" w:eastAsia="宋体" w:cs="宋体"/>
          <w:b/>
          <w:bCs/>
          <w:color w:val="auto"/>
          <w:szCs w:val="21"/>
          <w:highlight w:val="none"/>
        </w:rPr>
        <w:t xml:space="preserve">各投标人须明确项目授权代表，进场后的投标人应在指定开标室等候并参加开标活动，自觉配合场内秩序管理，不得擅自至非相关场所活动。</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4、本次招标不收取投标保证金</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i/>
          <w:iCs/>
          <w:color w:val="auto"/>
          <w:szCs w:val="21"/>
          <w:highlight w:val="none"/>
          <w:u w:val="single"/>
        </w:rPr>
        <w:t xml:space="preserve">5、本招标文件中斜体下划线部分为实质性响应条件，为必须遵守的条件，如不满足将作无效投标文件处理。</w:t>
      </w:r>
      <w:r/>
    </w:p>
    <w:p>
      <w:pPr>
        <w:ind w:firstLine="420"/>
        <w:pageBreakBefore w:val="0"/>
        <w:spacing w:line="360" w:lineRule="auto"/>
        <w:tabs>
          <w:tab w:val="left" w:pos="266" w:leader="none"/>
        </w:tabs>
        <w:rPr>
          <w:rFonts w:ascii="Times New Roman" w:hAnsi="Times New Roman" w:eastAsia="宋体" w:cs="宋体"/>
          <w:bCs/>
          <w:color w:val="auto"/>
          <w:szCs w:val="21"/>
          <w:highlight w:val="none"/>
        </w:rPr>
      </w:pPr>
      <w:r/>
      <w:bookmarkStart w:id="28" w:name="_Toc35393805"/>
      <w:r/>
      <w:bookmarkStart w:id="29" w:name="_Toc28359095"/>
      <w:r/>
      <w:bookmarkStart w:id="30" w:name="_Toc35393636"/>
      <w:r/>
      <w:bookmarkStart w:id="31" w:name="_Toc28359018"/>
      <w:r>
        <w:rPr>
          <w:rFonts w:hint="eastAsia" w:ascii="Times New Roman" w:hAnsi="Times New Roman" w:eastAsia="宋体" w:cs="宋体"/>
          <w:bCs/>
          <w:color w:val="auto"/>
          <w:szCs w:val="21"/>
          <w:highlight w:val="none"/>
        </w:rPr>
        <w:t xml:space="preserve">6.为落实好政府采购履约资金扶持政策，中标/成交供应商可凭政府采购合同办理融资贷款，详见江苏政府采购网“政采贷”专栏。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7.本项目严格执行政府采购关于支持节能产品、环境</w:t>
      </w:r>
      <w:r>
        <w:rPr>
          <w:rFonts w:hint="eastAsia" w:ascii="Times New Roman" w:hAnsi="Times New Roman" w:eastAsia="宋体" w:cs="宋体"/>
          <w:bCs/>
          <w:color w:val="auto"/>
          <w:szCs w:val="21"/>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8.供应商对于所投产品的包装应按照“财办库〔2020〕123号《关于印发《商品包装政府采购需求标准（试行）》、《快递包装政府采购需求标准（试行）》的通知》”执行。</w:t>
      </w:r>
      <w:r/>
    </w:p>
    <w:p>
      <w:pPr>
        <w:ind w:firstLine="420"/>
        <w:pageBreakBefore w:val="0"/>
        <w:spacing w:line="360" w:lineRule="auto"/>
        <w:tabs>
          <w:tab w:val="left" w:pos="266" w:leader="none"/>
        </w:tabs>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9.扬州大学采购综合管理系统网址：https://zhaobiao.yzu.edu.cn。</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bCs/>
          <w:color w:val="auto"/>
          <w:szCs w:val="21"/>
          <w:highlight w:val="none"/>
        </w:rPr>
        <w:t xml:space="preserve">八、凡对本次采购提出询问，请按以下方式联系。</w:t>
      </w:r>
      <w:bookmarkEnd w:id="28"/>
      <w:r/>
      <w:bookmarkEnd w:id="29"/>
      <w:r/>
      <w:bookmarkEnd w:id="30"/>
      <w:r/>
      <w:bookmarkEnd w:id="31"/>
      <w:r/>
      <w:r/>
    </w:p>
    <w:p>
      <w:pPr>
        <w:ind w:firstLine="420"/>
        <w:pageBreakBefore w:val="0"/>
        <w:spacing w:line="360" w:lineRule="auto"/>
        <w:rPr>
          <w:rFonts w:ascii="Times New Roman" w:hAnsi="Times New Roman" w:eastAsia="宋体" w:cs="宋体"/>
          <w:color w:val="auto"/>
          <w:szCs w:val="21"/>
          <w:highlight w:val="none"/>
        </w:rPr>
      </w:pPr>
      <w:r/>
      <w:bookmarkStart w:id="32" w:name="_Toc28359096"/>
      <w:r/>
      <w:bookmarkStart w:id="33" w:name="_Toc35393806"/>
      <w:r/>
      <w:bookmarkStart w:id="34" w:name="_Toc28359019"/>
      <w:r/>
      <w:bookmarkStart w:id="35" w:name="_Toc35393637"/>
      <w:r>
        <w:rPr>
          <w:rFonts w:hint="eastAsia" w:ascii="Times New Roman" w:hAnsi="Times New Roman" w:eastAsia="宋体" w:cs="宋体"/>
          <w:color w:val="auto"/>
          <w:szCs w:val="21"/>
          <w:highlight w:val="none"/>
        </w:rPr>
        <w:t xml:space="preserve">1.采购人信息</w:t>
      </w:r>
      <w:bookmarkEnd w:id="32"/>
      <w:r/>
      <w:bookmarkEnd w:id="33"/>
      <w:r/>
      <w:bookmarkEnd w:id="34"/>
      <w:r/>
      <w:bookmarkEnd w:id="35"/>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名    称：扬州大学</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地    址：扬州市邗江区大学南路88号　　</w:t>
      </w:r>
      <w:r/>
    </w:p>
    <w:p>
      <w:pPr>
        <w:ind w:firstLine="420"/>
        <w:jc w:val="left"/>
        <w:pageBreakBefore w:val="0"/>
        <w:spacing w:line="360" w:lineRule="auto"/>
        <w:rPr>
          <w:rFonts w:ascii="Times New Roman" w:hAnsi="Times New Roman" w:eastAsia="宋体" w:cs="宋体"/>
          <w:color w:val="auto"/>
          <w:szCs w:val="21"/>
          <w:highlight w:val="none"/>
        </w:rPr>
      </w:pPr>
      <w:r/>
      <w:bookmarkStart w:id="36" w:name="_Toc35393807"/>
      <w:r/>
      <w:bookmarkStart w:id="37" w:name="_Toc28359097"/>
      <w:r/>
      <w:bookmarkStart w:id="38" w:name="_Toc35393638"/>
      <w:r/>
      <w:bookmarkStart w:id="39" w:name="_Toc28359020"/>
      <w:r>
        <w:rPr>
          <w:rFonts w:hint="eastAsia" w:ascii="Times New Roman" w:hAnsi="Times New Roman" w:eastAsia="宋体" w:cs="宋体"/>
          <w:color w:val="auto"/>
          <w:szCs w:val="21"/>
          <w:highlight w:val="none"/>
        </w:rPr>
        <w:t xml:space="preserve">联系人：</w:t>
      </w:r>
      <w:r>
        <w:rPr>
          <w:rFonts w:hint="eastAsia" w:ascii="Times New Roman" w:hAnsi="Times New Roman" w:eastAsia="宋体"/>
          <w:color w:val="auto"/>
          <w:highlight w:val="none"/>
        </w:rPr>
        <w:t xml:space="preserve">吴老师</w:t>
      </w:r>
      <w:r>
        <w:rPr>
          <w:rFonts w:hint="eastAsia" w:ascii="Times New Roman" w:hAnsi="Times New Roman" w:eastAsia="宋体" w:cs="宋体"/>
          <w:color w:val="auto"/>
          <w:szCs w:val="21"/>
          <w:highlight w:val="none"/>
        </w:rPr>
        <w:t xml:space="preserve">   </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联系方式：0514-87991352</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2.采购代理机构信息</w:t>
      </w:r>
      <w:bookmarkEnd w:id="36"/>
      <w:r/>
      <w:bookmarkEnd w:id="37"/>
      <w:r/>
      <w:bookmarkEnd w:id="38"/>
      <w:r/>
      <w:bookmarkEnd w:id="39"/>
      <w:r>
        <w:rPr>
          <w:rFonts w:hint="eastAsia" w:ascii="Times New Roman" w:hAnsi="Times New Roman" w:eastAsia="宋体" w:cs="宋体"/>
          <w:color w:val="auto"/>
          <w:szCs w:val="21"/>
          <w:highlight w:val="none"/>
        </w:rPr>
        <w:t xml:space="preserve"> </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名    称：江苏苏维工程管理有限公司</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地　　址：扬州市邗江区翠岗路48号　　　</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项目联系人：赵凌云、李韦林</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电　　 话：</w:t>
      </w:r>
      <w:r>
        <w:rPr>
          <w:rFonts w:hint="eastAsia" w:ascii="Times New Roman" w:hAnsi="Times New Roman" w:eastAsia="宋体" w:cs="宋体"/>
          <w:color w:val="auto"/>
          <w:szCs w:val="21"/>
          <w:highlight w:val="none"/>
          <w:lang w:eastAsia="zh-CN"/>
        </w:rPr>
        <w:t xml:space="preserve">0514-87982240</w:t>
      </w:r>
      <w:r>
        <w:rPr>
          <w:rFonts w:hint="eastAsia" w:ascii="Times New Roman" w:hAnsi="Times New Roman" w:eastAsia="宋体" w:cs="宋体"/>
          <w:color w:val="auto"/>
          <w:szCs w:val="21"/>
          <w:highlight w:val="none"/>
        </w:rPr>
        <w:t xml:space="preserve">、0514-87986785</w:t>
      </w:r>
      <w:r/>
    </w:p>
    <w:p>
      <w:pPr>
        <w:ind w:firstLine="420"/>
        <w:jc w:val="righ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江苏苏维工程管理有限公司</w:t>
      </w:r>
      <w:r/>
    </w:p>
    <w:p>
      <w:pPr>
        <w:jc w:val="righ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2026年03月</w:t>
      </w:r>
      <w:r>
        <w:rPr>
          <w:rFonts w:hint="eastAsia" w:ascii="Times New Roman" w:hAnsi="Times New Roman" w:eastAsia="宋体" w:cs="宋体"/>
          <w:color w:val="auto"/>
          <w:szCs w:val="21"/>
          <w:highlight w:val="none"/>
          <w:lang w:val="en-US" w:eastAsia="zh-CN"/>
        </w:rPr>
        <w:t xml:space="preserve">31</w:t>
      </w:r>
      <w:r>
        <w:rPr>
          <w:rFonts w:hint="eastAsia" w:ascii="Times New Roman" w:hAnsi="Times New Roman" w:eastAsia="宋体" w:cs="宋体"/>
          <w:color w:val="auto"/>
          <w:szCs w:val="21"/>
          <w:highlight w:val="none"/>
        </w:rPr>
        <w:t xml:space="preserve">日</w:t>
      </w:r>
      <w:r/>
    </w:p>
    <w:p>
      <w:pPr>
        <w:pageBreakBefore w:val="0"/>
        <w:spacing w:line="360" w:lineRule="auto"/>
        <w:rPr>
          <w:rFonts w:ascii="Times New Roman" w:hAnsi="Times New Roman" w:eastAsia="宋体"/>
          <w:color w:val="auto"/>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Times New Roman" w:hAnsi="Times New Roman" w:eastAsia="宋体"/>
          <w:color w:val="auto"/>
          <w:highlight w:val="none"/>
        </w:rPr>
      </w:r>
      <w:r/>
    </w:p>
    <w:p>
      <w:pPr>
        <w:pStyle w:val="946"/>
        <w:jc w:val="center"/>
        <w:pageBreakBefore w:val="0"/>
        <w:spacing w:before="0" w:after="0" w:line="360" w:lineRule="auto"/>
        <w:rPr>
          <w:rFonts w:ascii="Times New Roman" w:hAnsi="Times New Roman" w:eastAsia="宋体"/>
          <w:color w:val="auto"/>
          <w:sz w:val="36"/>
          <w:highlight w:val="none"/>
        </w:rPr>
      </w:pPr>
      <w:r/>
      <w:bookmarkStart w:id="40" w:name="_Toc497133091"/>
      <w:r/>
      <w:bookmarkStart w:id="41" w:name="_Toc17412"/>
      <w:r>
        <w:rPr>
          <w:rFonts w:hint="eastAsia" w:ascii="Times New Roman" w:hAnsi="Times New Roman" w:eastAsia="宋体"/>
          <w:color w:val="auto"/>
          <w:sz w:val="36"/>
          <w:highlight w:val="none"/>
        </w:rPr>
        <w:t xml:space="preserve">第二章 投标人须知</w:t>
      </w:r>
      <w:bookmarkEnd w:id="40"/>
      <w:r/>
      <w:bookmarkEnd w:id="41"/>
      <w:r/>
      <w:r/>
    </w:p>
    <w:p>
      <w:pPr>
        <w:pStyle w:val="949"/>
        <w:ind w:firstLine="422"/>
        <w:pageBreakBefore w:val="0"/>
        <w:spacing w:before="0" w:after="0" w:line="360" w:lineRule="auto"/>
        <w:rPr>
          <w:rFonts w:ascii="Times New Roman" w:hAnsi="Times New Roman" w:eastAsia="宋体"/>
          <w:bCs w:val="0"/>
          <w:color w:val="auto"/>
          <w:sz w:val="21"/>
          <w:szCs w:val="21"/>
          <w:highlight w:val="none"/>
        </w:rPr>
      </w:pPr>
      <w:r/>
      <w:bookmarkStart w:id="42" w:name="_Toc458694821"/>
      <w:r/>
      <w:bookmarkStart w:id="43" w:name="_Toc20823276"/>
      <w:r/>
      <w:bookmarkStart w:id="44" w:name="_Toc513029204"/>
      <w:r/>
      <w:bookmarkStart w:id="45" w:name="_Toc16938520"/>
      <w:r>
        <w:rPr>
          <w:rFonts w:ascii="Times New Roman" w:hAnsi="Times New Roman" w:eastAsia="宋体"/>
          <w:bCs w:val="0"/>
          <w:color w:val="auto"/>
          <w:sz w:val="21"/>
          <w:szCs w:val="21"/>
          <w:highlight w:val="none"/>
        </w:rPr>
        <w:t xml:space="preserve">1</w:t>
      </w:r>
      <w:bookmarkEnd w:id="42"/>
      <w:r>
        <w:rPr>
          <w:rFonts w:hint="eastAsia" w:ascii="Times New Roman" w:hAnsi="Times New Roman" w:eastAsia="宋体"/>
          <w:bCs w:val="0"/>
          <w:color w:val="auto"/>
          <w:sz w:val="21"/>
          <w:szCs w:val="21"/>
          <w:highlight w:val="none"/>
        </w:rPr>
        <w:t xml:space="preserve">、招标方式</w:t>
      </w:r>
      <w:bookmarkEnd w:id="43"/>
      <w:r/>
      <w:bookmarkEnd w:id="44"/>
      <w:r/>
      <w:bookmarkEnd w:id="45"/>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1.1 本次招标采取公开招标方式，本招标文件仅适用于</w:t>
      </w:r>
      <w:r>
        <w:rPr>
          <w:rFonts w:hint="eastAsia" w:ascii="Times New Roman" w:hAnsi="Times New Roman" w:eastAsia="宋体"/>
          <w:color w:val="auto"/>
          <w:szCs w:val="21"/>
          <w:highlight w:val="none"/>
          <w:lang w:eastAsia="zh-CN"/>
        </w:rPr>
        <w:t xml:space="preserve">JSZC-320000-SWGC-G2026-0040号</w:t>
      </w:r>
      <w:r>
        <w:rPr>
          <w:rFonts w:hint="eastAsia" w:ascii="Times New Roman" w:hAnsi="Times New Roman" w:eastAsia="宋体"/>
          <w:color w:val="auto"/>
          <w:szCs w:val="21"/>
          <w:highlight w:val="none"/>
        </w:rPr>
        <w:t xml:space="preserve">项目。</w:t>
      </w:r>
      <w:r/>
    </w:p>
    <w:p>
      <w:pPr>
        <w:pStyle w:val="949"/>
        <w:ind w:firstLine="422"/>
        <w:pageBreakBefore w:val="0"/>
        <w:spacing w:before="0" w:after="0" w:line="360" w:lineRule="auto"/>
        <w:rPr>
          <w:rFonts w:ascii="Times New Roman" w:hAnsi="Times New Roman" w:eastAsia="宋体"/>
          <w:bCs w:val="0"/>
          <w:color w:val="auto"/>
          <w:sz w:val="21"/>
          <w:szCs w:val="21"/>
          <w:highlight w:val="none"/>
        </w:rPr>
      </w:pPr>
      <w:r/>
      <w:bookmarkStart w:id="46" w:name="_Toc16938521"/>
      <w:r/>
      <w:bookmarkStart w:id="47" w:name="_Toc20823277"/>
      <w:r/>
      <w:bookmarkStart w:id="48" w:name="_Toc513029205"/>
      <w:r>
        <w:rPr>
          <w:rFonts w:ascii="Times New Roman" w:hAnsi="Times New Roman" w:eastAsia="宋体"/>
          <w:bCs w:val="0"/>
          <w:color w:val="auto"/>
          <w:sz w:val="21"/>
          <w:szCs w:val="21"/>
          <w:highlight w:val="none"/>
        </w:rPr>
        <w:t xml:space="preserve">2</w:t>
      </w:r>
      <w:r>
        <w:rPr>
          <w:rFonts w:hint="eastAsia" w:ascii="Times New Roman" w:hAnsi="Times New Roman" w:eastAsia="宋体"/>
          <w:bCs w:val="0"/>
          <w:color w:val="auto"/>
          <w:sz w:val="21"/>
          <w:szCs w:val="21"/>
          <w:highlight w:val="none"/>
        </w:rPr>
        <w:t xml:space="preserve">、投标人</w:t>
      </w:r>
      <w:r/>
    </w:p>
    <w:p>
      <w:pPr>
        <w:pStyle w:val="949"/>
        <w:ind w:firstLine="420"/>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2.1 本招标文件中“供应商”，即“投标人”，是指参加投标竞争，并符合招标文件规定资格条件的法人、其他组织或者自然人。</w:t>
      </w:r>
      <w:r/>
    </w:p>
    <w:p>
      <w:pPr>
        <w:pStyle w:val="949"/>
        <w:ind w:firstLine="420"/>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2.2合格的投标人</w:t>
      </w:r>
      <w:bookmarkEnd w:id="46"/>
      <w:r/>
      <w:bookmarkEnd w:id="47"/>
      <w:r/>
      <w:bookmarkEnd w:id="48"/>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2.2.1 满足投标邀请中供应商的资格条件要求的规定。</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2.2.2 满足本文件实质性条款的规定。</w:t>
      </w:r>
      <w:r/>
    </w:p>
    <w:p>
      <w:pPr>
        <w:pStyle w:val="949"/>
        <w:ind w:firstLine="422"/>
        <w:pageBreakBefore w:val="0"/>
        <w:spacing w:before="0" w:after="0" w:line="360" w:lineRule="auto"/>
        <w:rPr>
          <w:rFonts w:ascii="Times New Roman" w:hAnsi="Times New Roman" w:eastAsia="宋体"/>
          <w:bCs w:val="0"/>
          <w:color w:val="auto"/>
          <w:sz w:val="21"/>
          <w:szCs w:val="21"/>
          <w:highlight w:val="none"/>
        </w:rPr>
      </w:pPr>
      <w:r/>
      <w:bookmarkStart w:id="49" w:name="_Toc513029206"/>
      <w:r/>
      <w:bookmarkStart w:id="50" w:name="_Toc20823278"/>
      <w:r/>
      <w:bookmarkStart w:id="51" w:name="_Toc16938522"/>
      <w:r>
        <w:rPr>
          <w:rFonts w:ascii="Times New Roman" w:hAnsi="Times New Roman" w:eastAsia="宋体"/>
          <w:bCs w:val="0"/>
          <w:color w:val="auto"/>
          <w:sz w:val="21"/>
          <w:szCs w:val="21"/>
          <w:highlight w:val="none"/>
        </w:rPr>
        <w:t xml:space="preserve">3</w:t>
      </w:r>
      <w:r>
        <w:rPr>
          <w:rFonts w:hint="eastAsia" w:ascii="Times New Roman" w:hAnsi="Times New Roman" w:eastAsia="宋体"/>
          <w:bCs w:val="0"/>
          <w:color w:val="auto"/>
          <w:sz w:val="21"/>
          <w:szCs w:val="21"/>
          <w:highlight w:val="none"/>
        </w:rPr>
        <w:t xml:space="preserve">、适用法律</w:t>
      </w:r>
      <w:bookmarkEnd w:id="49"/>
      <w:r/>
      <w:bookmarkEnd w:id="50"/>
      <w:r/>
      <w:bookmarkEnd w:id="51"/>
      <w:r/>
      <w:r/>
    </w:p>
    <w:p>
      <w:pPr>
        <w:pStyle w:val="949"/>
        <w:ind w:firstLine="420"/>
        <w:pageBreakBefore w:val="0"/>
        <w:spacing w:before="0" w:after="0" w:line="360" w:lineRule="auto"/>
        <w:rPr>
          <w:rFonts w:ascii="Times New Roman" w:hAnsi="Times New Roman" w:eastAsia="宋体"/>
          <w:b w:val="0"/>
          <w:color w:val="auto"/>
          <w:sz w:val="21"/>
          <w:szCs w:val="21"/>
          <w:highlight w:val="none"/>
        </w:rPr>
      </w:pPr>
      <w:r>
        <w:rPr>
          <w:rFonts w:hint="eastAsia" w:ascii="Times New Roman" w:hAnsi="Times New Roman" w:eastAsia="宋体"/>
          <w:b w:val="0"/>
          <w:color w:val="auto"/>
          <w:sz w:val="21"/>
          <w:szCs w:val="21"/>
          <w:highlight w:val="none"/>
        </w:rPr>
        <w:t xml:space="preserve">3.1 本次招标及由此产生的合同受中华人民共和国有关的法律法规制约和保护。</w:t>
      </w:r>
      <w:r/>
    </w:p>
    <w:p>
      <w:pPr>
        <w:pStyle w:val="949"/>
        <w:ind w:firstLine="420"/>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b w:val="0"/>
          <w:color w:val="auto"/>
          <w:sz w:val="21"/>
          <w:szCs w:val="21"/>
          <w:highlight w:val="none"/>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Cs/>
          <w:color w:val="auto"/>
          <w:szCs w:val="21"/>
          <w:highlight w:val="none"/>
        </w:rPr>
        <w:t xml:space="preserve">4.1</w:t>
      </w:r>
      <w:r>
        <w:rPr>
          <w:rFonts w:hint="eastAsia" w:ascii="Times New Roman" w:hAnsi="Times New Roman" w:eastAsia="宋体"/>
          <w:color w:val="auto"/>
          <w:szCs w:val="21"/>
          <w:highlight w:val="none"/>
        </w:rPr>
        <w:t xml:space="preserve"> 投标人应自行承担所有与参加投标有关的费用，无论投标过程中的做法和结果如何，代理机构在任何情况下均无义务和责任承担这些费用。</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4.2本采购文件获取方式为现场领取或邮寄，如未按要求操作，导致投标（响应）无效，由此产生的风险自行承担。</w:t>
      </w:r>
      <w:r/>
    </w:p>
    <w:p>
      <w:pPr>
        <w:ind w:firstLine="422"/>
        <w:jc w:val="left"/>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4.3本次采购由中标人在领取中标通知书前一次性支付给招标代理机构代理服务费（具体计算方式详见下表）。</w:t>
      </w:r>
      <w:r/>
    </w:p>
    <w:tbl>
      <w:tblPr>
        <w:tblStyle w:val="956"/>
        <w:tblW w:w="8111" w:type="dxa"/>
        <w:jc w:val="center"/>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pageBreakBefore w:val="0"/>
              <w:spacing w:line="360" w:lineRule="auto"/>
              <w:widowControl/>
              <w:rPr>
                <w:rFonts w:ascii="Times New Roman" w:hAnsi="Times New Roman" w:eastAsia="宋体" w:cs="宋体"/>
                <w:color w:val="auto"/>
                <w:spacing w:val="40"/>
                <w:szCs w:val="21"/>
                <w:highlight w:val="none"/>
              </w:rPr>
            </w:pPr>
            <w:r>
              <w:rPr>
                <w:rFonts w:hint="eastAsia" w:ascii="Times New Roman" w:hAnsi="Times New Roman" w:eastAsia="宋体" w:cs="宋体"/>
                <w:color w:val="auto"/>
                <w:spacing w:val="40"/>
                <w:szCs w:val="21"/>
                <w:highlight w:val="none"/>
              </w:rPr>
              <w:t xml:space="preserve">项目</w:t>
            </w:r>
            <w:r/>
          </w:p>
          <w:p>
            <w:pPr>
              <w:ind w:left="160"/>
              <w:jc w:val="center"/>
              <w:pageBreakBefore w:val="0"/>
              <w:spacing w:line="360" w:lineRule="auto"/>
              <w:widowControl/>
              <w:rPr>
                <w:rFonts w:ascii="Times New Roman" w:hAnsi="Times New Roman" w:eastAsia="宋体" w:cs="宋体"/>
                <w:color w:val="auto"/>
                <w:spacing w:val="40"/>
                <w:szCs w:val="21"/>
                <w:highlight w:val="none"/>
              </w:rPr>
            </w:pPr>
            <w:r>
              <w:rPr>
                <w:rFonts w:hint="eastAsia" w:ascii="Times New Roman" w:hAnsi="Times New Roman" w:eastAsia="宋体"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pageBreakBefore w:val="0"/>
              <w:spacing w:line="360" w:lineRule="auto"/>
              <w:widowControl/>
              <w:rPr>
                <w:rFonts w:ascii="Times New Roman" w:hAnsi="Times New Roman" w:eastAsia="宋体" w:cs="宋体"/>
                <w:color w:val="auto"/>
                <w:spacing w:val="40"/>
                <w:szCs w:val="21"/>
                <w:highlight w:val="none"/>
              </w:rPr>
            </w:pPr>
            <w:r>
              <w:rPr>
                <w:rFonts w:ascii="Times New Roman" w:hAnsi="Times New Roman" w:eastAsia="宋体"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代理费</w:t>
            </w:r>
            <w:r/>
          </w:p>
          <w:p>
            <w:pPr>
              <w:ind w:firstLine="105"/>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u w:val="single"/>
              </w:rPr>
              <w:t xml:space="preserve"> 27.17  </w:t>
            </w:r>
            <w:r>
              <w:rPr>
                <w:rFonts w:hint="eastAsia" w:ascii="Times New Roman" w:hAnsi="Times New Roman" w:eastAsia="宋体" w:cs="宋体"/>
                <w:color w:val="auto"/>
                <w:szCs w:val="21"/>
                <w:highlight w:val="none"/>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10000元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u w:val="single"/>
              </w:rPr>
              <w:t xml:space="preserve"> 27  </w:t>
            </w:r>
            <w:r>
              <w:rPr>
                <w:rFonts w:hint="eastAsia" w:ascii="Times New Roman" w:hAnsi="Times New Roman" w:eastAsia="宋体" w:cs="宋体"/>
                <w:color w:val="auto"/>
                <w:szCs w:val="21"/>
                <w:highlight w:val="none"/>
              </w:rPr>
              <w:t xml:space="preserve">%</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基准费率表</w:t>
      </w:r>
      <w:r/>
    </w:p>
    <w:tbl>
      <w:tblPr>
        <w:tblStyle w:val="956"/>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pageBreakBefore w:val="0"/>
              <w:spacing w:line="360" w:lineRule="auto"/>
              <w:widowControl/>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0.05％</w:t>
            </w:r>
            <w:r/>
          </w:p>
        </w:tc>
      </w:tr>
    </w:tbl>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（1）代理服务费以人民币支付；</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（2）代理服务费支付方式：一次性以电汇或转账形式支付。</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（3）招标代理服务费不在响应报价中单列，包含在响应总价中，由中标人支付给代理机构。</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招标代理服务费开户银行：</w:t>
      </w:r>
      <w:r>
        <w:rPr>
          <w:rFonts w:hint="eastAsia" w:ascii="Times New Roman" w:hAnsi="Times New Roman" w:eastAsia="宋体" w:cs="宋体"/>
          <w:b/>
          <w:bCs/>
          <w:color w:val="auto"/>
          <w:szCs w:val="21"/>
          <w:highlight w:val="none"/>
        </w:rPr>
        <w:t xml:space="preserve">中国工商银行扬州雍华府支行</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开户名称：江苏苏维工程管理有限公司</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开户账号：</w:t>
      </w:r>
      <w:r>
        <w:rPr>
          <w:rFonts w:hint="eastAsia" w:ascii="Times New Roman" w:hAnsi="Times New Roman" w:eastAsia="宋体" w:cs="宋体"/>
          <w:b/>
          <w:bCs/>
          <w:color w:val="auto"/>
          <w:szCs w:val="21"/>
          <w:highlight w:val="none"/>
        </w:rPr>
        <w:t xml:space="preserve">1108020819100000612</w:t>
      </w:r>
      <w:r/>
    </w:p>
    <w:p>
      <w:pPr>
        <w:ind w:firstLine="422"/>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4.4专家评审费按照《关于规范江苏省政府采购专家评审费标准的通知》（苏财购〔2016〕48号）执行，由采购人支付。</w:t>
      </w:r>
      <w:r/>
    </w:p>
    <w:p>
      <w:pPr>
        <w:pStyle w:val="949"/>
        <w:ind w:firstLine="422"/>
        <w:pageBreakBefore w:val="0"/>
        <w:spacing w:before="0" w:after="0" w:line="360" w:lineRule="auto"/>
        <w:rPr>
          <w:rFonts w:ascii="Times New Roman" w:hAnsi="Times New Roman" w:eastAsia="宋体" w:cs="宋体"/>
          <w:bCs w:val="0"/>
          <w:color w:val="auto"/>
          <w:sz w:val="21"/>
          <w:szCs w:val="21"/>
          <w:highlight w:val="none"/>
        </w:rPr>
      </w:pPr>
      <w:r>
        <w:rPr>
          <w:rFonts w:hint="eastAsia" w:ascii="Times New Roman" w:hAnsi="Times New Roman" w:eastAsia="宋体" w:cs="宋体"/>
          <w:color w:val="auto"/>
          <w:sz w:val="21"/>
          <w:szCs w:val="21"/>
          <w:highlight w:val="none"/>
        </w:rPr>
        <w:t xml:space="preserve">5、</w:t>
      </w:r>
      <w:r>
        <w:rPr>
          <w:rFonts w:hint="eastAsia" w:ascii="Times New Roman" w:hAnsi="Times New Roman" w:eastAsia="宋体" w:cs="宋体"/>
          <w:bCs w:val="0"/>
          <w:color w:val="auto"/>
          <w:sz w:val="21"/>
          <w:szCs w:val="21"/>
          <w:highlight w:val="none"/>
        </w:rPr>
        <w:t xml:space="preserve">招标文件的约束力</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5.1</w:t>
      </w:r>
      <w:r>
        <w:rPr>
          <w:rFonts w:hint="eastAsia" w:ascii="Times New Roman" w:hAnsi="Times New Roman" w:eastAsia="宋体" w:cs="宋体"/>
          <w:color w:val="auto"/>
          <w:szCs w:val="21"/>
          <w:highlight w:val="none"/>
        </w:rPr>
        <w:t xml:space="preserve"> 投标人一旦参加本项目采购活动，即被认为接受了本招标文件的规定和约束。</w:t>
      </w:r>
      <w:r/>
    </w:p>
    <w:p>
      <w:pPr>
        <w:pStyle w:val="949"/>
        <w:ind w:firstLine="422"/>
        <w:pageBreakBefore w:val="0"/>
        <w:spacing w:before="0" w:after="0" w:line="360" w:lineRule="auto"/>
        <w:rPr>
          <w:rFonts w:ascii="Times New Roman" w:hAnsi="Times New Roman" w:eastAsia="宋体" w:cs="宋体"/>
          <w:bCs w:val="0"/>
          <w:color w:val="auto"/>
          <w:sz w:val="21"/>
          <w:szCs w:val="21"/>
          <w:highlight w:val="none"/>
        </w:rPr>
      </w:pPr>
      <w:r/>
      <w:bookmarkStart w:id="52" w:name="_Toc513029210"/>
      <w:r/>
      <w:bookmarkStart w:id="53" w:name="_Toc20823282"/>
      <w:r/>
      <w:bookmarkStart w:id="54" w:name="_Toc16938526"/>
      <w:r>
        <w:rPr>
          <w:rFonts w:hint="eastAsia" w:ascii="Times New Roman" w:hAnsi="Times New Roman" w:eastAsia="宋体" w:cs="宋体"/>
          <w:bCs w:val="0"/>
          <w:color w:val="auto"/>
          <w:sz w:val="21"/>
          <w:szCs w:val="21"/>
          <w:highlight w:val="none"/>
        </w:rPr>
        <w:t xml:space="preserve">6、招标文件构成</w:t>
      </w:r>
      <w:bookmarkEnd w:id="52"/>
      <w:r/>
      <w:bookmarkEnd w:id="53"/>
      <w:r/>
      <w:bookmarkEnd w:id="54"/>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Cs/>
          <w:color w:val="auto"/>
          <w:szCs w:val="21"/>
          <w:highlight w:val="none"/>
        </w:rPr>
        <w:t xml:space="preserve">6.1</w:t>
      </w:r>
      <w:r>
        <w:rPr>
          <w:rFonts w:hint="eastAsia" w:ascii="Times New Roman" w:hAnsi="Times New Roman" w:eastAsia="宋体" w:cs="宋体"/>
          <w:color w:val="auto"/>
          <w:szCs w:val="21"/>
          <w:highlight w:val="none"/>
        </w:rPr>
        <w:t xml:space="preserve"> 招标文件有以下部分组成：</w:t>
      </w:r>
      <w:r/>
    </w:p>
    <w:p>
      <w:pPr>
        <w:ind w:firstLine="315"/>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（1）招标公告</w:t>
      </w:r>
      <w:r/>
    </w:p>
    <w:p>
      <w:pPr>
        <w:ind w:firstLine="315"/>
        <w:pageBreakBefore w:val="0"/>
        <w:spacing w:line="360" w:lineRule="auto"/>
        <w:tabs>
          <w:tab w:val="left" w:pos="2580" w:leader="none"/>
        </w:tabs>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（2）投标人须知</w:t>
      </w:r>
      <w:r>
        <w:rPr>
          <w:rFonts w:hint="eastAsia" w:ascii="Times New Roman" w:hAnsi="Times New Roman" w:eastAsia="宋体" w:cs="宋体"/>
          <w:color w:val="auto"/>
          <w:szCs w:val="21"/>
          <w:highlight w:val="none"/>
        </w:rPr>
        <w:tab/>
      </w:r>
      <w:r/>
    </w:p>
    <w:p>
      <w:pPr>
        <w:ind w:firstLine="315"/>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（3）合同条款及格式</w:t>
      </w:r>
      <w:r/>
    </w:p>
    <w:p>
      <w:pPr>
        <w:ind w:firstLine="315"/>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（4）项目需求</w:t>
      </w:r>
      <w:r/>
    </w:p>
    <w:p>
      <w:pPr>
        <w:ind w:firstLine="315"/>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（5）评标方法与评标标准</w:t>
      </w:r>
      <w:r/>
    </w:p>
    <w:p>
      <w:pPr>
        <w:ind w:firstLine="315"/>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（6）投标文件格式</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6.2 招标的最小单位是包。招标内容数量及技术要求中未分包的，供应商对要求提供的内容不得部分投标；招标内容数量及技术要求中已经分包的，应当以包为单位投标。</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6.3 招标文件如果要求供应商提交备选方案的，供应商可以提交备选方案；否则，备选方案将被拒绝。</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Cs/>
          <w:color w:val="auto"/>
          <w:szCs w:val="21"/>
          <w:highlight w:val="none"/>
        </w:rPr>
        <w:t xml:space="preserve">6.4</w:t>
      </w:r>
      <w:r>
        <w:rPr>
          <w:rFonts w:hint="eastAsia" w:ascii="Times New Roman" w:hAnsi="Times New Roman" w:eastAsia="宋体" w:cs="宋体"/>
          <w:color w:val="auto"/>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bookmarkStart w:id="55" w:name="_Toc20823283"/>
      <w:r/>
      <w:bookmarkStart w:id="56" w:name="_Toc462564070"/>
      <w:r/>
      <w:bookmarkStart w:id="57" w:name="_Toc513029211"/>
      <w:r/>
      <w:bookmarkStart w:id="58" w:name="_Toc16938527"/>
      <w:r>
        <w:rPr>
          <w:rFonts w:hint="eastAsia" w:ascii="Times New Roman" w:hAnsi="Times New Roman" w:eastAsia="宋体" w:cs="宋体"/>
          <w:bCs w:val="0"/>
          <w:color w:val="auto"/>
          <w:sz w:val="21"/>
          <w:szCs w:val="21"/>
          <w:highlight w:val="none"/>
        </w:rPr>
        <w:t xml:space="preserve">7</w:t>
      </w:r>
      <w:r>
        <w:rPr>
          <w:rFonts w:hint="eastAsia" w:ascii="Times New Roman" w:hAnsi="Times New Roman" w:eastAsia="宋体" w:cs="宋体"/>
          <w:b w:val="0"/>
          <w:bCs w:val="0"/>
          <w:color w:val="auto"/>
          <w:sz w:val="21"/>
          <w:szCs w:val="21"/>
          <w:highlight w:val="none"/>
        </w:rPr>
        <w:t xml:space="preserve">、</w:t>
      </w:r>
      <w:r>
        <w:rPr>
          <w:rFonts w:hint="eastAsia" w:ascii="Times New Roman" w:hAnsi="Times New Roman" w:eastAsia="宋体" w:cs="宋体"/>
          <w:bCs w:val="0"/>
          <w:color w:val="auto"/>
          <w:sz w:val="21"/>
          <w:szCs w:val="21"/>
          <w:highlight w:val="none"/>
        </w:rPr>
        <w:t xml:space="preserve">招标文件的</w:t>
      </w:r>
      <w:bookmarkEnd w:id="55"/>
      <w:r/>
      <w:bookmarkEnd w:id="56"/>
      <w:r/>
      <w:bookmarkEnd w:id="57"/>
      <w:r/>
      <w:bookmarkEnd w:id="58"/>
      <w:r>
        <w:rPr>
          <w:rFonts w:hint="eastAsia" w:ascii="Times New Roman" w:hAnsi="Times New Roman" w:eastAsia="宋体" w:cs="宋体"/>
          <w:bCs w:val="0"/>
          <w:color w:val="auto"/>
          <w:sz w:val="21"/>
          <w:szCs w:val="21"/>
          <w:highlight w:val="none"/>
        </w:rPr>
        <w:t xml:space="preserve">澄清</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7.1 任何要求对招标文件进行澄清的投标人，应在投标截止日期的十日前按投标邀请中的通讯地址，以书面形式通知代理机构。</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bookmarkStart w:id="59" w:name="_Toc16938528"/>
      <w:r/>
      <w:bookmarkStart w:id="60" w:name="_Toc462564071"/>
      <w:r/>
      <w:bookmarkStart w:id="61" w:name="_Toc513029212"/>
      <w:r/>
      <w:bookmarkStart w:id="62" w:name="_Toc20823284"/>
      <w:r>
        <w:rPr>
          <w:rFonts w:hint="eastAsia" w:ascii="Times New Roman" w:hAnsi="Times New Roman" w:eastAsia="宋体" w:cs="宋体"/>
          <w:bCs w:val="0"/>
          <w:color w:val="auto"/>
          <w:sz w:val="21"/>
          <w:szCs w:val="21"/>
          <w:highlight w:val="none"/>
        </w:rPr>
        <w:t xml:space="preserve">8</w:t>
      </w:r>
      <w:r>
        <w:rPr>
          <w:rFonts w:hint="eastAsia" w:ascii="Times New Roman" w:hAnsi="Times New Roman" w:eastAsia="宋体" w:cs="宋体"/>
          <w:b w:val="0"/>
          <w:bCs w:val="0"/>
          <w:color w:val="auto"/>
          <w:sz w:val="21"/>
          <w:szCs w:val="21"/>
          <w:highlight w:val="none"/>
        </w:rPr>
        <w:t xml:space="preserve">、</w:t>
      </w:r>
      <w:r>
        <w:rPr>
          <w:rFonts w:hint="eastAsia" w:ascii="Times New Roman" w:hAnsi="Times New Roman" w:eastAsia="宋体" w:cs="宋体"/>
          <w:bCs w:val="0"/>
          <w:color w:val="auto"/>
          <w:sz w:val="21"/>
          <w:szCs w:val="21"/>
          <w:highlight w:val="none"/>
        </w:rPr>
        <w:t xml:space="preserve">招标文件的修改</w:t>
      </w:r>
      <w:bookmarkEnd w:id="59"/>
      <w:r/>
      <w:bookmarkEnd w:id="60"/>
      <w:r/>
      <w:bookmarkEnd w:id="61"/>
      <w:r/>
      <w:bookmarkEnd w:id="62"/>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Cs/>
          <w:color w:val="auto"/>
          <w:szCs w:val="21"/>
          <w:highlight w:val="none"/>
        </w:rPr>
        <w:t xml:space="preserve">8.1</w:t>
      </w:r>
      <w:r>
        <w:rPr>
          <w:rFonts w:hint="eastAsia" w:ascii="Times New Roman" w:hAnsi="Times New Roman" w:eastAsia="宋体" w:cs="宋体"/>
          <w:color w:val="auto"/>
          <w:szCs w:val="21"/>
          <w:highlight w:val="none"/>
        </w:rPr>
        <w:t xml:space="preserve"> 在投标截止时间前，代理机构可以对招标文件进行修改。</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8.2代理机构在招标文件要求提交投标文件截止时间前，有权决定延长投标截止时间和开标时间，并在原采购信息发布媒体上发布变更公告。</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Cs/>
          <w:color w:val="auto"/>
          <w:szCs w:val="21"/>
          <w:highlight w:val="none"/>
        </w:rPr>
        <w:t xml:space="preserve">8.3</w:t>
      </w:r>
      <w:r>
        <w:rPr>
          <w:rFonts w:hint="eastAsia" w:ascii="Times New Roman" w:hAnsi="Times New Roman" w:eastAsia="宋体" w:cs="宋体"/>
          <w:color w:val="auto"/>
          <w:szCs w:val="21"/>
          <w:highlight w:val="none"/>
        </w:rPr>
        <w:t xml:space="preserve">招标文件的修改将在</w:t>
      </w:r>
      <w:r>
        <w:rPr>
          <w:rFonts w:hint="eastAsia" w:ascii="Times New Roman" w:hAnsi="Times New Roman" w:eastAsia="宋体" w:cs="Arial"/>
          <w:color w:val="auto"/>
          <w:szCs w:val="21"/>
          <w:highlight w:val="none"/>
        </w:rPr>
        <w:t xml:space="preserve">“扬州大学采购管理办公室网”、“扬州大学网”、“江苏省政府采购网”和“中国政府采购网”</w:t>
      </w:r>
      <w:r>
        <w:rPr>
          <w:rFonts w:hint="eastAsia" w:ascii="Times New Roman" w:hAnsi="Times New Roman" w:eastAsia="宋体" w:cs="宋体"/>
          <w:color w:val="auto"/>
          <w:szCs w:val="21"/>
          <w:highlight w:val="none"/>
        </w:rPr>
        <w:t xml:space="preserve">公布，补充文件将作为招标文件的组成部分，并对投标人具有约束力。</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8.4投标人应在投标截止时间前关注原采购信息发布媒体上有关本招标项目有无变更公告。</w:t>
      </w:r>
      <w:r/>
    </w:p>
    <w:p>
      <w:pPr>
        <w:pStyle w:val="949"/>
        <w:ind w:firstLine="422"/>
        <w:pageBreakBefore w:val="0"/>
        <w:spacing w:before="0" w:after="0" w:line="360" w:lineRule="auto"/>
        <w:rPr>
          <w:rFonts w:ascii="Times New Roman" w:hAnsi="Times New Roman" w:eastAsia="宋体" w:cs="宋体"/>
          <w:bCs w:val="0"/>
          <w:color w:val="auto"/>
          <w:sz w:val="21"/>
          <w:szCs w:val="21"/>
          <w:highlight w:val="none"/>
        </w:rPr>
      </w:pPr>
      <w:r/>
      <w:bookmarkStart w:id="63" w:name="_Toc16938530"/>
      <w:r/>
      <w:bookmarkStart w:id="64" w:name="_Toc462564073"/>
      <w:r/>
      <w:bookmarkStart w:id="65" w:name="_Toc513029214"/>
      <w:r/>
      <w:bookmarkStart w:id="66" w:name="_Toc20823286"/>
      <w:r>
        <w:rPr>
          <w:rFonts w:hint="eastAsia" w:ascii="Times New Roman" w:hAnsi="Times New Roman" w:eastAsia="宋体" w:cs="宋体"/>
          <w:bCs w:val="0"/>
          <w:color w:val="auto"/>
          <w:sz w:val="21"/>
          <w:szCs w:val="21"/>
          <w:highlight w:val="none"/>
        </w:rPr>
        <w:t xml:space="preserve">9、投标文件的语言、度量衡单位</w:t>
      </w:r>
      <w:bookmarkEnd w:id="63"/>
      <w:r/>
      <w:bookmarkEnd w:id="64"/>
      <w:r/>
      <w:bookmarkEnd w:id="65"/>
      <w:r/>
      <w:bookmarkEnd w:id="66"/>
      <w:r>
        <w:rPr>
          <w:rFonts w:hint="eastAsia" w:ascii="Times New Roman" w:hAnsi="Times New Roman" w:eastAsia="宋体" w:cs="宋体"/>
          <w:bCs w:val="0"/>
          <w:color w:val="auto"/>
          <w:sz w:val="21"/>
          <w:szCs w:val="21"/>
          <w:highlight w:val="none"/>
        </w:rPr>
        <w:t xml:space="preserve">、货币和编制</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Cs/>
          <w:color w:val="auto"/>
          <w:szCs w:val="21"/>
          <w:highlight w:val="none"/>
        </w:rPr>
        <w:t xml:space="preserve">9.1</w:t>
      </w:r>
      <w:r>
        <w:rPr>
          <w:rFonts w:hint="eastAsia" w:ascii="Times New Roman" w:hAnsi="Times New Roman" w:eastAsia="宋体" w:cs="宋体"/>
          <w:color w:val="auto"/>
          <w:szCs w:val="21"/>
          <w:highlight w:val="none"/>
        </w:rPr>
        <w:t xml:space="preserve">投标人提交的投标文件、技术文件和资料，包括图纸中的说明，以及投标人与代理机构就有关投标的所有来往函、电、通知和文件均应使用中文。投标文件中若有英文或其他语言文字的资料，应提供相应的中文翻译资料。对不同文本投标文件的解释发生异议的，以中文文本为准。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Cs/>
          <w:color w:val="auto"/>
          <w:szCs w:val="21"/>
          <w:highlight w:val="none"/>
        </w:rPr>
        <w:t xml:space="preserve">9.2</w:t>
      </w:r>
      <w:r>
        <w:rPr>
          <w:rFonts w:hint="eastAsia" w:ascii="Times New Roman" w:hAnsi="Times New Roman" w:eastAsia="宋体" w:cs="宋体"/>
          <w:color w:val="auto"/>
          <w:szCs w:val="21"/>
          <w:highlight w:val="none"/>
        </w:rPr>
        <w:t xml:space="preserve"> 除技术性能另有规定外，投标文件所使用的度量衡单位，均须采用国家法定计量单位。</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9.3投标人应使用人民币报价。</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9.4投标文件应字迹清楚、内容齐全、不得涂改。如有修改，修改处须有投标人加盖公章和法定代表人或其授权代表签字。</w:t>
      </w:r>
      <w:r/>
    </w:p>
    <w:p>
      <w:pPr>
        <w:pStyle w:val="949"/>
        <w:ind w:firstLine="422"/>
        <w:pageBreakBefore w:val="0"/>
        <w:spacing w:before="0" w:after="0" w:line="360" w:lineRule="auto"/>
        <w:rPr>
          <w:rFonts w:ascii="Times New Roman" w:hAnsi="Times New Roman" w:eastAsia="宋体" w:cs="宋体"/>
          <w:bCs w:val="0"/>
          <w:color w:val="auto"/>
          <w:sz w:val="21"/>
          <w:szCs w:val="21"/>
          <w:highlight w:val="none"/>
        </w:rPr>
      </w:pPr>
      <w:r/>
      <w:bookmarkStart w:id="67" w:name="_Toc513029215"/>
      <w:r/>
      <w:bookmarkStart w:id="68" w:name="_Toc20823287"/>
      <w:r/>
      <w:bookmarkStart w:id="69" w:name="_Toc16938531"/>
      <w:r/>
      <w:bookmarkStart w:id="70" w:name="_Toc462564074"/>
      <w:r>
        <w:rPr>
          <w:rFonts w:hint="eastAsia" w:ascii="Times New Roman" w:hAnsi="Times New Roman" w:eastAsia="宋体" w:cs="宋体"/>
          <w:bCs w:val="0"/>
          <w:color w:val="auto"/>
          <w:sz w:val="21"/>
          <w:szCs w:val="21"/>
          <w:highlight w:val="none"/>
        </w:rPr>
        <w:t xml:space="preserve">10、投标文件构成</w:t>
      </w:r>
      <w:bookmarkEnd w:id="67"/>
      <w:r/>
      <w:bookmarkEnd w:id="68"/>
      <w:r/>
      <w:bookmarkEnd w:id="69"/>
      <w:r/>
      <w:bookmarkEnd w:id="70"/>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bCs/>
          <w:color w:val="auto"/>
          <w:szCs w:val="21"/>
          <w:highlight w:val="none"/>
        </w:rPr>
        <w:t xml:space="preserve">10.1</w:t>
      </w:r>
      <w:r>
        <w:rPr>
          <w:rFonts w:hint="eastAsia" w:ascii="Times New Roman" w:hAnsi="Times New Roman" w:eastAsia="宋体" w:cs="宋体"/>
          <w:color w:val="auto"/>
          <w:szCs w:val="21"/>
          <w:highlight w:val="none"/>
        </w:rPr>
        <w:t xml:space="preserve"> </w:t>
      </w:r>
      <w:r>
        <w:rPr>
          <w:rFonts w:hint="eastAsia" w:ascii="Times New Roman" w:hAnsi="Times New Roman" w:eastAsia="宋体"/>
          <w:bCs/>
          <w:color w:val="auto"/>
          <w:szCs w:val="21"/>
          <w:highlight w:val="none"/>
        </w:rPr>
        <w:t xml:space="preserve">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bCs/>
          <w:color w:val="auto"/>
          <w:szCs w:val="21"/>
          <w:highlight w:val="none"/>
        </w:rPr>
        <w:t xml:space="preserve">（8）其他（投标人认为有必要提供的声明和文件，如有自拟并自行添加）</w:t>
      </w:r>
      <w:r>
        <w:rPr>
          <w:rFonts w:hint="eastAsia" w:ascii="Times New Roman" w:hAnsi="Times New Roman" w:eastAsia="宋体" w:cs="宋体"/>
          <w:color w:val="auto"/>
          <w:szCs w:val="21"/>
          <w:highlight w:val="none"/>
        </w:rPr>
        <w:t xml:space="preserve">；</w:t>
      </w:r>
      <w:r/>
    </w:p>
    <w:p>
      <w:pPr>
        <w:pStyle w:val="949"/>
        <w:ind w:firstLine="420"/>
        <w:pageBreakBefore w:val="0"/>
        <w:spacing w:before="0" w:after="0" w:line="360" w:lineRule="auto"/>
        <w:rPr>
          <w:rFonts w:ascii="Times New Roman" w:hAnsi="Times New Roman" w:eastAsia="宋体" w:cs="宋体"/>
          <w:b w:val="0"/>
          <w:bCs w:val="0"/>
          <w:color w:val="auto"/>
          <w:sz w:val="21"/>
          <w:szCs w:val="21"/>
          <w:highlight w:val="none"/>
        </w:rPr>
      </w:pPr>
      <w:r/>
      <w:bookmarkStart w:id="71" w:name="_Toc14577357"/>
      <w:r/>
      <w:bookmarkStart w:id="72" w:name="_Toc49090509"/>
      <w:r/>
      <w:bookmarkStart w:id="73" w:name="_Toc513029219"/>
      <w:r/>
      <w:bookmarkStart w:id="74" w:name="_Toc513029216"/>
      <w:r/>
      <w:bookmarkStart w:id="75" w:name="_Toc49090507"/>
      <w:r/>
      <w:bookmarkStart w:id="76" w:name="_Toc14577354"/>
      <w:r>
        <w:rPr>
          <w:rFonts w:hint="eastAsia" w:ascii="Times New Roman" w:hAnsi="Times New Roman" w:eastAsia="宋体" w:cs="宋体"/>
          <w:b w:val="0"/>
          <w:bCs w:val="0"/>
          <w:color w:val="auto"/>
          <w:sz w:val="21"/>
          <w:szCs w:val="21"/>
          <w:highlight w:val="none"/>
        </w:rPr>
        <w:t xml:space="preserve">10.2 投标人应将投标文件按顺序装订成册，应逐页编码，不得跳页（包括但不限于证明材料、声明及产品介绍、彩页等），并编制投标文件资料目录。由于编排混乱导致投标文件被误读或查找不到，责任由投标人承担。</w:t>
      </w:r>
      <w:r/>
    </w:p>
    <w:p>
      <w:pPr>
        <w:pStyle w:val="949"/>
        <w:ind w:firstLine="420"/>
        <w:pageBreakBefore w:val="0"/>
        <w:spacing w:before="0" w:after="0" w:line="360" w:lineRule="auto"/>
        <w:rPr>
          <w:rFonts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10.3 投标人应当根据招标文件要求编制投标文件，投标文件应对招标文件提出的要求和条件作出实质性响应，并在相应的投标文件中逐条标明满足与否。</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rPr>
          <w:rFonts w:hint="eastAsia" w:ascii="Times New Roman" w:hAnsi="Times New Roman" w:eastAsia="宋体" w:cs="宋体"/>
          <w:bCs w:val="0"/>
          <w:color w:val="auto"/>
          <w:sz w:val="21"/>
          <w:szCs w:val="21"/>
          <w:highlight w:val="none"/>
        </w:rPr>
        <w:t xml:space="preserve">11、证明投标人资格及符合招标文件规定的文件</w:t>
      </w:r>
      <w:bookmarkEnd w:id="71"/>
      <w:r/>
      <w:bookmarkEnd w:id="72"/>
      <w:r/>
      <w:bookmarkEnd w:id="73"/>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11.3投标人除必须具有履行合同所需提供的货物以及服务的能力外，还必须具备相应的财务、技术方面的能力。</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11.4投标人应提交根据合同要求提供的证明产品质量合格以及符合招标文件规定的证明文件。</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11.5证明投标人所提供货物、服务与招标文件的要求相一致的文件可以是手册、图纸、文字资料和数据</w:t>
      </w:r>
      <w:r>
        <w:rPr>
          <w:rFonts w:hint="eastAsia" w:ascii="Times New Roman" w:hAnsi="Times New Roman" w:eastAsia="宋体" w:cs="宋体"/>
          <w:bCs/>
          <w:color w:val="auto"/>
          <w:szCs w:val="21"/>
          <w:highlight w:val="none"/>
        </w:rPr>
        <w:t xml:space="preserve">。</w:t>
      </w:r>
      <w:bookmarkEnd w:id="74"/>
      <w:r/>
      <w:bookmarkEnd w:id="75"/>
      <w:r/>
      <w:bookmarkEnd w:id="76"/>
      <w:r/>
      <w:r/>
    </w:p>
    <w:p>
      <w:pPr>
        <w:pStyle w:val="949"/>
        <w:ind w:firstLine="422"/>
        <w:pageBreakBefore w:val="0"/>
        <w:spacing w:before="0" w:after="0" w:line="360" w:lineRule="auto"/>
        <w:rPr>
          <w:rFonts w:ascii="Times New Roman" w:hAnsi="Times New Roman" w:eastAsia="宋体" w:cs="宋体"/>
          <w:bCs w:val="0"/>
          <w:color w:val="auto"/>
          <w:sz w:val="21"/>
          <w:szCs w:val="21"/>
          <w:highlight w:val="none"/>
        </w:rPr>
      </w:pPr>
      <w:r/>
      <w:bookmarkStart w:id="77" w:name="_Toc14577355"/>
      <w:r/>
      <w:bookmarkStart w:id="78" w:name="_Toc49090508"/>
      <w:r>
        <w:rPr>
          <w:rFonts w:hint="eastAsia" w:ascii="Times New Roman" w:hAnsi="Times New Roman" w:eastAsia="宋体" w:cs="宋体"/>
          <w:bCs w:val="0"/>
          <w:color w:val="auto"/>
          <w:sz w:val="21"/>
          <w:szCs w:val="21"/>
          <w:highlight w:val="none"/>
        </w:rPr>
        <w:t xml:space="preserve">12、分项报价</w:t>
      </w:r>
      <w:bookmarkEnd w:id="77"/>
      <w:r>
        <w:rPr>
          <w:rFonts w:hint="eastAsia" w:ascii="Times New Roman" w:hAnsi="Times New Roman" w:eastAsia="宋体" w:cs="宋体"/>
          <w:bCs w:val="0"/>
          <w:color w:val="auto"/>
          <w:sz w:val="21"/>
          <w:szCs w:val="21"/>
          <w:highlight w:val="none"/>
        </w:rPr>
        <w:t xml:space="preserve">表</w:t>
      </w:r>
      <w:bookmarkEnd w:id="78"/>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12.1</w:t>
      </w:r>
      <w:r>
        <w:rPr>
          <w:rFonts w:hint="eastAsia" w:ascii="Times New Roman" w:hAnsi="Times New Roman" w:eastAsia="宋体" w:cs="宋体"/>
          <w:color w:val="auto"/>
          <w:szCs w:val="21"/>
          <w:highlight w:val="none"/>
        </w:rPr>
        <w:t xml:space="preserve"> 投标人应按照招标文件规定格式填报分项报价表。每项货物和服务等只允许有一个报价，任何有选择的报价将不予接受（如有备选配件，备选配件的报价不属于选择的报价）。</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Cs/>
          <w:color w:val="auto"/>
          <w:szCs w:val="21"/>
          <w:highlight w:val="none"/>
        </w:rPr>
        <w:t xml:space="preserve">12.2</w:t>
      </w:r>
      <w:r>
        <w:rPr>
          <w:rFonts w:hint="eastAsia" w:ascii="Times New Roman" w:hAnsi="Times New Roman" w:eastAsia="宋体" w:cs="宋体"/>
          <w:color w:val="auto"/>
          <w:szCs w:val="21"/>
          <w:highlight w:val="none"/>
        </w:rPr>
        <w:t xml:space="preserve"> 标的物</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Cs/>
          <w:color w:val="auto"/>
          <w:szCs w:val="21"/>
          <w:highlight w:val="none"/>
        </w:rPr>
        <w:t xml:space="preserve">采购人需求的货物、服务供应、安装，调试及有关技术服务等</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12.3</w:t>
      </w:r>
      <w:r>
        <w:rPr>
          <w:rFonts w:hint="eastAsia" w:ascii="Times New Roman" w:hAnsi="Times New Roman" w:eastAsia="宋体" w:cs="宋体"/>
          <w:bCs/>
          <w:color w:val="auto"/>
          <w:szCs w:val="21"/>
          <w:highlight w:val="none"/>
        </w:rPr>
        <w:t xml:space="preserve">有关费用处理</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招标报价采用总承包方式，投标报价应包括拟提供货物及其运输、装卸、清点、堆放、验收前保管、验收合格及之前所有含税费用，投标报价还包含投标人应当提供的伴随服务/售后服务费用及其他有关的为完成本项目发生的所有费用，招标文件中另有规定的除外。</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12.4</w:t>
      </w:r>
      <w:r>
        <w:rPr>
          <w:rFonts w:hint="eastAsia" w:ascii="Times New Roman" w:hAnsi="Times New Roman" w:eastAsia="宋体" w:cs="宋体"/>
          <w:bCs/>
          <w:color w:val="auto"/>
          <w:szCs w:val="21"/>
          <w:highlight w:val="none"/>
        </w:rPr>
        <w:t xml:space="preserve">其它费用处理</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12.5</w:t>
      </w:r>
      <w:r>
        <w:rPr>
          <w:rFonts w:hint="eastAsia" w:ascii="Times New Roman" w:hAnsi="Times New Roman" w:eastAsia="宋体" w:cs="宋体"/>
          <w:bCs/>
          <w:color w:val="auto"/>
          <w:szCs w:val="21"/>
          <w:highlight w:val="none"/>
        </w:rPr>
        <w:t xml:space="preserve">投标货币</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投标文件中的货物、服务单价和总价无特殊规定的采用人民币报价，以元为单位标注。</w:t>
      </w:r>
      <w:r>
        <w:rPr>
          <w:rFonts w:hint="eastAsia" w:ascii="Times New Roman" w:hAnsi="Times New Roman" w:eastAsia="宋体" w:cs="宋体"/>
          <w:color w:val="auto"/>
          <w:szCs w:val="21"/>
          <w:highlight w:val="none"/>
        </w:rPr>
        <w:t xml:space="preserve">招标文件中另有规定的按规定执行。</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bCs/>
          <w:color w:val="auto"/>
          <w:szCs w:val="21"/>
          <w:highlight w:val="none"/>
        </w:rPr>
        <w:t xml:space="preserve">13、</w:t>
      </w:r>
      <w:r>
        <w:rPr>
          <w:rFonts w:hint="eastAsia" w:ascii="Times New Roman" w:hAnsi="Times New Roman" w:eastAsia="宋体" w:cs="宋体"/>
          <w:b/>
          <w:color w:val="auto"/>
          <w:szCs w:val="21"/>
          <w:highlight w:val="none"/>
        </w:rPr>
        <w:t xml:space="preserve">技术参数响应及偏离表、商务条款响应及偏离表及投标货物或服务说明</w:t>
      </w:r>
      <w:r/>
    </w:p>
    <w:p>
      <w:pPr>
        <w:ind w:firstLine="420"/>
        <w:pageBreakBefore w:val="0"/>
        <w:spacing w:line="360" w:lineRule="auto"/>
        <w:tabs>
          <w:tab w:val="left" w:pos="1035" w:leader="none"/>
        </w:tabs>
        <w:rPr>
          <w:rFonts w:hint="eastAsia" w:ascii="Times New Roman" w:hAnsi="Times New Roman" w:eastAsia="宋体" w:cs="宋体"/>
          <w:bCs/>
          <w:color w:val="auto"/>
          <w:szCs w:val="21"/>
          <w:highlight w:val="none"/>
          <w:lang w:val="zh-CN"/>
        </w:rPr>
      </w:pPr>
      <w:r>
        <w:rPr>
          <w:rFonts w:hint="eastAsia" w:ascii="Times New Roman" w:hAnsi="Times New Roman" w:eastAsia="宋体" w:cs="宋体"/>
          <w:bCs/>
          <w:color w:val="auto"/>
          <w:szCs w:val="21"/>
          <w:highlight w:val="none"/>
          <w:lang w:val="zh-CN"/>
        </w:rPr>
        <w:t xml:space="preserve">13.1对招标文件中的技术与商务条款要求逐项作出响应或偏离，并说明原因；</w:t>
      </w:r>
      <w:r/>
    </w:p>
    <w:p>
      <w:pPr>
        <w:ind w:firstLine="420"/>
        <w:pageBreakBefore w:val="0"/>
        <w:spacing w:line="360" w:lineRule="auto"/>
        <w:tabs>
          <w:tab w:val="left" w:pos="1035" w:leader="none"/>
        </w:tabs>
        <w:rPr>
          <w:rFonts w:hint="eastAsia" w:ascii="Times New Roman" w:hAnsi="Times New Roman" w:eastAsia="宋体" w:cs="宋体"/>
          <w:bCs/>
          <w:color w:val="auto"/>
          <w:szCs w:val="21"/>
          <w:highlight w:val="none"/>
          <w:lang w:val="zh-CN"/>
        </w:rPr>
      </w:pPr>
      <w:r>
        <w:rPr>
          <w:rFonts w:hint="eastAsia" w:ascii="Times New Roman" w:hAnsi="Times New Roman" w:eastAsia="宋体" w:cs="宋体"/>
          <w:bCs/>
          <w:color w:val="auto"/>
          <w:szCs w:val="21"/>
          <w:highlight w:val="none"/>
          <w:lang w:val="zh-CN"/>
        </w:rPr>
        <w:t xml:space="preserve">13.2 提供参加本项目类似案例简介；</w:t>
      </w:r>
      <w:bookmarkStart w:id="150" w:name="_GoBack"/>
      <w:r/>
      <w:bookmarkEnd w:id="150"/>
      <w:r/>
      <w:r/>
    </w:p>
    <w:p>
      <w:pPr>
        <w:ind w:firstLine="420"/>
        <w:pageBreakBefore w:val="0"/>
        <w:spacing w:line="360" w:lineRule="auto"/>
        <w:tabs>
          <w:tab w:val="left" w:pos="1035" w:leader="none"/>
        </w:tabs>
        <w:rPr>
          <w:rFonts w:hint="eastAsia" w:ascii="Times New Roman" w:hAnsi="Times New Roman" w:eastAsia="宋体" w:cs="宋体"/>
          <w:bCs/>
          <w:color w:val="auto"/>
          <w:szCs w:val="21"/>
          <w:highlight w:val="none"/>
          <w:lang w:val="zh-CN"/>
        </w:rPr>
      </w:pPr>
      <w:r>
        <w:rPr>
          <w:rFonts w:hint="eastAsia" w:ascii="Times New Roman" w:hAnsi="Times New Roman" w:eastAsia="宋体" w:cs="宋体"/>
          <w:bCs/>
          <w:color w:val="auto"/>
          <w:szCs w:val="21"/>
          <w:highlight w:val="none"/>
          <w:lang w:val="zh-CN"/>
        </w:rPr>
        <w:t xml:space="preserve">13.3 培训计划；</w:t>
      </w:r>
      <w:r/>
    </w:p>
    <w:p>
      <w:pPr>
        <w:ind w:firstLine="420"/>
        <w:pageBreakBefore w:val="0"/>
        <w:spacing w:line="360" w:lineRule="auto"/>
        <w:tabs>
          <w:tab w:val="left" w:pos="1035" w:leader="none"/>
        </w:tabs>
        <w:rPr>
          <w:rFonts w:hint="eastAsia" w:ascii="Times New Roman" w:hAnsi="Times New Roman" w:eastAsia="宋体" w:cs="宋体"/>
          <w:bCs/>
          <w:color w:val="auto"/>
          <w:szCs w:val="21"/>
          <w:highlight w:val="none"/>
          <w:lang w:val="zh-CN"/>
        </w:rPr>
      </w:pPr>
      <w:r>
        <w:rPr>
          <w:rFonts w:hint="eastAsia" w:ascii="Times New Roman" w:hAnsi="Times New Roman" w:eastAsia="宋体" w:cs="宋体"/>
          <w:bCs/>
          <w:color w:val="auto"/>
          <w:szCs w:val="21"/>
          <w:highlight w:val="none"/>
          <w:lang w:val="zh-CN"/>
        </w:rPr>
        <w:t xml:space="preserve">13.4 详细阐述所投货物或服务的主要组成部分、功能设计、实现思路及关键技术；</w:t>
      </w:r>
      <w:r/>
    </w:p>
    <w:p>
      <w:pPr>
        <w:ind w:firstLine="420"/>
        <w:pageBreakBefore w:val="0"/>
        <w:spacing w:line="360" w:lineRule="auto"/>
        <w:tabs>
          <w:tab w:val="left" w:pos="1035" w:leader="none"/>
        </w:tabs>
        <w:rPr>
          <w:rFonts w:ascii="Times New Roman" w:hAnsi="Times New Roman" w:eastAsia="宋体" w:cs="宋体"/>
          <w:color w:val="auto"/>
          <w:szCs w:val="21"/>
          <w:highlight w:val="none"/>
          <w:lang w:val="zh-CN"/>
        </w:rPr>
      </w:pPr>
      <w:r>
        <w:rPr>
          <w:rFonts w:hint="eastAsia" w:ascii="Times New Roman" w:hAnsi="Times New Roman" w:eastAsia="宋体" w:cs="宋体"/>
          <w:bCs/>
          <w:color w:val="auto"/>
          <w:szCs w:val="21"/>
          <w:highlight w:val="none"/>
          <w:lang w:val="zh-CN"/>
        </w:rPr>
        <w:t xml:space="preserve">13.5 投标人认为需要的其他技术文件或说明。</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14、服务承诺及售后服务机构、人员的情况介绍</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w:t>
      </w:r>
      <w:r>
        <w:rPr>
          <w:rFonts w:hint="eastAsia" w:ascii="Times New Roman" w:hAnsi="Times New Roman" w:eastAsia="宋体" w:cs="宋体"/>
          <w:bCs/>
          <w:color w:val="auto"/>
          <w:szCs w:val="21"/>
          <w:highlight w:val="none"/>
        </w:rPr>
        <w:t xml:space="preserve">14.1</w:t>
      </w:r>
      <w:r>
        <w:rPr>
          <w:rFonts w:hint="eastAsia" w:ascii="Times New Roman" w:hAnsi="Times New Roman" w:eastAsia="宋体" w:cs="宋体"/>
          <w:color w:val="auto"/>
          <w:szCs w:val="21"/>
          <w:highlight w:val="none"/>
        </w:rPr>
        <w:t xml:space="preserve">投标人的服务承诺应按不低于招标文件中商务要求的标准。</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Cs/>
          <w:color w:val="auto"/>
          <w:szCs w:val="21"/>
          <w:highlight w:val="none"/>
        </w:rPr>
        <w:t xml:space="preserve">14.2</w:t>
      </w:r>
      <w:r>
        <w:rPr>
          <w:rFonts w:hint="eastAsia" w:ascii="Times New Roman" w:hAnsi="Times New Roman" w:eastAsia="宋体" w:cs="宋体"/>
          <w:color w:val="auto"/>
          <w:szCs w:val="21"/>
          <w:highlight w:val="none"/>
        </w:rPr>
        <w:t xml:space="preserve">提供投标人有关售后服务的管理制度、售后服务机构的分布情况、售后服务人员的数量、素质、技术水平及售后服务的反应能力。</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bookmarkStart w:id="79" w:name="_Toc14577359"/>
      <w:r/>
      <w:bookmarkStart w:id="80" w:name="_Toc49090510"/>
      <w:r>
        <w:rPr>
          <w:rFonts w:hint="eastAsia" w:ascii="Times New Roman" w:hAnsi="Times New Roman" w:eastAsia="宋体" w:cs="宋体"/>
          <w:bCs w:val="0"/>
          <w:color w:val="auto"/>
          <w:sz w:val="21"/>
          <w:szCs w:val="21"/>
          <w:highlight w:val="none"/>
        </w:rPr>
        <w:t xml:space="preserve">15、投标函和开标一览表</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Cs/>
          <w:color w:val="auto"/>
          <w:szCs w:val="21"/>
          <w:highlight w:val="none"/>
        </w:rPr>
        <w:t xml:space="preserve">15.1</w:t>
      </w:r>
      <w:r>
        <w:rPr>
          <w:rFonts w:hint="eastAsia" w:ascii="Times New Roman" w:hAnsi="Times New Roman" w:eastAsia="宋体" w:cs="宋体"/>
          <w:color w:val="auto"/>
          <w:szCs w:val="21"/>
          <w:highlight w:val="none"/>
        </w:rPr>
        <w:t xml:space="preserve"> 投标人应按照招标文件中提供的格式完整、正确填写投标函、开标一览表。</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Cs/>
          <w:color w:val="auto"/>
          <w:szCs w:val="21"/>
          <w:highlight w:val="none"/>
        </w:rPr>
        <w:t xml:space="preserve">15.2</w:t>
      </w:r>
      <w:r>
        <w:rPr>
          <w:rFonts w:hint="eastAsia" w:ascii="Times New Roman" w:hAnsi="Times New Roman" w:eastAsia="宋体" w:cs="宋体"/>
          <w:color w:val="auto"/>
          <w:szCs w:val="21"/>
          <w:highlight w:val="none"/>
        </w:rPr>
        <w:t xml:space="preserve"> </w:t>
      </w:r>
      <w:r>
        <w:rPr>
          <w:rFonts w:hint="eastAsia" w:ascii="Times New Roman" w:hAnsi="Times New Roman" w:eastAsia="宋体" w:cs="宋体"/>
          <w:bCs/>
          <w:i/>
          <w:color w:val="auto"/>
          <w:szCs w:val="21"/>
          <w:highlight w:val="none"/>
          <w:u w:val="single"/>
        </w:rPr>
        <w:t xml:space="preserve">开标一览表中的价格应与投标文件中分项报价表中的价格一致，如不一致，</w:t>
      </w:r>
      <w:r>
        <w:rPr>
          <w:rFonts w:hint="eastAsia" w:ascii="Times New Roman" w:hAnsi="Times New Roman" w:eastAsia="宋体" w:cs="宋体"/>
          <w:i/>
          <w:color w:val="auto"/>
          <w:szCs w:val="21"/>
          <w:highlight w:val="none"/>
          <w:u w:val="single"/>
        </w:rPr>
        <w:t xml:space="preserve">不作为无效投标处理</w:t>
      </w:r>
      <w:r>
        <w:rPr>
          <w:rFonts w:hint="eastAsia" w:ascii="Times New Roman" w:hAnsi="Times New Roman" w:eastAsia="宋体" w:cs="宋体"/>
          <w:bCs/>
          <w:i/>
          <w:color w:val="auto"/>
          <w:szCs w:val="21"/>
          <w:highlight w:val="none"/>
          <w:u w:val="single"/>
        </w:rPr>
        <w:t xml:space="preserve">，但评标时按开标一览表中价格为准</w:t>
      </w:r>
      <w:r>
        <w:rPr>
          <w:rFonts w:hint="eastAsia" w:ascii="Times New Roman" w:hAnsi="Times New Roman" w:eastAsia="宋体" w:cs="宋体"/>
          <w:b/>
          <w:bCs/>
          <w:i/>
          <w:color w:val="auto"/>
          <w:szCs w:val="21"/>
          <w:highlight w:val="none"/>
          <w:u w:val="single"/>
        </w:rPr>
        <w:t xml:space="preserve">。</w:t>
      </w:r>
      <w:r>
        <w:rPr>
          <w:rFonts w:hint="eastAsia" w:ascii="Times New Roman" w:hAnsi="Times New Roman" w:eastAsia="宋体" w:cs="宋体"/>
          <w:i/>
          <w:color w:val="auto"/>
          <w:szCs w:val="21"/>
          <w:highlight w:val="none"/>
          <w:u w:val="single"/>
        </w:rPr>
        <w:t xml:space="preserve">分项报价表中的规格应与样品以及投标文件中的图片保持一致，如不一致，以样品规格为准。</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rPr>
          <w:rFonts w:hint="eastAsia" w:ascii="Times New Roman" w:hAnsi="Times New Roman" w:eastAsia="宋体" w:cs="宋体"/>
          <w:bCs w:val="0"/>
          <w:color w:val="auto"/>
          <w:sz w:val="21"/>
          <w:szCs w:val="21"/>
          <w:highlight w:val="none"/>
        </w:rPr>
        <w:t xml:space="preserve">16、投标保证金</w:t>
      </w:r>
      <w:bookmarkEnd w:id="79"/>
      <w:r/>
      <w:bookmarkEnd w:id="80"/>
      <w:r/>
      <w:r/>
    </w:p>
    <w:p>
      <w:pPr>
        <w:pStyle w:val="949"/>
        <w:ind w:firstLine="420"/>
        <w:pageBreakBefore w:val="0"/>
        <w:spacing w:before="0" w:after="0" w:line="360" w:lineRule="auto"/>
        <w:rPr>
          <w:rFonts w:ascii="Times New Roman" w:hAnsi="Times New Roman" w:eastAsia="宋体" w:cs="宋体"/>
          <w:b w:val="0"/>
          <w:color w:val="auto"/>
          <w:sz w:val="21"/>
          <w:szCs w:val="21"/>
          <w:highlight w:val="none"/>
        </w:rPr>
      </w:pPr>
      <w:r/>
      <w:bookmarkStart w:id="81" w:name="_Toc14577360"/>
      <w:r/>
      <w:bookmarkStart w:id="82" w:name="_Toc49090511"/>
      <w:r>
        <w:rPr>
          <w:rFonts w:hint="eastAsia" w:ascii="Times New Roman" w:hAnsi="Times New Roman" w:eastAsia="宋体" w:cs="宋体"/>
          <w:b w:val="0"/>
          <w:color w:val="auto"/>
          <w:sz w:val="21"/>
          <w:szCs w:val="21"/>
          <w:highlight w:val="none"/>
        </w:rPr>
        <w:t xml:space="preserve">无</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rPr>
          <w:rFonts w:hint="eastAsia" w:ascii="Times New Roman" w:hAnsi="Times New Roman" w:eastAsia="宋体" w:cs="宋体"/>
          <w:bCs w:val="0"/>
          <w:color w:val="auto"/>
          <w:sz w:val="21"/>
          <w:szCs w:val="21"/>
          <w:highlight w:val="none"/>
        </w:rPr>
        <w:t xml:space="preserve">17、投标有效期</w:t>
      </w:r>
      <w:bookmarkEnd w:id="81"/>
      <w:r/>
      <w:bookmarkEnd w:id="82"/>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17.1</w:t>
      </w:r>
      <w:r>
        <w:rPr>
          <w:rFonts w:hint="eastAsia" w:ascii="Times New Roman" w:hAnsi="Times New Roman" w:eastAsia="宋体" w:cs="宋体"/>
          <w:bCs/>
          <w:color w:val="auto"/>
          <w:szCs w:val="21"/>
          <w:highlight w:val="none"/>
        </w:rPr>
        <w:t xml:space="preserve"> 投标有效期为代理机构规定的开标之日起</w:t>
      </w:r>
      <w:r>
        <w:rPr>
          <w:rFonts w:hint="eastAsia" w:ascii="Times New Roman" w:hAnsi="Times New Roman" w:eastAsia="宋体" w:cs="宋体"/>
          <w:b/>
          <w:color w:val="auto"/>
          <w:szCs w:val="21"/>
          <w:highlight w:val="none"/>
          <w:u w:val="single"/>
        </w:rPr>
        <w:t xml:space="preserve">六十（60）天</w:t>
      </w:r>
      <w:r>
        <w:rPr>
          <w:rFonts w:hint="eastAsia" w:ascii="Times New Roman" w:hAnsi="Times New Roman" w:eastAsia="宋体" w:cs="宋体"/>
          <w:bCs/>
          <w:color w:val="auto"/>
          <w:szCs w:val="21"/>
          <w:highlight w:val="none"/>
        </w:rPr>
        <w:t xml:space="preserve">。投标有效期比规定短的将被视为非响应性投标而予以拒绝。</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17.2</w:t>
      </w:r>
      <w:r>
        <w:rPr>
          <w:rFonts w:hint="eastAsia" w:ascii="Times New Roman" w:hAnsi="Times New Roman" w:eastAsia="宋体" w:cs="宋体"/>
          <w:bCs/>
          <w:color w:val="auto"/>
          <w:szCs w:val="21"/>
          <w:highlight w:val="none"/>
        </w:rPr>
        <w:t xml:space="preserve"> 在特殊情况下，代理机构于原投标有效期满之前，可向投标人提出延长投标有效期的要求。这种要求与答复均应采用书面形式。投标人可以拒绝代理机构的这一要求而放弃投标</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bCs/>
          <w:color w:val="auto"/>
          <w:szCs w:val="21"/>
          <w:highlight w:val="none"/>
        </w:rPr>
        <w:t xml:space="preserve">同意延长投标有效期的投标人既不能要求也不允许修改其投标文件</w:t>
      </w:r>
      <w:r>
        <w:rPr>
          <w:rFonts w:hint="eastAsia" w:ascii="Times New Roman" w:hAnsi="Times New Roman" w:eastAsia="宋体" w:cs="宋体"/>
          <w:color w:val="auto"/>
          <w:szCs w:val="21"/>
          <w:highlight w:val="none"/>
        </w:rPr>
        <w:t xml:space="preserve">，同时受投标有效期约束的所有权利与义务均延长至新的有效期</w:t>
      </w:r>
      <w:r>
        <w:rPr>
          <w:rFonts w:hint="eastAsia" w:ascii="Times New Roman" w:hAnsi="Times New Roman" w:eastAsia="宋体" w:cs="宋体"/>
          <w:bCs/>
          <w:color w:val="auto"/>
          <w:szCs w:val="21"/>
          <w:highlight w:val="none"/>
        </w:rPr>
        <w:t xml:space="preserve">。</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bookmarkStart w:id="83" w:name="_Toc14577361"/>
      <w:r/>
      <w:bookmarkStart w:id="84" w:name="_Toc49090512"/>
      <w:r>
        <w:rPr>
          <w:rFonts w:hint="eastAsia" w:ascii="Times New Roman" w:hAnsi="Times New Roman" w:eastAsia="宋体" w:cs="宋体"/>
          <w:bCs w:val="0"/>
          <w:color w:val="auto"/>
          <w:sz w:val="21"/>
          <w:szCs w:val="21"/>
          <w:highlight w:val="none"/>
        </w:rPr>
        <w:t xml:space="preserve">18、投标文件份数和签署</w:t>
      </w:r>
      <w:bookmarkEnd w:id="83"/>
      <w:r/>
      <w:bookmarkEnd w:id="84"/>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18.1</w:t>
      </w:r>
      <w:r>
        <w:rPr>
          <w:rFonts w:hint="eastAsia" w:ascii="Times New Roman" w:hAnsi="Times New Roman" w:eastAsia="宋体" w:cs="宋体"/>
          <w:b/>
          <w:color w:val="auto"/>
          <w:szCs w:val="21"/>
          <w:highlight w:val="none"/>
        </w:rPr>
        <w:t xml:space="preserve"> </w:t>
      </w:r>
      <w:r>
        <w:rPr>
          <w:rFonts w:hint="eastAsia" w:ascii="Times New Roman" w:hAnsi="Times New Roman" w:eastAsia="宋体" w:cs="宋体"/>
          <w:bCs/>
          <w:color w:val="auto"/>
          <w:szCs w:val="21"/>
          <w:highlight w:val="none"/>
        </w:rPr>
        <w:t xml:space="preserve">投标人应严格按照招标公告和招标文件要求的份数准备投标文件，每份投标文件须清楚地标明“正本”或“副本”字样。一旦正本和副本不符，以正本为准。</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18.2</w:t>
      </w:r>
      <w:r>
        <w:rPr>
          <w:rFonts w:hint="eastAsia" w:ascii="Times New Roman" w:hAnsi="Times New Roman" w:eastAsia="宋体" w:cs="宋体"/>
          <w:b/>
          <w:color w:val="auto"/>
          <w:szCs w:val="21"/>
          <w:highlight w:val="none"/>
        </w:rPr>
        <w:t xml:space="preserve"> </w:t>
      </w:r>
      <w:r>
        <w:rPr>
          <w:rFonts w:hint="eastAsia" w:ascii="Times New Roman" w:hAnsi="Times New Roman" w:eastAsia="宋体" w:cs="宋体"/>
          <w:color w:val="auto"/>
          <w:szCs w:val="21"/>
          <w:highlight w:val="none"/>
        </w:rPr>
        <w:t xml:space="preserve">投标文件正本中，除招标文件规定的可提交复印件外，其他文件均须提交原件。文字材料需打印或用不褪色墨水书写。投标文件的正本须经法定代表人或授权代表签署和加盖投标人公章。 本采购文件所表述（指定）的公章是指法定名称章，不包括合同专用章、业务专用章等印章。本采购文件所表述（指定）的“签字”是指当事人用不褪色墨水书写签名，非签字章。</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18.3</w:t>
      </w:r>
      <w:r>
        <w:rPr>
          <w:rFonts w:hint="eastAsia" w:ascii="Times New Roman" w:hAnsi="Times New Roman" w:eastAsia="宋体" w:cs="宋体"/>
          <w:bCs/>
          <w:color w:val="auto"/>
          <w:szCs w:val="21"/>
          <w:highlight w:val="none"/>
        </w:rPr>
        <w:t xml:space="preserve"> 除投标人对错处做必要修改外，投标文件不得行间插字、涂改或增删。如有修改错漏处，必须由法定代表人或授权代表签字或盖章。</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bookmarkStart w:id="85" w:name="_Toc20823297"/>
      <w:r/>
      <w:bookmarkStart w:id="86" w:name="_Toc16938541"/>
      <w:r/>
      <w:bookmarkStart w:id="87" w:name="_Toc513029225"/>
      <w:r/>
      <w:bookmarkStart w:id="88" w:name="_Toc462564084"/>
      <w:r>
        <w:rPr>
          <w:rFonts w:hint="eastAsia" w:ascii="Times New Roman" w:hAnsi="Times New Roman" w:eastAsia="宋体" w:cs="宋体"/>
          <w:bCs w:val="0"/>
          <w:color w:val="auto"/>
          <w:sz w:val="21"/>
          <w:szCs w:val="21"/>
          <w:highlight w:val="none"/>
        </w:rPr>
        <w:t xml:space="preserve">19、投标文件的密封和标记</w:t>
      </w:r>
      <w:bookmarkEnd w:id="85"/>
      <w:r/>
      <w:bookmarkEnd w:id="86"/>
      <w:r/>
      <w:bookmarkEnd w:id="87"/>
      <w:r/>
      <w:bookmarkEnd w:id="88"/>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19.1</w:t>
      </w:r>
      <w:r>
        <w:rPr>
          <w:rFonts w:hint="eastAsia" w:ascii="Times New Roman" w:hAnsi="Times New Roman" w:eastAsia="宋体" w:cs="宋体"/>
          <w:bCs/>
          <w:color w:val="auto"/>
          <w:szCs w:val="21"/>
          <w:highlight w:val="none"/>
        </w:rPr>
        <w:t xml:space="preserve">投标人应将投标文件正本和所有副本密封，不论投标人中标与否，投标文件均不退回。</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19.2</w:t>
      </w:r>
      <w:r>
        <w:rPr>
          <w:rFonts w:hint="eastAsia" w:ascii="Times New Roman" w:hAnsi="Times New Roman" w:eastAsia="宋体" w:cs="宋体"/>
          <w:bCs/>
          <w:color w:val="auto"/>
          <w:szCs w:val="21"/>
          <w:highlight w:val="none"/>
        </w:rPr>
        <w:t xml:space="preserve"> 密封的投标文件应：</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19.2.1 注明投标人名称，如因标注不清而产生的后果由投标人自负。按招标公告中注明的地址送达；</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19.2.2注明投标项目名称、标书编号。</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19.2.3</w:t>
      </w:r>
      <w:r>
        <w:rPr>
          <w:rFonts w:hint="eastAsia" w:ascii="Times New Roman" w:hAnsi="Times New Roman" w:eastAsia="宋体" w:cs="宋体"/>
          <w:bCs/>
          <w:color w:val="auto"/>
          <w:szCs w:val="21"/>
          <w:highlight w:val="none"/>
        </w:rPr>
        <w:t xml:space="preserve">未按要求密封和加写标记，代理机构对误投或过早启封概不负责。对由此造成提前开封的投标文件，代理机构将予以拒绝，作无效投标处理。</w:t>
      </w:r>
      <w:r/>
    </w:p>
    <w:p>
      <w:pPr>
        <w:pStyle w:val="949"/>
        <w:ind w:firstLine="422"/>
        <w:pageBreakBefore w:val="0"/>
        <w:spacing w:before="0" w:after="0" w:line="360" w:lineRule="auto"/>
        <w:rPr>
          <w:rFonts w:ascii="Times New Roman" w:hAnsi="Times New Roman" w:eastAsia="宋体" w:cs="宋体"/>
          <w:bCs w:val="0"/>
          <w:color w:val="auto"/>
          <w:sz w:val="21"/>
          <w:szCs w:val="21"/>
          <w:highlight w:val="none"/>
        </w:rPr>
      </w:pPr>
      <w:r/>
      <w:bookmarkStart w:id="89" w:name="_Toc513029226"/>
      <w:r/>
      <w:bookmarkStart w:id="90" w:name="_Toc20823298"/>
      <w:r/>
      <w:bookmarkStart w:id="91" w:name="_Toc16938542"/>
      <w:r>
        <w:rPr>
          <w:rFonts w:hint="eastAsia" w:ascii="Times New Roman" w:hAnsi="Times New Roman" w:eastAsia="宋体" w:cs="宋体"/>
          <w:bCs w:val="0"/>
          <w:color w:val="auto"/>
          <w:sz w:val="21"/>
          <w:szCs w:val="21"/>
          <w:highlight w:val="none"/>
        </w:rPr>
        <w:t xml:space="preserve">20、投标截止日期</w:t>
      </w:r>
      <w:bookmarkEnd w:id="89"/>
      <w:r/>
      <w:bookmarkEnd w:id="90"/>
      <w:r/>
      <w:bookmarkEnd w:id="91"/>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20.1</w:t>
      </w:r>
      <w:r>
        <w:rPr>
          <w:rFonts w:hint="eastAsia" w:ascii="Times New Roman" w:hAnsi="Times New Roman" w:eastAsia="宋体" w:cs="宋体"/>
          <w:bCs/>
          <w:color w:val="auto"/>
          <w:szCs w:val="21"/>
          <w:highlight w:val="none"/>
        </w:rPr>
        <w:t xml:space="preserve"> 代理机构收到投标文件的时间不得迟于招标公告中规定的截止时间。</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20.2</w:t>
      </w:r>
      <w:r>
        <w:rPr>
          <w:rFonts w:hint="eastAsia" w:ascii="Times New Roman" w:hAnsi="Times New Roman" w:eastAsia="宋体" w:cs="宋体"/>
          <w:bCs/>
          <w:color w:val="auto"/>
          <w:szCs w:val="21"/>
          <w:highlight w:val="none"/>
        </w:rPr>
        <w:t xml:space="preserve"> 代理机构可以通过修改招标文件酌情延长投标截止日期，在此情况下，投标人的所有权利和义务以及投标人受制的截止日期均应以延长后新的截止日期为准。</w:t>
      </w:r>
      <w:r/>
    </w:p>
    <w:p>
      <w:pPr>
        <w:pStyle w:val="949"/>
        <w:ind w:firstLine="422"/>
        <w:pageBreakBefore w:val="0"/>
        <w:spacing w:before="0" w:after="0" w:line="360" w:lineRule="auto"/>
        <w:rPr>
          <w:rFonts w:ascii="Times New Roman" w:hAnsi="Times New Roman" w:eastAsia="宋体" w:cs="宋体"/>
          <w:bCs w:val="0"/>
          <w:color w:val="auto"/>
          <w:sz w:val="21"/>
          <w:szCs w:val="21"/>
          <w:highlight w:val="none"/>
        </w:rPr>
      </w:pPr>
      <w:r/>
      <w:bookmarkStart w:id="92" w:name="_Toc20823299"/>
      <w:r/>
      <w:bookmarkStart w:id="93" w:name="_Toc16938543"/>
      <w:r/>
      <w:bookmarkStart w:id="94" w:name="_Toc513029227"/>
      <w:r>
        <w:rPr>
          <w:rFonts w:hint="eastAsia" w:ascii="Times New Roman" w:hAnsi="Times New Roman" w:eastAsia="宋体" w:cs="宋体"/>
          <w:bCs w:val="0"/>
          <w:color w:val="auto"/>
          <w:sz w:val="21"/>
          <w:szCs w:val="21"/>
          <w:highlight w:val="none"/>
        </w:rPr>
        <w:t xml:space="preserve">21、迟交的投标文件</w:t>
      </w:r>
      <w:bookmarkEnd w:id="92"/>
      <w:r/>
      <w:bookmarkEnd w:id="93"/>
      <w:r/>
      <w:bookmarkEnd w:id="94"/>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21.1</w:t>
      </w:r>
      <w:r>
        <w:rPr>
          <w:rFonts w:hint="eastAsia" w:ascii="Times New Roman" w:hAnsi="Times New Roman" w:eastAsia="宋体" w:cs="宋体"/>
          <w:bCs/>
          <w:color w:val="auto"/>
          <w:szCs w:val="21"/>
          <w:highlight w:val="none"/>
        </w:rPr>
        <w:t xml:space="preserve"> 代理机构拒绝接收在其规定的投标截止时间后递交的任何投标文件。</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bookmarkStart w:id="95" w:name="_Toc20823300"/>
      <w:r/>
      <w:bookmarkStart w:id="96" w:name="_Toc16938544"/>
      <w:r/>
      <w:bookmarkStart w:id="97" w:name="_Toc513029228"/>
      <w:r>
        <w:rPr>
          <w:rFonts w:hint="eastAsia" w:ascii="Times New Roman" w:hAnsi="Times New Roman" w:eastAsia="宋体" w:cs="宋体"/>
          <w:bCs w:val="0"/>
          <w:color w:val="auto"/>
          <w:sz w:val="21"/>
          <w:szCs w:val="21"/>
          <w:highlight w:val="none"/>
        </w:rPr>
        <w:t xml:space="preserve">22、投标文件的修改和撤回</w:t>
      </w:r>
      <w:bookmarkEnd w:id="95"/>
      <w:r/>
      <w:bookmarkEnd w:id="96"/>
      <w:r/>
      <w:bookmarkEnd w:id="97"/>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22.1</w:t>
      </w:r>
      <w:r>
        <w:rPr>
          <w:rFonts w:hint="eastAsia" w:ascii="Times New Roman" w:hAnsi="Times New Roman" w:eastAsia="宋体" w:cs="宋体"/>
          <w:bCs/>
          <w:color w:val="auto"/>
          <w:szCs w:val="21"/>
          <w:highlight w:val="none"/>
        </w:rPr>
        <w:t xml:space="preserve"> 投标人在递交投标文件后，可以修改或撤回其投标文件，但这种修改和撤回，必须在规定的投标截止时间前，以书面形式</w:t>
      </w:r>
      <w:r>
        <w:rPr>
          <w:rFonts w:hint="eastAsia" w:ascii="Times New Roman" w:hAnsi="Times New Roman" w:eastAsia="宋体" w:cs="宋体"/>
          <w:color w:val="auto"/>
          <w:szCs w:val="21"/>
          <w:highlight w:val="none"/>
        </w:rPr>
        <w:t xml:space="preserve">通知代理机构，否则，代理机构将拒绝。</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22.2</w:t>
      </w:r>
      <w:r>
        <w:rPr>
          <w:rFonts w:hint="eastAsia" w:ascii="Times New Roman" w:hAnsi="Times New Roman" w:eastAsia="宋体" w:cs="宋体"/>
          <w:bCs/>
          <w:color w:val="auto"/>
          <w:szCs w:val="21"/>
          <w:highlight w:val="none"/>
        </w:rPr>
        <w:t xml:space="preserve"> 投标人的修改或撤回文件应按规定进行编制、密封、标记和发送，并应在封套上加注“修改”或“撤回”字样。</w:t>
      </w:r>
      <w:r>
        <w:rPr>
          <w:rFonts w:hint="eastAsia" w:ascii="Times New Roman" w:hAnsi="Times New Roman" w:eastAsia="宋体" w:cs="宋体"/>
          <w:color w:val="auto"/>
          <w:szCs w:val="21"/>
          <w:highlight w:val="none"/>
        </w:rPr>
        <w:t xml:space="preserve">上述补充或修改若涉及投标报价，必须注明“最后唯一报价”字样，否则将视为有选择的报价。修改文件必须在投标截止时间前送达代理机构。</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22.3</w:t>
      </w:r>
      <w:r>
        <w:rPr>
          <w:rFonts w:hint="eastAsia" w:ascii="Times New Roman" w:hAnsi="Times New Roman" w:eastAsia="宋体" w:cs="宋体"/>
          <w:bCs/>
          <w:color w:val="auto"/>
          <w:szCs w:val="21"/>
          <w:highlight w:val="none"/>
        </w:rPr>
        <w:t xml:space="preserve"> 在投标截止时间之后，投标人不得对其投标文件作任何修改。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22.4</w:t>
      </w:r>
      <w:r>
        <w:rPr>
          <w:rFonts w:hint="eastAsia" w:ascii="Times New Roman" w:hAnsi="Times New Roman" w:eastAsia="宋体" w:cs="宋体"/>
          <w:bCs/>
          <w:color w:val="auto"/>
          <w:szCs w:val="21"/>
          <w:highlight w:val="none"/>
        </w:rPr>
        <w:t xml:space="preserve"> 在投标截止时间至招标文件中规定的投标有效期满之间的这段时间内，投标人不得撤回其投标。</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bookmarkStart w:id="98" w:name="_Toc20823302"/>
      <w:r/>
      <w:bookmarkStart w:id="99" w:name="_Toc513029230"/>
      <w:r/>
      <w:bookmarkStart w:id="100" w:name="_Toc16938546"/>
      <w:r>
        <w:rPr>
          <w:rFonts w:hint="eastAsia" w:ascii="Times New Roman" w:hAnsi="Times New Roman" w:eastAsia="宋体" w:cs="宋体"/>
          <w:bCs w:val="0"/>
          <w:color w:val="auto"/>
          <w:sz w:val="21"/>
          <w:szCs w:val="21"/>
          <w:highlight w:val="none"/>
        </w:rPr>
        <w:t xml:space="preserve">23、开标</w:t>
      </w:r>
      <w:bookmarkEnd w:id="98"/>
      <w:r/>
      <w:bookmarkEnd w:id="99"/>
      <w:r/>
      <w:bookmarkEnd w:id="100"/>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23.1</w:t>
      </w:r>
      <w:r>
        <w:rPr>
          <w:rFonts w:hint="eastAsia" w:ascii="Times New Roman" w:hAnsi="Times New Roman" w:eastAsia="宋体" w:cs="宋体"/>
          <w:bCs/>
          <w:color w:val="auto"/>
          <w:szCs w:val="21"/>
          <w:highlight w:val="none"/>
        </w:rPr>
        <w:t xml:space="preserve"> 代理机构将在招标公告中规定的时间和地点组织公开开标</w:t>
      </w:r>
      <w:r>
        <w:rPr>
          <w:rFonts w:hint="eastAsia" w:ascii="Times New Roman" w:hAnsi="Times New Roman" w:eastAsia="宋体" w:cs="宋体"/>
          <w:color w:val="auto"/>
          <w:szCs w:val="21"/>
          <w:highlight w:val="none"/>
        </w:rPr>
        <w:t xml:space="preserve">。投标人应委派携带有效证件的代表准时参加，参加开标的代表需签名以证明其出席。投标人未参加开标的，视同认可开标结果。</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w:t>
      </w:r>
      <w:r>
        <w:rPr>
          <w:rFonts w:hint="eastAsia" w:ascii="Times New Roman" w:hAnsi="Times New Roman" w:eastAsia="宋体" w:cs="宋体"/>
          <w:bCs/>
          <w:color w:val="auto"/>
          <w:szCs w:val="21"/>
          <w:highlight w:val="none"/>
        </w:rPr>
        <w:t xml:space="preserve">23.2</w:t>
      </w:r>
      <w:r>
        <w:rPr>
          <w:rFonts w:hint="eastAsia" w:ascii="Times New Roman" w:hAnsi="Times New Roman" w:eastAsia="宋体" w:cs="宋体"/>
          <w:color w:val="auto"/>
          <w:szCs w:val="21"/>
          <w:highlight w:val="none"/>
        </w:rPr>
        <w:t xml:space="preserve">开标仪式由代理机构组织，采购人代表、监委、投标人代表等参加。</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23.3</w:t>
      </w:r>
      <w:r>
        <w:rPr>
          <w:rFonts w:hint="eastAsia" w:ascii="Times New Roman" w:hAnsi="Times New Roman" w:eastAsia="宋体" w:cs="宋体"/>
          <w:b/>
          <w:color w:val="auto"/>
          <w:szCs w:val="21"/>
          <w:highlight w:val="none"/>
        </w:rPr>
        <w:t xml:space="preserve"> </w:t>
      </w:r>
      <w:r>
        <w:rPr>
          <w:rFonts w:hint="eastAsia" w:ascii="Times New Roman" w:hAnsi="Times New Roman" w:eastAsia="宋体" w:cs="宋体"/>
          <w:bCs/>
          <w:color w:val="auto"/>
          <w:szCs w:val="21"/>
          <w:highlight w:val="none"/>
        </w:rPr>
        <w:t xml:space="preserve">按照规定同意撤回的投标文件将不予开封。</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23.4 开标时请投标人推选的代表查验投标文件密封情况，投标登记薄上作纪录无误后，代理机构当众拆封宣读每份投标文件中“开标一览表”的内容，未列入开标一览表的内容一律不在开标时宣读。开标时未宣读的投标报价信息，不得在评标时采用。</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23.5 代理机构将指定专人负责开标记录并存档备查，各投标人需仔细核对开标纪录相关内容并签字确认。</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23.6 投标人在报价时不允许采用选择性报价，否则将被视为无效投标。</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bookmarkStart w:id="101" w:name="_Toc20823303"/>
      <w:r/>
      <w:bookmarkStart w:id="102" w:name="_Toc16938547"/>
      <w:r/>
      <w:bookmarkStart w:id="103" w:name="_Toc513029231"/>
      <w:r>
        <w:rPr>
          <w:rFonts w:hint="eastAsia" w:ascii="Times New Roman" w:hAnsi="Times New Roman" w:eastAsia="宋体" w:cs="宋体"/>
          <w:bCs w:val="0"/>
          <w:color w:val="auto"/>
          <w:sz w:val="21"/>
          <w:szCs w:val="21"/>
          <w:highlight w:val="none"/>
        </w:rPr>
        <w:t xml:space="preserve">24、评标委员会</w:t>
      </w:r>
      <w:r/>
    </w:p>
    <w:p>
      <w:pP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  </w:t>
      </w:r>
      <w:r>
        <w:rPr>
          <w:rFonts w:hint="eastAsia" w:ascii="Times New Roman" w:hAnsi="Times New Roman" w:eastAsia="宋体" w:cs="宋体"/>
          <w:color w:val="auto"/>
          <w:szCs w:val="21"/>
          <w:highlight w:val="none"/>
        </w:rPr>
        <w:t xml:space="preserve">  24.1</w:t>
      </w:r>
      <w:r>
        <w:rPr>
          <w:rFonts w:hint="eastAsia" w:ascii="Times New Roman" w:hAnsi="Times New Roman" w:eastAsia="宋体" w:cs="宋体"/>
          <w:b/>
          <w:color w:val="auto"/>
          <w:szCs w:val="21"/>
          <w:highlight w:val="none"/>
        </w:rPr>
        <w:t xml:space="preserve"> </w:t>
      </w:r>
      <w:r>
        <w:rPr>
          <w:rFonts w:hint="eastAsia" w:ascii="Times New Roman" w:hAnsi="Times New Roman" w:eastAsia="宋体" w:cs="宋体"/>
          <w:color w:val="auto"/>
          <w:szCs w:val="21"/>
          <w:highlight w:val="none"/>
        </w:rPr>
        <w:t xml:space="preserve">开标后，代理机构将立即组织评标委员会（以下简称评委会）进行评标。</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t xml:space="preserve">   </w:t>
      </w:r>
      <w:r>
        <w:rPr>
          <w:rFonts w:hint="eastAsia" w:ascii="Times New Roman" w:hAnsi="Times New Roman" w:eastAsia="宋体" w:cs="宋体"/>
          <w:color w:val="auto"/>
          <w:szCs w:val="21"/>
          <w:highlight w:val="none"/>
        </w:rPr>
        <w:t xml:space="preserve"> 24.2 评委会由采购人代表和有关技术、经济等方面的专家组成，且人员构成符合政府采购有关规定。</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t xml:space="preserve">  </w:t>
      </w:r>
      <w:r>
        <w:rPr>
          <w:rFonts w:hint="eastAsia" w:ascii="Times New Roman" w:hAnsi="Times New Roman" w:eastAsia="宋体" w:cs="宋体"/>
          <w:color w:val="auto"/>
          <w:szCs w:val="21"/>
          <w:highlight w:val="none"/>
        </w:rPr>
        <w:t xml:space="preserve">  24.3评委会独立工作，负责评审所有投标文件并确定中标候选人。</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rPr>
          <w:rFonts w:hint="eastAsia" w:ascii="Times New Roman" w:hAnsi="Times New Roman" w:eastAsia="宋体" w:cs="宋体"/>
          <w:bCs w:val="0"/>
          <w:color w:val="auto"/>
          <w:sz w:val="21"/>
          <w:szCs w:val="21"/>
          <w:highlight w:val="none"/>
        </w:rPr>
        <w:t xml:space="preserve">25、评标过程的保密与公正</w:t>
      </w:r>
      <w:bookmarkEnd w:id="101"/>
      <w:r/>
      <w:bookmarkEnd w:id="102"/>
      <w:r/>
      <w:bookmarkEnd w:id="103"/>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25.1</w:t>
      </w:r>
      <w:r>
        <w:rPr>
          <w:rFonts w:hint="eastAsia" w:ascii="Times New Roman" w:hAnsi="Times New Roman" w:eastAsia="宋体" w:cs="宋体"/>
          <w:bCs/>
          <w:color w:val="auto"/>
          <w:szCs w:val="21"/>
          <w:highlight w:val="none"/>
        </w:rPr>
        <w:t xml:space="preserve">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25.2在评标过程中，投标人不得以任何行为影响评标过程，否则其投标文件将被作为无效投标文件。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25.3 在评标期间，代理机构将设专门工作人员与投标人联系。</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25.4 代理机构和评委会不向落标的投标人解释未中标原因，也不公布评标过程中的相关细节。</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25.5 采用综合评分法的项目，未中标的投标人如需了解自己的评审得分及排序情况，可于中标结果公告期限届满之日起7个工作日内，由其法定代表人或授权代表携带本人有效身份证件到代理机构进行查询，逾期将不予受理。</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bookmarkStart w:id="104" w:name="_Toc513029232"/>
      <w:r/>
      <w:bookmarkStart w:id="105" w:name="_Toc16938548"/>
      <w:r/>
      <w:bookmarkStart w:id="106" w:name="_Toc20823304"/>
      <w:r>
        <w:rPr>
          <w:rFonts w:hint="eastAsia" w:ascii="Times New Roman" w:hAnsi="Times New Roman" w:eastAsia="宋体" w:cs="宋体"/>
          <w:bCs w:val="0"/>
          <w:color w:val="auto"/>
          <w:sz w:val="21"/>
          <w:szCs w:val="21"/>
          <w:highlight w:val="none"/>
        </w:rPr>
        <w:t xml:space="preserve">26、投标的澄清</w:t>
      </w:r>
      <w:bookmarkEnd w:id="104"/>
      <w:r/>
      <w:bookmarkEnd w:id="105"/>
      <w:r/>
      <w:bookmarkEnd w:id="106"/>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26.1评标期间，为有助于对投标文件的审查、评价和比较，评委会有权以书面形式要求投标人对其投标文件进行澄清，但并非对每个投标人都作澄清要求。</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26.2接到评委会澄清要求的投标人应派人按评委会通知的时间和地点做出书面澄清，书面澄清的内容须由投标人法定代表人或授权代表签署，并作为投标文件的补充部分，但投标的价格和实质性的内容不得做任何更改。</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26.3 接到评委会澄清要求的投标人如未按规定做出澄清，其风险由投标人自行承担。</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bookmarkStart w:id="107" w:name="_Toc513029233"/>
      <w:r/>
      <w:bookmarkStart w:id="108" w:name="_Toc16938549"/>
      <w:r/>
      <w:bookmarkStart w:id="109" w:name="_Toc20823305"/>
      <w:r>
        <w:rPr>
          <w:rFonts w:hint="eastAsia" w:ascii="Times New Roman" w:hAnsi="Times New Roman" w:eastAsia="宋体" w:cs="宋体"/>
          <w:bCs w:val="0"/>
          <w:color w:val="auto"/>
          <w:sz w:val="21"/>
          <w:szCs w:val="21"/>
          <w:highlight w:val="none"/>
        </w:rPr>
        <w:t xml:space="preserve">27、对投标文件的初审</w:t>
      </w:r>
      <w:bookmarkEnd w:id="107"/>
      <w:r/>
      <w:bookmarkEnd w:id="108"/>
      <w:r/>
      <w:bookmarkEnd w:id="109"/>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27.1</w:t>
      </w:r>
      <w:r>
        <w:rPr>
          <w:rFonts w:hint="eastAsia" w:ascii="Times New Roman" w:hAnsi="Times New Roman" w:eastAsia="宋体" w:cs="宋体"/>
          <w:bCs/>
          <w:color w:val="auto"/>
          <w:szCs w:val="21"/>
          <w:highlight w:val="none"/>
        </w:rPr>
        <w:t xml:space="preserve">投标文件初审分为资格检查和符合性检查。</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27.1.1</w:t>
      </w:r>
      <w:r>
        <w:rPr>
          <w:rFonts w:hint="eastAsia" w:ascii="Times New Roman" w:hAnsi="Times New Roman" w:eastAsia="宋体" w:cs="宋体"/>
          <w:bCs/>
          <w:color w:val="auto"/>
          <w:szCs w:val="21"/>
          <w:highlight w:val="none"/>
        </w:rPr>
        <w:t xml:space="preserve">资格审查：依据法律法规和招标文件的规定，由采购人对投标文件中的资格证明文件进行审查。并将审查结论以书面形式向评委会反馈。</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采购人在进行资格性审查的同时，应根据查询结果对供应商的不良信用记录逐项甄别确认。以确定供应商是否具备投标资格。查询结果将以网页打印的形式留存并归档。</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按照《中华人民共和国政府采购法》第二十二条规定，下列信用记录属于应依法拒绝供应商参加政府采购的失信信息：</w:t>
      </w:r>
      <w:r>
        <w:rPr>
          <w:rFonts w:hint="eastAsia" w:ascii="Times New Roman" w:hAnsi="Times New Roman" w:eastAsia="宋体" w:cs="宋体"/>
          <w:bCs/>
          <w:color w:val="auto"/>
          <w:szCs w:val="21"/>
          <w:highlight w:val="none"/>
        </w:rPr>
        <w:br/>
      </w:r>
      <w:r>
        <w:rPr>
          <w:rFonts w:hint="eastAsia" w:ascii="Times New Roman" w:hAnsi="Times New Roman" w:eastAsia="宋体" w:cs="宋体"/>
          <w:bCs/>
          <w:color w:val="auto"/>
          <w:szCs w:val="21"/>
          <w:highlight w:val="none"/>
        </w:rPr>
        <w:t xml:space="preserve">  （1）政府采购严重违法记录，即供应商被全国各级财政部门列入“政府采购严重违法失信行为记录名单”，且在处罚有效期内的。</w:t>
      </w:r>
      <w:r>
        <w:rPr>
          <w:rFonts w:hint="eastAsia" w:ascii="Times New Roman" w:hAnsi="Times New Roman" w:eastAsia="宋体" w:cs="宋体"/>
          <w:bCs/>
          <w:color w:val="auto"/>
          <w:szCs w:val="21"/>
          <w:highlight w:val="none"/>
        </w:rPr>
        <w:br/>
      </w:r>
      <w:r>
        <w:rPr>
          <w:rFonts w:hint="eastAsia" w:ascii="Times New Roman" w:hAnsi="Times New Roman" w:eastAsia="宋体" w:cs="宋体"/>
          <w:bCs/>
          <w:color w:val="auto"/>
          <w:szCs w:val="21"/>
          <w:highlight w:val="none"/>
        </w:rPr>
        <w:t xml:space="preserve">  （2）财政部门与法院、工商、税务等部门联合惩戒的失信信息，包括：</w:t>
      </w:r>
      <w:r>
        <w:rPr>
          <w:rFonts w:hint="eastAsia" w:ascii="Times New Roman" w:hAnsi="Times New Roman" w:eastAsia="宋体" w:cs="宋体"/>
          <w:bCs/>
          <w:color w:val="auto"/>
          <w:szCs w:val="21"/>
          <w:highlight w:val="none"/>
        </w:rPr>
        <w:br/>
      </w:r>
      <w:r>
        <w:rPr>
          <w:rFonts w:hint="eastAsia" w:ascii="Times New Roman" w:hAnsi="Times New Roman" w:eastAsia="宋体" w:cs="宋体"/>
          <w:bCs/>
          <w:color w:val="auto"/>
          <w:szCs w:val="21"/>
          <w:highlight w:val="none"/>
        </w:rPr>
        <w:t xml:space="preserve">  1）被列入失信被执行人名单；</w:t>
      </w:r>
      <w:r>
        <w:rPr>
          <w:rFonts w:hint="eastAsia" w:ascii="Times New Roman" w:hAnsi="Times New Roman" w:eastAsia="宋体" w:cs="宋体"/>
          <w:bCs/>
          <w:color w:val="auto"/>
          <w:szCs w:val="21"/>
          <w:highlight w:val="none"/>
        </w:rPr>
        <w:br/>
      </w:r>
      <w:r>
        <w:rPr>
          <w:rFonts w:hint="eastAsia" w:ascii="Times New Roman" w:hAnsi="Times New Roman" w:eastAsia="宋体" w:cs="宋体"/>
          <w:bCs/>
          <w:color w:val="auto"/>
          <w:szCs w:val="21"/>
          <w:highlight w:val="none"/>
        </w:rPr>
        <w:t xml:space="preserve">  2）被列入重大税收违法案件当事人名单；</w:t>
      </w:r>
      <w:r>
        <w:rPr>
          <w:rFonts w:hint="eastAsia" w:ascii="Times New Roman" w:hAnsi="Times New Roman" w:eastAsia="宋体" w:cs="宋体"/>
          <w:bCs/>
          <w:color w:val="auto"/>
          <w:szCs w:val="21"/>
          <w:highlight w:val="none"/>
        </w:rPr>
        <w:br/>
      </w:r>
      <w:r>
        <w:rPr>
          <w:rFonts w:hint="eastAsia" w:ascii="Times New Roman" w:hAnsi="Times New Roman" w:eastAsia="宋体" w:cs="宋体"/>
          <w:bCs/>
          <w:color w:val="auto"/>
          <w:szCs w:val="21"/>
          <w:highlight w:val="none"/>
        </w:rPr>
        <w:t xml:space="preserve">  3）企业经营异常名录中被责令停产停业、暂扣或者吊销许可证或者执照，或者对经营活动中的违法行为处以200万元以上数额罚款的信用记录。处罚生效日至递交投标文件日未满三年的。</w:t>
      </w:r>
      <w:r>
        <w:rPr>
          <w:rFonts w:hint="eastAsia" w:ascii="Times New Roman" w:hAnsi="Times New Roman" w:eastAsia="宋体" w:cs="宋体"/>
          <w:bCs/>
          <w:color w:val="auto"/>
          <w:szCs w:val="21"/>
          <w:highlight w:val="none"/>
        </w:rPr>
        <w:br/>
      </w:r>
      <w:r>
        <w:rPr>
          <w:rFonts w:hint="eastAsia" w:ascii="Times New Roman" w:hAnsi="Times New Roman" w:eastAsia="宋体" w:cs="宋体"/>
          <w:bCs/>
          <w:color w:val="auto"/>
          <w:szCs w:val="21"/>
          <w:highlight w:val="none"/>
        </w:rPr>
        <w:t xml:space="preserve">    对存在失信信息的供应商，工作人员应根据采购人确认的失信信息，登陆到相关来源网站页面进行复核并打印，作为证据留存。</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27.1.2</w:t>
      </w:r>
      <w:r>
        <w:rPr>
          <w:rFonts w:hint="eastAsia" w:ascii="Times New Roman" w:hAnsi="Times New Roman" w:eastAsia="宋体" w:cs="宋体"/>
          <w:bCs/>
          <w:color w:val="auto"/>
          <w:szCs w:val="21"/>
          <w:highlight w:val="none"/>
        </w:rPr>
        <w:t xml:space="preserve">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w:t>
      </w:r>
      <w:r>
        <w:rPr>
          <w:rFonts w:hint="eastAsia" w:ascii="Times New Roman" w:hAnsi="Times New Roman" w:eastAsia="宋体" w:cs="宋体"/>
          <w:bCs/>
          <w:color w:val="auto"/>
          <w:szCs w:val="21"/>
          <w:highlight w:val="none"/>
        </w:rPr>
        <w:t xml:space="preserve">评委决定投标文件的响应性只根据投标文件本身的内容，而不寻求外部的证据。</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27.3</w:t>
      </w:r>
      <w:r>
        <w:rPr>
          <w:rFonts w:hint="eastAsia" w:ascii="Times New Roman" w:hAnsi="Times New Roman" w:eastAsia="宋体" w:cs="宋体"/>
          <w:bCs/>
          <w:color w:val="auto"/>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27.4</w:t>
      </w:r>
      <w:r>
        <w:rPr>
          <w:rFonts w:hint="eastAsia" w:ascii="Times New Roman" w:hAnsi="Times New Roman" w:eastAsia="宋体" w:cs="宋体"/>
          <w:bCs/>
          <w:color w:val="auto"/>
          <w:szCs w:val="21"/>
          <w:highlight w:val="none"/>
        </w:rPr>
        <w:t xml:space="preserve">评委会将对确定为实质性响应的投标进行进一步审核，看其是否有计算上或累加上的算术错误，对开标一览表内容修正错误的原则如下：</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（1）投标文件中开标一览表内容与投标文件中相应内容不一致的，以开标一览表为准。</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（2）投标文件、“开标一览表”中报价的大写金额与小写金额不一致的，以大写金额为准。</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（3）单价金额小数点或者百分比有明显错位的，以开标一览表的总价为准，并修改单价。</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（4）总价金额与按单价汇总金额不一致的，以单价金额计算结果为准。</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同时出现两种以上错误的，按照前款规定的顺序修正。对不同文字文本投标文件的解释发生异议的，以中文文本为准。</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27.5</w:t>
      </w:r>
      <w:r>
        <w:rPr>
          <w:rFonts w:hint="eastAsia" w:ascii="Times New Roman" w:hAnsi="Times New Roman" w:eastAsia="宋体" w:cs="宋体"/>
          <w:bCs/>
          <w:color w:val="auto"/>
          <w:szCs w:val="21"/>
          <w:highlight w:val="none"/>
        </w:rPr>
        <w:t xml:space="preserve">评委会将按上述修正错误的方法调整投标文件中的投标报价，调整后的价格应对投标人具有约束力。如果投标人不接受修正后的价格，则其投标将被拒绝。</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27.6</w:t>
      </w:r>
      <w:r>
        <w:rPr>
          <w:rFonts w:hint="eastAsia" w:ascii="Times New Roman" w:hAnsi="Times New Roman" w:eastAsia="宋体" w:cs="宋体"/>
          <w:bCs/>
          <w:color w:val="auto"/>
          <w:szCs w:val="21"/>
          <w:highlight w:val="none"/>
        </w:rPr>
        <w:t xml:space="preserve">评委会将允许修正投标文件中不构成重大偏离的、微小的、非正规的、不一致的或不规则的地方，但这些修改不能影响任何投标人相应的名次排列，否则不允许修正。</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27.7采用最低评标价法的采购项目，提供相同品牌产品的不同投标人参加同一合同项下投标的，以其中通过资格审查、符合性审查且报价最低的参加评标；报价相同的，由评标委员会按照招标文件规定的方式确定招标文件未规定的通过随机抽取的方式确定一个参加评标的投标人，其他投标无效。</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非单一产品采购项目，招标文件中将载明其中的核心产品。多家投标人提供的核心产品品牌相同的，按前两款规定处理。</w:t>
      </w:r>
      <w:r/>
    </w:p>
    <w:p>
      <w:pPr>
        <w:ind w:firstLine="420"/>
        <w:jc w:val="left"/>
        <w:pageBreakBefore w:val="0"/>
        <w:spacing w:line="360" w:lineRule="auto"/>
        <w:rPr>
          <w:rFonts w:ascii="Times New Roman" w:hAnsi="Times New Roman" w:eastAsia="宋体" w:cs="宋体"/>
          <w:color w:val="auto"/>
          <w:szCs w:val="21"/>
          <w:highlight w:val="none"/>
        </w:rPr>
      </w:pPr>
      <w:r/>
      <w:bookmarkStart w:id="110" w:name="_Toc513029234"/>
      <w:r/>
      <w:bookmarkStart w:id="111" w:name="_Toc16938550"/>
      <w:r/>
      <w:bookmarkStart w:id="112" w:name="_Toc20823306"/>
      <w:r>
        <w:rPr>
          <w:rFonts w:hint="eastAsia" w:ascii="Times New Roman" w:hAnsi="Times New Roman" w:eastAsia="宋体" w:cs="宋体"/>
          <w:color w:val="auto"/>
          <w:szCs w:val="21"/>
          <w:highlight w:val="none"/>
        </w:rPr>
        <w:t xml:space="preserve">27.8</w:t>
      </w:r>
      <w:r>
        <w:rPr>
          <w:rFonts w:hint="eastAsia" w:ascii="Times New Roman" w:hAnsi="Times New Roman" w:eastAsia="宋体" w:cs="宋体"/>
          <w:bCs/>
          <w:color w:val="auto"/>
          <w:szCs w:val="21"/>
          <w:highlight w:val="none"/>
        </w:rPr>
        <w:t xml:space="preserve">本项目严格执行政府采购关于支持节能产品、环</w:t>
      </w:r>
      <w:r>
        <w:rPr>
          <w:rFonts w:hint="eastAsia" w:ascii="Times New Roman" w:hAnsi="Times New Roman" w:eastAsia="宋体" w:cs="宋体"/>
          <w:bCs/>
          <w:color w:val="auto"/>
          <w:szCs w:val="21"/>
          <w:highlight w:val="none"/>
        </w:rPr>
        <w:t xml:space="preserve">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27.9异常低价投标审查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27.9.1评标过程中出现下列情形之一的，评标委员会应当启动异常低价投标审查程序：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49"/>
        <w:ind w:firstLine="422"/>
        <w:pageBreakBefore w:val="0"/>
        <w:spacing w:before="0" w:after="0" w:line="360" w:lineRule="auto"/>
        <w:rPr>
          <w:rFonts w:ascii="Times New Roman" w:hAnsi="Times New Roman" w:eastAsia="宋体" w:cs="宋体"/>
          <w:b w:val="0"/>
          <w:bCs w:val="0"/>
          <w:color w:val="auto"/>
          <w:sz w:val="21"/>
          <w:szCs w:val="21"/>
          <w:highlight w:val="none"/>
        </w:rPr>
      </w:pPr>
      <w:r>
        <w:rPr>
          <w:rFonts w:hint="eastAsia" w:ascii="Times New Roman" w:hAnsi="Times New Roman" w:eastAsia="宋体" w:cs="宋体"/>
          <w:bCs w:val="0"/>
          <w:color w:val="auto"/>
          <w:sz w:val="21"/>
          <w:szCs w:val="21"/>
          <w:highlight w:val="none"/>
        </w:rPr>
        <w:t xml:space="preserve">28、</w:t>
      </w:r>
      <w:bookmarkEnd w:id="110"/>
      <w:r/>
      <w:bookmarkEnd w:id="111"/>
      <w:r/>
      <w:bookmarkEnd w:id="112"/>
      <w:r>
        <w:rPr>
          <w:rFonts w:hint="eastAsia" w:ascii="Times New Roman" w:hAnsi="Times New Roman" w:eastAsia="宋体" w:cs="宋体"/>
          <w:bCs w:val="0"/>
          <w:color w:val="auto"/>
          <w:sz w:val="21"/>
          <w:szCs w:val="21"/>
          <w:highlight w:val="none"/>
        </w:rPr>
        <w:t xml:space="preserve">无效投标、废标及投标人不足三家的处理</w:t>
      </w:r>
      <w:r/>
    </w:p>
    <w:p>
      <w:pPr>
        <w:ind w:firstLine="420"/>
        <w:jc w:val="left"/>
        <w:pageBreakBefore w:val="0"/>
        <w:spacing w:line="360" w:lineRule="auto"/>
        <w:rPr>
          <w:rFonts w:ascii="Times New Roman" w:hAnsi="Times New Roman" w:eastAsia="宋体" w:cs="宋体"/>
          <w:bCs/>
          <w:color w:val="auto"/>
          <w:szCs w:val="21"/>
          <w:highlight w:val="none"/>
        </w:rPr>
      </w:pPr>
      <w:r/>
      <w:bookmarkStart w:id="113" w:name="_Toc16938551"/>
      <w:r/>
      <w:bookmarkStart w:id="114" w:name="_Toc20823307"/>
      <w:r/>
      <w:bookmarkStart w:id="115" w:name="_Toc513029235"/>
      <w:r>
        <w:rPr>
          <w:rFonts w:hint="eastAsia" w:ascii="Times New Roman" w:hAnsi="Times New Roman" w:eastAsia="宋体" w:cs="宋体"/>
          <w:bCs/>
          <w:color w:val="auto"/>
          <w:szCs w:val="21"/>
          <w:highlight w:val="none"/>
        </w:rPr>
        <w:t xml:space="preserve">28.1无效投标条款</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28.1.1未按要求交纳保证金的；</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28.1.2未按照招标文件规定要求密封、签署、盖章的；</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28.1.3投标人在报价时采用选择性报价；</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28.1.4投标人不具备招标文件中规定资格要求的；</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28.1.5投标人的报价超过了采购预算或最高限价的；</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28.1.6未通过符合性检查的；</w:t>
      </w:r>
      <w:r/>
    </w:p>
    <w:p>
      <w:pPr>
        <w:ind w:firstLine="315"/>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 28.1.7不符合招标文件中规定的其他实质性要求和条件的（</w:t>
      </w:r>
      <w:r>
        <w:rPr>
          <w:rFonts w:hint="eastAsia" w:ascii="Times New Roman" w:hAnsi="Times New Roman" w:eastAsia="宋体" w:cs="宋体"/>
          <w:bCs/>
          <w:i/>
          <w:color w:val="auto"/>
          <w:szCs w:val="21"/>
          <w:highlight w:val="none"/>
          <w:u w:val="single"/>
        </w:rPr>
        <w:t xml:space="preserve">本招标文件中斜体且有下划线部分为实质性要求和条件，包括但不限于该范围）；</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28.1.9  投标文件含有采购人不能接受的附加条件的。</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28.1.10 评标委员会按照本招标文件规定对投标人进行异常低价投标审查后，认为投标人不能证明其报价合理性的。</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479"/>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28.1.12 投标文件未按照招标文件要求加盖公章的。</w:t>
      </w:r>
      <w:r/>
    </w:p>
    <w:p>
      <w:pPr>
        <w:ind w:left="479"/>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28.1.13 投标人所投标产品不符合招标文件中所列国家强制性标准的。</w:t>
      </w:r>
      <w:r/>
    </w:p>
    <w:p>
      <w:pPr>
        <w:ind w:left="479"/>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28.1.14其他法律、法规及本招标文件规定的属无效投标的情形。</w:t>
      </w:r>
      <w:r/>
    </w:p>
    <w:p>
      <w:pPr>
        <w:ind w:left="479"/>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28.2废标条款：                                                                                                                                         </w:t>
      </w:r>
      <w:r>
        <w:rPr>
          <w:rFonts w:hint="eastAsia" w:ascii="Times New Roman" w:hAnsi="Times New Roman" w:eastAsia="宋体" w:cs="宋体"/>
          <w:bCs/>
          <w:color w:val="auto"/>
          <w:szCs w:val="21"/>
          <w:highlight w:val="none"/>
        </w:rPr>
        <w:t xml:space="preserve">                                                                                                                                                                                                                                                                </w:t>
      </w:r>
      <w:r>
        <w:rPr>
          <w:rFonts w:hint="eastAsia" w:ascii="Times New Roman" w:hAnsi="Times New Roman" w:eastAsia="宋体" w:cs="宋体"/>
          <w:bCs/>
          <w:color w:val="auto"/>
          <w:szCs w:val="21"/>
          <w:highlight w:val="none"/>
        </w:rPr>
        <w:t xml:space="preserve">                                                                                                                                                                                                                                                                </w:t>
      </w:r>
      <w:r>
        <w:rPr>
          <w:rFonts w:hint="eastAsia" w:ascii="Times New Roman" w:hAnsi="Times New Roman" w:eastAsia="宋体" w:cs="宋体"/>
          <w:bCs/>
          <w:color w:val="auto"/>
          <w:szCs w:val="21"/>
          <w:highlight w:val="none"/>
        </w:rPr>
        <w:t xml:space="preserve">                                                                                                                                                                                                                                                                </w:t>
      </w:r>
      <w:r>
        <w:rPr>
          <w:rFonts w:hint="eastAsia" w:ascii="Times New Roman" w:hAnsi="Times New Roman" w:eastAsia="宋体" w:cs="宋体"/>
          <w:bCs/>
          <w:color w:val="auto"/>
          <w:szCs w:val="21"/>
          <w:highlight w:val="none"/>
        </w:rPr>
        <w:t xml:space="preserve">                                                                                                                                                                                                                                                                </w:t>
      </w:r>
      <w:r>
        <w:rPr>
          <w:rFonts w:hint="eastAsia" w:ascii="Times New Roman" w:hAnsi="Times New Roman" w:eastAsia="宋体" w:cs="宋体"/>
          <w:bCs/>
          <w:color w:val="auto"/>
          <w:szCs w:val="21"/>
          <w:highlight w:val="none"/>
        </w:rPr>
        <w:t xml:space="preserve">                                                                                                                                                                                                                                                                </w:t>
      </w:r>
      <w:r/>
    </w:p>
    <w:p>
      <w:pPr>
        <w:ind w:left="479"/>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28.2.1符合专业条件的供应商或者对招标文件作实质响应的各包供应商不足三家的；</w:t>
      </w:r>
      <w:r/>
    </w:p>
    <w:p>
      <w:pPr>
        <w:ind w:left="479"/>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28.2.2投标人的报价均超过采购预算或最高限价；</w:t>
      </w:r>
      <w:r/>
    </w:p>
    <w:p>
      <w:pPr>
        <w:ind w:left="479"/>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28.2.3出现影响采购公正的违法、违规行为的；</w:t>
      </w:r>
      <w:r/>
    </w:p>
    <w:p>
      <w:pPr>
        <w:ind w:left="479"/>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28.2.4因重大变故，采购任务取消的；</w:t>
      </w:r>
      <w:r/>
    </w:p>
    <w:p>
      <w:pPr>
        <w:ind w:left="479"/>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28.2.5评标委员会认定招标文件存在歧义、重大缺陷导致评审工作无法进行。</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28.3投标截止时间结束后参加投标的各包投标人不足三家或者通过资格审查或符合性审查的各包投标人不足三家的，除采购任务取消情形外，按照以下方式处理： </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28.3.1招标文件存在不合理条款或者招标程序不符合规定的，由采购人、代理机构改正后依法重新招标；</w:t>
      </w:r>
      <w:r/>
    </w:p>
    <w:p>
      <w:pPr>
        <w:ind w:firstLine="420"/>
        <w:jc w:val="left"/>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28.3.2 招标文件没有不合理条款、招标程序符合规定，需要采用其他采购方式采购的，采购人应当依法报财政部门批准。</w:t>
      </w:r>
      <w:bookmarkEnd w:id="113"/>
      <w:r/>
      <w:bookmarkEnd w:id="114"/>
      <w:r/>
      <w:bookmarkEnd w:id="115"/>
      <w:r/>
      <w:r/>
    </w:p>
    <w:p>
      <w:pPr>
        <w:pStyle w:val="949"/>
        <w:ind w:firstLine="422"/>
        <w:pageBreakBefore w:val="0"/>
        <w:spacing w:before="0" w:after="0" w:line="360" w:lineRule="auto"/>
        <w:rPr>
          <w:rFonts w:ascii="Times New Roman" w:hAnsi="Times New Roman" w:eastAsia="宋体" w:cs="宋体"/>
          <w:b w:val="0"/>
          <w:color w:val="auto"/>
          <w:sz w:val="21"/>
          <w:szCs w:val="21"/>
          <w:highlight w:val="none"/>
        </w:rPr>
      </w:pPr>
      <w:r/>
      <w:bookmarkStart w:id="116" w:name="_Toc513029238"/>
      <w:r/>
      <w:bookmarkStart w:id="117" w:name="_Toc20823310"/>
      <w:r/>
      <w:bookmarkStart w:id="118" w:name="_Toc16938554"/>
      <w:r>
        <w:rPr>
          <w:rFonts w:hint="eastAsia" w:ascii="Times New Roman" w:hAnsi="Times New Roman" w:eastAsia="宋体" w:cs="宋体"/>
          <w:color w:val="auto"/>
          <w:sz w:val="21"/>
          <w:szCs w:val="21"/>
          <w:highlight w:val="none"/>
        </w:rPr>
        <w:t xml:space="preserve">29、</w:t>
      </w:r>
      <w:bookmarkEnd w:id="116"/>
      <w:r>
        <w:rPr>
          <w:rFonts w:hint="eastAsia" w:ascii="Times New Roman" w:hAnsi="Times New Roman" w:eastAsia="宋体" w:cs="宋体"/>
          <w:color w:val="auto"/>
          <w:sz w:val="21"/>
          <w:szCs w:val="21"/>
          <w:highlight w:val="none"/>
        </w:rPr>
        <w:t xml:space="preserve">确定</w:t>
      </w:r>
      <w:bookmarkEnd w:id="117"/>
      <w:r/>
      <w:bookmarkEnd w:id="118"/>
      <w:r>
        <w:rPr>
          <w:rFonts w:hint="eastAsia" w:ascii="Times New Roman" w:hAnsi="Times New Roman" w:eastAsia="宋体" w:cs="宋体"/>
          <w:color w:val="auto"/>
          <w:sz w:val="21"/>
          <w:szCs w:val="21"/>
          <w:highlight w:val="none"/>
        </w:rPr>
        <w:t xml:space="preserve">中标单位</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29.1评委会根据本招标文件规定评标方法与评标标准向采购人推荐出中标候选人。</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29.2 采购人应根据评委会推荐的中标候选人确定中标人。</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Cs/>
          <w:color w:val="auto"/>
          <w:szCs w:val="21"/>
          <w:highlight w:val="none"/>
        </w:rPr>
        <w:t xml:space="preserve">29.3</w:t>
      </w:r>
      <w:r>
        <w:rPr>
          <w:rFonts w:hint="eastAsia" w:ascii="Times New Roman" w:hAnsi="Times New Roman" w:eastAsia="宋体" w:cs="宋体"/>
          <w:color w:val="auto"/>
          <w:szCs w:val="21"/>
          <w:highlight w:val="none"/>
        </w:rPr>
        <w:t xml:space="preserve">代理机构将在</w:t>
      </w:r>
      <w:r>
        <w:rPr>
          <w:rFonts w:hint="eastAsia" w:ascii="Times New Roman" w:hAnsi="Times New Roman" w:eastAsia="宋体" w:cs="Arial"/>
          <w:color w:val="auto"/>
          <w:szCs w:val="21"/>
          <w:highlight w:val="none"/>
        </w:rPr>
        <w:t xml:space="preserve">“扬州大学采购管理办公室网”、“扬州大学网”、“江苏省政府采购网”和“中国政府采购网”</w:t>
      </w:r>
      <w:r>
        <w:rPr>
          <w:rFonts w:hint="eastAsia" w:ascii="Times New Roman" w:hAnsi="Times New Roman" w:eastAsia="宋体" w:cs="宋体"/>
          <w:color w:val="auto"/>
          <w:szCs w:val="21"/>
          <w:highlight w:val="none"/>
        </w:rPr>
        <w:t xml:space="preserve">发布中标公告，公告期限为1个工作日。</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29.4若有充分证据证明，中标人出现下列情况之一的，一经查实，将被取消中标资格：</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29.4.1提供虚假材料谋取中标的；</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29.4.2向采购人、代理机构行贿或者提供其他不正当利益的；</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29.4.3恶意竞争，投标总报价明显低于其自身合理成本且又无法提供证明的；</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29.4.4属于本文件规定的无效条件，但在评标过程中又未被评委会发现的；</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29.4.5与采购人或者其他投标人串通投标的；</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29.4.6采取不正当手段诋毁、排挤其他供应商的；</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29.4.7不符合法律、法规的规定的。</w:t>
      </w:r>
      <w:bookmarkStart w:id="119" w:name="_Toc200451960"/>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29.5. 有下列情形之一的，视为投标人串通投标，投标无效：</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29.5.1不同投标人的投标文件由同一单位或者个人编制。</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29.5.2不同投标人委托同一单位或者个人办理投标事宜。</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29.5.3 不同投标人的投标文件载明的项目管理成员或者联系人员为同一人。</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29.5.4不同投标人的投标文件异常一致或者投标报价呈规律性差异。</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29.5.5不同投标人的投标文件相互混装。</w:t>
      </w:r>
      <w:r/>
    </w:p>
    <w:p>
      <w:pPr>
        <w:pStyle w:val="949"/>
        <w:ind w:firstLine="422"/>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30、质疑处理</w:t>
      </w:r>
      <w:bookmarkEnd w:id="119"/>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30.1投标人认为采购文件、采购过程和中标结果使自己的权益受到损害的，可以在知道或应知其权益受到损害之日起七个工作日内，以书面形式（原件送达）向代理机构或采购人提出质疑。上述应知其权益受到损害之日，是指：</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30.1.1对采购文件提出质疑的，应当在获取采购文件之日或者采购文件公告期限届满之日起7个工作日内提出。</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30.1.2对采购过程提出质疑的，为各采购程序环节结束之日起7个工作日内提出。</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30.1.3对中标结果提出质疑的，为中标结果公告期限届满之日起7个工作日内提出。</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30.2供应商应在法定质疑期内一次性提出针对同一采购程序环节的质疑。质疑必须按《政府采购法》、《政府采购法实施条例》及《江苏省政府采购供应商监督管理暂行办法》等相关规定提交，未按上述要求提交的质疑函（含传真、电子邮件等）代理机构有权不</w:t>
      </w:r>
      <w:r>
        <w:rPr>
          <w:rFonts w:hint="eastAsia" w:ascii="Times New Roman" w:hAnsi="Times New Roman" w:eastAsia="宋体" w:cs="宋体"/>
          <w:color w:val="auto"/>
          <w:spacing w:val="-20"/>
          <w:szCs w:val="21"/>
          <w:highlight w:val="none"/>
        </w:rPr>
        <w:t xml:space="preserve">予受理。</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30.3提出质疑的供应商应当是参与所质疑项目采购活动的供应商。</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09"/>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30.4质疑申请应当包括下列内容：</w:t>
      </w:r>
      <w:r/>
    </w:p>
    <w:p>
      <w:pPr>
        <w:ind w:firstLine="409"/>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30.4.1质疑投标人的名称、地址、邮编、联系人、联系电话；</w:t>
      </w:r>
      <w:r/>
    </w:p>
    <w:p>
      <w:pPr>
        <w:ind w:firstLine="409"/>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30.4.2具体的质疑事项及明确的请求；</w:t>
      </w:r>
      <w:r/>
    </w:p>
    <w:p>
      <w:pPr>
        <w:ind w:firstLine="409"/>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30.4.3认为自己合法权益受到损害或可能受到损害的相关证据材料；</w:t>
      </w:r>
      <w:r/>
    </w:p>
    <w:p>
      <w:pPr>
        <w:ind w:firstLine="409"/>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30.4.4提起质疑的日期；</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30.4.5质疑申请应当署名：质疑人为自然人的，应当由本人签字并附有效身份证</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明；质疑人为法人或其他组织的，应当由法定代表人签字并加盖单位公章。质疑人委托代理质疑的，应当向代理机构提交授权委托书，并载明委托代理的具体权限和事项。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《质疑申请书》及《授权委托书》格式见网址：</w:t>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"http://pan.baidu.com/s/1c1G12Cg" </w:instrText>
      </w:r>
      <w:r>
        <w:rPr>
          <w:rFonts w:ascii="Times New Roman" w:hAnsi="Times New Roman" w:eastAsia="宋体"/>
          <w:color w:val="auto"/>
          <w:highlight w:val="none"/>
        </w:rPr>
        <w:fldChar w:fldCharType="separate"/>
      </w:r>
      <w:r>
        <w:rPr>
          <w:rFonts w:hint="eastAsia" w:ascii="Times New Roman" w:hAnsi="Times New Roman" w:eastAsia="宋体" w:cs="宋体"/>
          <w:color w:val="auto"/>
          <w:szCs w:val="21"/>
          <w:highlight w:val="none"/>
        </w:rPr>
        <w:t xml:space="preserve">http：//pan.baidu.com/s/1c1G12Cg</w:t>
      </w:r>
      <w:r>
        <w:rPr>
          <w:rFonts w:hint="eastAsia" w:ascii="Times New Roman" w:hAnsi="Times New Roman" w:eastAsia="宋体" w:cs="宋体"/>
          <w:color w:val="auto"/>
          <w:szCs w:val="21"/>
          <w:highlight w:val="none"/>
        </w:rPr>
        <w:fldChar w:fldCharType="end"/>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30.5代理机构及采购人只接收以纸质原件形式送达的质疑，</w:t>
      </w:r>
      <w:r>
        <w:rPr>
          <w:rFonts w:hint="eastAsia" w:ascii="Times New Roman" w:hAnsi="Times New Roman" w:eastAsia="宋体"/>
          <w:b/>
          <w:color w:val="auto"/>
          <w:szCs w:val="21"/>
          <w:highlight w:val="none"/>
          <w:u w:val="single"/>
        </w:rPr>
        <w:t xml:space="preserve">同时需与采购代理机构经办人确认是否收到《质疑函》，如供应商未按上述要求去做，将自行承担所产生的风险。</w:t>
      </w:r>
      <w:r>
        <w:rPr>
          <w:rFonts w:hint="eastAsia" w:ascii="Times New Roman" w:hAnsi="Times New Roman" w:eastAsia="宋体"/>
          <w:bCs/>
          <w:color w:val="auto"/>
          <w:szCs w:val="21"/>
          <w:highlight w:val="none"/>
        </w:rPr>
        <w:t xml:space="preserve">（代理机构及采购人不接受无快递运单号的快递。）</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09"/>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30.6代理机构收到质疑申请后，将对质疑的形式和内容进行审查，如质疑内容、格式不符合规定，代理机构将告知质疑人进行补正。</w:t>
      </w:r>
      <w:r/>
    </w:p>
    <w:p>
      <w:pPr>
        <w:ind w:firstLine="409"/>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30.7质疑人应当在法定质疑期限内进行补正并重新提交质疑函，拒不补正或者在法定期限内未重新提交质疑函的，为无效质疑，代理机构有权不予受理。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bCs/>
          <w:color w:val="auto"/>
          <w:szCs w:val="21"/>
          <w:highlight w:val="none"/>
        </w:rPr>
        <w:t xml:space="preserve">30.10代理机构应当在收到供应商的书面质疑后7个工作日内作出答复，并以书面形式通知质疑供应商和其他有关供应商，但答复的内容不得涉及商业秘密。</w:t>
      </w:r>
      <w:r/>
    </w:p>
    <w:p>
      <w:pPr>
        <w:ind w:firstLine="409"/>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30.11诚实信用</w:t>
      </w:r>
      <w:r/>
    </w:p>
    <w:p>
      <w:pPr>
        <w:ind w:firstLine="409"/>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30.11.1 投标人之间不得相互串通投标报价，不得妨碍其他投标人的公平竞争，不得损害采购人和其他投标人的合法权益。</w:t>
      </w:r>
      <w:r/>
    </w:p>
    <w:p>
      <w:pPr>
        <w:ind w:firstLine="409"/>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30.11.2投标人不得以向代理机构工作人员、评标委员会成员行贿或者采取其他不正当手段谋取中标。经查实投标人有此行为的，政府采购管理部门将投标人列入不良行为记录名单，按照《政府采购法》有关规定处理。</w:t>
      </w:r>
      <w:r/>
    </w:p>
    <w:p>
      <w:pPr>
        <w:ind w:firstLine="409"/>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30.11.3投标人提出书面质疑必须有理、有据，不得虚假质疑和恶意质疑，并对质疑内容的真实性承担责任。一经查实，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代理机构将提请政府采购监管部门将其列入不良行为记录名单，并依法予以处罚。</w:t>
      </w:r>
      <w:r/>
    </w:p>
    <w:p>
      <w:pPr>
        <w:ind w:firstLine="409"/>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30.11.4投标人不得虚假承诺，否则，按照提供虚假材料谋取中标成交处理。</w:t>
      </w:r>
      <w:r/>
    </w:p>
    <w:p>
      <w:pPr>
        <w:ind w:firstLine="409"/>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30.11.5投标人应自觉遵守开标、评标纪律，扰乱开标评标现场秩序的，属于失信行为，根据《江苏省政府采购供应商监督管理暂行办法》，失信行为将被记入投标人诚信档案。</w:t>
      </w:r>
      <w:r/>
    </w:p>
    <w:p>
      <w:pPr>
        <w:pStyle w:val="949"/>
        <w:ind w:firstLine="527"/>
        <w:pageBreakBefore w:val="0"/>
        <w:spacing w:before="0" w:after="0" w:line="360" w:lineRule="auto"/>
        <w:rPr>
          <w:rFonts w:ascii="Times New Roman" w:hAnsi="Times New Roman" w:eastAsia="宋体" w:cs="宋体"/>
          <w:b w:val="0"/>
          <w:color w:val="auto"/>
          <w:sz w:val="21"/>
          <w:szCs w:val="21"/>
          <w:highlight w:val="none"/>
        </w:rPr>
      </w:pPr>
      <w:r>
        <w:rPr>
          <w:rFonts w:hint="eastAsia" w:ascii="Times New Roman" w:hAnsi="Times New Roman" w:eastAsia="宋体" w:cs="宋体"/>
          <w:color w:val="auto"/>
          <w:sz w:val="21"/>
          <w:szCs w:val="21"/>
          <w:highlight w:val="none"/>
        </w:rPr>
        <w:t xml:space="preserve">31、中标通知书</w:t>
      </w:r>
      <w:r/>
    </w:p>
    <w:p>
      <w:pPr>
        <w:ind w:firstLine="525"/>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31.l</w:t>
      </w:r>
      <w:r>
        <w:rPr>
          <w:rFonts w:hint="eastAsia" w:ascii="Times New Roman" w:hAnsi="Times New Roman" w:eastAsia="宋体" w:cs="宋体"/>
          <w:b/>
          <w:color w:val="auto"/>
          <w:szCs w:val="21"/>
          <w:highlight w:val="none"/>
        </w:rPr>
        <w:t xml:space="preserve"> </w:t>
      </w:r>
      <w:r>
        <w:rPr>
          <w:rFonts w:hint="eastAsia" w:ascii="Times New Roman" w:hAnsi="Times New Roman" w:eastAsia="宋体" w:cs="宋体"/>
          <w:color w:val="auto"/>
          <w:szCs w:val="21"/>
          <w:highlight w:val="none"/>
        </w:rPr>
        <w:t xml:space="preserve">中标结果确定后，代理机构将向中标供应商发出中标通知书。</w:t>
      </w:r>
      <w:r/>
    </w:p>
    <w:p>
      <w:pPr>
        <w:ind w:firstLine="525"/>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31.2 中标供应商收到中标通知书后，应签字确认中标通知书已收到。若无回复，则公告后视同中标供应商已经知悉并同意接受。</w:t>
      </w:r>
      <w:r/>
    </w:p>
    <w:p>
      <w:pPr>
        <w:ind w:firstLine="525"/>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31.3中标通知书将是合同的一个组成部分。对采购人和中标供应商均具有法律效力。中标通知书发出后，采购人改变中标结果的，或者中标供应商放弃中标项目的，应当依法承担法律责任。</w:t>
      </w:r>
      <w:r/>
    </w:p>
    <w:p>
      <w:pPr>
        <w:ind w:firstLine="525"/>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31.4所有投标文件都将作为档案保存，不论中标与否，代理机构均不退回。</w:t>
      </w:r>
      <w:r/>
    </w:p>
    <w:p>
      <w:pPr>
        <w:pStyle w:val="949"/>
        <w:ind w:firstLine="527"/>
        <w:pageBreakBefore w:val="0"/>
        <w:spacing w:before="0" w:after="0" w:line="360" w:lineRule="auto"/>
        <w:rPr>
          <w:rFonts w:ascii="Times New Roman" w:hAnsi="Times New Roman" w:eastAsia="宋体" w:cs="宋体"/>
          <w:color w:val="auto"/>
          <w:sz w:val="21"/>
          <w:szCs w:val="21"/>
          <w:highlight w:val="none"/>
        </w:rPr>
      </w:pPr>
      <w:r/>
      <w:bookmarkStart w:id="120" w:name="_Toc16938553"/>
      <w:r/>
      <w:bookmarkStart w:id="121" w:name="_Toc513029237"/>
      <w:r/>
      <w:bookmarkStart w:id="122" w:name="_Toc20823309"/>
      <w:r>
        <w:rPr>
          <w:rFonts w:hint="eastAsia" w:ascii="Times New Roman" w:hAnsi="Times New Roman" w:eastAsia="宋体" w:cs="宋体"/>
          <w:color w:val="auto"/>
          <w:sz w:val="21"/>
          <w:szCs w:val="21"/>
          <w:highlight w:val="none"/>
        </w:rPr>
        <w:t xml:space="preserve">32、</w:t>
      </w:r>
      <w:r>
        <w:rPr>
          <w:rFonts w:hint="eastAsia" w:ascii="Times New Roman" w:hAnsi="Times New Roman" w:eastAsia="宋体" w:cs="宋体"/>
          <w:b w:val="0"/>
          <w:color w:val="auto"/>
          <w:sz w:val="21"/>
          <w:szCs w:val="21"/>
          <w:highlight w:val="none"/>
        </w:rPr>
        <w:t xml:space="preserve"> </w:t>
      </w:r>
      <w:r>
        <w:rPr>
          <w:rFonts w:hint="eastAsia" w:ascii="Times New Roman" w:hAnsi="Times New Roman" w:eastAsia="宋体" w:cs="宋体"/>
          <w:color w:val="auto"/>
          <w:sz w:val="21"/>
          <w:szCs w:val="21"/>
          <w:highlight w:val="none"/>
        </w:rPr>
        <w:t xml:space="preserve">签订合同</w:t>
      </w:r>
      <w:r/>
    </w:p>
    <w:p>
      <w:pPr>
        <w:ind w:firstLine="525"/>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Cs/>
          <w:color w:val="auto"/>
          <w:szCs w:val="21"/>
          <w:highlight w:val="none"/>
        </w:rPr>
        <w:t xml:space="preserve">32</w:t>
      </w:r>
      <w:r>
        <w:rPr>
          <w:rFonts w:hint="eastAsia" w:ascii="Times New Roman" w:hAnsi="Times New Roman" w:eastAsia="宋体" w:cs="宋体"/>
          <w:color w:val="auto"/>
          <w:szCs w:val="21"/>
          <w:highlight w:val="none"/>
        </w:rPr>
        <w:t xml:space="preserve">.l中标供应商应按中标通知书规定的时间、地点，按照招标文件确定的事项与采购人签订政府采购合同，且不得迟于中标通知书发出之日起三十日，</w:t>
      </w:r>
      <w:r>
        <w:rPr>
          <w:rFonts w:hint="eastAsia" w:ascii="Times New Roman" w:hAnsi="Times New Roman" w:eastAsia="宋体"/>
          <w:color w:val="auto"/>
          <w:szCs w:val="21"/>
          <w:highlight w:val="none"/>
        </w:rPr>
        <w:t xml:space="preserve">否则视为放弃，由此给采购人造成损失的，中标投标人还应承担赔偿责任</w:t>
      </w:r>
      <w:r>
        <w:rPr>
          <w:rFonts w:hint="eastAsia" w:ascii="Times New Roman" w:hAnsi="Times New Roman" w:eastAsia="宋体" w:cs="宋体"/>
          <w:color w:val="auto"/>
          <w:szCs w:val="21"/>
          <w:highlight w:val="none"/>
        </w:rPr>
        <w:t xml:space="preserve">。</w:t>
      </w:r>
      <w:r/>
    </w:p>
    <w:p>
      <w:pPr>
        <w:ind w:firstLine="525"/>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32.2</w:t>
      </w:r>
      <w:r>
        <w:rPr>
          <w:rFonts w:hint="eastAsia" w:ascii="Times New Roman" w:hAnsi="Times New Roman" w:eastAsia="宋体" w:cs="宋体"/>
          <w:b/>
          <w:color w:val="auto"/>
          <w:szCs w:val="21"/>
          <w:highlight w:val="none"/>
        </w:rPr>
        <w:t xml:space="preserve"> </w:t>
      </w:r>
      <w:r>
        <w:rPr>
          <w:rFonts w:hint="eastAsia" w:ascii="Times New Roman" w:hAnsi="Times New Roman" w:eastAsia="宋体" w:cs="宋体"/>
          <w:color w:val="auto"/>
          <w:szCs w:val="21"/>
          <w:highlight w:val="none"/>
        </w:rPr>
        <w:t xml:space="preserve">招标文件、中标供应商的投标文件及招标过程中有关澄清、承诺文件均应作为合同附件。</w:t>
      </w:r>
      <w:r/>
    </w:p>
    <w:p>
      <w:pPr>
        <w:ind w:firstLine="525"/>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32.3 签订合同后，</w:t>
      </w:r>
      <w:r>
        <w:rPr>
          <w:rFonts w:hint="eastAsia" w:ascii="Times New Roman" w:hAnsi="Times New Roman" w:eastAsia="宋体" w:cs="宋体"/>
          <w:i/>
          <w:color w:val="auto"/>
          <w:szCs w:val="21"/>
          <w:highlight w:val="none"/>
          <w:u w:val="single"/>
        </w:rPr>
        <w:t xml:space="preserve">中标供应商不得将货物及其他相关服务进行转包</w:t>
      </w:r>
      <w:r>
        <w:rPr>
          <w:rFonts w:hint="eastAsia" w:ascii="Times New Roman" w:hAnsi="Times New Roman" w:eastAsia="宋体" w:cs="宋体"/>
          <w:color w:val="auto"/>
          <w:szCs w:val="21"/>
          <w:highlight w:val="none"/>
        </w:rPr>
        <w:t xml:space="preserve">。未经采购人同意，中标供应商也不得采用分包的形式履行合同，否则采购人有权终止合同，中标供应商的履约保证金将不予退还。转包或分包造成采购人损失或致使合同履行中发生违约现象的，中标供应商应承担赔偿责任。</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32.4采购人不得向中标人提出任何不合理的要求作为签订合同的条件，不得与中标人私下订立背离合同实质性内容的协议。所签订的合同不得对招标文件确定事项和中标人投标文件作实质性修改。</w:t>
      </w:r>
      <w:r/>
    </w:p>
    <w:p>
      <w:pPr>
        <w:pStyle w:val="949"/>
        <w:ind w:firstLine="422"/>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32.5如中标候选人在规定时间不与学校签订合同、主动放弃中标资格或无正当理由终止合同履行的，将列入学校不良行为记录名单，我校有权在学校相关网址公开供应商不良行为黑名单信息，并保留在一至三年内禁止其参加学校采购活动的权利。</w:t>
      </w:r>
      <w:r/>
    </w:p>
    <w:p>
      <w:pPr>
        <w:pStyle w:val="949"/>
        <w:ind w:firstLine="422"/>
        <w:pageBreakBefore w:val="0"/>
        <w:spacing w:before="0" w:after="0" w:line="360" w:lineRule="auto"/>
        <w:rPr>
          <w:rFonts w:ascii="Times New Roman" w:hAnsi="Times New Roman" w:eastAsia="宋体" w:cs="宋体"/>
          <w:b w:val="0"/>
          <w:color w:val="auto"/>
          <w:sz w:val="21"/>
          <w:szCs w:val="21"/>
          <w:highlight w:val="none"/>
        </w:rPr>
      </w:pPr>
      <w:r>
        <w:rPr>
          <w:rFonts w:hint="eastAsia" w:ascii="Times New Roman" w:hAnsi="Times New Roman" w:eastAsia="宋体" w:cs="宋体"/>
          <w:color w:val="auto"/>
          <w:sz w:val="21"/>
          <w:szCs w:val="21"/>
          <w:highlight w:val="none"/>
        </w:rPr>
        <w:t xml:space="preserve">33、货物和服务的追加、减少和添购</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33.1政府采购合同履行中，采购人需追加与合同标的相同的货物和服务的，在不改变合同其他条款的前提下，可以与中标供应商协商签订补充合同，但所有补充合同的采购金额不超过原合同金额10%。</w:t>
      </w:r>
      <w:r/>
    </w:p>
    <w:p>
      <w:pPr>
        <w:ind w:firstLine="420"/>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color w:val="auto"/>
          <w:szCs w:val="21"/>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pStyle w:val="949"/>
        <w:ind w:firstLine="422"/>
        <w:pageBreakBefore w:val="0"/>
        <w:spacing w:before="0" w:after="0" w:line="360" w:lineRule="auto"/>
        <w:rPr>
          <w:rFonts w:ascii="Times New Roman" w:hAnsi="Times New Roman" w:eastAsia="宋体" w:cs="宋体"/>
          <w:b w:val="0"/>
          <w:color w:val="auto"/>
          <w:sz w:val="21"/>
          <w:szCs w:val="21"/>
          <w:highlight w:val="none"/>
        </w:rPr>
      </w:pPr>
      <w:r>
        <w:rPr>
          <w:rFonts w:hint="eastAsia" w:ascii="Times New Roman" w:hAnsi="Times New Roman" w:eastAsia="宋体" w:cs="宋体"/>
          <w:color w:val="auto"/>
          <w:sz w:val="21"/>
          <w:szCs w:val="21"/>
          <w:highlight w:val="none"/>
        </w:rPr>
        <w:t xml:space="preserve">34、履约保证金</w:t>
      </w:r>
      <w:bookmarkEnd w:id="120"/>
      <w:r/>
      <w:bookmarkEnd w:id="121"/>
      <w:r/>
      <w:bookmarkEnd w:id="122"/>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无</w:t>
      </w:r>
      <w:r/>
    </w:p>
    <w:p>
      <w:pPr>
        <w:ind w:firstLine="422"/>
        <w:jc w:val="left"/>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35、样品</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若项目要求提供样品的，中标人的样品由采购人负责保管、封存，并作为履约验收的参考。未中标人的样品将及时退还，请在开标结束后24小时运离代理机构。</w:t>
      </w:r>
      <w:r/>
    </w:p>
    <w:p>
      <w:pPr>
        <w:ind w:firstLine="422"/>
        <w:jc w:val="left"/>
        <w:pageBreakBefore w:val="0"/>
        <w:spacing w:line="360" w:lineRule="auto"/>
        <w:rPr>
          <w:rFonts w:ascii="Times New Roman" w:hAnsi="Times New Roman" w:eastAsia="宋体" w:cs="宋体"/>
          <w:color w:val="auto"/>
          <w:szCs w:val="21"/>
          <w:highlight w:val="none"/>
        </w:rPr>
      </w:pPr>
      <w:r/>
      <w:bookmarkStart w:id="123" w:name="_Toc498003955"/>
      <w:r>
        <w:rPr>
          <w:rFonts w:hint="eastAsia" w:ascii="Times New Roman" w:hAnsi="Times New Roman" w:eastAsia="宋体" w:cs="宋体"/>
          <w:b/>
          <w:bCs/>
          <w:color w:val="auto"/>
          <w:szCs w:val="21"/>
          <w:highlight w:val="none"/>
        </w:rPr>
        <w:t xml:space="preserve">36、其他</w:t>
      </w:r>
      <w:r/>
    </w:p>
    <w:p>
      <w:pPr>
        <w:ind w:firstLine="420"/>
        <w:jc w:val="left"/>
        <w:pageBreakBefore w:val="0"/>
        <w:spacing w:line="360" w:lineRule="auto"/>
        <w:rPr>
          <w:rFonts w:ascii="Times New Roman" w:hAnsi="Times New Roman" w:eastAsia="宋体" w:cs="宋体"/>
          <w:color w:val="auto"/>
          <w:szCs w:val="21"/>
          <w:highlight w:val="none"/>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Cs w:val="21"/>
          <w:highlight w:val="none"/>
        </w:rPr>
        <w:t xml:space="preserve">依据《政府采购促进中小企业发展管理办法》享受享受扶持政策获得政府采购合同的，小微企业不得将合同分包给大中型企业，中型企业不得将合同分包给大型企业。</w:t>
      </w:r>
      <w:r/>
    </w:p>
    <w:p>
      <w:pPr>
        <w:pStyle w:val="946"/>
        <w:jc w:val="center"/>
        <w:pageBreakBefore w:val="0"/>
        <w:spacing w:before="0" w:after="0" w:line="360" w:lineRule="auto"/>
        <w:rPr>
          <w:rFonts w:ascii="Times New Roman" w:hAnsi="Times New Roman" w:eastAsia="宋体" w:cs="宋体"/>
          <w:color w:val="auto"/>
          <w:sz w:val="36"/>
          <w:highlight w:val="none"/>
        </w:rPr>
      </w:pPr>
      <w:r/>
      <w:bookmarkStart w:id="124" w:name="_Toc7828"/>
      <w:r>
        <w:rPr>
          <w:rFonts w:hint="eastAsia" w:ascii="Times New Roman" w:hAnsi="Times New Roman" w:eastAsia="宋体" w:cs="宋体"/>
          <w:color w:val="auto"/>
          <w:sz w:val="36"/>
          <w:highlight w:val="none"/>
        </w:rPr>
        <w:t xml:space="preserve">第三章 合同条款及格式</w:t>
      </w:r>
      <w:bookmarkEnd w:id="123"/>
      <w:r/>
      <w:bookmarkEnd w:id="124"/>
      <w:r/>
      <w:r/>
    </w:p>
    <w:p>
      <w:pPr>
        <w:pStyle w:val="965"/>
        <w:ind w:firstLine="420"/>
        <w:pageBreakBefore w:val="0"/>
        <w:spacing w:line="360" w:lineRule="auto"/>
        <w:rPr>
          <w:rFonts w:ascii="Times New Roman" w:hAnsi="Times New Roman" w:eastAsia="宋体"/>
          <w:color w:val="auto"/>
          <w:sz w:val="21"/>
          <w:highlight w:val="none"/>
        </w:rPr>
      </w:pPr>
      <w:r/>
      <w:bookmarkStart w:id="125" w:name="_Hlt16619369"/>
      <w:r/>
      <w:bookmarkEnd w:id="125"/>
      <w:r/>
      <w:bookmarkStart w:id="126" w:name="_Toc497133093"/>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扬州大学工会福利食品采购合同</w:t>
      </w:r>
      <w:r>
        <w:rPr>
          <w:rFonts w:hint="eastAsia" w:ascii="Times New Roman" w:hAnsi="Times New Roman" w:eastAsia="宋体" w:cs="宋体"/>
          <w:bCs/>
          <w:color w:val="auto"/>
          <w:szCs w:val="21"/>
          <w:highlight w:val="none"/>
        </w:rPr>
        <w:t xml:space="preserve">（样本）（提货券 包号：   ）</w:t>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甲方：</w:t>
      </w:r>
      <w:r>
        <w:rPr>
          <w:rFonts w:hint="eastAsia" w:ascii="Times New Roman" w:hAnsi="Times New Roman" w:eastAsia="宋体" w:cs="宋体"/>
          <w:bCs/>
          <w:color w:val="auto"/>
          <w:szCs w:val="21"/>
          <w:highlight w:val="none"/>
        </w:rPr>
        <w:t xml:space="preserve">扬州大学</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乙方：</w:t>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甲乙双方就扬州大学职工福利达成协议如下：</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一、协议期限为：自</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年</w:t>
      </w:r>
      <w:r>
        <w:rPr>
          <w:rFonts w:hint="eastAsia" w:ascii="Times New Roman" w:hAnsi="Times New Roman" w:eastAsia="宋体" w:cs="宋体"/>
          <w:bCs/>
          <w:color w:val="auto"/>
          <w:szCs w:val="21"/>
          <w:highlight w:val="none"/>
          <w:u w:val="single"/>
        </w:rPr>
        <w:t xml:space="preserve"> </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月</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日起至</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年</w:t>
      </w:r>
      <w:r>
        <w:rPr>
          <w:rFonts w:hint="eastAsia" w:ascii="Times New Roman" w:hAnsi="Times New Roman" w:eastAsia="宋体" w:cs="宋体"/>
          <w:bCs/>
          <w:color w:val="auto"/>
          <w:szCs w:val="21"/>
          <w:highlight w:val="none"/>
          <w:u w:val="single"/>
        </w:rPr>
        <w:t xml:space="preserve"> </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月</w:t>
      </w:r>
      <w:r>
        <w:rPr>
          <w:rFonts w:hint="eastAsia" w:ascii="Times New Roman" w:hAnsi="Times New Roman" w:eastAsia="宋体" w:cs="宋体"/>
          <w:bCs/>
          <w:color w:val="auto"/>
          <w:szCs w:val="21"/>
          <w:highlight w:val="none"/>
          <w:u w:val="single"/>
        </w:rPr>
        <w:t xml:space="preserve"> </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日</w:t>
      </w:r>
      <w:r>
        <w:rPr>
          <w:rFonts w:hint="eastAsia" w:ascii="Times New Roman" w:hAnsi="Times New Roman" w:eastAsia="宋体" w:cs="宋体"/>
          <w:color w:val="auto"/>
          <w:szCs w:val="21"/>
          <w:highlight w:val="none"/>
        </w:rPr>
        <w:t xml:space="preserve">止。</w:t>
      </w:r>
      <w:r/>
    </w:p>
    <w:p>
      <w:pPr>
        <w:ind w:firstLine="420"/>
        <w:pageBreakBefore w:val="0"/>
        <w:spacing w:line="360" w:lineRule="auto"/>
        <w:rPr>
          <w:rFonts w:ascii="Times New Roman" w:hAnsi="Times New Roman" w:eastAsia="宋体" w:cs="宋体"/>
          <w:color w:val="auto"/>
          <w:szCs w:val="21"/>
          <w:highlight w:val="none"/>
          <w:u w:val="single"/>
        </w:rPr>
      </w:pPr>
      <w:r>
        <w:rPr>
          <w:rFonts w:hint="eastAsia" w:ascii="Times New Roman" w:hAnsi="Times New Roman" w:eastAsia="宋体" w:cs="宋体"/>
          <w:color w:val="auto"/>
          <w:szCs w:val="21"/>
          <w:highlight w:val="none"/>
        </w:rPr>
        <w:t xml:space="preserve">二、乙方以固定合同价格</w:t>
      </w:r>
      <w:r>
        <w:rPr>
          <w:rFonts w:hint="eastAsia" w:ascii="Times New Roman" w:hAnsi="Times New Roman" w:eastAsia="宋体" w:cs="宋体"/>
          <w:color w:val="auto"/>
          <w:szCs w:val="21"/>
          <w:highlight w:val="none"/>
          <w:u w:val="single"/>
        </w:rPr>
        <w:t xml:space="preserve">　　　　元/套</w:t>
      </w:r>
      <w:r>
        <w:rPr>
          <w:rFonts w:hint="eastAsia" w:ascii="Times New Roman" w:hAnsi="Times New Roman" w:eastAsia="宋体" w:cs="宋体"/>
          <w:color w:val="auto"/>
          <w:szCs w:val="21"/>
          <w:highlight w:val="none"/>
        </w:rPr>
        <w:t xml:space="preserve">向甲方供应符合招标文件要求的提货券。所供商品符合招标文件第五章第三条提货券部分的要求。</w:t>
      </w:r>
      <w:r>
        <w:rPr>
          <w:rFonts w:hint="eastAsia" w:ascii="Times New Roman" w:hAnsi="Times New Roman" w:eastAsia="宋体" w:cs="宋体"/>
          <w:color w:val="auto"/>
          <w:szCs w:val="21"/>
          <w:highlight w:val="none"/>
          <w:u w:val="single"/>
        </w:rPr>
        <w:t xml:space="preserve">最终以实际订货量结算总金额。</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三、根据甲方的时间、数量要求，乙方送货、卸货到甲方指定的地点，随货提供符合甲方当地质量部门规定的相关证明材料。</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四、付款方式：第一次付款：合同签订后，乙方和甲方确定初步供货数量后，向甲方开具预付款发票，甲方自收到发票之日起10个工作日内向乙方支付初步合同价（初步供货数量*500）30%的预付款；第二次付款：乙方根据实际供货数量将提货券发放完毕，且售后服务全部完成（无退换货情况且无违约情况发生），乙方向甲方开具尾款发票，甲方自收到发票之日起10个工作日内向乙方支付合同总价（实际供货数量*500）扣除第一次付款后的尾款。</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五、违约处理：</w:t>
      </w:r>
      <w:r/>
    </w:p>
    <w:p>
      <w:pPr>
        <w:ind w:firstLine="464"/>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1．乙方必须讲诚信，所供食品符合国家相关标准，不得短缺，不得与中标清单不符，否则视为乙方违约，由乙方对甲方给予赔偿（按违约货品金额的2倍计算），并终止合同。</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2．乙方所供食品如有夹带以次充好等不符合谈判约定要求的食品，按以一罚十的原则（即每发现一件不符合国家相关标准食品赔偿十件），由乙方对甲方给予赔偿，并终止合同。</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3．乙方所供商品在使用中给学校或教职工造成不良影响的，甲方有权终止合同，由乙方对甲方给予赔偿。</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乙方必须严格按甲方规定的送货日期将提货券送到甲方指定地点，否则视为违约，甲方有权终止合同，由乙方对甲方给予赔偿。（乙方逾期交付货物的，从逾期之日起每日需赔偿甲方货物总价千分之五的赔偿金。）</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5．上述四条款中任何一款都由乙方对甲方给予赔偿，赔偿款项在合同应付款项中扣除，情节严重者，</w:t>
      </w:r>
      <w:r>
        <w:rPr>
          <w:rFonts w:hint="eastAsia" w:ascii="Times New Roman" w:hAnsi="Times New Roman" w:eastAsia="宋体" w:cs="宋体"/>
          <w:color w:val="auto"/>
          <w:spacing w:val="-8"/>
          <w:szCs w:val="21"/>
          <w:highlight w:val="none"/>
        </w:rPr>
        <w:t xml:space="preserve">我校保留在一至三年内禁止其参加学校采购活动的权利。</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六、未尽事宜，双方协商解决。协商不成，提请扬州市仲裁委员会仲裁。</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七、本合同以甲乙双方签字盖章后即生效。</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八、本合同一式五份，甲方四份、乙方一份。</w:t>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left="-141"/>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甲方：　　</w:t>
      </w:r>
      <w:r>
        <w:rPr>
          <w:rFonts w:hint="eastAsia" w:ascii="Times New Roman" w:hAnsi="Times New Roman" w:eastAsia="宋体" w:cs="宋体"/>
          <w:bCs/>
          <w:color w:val="auto"/>
          <w:szCs w:val="21"/>
          <w:highlight w:val="none"/>
        </w:rPr>
        <w:t xml:space="preserve">扬州大学   </w:t>
      </w:r>
      <w:r>
        <w:rPr>
          <w:rFonts w:hint="eastAsia" w:ascii="Times New Roman" w:hAnsi="Times New Roman" w:eastAsia="宋体" w:cs="宋体"/>
          <w:color w:val="auto"/>
          <w:szCs w:val="21"/>
          <w:highlight w:val="none"/>
        </w:rPr>
        <w:t xml:space="preserve">         　乙方：</w:t>
      </w:r>
      <w:r/>
    </w:p>
    <w:p>
      <w:pPr>
        <w:ind w:left="-141"/>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单位地址：扬州市大学南路88号   单位地址：</w:t>
      </w:r>
      <w:r/>
    </w:p>
    <w:p>
      <w:pPr>
        <w:ind w:left="-141"/>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负责人：                        法定代表人：</w:t>
      </w:r>
      <w:r/>
    </w:p>
    <w:p>
      <w:pPr>
        <w:ind w:left="-141"/>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联系电话：0514-87991351          联系电话：</w:t>
      </w:r>
      <w:r/>
    </w:p>
    <w:p>
      <w:pPr>
        <w:ind w:left="-141"/>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签订时间：    年   月   日      签订时间：    年   月   日</w:t>
      </w:r>
      <w:r/>
    </w:p>
    <w:p>
      <w:pPr>
        <w:jc w:val="center"/>
        <w:pageBreakBefore w:val="0"/>
        <w:spacing w:line="360" w:lineRule="auto"/>
        <w:rPr>
          <w:rFonts w:ascii="Times New Roman" w:hAnsi="Times New Roman" w:eastAsia="宋体" w:cs="宋体"/>
          <w:b/>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s="宋体"/>
          <w:b/>
          <w:bCs/>
          <w:color w:val="auto"/>
          <w:szCs w:val="21"/>
          <w:highlight w:val="none"/>
        </w:rPr>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扬州大学工会福利食品采购合同</w:t>
      </w:r>
      <w:r>
        <w:rPr>
          <w:rFonts w:hint="eastAsia" w:ascii="Times New Roman" w:hAnsi="Times New Roman" w:eastAsia="宋体" w:cs="宋体"/>
          <w:bCs/>
          <w:color w:val="auto"/>
          <w:szCs w:val="21"/>
          <w:highlight w:val="none"/>
        </w:rPr>
        <w:t xml:space="preserve">（样本）（实物  包号：   ）</w:t>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color w:val="auto"/>
          <w:szCs w:val="21"/>
          <w:highlight w:val="none"/>
        </w:rPr>
        <w:t xml:space="preserve">甲方：</w:t>
      </w:r>
      <w:r>
        <w:rPr>
          <w:rFonts w:hint="eastAsia" w:ascii="Times New Roman" w:hAnsi="Times New Roman" w:eastAsia="宋体" w:cs="宋体"/>
          <w:bCs/>
          <w:color w:val="auto"/>
          <w:szCs w:val="21"/>
          <w:highlight w:val="none"/>
        </w:rPr>
        <w:t xml:space="preserve">扬州大学</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乙方：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甲乙双方就扬州大学职工福利达成协议如下：</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一、协议期限为：自</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年</w:t>
      </w:r>
      <w:r>
        <w:rPr>
          <w:rFonts w:hint="eastAsia" w:ascii="Times New Roman" w:hAnsi="Times New Roman" w:eastAsia="宋体" w:cs="宋体"/>
          <w:bCs/>
          <w:color w:val="auto"/>
          <w:szCs w:val="21"/>
          <w:highlight w:val="none"/>
          <w:u w:val="single"/>
        </w:rPr>
        <w:t xml:space="preserve"> </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月</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日起至</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年</w:t>
      </w:r>
      <w:r>
        <w:rPr>
          <w:rFonts w:hint="eastAsia" w:ascii="Times New Roman" w:hAnsi="Times New Roman" w:eastAsia="宋体" w:cs="宋体"/>
          <w:bCs/>
          <w:color w:val="auto"/>
          <w:szCs w:val="21"/>
          <w:highlight w:val="none"/>
          <w:u w:val="single"/>
        </w:rPr>
        <w:t xml:space="preserve"> </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月</w:t>
      </w:r>
      <w:r>
        <w:rPr>
          <w:rFonts w:hint="eastAsia" w:ascii="Times New Roman" w:hAnsi="Times New Roman" w:eastAsia="宋体" w:cs="宋体"/>
          <w:bCs/>
          <w:color w:val="auto"/>
          <w:szCs w:val="21"/>
          <w:highlight w:val="none"/>
          <w:u w:val="single"/>
        </w:rPr>
        <w:t xml:space="preserve"> </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bCs/>
          <w:color w:val="auto"/>
          <w:szCs w:val="21"/>
          <w:highlight w:val="none"/>
        </w:rPr>
        <w:t xml:space="preserve">日</w:t>
      </w:r>
      <w:r>
        <w:rPr>
          <w:rFonts w:hint="eastAsia" w:ascii="Times New Roman" w:hAnsi="Times New Roman" w:eastAsia="宋体" w:cs="宋体"/>
          <w:color w:val="auto"/>
          <w:szCs w:val="21"/>
          <w:highlight w:val="none"/>
        </w:rPr>
        <w:t xml:space="preserve">止。</w:t>
      </w:r>
      <w:r/>
    </w:p>
    <w:p>
      <w:pPr>
        <w:ind w:firstLine="420"/>
        <w:pageBreakBefore w:val="0"/>
        <w:spacing w:line="360" w:lineRule="auto"/>
        <w:rPr>
          <w:rFonts w:ascii="Times New Roman" w:hAnsi="Times New Roman" w:eastAsia="宋体" w:cs="宋体"/>
          <w:color w:val="auto"/>
          <w:szCs w:val="21"/>
          <w:highlight w:val="none"/>
          <w:u w:val="single"/>
        </w:rPr>
      </w:pPr>
      <w:r>
        <w:rPr>
          <w:rFonts w:hint="eastAsia" w:ascii="Times New Roman" w:hAnsi="Times New Roman" w:eastAsia="宋体" w:cs="宋体"/>
          <w:color w:val="auto"/>
          <w:szCs w:val="21"/>
          <w:highlight w:val="none"/>
        </w:rPr>
        <w:t xml:space="preserve">二、乙方以固定合同价格</w:t>
      </w:r>
      <w:r>
        <w:rPr>
          <w:rFonts w:hint="eastAsia" w:ascii="Times New Roman" w:hAnsi="Times New Roman" w:eastAsia="宋体" w:cs="宋体"/>
          <w:color w:val="auto"/>
          <w:szCs w:val="21"/>
          <w:highlight w:val="none"/>
          <w:u w:val="single"/>
        </w:rPr>
        <w:t xml:space="preserve">　　　　元/套 </w:t>
      </w:r>
      <w:r>
        <w:rPr>
          <w:rFonts w:hint="eastAsia" w:ascii="Times New Roman" w:hAnsi="Times New Roman" w:eastAsia="宋体" w:cs="宋体"/>
          <w:color w:val="auto"/>
          <w:szCs w:val="21"/>
          <w:highlight w:val="none"/>
        </w:rPr>
        <w:t xml:space="preserve">向甲方供应符合国家食品卫生标准的食品和生活用品。所供食品的生产日期在二分之一保质期内。最终以实际订货量结算总金额。</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三、根据甲方的时间、数量要求，乙方送货、卸货到甲方指定的地点，随货提供符合甲方当地质量部门规定的相关证明材料。</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四、付款方式：第一次付款：合同签订后，乙方和甲方确定初步供货数量后，向甲方开具预付款发票，甲方自收到发票之日起10个工作日内向乙方支付初步合同价（初步供货数量*500）30%的预付款；第二次付款：乙方根据实际供货数量将套餐发放完毕，且售后服务全部完成（无退换货情况且无违约情况发生），乙方向甲方开具尾款发票，甲方自收到发票之日起10个工作日内向乙方支付合同总价（实际供货数量*500）扣除第一次付款后的尾款。</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五、违约处理：</w:t>
      </w:r>
      <w:r/>
    </w:p>
    <w:p>
      <w:pPr>
        <w:ind w:firstLine="464"/>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1．乙方必须讲诚信，所供食品符合国家相关标准，不得短缺，不得与中标清单不符，否则视为乙方违约，由乙方对甲方给予赔偿（按违约货品金额的2倍计算），并终止合同。</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2．乙方所供食品如有夹带以次充好等不符合谈判约定要求的食品，按以一罚十的原则（即每发现一件不符合国家相关标准食品赔偿十件），由乙方对甲方给予赔偿，并终止合同。</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3．乙方所供商品在使用中给学校或教职工造成不良影响的，甲方有权终止合同，由乙方对甲方给予赔偿。</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4．乙方必须严格按甲方规定的送货日期将</w:t>
      </w:r>
      <w:r>
        <w:rPr>
          <w:rFonts w:hint="eastAsia" w:ascii="Times New Roman" w:hAnsi="Times New Roman" w:eastAsia="宋体" w:cs="宋体"/>
          <w:bCs/>
          <w:color w:val="auto"/>
          <w:szCs w:val="21"/>
          <w:highlight w:val="none"/>
        </w:rPr>
        <w:t xml:space="preserve">实物</w:t>
      </w:r>
      <w:r>
        <w:rPr>
          <w:rFonts w:hint="eastAsia" w:ascii="Times New Roman" w:hAnsi="Times New Roman" w:eastAsia="宋体" w:cs="宋体"/>
          <w:color w:val="auto"/>
          <w:szCs w:val="21"/>
          <w:highlight w:val="none"/>
        </w:rPr>
        <w:t xml:space="preserve">送到甲方指定地点，否则视为违约，甲方有权终止合同，由乙方对甲方给予赔偿。（乙方逾期交付货物的，从逾期之日起每日需赔偿甲方货物总价千分之五的赔偿金。）</w:t>
      </w:r>
      <w:r/>
    </w:p>
    <w:p>
      <w:pPr>
        <w:ind w:firstLine="420"/>
        <w:pageBreakBefore w:val="0"/>
        <w:spacing w:line="360" w:lineRule="auto"/>
        <w:rPr>
          <w:rFonts w:ascii="Times New Roman" w:hAnsi="Times New Roman" w:eastAsia="宋体" w:cs="宋体"/>
          <w:color w:val="auto"/>
          <w:spacing w:val="-8"/>
          <w:szCs w:val="21"/>
          <w:highlight w:val="none"/>
        </w:rPr>
      </w:pPr>
      <w:r>
        <w:rPr>
          <w:rFonts w:hint="eastAsia" w:ascii="Times New Roman" w:hAnsi="Times New Roman" w:eastAsia="宋体" w:cs="宋体"/>
          <w:color w:val="auto"/>
          <w:szCs w:val="21"/>
          <w:highlight w:val="none"/>
        </w:rPr>
        <w:t xml:space="preserve">5．上述四条款中任何一款都由乙方对甲方给予赔偿，赔偿款项在合同应付款项中扣除，情节严重者，</w:t>
      </w:r>
      <w:r>
        <w:rPr>
          <w:rFonts w:hint="eastAsia" w:ascii="Times New Roman" w:hAnsi="Times New Roman" w:eastAsia="宋体" w:cs="宋体"/>
          <w:color w:val="auto"/>
          <w:spacing w:val="-8"/>
          <w:szCs w:val="21"/>
          <w:highlight w:val="none"/>
        </w:rPr>
        <w:t xml:space="preserve">我校保留在一至三年内禁止其参加学校采购活动的权利。</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六、未尽事宜，双方协商解决。协商不成，提请扬州市仲裁委员会仲裁。</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七、本合同以甲乙双方签字盖章后即生效。</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八、本合同一式五份，甲方四份、乙方一份。</w:t>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left="-141"/>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甲方：　　</w:t>
      </w:r>
      <w:r>
        <w:rPr>
          <w:rFonts w:hint="eastAsia" w:ascii="Times New Roman" w:hAnsi="Times New Roman" w:eastAsia="宋体" w:cs="宋体"/>
          <w:bCs/>
          <w:color w:val="auto"/>
          <w:szCs w:val="21"/>
          <w:highlight w:val="none"/>
        </w:rPr>
        <w:t xml:space="preserve">扬州大学   </w:t>
      </w:r>
      <w:r>
        <w:rPr>
          <w:rFonts w:hint="eastAsia" w:ascii="Times New Roman" w:hAnsi="Times New Roman" w:eastAsia="宋体" w:cs="宋体"/>
          <w:color w:val="auto"/>
          <w:szCs w:val="21"/>
          <w:highlight w:val="none"/>
        </w:rPr>
        <w:t xml:space="preserve">         　乙方：</w:t>
      </w:r>
      <w:r/>
    </w:p>
    <w:p>
      <w:pPr>
        <w:ind w:left="-141"/>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单位地址：扬州市大学南路88号   单位地址：</w:t>
      </w:r>
      <w:r/>
    </w:p>
    <w:p>
      <w:pPr>
        <w:ind w:left="-141"/>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负责人：                        法定代表人：</w:t>
      </w:r>
      <w:r/>
    </w:p>
    <w:p>
      <w:pPr>
        <w:ind w:left="-141"/>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联系电话：0514-87991351          联系电话：</w:t>
      </w:r>
      <w:r/>
    </w:p>
    <w:p>
      <w:pPr>
        <w:ind w:left="-141"/>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签订时间：    年   月   日      签订时间：    年   月   日</w:t>
      </w:r>
      <w:r/>
    </w:p>
    <w:p>
      <w:pPr>
        <w:pStyle w:val="946"/>
        <w:jc w:val="center"/>
        <w:pageBreakBefore w:val="0"/>
        <w:spacing w:before="0" w:after="0" w:line="360" w:lineRule="auto"/>
        <w:rPr>
          <w:rFonts w:ascii="Times New Roman" w:hAnsi="Times New Roman" w:eastAsia="宋体"/>
          <w:color w:val="auto"/>
          <w:sz w:val="22"/>
          <w:highlight w:val="none"/>
        </w:rPr>
      </w:pPr>
      <w:r>
        <w:rPr>
          <w:rFonts w:hint="eastAsia" w:ascii="Times New Roman" w:hAnsi="Times New Roman" w:eastAsia="宋体" w:cs="宋体"/>
          <w:color w:val="auto"/>
          <w:szCs w:val="21"/>
          <w:highlight w:val="none"/>
        </w:rPr>
        <w:br w:type="page" w:clear="all"/>
      </w:r>
      <w:bookmarkStart w:id="127" w:name="_Toc6111"/>
      <w:r>
        <w:rPr>
          <w:rFonts w:hint="eastAsia" w:ascii="Times New Roman" w:hAnsi="Times New Roman" w:eastAsia="宋体"/>
          <w:color w:val="auto"/>
          <w:sz w:val="36"/>
          <w:highlight w:val="none"/>
        </w:rPr>
        <w:t xml:space="preserve">第四章 项目需求</w:t>
      </w:r>
      <w:bookmarkEnd w:id="126"/>
      <w:r/>
      <w:bookmarkEnd w:id="127"/>
      <w:r/>
      <w:r/>
    </w:p>
    <w:p>
      <w:pPr>
        <w:pageBreakBefore w:val="0"/>
        <w:spacing w:line="360" w:lineRule="auto"/>
        <w:rPr>
          <w:rFonts w:ascii="Times New Roman" w:hAnsi="Times New Roman" w:eastAsia="宋体" w:cs="宋体"/>
          <w:b/>
          <w:color w:val="auto"/>
          <w:szCs w:val="21"/>
          <w:highlight w:val="none"/>
        </w:rPr>
      </w:pPr>
      <w:r/>
      <w:bookmarkStart w:id="128" w:name="_Toc497133122"/>
      <w:r>
        <w:rPr>
          <w:rFonts w:ascii="Times New Roman" w:hAnsi="Times New Roman" w:eastAsia="宋体" w:cs="宋体"/>
          <w:b/>
          <w:color w:val="auto"/>
          <w:szCs w:val="21"/>
          <w:highlight w:val="none"/>
        </w:rPr>
        <w:t xml:space="preserve">本章所有内容均为实质性要求，不接受负偏离，否则为无效投标。</w:t>
      </w:r>
      <w:r/>
    </w:p>
    <w:p>
      <w:pP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一、采购标的清单</w:t>
      </w:r>
      <w:r/>
    </w:p>
    <w:p>
      <w:pPr>
        <w:pageBreakBefore w:val="0"/>
        <w:spacing w:line="360" w:lineRule="auto"/>
        <w:rPr>
          <w:rFonts w:ascii="Times New Roman" w:hAnsi="Times New Roman" w:eastAsia="宋体" w:cs="宋体"/>
          <w:b/>
          <w:color w:val="auto"/>
          <w:szCs w:val="21"/>
          <w:highlight w:val="none"/>
        </w:rPr>
      </w:pPr>
      <w:r>
        <w:rPr>
          <w:rFonts w:ascii="Times New Roman" w:hAnsi="Times New Roman" w:eastAsia="宋体" w:cs="宋体"/>
          <w:b/>
          <w:color w:val="auto"/>
          <w:szCs w:val="21"/>
          <w:highlight w:val="none"/>
        </w:rPr>
      </w:r>
      <w:r/>
    </w:p>
    <w:tbl>
      <w:tblPr>
        <w:tblStyle w:val="956"/>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5"/>
        <w:gridCol w:w="2022"/>
        <w:gridCol w:w="3210"/>
      </w:tblGrid>
      <w:tr>
        <w:trPr/>
        <w:tc>
          <w:tcPr>
            <w:tcW w:w="241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采购包号</w:t>
            </w:r>
            <w:r/>
          </w:p>
        </w:tc>
        <w:tc>
          <w:tcPr>
            <w:tcW w:w="2022"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采购标的</w:t>
            </w:r>
            <w:r/>
          </w:p>
        </w:tc>
        <w:tc>
          <w:tcPr>
            <w:tcW w:w="3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对应中</w:t>
            </w:r>
            <w:r>
              <w:rPr>
                <w:rFonts w:ascii="Times New Roman" w:hAnsi="Times New Roman" w:eastAsia="宋体"/>
                <w:color w:val="auto"/>
                <w:szCs w:val="21"/>
                <w:highlight w:val="none"/>
              </w:rPr>
              <w:t xml:space="preserve">小企业划分标准所属行业</w:t>
            </w:r>
            <w:r/>
          </w:p>
        </w:tc>
      </w:tr>
      <w:tr>
        <w:trPr/>
        <w:tc>
          <w:tcPr>
            <w:tcW w:w="241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包一</w:t>
            </w:r>
            <w:r/>
          </w:p>
        </w:tc>
        <w:tc>
          <w:tcPr>
            <w:tcW w:w="2022"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提货券</w:t>
            </w:r>
            <w:r/>
          </w:p>
        </w:tc>
        <w:tc>
          <w:tcPr>
            <w:tcW w:w="3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Style w:val="1100"/>
                <w:rFonts w:hint="eastAsia" w:ascii="Times New Roman" w:hAnsi="Times New Roman" w:eastAsia="宋体" w:cs="仿宋"/>
                <w:color w:val="auto"/>
                <w:szCs w:val="21"/>
                <w:highlight w:val="none"/>
              </w:rPr>
              <w:t xml:space="preserve">零售业</w:t>
            </w:r>
            <w:r/>
          </w:p>
        </w:tc>
      </w:tr>
      <w:tr>
        <w:trPr/>
        <w:tc>
          <w:tcPr>
            <w:shd w:val="clear" w:color="auto" w:fill="auto"/>
            <w:tcW w:w="241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包二</w:t>
            </w:r>
            <w:r/>
          </w:p>
        </w:tc>
        <w:tc>
          <w:tcPr>
            <w:tcW w:w="2022"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提货券</w:t>
            </w:r>
            <w:r/>
          </w:p>
        </w:tc>
        <w:tc>
          <w:tcPr>
            <w:tcW w:w="3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Style w:val="1100"/>
                <w:rFonts w:hint="eastAsia" w:ascii="Times New Roman" w:hAnsi="Times New Roman" w:eastAsia="宋体" w:cs="仿宋"/>
                <w:color w:val="auto"/>
                <w:szCs w:val="21"/>
                <w:highlight w:val="none"/>
              </w:rPr>
              <w:t xml:space="preserve">零售业</w:t>
            </w:r>
            <w:r/>
          </w:p>
        </w:tc>
      </w:tr>
      <w:tr>
        <w:trPr/>
        <w:tc>
          <w:tcPr>
            <w:shd w:val="clear" w:color="auto" w:fill="auto"/>
            <w:tcW w:w="241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包三</w:t>
            </w:r>
            <w:r/>
          </w:p>
        </w:tc>
        <w:tc>
          <w:tcPr>
            <w:tcW w:w="2022"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提货券</w:t>
            </w:r>
            <w:r/>
          </w:p>
        </w:tc>
        <w:tc>
          <w:tcPr>
            <w:tcW w:w="3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Style w:val="1100"/>
                <w:rFonts w:hint="eastAsia" w:ascii="Times New Roman" w:hAnsi="Times New Roman" w:eastAsia="宋体" w:cs="仿宋"/>
                <w:color w:val="auto"/>
                <w:szCs w:val="21"/>
                <w:highlight w:val="none"/>
              </w:rPr>
              <w:t xml:space="preserve">零售业</w:t>
            </w:r>
            <w:r/>
          </w:p>
        </w:tc>
      </w:tr>
      <w:tr>
        <w:trPr/>
        <w:tc>
          <w:tcPr>
            <w:shd w:val="clear" w:color="auto" w:fill="auto"/>
            <w:tcW w:w="241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包四</w:t>
            </w:r>
            <w:r/>
          </w:p>
        </w:tc>
        <w:tc>
          <w:tcPr>
            <w:tcW w:w="2022"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实物套餐</w:t>
            </w:r>
            <w:r/>
          </w:p>
        </w:tc>
        <w:tc>
          <w:tcPr>
            <w:tcW w:w="3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Style w:val="1100"/>
                <w:rFonts w:hint="eastAsia" w:ascii="Times New Roman" w:hAnsi="Times New Roman" w:eastAsia="宋体" w:cs="仿宋"/>
                <w:color w:val="auto"/>
                <w:szCs w:val="21"/>
                <w:highlight w:val="none"/>
              </w:rPr>
              <w:t xml:space="preserve">零售业</w:t>
            </w:r>
            <w:r/>
          </w:p>
        </w:tc>
      </w:tr>
      <w:tr>
        <w:trPr/>
        <w:tc>
          <w:tcPr>
            <w:tcW w:w="2415"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包五</w:t>
            </w:r>
            <w:r/>
          </w:p>
        </w:tc>
        <w:tc>
          <w:tcPr>
            <w:tcW w:w="2022"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实物套餐</w:t>
            </w:r>
            <w:r/>
          </w:p>
        </w:tc>
        <w:tc>
          <w:tcPr>
            <w:tcW w:w="3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Style w:val="1100"/>
                <w:rFonts w:hint="eastAsia" w:ascii="Times New Roman" w:hAnsi="Times New Roman" w:eastAsia="宋体" w:cs="仿宋"/>
                <w:color w:val="auto"/>
                <w:szCs w:val="21"/>
                <w:highlight w:val="none"/>
              </w:rPr>
              <w:t xml:space="preserve">零售业</w:t>
            </w:r>
            <w:r/>
          </w:p>
        </w:tc>
      </w:tr>
    </w:tbl>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t xml:space="preserve">二、招标内容</w:t>
      </w:r>
      <w:bookmarkStart w:id="129" w:name="_Toc392952477"/>
      <w:r/>
      <w:bookmarkEnd w:id="129"/>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olor w:val="auto"/>
          <w:szCs w:val="21"/>
          <w:highlight w:val="none"/>
        </w:rPr>
        <w:t xml:space="preserve">扬州大学2026年端午节、中秋节福利项目</w:t>
      </w:r>
      <w:r>
        <w:rPr>
          <w:rFonts w:hint="eastAsia" w:ascii="Times New Roman" w:hAnsi="Times New Roman" w:eastAsia="宋体" w:cs="宋体"/>
          <w:color w:val="auto"/>
          <w:szCs w:val="21"/>
          <w:highlight w:val="none"/>
        </w:rPr>
        <w:t xml:space="preserve">共分六种，提货券套餐一</w:t>
      </w:r>
      <w:r>
        <w:rPr>
          <w:rFonts w:hint="eastAsia" w:ascii="Times New Roman" w:hAnsi="Times New Roman" w:eastAsia="宋体"/>
          <w:color w:val="auto"/>
          <w:highlight w:val="none"/>
        </w:rPr>
        <w:t xml:space="preserve">（包一中标人提供）</w:t>
      </w:r>
      <w:r>
        <w:rPr>
          <w:rFonts w:hint="eastAsia" w:ascii="Times New Roman" w:hAnsi="Times New Roman" w:eastAsia="宋体" w:cs="宋体"/>
          <w:color w:val="auto"/>
          <w:szCs w:val="21"/>
          <w:highlight w:val="none"/>
        </w:rPr>
        <w:t xml:space="preserve">，提货券套餐二</w:t>
      </w:r>
      <w:r>
        <w:rPr>
          <w:rFonts w:hint="eastAsia" w:ascii="Times New Roman" w:hAnsi="Times New Roman" w:eastAsia="宋体"/>
          <w:color w:val="auto"/>
          <w:highlight w:val="none"/>
        </w:rPr>
        <w:t xml:space="preserve">（包二中标人提供）</w:t>
      </w:r>
      <w:r>
        <w:rPr>
          <w:rFonts w:hint="eastAsia" w:ascii="Times New Roman" w:hAnsi="Times New Roman" w:eastAsia="宋体" w:cs="宋体"/>
          <w:color w:val="auto"/>
          <w:szCs w:val="21"/>
          <w:highlight w:val="none"/>
        </w:rPr>
        <w:t xml:space="preserve">，提货券套餐三</w:t>
      </w:r>
      <w:r>
        <w:rPr>
          <w:rFonts w:hint="eastAsia" w:ascii="Times New Roman" w:hAnsi="Times New Roman" w:eastAsia="宋体"/>
          <w:color w:val="auto"/>
          <w:highlight w:val="none"/>
        </w:rPr>
        <w:t xml:space="preserve">（包三中标人提供），</w:t>
      </w:r>
      <w:r>
        <w:rPr>
          <w:rFonts w:hint="eastAsia" w:ascii="Times New Roman" w:hAnsi="Times New Roman" w:eastAsia="宋体" w:cs="宋体"/>
          <w:color w:val="auto"/>
          <w:szCs w:val="21"/>
          <w:highlight w:val="none"/>
        </w:rPr>
        <w:t xml:space="preserve">实物套餐四、五</w:t>
      </w:r>
      <w:r>
        <w:rPr>
          <w:rFonts w:hint="eastAsia" w:ascii="Times New Roman" w:hAnsi="Times New Roman" w:eastAsia="宋体"/>
          <w:color w:val="auto"/>
          <w:highlight w:val="none"/>
        </w:rPr>
        <w:t xml:space="preserve">（包四、包五中标人提供），</w:t>
      </w:r>
      <w:r>
        <w:rPr>
          <w:rFonts w:hint="eastAsia" w:ascii="Times New Roman" w:hAnsi="Times New Roman" w:eastAsia="宋体" w:cs="宋体"/>
          <w:color w:val="auto"/>
          <w:szCs w:val="21"/>
          <w:highlight w:val="none"/>
        </w:rPr>
        <w:t xml:space="preserve">牛奶专项套餐六</w:t>
      </w:r>
      <w:r>
        <w:rPr>
          <w:rFonts w:hint="eastAsia" w:ascii="Times New Roman" w:hAnsi="Times New Roman" w:eastAsia="宋体"/>
          <w:color w:val="auto"/>
          <w:highlight w:val="none"/>
        </w:rPr>
        <w:t xml:space="preserve">（不包含在本次采购范围内）</w:t>
      </w:r>
      <w:r>
        <w:rPr>
          <w:rFonts w:hint="eastAsia" w:ascii="Times New Roman" w:hAnsi="Times New Roman" w:eastAsia="宋体" w:cs="宋体"/>
          <w:color w:val="auto"/>
          <w:szCs w:val="21"/>
          <w:highlight w:val="none"/>
        </w:rPr>
        <w:t xml:space="preserve">，教职工将在六个套餐中自由选择一种套餐，本次招标仅针对提货券及实物套餐。</w:t>
      </w:r>
      <w:r/>
    </w:p>
    <w:p>
      <w:pPr>
        <w:ind w:firstLine="411"/>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color w:val="auto"/>
          <w:szCs w:val="21"/>
          <w:highlight w:val="none"/>
        </w:rPr>
        <w:t xml:space="preserve">本项目预算总金额为上述前五种套餐的结算金额总和，</w:t>
      </w:r>
      <w:r>
        <w:rPr>
          <w:rFonts w:hint="eastAsia" w:ascii="Times New Roman" w:hAnsi="Times New Roman" w:eastAsia="宋体"/>
          <w:color w:val="auto"/>
          <w:highlight w:val="none"/>
        </w:rPr>
        <w:t xml:space="preserve">每包选取一个中标人，共同作为</w:t>
      </w:r>
      <w:r>
        <w:rPr>
          <w:rFonts w:hint="eastAsia" w:ascii="Times New Roman" w:hAnsi="Times New Roman" w:eastAsia="宋体" w:cs="宋体"/>
          <w:color w:val="auto"/>
          <w:szCs w:val="21"/>
          <w:highlight w:val="none"/>
        </w:rPr>
        <w:t xml:space="preserve">扬州大学2026年端午节、中秋节福利项目的供应商，由教职工在所有六个套餐中自选，故预算仅供参考，采购人不保证各包最低供应量，以教职工自行选择的结果为准，最终以固定单价结算，包一、包二、包三、包四、包五均以固定价500元/份结算。</w:t>
      </w:r>
      <w:r/>
    </w:p>
    <w:p>
      <w:pPr>
        <w:pageBreakBefore w:val="0"/>
        <w:spacing w:line="360" w:lineRule="auto"/>
        <w:rPr>
          <w:rFonts w:ascii="Times New Roman" w:hAnsi="Times New Roman" w:eastAsia="宋体" w:cs="宋体"/>
          <w:b/>
          <w:color w:val="auto"/>
          <w:szCs w:val="21"/>
          <w:highlight w:val="none"/>
        </w:rPr>
      </w:pPr>
      <w:r>
        <w:rPr>
          <w:rFonts w:ascii="Times New Roman" w:hAnsi="Times New Roman" w:eastAsia="宋体" w:cs="宋体"/>
          <w:b/>
          <w:color w:val="auto"/>
          <w:szCs w:val="21"/>
          <w:highlight w:val="none"/>
        </w:rPr>
      </w:r>
      <w:r/>
    </w:p>
    <w:p>
      <w:pP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三、提货券（包一、包二、包三）技术要求</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olor w:val="auto"/>
          <w:szCs w:val="21"/>
          <w:highlight w:val="none"/>
        </w:rPr>
        <w:t xml:space="preserve">提货券：实体券或电子券，</w:t>
      </w:r>
      <w:r>
        <w:rPr>
          <w:rFonts w:hint="eastAsia" w:ascii="Times New Roman" w:hAnsi="Times New Roman" w:eastAsia="宋体" w:cs="宋体"/>
          <w:color w:val="auto"/>
          <w:szCs w:val="21"/>
          <w:highlight w:val="none"/>
        </w:rPr>
        <w:t xml:space="preserve">端午节供货期为2026年6月15日，最终以学校通知为准。中秋节供货期2026年9月21日，最终以学校通知为准。</w:t>
      </w:r>
      <w:r/>
    </w:p>
    <w:p>
      <w:pPr>
        <w:pageBreakBefore w:val="0"/>
        <w:spacing w:line="360" w:lineRule="auto"/>
        <w:rPr>
          <w:rFonts w:ascii="Times New Roman" w:hAnsi="Times New Roman" w:eastAsia="宋体" w:cs="宋体"/>
          <w:b/>
          <w:color w:val="auto"/>
          <w:szCs w:val="21"/>
          <w:highlight w:val="none"/>
        </w:rPr>
      </w:pPr>
      <w:r>
        <w:rPr>
          <w:rFonts w:ascii="Times New Roman" w:hAnsi="Times New Roman" w:eastAsia="宋体" w:cs="宋体"/>
          <w:b/>
          <w:color w:val="auto"/>
          <w:szCs w:val="21"/>
          <w:highlight w:val="none"/>
        </w:rPr>
      </w:r>
      <w:r/>
    </w:p>
    <w:p>
      <w:pP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四、提货券（包一、包二、包三）商务要求</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1.按照江苏省总工会苏工发[2018]13号文的规定：“节日慰问品原则上为符合中国传统节日习惯的用品和职工群众必需的生活用品等”所供商品不得有香烟、酒水、高档滋补品等。</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rPr>
          <w:rFonts w:hint="eastAsia" w:ascii="Times New Roman" w:hAnsi="Times New Roman" w:eastAsia="宋体" w:cs="宋体"/>
          <w:bCs/>
          <w:color w:val="auto"/>
          <w:szCs w:val="21"/>
          <w:highlight w:val="none"/>
        </w:rPr>
        <w:t xml:space="preserve">所供商品需为全新原厂商原装产品。其质量、规格及技术特征符合国家标准、规范及招标文件的要求</w:t>
      </w:r>
      <w:r>
        <w:rPr>
          <w:rFonts w:hint="eastAsia" w:ascii="Times New Roman" w:hAnsi="Times New Roman" w:eastAsia="宋体" w:cs="宋体"/>
          <w:color w:val="auto"/>
          <w:szCs w:val="21"/>
          <w:highlight w:val="none"/>
        </w:rPr>
        <w:t xml:space="preserve">。所供商品的剩余保质期不少于有效保质期的一半（以提货日期为参照）。</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w:t>
      </w:r>
      <w:r>
        <w:rPr>
          <w:rFonts w:hint="eastAsia" w:ascii="Times New Roman" w:hAnsi="Times New Roman" w:eastAsia="宋体" w:cs="宋体"/>
          <w:i/>
          <w:iCs/>
          <w:color w:val="auto"/>
          <w:szCs w:val="21"/>
          <w:highlight w:val="none"/>
          <w:u w:val="single"/>
        </w:rPr>
        <w:t xml:space="preserve">本项目投标报价（提货券总金额）≥535元，否则为无效投标</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b/>
          <w:color w:val="auto"/>
          <w:szCs w:val="21"/>
          <w:highlight w:val="none"/>
        </w:rPr>
        <w:t xml:space="preserve">包一、包二、包三单独报价，单独评审。</w:t>
      </w:r>
      <w:r/>
    </w:p>
    <w:p>
      <w:pPr>
        <w:pStyle w:val="959"/>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4.提货券使用期不少于2个月，教职工可一次或分多次提货。</w:t>
      </w:r>
      <w:r/>
    </w:p>
    <w:p>
      <w:pPr>
        <w:ind w:firstLine="420"/>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color w:val="auto"/>
          <w:szCs w:val="21"/>
          <w:highlight w:val="none"/>
        </w:rPr>
        <w:t xml:space="preserve">5. 每份提货券结算价为500元/份。可在线下门店自行提货、网上选购提供快递到家服务。</w:t>
      </w:r>
      <w:r>
        <w:rPr>
          <w:rFonts w:hint="eastAsia" w:ascii="Times New Roman" w:hAnsi="Times New Roman" w:eastAsia="宋体" w:cs="宋体"/>
          <w:i/>
          <w:iCs/>
          <w:color w:val="auto"/>
          <w:szCs w:val="21"/>
          <w:highlight w:val="none"/>
          <w:u w:val="single"/>
        </w:rPr>
        <w:t xml:space="preserve">投标人必须提供网上选购一次性消费满99 元（含99元）后的免费邮寄服务，邮寄范围至少包含扬州市指定区域内（广陵区、邗江区、经济技术开发区、蜀冈-瘦西湖风景名胜区、生态科技新城、江都区）。</w:t>
      </w:r>
      <w:r>
        <w:rPr>
          <w:rFonts w:hint="eastAsia" w:ascii="Times New Roman" w:hAnsi="Times New Roman" w:eastAsia="宋体" w:cs="宋体"/>
          <w:b/>
          <w:bCs/>
          <w:i/>
          <w:iCs/>
          <w:color w:val="auto"/>
          <w:szCs w:val="21"/>
          <w:highlight w:val="none"/>
          <w:u w:val="single"/>
        </w:rPr>
        <w:t xml:space="preserve">（提供承诺书，格式自拟，原件加盖投标人公章，否则为无效投标）</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6.投标人无须提供实物，评委根据投标文件评分，开标期间投标授权代表需保持通讯畅通。</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bCs/>
          <w:iCs/>
          <w:color w:val="auto"/>
          <w:szCs w:val="21"/>
          <w:highlight w:val="none"/>
        </w:rPr>
        <w:t xml:space="preserve">7.</w:t>
      </w:r>
      <w:r>
        <w:rPr>
          <w:rFonts w:hint="eastAsia" w:ascii="Times New Roman" w:hAnsi="Times New Roman" w:eastAsia="宋体" w:cs="宋体"/>
          <w:bCs/>
          <w:i/>
          <w:iCs/>
          <w:color w:val="auto"/>
          <w:szCs w:val="21"/>
          <w:highlight w:val="none"/>
          <w:u w:val="single"/>
        </w:rPr>
        <w:t xml:space="preserve">投标人需承诺提货券可兑换产品不得少于100种，且必须包含乳品、烘焙、休闲零食、粮油调味、生活用品、速冻鲜食、肉蛋水产等不同种类，供教职工自行挑选。提货券使用时需满足实体门店与网上平台价格和优惠幅度保持一致。</w:t>
      </w:r>
      <w:r>
        <w:rPr>
          <w:rFonts w:hint="eastAsia" w:ascii="Times New Roman" w:hAnsi="Times New Roman" w:eastAsia="宋体" w:cs="宋体"/>
          <w:b/>
          <w:bCs/>
          <w:i/>
          <w:iCs/>
          <w:color w:val="auto"/>
          <w:szCs w:val="21"/>
          <w:highlight w:val="none"/>
          <w:u w:val="single"/>
        </w:rPr>
        <w:t xml:space="preserve">（提供承诺书，格式自拟，原件加盖投标人公章，否则为无效投标）</w:t>
      </w:r>
      <w:r/>
    </w:p>
    <w:p>
      <w:pPr>
        <w:pageBreakBefore w:val="0"/>
        <w:spacing w:line="360" w:lineRule="auto"/>
        <w:rPr>
          <w:rFonts w:ascii="Times New Roman" w:hAnsi="Times New Roman" w:eastAsia="宋体" w:cs="宋体"/>
          <w:b/>
          <w:bCs/>
          <w:color w:val="auto"/>
          <w:szCs w:val="21"/>
          <w:highlight w:val="none"/>
        </w:rPr>
      </w:pPr>
      <w:r>
        <w:rPr>
          <w:rFonts w:ascii="Times New Roman" w:hAnsi="Times New Roman" w:eastAsia="宋体" w:cs="宋体"/>
          <w:b/>
          <w:bCs/>
          <w:color w:val="auto"/>
          <w:szCs w:val="21"/>
          <w:highlight w:val="none"/>
        </w:rPr>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s="宋体"/>
          <w:b/>
          <w:bCs/>
          <w:color w:val="auto"/>
          <w:szCs w:val="21"/>
          <w:highlight w:val="none"/>
        </w:rPr>
        <w:t xml:space="preserve">五、</w:t>
      </w:r>
      <w:r>
        <w:rPr>
          <w:rFonts w:hint="eastAsia" w:ascii="Times New Roman" w:hAnsi="Times New Roman" w:eastAsia="宋体" w:cs="宋体"/>
          <w:b/>
          <w:color w:val="auto"/>
          <w:szCs w:val="21"/>
          <w:highlight w:val="none"/>
        </w:rPr>
        <w:t xml:space="preserve">实物套餐（包四、包五）技术要求</w:t>
      </w:r>
      <w:r/>
    </w:p>
    <w:p>
      <w:pPr>
        <w:ind w:firstLine="411"/>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实物套餐：端午节、中秋节两个节日套餐（基本套餐、生鲜套餐）。</w:t>
      </w:r>
      <w:r/>
    </w:p>
    <w:p>
      <w:pPr>
        <w:ind w:firstLine="420"/>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color w:val="auto"/>
          <w:szCs w:val="21"/>
          <w:highlight w:val="none"/>
        </w:rPr>
        <w:t xml:space="preserve">所供产品的剩余保质期不少于有效保质期的一半，端午节供货期为</w:t>
      </w:r>
      <w:r>
        <w:rPr>
          <w:rFonts w:hint="eastAsia" w:ascii="Times New Roman" w:hAnsi="Times New Roman" w:eastAsia="宋体" w:cs="宋体"/>
          <w:color w:val="auto"/>
          <w:szCs w:val="21"/>
          <w:highlight w:val="none"/>
          <w:u w:val="single"/>
        </w:rPr>
        <w:t xml:space="preserve">2026年6月15日，最终以学校通知为准</w:t>
      </w:r>
      <w:r>
        <w:rPr>
          <w:rFonts w:hint="eastAsia" w:ascii="Times New Roman" w:hAnsi="Times New Roman" w:eastAsia="宋体" w:cs="宋体"/>
          <w:color w:val="auto"/>
          <w:szCs w:val="21"/>
          <w:highlight w:val="none"/>
        </w:rPr>
        <w:t xml:space="preserve">。中秋节供货期</w:t>
      </w:r>
      <w:r>
        <w:rPr>
          <w:rFonts w:hint="eastAsia" w:ascii="Times New Roman" w:hAnsi="Times New Roman" w:eastAsia="宋体" w:cs="宋体"/>
          <w:color w:val="auto"/>
          <w:szCs w:val="21"/>
          <w:highlight w:val="none"/>
          <w:u w:val="single"/>
        </w:rPr>
        <w:t xml:space="preserve">2026年9月21日，最终以学校通知为准</w:t>
      </w:r>
      <w:r>
        <w:rPr>
          <w:rFonts w:hint="eastAsia" w:ascii="Times New Roman" w:hAnsi="Times New Roman" w:eastAsia="宋体" w:cs="宋体"/>
          <w:color w:val="auto"/>
          <w:szCs w:val="21"/>
          <w:highlight w:val="none"/>
        </w:rPr>
        <w:t xml:space="preserve">。</w:t>
      </w:r>
      <w:r/>
    </w:p>
    <w:p>
      <w:pPr>
        <w:pageBreakBefore w:val="0"/>
        <w:spacing w:line="360" w:lineRule="auto"/>
        <w:rPr>
          <w:rFonts w:ascii="Times New Roman" w:hAnsi="Times New Roman" w:eastAsia="宋体" w:cs="宋体"/>
          <w:b/>
          <w:bCs/>
          <w:color w:val="auto"/>
          <w:szCs w:val="21"/>
          <w:highlight w:val="none"/>
        </w:rPr>
      </w:pPr>
      <w:r>
        <w:rPr>
          <w:rFonts w:ascii="Times New Roman" w:hAnsi="Times New Roman" w:eastAsia="宋体" w:cs="宋体"/>
          <w:b/>
          <w:bCs/>
          <w:color w:val="auto"/>
          <w:szCs w:val="21"/>
          <w:highlight w:val="none"/>
        </w:rPr>
      </w:r>
      <w:r/>
    </w:p>
    <w:p>
      <w:pP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六、</w:t>
      </w:r>
      <w:r>
        <w:rPr>
          <w:rFonts w:hint="eastAsia" w:ascii="Times New Roman" w:hAnsi="Times New Roman" w:eastAsia="宋体" w:cs="宋体"/>
          <w:b/>
          <w:color w:val="auto"/>
          <w:szCs w:val="21"/>
          <w:highlight w:val="none"/>
        </w:rPr>
        <w:t xml:space="preserve">实物套餐（包四、包五）商务</w:t>
      </w:r>
      <w:r>
        <w:rPr>
          <w:rFonts w:hint="eastAsia" w:ascii="Times New Roman" w:hAnsi="Times New Roman" w:eastAsia="宋体" w:cs="宋体"/>
          <w:b/>
          <w:bCs/>
          <w:color w:val="auto"/>
          <w:szCs w:val="21"/>
          <w:highlight w:val="none"/>
        </w:rPr>
        <w:t xml:space="preserve">要求</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w:t>
      </w:r>
      <w:r>
        <w:rPr>
          <w:rFonts w:hint="eastAsia" w:ascii="Times New Roman" w:hAnsi="Times New Roman" w:eastAsia="宋体" w:cs="宋体"/>
          <w:color w:val="auto"/>
          <w:szCs w:val="21"/>
          <w:highlight w:val="none"/>
          <w:lang w:val="en-US" w:eastAsia="zh-CN"/>
        </w:rPr>
        <w:t xml:space="preserve">每包包含</w:t>
      </w:r>
      <w:r>
        <w:rPr>
          <w:rFonts w:hint="eastAsia" w:ascii="Times New Roman" w:hAnsi="Times New Roman" w:eastAsia="宋体" w:cs="宋体"/>
          <w:color w:val="auto"/>
          <w:szCs w:val="21"/>
          <w:highlight w:val="none"/>
        </w:rPr>
        <w:t xml:space="preserve">两个套餐（基本套餐和生鲜套餐），</w:t>
      </w:r>
      <w:r>
        <w:rPr>
          <w:rFonts w:hint="eastAsia" w:ascii="Times New Roman" w:hAnsi="Times New Roman" w:eastAsia="宋体" w:cs="宋体"/>
          <w:b/>
          <w:bCs/>
          <w:color w:val="auto"/>
          <w:szCs w:val="21"/>
          <w:highlight w:val="none"/>
        </w:rPr>
        <w:t xml:space="preserve">包四、包五单独报价，单独评审。</w:t>
      </w:r>
      <w:r>
        <w:rPr>
          <w:rFonts w:hint="eastAsia" w:ascii="Times New Roman" w:hAnsi="Times New Roman" w:eastAsia="宋体" w:cs="宋体"/>
          <w:color w:val="auto"/>
          <w:szCs w:val="21"/>
          <w:highlight w:val="none"/>
        </w:rPr>
        <w:t xml:space="preserve">两个套餐采购人实际支付金额为固定价500元/套，投标人在此基础上填报卖场价格。本次招标的食品均为预包装食品，其标签标志应符合《食品标识管理规定》以及《食品安全国家标准预包装食品标签通则》的相关规定。</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基本套餐（须含食用油、大米），生鲜套餐以冷冻生鲜食品为主。两个套餐内建议不放入蜂蜜、橄榄油、腌腊类生熟制品。同一品牌的同一规格商品不得在套餐间重复。基本套餐和生鲜套餐必须同时适用于端午和中秋两个节日，其中基本套餐中食用油单独发放，无需包装，剩余产品合并包装后发放。</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3.两个套餐均须提供全部样品和外包装物</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如有样品摆放需求，投标人应在样品中提供样品摆放的彩色照片，工作人员将参照彩色照片进行摆放，未提供照片的，工作人员将自行摆放。</w:t>
      </w:r>
      <w:r>
        <w:rPr>
          <w:rFonts w:hint="eastAsia" w:ascii="Times New Roman" w:hAnsi="Times New Roman" w:eastAsia="宋体" w:cs="宋体"/>
          <w:color w:val="auto"/>
          <w:szCs w:val="21"/>
          <w:highlight w:val="none"/>
        </w:rPr>
        <w:t xml:space="preserve">所有样品均需提供对应商品在卖场（如大润发、麦德龙、宏信龙或盒马超市等）的现场实拍价格标签图片或购物小票，每张价格标签图片或购物小票必须清晰。如投标人提供的是现场实拍价格标签图片，应以文字形式注明本次记录的拍摄时间和卖场名称，拍摄时间应在自招标公告发布之日起至投标文件接收结束时间期间。如投标人提供的是购物小票，小票日期应在自招标公告发布之日起至投标文件接收结束时间期间，且小票能够体现卖场名称。</w:t>
      </w:r>
      <w:r>
        <w:rPr>
          <w:rFonts w:hint="eastAsia" w:ascii="Times New Roman" w:hAnsi="Times New Roman" w:eastAsia="宋体" w:cs="宋体"/>
          <w:i/>
          <w:iCs/>
          <w:color w:val="auto"/>
          <w:szCs w:val="21"/>
          <w:highlight w:val="none"/>
          <w:u w:val="single"/>
        </w:rPr>
        <w:t xml:space="preserve">如样品与实拍价格标签图片（或购物小票）不完全对应或不满足上述要求，均视为无效投标</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4.两个套餐食品分别装于统一的包装物内，除基本套餐中的食用油单独发放外，同一套餐外包装物只有1个。每个套餐外包装上需注明套餐名称（A基本套餐、B生鲜套餐）。</w:t>
      </w:r>
      <w:r>
        <w:rPr>
          <w:rFonts w:hint="eastAsia" w:ascii="Times New Roman" w:hAnsi="Times New Roman" w:eastAsia="宋体" w:cs="宋体"/>
          <w:color w:val="auto"/>
          <w:szCs w:val="21"/>
          <w:highlight w:val="none"/>
          <w:lang w:val="en-US" w:eastAsia="zh-CN"/>
        </w:rPr>
        <w:t xml:space="preserve">如投标人同时参投包四和包五，且两个包套餐内容一致，可只提供一份样品（包含A基本套餐和B生鲜套餐）。</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5.两个套餐中每个套餐只能投一组商品。每个套餐不少于6个品种。</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6.报价包括运输费、装卸费、税金等全部费用，采购单位不再支付其它费用。</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7.所采购食品需按要求送货、卸货到指定的地点。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8.送标样品为市场常规规格及包装（不接受样品及包装物以外的物品进入样品接收现场）。</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9.每张A4纸上放一张实物照片和一张卖场价格标签照片（或购物小票），照片（或购物小票）需清晰可辨，并注明该食品所在卖场门店名称对应的详细地址，按分项报价表的产品顺序排列，放在投标文件中。</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w:t>
      </w:r>
      <w:r>
        <w:rPr>
          <w:rFonts w:hint="eastAsia" w:ascii="Times New Roman" w:hAnsi="Times New Roman" w:eastAsia="宋体"/>
          <w:color w:val="auto"/>
          <w:highlight w:val="none"/>
        </w:rPr>
        <w:t xml:space="preserve">包四的中标人</w:t>
      </w:r>
      <w:bookmarkStart w:id="130" w:name="OLE_LINK1"/>
      <w:r/>
      <w:bookmarkStart w:id="131" w:name="OLE_LINK2"/>
      <w:r>
        <w:rPr>
          <w:rFonts w:hint="eastAsia" w:ascii="Times New Roman" w:hAnsi="Times New Roman" w:eastAsia="宋体"/>
          <w:color w:val="auto"/>
          <w:highlight w:val="none"/>
        </w:rPr>
        <w:t xml:space="preserve">负责</w:t>
      </w:r>
      <w:bookmarkEnd w:id="130"/>
      <w:r/>
      <w:bookmarkEnd w:id="131"/>
      <w:r>
        <w:rPr>
          <w:rFonts w:hint="eastAsia" w:ascii="Times New Roman" w:hAnsi="Times New Roman" w:eastAsia="宋体"/>
          <w:color w:val="auto"/>
          <w:highlight w:val="none"/>
        </w:rPr>
        <w:t xml:space="preserve">端午节</w:t>
      </w:r>
      <w:bookmarkStart w:id="132" w:name="OLE_LINK3"/>
      <w:r/>
      <w:bookmarkStart w:id="133" w:name="OLE_LINK4"/>
      <w:r>
        <w:rPr>
          <w:rFonts w:hint="eastAsia" w:ascii="Times New Roman" w:hAnsi="Times New Roman" w:eastAsia="宋体"/>
          <w:color w:val="auto"/>
          <w:highlight w:val="none"/>
        </w:rPr>
        <w:t xml:space="preserve">供货</w:t>
      </w:r>
      <w:bookmarkEnd w:id="132"/>
      <w:r/>
      <w:bookmarkEnd w:id="133"/>
      <w:r>
        <w:rPr>
          <w:rFonts w:hint="eastAsia" w:ascii="Times New Roman" w:hAnsi="Times New Roman" w:eastAsia="宋体"/>
          <w:color w:val="auto"/>
          <w:highlight w:val="none"/>
        </w:rPr>
        <w:t xml:space="preserve">，包五的中标人负责中秋节供货。</w:t>
      </w:r>
      <w:r/>
    </w:p>
    <w:p>
      <w:pPr>
        <w:pageBreakBefore w:val="0"/>
        <w:spacing w:line="360" w:lineRule="auto"/>
        <w:rPr>
          <w:rFonts w:ascii="Times New Roman" w:hAnsi="Times New Roman" w:eastAsia="宋体" w:cs="宋体"/>
          <w:b/>
          <w:color w:val="auto"/>
          <w:szCs w:val="21"/>
          <w:highlight w:val="none"/>
        </w:rPr>
      </w:pPr>
      <w:r>
        <w:rPr>
          <w:rFonts w:ascii="Times New Roman" w:hAnsi="Times New Roman" w:eastAsia="宋体" w:cs="宋体"/>
          <w:b/>
          <w:color w:val="auto"/>
          <w:szCs w:val="21"/>
          <w:highlight w:val="none"/>
        </w:rPr>
      </w:r>
      <w:r/>
    </w:p>
    <w:p>
      <w:pP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七、节能产品要求</w:t>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iCs/>
          <w:color w:val="auto"/>
          <w:szCs w:val="21"/>
          <w:highlight w:val="none"/>
        </w:rPr>
        <w:t xml:space="preserve">本次拟采购的产品</w:t>
      </w:r>
      <w:r>
        <w:rPr>
          <w:rFonts w:hint="eastAsia" w:ascii="Times New Roman" w:hAnsi="Times New Roman" w:eastAsia="宋体" w:cs="宋体"/>
          <w:iCs/>
          <w:color w:val="auto"/>
          <w:szCs w:val="21"/>
          <w:highlight w:val="none"/>
        </w:rPr>
        <w:t xml:space="preserve">如</w:t>
      </w:r>
      <w:r>
        <w:rPr>
          <w:rFonts w:ascii="Times New Roman" w:hAnsi="Times New Roman" w:eastAsia="宋体" w:cs="宋体"/>
          <w:iCs/>
          <w:color w:val="auto"/>
          <w:szCs w:val="21"/>
          <w:highlight w:val="none"/>
        </w:rPr>
        <w:t xml:space="preserve">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eastAsia="宋体" w:cs="宋体"/>
          <w:iCs/>
          <w:color w:val="auto"/>
          <w:szCs w:val="21"/>
          <w:highlight w:val="none"/>
        </w:rPr>
        <w:t xml:space="preserve">，</w:t>
      </w:r>
      <w:r>
        <w:rPr>
          <w:rFonts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ascii="Times New Roman" w:hAnsi="Times New Roman" w:eastAsia="宋体" w:cs="宋体"/>
          <w:b/>
          <w:bCs/>
          <w:i/>
          <w:iCs/>
          <w:color w:val="auto"/>
          <w:szCs w:val="21"/>
          <w:highlight w:val="none"/>
          <w:u w:val="single"/>
        </w:rPr>
        <w:t xml:space="preserve">（本项目涉及强制采购范围内产品有：</w:t>
      </w:r>
      <w:r>
        <w:rPr>
          <w:rFonts w:hint="eastAsia" w:ascii="Times New Roman" w:hAnsi="Times New Roman" w:eastAsia="宋体" w:cs="宋体"/>
          <w:b/>
          <w:bCs/>
          <w:i/>
          <w:iCs/>
          <w:color w:val="auto"/>
          <w:szCs w:val="21"/>
          <w:highlight w:val="none"/>
          <w:u w:val="single"/>
        </w:rPr>
        <w:t xml:space="preserve">无</w:t>
      </w:r>
      <w:r>
        <w:rPr>
          <w:rFonts w:ascii="Times New Roman" w:hAnsi="Times New Roman" w:eastAsia="宋体" w:cs="宋体"/>
          <w:b/>
          <w:bCs/>
          <w:i/>
          <w:iCs/>
          <w:color w:val="auto"/>
          <w:szCs w:val="21"/>
          <w:highlight w:val="none"/>
          <w:u w:val="single"/>
        </w:rPr>
        <w:t xml:space="preserve">）</w:t>
      </w:r>
      <w:r>
        <w:rPr>
          <w:rFonts w:hint="eastAsia" w:ascii="Times New Roman" w:hAnsi="Times New Roman" w:eastAsia="宋体" w:cs="宋体"/>
          <w:color w:val="auto"/>
          <w:szCs w:val="21"/>
          <w:highlight w:val="none"/>
        </w:rPr>
        <w:t xml:space="preserve">。</w:t>
      </w:r>
      <w:r/>
    </w:p>
    <w:p>
      <w:pPr>
        <w:ind w:firstLine="420"/>
        <w:jc w:val="left"/>
        <w:pageBreakBefore w:val="0"/>
        <w:spacing w:line="360" w:lineRule="auto"/>
        <w:rPr>
          <w:rFonts w:ascii="Times New Roman" w:hAnsi="Times New Roman" w:eastAsia="宋体" w:cs="宋体"/>
          <w:i/>
          <w:iCs/>
          <w:color w:val="auto"/>
          <w:szCs w:val="21"/>
          <w:highlight w:val="none"/>
          <w:u w:val="single"/>
        </w:rPr>
      </w:pPr>
      <w:r>
        <w:rPr>
          <w:rFonts w:ascii="Times New Roman" w:hAnsi="Times New Roman" w:eastAsia="宋体" w:cs="宋体"/>
          <w:i/>
          <w:iCs/>
          <w:color w:val="auto"/>
          <w:szCs w:val="21"/>
          <w:highlight w:val="none"/>
          <w:u w:val="single"/>
        </w:rPr>
      </w:r>
      <w:r/>
    </w:p>
    <w:p>
      <w:pP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八、政府采购中实施本国产品标准及相关政策</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1.本项目对采购本国产品给予政策支持，具体内容见招标文件“第五章 评标方法与评标标准”。</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ageBreakBefore w:val="0"/>
        <w:spacing w:line="360" w:lineRule="auto"/>
        <w:rPr>
          <w:rFonts w:ascii="Times New Roman" w:hAnsi="Times New Roman" w:eastAsia="宋体" w:cs="宋体"/>
          <w:b/>
          <w:bCs/>
          <w:color w:val="auto"/>
          <w:szCs w:val="21"/>
          <w:highlight w:val="none"/>
        </w:rPr>
      </w:pPr>
      <w:r>
        <w:rPr>
          <w:rFonts w:ascii="Times New Roman" w:hAnsi="Times New Roman" w:eastAsia="宋体" w:cs="宋体"/>
          <w:b/>
          <w:bCs/>
          <w:color w:val="auto"/>
          <w:szCs w:val="21"/>
          <w:highlight w:val="none"/>
        </w:rPr>
      </w:r>
      <w:r/>
    </w:p>
    <w:p>
      <w:pPr>
        <w:ind w:firstLine="420"/>
        <w:pageBreakBefore w:val="0"/>
        <w:spacing w:line="360" w:lineRule="auto"/>
        <w:rPr>
          <w:rFonts w:ascii="Times New Roman" w:hAnsi="Times New Roman" w:eastAsia="宋体" w:cs="宋体"/>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s="宋体"/>
          <w:color w:val="auto"/>
          <w:szCs w:val="21"/>
          <w:highlight w:val="none"/>
        </w:rPr>
      </w:r>
      <w:r/>
    </w:p>
    <w:p>
      <w:pPr>
        <w:pStyle w:val="946"/>
        <w:jc w:val="center"/>
        <w:pageBreakBefore w:val="0"/>
        <w:spacing w:before="0" w:after="0" w:line="360" w:lineRule="auto"/>
        <w:rPr>
          <w:rFonts w:ascii="Times New Roman" w:hAnsi="Times New Roman" w:eastAsia="宋体"/>
          <w:color w:val="auto"/>
          <w:sz w:val="36"/>
          <w:highlight w:val="none"/>
        </w:rPr>
      </w:pPr>
      <w:r/>
      <w:bookmarkStart w:id="134" w:name="_Toc27003"/>
      <w:r>
        <w:rPr>
          <w:rFonts w:hint="eastAsia" w:ascii="Times New Roman" w:hAnsi="Times New Roman" w:eastAsia="宋体"/>
          <w:color w:val="auto"/>
          <w:sz w:val="36"/>
          <w:highlight w:val="none"/>
        </w:rPr>
        <w:t xml:space="preserve">第五章 评标方法及评标标准</w:t>
      </w:r>
      <w:bookmarkEnd w:id="128"/>
      <w:r/>
      <w:bookmarkEnd w:id="134"/>
      <w:r/>
      <w:r/>
    </w:p>
    <w:p>
      <w:pPr>
        <w:pStyle w:val="1065"/>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106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项目采用综合评分法，评委会将对确定为实质性响应采购文件要求的投标文件进行评价和比较。评审结果按综合得分由高到低顺序排列。得分相同的，按报价由低到高顺序排列。得分且报价相同的并列，投标文件满足采购文件全部实质性要求，且按照评审因素的量化指标评审得分最高的前三名供应商为中标候选人（文件另有约定的除外）。</w:t>
      </w:r>
      <w:r/>
    </w:p>
    <w:p>
      <w:pPr>
        <w:pStyle w:val="1065"/>
        <w:ind w:firstLine="420"/>
        <w:pageBreakBefore w:val="0"/>
        <w:spacing w:before="0" w:after="0" w:line="360" w:lineRule="auto"/>
        <w:rPr>
          <w:rFonts w:ascii="Times New Roman" w:hAnsi="Times New Roman" w:eastAsia="宋体"/>
          <w:color w:val="auto"/>
          <w:sz w:val="21"/>
          <w:szCs w:val="21"/>
          <w:highlight w:val="none"/>
        </w:rPr>
      </w:pPr>
      <w:r/>
      <w:bookmarkStart w:id="135" w:name="_Toc449016388"/>
      <w:r/>
      <w:bookmarkStart w:id="136" w:name="_Toc449017024"/>
      <w:r>
        <w:rPr>
          <w:rFonts w:hint="eastAsia" w:ascii="Times New Roman" w:hAnsi="Times New Roman" w:eastAsia="宋体"/>
          <w:color w:val="auto"/>
          <w:sz w:val="21"/>
          <w:szCs w:val="21"/>
          <w:highlight w:val="none"/>
        </w:rPr>
        <w:t xml:space="preserve">确定各包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单包中标候选人不满三家，该包终止采购。</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若同一投标人在包一、包二和包三</w:t>
      </w:r>
      <w:r>
        <w:rPr>
          <w:rFonts w:hint="eastAsia" w:ascii="Times New Roman" w:hAnsi="Times New Roman" w:eastAsia="宋体"/>
          <w:color w:val="auto"/>
          <w:szCs w:val="21"/>
          <w:highlight w:val="none"/>
          <w:lang w:val="en-US" w:eastAsia="zh-CN"/>
        </w:rPr>
        <w:t xml:space="preserve">多包</w:t>
      </w:r>
      <w:r>
        <w:rPr>
          <w:rFonts w:hint="eastAsia" w:ascii="Times New Roman" w:hAnsi="Times New Roman" w:eastAsia="宋体"/>
          <w:color w:val="auto"/>
          <w:szCs w:val="21"/>
          <w:highlight w:val="none"/>
        </w:rPr>
        <w:t xml:space="preserve">总分排名第一，且投标报价（券面总金额）不同，则根据其报价（券面总金额）最高的确定为相应包</w:t>
      </w:r>
      <w:bookmarkStart w:id="137" w:name="OLE_LINK5"/>
      <w:r>
        <w:rPr>
          <w:rFonts w:hint="eastAsia" w:ascii="Times New Roman" w:hAnsi="Times New Roman" w:eastAsia="宋体"/>
          <w:color w:val="auto"/>
          <w:szCs w:val="21"/>
          <w:highlight w:val="none"/>
        </w:rPr>
        <w:t xml:space="preserve">第一</w:t>
      </w:r>
      <w:bookmarkEnd w:id="137"/>
      <w:r>
        <w:rPr>
          <w:rFonts w:hint="eastAsia" w:ascii="Times New Roman" w:hAnsi="Times New Roman" w:eastAsia="宋体"/>
          <w:color w:val="auto"/>
          <w:szCs w:val="21"/>
          <w:highlight w:val="none"/>
        </w:rPr>
        <w:t xml:space="preserve">中标候选人，其他包不再参与中标候选人推选，以此类推。</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若同一投标人在包一、包二和包三</w:t>
      </w:r>
      <w:r>
        <w:rPr>
          <w:rFonts w:hint="eastAsia" w:ascii="Times New Roman" w:hAnsi="Times New Roman" w:eastAsia="宋体"/>
          <w:color w:val="auto"/>
          <w:szCs w:val="21"/>
          <w:highlight w:val="none"/>
          <w:lang w:val="en-US" w:eastAsia="zh-CN"/>
        </w:rPr>
        <w:t xml:space="preserve">多包</w:t>
      </w:r>
      <w:r>
        <w:rPr>
          <w:rFonts w:hint="eastAsia" w:ascii="Times New Roman" w:hAnsi="Times New Roman" w:eastAsia="宋体"/>
          <w:color w:val="auto"/>
          <w:szCs w:val="21"/>
          <w:highlight w:val="none"/>
        </w:rPr>
        <w:t xml:space="preserve">总分排名第一，且投标报价（券面总金额）相同，则根据包一→包二→包三的顺序，确</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 xml:space="preserve">定中标候选人。同一投标人已在前包被确定为第一中标候选人，其他包不再参与中标候选人推选，以此类推。</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若同一投标人在包四和包五同时总分排名第一，且投标报价（两个套餐食品的</w:t>
      </w:r>
      <w:r>
        <w:rPr>
          <w:rFonts w:hint="eastAsia" w:ascii="Times New Roman" w:hAnsi="Times New Roman" w:eastAsia="宋体"/>
          <w:color w:val="auto"/>
          <w:szCs w:val="21"/>
          <w:highlight w:val="none"/>
          <w:lang w:eastAsia="zh-CN"/>
        </w:rPr>
        <w:t xml:space="preserve">卖场</w:t>
      </w:r>
      <w:r>
        <w:rPr>
          <w:rFonts w:hint="eastAsia" w:ascii="Times New Roman" w:hAnsi="Times New Roman" w:eastAsia="宋体"/>
          <w:color w:val="auto"/>
          <w:szCs w:val="21"/>
          <w:highlight w:val="none"/>
        </w:rPr>
        <w:t xml:space="preserve">报价之和）不同，则根据其报价（两个套餐食品的</w:t>
      </w:r>
      <w:r>
        <w:rPr>
          <w:rFonts w:hint="eastAsia" w:ascii="Times New Roman" w:hAnsi="Times New Roman" w:eastAsia="宋体"/>
          <w:color w:val="auto"/>
          <w:szCs w:val="21"/>
          <w:highlight w:val="none"/>
          <w:lang w:eastAsia="zh-CN"/>
        </w:rPr>
        <w:t xml:space="preserve">卖场</w:t>
      </w:r>
      <w:r>
        <w:rPr>
          <w:rFonts w:hint="eastAsia" w:ascii="Times New Roman" w:hAnsi="Times New Roman" w:eastAsia="宋体"/>
          <w:color w:val="auto"/>
          <w:szCs w:val="21"/>
          <w:highlight w:val="none"/>
        </w:rPr>
        <w:t xml:space="preserve">报价之和）最高的</w:t>
      </w:r>
      <w:bookmarkStart w:id="138" w:name="OLE_LINK6"/>
      <w:r/>
      <w:bookmarkStart w:id="139" w:name="OLE_LINK7"/>
      <w:r>
        <w:rPr>
          <w:rFonts w:hint="eastAsia" w:ascii="Times New Roman" w:hAnsi="Times New Roman" w:eastAsia="宋体"/>
          <w:color w:val="auto"/>
          <w:szCs w:val="21"/>
          <w:highlight w:val="none"/>
        </w:rPr>
        <w:t xml:space="preserve">确定为相应包第一中标候选人</w:t>
      </w:r>
      <w:bookmarkEnd w:id="138"/>
      <w:r/>
      <w:bookmarkEnd w:id="139"/>
      <w:r>
        <w:rPr>
          <w:rFonts w:hint="eastAsia" w:ascii="Times New Roman" w:hAnsi="Times New Roman" w:eastAsia="宋体"/>
          <w:color w:val="auto"/>
          <w:szCs w:val="21"/>
          <w:highlight w:val="none"/>
        </w:rPr>
        <w:t xml:space="preserve">，其他包不再参与中标候选人推选。</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若同一投标人在包四和包五同时总分排名第一，且投标报价（两个套餐食品的</w:t>
      </w:r>
      <w:r>
        <w:rPr>
          <w:rFonts w:hint="eastAsia" w:ascii="Times New Roman" w:hAnsi="Times New Roman" w:eastAsia="宋体"/>
          <w:color w:val="auto"/>
          <w:szCs w:val="21"/>
          <w:highlight w:val="none"/>
          <w:lang w:eastAsia="zh-CN"/>
        </w:rPr>
        <w:t xml:space="preserve">卖场</w:t>
      </w:r>
      <w:r>
        <w:rPr>
          <w:rFonts w:hint="eastAsia" w:ascii="Times New Roman" w:hAnsi="Times New Roman" w:eastAsia="宋体"/>
          <w:color w:val="auto"/>
          <w:szCs w:val="21"/>
          <w:highlight w:val="none"/>
        </w:rPr>
        <w:t xml:space="preserve">报价之和）相同，则根据包四→包五的顺序，确定中标候选人。同一投标人已在包四被确定为第一中标候选人，包五不再参与中标候选人推选。</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135"/>
      <w:r/>
      <w:bookmarkEnd w:id="136"/>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65"/>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106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10</w:t>
      </w:r>
      <w:r>
        <w:rPr>
          <w:rFonts w:ascii="Times New Roman" w:hAnsi="Times New Roman" w:eastAsia="宋体"/>
          <w:color w:val="auto"/>
          <w:sz w:val="21"/>
          <w:szCs w:val="21"/>
          <w:highlight w:val="none"/>
        </w:rPr>
        <w:t xml:space="preserve">%的扣除价格，用扣除后的价格参与评审。</w:t>
      </w:r>
      <w:r/>
    </w:p>
    <w:p>
      <w:pPr>
        <w:pStyle w:val="106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1065"/>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106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10</w:t>
      </w:r>
      <w:r>
        <w:rPr>
          <w:rFonts w:ascii="Times New Roman" w:hAnsi="Times New Roman" w:eastAsia="宋体"/>
          <w:color w:val="auto"/>
          <w:sz w:val="21"/>
          <w:szCs w:val="21"/>
          <w:highlight w:val="none"/>
        </w:rPr>
        <w:t xml:space="preserve">%的价格扣除，用扣除后的价格参与评审。</w:t>
      </w:r>
      <w:r/>
    </w:p>
    <w:p>
      <w:pPr>
        <w:pStyle w:val="1065"/>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106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1065"/>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106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10</w:t>
      </w:r>
      <w:r>
        <w:rPr>
          <w:rFonts w:ascii="Times New Roman" w:hAnsi="Times New Roman" w:eastAsia="宋体"/>
          <w:color w:val="auto"/>
          <w:sz w:val="21"/>
          <w:szCs w:val="21"/>
          <w:highlight w:val="none"/>
        </w:rPr>
        <w:t xml:space="preserve">%的价格扣除，用扣除后的价格参与评审。</w:t>
      </w:r>
      <w:r/>
    </w:p>
    <w:p>
      <w:pPr>
        <w:pStyle w:val="106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含新疆生产建设兵团</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出具的属于监狱企业的证明文件。供应商如不提供上述证明文件，价格将不做相应扣除。</w:t>
      </w:r>
      <w:r/>
    </w:p>
    <w:p>
      <w:pPr>
        <w:pStyle w:val="106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（3）监狱企业标准请参照《关于政府采购支持监狱企业发展有关问题的通知》（财库[2014]68号）。</w:t>
      </w:r>
      <w:r/>
    </w:p>
    <w:p>
      <w:pPr>
        <w:pStyle w:val="1065"/>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106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4</w:t>
      </w:r>
      <w:r>
        <w:rPr>
          <w:rFonts w:ascii="Times New Roman" w:hAnsi="Times New Roman" w:eastAsia="宋体"/>
          <w:color w:val="auto"/>
          <w:sz w:val="21"/>
          <w:szCs w:val="21"/>
          <w:highlight w:val="none"/>
        </w:rPr>
        <w:t xml:space="preserve">%的价格扣除，用扣除后的价格参与评审。</w:t>
      </w:r>
      <w:r/>
    </w:p>
    <w:p>
      <w:pPr>
        <w:pStyle w:val="106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10</w:t>
      </w:r>
      <w:r>
        <w:rPr>
          <w:rFonts w:ascii="Times New Roman" w:hAnsi="Times New Roman" w:eastAsia="宋体"/>
          <w:color w:val="auto"/>
          <w:sz w:val="21"/>
          <w:szCs w:val="21"/>
          <w:highlight w:val="none"/>
        </w:rPr>
        <w:t xml:space="preserve">%价格扣除，用扣除后的价格参与评审。</w:t>
      </w:r>
      <w:r/>
    </w:p>
    <w:p>
      <w:pPr>
        <w:pStyle w:val="106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7、大中型企业向小型、微型企业分包的，分包意向协议约定小型、微型企业合同份额占到合同总金额30%以上的，给予4</w:t>
      </w: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rPr>
        <w:t xml:space="preserve">的价格扣除，用扣除后的价格参与评审</w:t>
      </w:r>
      <w:r>
        <w:rPr>
          <w:rFonts w:hint="eastAsia" w:ascii="Times New Roman" w:hAnsi="Times New Roman" w:eastAsia="宋体"/>
          <w:color w:val="auto"/>
          <w:sz w:val="21"/>
          <w:szCs w:val="21"/>
          <w:highlight w:val="none"/>
        </w:rPr>
        <w:t xml:space="preserve">。</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8、采购本国产品的支持政策</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1"/>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三、评标标准</w:t>
      </w:r>
      <w:bookmarkStart w:id="140" w:name="_Toc497133123"/>
      <w:r/>
      <w:r/>
    </w:p>
    <w:p>
      <w:pPr>
        <w:ind w:firstLine="211"/>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b/>
          <w:bCs/>
          <w:color w:val="auto"/>
          <w:highlight w:val="none"/>
        </w:rPr>
        <w:t xml:space="preserve">包一、包二、包三：</w:t>
      </w:r>
      <w:r/>
    </w:p>
    <w:tbl>
      <w:tblPr>
        <w:tblStyle w:val="956"/>
        <w:tblW w:w="7842" w:type="dxa"/>
        <w:tblInd w:w="288" w:type="dxa"/>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5067"/>
        <w:gridCol w:w="1335"/>
      </w:tblGrid>
      <w:tr>
        <w:trPr>
          <w:trHeight w:val="685"/>
        </w:trPr>
        <w:tc>
          <w:tcPr>
            <w:tcW w:w="144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类　别</w:t>
            </w:r>
            <w:r/>
          </w:p>
        </w:tc>
        <w:tc>
          <w:tcPr>
            <w:tcW w:w="5067" w:type="dxa"/>
            <w:vAlign w:val="center"/>
            <w:textDirection w:val="lrTb"/>
            <w:noWrap w:val="false"/>
          </w:tcPr>
          <w:p>
            <w:pPr>
              <w:ind w:firstLine="949"/>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评分原则</w:t>
            </w:r>
            <w:r/>
          </w:p>
        </w:tc>
        <w:tc>
          <w:tcPr>
            <w:tcW w:w="1335"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备注</w:t>
            </w:r>
            <w:r/>
          </w:p>
        </w:tc>
      </w:tr>
      <w:tr>
        <w:trPr>
          <w:trHeight w:val="1364"/>
        </w:trPr>
        <w:tc>
          <w:tcPr>
            <w:tcW w:w="144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商务报价</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40分</w:t>
            </w:r>
            <w:r/>
          </w:p>
        </w:tc>
        <w:tc>
          <w:tcPr>
            <w:tcW w:w="506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提货劵券面总金额不低于535元。券面总金额最高价作为评标基准价，其价格分为满分40分。其他投标人的价格分按照下列公式计算：价格得分=（提货劵券面总金额/评标基准价）×40，保留两位有效小数。</w:t>
            </w:r>
            <w:r/>
          </w:p>
        </w:tc>
        <w:tc>
          <w:tcPr>
            <w:tcW w:w="1335"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713"/>
        </w:trPr>
        <w:tc>
          <w:tcPr>
            <w:tcW w:w="1440" w:type="dxa"/>
            <w:vAlign w:val="center"/>
            <w:vMerge w:val="restart"/>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服务保障</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20分</w:t>
            </w:r>
            <w:r/>
          </w:p>
        </w:tc>
        <w:tc>
          <w:tcPr>
            <w:tcW w:w="5067" w:type="dxa"/>
            <w:vAlign w:val="center"/>
            <w:textDirection w:val="lrTb"/>
            <w:noWrap w:val="false"/>
          </w:tcPr>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投标人提货券使用流程、到店提货流程等的服务方案、保障措施。（10分）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内容全面细致、科学合理，完全响应需求，技术可行性强得10分；内容较为完整，较为科学合理，技术可行性较强得7分；内容基本完整，基本合理，基本响应需求，技术可行性一般得4分；内容有缺失，合理性、可行性欠缺，得1分；未提供相关内容不得分。</w:t>
            </w:r>
            <w:r/>
          </w:p>
        </w:tc>
        <w:tc>
          <w:tcPr>
            <w:tcW w:w="1335"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738"/>
        </w:trPr>
        <w:tc>
          <w:tcPr>
            <w:tcW w:w="1440" w:type="dxa"/>
            <w:vAlign w:val="center"/>
            <w:vMerge w:val="continue"/>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506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1、提货券兑换期限（5分）</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提货券兑换无</w:t>
            </w:r>
            <w:r>
              <w:rPr>
                <w:rFonts w:hint="eastAsia" w:ascii="Times New Roman" w:hAnsi="Times New Roman" w:eastAsia="宋体"/>
                <w:color w:val="auto"/>
                <w:szCs w:val="21"/>
                <w:highlight w:val="none"/>
              </w:rPr>
              <w:t xml:space="preserve">时长限制（永久有效）</w:t>
            </w:r>
            <w:r>
              <w:rPr>
                <w:rFonts w:hint="eastAsia" w:ascii="Times New Roman" w:hAnsi="Times New Roman" w:eastAsia="宋体" w:cs="宋体"/>
                <w:color w:val="auto"/>
                <w:szCs w:val="21"/>
                <w:highlight w:val="none"/>
              </w:rPr>
              <w:t xml:space="preserve">的得5分；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兑换有时长限制：</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兑换期限24个月及以上得4分；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兑换期限12个月（含）- 24个月（不含）得3分；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兑换期限6个月（含）- 12个月（不含）得2分；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兑换期限2个月（含）- 6个月（不含）得1分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兑换期限未超过2个月或未提供相关内容，不得分；</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olor w:val="auto"/>
                <w:szCs w:val="21"/>
                <w:highlight w:val="none"/>
              </w:rPr>
              <w:t xml:space="preserve">上述内容不重复计分，满分5分</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2、提货券兑换后使用有效期（5分）。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提货券使用无时长限制（永久有效）的得5分；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提货券使用有时长限制：</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使用期限24个月及以上得4分；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使用期限12个月（含）-24个月（不含）得3分；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使用期限6个月（含）-12个月（不含）得2分；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使用期限2个月（含）-6个月（不含）得1分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使用期限时长未超过2个月或未提供相关内容，不得分；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上述内容不重复计分，满分5分。</w:t>
            </w:r>
            <w:r/>
          </w:p>
        </w:tc>
        <w:tc>
          <w:tcPr>
            <w:tcW w:w="1335"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713"/>
        </w:trPr>
        <w:tc>
          <w:tcPr>
            <w:tcW w:w="144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售后服务</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方案</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20分</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5067" w:type="dxa"/>
            <w:vAlign w:val="center"/>
            <w:textDirection w:val="lrTb"/>
            <w:noWrap w:val="false"/>
          </w:tcPr>
          <w:p>
            <w:pPr>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响应时间：方案内容全面细致、科学合理，完全响应需求，技术可行性强得10分；内容较为完整，较为科学合理，技术可行性较强得7分；内容基本完整，基本合理，基本响应需求，技术可行性一般得4分；内容有缺失，合理性、可行性欠缺，得1分；未提供相关内容不得分。</w:t>
            </w:r>
            <w:r/>
          </w:p>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olor w:val="auto"/>
                <w:szCs w:val="21"/>
                <w:highlight w:val="none"/>
              </w:rPr>
              <w:t xml:space="preserve">2、质量保证措施：方案内容全面细致、科学合理，完全响应需求，技术可行性强得10分；内容较为完整，较为科学合理，技术可行性较强得7分；内容基本完整，基本合理，基本响应需求，技术可行性一般得4分；内容有缺失，合理性、可行性欠缺，得1分；未提供相关内容不得分。</w:t>
            </w:r>
            <w:r/>
          </w:p>
        </w:tc>
        <w:tc>
          <w:tcPr>
            <w:tcW w:w="1335"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641"/>
        </w:trPr>
        <w:tc>
          <w:tcPr>
            <w:tcW w:w="1440" w:type="dxa"/>
            <w:vAlign w:val="center"/>
            <w:textDirection w:val="lrTb"/>
            <w:noWrap w:val="false"/>
          </w:tcPr>
          <w:p>
            <w:pPr>
              <w:pStyle w:val="963"/>
              <w:ind w:left="0"/>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类似业绩</w:t>
            </w:r>
            <w:r/>
          </w:p>
          <w:p>
            <w:pPr>
              <w:pStyle w:val="963"/>
              <w:ind w:left="0"/>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rPr>
              <w:t xml:space="preserve">10分</w:t>
            </w:r>
            <w:r/>
          </w:p>
        </w:tc>
        <w:tc>
          <w:tcPr>
            <w:tcW w:w="5067" w:type="dxa"/>
            <w:vAlign w:val="center"/>
            <w:textDirection w:val="lrTb"/>
            <w:noWrap w:val="false"/>
          </w:tcPr>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olor w:val="auto"/>
                <w:szCs w:val="21"/>
                <w:highlight w:val="none"/>
              </w:rPr>
              <w:t xml:space="preserve">2023年1月1日至今类似业绩，每提供一份合同得</w:t>
            </w:r>
            <w:r>
              <w:rPr>
                <w:rFonts w:ascii="Times New Roman" w:hAnsi="Times New Roman" w:eastAsia="宋体"/>
                <w:color w:val="auto"/>
                <w:szCs w:val="21"/>
                <w:highlight w:val="none"/>
              </w:rPr>
              <w:t xml:space="preserve">2</w:t>
            </w:r>
            <w:r>
              <w:rPr>
                <w:rFonts w:hint="eastAsia" w:ascii="Times New Roman" w:hAnsi="Times New Roman" w:eastAsia="宋体"/>
                <w:color w:val="auto"/>
                <w:szCs w:val="21"/>
                <w:highlight w:val="none"/>
              </w:rPr>
              <w:t xml:space="preserve">分，满分</w:t>
            </w:r>
            <w:r>
              <w:rPr>
                <w:rFonts w:ascii="Times New Roman" w:hAnsi="Times New Roman" w:eastAsia="宋体"/>
                <w:color w:val="auto"/>
                <w:szCs w:val="21"/>
                <w:highlight w:val="none"/>
              </w:rPr>
              <w:t xml:space="preserve">10</w:t>
            </w:r>
            <w:r>
              <w:rPr>
                <w:rFonts w:hint="eastAsia" w:ascii="Times New Roman" w:hAnsi="Times New Roman" w:eastAsia="宋体"/>
                <w:color w:val="auto"/>
                <w:szCs w:val="21"/>
                <w:highlight w:val="none"/>
              </w:rPr>
              <w:t xml:space="preserve">分。</w:t>
            </w:r>
            <w:r>
              <w:rPr>
                <w:rFonts w:hint="eastAsia" w:ascii="Times New Roman" w:hAnsi="Times New Roman" w:eastAsia="宋体"/>
                <w:b/>
                <w:color w:val="auto"/>
                <w:szCs w:val="21"/>
                <w:highlight w:val="none"/>
                <w:u w:val="single"/>
              </w:rPr>
              <w:t xml:space="preserve">以合同签订时间为准，提供合同复印件加盖投标人公章，未提供不得分。</w:t>
            </w:r>
            <w:r/>
          </w:p>
        </w:tc>
        <w:tc>
          <w:tcPr>
            <w:tcW w:w="1335"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641"/>
        </w:trPr>
        <w:tc>
          <w:tcPr>
            <w:tcW w:w="144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服务网点</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10分</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5067" w:type="dxa"/>
            <w:vAlign w:val="center"/>
            <w:textDirection w:val="lrTb"/>
            <w:noWrap w:val="false"/>
          </w:tcPr>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在扬州市指定区域内（广陵区、邗江区、经济技术开发区、蜀冈-瘦西湖风景名胜区、生态科技新城、江都区）每有一家可供教职工提货的门店得2分，满分10分。</w:t>
            </w:r>
            <w:r>
              <w:rPr>
                <w:rFonts w:hint="eastAsia" w:ascii="Times New Roman" w:hAnsi="Times New Roman" w:eastAsia="宋体"/>
                <w:b/>
                <w:color w:val="auto"/>
                <w:szCs w:val="21"/>
                <w:highlight w:val="none"/>
                <w:u w:val="single"/>
              </w:rPr>
              <w:t xml:space="preserve">提供提货门店真实性承诺书、提货现场的门店实景图片及地图定位截图，承诺书格式自拟</w:t>
            </w:r>
            <w:r/>
          </w:p>
        </w:tc>
        <w:tc>
          <w:tcPr>
            <w:tcW w:w="1335"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641"/>
        </w:trPr>
        <w:tc>
          <w:tcPr>
            <w:gridSpan w:val="3"/>
            <w:tcW w:w="7842"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满分100分</w:t>
            </w:r>
            <w:r/>
          </w:p>
        </w:tc>
      </w:tr>
    </w:tbl>
    <w:p>
      <w:pP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说明：投标人应对投标文件的真实性负责，中标结果公告发布后直至采购合同签订前，因材料真实性受到举报、质疑、投诉的，如经查证属实，采购人有权取消其中标资格。签订合同后，采购人如发现中标人存在造假等虚假响应的行为，无法满足招标需求，将上报采购监管部门，终止合同，并对中标人处以虚假响应货物对应合同金额的十倍罚款。</w:t>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b/>
          <w:bCs/>
          <w:color w:val="auto"/>
          <w:highlight w:val="none"/>
        </w:rPr>
        <w:t xml:space="preserve">包四、包五：</w:t>
      </w:r>
      <w:r/>
    </w:p>
    <w:tbl>
      <w:tblPr>
        <w:tblStyle w:val="956"/>
        <w:tblW w:w="7994" w:type="dxa"/>
        <w:tblInd w:w="288" w:type="dxa"/>
        <w:tblBorders>
          <w:top w:val="single" w:color="auto" w:sz="4" w:space="0"/>
          <w:left w:val="single" w:color="auto" w:sz="8" w:space="0"/>
          <w:bottom w:val="single" w:color="auto" w:sz="4"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9"/>
        <w:gridCol w:w="4761"/>
        <w:gridCol w:w="1914"/>
      </w:tblGrid>
      <w:tr>
        <w:trPr>
          <w:trHeight w:val="568"/>
        </w:trPr>
        <w:tc>
          <w:tcPr>
            <w:tcW w:w="1319"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类　别</w:t>
            </w:r>
            <w:r/>
          </w:p>
        </w:tc>
        <w:tc>
          <w:tcPr>
            <w:tcW w:w="4761" w:type="dxa"/>
            <w:vAlign w:val="center"/>
            <w:textDirection w:val="lrTb"/>
            <w:noWrap w:val="false"/>
          </w:tcPr>
          <w:p>
            <w:pPr>
              <w:ind w:firstLine="949"/>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评分原则</w:t>
            </w:r>
            <w:r/>
          </w:p>
        </w:tc>
        <w:tc>
          <w:tcPr>
            <w:tcW w:w="1914"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备注</w:t>
            </w:r>
            <w:r/>
          </w:p>
        </w:tc>
      </w:tr>
      <w:tr>
        <w:trPr>
          <w:trHeight w:val="1364"/>
        </w:trPr>
        <w:tc>
          <w:tcPr>
            <w:tcW w:w="131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商务报价</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（30分）</w:t>
            </w:r>
            <w:r/>
          </w:p>
        </w:tc>
        <w:tc>
          <w:tcPr>
            <w:tcW w:w="4761"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每个实物套餐满足招标文件要求，两个套餐食品的</w:t>
            </w:r>
            <w:r>
              <w:rPr>
                <w:rFonts w:hint="eastAsia" w:ascii="Times New Roman" w:hAnsi="Times New Roman" w:eastAsia="宋体" w:cs="宋体"/>
                <w:color w:val="auto"/>
                <w:szCs w:val="21"/>
                <w:highlight w:val="none"/>
                <w:lang w:eastAsia="zh-CN"/>
              </w:rPr>
              <w:t xml:space="preserve">卖场</w:t>
            </w:r>
            <w:r>
              <w:rPr>
                <w:rFonts w:hint="eastAsia" w:ascii="Times New Roman" w:hAnsi="Times New Roman" w:eastAsia="宋体" w:cs="宋体"/>
                <w:color w:val="auto"/>
                <w:szCs w:val="21"/>
                <w:highlight w:val="none"/>
              </w:rPr>
              <w:t xml:space="preserve">报价之和的最大值为评标基准价，其价格分为满分30。其他投标人的价格分按照下列公式计算：价格得分=（所投两个套餐总价/评标基准价）×30，保留两位有效小数。</w:t>
            </w:r>
            <w:r/>
          </w:p>
        </w:tc>
        <w:tc>
          <w:tcPr>
            <w:tcW w:w="191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713"/>
        </w:trPr>
        <w:tc>
          <w:tcPr>
            <w:tcW w:w="1319" w:type="dxa"/>
            <w:vAlign w:val="center"/>
            <w:vMerge w:val="restart"/>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质量保障</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（60分）</w:t>
            </w:r>
            <w:r/>
          </w:p>
        </w:tc>
        <w:tc>
          <w:tcPr>
            <w:tcW w:w="4761" w:type="dxa"/>
            <w:vAlign w:val="center"/>
            <w:textDirection w:val="lrTb"/>
            <w:noWrap w:val="false"/>
          </w:tcPr>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套餐组合特色（盲评，</w:t>
            </w:r>
            <w:r>
              <w:rPr>
                <w:rFonts w:ascii="Times New Roman" w:hAnsi="Times New Roman" w:eastAsia="宋体" w:cs="宋体"/>
                <w:color w:val="auto"/>
                <w:szCs w:val="21"/>
                <w:highlight w:val="none"/>
              </w:rPr>
              <w:t xml:space="preserve">45</w:t>
            </w:r>
            <w:r>
              <w:rPr>
                <w:rFonts w:hint="eastAsia" w:ascii="Times New Roman" w:hAnsi="Times New Roman" w:eastAsia="宋体" w:cs="宋体"/>
                <w:color w:val="auto"/>
                <w:szCs w:val="21"/>
                <w:highlight w:val="none"/>
              </w:rPr>
              <w:t xml:space="preserve">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根据组合的商品品质，搭配的合理性等综合评分。</w:t>
            </w:r>
            <w:r/>
          </w:p>
        </w:tc>
        <w:tc>
          <w:tcPr>
            <w:tcW w:w="191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第一名得45分，第二名得42分，第三名得40分，第四名得38分，第五名及以后得35分。</w:t>
            </w:r>
            <w:r/>
          </w:p>
        </w:tc>
      </w:tr>
      <w:tr>
        <w:trPr>
          <w:trHeight w:val="1532"/>
        </w:trPr>
        <w:tc>
          <w:tcPr>
            <w:tcW w:w="1319" w:type="dxa"/>
            <w:vAlign w:val="center"/>
            <w:vMerge w:val="continue"/>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4761"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产品生产质量控制与内包装（盲评，7分）</w:t>
            </w:r>
            <w:r/>
          </w:p>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包括产品获奖、绿色标志及质量认证等。</w:t>
            </w:r>
            <w:r/>
          </w:p>
        </w:tc>
        <w:tc>
          <w:tcPr>
            <w:tcW w:w="191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第一名得7分，第二名得6分，第三名得5分，第四名及以后得4分。</w:t>
            </w:r>
            <w:r/>
          </w:p>
        </w:tc>
      </w:tr>
      <w:tr>
        <w:trPr>
          <w:trHeight w:val="713"/>
        </w:trPr>
        <w:tc>
          <w:tcPr>
            <w:tcW w:w="1319" w:type="dxa"/>
            <w:vAlign w:val="center"/>
            <w:vMerge w:val="continue"/>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4761" w:type="dxa"/>
            <w:vAlign w:val="center"/>
            <w:textDirection w:val="lrTb"/>
            <w:noWrap w:val="false"/>
          </w:tcPr>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套餐外包装（3分）</w:t>
            </w:r>
            <w:r/>
          </w:p>
          <w:p>
            <w:pPr>
              <w:pStyle w:val="963"/>
              <w:ind w:left="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根据包装物的结实程度，搬运发放的便利性等综合评分。</w:t>
            </w:r>
            <w:r/>
          </w:p>
        </w:tc>
        <w:tc>
          <w:tcPr>
            <w:tcW w:w="191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第一名得3分，第二名得2分，第三名及以后得1分。</w:t>
            </w:r>
            <w:r/>
          </w:p>
        </w:tc>
      </w:tr>
      <w:tr>
        <w:trPr>
          <w:trHeight w:val="713"/>
        </w:trPr>
        <w:tc>
          <w:tcPr>
            <w:tcW w:w="1319" w:type="dxa"/>
            <w:vAlign w:val="center"/>
            <w:vMerge w:val="continue"/>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4761"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服务方案（5分）</w:t>
            </w:r>
            <w:r>
              <w:rPr>
                <w:rFonts w:hint="eastAsia" w:ascii="Times New Roman" w:hAnsi="Times New Roman" w:eastAsia="宋体"/>
                <w:iCs/>
                <w:color w:val="auto"/>
                <w:szCs w:val="21"/>
                <w:highlight w:val="none"/>
              </w:rPr>
              <w:t xml:space="preserve">包括送货方案和售后服务等。</w:t>
            </w:r>
            <w:r/>
          </w:p>
          <w:p>
            <w:pPr>
              <w:pStyle w:val="963"/>
              <w:ind w:left="0"/>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rPr>
              <w:t xml:space="preserve">详细、规范、合理、完整、可操作性强得5分；较详细、规范、合理、完整、有一定的可操作性得3分；不详细、规范性、合理性、完整性一般，可操作性不强得1分；合理性差、完整性差、无可操作性或没有提供内容不得分。</w:t>
            </w:r>
            <w:r/>
          </w:p>
        </w:tc>
        <w:tc>
          <w:tcPr>
            <w:tcW w:w="1914" w:type="dxa"/>
            <w:vAlign w:val="center"/>
            <w:textDirection w:val="lrTb"/>
            <w:noWrap w:val="false"/>
          </w:tcPr>
          <w:p>
            <w:pPr>
              <w:pageBreakBefore w:val="0"/>
              <w:spacing w:line="360" w:lineRule="auto"/>
              <w:rPr>
                <w:rFonts w:ascii="Times New Roman" w:hAnsi="Times New Roman" w:eastAsia="宋体" w:cs="宋体"/>
                <w:iCs/>
                <w:color w:val="auto"/>
                <w:szCs w:val="21"/>
                <w:highlight w:val="none"/>
              </w:rPr>
            </w:pPr>
            <w:r>
              <w:rPr>
                <w:rFonts w:ascii="Times New Roman" w:hAnsi="Times New Roman" w:eastAsia="宋体" w:cs="宋体"/>
                <w:iCs/>
                <w:color w:val="auto"/>
                <w:szCs w:val="21"/>
                <w:highlight w:val="none"/>
              </w:rPr>
            </w:r>
            <w:r/>
          </w:p>
          <w:p>
            <w:pPr>
              <w:pageBreakBefore w:val="0"/>
              <w:spacing w:line="360" w:lineRule="auto"/>
              <w:rPr>
                <w:rFonts w:ascii="Times New Roman" w:hAnsi="Times New Roman" w:eastAsia="宋体" w:cs="宋体"/>
                <w:iCs/>
                <w:color w:val="auto"/>
                <w:szCs w:val="21"/>
                <w:highlight w:val="none"/>
              </w:rPr>
            </w:pPr>
            <w:r>
              <w:rPr>
                <w:rFonts w:ascii="Times New Roman" w:hAnsi="Times New Roman" w:eastAsia="宋体" w:cs="宋体"/>
                <w:iCs/>
                <w:color w:val="auto"/>
                <w:szCs w:val="21"/>
                <w:highlight w:val="none"/>
              </w:rPr>
            </w:r>
            <w:r/>
          </w:p>
        </w:tc>
      </w:tr>
      <w:tr>
        <w:trPr>
          <w:trHeight w:val="641"/>
        </w:trPr>
        <w:tc>
          <w:tcPr>
            <w:tcW w:w="1319" w:type="dxa"/>
            <w:vAlign w:val="center"/>
            <w:textDirection w:val="lrTb"/>
            <w:noWrap w:val="false"/>
          </w:tcPr>
          <w:p>
            <w:pPr>
              <w:pStyle w:val="963"/>
              <w:ind w:left="0"/>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rPr>
              <w:t xml:space="preserve">类似业绩（10分）</w:t>
            </w:r>
            <w:r/>
          </w:p>
        </w:tc>
        <w:tc>
          <w:tcPr>
            <w:tcW w:w="4761" w:type="dxa"/>
            <w:vAlign w:val="center"/>
            <w:textDirection w:val="lrTb"/>
            <w:noWrap w:val="false"/>
          </w:tcPr>
          <w:p>
            <w:pPr>
              <w:pStyle w:val="963"/>
              <w:ind w:left="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szCs w:val="21"/>
                <w:highlight w:val="none"/>
              </w:rPr>
              <w:t xml:space="preserve">2023年1月1日至今的类似业绩，每提供一份合同得</w:t>
            </w:r>
            <w:r>
              <w:rPr>
                <w:rFonts w:ascii="Times New Roman" w:hAnsi="Times New Roman" w:eastAsia="宋体"/>
                <w:color w:val="auto"/>
                <w:szCs w:val="21"/>
                <w:highlight w:val="none"/>
              </w:rPr>
              <w:t xml:space="preserve">2</w:t>
            </w:r>
            <w:r>
              <w:rPr>
                <w:rFonts w:hint="eastAsia" w:ascii="Times New Roman" w:hAnsi="Times New Roman" w:eastAsia="宋体"/>
                <w:color w:val="auto"/>
                <w:szCs w:val="21"/>
                <w:highlight w:val="none"/>
              </w:rPr>
              <w:t xml:space="preserve">分，满分</w:t>
            </w:r>
            <w:r>
              <w:rPr>
                <w:rFonts w:ascii="Times New Roman" w:hAnsi="Times New Roman" w:eastAsia="宋体"/>
                <w:color w:val="auto"/>
                <w:szCs w:val="21"/>
                <w:highlight w:val="none"/>
              </w:rPr>
              <w:t xml:space="preserve">10</w:t>
            </w:r>
            <w:r>
              <w:rPr>
                <w:rFonts w:hint="eastAsia" w:ascii="Times New Roman" w:hAnsi="Times New Roman" w:eastAsia="宋体"/>
                <w:color w:val="auto"/>
                <w:szCs w:val="21"/>
                <w:highlight w:val="none"/>
              </w:rPr>
              <w:t xml:space="preserve">分。</w:t>
            </w:r>
            <w:r>
              <w:rPr>
                <w:rFonts w:hint="eastAsia" w:ascii="Times New Roman" w:hAnsi="Times New Roman" w:eastAsia="宋体"/>
                <w:b/>
                <w:color w:val="auto"/>
                <w:szCs w:val="21"/>
                <w:highlight w:val="none"/>
                <w:u w:val="single"/>
              </w:rPr>
              <w:t xml:space="preserve">以合同签订时间为准，提供合同复印件加盖投标人公章，未提供不得分。</w:t>
            </w:r>
            <w:r/>
          </w:p>
        </w:tc>
        <w:tc>
          <w:tcPr>
            <w:tcW w:w="191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491"/>
        </w:trPr>
        <w:tc>
          <w:tcPr>
            <w:gridSpan w:val="3"/>
            <w:tcW w:w="799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满分100分</w:t>
            </w:r>
            <w:r/>
          </w:p>
        </w:tc>
      </w:tr>
    </w:tbl>
    <w:p>
      <w:pPr>
        <w:ind w:firstLine="211"/>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说明：投标人应对投标文件的真实性负责，中标结果公告发布后直至采购合同签订前，因材料真实性受到举报、质疑、投诉的，如经查证属实，采购人有权取消其中标资格。签订合同后，采购人如发现中标人存在造假等虚假响应的行为，无法满足招标需求，将上报采购监管部门，终止合同，并对中标人处以虚假响应货物对应合同金额的十倍罚款。</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四、异常低价投标审查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（1）评标过程中出现下列情形之一的，评标委员会应当启动异常低价投标审查程序：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bCs/>
          <w:color w:val="auto"/>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46"/>
        <w:jc w:val="center"/>
        <w:pageBreakBefore w:val="0"/>
        <w:spacing w:before="0" w:after="0" w:line="360" w:lineRule="auto"/>
        <w:rPr>
          <w:rFonts w:ascii="Times New Roman" w:hAnsi="Times New Roman" w:eastAsia="宋体"/>
          <w:color w:val="auto"/>
          <w:sz w:val="36"/>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bookmarkStart w:id="141" w:name="_Toc29407"/>
      <w:r/>
      <w:r/>
    </w:p>
    <w:p>
      <w:pPr>
        <w:pStyle w:val="946"/>
        <w:jc w:val="center"/>
        <w:pageBreakBefore w:val="0"/>
        <w:spacing w:before="0" w:after="0"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w:t xml:space="preserve">第六章 投标文件格式</w:t>
      </w:r>
      <w:bookmarkEnd w:id="140"/>
      <w:r/>
      <w:bookmarkEnd w:id="141"/>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jc w:val="center"/>
        <w:pageBreakBefore w:val="0"/>
        <w:spacing w:line="360" w:lineRule="auto"/>
        <w:rPr>
          <w:rFonts w:ascii="Times New Roman" w:hAnsi="Times New Roman" w:eastAsia="宋体"/>
          <w:b/>
          <w:color w:val="auto"/>
          <w:sz w:val="22"/>
          <w:szCs w:val="21"/>
          <w:highlight w:val="none"/>
        </w:rPr>
      </w:pPr>
      <w:r>
        <w:rPr>
          <w:rFonts w:ascii="Times New Roman" w:hAnsi="Times New Roman" w:eastAsia="宋体"/>
          <w:b/>
          <w:color w:val="auto"/>
          <w:sz w:val="22"/>
          <w:szCs w:val="21"/>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  标  文  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hint="eastAsia" w:ascii="Times New Roman" w:hAnsi="Times New Roman" w:eastAsia="宋体"/>
          <w:b/>
          <w:color w:val="auto"/>
          <w:sz w:val="36"/>
          <w:highlight w:val="none"/>
          <w:u w:val="single"/>
          <w:lang w:eastAsia="zh-CN"/>
        </w:rPr>
      </w:pPr>
      <w:r>
        <w:rPr>
          <w:rFonts w:hint="eastAsia" w:ascii="Times New Roman" w:hAnsi="Times New Roman" w:eastAsia="宋体"/>
          <w:b/>
          <w:color w:val="auto"/>
          <w:sz w:val="36"/>
          <w:highlight w:val="none"/>
        </w:rPr>
        <w:t xml:space="preserve">项 目 名 称：</w:t>
      </w:r>
      <w:r>
        <w:rPr>
          <w:rFonts w:hint="eastAsia" w:ascii="Times New Roman" w:hAnsi="Times New Roman" w:eastAsia="宋体"/>
          <w:color w:val="auto"/>
          <w:sz w:val="36"/>
          <w:szCs w:val="36"/>
          <w:highlight w:val="none"/>
          <w:lang w:eastAsia="zh-CN"/>
        </w:rPr>
        <w:t xml:space="preserve">扬州大学2026年端午节、中秋节福利项目</w:t>
      </w:r>
      <w:r/>
    </w:p>
    <w:p>
      <w:pPr>
        <w:ind w:firstLine="1084"/>
        <w:pageBreakBefore w:val="0"/>
        <w:spacing w:line="360" w:lineRule="auto"/>
        <w:rPr>
          <w:rFonts w:hint="eastAsia" w:ascii="Times New Roman" w:hAnsi="Times New Roman" w:eastAsia="宋体"/>
          <w:b/>
          <w:color w:val="auto"/>
          <w:sz w:val="36"/>
          <w:highlight w:val="none"/>
          <w:u w:val="single"/>
          <w:lang w:eastAsia="zh-CN"/>
        </w:rPr>
      </w:pPr>
      <w:r>
        <w:rPr>
          <w:rFonts w:hint="eastAsia" w:ascii="Times New Roman" w:hAnsi="Times New Roman" w:eastAsia="宋体"/>
          <w:b/>
          <w:color w:val="auto"/>
          <w:sz w:val="36"/>
          <w:highlight w:val="none"/>
        </w:rPr>
        <w:t xml:space="preserve">编号：</w:t>
      </w:r>
      <w:r>
        <w:rPr>
          <w:rFonts w:hint="eastAsia" w:ascii="Times New Roman" w:hAnsi="Times New Roman" w:eastAsia="宋体"/>
          <w:color w:val="auto"/>
          <w:sz w:val="36"/>
          <w:szCs w:val="36"/>
          <w:highlight w:val="none"/>
          <w:lang w:eastAsia="zh-CN"/>
        </w:rPr>
        <w:t xml:space="preserve">JSZC-320000-SWGC-G2026-0040号</w:t>
      </w:r>
      <w:r/>
    </w:p>
    <w:p>
      <w:pPr>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      投标人名称 ：</w:t>
      </w:r>
      <w:r>
        <w:rPr>
          <w:rFonts w:hint="eastAsia" w:ascii="Times New Roman" w:hAnsi="Times New Roman" w:eastAsia="宋体"/>
          <w:b/>
          <w:color w:val="auto"/>
          <w:sz w:val="36"/>
          <w:highlight w:val="none"/>
          <w:u w:val="single"/>
        </w:rPr>
        <w:t xml:space="preserve">               </w:t>
      </w:r>
      <w:r/>
    </w:p>
    <w:p>
      <w:pPr>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      日      期 ：</w:t>
      </w:r>
      <w:r>
        <w:rPr>
          <w:rFonts w:hint="eastAsia" w:ascii="Times New Roman" w:hAnsi="Times New Roman" w:eastAsia="宋体"/>
          <w:b/>
          <w:color w:val="auto"/>
          <w:sz w:val="36"/>
          <w:highlight w:val="none"/>
          <w:u w:val="single"/>
        </w:rPr>
        <w:t xml:space="preserve">               </w:t>
      </w:r>
      <w:r/>
    </w:p>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b/>
          <w:bCs/>
          <w:color w:val="auto"/>
          <w:sz w:val="28"/>
          <w:szCs w:val="28"/>
          <w:highlight w:val="none"/>
        </w:rPr>
      </w:pPr>
      <w:r>
        <w:rPr>
          <w:rFonts w:hint="eastAsia" w:ascii="Times New Roman" w:hAnsi="Times New Roman" w:eastAsia="宋体" w:cs="宋体"/>
          <w:b/>
          <w:bCs/>
          <w:color w:val="auto"/>
          <w:sz w:val="28"/>
          <w:szCs w:val="28"/>
          <w:highlight w:val="none"/>
          <w:lang w:val="zh-CN"/>
        </w:rPr>
        <w:t xml:space="preserve">说明：</w:t>
      </w:r>
      <w:r/>
    </w:p>
    <w:p>
      <w:pPr>
        <w:ind w:firstLine="618"/>
        <w:pageBreakBefore w:val="0"/>
        <w:spacing w:line="360" w:lineRule="auto"/>
        <w:rPr>
          <w:rFonts w:ascii="Times New Roman" w:hAnsi="Times New Roman" w:eastAsia="宋体"/>
          <w:b/>
          <w:bCs/>
          <w:color w:val="auto"/>
          <w:sz w:val="28"/>
          <w:szCs w:val="28"/>
          <w:highlight w:val="none"/>
        </w:rPr>
      </w:pPr>
      <w:r>
        <w:rPr>
          <w:rFonts w:hint="eastAsia" w:ascii="Times New Roman" w:hAnsi="Times New Roman" w:eastAsia="宋体" w:cs="宋体"/>
          <w:b/>
          <w:bCs/>
          <w:color w:val="auto"/>
          <w:sz w:val="28"/>
          <w:szCs w:val="28"/>
          <w:highlight w:val="none"/>
          <w:lang w:val="zh-CN"/>
        </w:rPr>
        <w:t xml:space="preserve">对本章所有的投标文件格式 ，投标人可根据自身情况进行补充和修改，但补充和修改不得造成与本格式内容有实质性的违背。</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 w:val="24"/>
          <w:highlight w:val="none"/>
        </w:rPr>
        <w:br w:type="page" w:clear="all"/>
      </w:r>
      <w:r>
        <w:rPr>
          <w:rFonts w:hint="eastAsia" w:ascii="Times New Roman" w:hAnsi="Times New Roman" w:eastAsia="宋体"/>
          <w:b/>
          <w:color w:val="auto"/>
          <w:szCs w:val="21"/>
          <w:highlight w:val="none"/>
        </w:rPr>
        <w:t xml:space="preserve">评分索引表</w:t>
      </w:r>
      <w:r/>
    </w:p>
    <w:tbl>
      <w:tblPr>
        <w:tblStyle w:val="95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2"/>
              <w:jc w:val="center"/>
              <w:pageBreakBefore w:val="0"/>
              <w:spacing w:line="360" w:lineRule="auto"/>
              <w:shd w:val="clear" w:color="auto" w:fill="ffffff"/>
              <w:rPr>
                <w:rFonts w:ascii="Times New Roman" w:hAnsi="Times New Roman" w:eastAsia="宋体"/>
                <w:b/>
                <w:bCs/>
                <w:color w:val="auto"/>
                <w:sz w:val="21"/>
                <w:szCs w:val="21"/>
                <w:highlight w:val="none"/>
              </w:rPr>
            </w:pPr>
            <w:r>
              <w:rPr>
                <w:rFonts w:hint="eastAsia" w:ascii="Times New Roman" w:hAnsi="Times New Roman" w:eastAsia="宋体"/>
                <w:b/>
                <w:color w:val="auto"/>
                <w:sz w:val="21"/>
                <w:szCs w:val="21"/>
                <w:highlight w:val="none"/>
              </w:rPr>
              <w:t xml:space="preserve">评分项目</w:t>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lang w:bidi="en-US"/>
              </w:rPr>
              <w:t xml:space="preserve">在投标文件中的页码位置</w:t>
            </w:r>
            <w:r/>
          </w:p>
        </w:tc>
      </w:tr>
      <w:tr>
        <w:trPr>
          <w:trHeight w:val="446"/>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2"/>
              <w:pageBreakBefore w:val="0"/>
              <w:spacing w:line="360" w:lineRule="auto"/>
              <w:shd w:val="clear" w:color="auto" w:fill="ffffff"/>
              <w:rPr>
                <w:rFonts w:ascii="Times New Roman" w:hAnsi="Times New Roman" w:eastAsia="宋体"/>
                <w:b/>
                <w:color w:val="auto"/>
                <w:sz w:val="21"/>
                <w:szCs w:val="21"/>
                <w:highlight w:val="none"/>
              </w:rPr>
            </w:pPr>
            <w:r>
              <w:rPr>
                <w:rFonts w:ascii="Times New Roman" w:hAnsi="Times New Roman"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b/>
                <w:color w:val="auto"/>
                <w:szCs w:val="21"/>
                <w:highlight w:val="none"/>
                <w:lang w:bidi="en-US"/>
              </w:rPr>
            </w:pPr>
            <w:r>
              <w:rPr>
                <w:rFonts w:ascii="Times New Roman" w:hAnsi="Times New Roman" w:eastAsia="宋体"/>
                <w:b/>
                <w:color w:val="auto"/>
                <w:szCs w:val="21"/>
                <w:highlight w:val="none"/>
                <w:lang w:bidi="en-US"/>
              </w:rPr>
            </w:r>
            <w:r/>
          </w:p>
        </w:tc>
      </w:tr>
      <w:tr>
        <w:trPr>
          <w:trHeight w:val="300"/>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pStyle w:val="1012"/>
              <w:ind w:left="420"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trHeight w:val="32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pStyle w:val="1012"/>
              <w:ind w:left="420"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16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89"/>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8"/>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pStyle w:val="1012"/>
              <w:ind w:left="420" w:firstLine="422"/>
              <w:pageBreakBefore w:val="0"/>
              <w:spacing w:line="360" w:lineRule="auto"/>
              <w:shd w:val="clear" w:color="auto" w:fill="ffffff"/>
              <w:rPr>
                <w:rFonts w:ascii="Times New Roman" w:hAnsi="Times New Roman" w:eastAsia="宋体"/>
                <w:b/>
                <w:color w:val="auto"/>
                <w:sz w:val="21"/>
                <w:szCs w:val="21"/>
                <w:highlight w:val="none"/>
              </w:rPr>
            </w:pPr>
            <w:r>
              <w:rPr>
                <w:rFonts w:ascii="Times New Roman" w:hAnsi="Times New Roman" w:eastAsia="宋体"/>
                <w:b/>
                <w:color w:val="auto"/>
                <w:sz w:val="21"/>
                <w:szCs w:val="21"/>
                <w:highlight w:val="none"/>
              </w:rPr>
            </w:r>
            <w:r/>
          </w:p>
        </w:tc>
      </w:tr>
      <w:tr>
        <w:trPr>
          <w:trHeight w:val="32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2"/>
              <w:pageBreakBefore w:val="0"/>
              <w:spacing w:line="360" w:lineRule="auto"/>
              <w:shd w:val="clear" w:color="auto" w:fill="ffffff"/>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8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32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left="420" w:firstLine="422"/>
              <w:pageBreakBefore w:val="0"/>
              <w:spacing w:line="360" w:lineRule="auto"/>
              <w:shd w:val="clear" w:color="auto" w:fill="ffffff"/>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60"/>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pStyle w:val="1012"/>
              <w:ind w:left="420" w:firstLine="422"/>
              <w:pageBreakBefore w:val="0"/>
              <w:spacing w:line="360" w:lineRule="auto"/>
              <w:shd w:val="clear" w:color="auto" w:fill="ffffff"/>
              <w:rPr>
                <w:rFonts w:ascii="Times New Roman" w:hAnsi="Times New Roman" w:eastAsia="宋体"/>
                <w:b/>
                <w:color w:val="auto"/>
                <w:sz w:val="21"/>
                <w:szCs w:val="21"/>
                <w:highlight w:val="none"/>
              </w:rPr>
            </w:pPr>
            <w:r>
              <w:rPr>
                <w:rFonts w:ascii="Times New Roman" w:hAnsi="Times New Roman" w:eastAsia="宋体"/>
                <w:b/>
                <w:color w:val="auto"/>
                <w:sz w:val="21"/>
                <w:szCs w:val="21"/>
                <w:highlight w:val="none"/>
              </w:rPr>
            </w:r>
            <w:r/>
          </w:p>
        </w:tc>
      </w:tr>
      <w:tr>
        <w:trPr>
          <w:trHeight w:val="50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5670" w:type="dxa"/>
            <w:textDirection w:val="lrTb"/>
            <w:noWrap w:val="false"/>
          </w:tcPr>
          <w:p>
            <w:pPr>
              <w:pStyle w:val="1012"/>
              <w:ind w:firstLine="420"/>
              <w:pageBreakBefore w:val="0"/>
              <w:spacing w:line="360" w:lineRule="auto"/>
              <w:shd w:val="clear" w:color="auto" w:fill="ffff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center"/>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color w:val="auto"/>
          <w:szCs w:val="21"/>
          <w:highlight w:val="none"/>
          <w:u w:val="single"/>
        </w:rPr>
        <w:br w:type="page" w:clear="all"/>
      </w:r>
      <w:r>
        <w:rPr>
          <w:rFonts w:hint="eastAsia" w:ascii="Times New Roman" w:hAnsi="Times New Roman" w:eastAsia="宋体"/>
          <w:b/>
          <w:bCs/>
          <w:color w:val="auto"/>
          <w:szCs w:val="21"/>
          <w:highlight w:val="none"/>
        </w:rPr>
        <w:t xml:space="preserve">投标主要文件目录</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一、资格性和符合性检查响应对照表</w:t>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firstLine="422"/>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s="宋体"/>
          <w:b/>
          <w:bCs/>
          <w:color w:val="auto"/>
          <w:szCs w:val="21"/>
          <w:highlight w:val="none"/>
        </w:rPr>
        <w:t xml:space="preserve">二</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bCs/>
          <w:color w:val="auto"/>
          <w:szCs w:val="21"/>
          <w:highlight w:val="none"/>
        </w:rPr>
        <w:t xml:space="preserve">资信证明文件</w:t>
      </w:r>
      <w:r/>
    </w:p>
    <w:p>
      <w:pPr>
        <w:ind w:firstLine="420"/>
        <w:pageBreakBefore w:val="0"/>
        <w:spacing w:line="360" w:lineRule="auto"/>
        <w:rPr>
          <w:rFonts w:ascii="Times New Roman" w:hAnsi="Times New Roman" w:eastAsia="宋体" w:cs="宋体"/>
          <w:bCs/>
          <w:color w:val="auto"/>
          <w:szCs w:val="21"/>
          <w:highlight w:val="none"/>
        </w:rPr>
      </w:pPr>
      <w:r>
        <w:rPr>
          <w:rFonts w:ascii="Times New Roman" w:hAnsi="Times New Roman" w:eastAsia="宋体" w:cs="宋体"/>
          <w:bCs/>
          <w:color w:val="auto"/>
          <w:szCs w:val="21"/>
          <w:highlight w:val="none"/>
        </w:rPr>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三、开标一览表</w:t>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四</w:t>
      </w:r>
      <w:r>
        <w:rPr>
          <w:rFonts w:hint="eastAsia" w:ascii="Times New Roman" w:hAnsi="Times New Roman" w:eastAsia="宋体" w:cs="宋体"/>
          <w:b/>
          <w:bCs/>
          <w:color w:val="auto"/>
          <w:szCs w:val="21"/>
          <w:highlight w:val="none"/>
        </w:rPr>
        <w:t xml:space="preserve">、</w:t>
      </w:r>
      <w:r>
        <w:rPr>
          <w:rFonts w:hint="eastAsia" w:ascii="Times New Roman" w:hAnsi="Times New Roman" w:eastAsia="宋体" w:cs="宋体"/>
          <w:color w:val="auto"/>
          <w:szCs w:val="21"/>
          <w:highlight w:val="none"/>
        </w:rPr>
        <w:t xml:space="preserve">分项报价表</w:t>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五、技术参数响应及偏离表</w:t>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六、商务条款响应及偏离表</w:t>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七、主要标的信息</w:t>
      </w:r>
      <w:r/>
    </w:p>
    <w:p>
      <w:pPr>
        <w:ind w:firstLine="420"/>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w:t>
      </w:r>
      <w:r/>
    </w:p>
    <w:p>
      <w:pPr>
        <w:jc w:val="left"/>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jc w:val="left"/>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jc w:val="left"/>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jc w:val="left"/>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jc w:val="left"/>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jc w:val="left"/>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jc w:val="left"/>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jc w:val="left"/>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jc w:val="left"/>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jc w:val="left"/>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jc w:val="left"/>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jc w:val="left"/>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pStyle w:val="961"/>
        <w:jc w:val="center"/>
        <w:pageBreakBefore w:val="0"/>
        <w:spacing w:after="0" w:line="360" w:lineRule="auto"/>
        <w:rPr>
          <w:rFonts w:ascii="Times New Roman" w:hAnsi="Times New Roman" w:eastAsia="宋体"/>
          <w:b/>
          <w:bCs/>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21"/>
          <w:szCs w:val="21"/>
          <w:highlight w:val="none"/>
        </w:rPr>
      </w:r>
      <w:r/>
    </w:p>
    <w:p>
      <w:pPr>
        <w:pStyle w:val="961"/>
        <w:jc w:val="center"/>
        <w:pageBreakBefore w:val="0"/>
        <w:spacing w:after="0" w:line="360" w:lineRule="auto"/>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一、资格性和符合性检查响应对照表</w:t>
      </w:r>
      <w:r/>
    </w:p>
    <w:p>
      <w:pPr>
        <w:pStyle w:val="947"/>
        <w:numPr>
          <w:ilvl w:val="0"/>
          <w:numId w:val="0"/>
        </w:numPr>
        <w:jc w:val="center"/>
        <w:pageBreakBefore w:val="0"/>
        <w:spacing w:before="0" w:after="0" w:line="360" w:lineRule="auto"/>
        <w:rPr>
          <w:rFonts w:ascii="Times New Roman" w:hAnsi="Times New Roman" w:eastAsia="宋体"/>
          <w:b w:val="0"/>
          <w:color w:val="auto"/>
          <w:sz w:val="21"/>
          <w:szCs w:val="21"/>
          <w:highlight w:val="none"/>
        </w:rPr>
      </w:pPr>
      <w:r>
        <w:rPr>
          <w:rFonts w:hint="eastAsia" w:ascii="Times New Roman" w:hAnsi="Times New Roman" w:eastAsia="宋体"/>
          <w:color w:val="auto"/>
          <w:sz w:val="21"/>
          <w:szCs w:val="21"/>
          <w:highlight w:val="none"/>
        </w:rPr>
        <w:t xml:space="preserve">（一）资格审查响应对照表</w:t>
      </w:r>
      <w:r/>
    </w:p>
    <w:tbl>
      <w:tblPr>
        <w:tblStyle w:val="956"/>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
                <w:iCs/>
                <w:color w:val="auto"/>
                <w:szCs w:val="21"/>
                <w:highlight w:val="none"/>
                <w:u w:val="single"/>
              </w:rPr>
              <w:t xml:space="preserve">法人或者其他组织的营业执照等证明文件，自然人的身份证明</w:t>
            </w:r>
            <w:r>
              <w:rPr>
                <w:rFonts w:hint="eastAsia" w:ascii="Times New Roman" w:hAnsi="Times New Roman" w:eastAsia="宋体" w:cs="宋体"/>
                <w:b/>
                <w:bCs/>
                <w:i/>
                <w:iCs/>
                <w:color w:val="auto"/>
                <w:szCs w:val="21"/>
                <w:highlight w:val="none"/>
                <w:u w:val="single"/>
              </w:rPr>
              <w:t xml:space="preserve">（复印件加盖投标人公章）</w:t>
            </w:r>
            <w:r/>
          </w:p>
        </w:tc>
        <w:tc>
          <w:tcPr>
            <w:tcW w:w="215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
                <w:iCs/>
                <w:color w:val="auto"/>
                <w:szCs w:val="21"/>
                <w:highlight w:val="none"/>
                <w:u w:val="single"/>
              </w:rPr>
              <w:t xml:space="preserve">2024年度或2025年度的财务状况报告（成立不满一年无需提供）</w:t>
            </w:r>
            <w:r>
              <w:rPr>
                <w:rFonts w:hint="eastAsia" w:ascii="Times New Roman" w:hAnsi="Times New Roman" w:eastAsia="宋体" w:cs="宋体"/>
                <w:b/>
                <w:bCs/>
                <w:i/>
                <w:iCs/>
                <w:color w:val="auto"/>
                <w:szCs w:val="21"/>
                <w:highlight w:val="none"/>
                <w:u w:val="single"/>
              </w:rPr>
              <w:t xml:space="preserve">（复印件加盖投标人公章）</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
                <w:iCs/>
                <w:color w:val="auto"/>
                <w:szCs w:val="21"/>
                <w:highlight w:val="none"/>
                <w:u w:val="singl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Times New Roman" w:hAnsi="Times New Roman" w:eastAsia="宋体" w:cs="宋体"/>
                <w:b/>
                <w:bCs/>
                <w:i/>
                <w:iCs/>
                <w:color w:val="auto"/>
                <w:szCs w:val="21"/>
                <w:highlight w:val="none"/>
                <w:u w:val="single"/>
              </w:rPr>
              <w:t xml:space="preserve">（复印件加盖投标人公章）</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9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
                <w:iCs/>
                <w:color w:val="auto"/>
                <w:szCs w:val="21"/>
                <w:highlight w:val="none"/>
                <w:u w:val="single"/>
              </w:rPr>
              <w:t xml:space="preserve">具备履行合同所必需的设备和专业技术能力的书面声明</w:t>
            </w:r>
            <w:r>
              <w:rPr>
                <w:rFonts w:hint="eastAsia" w:ascii="Times New Roman" w:hAnsi="Times New Roman" w:eastAsia="宋体" w:cs="宋体"/>
                <w:b/>
                <w:bCs/>
                <w:i/>
                <w:iCs/>
                <w:color w:val="auto"/>
                <w:szCs w:val="21"/>
                <w:highlight w:val="none"/>
                <w:u w:val="single"/>
              </w:rPr>
              <w:t xml:space="preserve">（原件加盖投标人公章）</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
                <w:iCs/>
                <w:color w:val="auto"/>
                <w:szCs w:val="21"/>
                <w:highlight w:val="none"/>
                <w:u w:val="single"/>
              </w:rPr>
              <w:t xml:space="preserve">参加政府采购活动前3年内在经营活动中没有重大违法记录的书面声明</w:t>
            </w:r>
            <w:r>
              <w:rPr>
                <w:rFonts w:hint="eastAsia" w:ascii="Times New Roman" w:hAnsi="Times New Roman" w:eastAsia="宋体" w:cs="宋体"/>
                <w:b/>
                <w:bCs/>
                <w:i/>
                <w:iCs/>
                <w:color w:val="auto"/>
                <w:szCs w:val="21"/>
                <w:highlight w:val="none"/>
                <w:u w:val="single"/>
              </w:rPr>
              <w:t xml:space="preserve">（原件加盖投标人公章）</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9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
                <w:iCs/>
                <w:color w:val="auto"/>
                <w:szCs w:val="21"/>
                <w:highlight w:val="none"/>
                <w:u w:val="single"/>
              </w:rPr>
              <w:t xml:space="preserve">供应商信用承诺书</w:t>
            </w:r>
            <w:r>
              <w:rPr>
                <w:rFonts w:hint="eastAsia" w:ascii="Times New Roman" w:hAnsi="Times New Roman" w:eastAsia="宋体" w:cs="宋体"/>
                <w:b/>
                <w:bCs/>
                <w:i/>
                <w:iCs/>
                <w:color w:val="auto"/>
                <w:szCs w:val="21"/>
                <w:highlight w:val="none"/>
                <w:u w:val="single"/>
              </w:rPr>
              <w:t xml:space="preserve">（原件加盖投标人公章）</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b/>
                <w:bCs/>
                <w:i/>
                <w:iCs/>
                <w:color w:val="auto"/>
                <w:szCs w:val="21"/>
                <w:highlight w:val="none"/>
                <w:u w:val="single"/>
              </w:rPr>
              <w:t xml:space="preserve">（投标文件中无需提供证明材料）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9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348"/>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5447" w:type="dxa"/>
            <w:vAlign w:val="center"/>
            <w:textDirection w:val="lrTb"/>
            <w:noWrap w:val="false"/>
          </w:tcPr>
          <w:p>
            <w:pPr>
              <w:pStyle w:val="948"/>
              <w:numPr>
                <w:ilvl w:val="0"/>
                <w:numId w:val="0"/>
              </w:numPr>
              <w:jc w:val="both"/>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w:t>
            </w:r>
            <w:r/>
          </w:p>
        </w:tc>
        <w:tc>
          <w:tcPr>
            <w:tcW w:w="5447" w:type="dxa"/>
            <w:vAlign w:val="center"/>
            <w:textDirection w:val="lrTb"/>
            <w:noWrap w:val="false"/>
          </w:tcPr>
          <w:p>
            <w:pPr>
              <w:jc w:val="left"/>
              <w:pageBreakBefore w:val="0"/>
              <w:spacing w:line="360" w:lineRule="auto"/>
              <w:rPr>
                <w:rFonts w:ascii="Times New Roman" w:hAnsi="Times New Roman" w:eastAsia="宋体"/>
                <w:i/>
                <w:iCs/>
                <w:color w:val="auto"/>
                <w:szCs w:val="21"/>
                <w:highlight w:val="none"/>
                <w:u w:val="single"/>
              </w:rPr>
            </w:pPr>
            <w:r>
              <w:rPr>
                <w:rFonts w:hint="eastAsia" w:ascii="Times New Roman" w:hAnsi="Times New Roman" w:eastAsia="宋体"/>
                <w:i/>
                <w:iCs/>
                <w:color w:val="auto"/>
                <w:szCs w:val="21"/>
                <w:highlight w:val="none"/>
                <w:u w:val="single"/>
              </w:rPr>
              <w:t xml:space="preserve">投标函</w:t>
            </w:r>
            <w:r>
              <w:rPr>
                <w:rFonts w:hint="eastAsia" w:ascii="Times New Roman" w:hAnsi="Times New Roman" w:eastAsia="宋体"/>
                <w:b/>
                <w:bCs/>
                <w:i/>
                <w:iCs/>
                <w:color w:val="auto"/>
                <w:szCs w:val="21"/>
                <w:highlight w:val="none"/>
                <w:u w:val="single"/>
              </w:rPr>
              <w:t xml:space="preserve">（</w:t>
            </w:r>
            <w:r>
              <w:rPr>
                <w:rFonts w:hint="eastAsia" w:ascii="Times New Roman" w:hAnsi="Times New Roman" w:eastAsia="宋体" w:cs="宋体"/>
                <w:b/>
                <w:bCs/>
                <w:i/>
                <w:iCs/>
                <w:color w:val="auto"/>
                <w:szCs w:val="21"/>
                <w:highlight w:val="none"/>
                <w:u w:val="single"/>
              </w:rPr>
              <w:t xml:space="preserve">原件加盖投标人公章</w:t>
            </w:r>
            <w:r>
              <w:rPr>
                <w:rFonts w:hint="eastAsia" w:ascii="Times New Roman" w:hAnsi="Times New Roman" w:eastAsia="宋体"/>
                <w:b/>
                <w:bCs/>
                <w:i/>
                <w:iCs/>
                <w:color w:val="auto"/>
                <w:szCs w:val="21"/>
                <w:highlight w:val="none"/>
                <w:u w:val="single"/>
              </w:rPr>
              <w:t xml:space="preserve">）</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9</w:t>
            </w:r>
            <w:r/>
          </w:p>
        </w:tc>
        <w:tc>
          <w:tcPr>
            <w:tcW w:w="5447" w:type="dxa"/>
            <w:vAlign w:val="center"/>
            <w:textDirection w:val="lrTb"/>
            <w:noWrap w:val="false"/>
          </w:tcPr>
          <w:p>
            <w:pPr>
              <w:jc w:val="left"/>
              <w:pageBreakBefore w:val="0"/>
              <w:spacing w:line="360" w:lineRule="auto"/>
              <w:rPr>
                <w:rFonts w:ascii="Times New Roman" w:hAnsi="Times New Roman" w:eastAsia="宋体"/>
                <w:i/>
                <w:iCs/>
                <w:color w:val="auto"/>
                <w:szCs w:val="21"/>
                <w:highlight w:val="none"/>
                <w:u w:val="single"/>
              </w:rPr>
            </w:pPr>
            <w:r>
              <w:rPr>
                <w:rFonts w:hint="eastAsia" w:ascii="Times New Roman" w:hAnsi="Times New Roman" w:eastAsia="宋体"/>
                <w:i/>
                <w:iCs/>
                <w:color w:val="auto"/>
                <w:szCs w:val="21"/>
                <w:highlight w:val="none"/>
                <w:u w:val="single"/>
              </w:rPr>
              <w:t xml:space="preserve">法人授权书</w:t>
            </w:r>
            <w:r>
              <w:rPr>
                <w:rFonts w:hint="eastAsia" w:ascii="Times New Roman" w:hAnsi="Times New Roman" w:eastAsia="宋体"/>
                <w:b/>
                <w:bCs/>
                <w:i/>
                <w:iCs/>
                <w:color w:val="auto"/>
                <w:szCs w:val="21"/>
                <w:highlight w:val="none"/>
                <w:u w:val="single"/>
              </w:rPr>
              <w:t xml:space="preserve">（</w:t>
            </w:r>
            <w:r>
              <w:rPr>
                <w:rFonts w:hint="eastAsia" w:ascii="Times New Roman" w:hAnsi="Times New Roman" w:eastAsia="宋体" w:cs="宋体"/>
                <w:b/>
                <w:bCs/>
                <w:i/>
                <w:iCs/>
                <w:color w:val="auto"/>
                <w:szCs w:val="21"/>
                <w:highlight w:val="none"/>
                <w:u w:val="single"/>
              </w:rPr>
              <w:t xml:space="preserve">原件加盖投标人公章</w:t>
            </w:r>
            <w:r>
              <w:rPr>
                <w:rFonts w:hint="eastAsia" w:ascii="Times New Roman" w:hAnsi="Times New Roman" w:eastAsia="宋体"/>
                <w:b/>
                <w:bCs/>
                <w:i/>
                <w:iCs/>
                <w:color w:val="auto"/>
                <w:szCs w:val="21"/>
                <w:highlight w:val="none"/>
                <w:u w:val="single"/>
              </w:rPr>
              <w:t xml:space="preserve">）</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cente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pStyle w:val="947"/>
        <w:pageBreakBefore w:val="0"/>
        <w:spacing w:before="0" w:after="0" w:line="360" w:lineRule="auto"/>
        <w:rPr>
          <w:rFonts w:ascii="Times New Roman" w:hAnsi="Times New Roman" w:eastAsia="宋体"/>
          <w:b w:val="0"/>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val="0"/>
          <w:color w:val="auto"/>
          <w:sz w:val="21"/>
          <w:szCs w:val="21"/>
          <w:highlight w:val="none"/>
        </w:rPr>
      </w:r>
      <w:r/>
    </w:p>
    <w:p>
      <w:pPr>
        <w:pStyle w:val="947"/>
        <w:numPr>
          <w:ilvl w:val="0"/>
          <w:numId w:val="0"/>
        </w:numPr>
        <w:ind w:left="851" w:hanging="567"/>
        <w:jc w:val="center"/>
        <w:pageBreakBefore w:val="0"/>
        <w:spacing w:before="0" w:after="0" w:line="360" w:lineRule="auto"/>
        <w:rPr>
          <w:rFonts w:ascii="Times New Roman" w:hAnsi="Times New Roman" w:eastAsia="宋体" w:cs="宋体"/>
          <w:bCs w:val="0"/>
          <w:color w:val="auto"/>
          <w:sz w:val="21"/>
          <w:szCs w:val="21"/>
          <w:highlight w:val="none"/>
        </w:rPr>
      </w:pPr>
      <w:r>
        <w:rPr>
          <w:rFonts w:hint="eastAsia" w:ascii="Times New Roman" w:hAnsi="Times New Roman" w:eastAsia="宋体" w:cs="宋体"/>
          <w:bCs w:val="0"/>
          <w:color w:val="auto"/>
          <w:sz w:val="21"/>
          <w:szCs w:val="21"/>
          <w:highlight w:val="none"/>
        </w:rPr>
        <w:t xml:space="preserve">（二）符合性审查响应对照表</w:t>
      </w:r>
      <w:r/>
    </w:p>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bl>
      <w:tblPr>
        <w:tblStyle w:val="956"/>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
                <w:iCs/>
                <w:color w:val="auto"/>
                <w:szCs w:val="21"/>
                <w:highlight w:val="none"/>
                <w:u w:val="single"/>
              </w:rPr>
              <w:t xml:space="preserve">投标人必须提供网上选购一次性消费满99元（含99元）后的免费邮寄服务，邮寄范围至少包含扬州市指定区域</w:t>
            </w:r>
            <w:r>
              <w:rPr>
                <w:rFonts w:hint="eastAsia" w:ascii="Times New Roman" w:hAnsi="Times New Roman" w:eastAsia="宋体" w:cs="宋体"/>
                <w:i/>
                <w:iCs/>
                <w:color w:val="auto"/>
                <w:szCs w:val="21"/>
                <w:highlight w:val="none"/>
                <w:u w:val="single"/>
                <w:lang w:val="en-US" w:eastAsia="zh-CN"/>
              </w:rPr>
              <w:t xml:space="preserve">内</w:t>
            </w:r>
            <w:r>
              <w:rPr>
                <w:rFonts w:hint="eastAsia" w:ascii="Times New Roman" w:hAnsi="Times New Roman" w:eastAsia="宋体" w:cs="宋体"/>
                <w:i/>
                <w:iCs/>
                <w:color w:val="auto"/>
                <w:szCs w:val="21"/>
                <w:highlight w:val="none"/>
                <w:u w:val="single"/>
              </w:rPr>
              <w:t xml:space="preserve">（广陵区、邗江区、经济技术开发区、蜀冈-瘦西湖风景名胜区、生态科技新城</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江都区）。</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2</w:t>
            </w:r>
            <w:r/>
          </w:p>
        </w:tc>
        <w:tc>
          <w:tcPr>
            <w:tcW w:w="5447" w:type="dxa"/>
            <w:vAlign w:val="center"/>
            <w:textDirection w:val="lrTb"/>
            <w:noWrap w:val="false"/>
          </w:tcPr>
          <w:p>
            <w:pPr>
              <w:pageBreakBefore w:val="0"/>
              <w:spacing w:line="360" w:lineRule="auto"/>
              <w:rPr>
                <w:rFonts w:hint="eastAsia" w:ascii="Times New Roman" w:hAnsi="Times New Roman" w:eastAsia="宋体" w:cs="宋体"/>
                <w:bCs/>
                <w:i/>
                <w:iCs/>
                <w:color w:val="auto"/>
                <w:szCs w:val="21"/>
                <w:highlight w:val="none"/>
                <w:u w:val="single"/>
              </w:rPr>
            </w:pPr>
            <w:r>
              <w:rPr>
                <w:rFonts w:hint="eastAsia" w:ascii="Times New Roman" w:hAnsi="Times New Roman" w:eastAsia="宋体" w:cs="宋体"/>
                <w:bCs/>
                <w:i/>
                <w:iCs/>
                <w:color w:val="auto"/>
                <w:szCs w:val="21"/>
                <w:highlight w:val="none"/>
                <w:u w:val="single"/>
              </w:rPr>
              <w:t xml:space="preserve">投标人需承诺提货券可兑换产品不得少于100种，且必须包含乳品、烘焙、休闲零食、粮油调味、生活用品、速冻鲜食、肉蛋水产等不同种类，供教职工自行挑选。提货券使用时需满足实体门店与网上平台价格和优惠幅度保持一致。</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right="312"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center"/>
        <w:pageBreakBefore w:val="0"/>
        <w:spacing w:line="360" w:lineRule="auto"/>
        <w:rPr>
          <w:rFonts w:ascii="Times New Roman" w:hAnsi="Times New Roman" w:eastAsia="宋体"/>
          <w:b/>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Cs w:val="21"/>
          <w:highlight w:val="none"/>
        </w:rPr>
      </w:r>
      <w:r/>
    </w:p>
    <w:p>
      <w:pPr>
        <w:jc w:val="left"/>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二、资信证明文件：</w:t>
      </w:r>
      <w:r/>
    </w:p>
    <w:p>
      <w:pPr>
        <w:jc w:val="center"/>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1、投标函格式</w:t>
      </w:r>
      <w:r/>
    </w:p>
    <w:p>
      <w:pPr>
        <w:pStyle w:val="1065"/>
        <w:ind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致：江苏苏维工程管理有限公司</w:t>
      </w:r>
      <w:r/>
    </w:p>
    <w:p>
      <w:pPr>
        <w:pStyle w:val="106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w:t>
      </w:r>
      <w:r>
        <w:rPr>
          <w:rFonts w:hint="eastAsia" w:ascii="Times New Roman" w:hAnsi="Times New Roman" w:eastAsia="宋体"/>
          <w:color w:val="auto"/>
          <w:sz w:val="21"/>
          <w:szCs w:val="21"/>
          <w:highlight w:val="none"/>
          <w:lang w:eastAsia="zh-CN"/>
        </w:rPr>
        <w:t xml:space="preserve">JSZC-320000-SWGC-G2026-0040号</w:t>
      </w:r>
      <w:r>
        <w:rPr>
          <w:rFonts w:hint="eastAsia" w:ascii="Times New Roman" w:hAnsi="Times New Roman" w:eastAsia="宋体"/>
          <w:color w:val="auto"/>
          <w:sz w:val="21"/>
          <w:szCs w:val="21"/>
          <w:highlight w:val="none"/>
        </w:rPr>
        <w:t xml:space="preserve">招标文件，正式授权下述签字人_________________（姓名）代表我方______________（投标人的名称），全权处理本次项目投标的有关事宜。</w:t>
      </w:r>
      <w:r/>
    </w:p>
    <w:p>
      <w:pPr>
        <w:pStyle w:val="106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据此函，__________签字人兹宣布同意如下：</w:t>
      </w:r>
      <w:r/>
    </w:p>
    <w:p>
      <w:pPr>
        <w:pStyle w:val="106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106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1065"/>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106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106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6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65"/>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106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 址：</w:t>
      </w:r>
      <w:r/>
    </w:p>
    <w:p>
      <w:pPr>
        <w:pStyle w:val="106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 编：</w:t>
      </w:r>
      <w:r/>
    </w:p>
    <w:p>
      <w:pPr>
        <w:pStyle w:val="106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 话： </w:t>
      </w:r>
      <w:r/>
    </w:p>
    <w:p>
      <w:pPr>
        <w:pStyle w:val="106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 真： </w:t>
      </w:r>
      <w:r/>
    </w:p>
    <w:p>
      <w:pPr>
        <w:pStyle w:val="106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106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 户： </w:t>
      </w:r>
      <w:r/>
    </w:p>
    <w:p>
      <w:pPr>
        <w:pStyle w:val="106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 号：</w:t>
      </w:r>
      <w:r/>
    </w:p>
    <w:p>
      <w:pPr>
        <w:pStyle w:val="106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法定代表人或授权代表（签字）： </w:t>
      </w:r>
      <w:r/>
    </w:p>
    <w:p>
      <w:pPr>
        <w:pStyle w:val="106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投标人名称（公章）： </w:t>
      </w:r>
      <w:r/>
    </w:p>
    <w:p>
      <w:pPr>
        <w:pStyle w:val="1065"/>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 期：________年____月____日</w:t>
      </w:r>
      <w:r/>
    </w:p>
    <w:p>
      <w:pPr>
        <w:pStyle w:val="1065"/>
        <w:ind w:firstLine="478"/>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1065"/>
        <w:ind w:firstLine="478"/>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1065"/>
        <w:ind w:firstLine="478"/>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1084"/>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2、法人授权书</w:t>
      </w:r>
      <w:r/>
    </w:p>
    <w:p>
      <w:pPr>
        <w:pStyle w:val="1084"/>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（被授权人的姓名）为采购人就</w:t>
      </w:r>
      <w:r>
        <w:rPr>
          <w:rFonts w:hint="eastAsia" w:ascii="Times New Roman" w:hAnsi="Times New Roman" w:eastAsia="宋体"/>
          <w:color w:val="auto"/>
          <w:sz w:val="21"/>
          <w:szCs w:val="21"/>
          <w:highlight w:val="none"/>
          <w:lang w:eastAsia="zh-CN"/>
        </w:rPr>
        <w:t xml:space="preserve">JSZC-320000-SWGC-G2026-0040号扬州大学2026年端午节、中秋节福利项目</w:t>
      </w:r>
      <w:r>
        <w:rPr>
          <w:rFonts w:hint="eastAsia" w:ascii="Times New Roman" w:hAnsi="Times New Roman" w:eastAsia="宋体"/>
          <w:color w:val="auto"/>
          <w:sz w:val="21"/>
          <w:szCs w:val="21"/>
          <w:highlight w:val="none"/>
        </w:rPr>
        <w:t xml:space="preserve">采购活动的合法代理人，以本公司名义全权处理一切与该项目采购有关的事务。</w:t>
      </w:r>
      <w:r/>
    </w:p>
    <w:p>
      <w:pPr>
        <w:pStyle w:val="1084"/>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1084"/>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    </w:t>
      </w:r>
      <w:r/>
    </w:p>
    <w:p>
      <w:pPr>
        <w:pStyle w:val="1084"/>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授权代表（签字）：</w:t>
      </w:r>
      <w:r>
        <w:rPr>
          <w:rFonts w:ascii="Times New Roman" w:hAnsi="Times New Roman" w:eastAsia="宋体"/>
          <w:color w:val="auto"/>
          <w:sz w:val="21"/>
          <w:szCs w:val="21"/>
          <w:highlight w:val="none"/>
        </w:rPr>
        <w:t xml:space="preserve">_____________________</w:t>
      </w:r>
      <w:r>
        <w:rPr>
          <w:rFonts w:hint="eastAsia" w:ascii="Times New Roman" w:hAnsi="Times New Roman" w:eastAsia="宋体"/>
          <w:color w:val="auto"/>
          <w:sz w:val="21"/>
          <w:szCs w:val="21"/>
          <w:highlight w:val="none"/>
          <w:u w:val="single"/>
        </w:rPr>
        <w:t xml:space="preserve">         </w:t>
      </w:r>
      <w:r>
        <w:rPr>
          <w:rFonts w:ascii="Times New Roman" w:hAnsi="Times New Roman" w:eastAsia="宋体"/>
          <w:color w:val="auto"/>
          <w:sz w:val="21"/>
          <w:szCs w:val="21"/>
          <w:highlight w:val="none"/>
        </w:rPr>
        <w:t xml:space="preserve">__</w:t>
      </w:r>
      <w:r>
        <w:rPr>
          <w:rFonts w:hint="eastAsia" w:ascii="Times New Roman" w:hAnsi="Times New Roman" w:eastAsia="宋体"/>
          <w:color w:val="auto"/>
          <w:sz w:val="21"/>
          <w:szCs w:val="21"/>
          <w:highlight w:val="none"/>
        </w:rPr>
        <w:t xml:space="preserve">     </w:t>
      </w:r>
      <w:r/>
    </w:p>
    <w:p>
      <w:pPr>
        <w:pStyle w:val="1084"/>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rPr>
          <w:rFonts w:hint="eastAsia" w:ascii="Times New Roman" w:hAnsi="Times New Roman" w:eastAsia="宋体"/>
          <w:color w:val="auto"/>
          <w:sz w:val="21"/>
          <w:szCs w:val="21"/>
          <w:highlight w:val="none"/>
          <w:u w:val="single"/>
        </w:rPr>
        <w:t xml:space="preserve">                             </w:t>
      </w:r>
      <w:r/>
    </w:p>
    <w:p>
      <w:pPr>
        <w:pStyle w:val="1084"/>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    </w:t>
      </w:r>
      <w:r>
        <w:rPr>
          <w:rFonts w:hint="eastAsia" w:ascii="Times New Roman" w:hAnsi="Times New Roman" w:eastAsia="宋体"/>
          <w:color w:val="auto"/>
          <w:sz w:val="21"/>
          <w:szCs w:val="21"/>
          <w:highlight w:val="none"/>
        </w:rPr>
        <w:t xml:space="preserve">单位名称：</w:t>
      </w:r>
      <w:r>
        <w:rPr>
          <w:rFonts w:ascii="Times New Roman" w:hAnsi="Times New Roman" w:eastAsia="宋体"/>
          <w:color w:val="auto"/>
          <w:sz w:val="21"/>
          <w:szCs w:val="21"/>
          <w:highlight w:val="none"/>
        </w:rPr>
        <w:t xml:space="preserve">____________________________________</w:t>
      </w:r>
      <w:r/>
    </w:p>
    <w:p>
      <w:pPr>
        <w:pStyle w:val="1084"/>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  </w:t>
      </w:r>
      <w:r>
        <w:rPr>
          <w:rFonts w:hint="eastAsia" w:ascii="Times New Roman" w:hAnsi="Times New Roman" w:eastAsia="宋体"/>
          <w:color w:val="auto"/>
          <w:sz w:val="21"/>
          <w:szCs w:val="21"/>
          <w:highlight w:val="none"/>
        </w:rPr>
        <w:t xml:space="preserve"> </w:t>
      </w:r>
      <w:r>
        <w:rPr>
          <w:rFonts w:ascii="Times New Roman" w:hAnsi="Times New Roman" w:eastAsia="宋体"/>
          <w:color w:val="auto"/>
          <w:sz w:val="21"/>
          <w:szCs w:val="21"/>
          <w:highlight w:val="none"/>
        </w:rPr>
        <w:t xml:space="preserve"> </w:t>
      </w:r>
      <w:r>
        <w:rPr>
          <w:rFonts w:hint="eastAsia" w:ascii="Times New Roman" w:hAnsi="Times New Roman" w:eastAsia="宋体"/>
          <w:color w:val="auto"/>
          <w:sz w:val="21"/>
          <w:szCs w:val="21"/>
          <w:highlight w:val="none"/>
        </w:rPr>
        <w:t xml:space="preserve">授权单位（公章）：</w:t>
      </w:r>
      <w:r>
        <w:rPr>
          <w:rFonts w:ascii="Times New Roman" w:hAnsi="Times New Roman" w:eastAsia="宋体"/>
          <w:color w:val="auto"/>
          <w:sz w:val="21"/>
          <w:szCs w:val="21"/>
          <w:highlight w:val="none"/>
        </w:rPr>
        <w:t xml:space="preserve">_________________________________</w:t>
      </w:r>
      <w:r/>
    </w:p>
    <w:p>
      <w:pPr>
        <w:pStyle w:val="1084"/>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地址：</w:t>
      </w:r>
      <w:r>
        <w:rPr>
          <w:rFonts w:ascii="Times New Roman" w:hAnsi="Times New Roman" w:eastAsia="宋体"/>
          <w:color w:val="auto"/>
          <w:sz w:val="21"/>
          <w:szCs w:val="21"/>
          <w:highlight w:val="none"/>
          <w:u w:val="single"/>
        </w:rPr>
        <w:t xml:space="preserve">                                         </w:t>
      </w:r>
      <w:r/>
    </w:p>
    <w:p>
      <w:pPr>
        <w:pStyle w:val="1084"/>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rPr>
          <w:rFonts w:ascii="Times New Roman" w:hAnsi="Times New Roman" w:eastAsia="宋体"/>
          <w:color w:val="auto"/>
          <w:sz w:val="21"/>
          <w:szCs w:val="21"/>
          <w:highlight w:val="none"/>
          <w:u w:val="single"/>
        </w:rPr>
        <w:t xml:space="preserve">                                         </w:t>
      </w:r>
      <w:r>
        <w:rPr>
          <w:rFonts w:ascii="Times New Roman" w:hAnsi="Times New Roman" w:eastAsia="宋体"/>
          <w:color w:val="auto"/>
          <w:sz w:val="21"/>
          <w:szCs w:val="21"/>
          <w:highlight w:val="none"/>
        </w:rPr>
        <w:t xml:space="preserve"> </w:t>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被授权人身份证复印件：</w:t>
      </w:r>
      <w:r/>
    </w:p>
    <w:p>
      <w:pPr>
        <w:ind w:firstLine="420"/>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ind w:firstLine="420"/>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ind w:firstLine="420"/>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法定代表人身份证复印件：</w:t>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jc w:val="center"/>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3、具备履行合同所必需的设备和专业技术能力的书面声明</w:t>
      </w:r>
      <w:r/>
    </w:p>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bCs/>
          <w:color w:val="auto"/>
          <w:szCs w:val="21"/>
          <w:highlight w:val="none"/>
        </w:rPr>
        <w:t xml:space="preserve"> </w:t>
      </w: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701"/>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63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投标人名称（公章）：</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法定代表人或授权代表（签字）：</w:t>
      </w:r>
      <w:r/>
    </w:p>
    <w:p>
      <w:pPr>
        <w:pageBreakBefore w:val="0"/>
        <w:spacing w:line="360" w:lineRule="auto"/>
        <w:rPr>
          <w:rFonts w:ascii="Times New Roman" w:hAnsi="Times New Roman" w:eastAsia="宋体"/>
          <w:b/>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Cs/>
          <w:color w:val="auto"/>
          <w:szCs w:val="21"/>
          <w:highlight w:val="none"/>
        </w:rPr>
        <w:t xml:space="preserve">                               日期：</w:t>
      </w:r>
      <w:r>
        <w:rPr>
          <w:rFonts w:hint="eastAsia" w:ascii="Times New Roman" w:hAnsi="Times New Roman" w:eastAsia="宋体"/>
          <w:bCs/>
          <w:color w:val="auto"/>
          <w:szCs w:val="21"/>
          <w:highlight w:val="none"/>
          <w:u w:val="single"/>
        </w:rPr>
        <w:t xml:space="preserve">    </w:t>
      </w:r>
      <w:r>
        <w:rPr>
          <w:rFonts w:hint="eastAsia" w:ascii="Times New Roman" w:hAnsi="Times New Roman" w:eastAsia="宋体"/>
          <w:bCs/>
          <w:color w:val="auto"/>
          <w:szCs w:val="21"/>
          <w:highlight w:val="none"/>
        </w:rPr>
        <w:t xml:space="preserve">年</w:t>
      </w:r>
      <w:r>
        <w:rPr>
          <w:rFonts w:hint="eastAsia" w:ascii="Times New Roman" w:hAnsi="Times New Roman" w:eastAsia="宋体"/>
          <w:bCs/>
          <w:color w:val="auto"/>
          <w:szCs w:val="21"/>
          <w:highlight w:val="none"/>
          <w:u w:val="single"/>
        </w:rPr>
        <w:t xml:space="preserve">    </w:t>
      </w:r>
      <w:r>
        <w:rPr>
          <w:rFonts w:hint="eastAsia" w:ascii="Times New Roman" w:hAnsi="Times New Roman" w:eastAsia="宋体"/>
          <w:bCs/>
          <w:color w:val="auto"/>
          <w:szCs w:val="21"/>
          <w:highlight w:val="none"/>
        </w:rPr>
        <w:t xml:space="preserve">月</w:t>
      </w:r>
      <w:r>
        <w:rPr>
          <w:rFonts w:hint="eastAsia" w:ascii="Times New Roman" w:hAnsi="Times New Roman" w:eastAsia="宋体"/>
          <w:bCs/>
          <w:color w:val="auto"/>
          <w:szCs w:val="21"/>
          <w:highlight w:val="none"/>
          <w:u w:val="single"/>
        </w:rPr>
        <w:t xml:space="preserve">    </w:t>
      </w:r>
      <w:r>
        <w:rPr>
          <w:rFonts w:hint="eastAsia" w:ascii="Times New Roman" w:hAnsi="Times New Roman" w:eastAsia="宋体"/>
          <w:bCs/>
          <w:color w:val="auto"/>
          <w:szCs w:val="21"/>
          <w:highlight w:val="none"/>
        </w:rPr>
        <w:t xml:space="preserve">日</w:t>
      </w:r>
      <w:r/>
    </w:p>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center"/>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4、参加本次政府采购活动前 3 年内在经营活动中没有重大违法记录的书面声明</w:t>
      </w:r>
      <w:r/>
    </w:p>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center"/>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声  明</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bCs/>
          <w:color w:val="auto"/>
          <w:szCs w:val="21"/>
          <w:highlight w:val="none"/>
        </w:rPr>
        <w:t xml:space="preserve">    </w:t>
      </w:r>
      <w:r>
        <w:rPr>
          <w:rFonts w:hint="eastAsia" w:ascii="Times New Roman" w:hAnsi="Times New Roman" w:eastAsia="宋体"/>
          <w:bCs/>
          <w:color w:val="auto"/>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投标人名称（公章）：</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法定代表人或授权代表（签字）：</w:t>
      </w:r>
      <w:r/>
    </w:p>
    <w:p>
      <w:pPr>
        <w:pageBreakBefore w:val="0"/>
        <w:spacing w:line="360" w:lineRule="auto"/>
        <w:rPr>
          <w:rFonts w:ascii="Times New Roman" w:hAnsi="Times New Roman" w:eastAsia="宋体"/>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Cs/>
          <w:color w:val="auto"/>
          <w:szCs w:val="21"/>
          <w:highlight w:val="none"/>
        </w:rPr>
        <w:t xml:space="preserve">                               日期：</w:t>
      </w:r>
      <w:r>
        <w:rPr>
          <w:rFonts w:hint="eastAsia" w:ascii="Times New Roman" w:hAnsi="Times New Roman" w:eastAsia="宋体"/>
          <w:bCs/>
          <w:color w:val="auto"/>
          <w:szCs w:val="21"/>
          <w:highlight w:val="none"/>
          <w:u w:val="single"/>
        </w:rPr>
        <w:t xml:space="preserve">    </w:t>
      </w:r>
      <w:r>
        <w:rPr>
          <w:rFonts w:hint="eastAsia" w:ascii="Times New Roman" w:hAnsi="Times New Roman" w:eastAsia="宋体"/>
          <w:bCs/>
          <w:color w:val="auto"/>
          <w:szCs w:val="21"/>
          <w:highlight w:val="none"/>
        </w:rPr>
        <w:t xml:space="preserve">年</w:t>
      </w:r>
      <w:r>
        <w:rPr>
          <w:rFonts w:hint="eastAsia" w:ascii="Times New Roman" w:hAnsi="Times New Roman" w:eastAsia="宋体"/>
          <w:bCs/>
          <w:color w:val="auto"/>
          <w:szCs w:val="21"/>
          <w:highlight w:val="none"/>
          <w:u w:val="single"/>
        </w:rPr>
        <w:t xml:space="preserve">    </w:t>
      </w:r>
      <w:r>
        <w:rPr>
          <w:rFonts w:hint="eastAsia" w:ascii="Times New Roman" w:hAnsi="Times New Roman" w:eastAsia="宋体"/>
          <w:bCs/>
          <w:color w:val="auto"/>
          <w:szCs w:val="21"/>
          <w:highlight w:val="none"/>
        </w:rPr>
        <w:t xml:space="preserve">月</w:t>
      </w:r>
      <w:r>
        <w:rPr>
          <w:rFonts w:hint="eastAsia" w:ascii="Times New Roman" w:hAnsi="Times New Roman" w:eastAsia="宋体"/>
          <w:bCs/>
          <w:color w:val="auto"/>
          <w:szCs w:val="21"/>
          <w:highlight w:val="none"/>
          <w:u w:val="single"/>
        </w:rPr>
        <w:t xml:space="preserve">    </w:t>
      </w:r>
      <w:r>
        <w:rPr>
          <w:rFonts w:hint="eastAsia" w:ascii="Times New Roman" w:hAnsi="Times New Roman" w:eastAsia="宋体"/>
          <w:bCs/>
          <w:color w:val="auto"/>
          <w:szCs w:val="21"/>
          <w:highlight w:val="none"/>
        </w:rPr>
        <w:t xml:space="preserve">日</w:t>
      </w:r>
      <w:r/>
    </w:p>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5、供应商信用承诺书</w:t>
      </w:r>
      <w:r/>
    </w:p>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承诺主体名称：</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统一社会信用代码：</w:t>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（注：法定代表人或负责人、主体名称发生变更的应当重新做出承诺。）</w:t>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投标人名称（公章）           </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w:t>
      </w:r>
      <w:r>
        <w:rPr>
          <w:rFonts w:hint="eastAsia" w:ascii="Times New Roman" w:hAnsi="Times New Roman" w:eastAsia="宋体"/>
          <w:bCs/>
          <w:color w:val="auto"/>
          <w:szCs w:val="21"/>
          <w:highlight w:val="none"/>
        </w:rPr>
        <w:t xml:space="preserve">法定代表人或授权代表（签字）：</w:t>
      </w:r>
      <w:r/>
    </w:p>
    <w:p>
      <w:pPr>
        <w:jc w:val="center"/>
        <w:pageBreakBefore w:val="0"/>
        <w:spacing w:line="360" w:lineRule="auto"/>
        <w:rPr>
          <w:rFonts w:ascii="Times New Roman" w:hAnsi="Times New Roman" w:eastAsia="宋体" w:cs="宋体"/>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Cs w:val="21"/>
          <w:highlight w:val="none"/>
        </w:rPr>
        <w:t xml:space="preserve">　　　　　　　　　      　年    月    日</w:t>
      </w:r>
      <w:r/>
    </w:p>
    <w:p>
      <w:pPr>
        <w:pageBreakBefore w:val="0"/>
        <w:spacing w:line="360" w:lineRule="auto"/>
        <w:rPr>
          <w:rFonts w:ascii="Times New Roman" w:hAnsi="Times New Roman" w:eastAsia="宋体"/>
          <w:bCs/>
          <w:strike/>
          <w:color w:val="auto"/>
          <w:szCs w:val="21"/>
          <w:highlight w:val="none"/>
        </w:rPr>
      </w:pPr>
      <w:r>
        <w:rPr>
          <w:rFonts w:ascii="Times New Roman" w:hAnsi="Times New Roman" w:eastAsia="宋体"/>
          <w:bCs/>
          <w:strike/>
          <w:color w:val="auto"/>
          <w:szCs w:val="21"/>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 联合体协议</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（联合体中各供应商全称）在此达成以下协议：</w:t>
      </w:r>
      <w:r/>
    </w:p>
    <w:p>
      <w:pPr>
        <w:ind w:firstLine="645"/>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1、我们自愿组成联合体，参加江苏苏维工程管理有限公司组织的采购编号为</w:t>
      </w:r>
      <w:r>
        <w:rPr>
          <w:rFonts w:hint="eastAsia" w:ascii="Times New Roman" w:hAnsi="Times New Roman" w:eastAsia="宋体"/>
          <w:color w:val="auto"/>
          <w:szCs w:val="21"/>
          <w:highlight w:val="none"/>
          <w:u w:val="single"/>
        </w:rPr>
        <w:t xml:space="preserve">   </w:t>
      </w:r>
      <w:r>
        <w:rPr>
          <w:rFonts w:hint="eastAsia" w:ascii="Times New Roman" w:hAnsi="Times New Roman" w:eastAsia="宋体"/>
          <w:color w:val="auto"/>
          <w:szCs w:val="21"/>
          <w:highlight w:val="none"/>
        </w:rPr>
        <w:t xml:space="preserve">号（项目全称）</w:t>
      </w:r>
      <w:r>
        <w:rPr>
          <w:rFonts w:hint="eastAsia" w:ascii="Times New Roman" w:hAnsi="Times New Roman" w:eastAsia="宋体"/>
          <w:color w:val="auto"/>
          <w:szCs w:val="21"/>
          <w:highlight w:val="none"/>
          <w:u w:val="single"/>
        </w:rPr>
        <w:t xml:space="preserve">                        </w:t>
      </w:r>
      <w:r>
        <w:rPr>
          <w:rFonts w:hint="eastAsia" w:ascii="Times New Roman" w:hAnsi="Times New Roman" w:eastAsia="宋体"/>
          <w:color w:val="auto"/>
          <w:szCs w:val="21"/>
          <w:highlight w:val="none"/>
        </w:rPr>
        <w:t xml:space="preserve">的政府采购活动。</w:t>
      </w:r>
      <w:r/>
    </w:p>
    <w:p>
      <w:pPr>
        <w:ind w:firstLine="645"/>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w:t>
      </w:r>
      <w:r/>
    </w:p>
    <w:p>
      <w:pPr>
        <w:ind w:firstLine="46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投标人名称（公章）：</w:t>
      </w:r>
      <w:r/>
    </w:p>
    <w:p>
      <w:pPr>
        <w:ind w:firstLine="645"/>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法定代表人或授权代表（签字）：  </w:t>
      </w:r>
      <w:r/>
    </w:p>
    <w:p>
      <w:pPr>
        <w:ind w:firstLine="46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olor w:val="auto"/>
          <w:szCs w:val="21"/>
          <w:highlight w:val="none"/>
        </w:rPr>
        <w:t xml:space="preserve">注：（1）联合体中各供应商均须加盖单位公章，并由法定代表人或授权代表签字。</w:t>
      </w:r>
      <w:r/>
    </w:p>
    <w:p>
      <w:pPr>
        <w:ind w:firstLine="211"/>
        <w:jc w:val="center"/>
        <w:pageBreakBefore w:val="0"/>
        <w:spacing w:line="360" w:lineRule="auto"/>
        <w:rPr>
          <w:rFonts w:ascii="Times New Roman" w:hAnsi="Times New Roman" w:eastAsia="宋体"/>
          <w:b/>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cs="宋体"/>
          <w:b/>
          <w:bCs/>
          <w:color w:val="auto"/>
          <w:szCs w:val="21"/>
          <w:highlight w:val="none"/>
        </w:rPr>
        <w:t xml:space="preserve">7、</w:t>
      </w:r>
      <w:r>
        <w:rPr>
          <w:rFonts w:hint="eastAsia" w:ascii="Times New Roman" w:hAnsi="Times New Roman" w:eastAsia="宋体"/>
          <w:b/>
          <w:bCs/>
          <w:color w:val="auto"/>
          <w:highlight w:val="none"/>
        </w:rPr>
        <w:t xml:space="preserve">中小企业声明函（服务）</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本公司（联合体）郑重声明，根据《政府采购促进中小企业发展管理办法》（财库﹝2020﹞46 号）的规定，本公司（联合体）参加</w:t>
      </w:r>
      <w:r>
        <w:rPr>
          <w:rFonts w:hint="eastAsia" w:ascii="Times New Roman" w:hAnsi="Times New Roman" w:eastAsia="宋体"/>
          <w:color w:val="auto"/>
          <w:highlight w:val="none"/>
          <w:u w:val="single"/>
        </w:rPr>
        <w:t xml:space="preserve">（单位名称）</w:t>
      </w:r>
      <w:r>
        <w:rPr>
          <w:rFonts w:hint="eastAsia" w:ascii="Times New Roman" w:hAnsi="Times New Roman" w:eastAsia="宋体"/>
          <w:color w:val="auto"/>
          <w:highlight w:val="none"/>
        </w:rPr>
        <w:t xml:space="preserve">的</w:t>
      </w:r>
      <w:r>
        <w:rPr>
          <w:rFonts w:hint="eastAsia" w:ascii="Times New Roman" w:hAnsi="Times New Roman" w:eastAsia="宋体"/>
          <w:color w:val="auto"/>
          <w:highlight w:val="none"/>
          <w:u w:val="single"/>
        </w:rPr>
        <w:t xml:space="preserve">（项目名称）</w:t>
      </w:r>
      <w:r>
        <w:rPr>
          <w:rFonts w:hint="eastAsia" w:ascii="Times New Roman" w:hAnsi="Times New Roman" w:eastAsia="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rFonts w:ascii="Times New Roman" w:hAnsi="Times New Roman" w:eastAsia="宋体"/>
          <w:color w:val="auto"/>
          <w:highlight w:val="none"/>
          <w:u w:val="single"/>
        </w:rPr>
      </w:pPr>
      <w:r>
        <w:rPr>
          <w:rFonts w:hint="eastAsia" w:ascii="Times New Roman" w:hAnsi="Times New Roman" w:eastAsia="宋体"/>
          <w:color w:val="auto"/>
          <w:highlight w:val="none"/>
        </w:rPr>
        <w:t xml:space="preserve">1. </w:t>
      </w:r>
      <w:r>
        <w:rPr>
          <w:rFonts w:hint="eastAsia" w:ascii="Times New Roman" w:hAnsi="Times New Roman" w:eastAsia="宋体"/>
          <w:color w:val="auto"/>
          <w:highlight w:val="none"/>
          <w:u w:val="single"/>
        </w:rPr>
        <w:t xml:space="preserve">（标的名称） </w:t>
      </w:r>
      <w:r>
        <w:rPr>
          <w:rFonts w:hint="eastAsia" w:ascii="Times New Roman" w:hAnsi="Times New Roman" w:eastAsia="宋体"/>
          <w:color w:val="auto"/>
          <w:highlight w:val="none"/>
        </w:rPr>
        <w:t xml:space="preserve">，属于</w:t>
      </w:r>
      <w:r>
        <w:rPr>
          <w:rFonts w:hint="eastAsia" w:ascii="Times New Roman" w:hAnsi="Times New Roman" w:eastAsia="宋体"/>
          <w:b/>
          <w:bCs/>
          <w:color w:val="auto"/>
          <w:highlight w:val="none"/>
          <w:u w:val="single"/>
        </w:rPr>
        <w:t xml:space="preserve">（零售业）（不得对行业类别修改）</w:t>
      </w:r>
      <w:r>
        <w:rPr>
          <w:rFonts w:hint="eastAsia" w:ascii="Times New Roman" w:hAnsi="Times New Roman" w:eastAsia="宋体"/>
          <w:color w:val="auto"/>
          <w:highlight w:val="none"/>
        </w:rPr>
        <w:t xml:space="preserve">；承建（承接）企业为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人，营业收入为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万元，资产总额为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"br1" </w:instrText>
      </w:r>
      <w:r>
        <w:rPr>
          <w:rFonts w:ascii="Times New Roman" w:hAnsi="Times New Roman" w:eastAsia="宋体"/>
          <w:color w:val="auto"/>
          <w:highlight w:val="none"/>
        </w:rPr>
        <w:fldChar w:fldCharType="separate"/>
      </w:r>
      <w:r>
        <w:rPr>
          <w:rFonts w:ascii="Times New Roman" w:hAnsi="Times New Roman" w:eastAsia="宋体"/>
          <w:color w:val="auto"/>
          <w:spacing w:val="-1"/>
          <w:highlight w:val="none"/>
          <w:vertAlign w:val="superscript"/>
        </w:rPr>
        <w:t xml:space="preserve">1</w:t>
      </w:r>
      <w:r>
        <w:rPr>
          <w:rFonts w:ascii="Times New Roman" w:hAnsi="Times New Roman" w:eastAsia="宋体"/>
          <w:color w:val="auto"/>
          <w:spacing w:val="-1"/>
          <w:highlight w:val="none"/>
          <w:vertAlign w:val="superscript"/>
        </w:rPr>
        <w:fldChar w:fldCharType="end"/>
      </w:r>
      <w:r>
        <w:rPr>
          <w:rFonts w:hint="eastAsia" w:ascii="Times New Roman" w:hAnsi="Times New Roman" w:eastAsia="宋体"/>
          <w:color w:val="auto"/>
          <w:highlight w:val="none"/>
        </w:rPr>
        <w:t xml:space="preserve">，属于</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u w:val="single"/>
        </w:rPr>
      </w:pPr>
      <w:r>
        <w:rPr>
          <w:rFonts w:hint="eastAsia" w:ascii="Times New Roman" w:hAnsi="Times New Roman" w:eastAsia="宋体"/>
          <w:color w:val="auto"/>
          <w:highlight w:val="none"/>
        </w:rPr>
        <w:t xml:space="preserve">2. </w:t>
      </w:r>
      <w:r>
        <w:rPr>
          <w:rFonts w:hint="eastAsia" w:ascii="Times New Roman" w:hAnsi="Times New Roman" w:eastAsia="宋体"/>
          <w:color w:val="auto"/>
          <w:highlight w:val="none"/>
          <w:u w:val="single"/>
        </w:rPr>
        <w:t xml:space="preserve">（标的名称）</w:t>
      </w:r>
      <w:r>
        <w:rPr>
          <w:rFonts w:hint="eastAsia" w:ascii="Times New Roman" w:hAnsi="Times New Roman" w:eastAsia="宋体"/>
          <w:color w:val="auto"/>
          <w:highlight w:val="none"/>
        </w:rPr>
        <w:t xml:space="preserve"> ，属于</w:t>
      </w:r>
      <w:r>
        <w:rPr>
          <w:rFonts w:hint="eastAsia" w:ascii="Times New Roman" w:hAnsi="Times New Roman" w:eastAsia="宋体"/>
          <w:b/>
          <w:bCs/>
          <w:color w:val="auto"/>
          <w:highlight w:val="none"/>
          <w:u w:val="single"/>
        </w:rPr>
        <w:t xml:space="preserve">（零售业）（不得对行业类别修改）</w:t>
      </w:r>
      <w:r>
        <w:rPr>
          <w:rFonts w:hint="eastAsia" w:ascii="Times New Roman" w:hAnsi="Times New Roman" w:eastAsia="宋体"/>
          <w:color w:val="auto"/>
          <w:highlight w:val="none"/>
        </w:rPr>
        <w:t xml:space="preserve">；承建（承接）企业为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人，营业收入为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万元，资产总额为</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万元，属于</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本企业对上述声明内容的真实性负责。如有虚假，将依法承担相应责任。</w:t>
      </w:r>
      <w:r/>
    </w:p>
    <w:p>
      <w:pPr>
        <w:ind w:firstLine="420"/>
        <w:jc w:val="left"/>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注：1、从业人员（不仅指在职职工）、营业收入、资产总额填报上一年度数据，无上一年度数据的新成立企业可不填报。</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3、企业声明函请完整填写，中标后将公示。</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5、中小企业不得属于大企业的分支机构，不得存在控股股东为大企业的情形，不得存在与大企业的负责人为同一人的情形。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企业名称（盖章）：</w:t>
      </w:r>
      <w:r/>
    </w:p>
    <w:p>
      <w:pPr>
        <w:ind w:firstLine="46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日 期：</w:t>
      </w:r>
      <w:r/>
    </w:p>
    <w:p>
      <w:pPr>
        <w:pStyle w:val="1099"/>
        <w:ind w:firstLine="420"/>
        <w:pageBreakBefore w:val="0"/>
        <w:spacing w:line="360" w:lineRule="auto"/>
        <w:widowControl/>
        <w:rPr>
          <w:rFonts w:ascii="Times New Roman" w:hAnsi="Times New Roman" w:eastAsia="宋体"/>
          <w:color w:val="auto"/>
          <w:sz w:val="21"/>
          <w:szCs w:val="21"/>
          <w:highlight w:val="none"/>
        </w:rPr>
      </w:pPr>
      <w:r>
        <w:rPr>
          <w:rFonts w:hint="eastAsia" w:ascii="Times New Roman" w:hAnsi="Times New Roman" w:eastAsia="宋体" w:cs="仿宋"/>
          <w:color w:val="auto"/>
          <w:sz w:val="21"/>
          <w:szCs w:val="21"/>
          <w:highlight w:val="none"/>
        </w:rPr>
        <w:t xml:space="preserve">    </w:t>
      </w:r>
      <w:r>
        <w:rPr>
          <w:rStyle w:val="1100"/>
          <w:rFonts w:hint="eastAsia" w:ascii="Times New Roman" w:hAnsi="Times New Roman" w:eastAsia="宋体" w:cs="仿宋"/>
          <w:color w:val="auto"/>
          <w:szCs w:val="21"/>
          <w:highlight w:val="none"/>
        </w:rPr>
        <w:t xml:space="preserve">中小微企业划型标准如下：</w:t>
      </w:r>
      <w:r/>
    </w:p>
    <w:tbl>
      <w:tblPr>
        <w:tblStyle w:val="956"/>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99"/>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99"/>
              <w:ind w:firstLine="420"/>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99"/>
              <w:jc w:val="center"/>
              <w:pageBreakBefore w:val="0"/>
              <w:spacing w:line="360" w:lineRule="auto"/>
              <w:widowControl/>
              <w:rPr>
                <w:rFonts w:ascii="Times New Roman" w:hAnsi="Times New Roman" w:eastAsia="宋体"/>
                <w:color w:val="auto"/>
                <w:sz w:val="21"/>
                <w:szCs w:val="21"/>
                <w:highlight w:val="none"/>
              </w:rPr>
            </w:pPr>
            <w:r>
              <w:rPr>
                <w:rStyle w:val="1100"/>
                <w:rFonts w:hint="eastAsia" w:ascii="Times New Roman" w:hAnsi="Times New Roman" w:eastAsia="宋体" w:cs="仿宋"/>
                <w:color w:val="auto"/>
                <w:szCs w:val="21"/>
                <w:highlight w:val="none"/>
              </w:rPr>
              <w:t xml:space="preserve">X＜10</w:t>
            </w:r>
            <w:r/>
          </w:p>
        </w:tc>
      </w:tr>
    </w:tbl>
    <w:p>
      <w:pPr>
        <w:pStyle w:val="1099"/>
        <w:ind w:firstLine="810"/>
        <w:pageBreakBefore w:val="0"/>
        <w:spacing w:line="360" w:lineRule="auto"/>
        <w:widowControl/>
        <w:rPr>
          <w:rStyle w:val="1100"/>
          <w:rFonts w:ascii="Times New Roman" w:hAnsi="Times New Roman" w:eastAsia="宋体" w:cs="仿宋"/>
          <w:color w:val="auto"/>
          <w:szCs w:val="21"/>
          <w:highlight w:val="none"/>
        </w:rPr>
      </w:pPr>
      <w:r>
        <w:rPr>
          <w:rStyle w:val="1100"/>
          <w:rFonts w:hint="eastAsia" w:ascii="Times New Roman" w:hAnsi="Times New Roman" w:eastAsia="宋体" w:cs="仿宋"/>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976"/>
        <w:ind w:firstLine="810"/>
        <w:pageBreakBefore w:val="0"/>
        <w:spacing w:line="360" w:lineRule="auto"/>
        <w:widowControl/>
        <w:rPr>
          <w:rStyle w:val="980"/>
          <w:rFonts w:ascii="Times New Roman" w:hAnsi="Times New Roman" w:eastAsia="宋体" w:cs="仿宋"/>
          <w:color w:val="auto"/>
          <w:sz w:val="21"/>
          <w:szCs w:val="21"/>
          <w:highlight w:val="none"/>
        </w:rPr>
      </w:pPr>
      <w:r>
        <w:rPr>
          <w:rFonts w:ascii="Times New Roman" w:hAnsi="Times New Roman" w:eastAsia="宋体" w:cs="仿宋"/>
          <w:color w:val="auto"/>
          <w:sz w:val="21"/>
          <w:szCs w:val="21"/>
          <w:highlight w:val="none"/>
        </w:rPr>
      </w:r>
      <w:r/>
    </w:p>
    <w:p>
      <w:pPr>
        <w:pStyle w:val="960"/>
        <w:pageBreakBefore w:val="0"/>
        <w:spacing w:line="360" w:lineRule="auto"/>
        <w:rPr>
          <w:rFonts w:ascii="Times New Roman" w:hAnsi="Times New Roman" w:eastAsia="宋体" w:cs="宋体"/>
          <w:bCs/>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s="宋体"/>
          <w:bCs/>
          <w:color w:val="auto"/>
          <w:sz w:val="21"/>
          <w:szCs w:val="21"/>
          <w:highlight w:val="none"/>
        </w:rPr>
      </w:r>
      <w:r/>
    </w:p>
    <w:p>
      <w:pPr>
        <w:pStyle w:val="976"/>
        <w:jc w:val="center"/>
        <w:pageBreakBefore w:val="0"/>
        <w:spacing w:line="360" w:lineRule="auto"/>
        <w:shd w:val="clear" w:color="auto" w:fill="ffffff"/>
        <w:widowControl/>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r>
      <w:r/>
    </w:p>
    <w:p>
      <w:pPr>
        <w:pStyle w:val="976"/>
        <w:jc w:val="center"/>
        <w:pageBreakBefore w:val="0"/>
        <w:spacing w:line="360" w:lineRule="auto"/>
        <w:shd w:val="clear" w:color="auto" w:fill="ffffff"/>
        <w:widowControl/>
        <w:rPr>
          <w:rFonts w:ascii="Times New Roman" w:hAnsi="Times New Roman" w:eastAsia="宋体" w:cs="宋体"/>
          <w:b/>
          <w:bCs/>
          <w:color w:val="auto"/>
          <w:sz w:val="21"/>
          <w:szCs w:val="21"/>
          <w:highlight w:val="none"/>
        </w:rPr>
      </w:pPr>
      <w:r>
        <w:rPr>
          <w:rFonts w:hint="eastAsia" w:ascii="Times New Roman" w:hAnsi="Times New Roman" w:eastAsia="宋体"/>
          <w:b/>
          <w:bCs/>
          <w:color w:val="auto"/>
          <w:sz w:val="21"/>
          <w:szCs w:val="21"/>
          <w:highlight w:val="none"/>
        </w:rPr>
        <w:t xml:space="preserve">8、</w:t>
      </w:r>
      <w:r>
        <w:rPr>
          <w:rFonts w:hint="eastAsia" w:ascii="Times New Roman" w:hAnsi="Times New Roman" w:eastAsia="宋体" w:cs="宋体"/>
          <w:b/>
          <w:bCs/>
          <w:color w:val="auto"/>
          <w:sz w:val="21"/>
          <w:szCs w:val="21"/>
          <w:highlight w:val="none"/>
          <w:shd w:val="clear" w:color="auto" w:fill="ffffff"/>
        </w:rPr>
        <w:t xml:space="preserve">残疾人福利性单位声明函</w:t>
      </w:r>
      <w:r/>
    </w:p>
    <w:p>
      <w:pPr>
        <w:pStyle w:val="976"/>
        <w:pageBreakBefore w:val="0"/>
        <w:spacing w:line="360" w:lineRule="auto"/>
        <w:shd w:val="clear" w:color="auto" w:fill="ffffff"/>
        <w:widowControl/>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shd w:val="clear" w:color="auto" w:fill="ffffff"/>
        </w:rPr>
        <w:t xml:space="preserve"> </w:t>
      </w:r>
      <w:r/>
    </w:p>
    <w:p>
      <w:pPr>
        <w:pStyle w:val="976"/>
        <w:ind w:firstLine="420"/>
        <w:pageBreakBefore w:val="0"/>
        <w:spacing w:line="360" w:lineRule="auto"/>
        <w:shd w:val="clear" w:color="auto" w:fill="ffffff"/>
        <w:widowControl/>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shd w:val="clear" w:color="auto" w:fill="ffffff"/>
        </w:rPr>
        <w:t xml:space="preserve">本公司郑重声明，根据《财政部  民政部  中国残疾人联合会关于促进残疾人就业政府采购政策的通知》（财库〔2017〕141号）的规定，本单位为符合条件的残疾人福利性单位，且本单位参加江苏苏维工程管理有限公司采购编号为</w:t>
      </w:r>
      <w:r>
        <w:rPr>
          <w:rFonts w:ascii="Times New Roman" w:hAnsi="Times New Roman" w:eastAsia="宋体"/>
          <w:color w:val="auto"/>
          <w:sz w:val="21"/>
          <w:szCs w:val="21"/>
          <w:highlight w:val="none"/>
          <w:u w:val="single"/>
        </w:rPr>
        <w:t xml:space="preserve">  </w:t>
      </w:r>
      <w:r>
        <w:rPr>
          <w:rFonts w:hint="eastAsia" w:ascii="Times New Roman" w:hAnsi="Times New Roman" w:eastAsia="宋体"/>
          <w:color w:val="auto"/>
          <w:sz w:val="21"/>
          <w:szCs w:val="21"/>
          <w:highlight w:val="none"/>
          <w:u w:val="single"/>
        </w:rPr>
        <w:t xml:space="preserve">      </w:t>
      </w:r>
      <w:r>
        <w:rPr>
          <w:rFonts w:ascii="Times New Roman" w:hAnsi="Times New Roman" w:eastAsia="宋体"/>
          <w:color w:val="auto"/>
          <w:sz w:val="21"/>
          <w:szCs w:val="21"/>
          <w:highlight w:val="none"/>
          <w:u w:val="single"/>
        </w:rPr>
        <w:t xml:space="preserve"> </w:t>
      </w:r>
      <w:r>
        <w:rPr>
          <w:rFonts w:hint="eastAsia" w:ascii="Times New Roman" w:hAnsi="Times New Roman" w:eastAsia="宋体"/>
          <w:color w:val="auto"/>
          <w:sz w:val="21"/>
          <w:szCs w:val="21"/>
          <w:highlight w:val="none"/>
        </w:rPr>
        <w:t xml:space="preserve">的</w:t>
      </w:r>
      <w:r>
        <w:rPr>
          <w:rFonts w:ascii="Times New Roman" w:hAnsi="Times New Roman" w:eastAsia="宋体"/>
          <w:color w:val="auto"/>
          <w:sz w:val="21"/>
          <w:szCs w:val="21"/>
          <w:highlight w:val="none"/>
          <w:u w:val="single"/>
        </w:rPr>
        <w:t xml:space="preserve"> </w:t>
      </w:r>
      <w:r>
        <w:rPr>
          <w:rFonts w:hint="eastAsia" w:ascii="Times New Roman" w:hAnsi="Times New Roman" w:eastAsia="宋体"/>
          <w:color w:val="auto"/>
          <w:sz w:val="21"/>
          <w:szCs w:val="21"/>
          <w:highlight w:val="none"/>
          <w:u w:val="single"/>
        </w:rPr>
        <w:t xml:space="preserve">         </w:t>
      </w:r>
      <w:r>
        <w:rPr>
          <w:rFonts w:ascii="Times New Roman" w:hAnsi="Times New Roman" w:eastAsia="宋体"/>
          <w:color w:val="auto"/>
          <w:sz w:val="21"/>
          <w:szCs w:val="21"/>
          <w:highlight w:val="none"/>
          <w:u w:val="single"/>
        </w:rPr>
        <w:t xml:space="preserve"> </w:t>
      </w:r>
      <w:r>
        <w:rPr>
          <w:rFonts w:hint="eastAsia" w:ascii="Times New Roman" w:hAnsi="Times New Roman" w:eastAsia="宋体"/>
          <w:color w:val="auto"/>
          <w:sz w:val="21"/>
          <w:szCs w:val="21"/>
          <w:highlight w:val="none"/>
        </w:rPr>
        <w:t xml:space="preserve">项目</w:t>
      </w:r>
      <w:r>
        <w:rPr>
          <w:rFonts w:hint="eastAsia" w:ascii="Times New Roman" w:hAnsi="Times New Roman" w:eastAsia="宋体" w:cs="宋体"/>
          <w:color w:val="auto"/>
          <w:sz w:val="21"/>
          <w:szCs w:val="21"/>
          <w:highlight w:val="none"/>
          <w:shd w:val="clear" w:color="auto" w:fill="ffffff"/>
        </w:rPr>
        <w:t xml:space="preserve">采购活动提供本单位制造的货物（由本单位承担工程/提供服务），或者提供其他残疾人福利性单位制造的货物（不包括使用非残疾人福利性单位注册商标的货物）。</w:t>
      </w:r>
      <w:r/>
    </w:p>
    <w:p>
      <w:pPr>
        <w:ind w:firstLine="315"/>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本公司对上述声明的真实性负责。如有虚假，将依法承担相应责任。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投标人名称（公章）：</w:t>
      </w:r>
      <w:r/>
    </w:p>
    <w:p>
      <w:pPr>
        <w:ind w:firstLine="420"/>
        <w:pageBreakBefore w:val="0"/>
        <w:spacing w:line="360" w:lineRule="auto"/>
        <w:rPr>
          <w:rFonts w:ascii="Times New Roman" w:hAnsi="Times New Roman" w:eastAsia="宋体" w:cs="宋体"/>
          <w:bCs/>
          <w:color w:val="auto"/>
          <w:szCs w:val="21"/>
          <w:highlight w:val="none"/>
        </w:rPr>
      </w:pPr>
      <w:r>
        <w:rPr>
          <w:rFonts w:hint="eastAsia" w:ascii="Times New Roman" w:hAnsi="Times New Roman" w:eastAsia="宋体"/>
          <w:color w:val="auto"/>
          <w:szCs w:val="21"/>
          <w:highlight w:val="none"/>
        </w:rPr>
        <w:t xml:space="preserve">日</w:t>
      </w:r>
      <w:r>
        <w:rPr>
          <w:rFonts w:ascii="Times New Roman" w:hAnsi="Times New Roman" w:eastAsia="宋体"/>
          <w:color w:val="auto"/>
          <w:szCs w:val="21"/>
          <w:highlight w:val="none"/>
        </w:rPr>
        <w:t xml:space="preserve">  </w:t>
      </w:r>
      <w:r>
        <w:rPr>
          <w:rFonts w:hint="eastAsia" w:ascii="Times New Roman" w:hAnsi="Times New Roman" w:eastAsia="宋体"/>
          <w:color w:val="auto"/>
          <w:szCs w:val="21"/>
          <w:highlight w:val="none"/>
        </w:rPr>
        <w:t xml:space="preserve">期：</w:t>
      </w:r>
      <w:r/>
    </w:p>
    <w:p>
      <w:pPr>
        <w:jc w:val="cente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jc w:val="center"/>
        <w:pageBreakBefore w:val="0"/>
        <w:spacing w:line="360" w:lineRule="auto"/>
        <w:rPr>
          <w:rFonts w:ascii="Times New Roman" w:hAnsi="Times New Roman" w:eastAsia="宋体"/>
          <w:b/>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24"/>
          <w:szCs w:val="24"/>
          <w:highlight w:val="none"/>
        </w:rPr>
      </w:r>
      <w:r/>
    </w:p>
    <w:p>
      <w:pPr>
        <w:jc w:val="center"/>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9、关于符合本国产品标准的声明函</w:t>
      </w:r>
      <w:r/>
    </w:p>
    <w:p>
      <w:pPr>
        <w:pStyle w:val="976"/>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97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982"/>
          <w:rFonts w:hint="eastAsia" w:ascii="Times New Roman" w:hAnsi="Times New Roman" w:eastAsia="宋体" w:cs="宋体"/>
          <w:color w:val="auto"/>
          <w:highlight w:val="none"/>
          <w:u w:val="single"/>
          <w:shd w:val="clear" w:color="auto" w:fill="ffffff"/>
        </w:rPr>
        <w:t xml:space="preserve">（产品名称1）</w:t>
      </w:r>
      <w:r>
        <w:rPr>
          <w:rStyle w:val="982"/>
          <w:rFonts w:hint="eastAsia" w:ascii="Times New Roman" w:hAnsi="Times New Roman" w:eastAsia="宋体" w:cs="宋体"/>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982"/>
          <w:rFonts w:hint="eastAsia" w:ascii="Times New Roman" w:hAnsi="Times New Roman" w:eastAsia="宋体" w:cs="宋体"/>
          <w:color w:val="auto"/>
          <w:highlight w:val="none"/>
          <w:u w:val="single"/>
          <w:shd w:val="clear" w:color="auto" w:fill="ffffff"/>
        </w:rPr>
        <w:t xml:space="preserve">（厂名）</w:t>
      </w:r>
      <w:r>
        <w:rPr>
          <w:rStyle w:val="982"/>
          <w:rFonts w:hint="eastAsia" w:ascii="Times New Roman" w:hAnsi="Times New Roman" w:eastAsia="宋体" w:cs="宋体"/>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982"/>
          <w:rFonts w:hint="eastAsia" w:ascii="Times New Roman" w:hAnsi="Times New Roman" w:eastAsia="宋体" w:cs="宋体"/>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982"/>
          <w:rFonts w:hint="eastAsia" w:ascii="Times New Roman" w:hAnsi="Times New Roman" w:eastAsia="宋体" w:cs="宋体"/>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982"/>
          <w:rFonts w:hint="eastAsia" w:ascii="Times New Roman" w:hAnsi="Times New Roman" w:eastAsia="宋体" w:cs="宋体"/>
          <w:color w:val="auto"/>
          <w:highlight w:val="none"/>
          <w:u w:val="single"/>
          <w:shd w:val="clear" w:color="auto" w:fill="ffffff"/>
        </w:rPr>
        <w:t xml:space="preserve">（规定比例）</w:t>
      </w:r>
      <w:r>
        <w:rPr>
          <w:rStyle w:val="982"/>
          <w:rFonts w:hint="eastAsia" w:ascii="Times New Roman" w:hAnsi="Times New Roman" w:eastAsia="宋体" w:cs="宋体"/>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982"/>
          <w:rFonts w:hint="eastAsia" w:ascii="Times New Roman" w:hAnsi="Times New Roman" w:eastAsia="宋体" w:cs="宋体"/>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82"/>
          <w:rFonts w:hint="eastAsia" w:ascii="Times New Roman" w:hAnsi="Times New Roman" w:eastAsia="宋体" w:cs="宋体"/>
          <w:color w:val="auto"/>
          <w:highlight w:val="none"/>
          <w:u w:val="single"/>
          <w:shd w:val="clear" w:color="auto" w:fill="ffffff"/>
        </w:rPr>
        <w:t xml:space="preserve">（关键组件）</w:t>
      </w:r>
      <w:r>
        <w:rPr>
          <w:rStyle w:val="982"/>
          <w:rFonts w:hint="eastAsia" w:ascii="Times New Roman" w:hAnsi="Times New Roman" w:eastAsia="宋体" w:cs="宋体"/>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982"/>
          <w:rFonts w:hint="eastAsia" w:ascii="Times New Roman" w:hAnsi="Times New Roman" w:eastAsia="宋体" w:cs="宋体"/>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82"/>
          <w:rFonts w:hint="eastAsia" w:ascii="Times New Roman" w:hAnsi="Times New Roman" w:eastAsia="宋体" w:cs="宋体"/>
          <w:color w:val="auto"/>
          <w:highlight w:val="none"/>
          <w:u w:val="single"/>
          <w:shd w:val="clear" w:color="auto" w:fill="ffffff"/>
        </w:rPr>
        <w:t xml:space="preserve">（关键工序）</w:t>
      </w:r>
      <w:r>
        <w:rPr>
          <w:rStyle w:val="982"/>
          <w:rFonts w:hint="eastAsia" w:ascii="Times New Roman" w:hAnsi="Times New Roman" w:eastAsia="宋体" w:cs="宋体"/>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97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982"/>
          <w:rFonts w:hint="eastAsia" w:ascii="Times New Roman" w:hAnsi="Times New Roman" w:eastAsia="宋体" w:cs="宋体"/>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982"/>
          <w:rFonts w:hint="eastAsia" w:ascii="Times New Roman" w:hAnsi="Times New Roman" w:eastAsia="宋体" w:cs="宋体"/>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982"/>
          <w:rFonts w:hint="eastAsia" w:ascii="Times New Roman" w:hAnsi="Times New Roman" w:eastAsia="宋体" w:cs="宋体"/>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982"/>
          <w:rFonts w:hint="eastAsia" w:ascii="Times New Roman" w:hAnsi="Times New Roman" w:eastAsia="宋体" w:cs="宋体"/>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982"/>
          <w:rFonts w:hint="eastAsia" w:ascii="Times New Roman" w:hAnsi="Times New Roman" w:eastAsia="宋体" w:cs="宋体"/>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982"/>
          <w:rFonts w:hint="eastAsia" w:ascii="Times New Roman" w:hAnsi="Times New Roman" w:eastAsia="宋体" w:cs="宋体"/>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982"/>
          <w:rFonts w:hint="eastAsia" w:ascii="Times New Roman" w:hAnsi="Times New Roman" w:eastAsia="宋体" w:cs="宋体"/>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982"/>
          <w:rFonts w:hint="eastAsia" w:ascii="Times New Roman" w:hAnsi="Times New Roman" w:eastAsia="宋体" w:cs="宋体"/>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82"/>
          <w:rFonts w:hint="eastAsia" w:ascii="Times New Roman" w:hAnsi="Times New Roman" w:eastAsia="宋体" w:cs="宋体"/>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97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97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976"/>
        <w:pageBreakBefore w:val="0"/>
        <w:spacing w:line="360" w:lineRule="auto"/>
        <w:rPr>
          <w:rFonts w:ascii="Times New Roman" w:hAnsi="Times New Roman" w:eastAsia="宋体" w:cs="宋体"/>
          <w:color w:val="auto"/>
          <w:highlight w:val="none"/>
        </w:rPr>
      </w:pPr>
      <w:r>
        <w:rPr>
          <w:rFonts w:ascii="Times New Roman" w:hAnsi="Times New Roman" w:eastAsia="宋体" w:cs="宋体"/>
          <w:color w:val="auto"/>
          <w:highlight w:val="none"/>
        </w:rPr>
      </w:r>
      <w:r/>
    </w:p>
    <w:p>
      <w:pPr>
        <w:pStyle w:val="976"/>
        <w:ind w:right="480" w:firstLine="37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976"/>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976"/>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__________________</w:t>
      </w:r>
      <w:r/>
    </w:p>
    <w:p>
      <w:pPr>
        <w:pStyle w:val="976"/>
        <w:pageBreakBefore w:val="0"/>
        <w:spacing w:line="360" w:lineRule="auto"/>
        <w:rPr>
          <w:rFonts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976"/>
        <w:pageBreakBefore w:val="0"/>
        <w:spacing w:line="360" w:lineRule="auto"/>
        <w:rPr>
          <w:rFonts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976"/>
        <w:pageBreakBefore w:val="0"/>
        <w:spacing w:line="360" w:lineRule="auto"/>
        <w:rPr>
          <w:rFonts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976"/>
        <w:pageBreakBefore w:val="0"/>
        <w:spacing w:line="360" w:lineRule="auto"/>
        <w:rPr>
          <w:rFonts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976"/>
        <w:pageBreakBefore w:val="0"/>
        <w:spacing w:line="360" w:lineRule="auto"/>
        <w:rPr>
          <w:rFonts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976"/>
        <w:pageBreakBefore w:val="0"/>
        <w:spacing w:line="360" w:lineRule="auto"/>
        <w:rPr>
          <w:rFonts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6.用斜线划除的地方无需填写。</w:t>
      </w:r>
      <w:r/>
    </w:p>
    <w:p>
      <w:pPr>
        <w:jc w:val="center"/>
        <w:pageBreakBefore w:val="0"/>
        <w:spacing w:line="360" w:lineRule="auto"/>
        <w:rPr>
          <w:rFonts w:ascii="Times New Roman" w:hAnsi="Times New Roman" w:eastAsia="宋体"/>
          <w:b/>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color w:val="auto"/>
          <w:szCs w:val="21"/>
          <w:highlight w:val="none"/>
        </w:rPr>
      </w:r>
      <w:r/>
    </w:p>
    <w:p>
      <w:pPr>
        <w:ind w:left="3150" w:right="-2"/>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10</w:t>
      </w:r>
      <w:r>
        <w:rPr>
          <w:rFonts w:hint="eastAsia" w:ascii="Times New Roman" w:hAnsi="Times New Roman" w:eastAsia="宋体" w:cs="宋体"/>
          <w:b/>
          <w:bCs/>
          <w:color w:val="auto"/>
          <w:szCs w:val="21"/>
          <w:highlight w:val="none"/>
        </w:rPr>
        <w:t xml:space="preserve">、响应承诺书</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lang w:val="en-US" w:eastAsia="zh-CN"/>
        </w:rPr>
        <w:t xml:space="preserve">包一、包二、包三</w:t>
      </w:r>
      <w:r>
        <w:rPr>
          <w:rFonts w:hint="eastAsia" w:ascii="Times New Roman" w:hAnsi="Times New Roman" w:eastAsia="宋体" w:cs="宋体"/>
          <w:b/>
          <w:bCs/>
          <w:color w:val="auto"/>
          <w:szCs w:val="21"/>
          <w:highlight w:val="none"/>
          <w:lang w:eastAsia="zh-CN"/>
        </w:rPr>
        <w:t xml:space="preserve">）</w:t>
      </w:r>
      <w:r/>
    </w:p>
    <w:p>
      <w:pPr>
        <w:ind w:firstLine="36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我公司已认真阅读采购文件，完全理解并接受采购文件中</w:t>
      </w:r>
      <w:r>
        <w:rPr>
          <w:rFonts w:hint="eastAsia" w:ascii="Times New Roman" w:hAnsi="Times New Roman" w:eastAsia="宋体" w:cs="宋体"/>
          <w:color w:val="auto"/>
          <w:szCs w:val="21"/>
          <w:highlight w:val="none"/>
          <w:lang w:eastAsia="zh-CN"/>
        </w:rPr>
        <w:t xml:space="preserve">的</w:t>
      </w:r>
      <w:r>
        <w:rPr>
          <w:rFonts w:hint="eastAsia" w:ascii="Times New Roman" w:hAnsi="Times New Roman" w:eastAsia="宋体" w:cs="宋体"/>
          <w:color w:val="auto"/>
          <w:szCs w:val="21"/>
          <w:highlight w:val="none"/>
        </w:rPr>
        <w:t xml:space="preserve">实质性响应条件，现作如下承诺：</w:t>
      </w:r>
      <w:r/>
    </w:p>
    <w:p>
      <w:pPr>
        <w:ind w:firstLine="36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一、我单位</w:t>
      </w:r>
      <w:r>
        <w:rPr>
          <w:rFonts w:hint="eastAsia" w:ascii="Times New Roman" w:hAnsi="Times New Roman" w:eastAsia="宋体" w:cs="宋体"/>
          <w:color w:val="auto"/>
          <w:szCs w:val="21"/>
          <w:highlight w:val="none"/>
        </w:rPr>
        <w:t xml:space="preserve">提供网上选购一次性消费满99 元（含99元）后的免费邮寄服务，邮寄范围至少包含扬州市指定区域内（广陵区、邗江区、经济技术开发区、蜀冈-瘦西湖风景名胜区、生态科技新城、江都区）。</w:t>
      </w:r>
      <w:r/>
    </w:p>
    <w:p>
      <w:pPr>
        <w:ind w:firstLine="36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val="en-US" w:eastAsia="zh-CN"/>
        </w:rPr>
        <w:t xml:space="preserve">二、我单位</w:t>
      </w:r>
      <w:r>
        <w:rPr>
          <w:rFonts w:hint="eastAsia" w:ascii="Times New Roman" w:hAnsi="Times New Roman" w:eastAsia="宋体" w:cs="宋体"/>
          <w:color w:val="auto"/>
          <w:szCs w:val="21"/>
          <w:highlight w:val="none"/>
        </w:rPr>
        <w:t xml:space="preserve">承诺提货券可兑换产品不得少于100种，且包含乳品、烘焙、休闲零食、粮油调味、生活用品、速冻鲜食、肉蛋水产等不同种类，供教职工自行挑选。提货券使用时</w:t>
      </w:r>
      <w:r>
        <w:rPr>
          <w:rFonts w:hint="eastAsia" w:ascii="Times New Roman" w:hAnsi="Times New Roman" w:eastAsia="宋体" w:cs="宋体"/>
          <w:color w:val="auto"/>
          <w:szCs w:val="21"/>
          <w:highlight w:val="none"/>
          <w:lang w:val="en-US" w:eastAsia="zh-CN"/>
        </w:rPr>
        <w:t xml:space="preserve">满足</w:t>
      </w:r>
      <w:r>
        <w:rPr>
          <w:rFonts w:hint="eastAsia" w:ascii="Times New Roman" w:hAnsi="Times New Roman" w:eastAsia="宋体" w:cs="宋体"/>
          <w:color w:val="auto"/>
          <w:szCs w:val="21"/>
          <w:highlight w:val="none"/>
        </w:rPr>
        <w:t xml:space="preserve">实体门店与网上平台价格和优惠幅度保持一致。</w:t>
      </w:r>
      <w:r/>
    </w:p>
    <w:p>
      <w:pPr>
        <w:ind w:firstLine="315"/>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p>
      <w:pPr>
        <w:ind w:firstLine="315"/>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本公司对上述声明的真实性负责。如有虚假，将依法承担相应责任。</w:t>
      </w:r>
      <w:r/>
    </w:p>
    <w:p>
      <w:pPr>
        <w:ind w:firstLine="420"/>
        <w:jc w:val="righ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p>
      <w:pPr>
        <w:ind w:firstLine="420"/>
        <w:jc w:val="righ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p>
      <w:pPr>
        <w:ind w:firstLine="420"/>
        <w:jc w:val="right"/>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 xml:space="preserve">投标人名称（公章）：</w:t>
      </w:r>
      <w:r>
        <w:rPr>
          <w:rFonts w:hint="eastAsia" w:ascii="Times New Roman" w:hAnsi="Times New Roman" w:eastAsia="宋体"/>
          <w:color w:val="auto"/>
          <w:szCs w:val="21"/>
          <w:highlight w:val="none"/>
          <w:lang w:val="en-US" w:eastAsia="zh-CN"/>
        </w:rPr>
        <w:t xml:space="preserve">                   </w:t>
      </w:r>
      <w:r/>
    </w:p>
    <w:p>
      <w:pPr>
        <w:ind w:firstLine="360"/>
        <w:jc w:val="right"/>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olor w:val="auto"/>
          <w:szCs w:val="21"/>
          <w:highlight w:val="none"/>
        </w:rPr>
        <w:t xml:space="preserve">日</w:t>
      </w:r>
      <w:r>
        <w:rPr>
          <w:rFonts w:ascii="Times New Roman" w:hAnsi="Times New Roman" w:eastAsia="宋体"/>
          <w:color w:val="auto"/>
          <w:szCs w:val="21"/>
          <w:highlight w:val="none"/>
        </w:rPr>
        <w:t xml:space="preserve">  </w:t>
      </w:r>
      <w:r>
        <w:rPr>
          <w:rFonts w:hint="eastAsia" w:ascii="Times New Roman" w:hAnsi="Times New Roman" w:eastAsia="宋体"/>
          <w:color w:val="auto"/>
          <w:szCs w:val="21"/>
          <w:highlight w:val="none"/>
        </w:rPr>
        <w:t xml:space="preserve">期：</w:t>
      </w:r>
      <w:r>
        <w:rPr>
          <w:rFonts w:hint="eastAsia" w:ascii="Times New Roman" w:hAnsi="Times New Roman" w:eastAsia="宋体"/>
          <w:color w:val="auto"/>
          <w:szCs w:val="21"/>
          <w:highlight w:val="none"/>
          <w:lang w:val="en-US" w:eastAsia="zh-CN"/>
        </w:rPr>
        <w:t xml:space="preserve">                          </w:t>
      </w:r>
      <w:r/>
    </w:p>
    <w:p>
      <w:pPr>
        <w:ind w:right="-2"/>
        <w:jc w:val="center"/>
        <w:pageBreakBefore w:val="0"/>
        <w:spacing w:line="360" w:lineRule="auto"/>
        <w:rPr>
          <w:rFonts w:hint="default" w:ascii="Times New Roman" w:hAnsi="Times New Roman" w:eastAsia="宋体" w:cs="宋体"/>
          <w:b/>
          <w:bCs/>
          <w:color w:val="auto"/>
          <w:szCs w:val="21"/>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b/>
          <w:bCs/>
          <w:color w:val="auto"/>
          <w:szCs w:val="21"/>
          <w:highlight w:val="none"/>
          <w:lang w:val="en-US" w:eastAsia="zh-CN"/>
        </w:rPr>
        <w:t xml:space="preserve">                   </w:t>
      </w:r>
      <w:r/>
    </w:p>
    <w:p>
      <w:pPr>
        <w:jc w:val="center"/>
        <w:pageBreakBefore w:val="0"/>
        <w:spacing w:line="360" w:lineRule="auto"/>
        <w:rPr>
          <w:rFonts w:ascii="Times New Roman" w:hAnsi="Times New Roman" w:eastAsia="宋体" w:cs="Calibri"/>
          <w:b/>
          <w:color w:val="auto"/>
          <w:szCs w:val="21"/>
          <w:highlight w:val="none"/>
        </w:rPr>
      </w:pPr>
      <w:r>
        <w:rPr>
          <w:rFonts w:hint="eastAsia" w:ascii="Times New Roman" w:hAnsi="Times New Roman" w:eastAsia="宋体"/>
          <w:b/>
          <w:color w:val="auto"/>
          <w:szCs w:val="21"/>
          <w:highlight w:val="none"/>
        </w:rPr>
        <w:t xml:space="preserve">三、开标一览表</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投标人名称（公章）：</w:t>
      </w:r>
      <w:r/>
    </w:p>
    <w:p>
      <w:pPr>
        <w:ind w:firstLine="480"/>
        <w:pageBreakBefore w:val="0"/>
        <w:spacing w:line="360" w:lineRule="auto"/>
        <w:rPr>
          <w:rFonts w:hint="eastAsia" w:ascii="Times New Roman" w:hAnsi="Times New Roman" w:eastAsia="宋体" w:cs="Calibri"/>
          <w:color w:val="auto"/>
          <w:szCs w:val="21"/>
          <w:highlight w:val="none"/>
          <w:lang w:eastAsia="zh-CN"/>
        </w:rPr>
      </w:pPr>
      <w:r>
        <w:rPr>
          <w:rFonts w:hint="eastAsia" w:ascii="Times New Roman" w:hAnsi="Times New Roman" w:eastAsia="宋体"/>
          <w:color w:val="auto"/>
          <w:szCs w:val="21"/>
          <w:highlight w:val="none"/>
        </w:rPr>
        <w:t xml:space="preserve">项目名称：</w:t>
      </w:r>
      <w:r>
        <w:rPr>
          <w:rFonts w:hint="eastAsia" w:ascii="Times New Roman" w:hAnsi="Times New Roman" w:eastAsia="宋体"/>
          <w:color w:val="auto"/>
          <w:szCs w:val="21"/>
          <w:highlight w:val="none"/>
          <w:lang w:eastAsia="zh-CN"/>
        </w:rPr>
        <w:t xml:space="preserve">扬州大学2026年端午节、中秋节福利项目</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rPr>
          <w:rFonts w:hint="eastAsia" w:ascii="Times New Roman" w:hAnsi="Times New Roman" w:eastAsia="宋体"/>
          <w:color w:val="auto"/>
          <w:szCs w:val="21"/>
          <w:highlight w:val="none"/>
          <w:lang w:eastAsia="zh-CN"/>
        </w:rPr>
        <w:t xml:space="preserve">JSZC-320000-SWGC-G2026-0040号</w:t>
      </w:r>
      <w:r>
        <w:rPr>
          <w:rFonts w:hint="eastAsia" w:ascii="Times New Roman" w:hAnsi="Times New Roman" w:eastAsia="宋体"/>
          <w:color w:val="auto"/>
          <w:szCs w:val="21"/>
          <w:highlight w:val="none"/>
        </w:rPr>
        <w:t xml:space="preserve">                                  </w:t>
      </w:r>
      <w:r/>
    </w:p>
    <w:tbl>
      <w:tblPr>
        <w:tblStyle w:val="956"/>
        <w:tblW w:w="841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1"/>
        <w:gridCol w:w="4723"/>
        <w:gridCol w:w="1832"/>
      </w:tblGrid>
      <w:tr>
        <w:trPr>
          <w:cantSplit/>
          <w:trHeight w:val="1098"/>
        </w:trPr>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名称</w:t>
            </w:r>
            <w:r/>
          </w:p>
        </w:tc>
        <w:tc>
          <w:tcPr>
            <w:tcBorders>
              <w:top w:val="single" w:color="auto" w:sz="4" w:space="0"/>
              <w:left w:val="single" w:color="auto" w:sz="4" w:space="0"/>
              <w:bottom w:val="single" w:color="auto" w:sz="4" w:space="0"/>
              <w:right w:val="single" w:color="auto" w:sz="4" w:space="0"/>
            </w:tcBorders>
            <w:tcW w:w="472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投标总报价</w:t>
            </w:r>
            <w:r/>
          </w:p>
        </w:tc>
        <w:tc>
          <w:tcPr>
            <w:tcBorders>
              <w:top w:val="single" w:color="auto" w:sz="4" w:space="0"/>
              <w:left w:val="single" w:color="auto" w:sz="4" w:space="0"/>
              <w:bottom w:val="single" w:color="auto" w:sz="4" w:space="0"/>
              <w:right w:val="single" w:color="auto" w:sz="4" w:space="0"/>
            </w:tcBorders>
            <w:tcW w:w="1832"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备注</w:t>
            </w:r>
            <w:r/>
          </w:p>
        </w:tc>
      </w:tr>
      <w:tr>
        <w:trPr>
          <w:cantSplit/>
          <w:trHeight w:val="1697"/>
        </w:trPr>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包一</w:t>
            </w:r>
            <w:r/>
          </w:p>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（券面总金额）</w:t>
            </w:r>
            <w:r/>
          </w:p>
        </w:tc>
        <w:tc>
          <w:tcPr>
            <w:tcBorders>
              <w:top w:val="single" w:color="auto" w:sz="4" w:space="0"/>
              <w:left w:val="single" w:color="auto" w:sz="4" w:space="0"/>
              <w:bottom w:val="single" w:color="auto" w:sz="4" w:space="0"/>
              <w:right w:val="single" w:color="auto" w:sz="4" w:space="0"/>
            </w:tcBorders>
            <w:tcW w:w="4723" w:type="dxa"/>
            <w:vAlign w:val="center"/>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1065"/>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（人民币）</w:t>
            </w:r>
            <w:r/>
          </w:p>
        </w:tc>
        <w:tc>
          <w:tcPr>
            <w:tcBorders>
              <w:top w:val="single" w:color="auto" w:sz="4" w:space="0"/>
              <w:left w:val="single" w:color="auto" w:sz="4" w:space="0"/>
              <w:bottom w:val="single" w:color="auto" w:sz="4" w:space="0"/>
              <w:right w:val="single" w:color="auto" w:sz="4" w:space="0"/>
            </w:tcBorders>
            <w:tcW w:w="1832" w:type="dxa"/>
            <w:vAlign w:val="center"/>
            <w:textDirection w:val="lrTb"/>
            <w:noWrap w:val="false"/>
          </w:tcPr>
          <w:p>
            <w:pPr>
              <w:pStyle w:val="1065"/>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包二</w:t>
            </w:r>
            <w:r/>
          </w:p>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（券面总金额）</w:t>
            </w:r>
            <w:r/>
          </w:p>
        </w:tc>
        <w:tc>
          <w:tcPr>
            <w:tcBorders>
              <w:top w:val="single" w:color="auto" w:sz="4" w:space="0"/>
              <w:left w:val="single" w:color="auto" w:sz="4" w:space="0"/>
              <w:bottom w:val="single" w:color="auto" w:sz="4" w:space="0"/>
              <w:right w:val="single" w:color="auto" w:sz="4" w:space="0"/>
            </w:tcBorders>
            <w:tcW w:w="4723" w:type="dxa"/>
            <w:vAlign w:val="center"/>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1065"/>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（人民币）</w:t>
            </w:r>
            <w:r/>
          </w:p>
        </w:tc>
        <w:tc>
          <w:tcPr>
            <w:tcBorders>
              <w:top w:val="single" w:color="auto" w:sz="4" w:space="0"/>
              <w:left w:val="single" w:color="auto" w:sz="4" w:space="0"/>
              <w:bottom w:val="single" w:color="auto" w:sz="4" w:space="0"/>
              <w:right w:val="single" w:color="auto" w:sz="4" w:space="0"/>
            </w:tcBorders>
            <w:tcW w:w="1832" w:type="dxa"/>
            <w:vAlign w:val="center"/>
            <w:textDirection w:val="lrTb"/>
            <w:noWrap w:val="false"/>
          </w:tcPr>
          <w:p>
            <w:pPr>
              <w:pStyle w:val="1065"/>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包三</w:t>
            </w:r>
            <w:r/>
          </w:p>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（券面总金额）</w:t>
            </w:r>
            <w:r/>
          </w:p>
        </w:tc>
        <w:tc>
          <w:tcPr>
            <w:tcBorders>
              <w:top w:val="single" w:color="auto" w:sz="4" w:space="0"/>
              <w:left w:val="single" w:color="auto" w:sz="4" w:space="0"/>
              <w:bottom w:val="single" w:color="auto" w:sz="4" w:space="0"/>
              <w:right w:val="single" w:color="auto" w:sz="4" w:space="0"/>
            </w:tcBorders>
            <w:tcW w:w="4723" w:type="dxa"/>
            <w:vAlign w:val="center"/>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1065"/>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（人民币）</w:t>
            </w:r>
            <w:r/>
          </w:p>
        </w:tc>
        <w:tc>
          <w:tcPr>
            <w:tcBorders>
              <w:top w:val="single" w:color="auto" w:sz="4" w:space="0"/>
              <w:left w:val="single" w:color="auto" w:sz="4" w:space="0"/>
              <w:bottom w:val="single" w:color="auto" w:sz="4" w:space="0"/>
              <w:right w:val="single" w:color="auto" w:sz="4" w:space="0"/>
            </w:tcBorders>
            <w:tcW w:w="1832" w:type="dxa"/>
            <w:vAlign w:val="center"/>
            <w:textDirection w:val="lrTb"/>
            <w:noWrap w:val="false"/>
          </w:tcPr>
          <w:p>
            <w:pPr>
              <w:pStyle w:val="1065"/>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包四</w:t>
            </w:r>
            <w:r/>
          </w:p>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（两个套餐食品的卖场报价之和）</w:t>
            </w:r>
            <w:r/>
          </w:p>
        </w:tc>
        <w:tc>
          <w:tcPr>
            <w:tcBorders>
              <w:top w:val="single" w:color="auto" w:sz="4" w:space="0"/>
              <w:left w:val="single" w:color="auto" w:sz="4" w:space="0"/>
              <w:bottom w:val="single" w:color="auto" w:sz="4" w:space="0"/>
              <w:right w:val="single" w:color="auto" w:sz="4" w:space="0"/>
            </w:tcBorders>
            <w:tcW w:w="4723" w:type="dxa"/>
            <w:vAlign w:val="center"/>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1065"/>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（人民币）</w:t>
            </w:r>
            <w:r/>
          </w:p>
        </w:tc>
        <w:tc>
          <w:tcPr>
            <w:tcBorders>
              <w:top w:val="single" w:color="auto" w:sz="4" w:space="0"/>
              <w:left w:val="single" w:color="auto" w:sz="4" w:space="0"/>
              <w:bottom w:val="single" w:color="auto" w:sz="4" w:space="0"/>
              <w:right w:val="single" w:color="auto" w:sz="4" w:space="0"/>
            </w:tcBorders>
            <w:tcW w:w="1832" w:type="dxa"/>
            <w:vAlign w:val="center"/>
            <w:textDirection w:val="lrTb"/>
            <w:noWrap w:val="false"/>
          </w:tcPr>
          <w:p>
            <w:pPr>
              <w:pStyle w:val="1065"/>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包五</w:t>
            </w:r>
            <w:r/>
          </w:p>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（两个套餐食品的卖场报价之和）</w:t>
            </w:r>
            <w:r/>
          </w:p>
        </w:tc>
        <w:tc>
          <w:tcPr>
            <w:tcBorders>
              <w:top w:val="single" w:color="auto" w:sz="4" w:space="0"/>
              <w:left w:val="single" w:color="auto" w:sz="4" w:space="0"/>
              <w:bottom w:val="single" w:color="auto" w:sz="4" w:space="0"/>
              <w:right w:val="single" w:color="auto" w:sz="4" w:space="0"/>
            </w:tcBorders>
            <w:tcW w:w="4723" w:type="dxa"/>
            <w:vAlign w:val="center"/>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1065"/>
              <w:ind w:firstLine="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（人民币）</w:t>
            </w:r>
            <w:r/>
          </w:p>
        </w:tc>
        <w:tc>
          <w:tcPr>
            <w:tcBorders>
              <w:top w:val="single" w:color="auto" w:sz="4" w:space="0"/>
              <w:left w:val="single" w:color="auto" w:sz="4" w:space="0"/>
              <w:bottom w:val="single" w:color="auto" w:sz="4" w:space="0"/>
              <w:right w:val="single" w:color="auto" w:sz="4" w:space="0"/>
            </w:tcBorders>
            <w:tcW w:w="1832" w:type="dxa"/>
            <w:vAlign w:val="center"/>
            <w:textDirection w:val="lrTb"/>
            <w:noWrap w:val="false"/>
          </w:tcPr>
          <w:p>
            <w:pPr>
              <w:pStyle w:val="1065"/>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日期：</w:t>
      </w:r>
      <w:r>
        <w:rPr>
          <w:rFonts w:hint="eastAsia" w:ascii="Times New Roman" w:hAnsi="Times New Roman" w:eastAsia="宋体"/>
          <w:color w:val="auto"/>
          <w:szCs w:val="21"/>
          <w:highlight w:val="none"/>
          <w:u w:val="single"/>
        </w:rPr>
        <w:t xml:space="preserve">     </w:t>
      </w:r>
      <w:r>
        <w:rPr>
          <w:rFonts w:hint="eastAsia" w:ascii="Times New Roman" w:hAnsi="Times New Roman" w:eastAsia="宋体"/>
          <w:color w:val="auto"/>
          <w:szCs w:val="21"/>
          <w:highlight w:val="none"/>
        </w:rPr>
        <w:t xml:space="preserve">年</w:t>
      </w:r>
      <w:r>
        <w:rPr>
          <w:rFonts w:hint="eastAsia" w:ascii="Times New Roman" w:hAnsi="Times New Roman" w:eastAsia="宋体"/>
          <w:color w:val="auto"/>
          <w:szCs w:val="21"/>
          <w:highlight w:val="none"/>
          <w:u w:val="single"/>
        </w:rPr>
        <w:t xml:space="preserve">   </w:t>
      </w:r>
      <w:r>
        <w:rPr>
          <w:rFonts w:hint="eastAsia" w:ascii="Times New Roman" w:hAnsi="Times New Roman" w:eastAsia="宋体"/>
          <w:color w:val="auto"/>
          <w:szCs w:val="21"/>
          <w:highlight w:val="none"/>
        </w:rPr>
        <w:t xml:space="preserve">月</w:t>
      </w:r>
      <w:r>
        <w:rPr>
          <w:rFonts w:hint="eastAsia" w:ascii="Times New Roman" w:hAnsi="Times New Roman" w:eastAsia="宋体"/>
          <w:color w:val="auto"/>
          <w:szCs w:val="21"/>
          <w:highlight w:val="none"/>
          <w:u w:val="single"/>
        </w:rPr>
        <w:t xml:space="preserve">   </w:t>
      </w:r>
      <w:r>
        <w:rPr>
          <w:rFonts w:hint="eastAsia" w:ascii="Times New Roman" w:hAnsi="Times New Roman" w:eastAsia="宋体"/>
          <w:color w:val="auto"/>
          <w:szCs w:val="21"/>
          <w:highlight w:val="none"/>
        </w:rPr>
        <w:t xml:space="preserve">日</w:t>
      </w:r>
      <w:r/>
    </w:p>
    <w:p>
      <w:pPr>
        <w:jc w:val="cente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pageBreakBefore w:val="0"/>
        <w:spacing w:line="360" w:lineRule="auto"/>
        <w:rPr>
          <w:rFonts w:ascii="Times New Roman" w:hAnsi="Times New Roman" w:eastAsia="宋体"/>
          <w:bCs/>
          <w:color w:val="auto"/>
          <w:szCs w:val="21"/>
          <w:highlight w:val="none"/>
        </w:rPr>
      </w:pPr>
      <w:r>
        <w:rPr>
          <w:rFonts w:ascii="Times New Roman" w:hAnsi="Times New Roman" w:eastAsia="宋体"/>
          <w:bCs/>
          <w:color w:val="auto"/>
          <w:szCs w:val="21"/>
          <w:highlight w:val="none"/>
        </w:rPr>
      </w:r>
      <w:r/>
    </w:p>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四、分项报价表</w:t>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投标人名称（公章）：</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项目名称：</w:t>
      </w:r>
      <w:r>
        <w:rPr>
          <w:rFonts w:hint="eastAsia" w:ascii="Times New Roman" w:hAnsi="Times New Roman" w:eastAsia="宋体"/>
          <w:color w:val="auto"/>
          <w:szCs w:val="21"/>
          <w:highlight w:val="none"/>
        </w:rPr>
        <w:t xml:space="preserve">扬州大学2026年端午节、中秋节福利项目</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项目编号：</w:t>
      </w:r>
      <w:r>
        <w:rPr>
          <w:rFonts w:hint="eastAsia" w:ascii="Times New Roman" w:hAnsi="Times New Roman" w:eastAsia="宋体" w:cs="宋体"/>
          <w:color w:val="auto"/>
          <w:szCs w:val="21"/>
          <w:highlight w:val="none"/>
          <w:lang w:eastAsia="zh-CN"/>
        </w:rPr>
        <w:t xml:space="preserve">JSZC-320000-SWGC-G2026-0040号</w:t>
      </w:r>
      <w:r>
        <w:rPr>
          <w:rFonts w:hint="eastAsia" w:ascii="Times New Roman" w:hAnsi="Times New Roman" w:eastAsia="宋体" w:cs="宋体"/>
          <w:color w:val="auto"/>
          <w:szCs w:val="21"/>
          <w:highlight w:val="none"/>
        </w:rPr>
        <w:t xml:space="preserve">  </w:t>
      </w:r>
      <w:r>
        <w:rPr>
          <w:rFonts w:hint="eastAsia" w:ascii="Times New Roman" w:hAnsi="Times New Roman" w:eastAsia="宋体"/>
          <w:color w:val="auto"/>
          <w:szCs w:val="21"/>
          <w:highlight w:val="none"/>
        </w:rPr>
        <w:t xml:space="preserve"> </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olor w:val="auto"/>
          <w:szCs w:val="21"/>
          <w:highlight w:val="none"/>
        </w:rPr>
        <w:t xml:space="preserve">扬州大学2026年端午节、中秋节福利项目</w:t>
      </w:r>
      <w:r>
        <w:rPr>
          <w:rFonts w:hint="eastAsia" w:ascii="Times New Roman" w:hAnsi="Times New Roman" w:eastAsia="宋体" w:cs="宋体"/>
          <w:color w:val="auto"/>
          <w:szCs w:val="21"/>
          <w:highlight w:val="none"/>
        </w:rPr>
        <w:t xml:space="preserve">采购报价单（包一）　  单位：元</w:t>
      </w:r>
      <w:r/>
    </w:p>
    <w:tbl>
      <w:tblPr>
        <w:tblStyle w:val="956"/>
        <w:tblW w:w="9131"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66"/>
        <w:gridCol w:w="3224"/>
        <w:gridCol w:w="2241"/>
      </w:tblGrid>
      <w:tr>
        <w:trPr>
          <w:trHeight w:val="454"/>
        </w:trPr>
        <w:tc>
          <w:tcPr>
            <w:tcW w:w="3666"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投标总报价（券面总金额，元）</w:t>
            </w:r>
            <w:r/>
          </w:p>
        </w:tc>
        <w:tc>
          <w:tcPr>
            <w:tcW w:w="3224"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ascii="Times New Roman" w:hAnsi="Times New Roman" w:eastAsia="宋体" w:cs="宋体"/>
                <w:b/>
                <w:bCs/>
                <w:color w:val="auto"/>
                <w:szCs w:val="21"/>
                <w:highlight w:val="none"/>
              </w:rPr>
            </w:r>
            <w:r/>
          </w:p>
        </w:tc>
        <w:tc>
          <w:tcPr>
            <w:tcW w:w="2241"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备注</w:t>
            </w:r>
            <w:r/>
          </w:p>
        </w:tc>
      </w:tr>
      <w:tr>
        <w:trPr>
          <w:trHeight w:val="454"/>
        </w:trPr>
        <w:tc>
          <w:tcPr>
            <w:tcW w:w="3666"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免费邮寄起始金额（元）</w:t>
            </w:r>
            <w:r/>
          </w:p>
        </w:tc>
        <w:tc>
          <w:tcPr>
            <w:tcW w:w="3224"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2241"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454"/>
        </w:trPr>
        <w:tc>
          <w:tcPr>
            <w:tcW w:w="3666"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提货券兑换期限（月）</w:t>
            </w:r>
            <w:r/>
          </w:p>
        </w:tc>
        <w:tc>
          <w:tcPr>
            <w:tcW w:w="3224"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2241"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454"/>
        </w:trPr>
        <w:tc>
          <w:tcPr>
            <w:tcW w:w="3666"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提货券使用期限（月）</w:t>
            </w:r>
            <w:r/>
          </w:p>
        </w:tc>
        <w:tc>
          <w:tcPr>
            <w:tcW w:w="3224"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2241"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法定代表人或授权代表（签字）：</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日期：     年   月   日</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br w:type="page" w:clear="all"/>
      </w:r>
      <w:r>
        <w:rPr>
          <w:rFonts w:hint="eastAsia" w:ascii="Times New Roman" w:hAnsi="Times New Roman" w:eastAsia="宋体" w:cs="宋体"/>
          <w:color w:val="auto"/>
          <w:szCs w:val="21"/>
          <w:highlight w:val="none"/>
        </w:rPr>
        <w:t xml:space="preserve">投标人名称（公章）：</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项目名称：</w:t>
      </w:r>
      <w:r>
        <w:rPr>
          <w:rFonts w:hint="eastAsia" w:ascii="Times New Roman" w:hAnsi="Times New Roman" w:eastAsia="宋体"/>
          <w:color w:val="auto"/>
          <w:szCs w:val="21"/>
          <w:highlight w:val="none"/>
        </w:rPr>
        <w:t xml:space="preserve">扬州大学2026年端午节、中秋节福利项目</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项目编号：</w:t>
      </w:r>
      <w:r>
        <w:rPr>
          <w:rFonts w:hint="eastAsia" w:ascii="Times New Roman" w:hAnsi="Times New Roman" w:eastAsia="宋体" w:cs="宋体"/>
          <w:color w:val="auto"/>
          <w:szCs w:val="21"/>
          <w:highlight w:val="none"/>
          <w:lang w:eastAsia="zh-CN"/>
        </w:rPr>
        <w:t xml:space="preserve">JSZC-320000-SWGC-G2026-0040号</w:t>
      </w:r>
      <w:r>
        <w:rPr>
          <w:rFonts w:hint="eastAsia" w:ascii="Times New Roman" w:hAnsi="Times New Roman" w:eastAsia="宋体" w:cs="宋体"/>
          <w:color w:val="auto"/>
          <w:szCs w:val="21"/>
          <w:highlight w:val="none"/>
        </w:rPr>
        <w:t xml:space="preserve">  </w:t>
      </w:r>
      <w:r>
        <w:rPr>
          <w:rFonts w:hint="eastAsia" w:ascii="Times New Roman" w:hAnsi="Times New Roman" w:eastAsia="宋体"/>
          <w:color w:val="auto"/>
          <w:szCs w:val="21"/>
          <w:highlight w:val="none"/>
        </w:rPr>
        <w:t xml:space="preserve"> </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olor w:val="auto"/>
          <w:szCs w:val="21"/>
          <w:highlight w:val="none"/>
        </w:rPr>
        <w:t xml:space="preserve">扬州大学2026年端午节、中秋节福利项目 </w:t>
      </w:r>
      <w:r>
        <w:rPr>
          <w:rFonts w:hint="eastAsia" w:ascii="Times New Roman" w:hAnsi="Times New Roman" w:eastAsia="宋体" w:cs="宋体"/>
          <w:color w:val="auto"/>
          <w:szCs w:val="21"/>
          <w:highlight w:val="none"/>
        </w:rPr>
        <w:t xml:space="preserve">采购报价单（包二）　  单位：元</w:t>
      </w:r>
      <w:r/>
    </w:p>
    <w:tbl>
      <w:tblPr>
        <w:tblStyle w:val="956"/>
        <w:tblW w:w="9131"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66"/>
        <w:gridCol w:w="3224"/>
        <w:gridCol w:w="2241"/>
      </w:tblGrid>
      <w:tr>
        <w:trPr>
          <w:trHeight w:val="454"/>
        </w:trPr>
        <w:tc>
          <w:tcPr>
            <w:tcW w:w="3666"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投标总报价（券面总金额，元）</w:t>
            </w:r>
            <w:r/>
          </w:p>
        </w:tc>
        <w:tc>
          <w:tcPr>
            <w:tcW w:w="3224"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ascii="Times New Roman" w:hAnsi="Times New Roman" w:eastAsia="宋体" w:cs="宋体"/>
                <w:b/>
                <w:bCs/>
                <w:color w:val="auto"/>
                <w:szCs w:val="21"/>
                <w:highlight w:val="none"/>
              </w:rPr>
            </w:r>
            <w:r/>
          </w:p>
        </w:tc>
        <w:tc>
          <w:tcPr>
            <w:tcW w:w="2241"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备注</w:t>
            </w:r>
            <w:r/>
          </w:p>
        </w:tc>
      </w:tr>
      <w:tr>
        <w:trPr>
          <w:trHeight w:val="454"/>
        </w:trPr>
        <w:tc>
          <w:tcPr>
            <w:tcW w:w="3666"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免费邮寄起始金额（元）</w:t>
            </w:r>
            <w:r/>
          </w:p>
        </w:tc>
        <w:tc>
          <w:tcPr>
            <w:tcW w:w="3224"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2241"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454"/>
        </w:trPr>
        <w:tc>
          <w:tcPr>
            <w:tcW w:w="3666"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提货券兑换期限（月）</w:t>
            </w:r>
            <w:r/>
          </w:p>
        </w:tc>
        <w:tc>
          <w:tcPr>
            <w:tcW w:w="3224"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2241"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454"/>
        </w:trPr>
        <w:tc>
          <w:tcPr>
            <w:tcW w:w="3666"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提货券使用期限（月）</w:t>
            </w:r>
            <w:r/>
          </w:p>
        </w:tc>
        <w:tc>
          <w:tcPr>
            <w:tcW w:w="3224"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2241"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法定代表人或授权代表（签字）：</w:t>
      </w:r>
      <w:r/>
    </w:p>
    <w:p>
      <w:pPr>
        <w:pStyle w:val="960"/>
        <w:pageBreakBefore w:val="0"/>
        <w:spacing w:line="360" w:lineRule="auto"/>
        <w:rPr>
          <w:rFonts w:ascii="Times New Roman" w:hAnsi="Times New Roman"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 w:val="21"/>
          <w:szCs w:val="21"/>
          <w:highlight w:val="none"/>
        </w:rPr>
        <w:t xml:space="preserve">日期：     年   月   日</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投标人名称（公章）：</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项目名称：</w:t>
      </w:r>
      <w:r>
        <w:rPr>
          <w:rFonts w:hint="eastAsia" w:ascii="Times New Roman" w:hAnsi="Times New Roman" w:eastAsia="宋体"/>
          <w:color w:val="auto"/>
          <w:szCs w:val="21"/>
          <w:highlight w:val="none"/>
        </w:rPr>
        <w:t xml:space="preserve">扬州大学2026年端午节、中秋节福利项目</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项目编号：</w:t>
      </w:r>
      <w:r>
        <w:rPr>
          <w:rFonts w:hint="eastAsia" w:ascii="Times New Roman" w:hAnsi="Times New Roman" w:eastAsia="宋体" w:cs="宋体"/>
          <w:color w:val="auto"/>
          <w:szCs w:val="21"/>
          <w:highlight w:val="none"/>
          <w:lang w:eastAsia="zh-CN"/>
        </w:rPr>
        <w:t xml:space="preserve">JSZC-320000-SWGC-G2026-0040号</w:t>
      </w:r>
      <w:r>
        <w:rPr>
          <w:rFonts w:hint="eastAsia" w:ascii="Times New Roman" w:hAnsi="Times New Roman" w:eastAsia="宋体" w:cs="宋体"/>
          <w:color w:val="auto"/>
          <w:szCs w:val="21"/>
          <w:highlight w:val="none"/>
        </w:rPr>
        <w:t xml:space="preserve">  </w:t>
      </w:r>
      <w:r>
        <w:rPr>
          <w:rFonts w:hint="eastAsia" w:ascii="Times New Roman" w:hAnsi="Times New Roman" w:eastAsia="宋体"/>
          <w:color w:val="auto"/>
          <w:szCs w:val="21"/>
          <w:highlight w:val="none"/>
        </w:rPr>
        <w:t xml:space="preserve"> </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olor w:val="auto"/>
          <w:szCs w:val="21"/>
          <w:highlight w:val="none"/>
        </w:rPr>
        <w:t xml:space="preserve">扬州大学2026年端午节、中秋节福利项目 </w:t>
      </w:r>
      <w:r>
        <w:rPr>
          <w:rFonts w:hint="eastAsia" w:ascii="Times New Roman" w:hAnsi="Times New Roman" w:eastAsia="宋体" w:cs="宋体"/>
          <w:color w:val="auto"/>
          <w:szCs w:val="21"/>
          <w:highlight w:val="none"/>
        </w:rPr>
        <w:t xml:space="preserve">采购报价单（包三）　  单位：元</w:t>
      </w:r>
      <w:r/>
    </w:p>
    <w:tbl>
      <w:tblPr>
        <w:tblStyle w:val="956"/>
        <w:tblW w:w="9131"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66"/>
        <w:gridCol w:w="3224"/>
        <w:gridCol w:w="2241"/>
      </w:tblGrid>
      <w:tr>
        <w:trPr>
          <w:trHeight w:val="454"/>
        </w:trPr>
        <w:tc>
          <w:tcPr>
            <w:tcW w:w="3666"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投标总报价（券面总金额，元）</w:t>
            </w:r>
            <w:r/>
          </w:p>
        </w:tc>
        <w:tc>
          <w:tcPr>
            <w:tcW w:w="3224"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ascii="Times New Roman" w:hAnsi="Times New Roman" w:eastAsia="宋体" w:cs="宋体"/>
                <w:b/>
                <w:bCs/>
                <w:color w:val="auto"/>
                <w:szCs w:val="21"/>
                <w:highlight w:val="none"/>
              </w:rPr>
            </w:r>
            <w:r/>
          </w:p>
        </w:tc>
        <w:tc>
          <w:tcPr>
            <w:tcW w:w="2241"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备注</w:t>
            </w:r>
            <w:r/>
          </w:p>
        </w:tc>
      </w:tr>
      <w:tr>
        <w:trPr>
          <w:trHeight w:val="454"/>
        </w:trPr>
        <w:tc>
          <w:tcPr>
            <w:tcW w:w="3666"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免费邮寄起始金额（元）</w:t>
            </w:r>
            <w:r/>
          </w:p>
        </w:tc>
        <w:tc>
          <w:tcPr>
            <w:tcW w:w="3224"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2241"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454"/>
        </w:trPr>
        <w:tc>
          <w:tcPr>
            <w:tcW w:w="3666"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提货券兑换期限（月）</w:t>
            </w:r>
            <w:r/>
          </w:p>
        </w:tc>
        <w:tc>
          <w:tcPr>
            <w:tcW w:w="3224"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2241"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trHeight w:val="454"/>
        </w:trPr>
        <w:tc>
          <w:tcPr>
            <w:tcW w:w="3666"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提货券使用期限（月）</w:t>
            </w:r>
            <w:r/>
          </w:p>
        </w:tc>
        <w:tc>
          <w:tcPr>
            <w:tcW w:w="3224"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W w:w="2241"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法定代表人或授权代表（签字）：</w:t>
      </w:r>
      <w:r/>
    </w:p>
    <w:p>
      <w:pPr>
        <w:pStyle w:val="96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日期：     年   月   日</w:t>
      </w:r>
      <w:r/>
    </w:p>
    <w:p>
      <w:pPr>
        <w:pStyle w:val="958"/>
        <w:pageBreakBefore w:val="0"/>
        <w:spacing w:line="360" w:lineRule="auto"/>
        <w:rPr>
          <w:rFonts w:ascii="Times New Roman" w:hAnsi="Times New Roman" w:eastAsia="宋体" w:cs="宋体"/>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投标人名称（公章）：</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项目名称：</w:t>
      </w:r>
      <w:r>
        <w:rPr>
          <w:rFonts w:hint="eastAsia" w:ascii="Times New Roman" w:hAnsi="Times New Roman" w:eastAsia="宋体"/>
          <w:color w:val="auto"/>
          <w:szCs w:val="21"/>
          <w:highlight w:val="none"/>
        </w:rPr>
        <w:t xml:space="preserve">扬州大学2026年端午节、中秋节福利项目</w:t>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rPr>
        <w:t xml:space="preserve">项目编号：</w:t>
      </w:r>
      <w:r>
        <w:rPr>
          <w:rFonts w:hint="eastAsia" w:ascii="Times New Roman" w:hAnsi="Times New Roman" w:eastAsia="宋体" w:cs="宋体"/>
          <w:color w:val="auto"/>
          <w:szCs w:val="21"/>
          <w:highlight w:val="none"/>
          <w:lang w:eastAsia="zh-CN"/>
        </w:rPr>
        <w:t xml:space="preserve">JSZC-320000-SWGC-G2026-0040号</w:t>
      </w:r>
      <w:r>
        <w:rPr>
          <w:rFonts w:hint="eastAsia" w:ascii="Times New Roman" w:hAnsi="Times New Roman" w:eastAsia="宋体" w:cs="宋体"/>
          <w:color w:val="auto"/>
          <w:szCs w:val="21"/>
          <w:highlight w:val="none"/>
        </w:rPr>
        <w:t xml:space="preserve">  </w:t>
      </w:r>
      <w:r/>
    </w:p>
    <w:p>
      <w:pPr>
        <w:pStyle w:val="960"/>
        <w:pageBreakBefore w:val="0"/>
        <w:spacing w:line="360" w:lineRule="auto"/>
        <w:rPr>
          <w:rFonts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 xml:space="preserve">扬州大学2026年端午节、中秋节福利项目采购报价单（包四：A基本套餐）　 单位：元</w:t>
      </w:r>
      <w:r/>
    </w:p>
    <w:tbl>
      <w:tblPr>
        <w:tblStyle w:val="956"/>
        <w:tblW w:w="8784" w:type="dxa"/>
        <w:tblInd w:w="-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059"/>
        <w:gridCol w:w="1095"/>
        <w:gridCol w:w="930"/>
        <w:gridCol w:w="1590"/>
        <w:gridCol w:w="960"/>
        <w:gridCol w:w="885"/>
        <w:gridCol w:w="825"/>
        <w:gridCol w:w="690"/>
      </w:tblGrid>
      <w:tr>
        <w:trPr/>
        <w:tc>
          <w:tcPr>
            <w:tcW w:w="750"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序号</w:t>
            </w:r>
            <w:r/>
          </w:p>
        </w:tc>
        <w:tc>
          <w:tcPr>
            <w:tcW w:w="105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产品名称</w:t>
            </w:r>
            <w:r/>
          </w:p>
        </w:tc>
        <w:tc>
          <w:tcPr>
            <w:tcW w:w="1095"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品　牌</w:t>
            </w:r>
            <w:r/>
          </w:p>
        </w:tc>
        <w:tc>
          <w:tcPr>
            <w:tcW w:w="93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规　格</w:t>
            </w:r>
            <w:r/>
          </w:p>
        </w:tc>
        <w:tc>
          <w:tcPr>
            <w:tcW w:w="15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卖场名称</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（具体门店）</w:t>
            </w:r>
            <w:r/>
          </w:p>
        </w:tc>
        <w:tc>
          <w:tcPr>
            <w:tcW w:w="96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卖场价</w:t>
            </w:r>
            <w:r/>
          </w:p>
        </w:tc>
        <w:tc>
          <w:tcPr>
            <w:tcW w:w="885"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投标价</w:t>
            </w:r>
            <w:r/>
          </w:p>
        </w:tc>
        <w:tc>
          <w:tcPr>
            <w:tcW w:w="825"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生产日期</w:t>
            </w:r>
            <w:r/>
          </w:p>
        </w:tc>
        <w:tc>
          <w:tcPr>
            <w:tcW w:w="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备注</w:t>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gridSpan w:val="4"/>
            <w:tcW w:w="3834"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总价（卖场报价）</w:t>
            </w:r>
            <w:r/>
          </w:p>
        </w:tc>
        <w:tc>
          <w:tcPr>
            <w:gridSpan w:val="5"/>
            <w:tcW w:w="495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p>
        </w:tc>
      </w:tr>
    </w:tbl>
    <w:p>
      <w:pPr>
        <w:pStyle w:val="960"/>
        <w:jc w:val="center"/>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法定代表人或授权代表（签字）：</w:t>
      </w:r>
      <w:r/>
    </w:p>
    <w:p>
      <w:pPr>
        <w:pStyle w:val="960"/>
        <w:pageBreakBefore w:val="0"/>
        <w:spacing w:line="360" w:lineRule="auto"/>
        <w:rPr>
          <w:rFonts w:ascii="Times New Roman" w:hAnsi="Times New Roman"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 w:val="21"/>
          <w:szCs w:val="21"/>
          <w:highlight w:val="none"/>
        </w:rPr>
        <w:t xml:space="preserve">日期：     年   月   日</w:t>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投标人名称（公章）：</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项目名称：</w:t>
      </w:r>
      <w:r>
        <w:rPr>
          <w:rFonts w:hint="eastAsia" w:ascii="Times New Roman" w:hAnsi="Times New Roman" w:eastAsia="宋体"/>
          <w:color w:val="auto"/>
          <w:szCs w:val="21"/>
          <w:highlight w:val="none"/>
        </w:rPr>
        <w:t xml:space="preserve">扬州大学2026年端午节、中秋节福利项目</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项目编号：</w:t>
      </w:r>
      <w:r>
        <w:rPr>
          <w:rFonts w:hint="eastAsia" w:ascii="Times New Roman" w:hAnsi="Times New Roman" w:eastAsia="宋体" w:cs="宋体"/>
          <w:color w:val="auto"/>
          <w:szCs w:val="21"/>
          <w:highlight w:val="none"/>
          <w:lang w:eastAsia="zh-CN"/>
        </w:rPr>
        <w:t xml:space="preserve">JSZC-320000-SWGC-G2026-0040号</w:t>
      </w:r>
      <w:r>
        <w:rPr>
          <w:rFonts w:hint="eastAsia" w:ascii="Times New Roman" w:hAnsi="Times New Roman" w:eastAsia="宋体" w:cs="宋体"/>
          <w:color w:val="auto"/>
          <w:szCs w:val="21"/>
          <w:highlight w:val="none"/>
        </w:rPr>
        <w:t xml:space="preserve">  </w:t>
      </w:r>
      <w:r>
        <w:rPr>
          <w:rFonts w:hint="eastAsia" w:ascii="Times New Roman" w:hAnsi="Times New Roman" w:eastAsia="宋体"/>
          <w:color w:val="auto"/>
          <w:szCs w:val="21"/>
          <w:highlight w:val="none"/>
        </w:rPr>
        <w:t xml:space="preserve"> </w:t>
      </w:r>
      <w:r/>
    </w:p>
    <w:p>
      <w:pPr>
        <w:pStyle w:val="960"/>
        <w:jc w:val="center"/>
        <w:pageBreakBefore w:val="0"/>
        <w:spacing w:line="360" w:lineRule="auto"/>
        <w:rPr>
          <w:rFonts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 xml:space="preserve">扬州大学2026年端午节、中秋节福利项目采购报价单（包四：B生鲜套餐）　单位：元</w:t>
      </w:r>
      <w:r/>
    </w:p>
    <w:tbl>
      <w:tblPr>
        <w:tblStyle w:val="956"/>
        <w:tblW w:w="0" w:type="auto"/>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70"/>
        <w:gridCol w:w="1100"/>
        <w:gridCol w:w="938"/>
        <w:gridCol w:w="1712"/>
        <w:gridCol w:w="905"/>
        <w:gridCol w:w="868"/>
        <w:gridCol w:w="666"/>
        <w:gridCol w:w="589"/>
      </w:tblGrid>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序号</w:t>
            </w:r>
            <w:r/>
          </w:p>
        </w:tc>
        <w:tc>
          <w:tcPr>
            <w:tcW w:w="117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产品名称</w:t>
            </w:r>
            <w:r/>
          </w:p>
        </w:tc>
        <w:tc>
          <w:tcPr>
            <w:tcW w:w="110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品　牌</w:t>
            </w:r>
            <w:r/>
          </w:p>
        </w:tc>
        <w:tc>
          <w:tcPr>
            <w:tcW w:w="938"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规　格</w:t>
            </w:r>
            <w:r/>
          </w:p>
        </w:tc>
        <w:tc>
          <w:tcPr>
            <w:tcW w:w="1712"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卖场名称</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（具体门店）</w:t>
            </w:r>
            <w:r/>
          </w:p>
        </w:tc>
        <w:tc>
          <w:tcPr>
            <w:tcW w:w="905"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卖场价</w:t>
            </w:r>
            <w:r/>
          </w:p>
        </w:tc>
        <w:tc>
          <w:tcPr>
            <w:tcW w:w="868"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投标价</w:t>
            </w:r>
            <w:r/>
          </w:p>
        </w:tc>
        <w:tc>
          <w:tcPr>
            <w:tcW w:w="666"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生产日期</w:t>
            </w:r>
            <w:r/>
          </w:p>
        </w:tc>
        <w:tc>
          <w:tcPr>
            <w:tcW w:w="58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备注</w:t>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gridSpan w:val="4"/>
            <w:tcW w:w="3973"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总价（卖场报价）</w:t>
            </w:r>
            <w:r/>
          </w:p>
        </w:tc>
        <w:tc>
          <w:tcPr>
            <w:gridSpan w:val="5"/>
            <w:tcW w:w="474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p>
        </w:tc>
      </w:tr>
    </w:tbl>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法定代表人或授权代表（签字）：</w:t>
      </w:r>
      <w:r/>
    </w:p>
    <w:p>
      <w:pPr>
        <w:pStyle w:val="960"/>
        <w:pageBreakBefore w:val="0"/>
        <w:spacing w:line="360" w:lineRule="auto"/>
        <w:rPr>
          <w:rFonts w:ascii="Times New Roman" w:hAnsi="Times New Roman"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 w:val="21"/>
          <w:szCs w:val="21"/>
          <w:highlight w:val="none"/>
        </w:rPr>
        <w:t xml:space="preserve">日期：     年   月   日</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投标人名称（公章）：</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项目名称：</w:t>
      </w:r>
      <w:r>
        <w:rPr>
          <w:rFonts w:hint="eastAsia" w:ascii="Times New Roman" w:hAnsi="Times New Roman" w:eastAsia="宋体"/>
          <w:color w:val="auto"/>
          <w:szCs w:val="21"/>
          <w:highlight w:val="none"/>
        </w:rPr>
        <w:t xml:space="preserve">扬州大学2026年端午节、中秋节福利项目</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项目编号：</w:t>
      </w:r>
      <w:r>
        <w:rPr>
          <w:rFonts w:hint="eastAsia" w:ascii="Times New Roman" w:hAnsi="Times New Roman" w:eastAsia="宋体" w:cs="宋体"/>
          <w:color w:val="auto"/>
          <w:szCs w:val="21"/>
          <w:highlight w:val="none"/>
          <w:lang w:eastAsia="zh-CN"/>
        </w:rPr>
        <w:t xml:space="preserve">JSZC-320000-SWGC-G2026-0040号</w:t>
      </w:r>
      <w:r>
        <w:rPr>
          <w:rFonts w:hint="eastAsia" w:ascii="Times New Roman" w:hAnsi="Times New Roman" w:eastAsia="宋体" w:cs="宋体"/>
          <w:color w:val="auto"/>
          <w:szCs w:val="21"/>
          <w:highlight w:val="none"/>
        </w:rPr>
        <w:t xml:space="preserve">  </w:t>
      </w:r>
      <w:r>
        <w:rPr>
          <w:rFonts w:hint="eastAsia" w:ascii="Times New Roman" w:hAnsi="Times New Roman" w:eastAsia="宋体"/>
          <w:color w:val="auto"/>
          <w:szCs w:val="21"/>
          <w:highlight w:val="none"/>
        </w:rPr>
        <w:t xml:space="preserve"> </w:t>
      </w:r>
      <w:r/>
    </w:p>
    <w:p>
      <w:pPr>
        <w:pStyle w:val="960"/>
        <w:pageBreakBefore w:val="0"/>
        <w:spacing w:line="360" w:lineRule="auto"/>
        <w:rPr>
          <w:rFonts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 xml:space="preserve">扬州大学2026年端午节、中秋节福利项目采购报价单（包五：A基本套餐）　 单位：元</w:t>
      </w:r>
      <w:r/>
    </w:p>
    <w:tbl>
      <w:tblPr>
        <w:tblStyle w:val="956"/>
        <w:tblW w:w="8784" w:type="dxa"/>
        <w:tblInd w:w="-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059"/>
        <w:gridCol w:w="1095"/>
        <w:gridCol w:w="930"/>
        <w:gridCol w:w="1590"/>
        <w:gridCol w:w="960"/>
        <w:gridCol w:w="885"/>
        <w:gridCol w:w="825"/>
        <w:gridCol w:w="690"/>
      </w:tblGrid>
      <w:tr>
        <w:trPr/>
        <w:tc>
          <w:tcPr>
            <w:tcW w:w="750"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序号</w:t>
            </w:r>
            <w:r/>
          </w:p>
        </w:tc>
        <w:tc>
          <w:tcPr>
            <w:tcW w:w="105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产品名称</w:t>
            </w:r>
            <w:r/>
          </w:p>
        </w:tc>
        <w:tc>
          <w:tcPr>
            <w:tcW w:w="1095"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品　牌</w:t>
            </w:r>
            <w:r/>
          </w:p>
        </w:tc>
        <w:tc>
          <w:tcPr>
            <w:tcW w:w="93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规　格</w:t>
            </w:r>
            <w:r/>
          </w:p>
        </w:tc>
        <w:tc>
          <w:tcPr>
            <w:tcW w:w="15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卖场名称</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（具体门店）</w:t>
            </w:r>
            <w:r/>
          </w:p>
        </w:tc>
        <w:tc>
          <w:tcPr>
            <w:tcW w:w="96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卖场价</w:t>
            </w:r>
            <w:r/>
          </w:p>
        </w:tc>
        <w:tc>
          <w:tcPr>
            <w:tcW w:w="885"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投标价</w:t>
            </w:r>
            <w:r/>
          </w:p>
        </w:tc>
        <w:tc>
          <w:tcPr>
            <w:tcW w:w="825"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生产日期</w:t>
            </w:r>
            <w:r/>
          </w:p>
        </w:tc>
        <w:tc>
          <w:tcPr>
            <w:tcW w:w="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备注</w:t>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50"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w:t>
            </w:r>
            <w:r/>
          </w:p>
        </w:tc>
        <w:tc>
          <w:tcPr>
            <w:tcW w:w="105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09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5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6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8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2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9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gridSpan w:val="4"/>
            <w:tcW w:w="3834" w:type="dxa"/>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总价（卖场报价）</w:t>
            </w:r>
            <w:r/>
          </w:p>
        </w:tc>
        <w:tc>
          <w:tcPr>
            <w:gridSpan w:val="5"/>
            <w:tcW w:w="495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p>
        </w:tc>
      </w:tr>
    </w:tbl>
    <w:p>
      <w:pPr>
        <w:pStyle w:val="960"/>
        <w:jc w:val="center"/>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法定代表人或授权代表（签字）：</w:t>
      </w:r>
      <w:r/>
    </w:p>
    <w:p>
      <w:pPr>
        <w:pStyle w:val="960"/>
        <w:pageBreakBefore w:val="0"/>
        <w:spacing w:line="360" w:lineRule="auto"/>
        <w:rPr>
          <w:rFonts w:ascii="Times New Roman" w:hAnsi="Times New Roman"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 w:val="21"/>
          <w:szCs w:val="21"/>
          <w:highlight w:val="none"/>
        </w:rPr>
        <w:t xml:space="preserve">日期：     年   月   日</w:t>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投标人名称（公章）：</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项目名称：</w:t>
      </w:r>
      <w:r>
        <w:rPr>
          <w:rFonts w:hint="eastAsia" w:ascii="Times New Roman" w:hAnsi="Times New Roman" w:eastAsia="宋体"/>
          <w:color w:val="auto"/>
          <w:szCs w:val="21"/>
          <w:highlight w:val="none"/>
        </w:rPr>
        <w:t xml:space="preserve">扬州大学2026年端午节、中秋节福利项目</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项目编号：</w:t>
      </w:r>
      <w:r>
        <w:rPr>
          <w:rFonts w:hint="eastAsia" w:ascii="Times New Roman" w:hAnsi="Times New Roman" w:eastAsia="宋体" w:cs="宋体"/>
          <w:color w:val="auto"/>
          <w:szCs w:val="21"/>
          <w:highlight w:val="none"/>
          <w:lang w:eastAsia="zh-CN"/>
        </w:rPr>
        <w:t xml:space="preserve">JSZC-320000-SWGC-G2026-0040号</w:t>
      </w:r>
      <w:r>
        <w:rPr>
          <w:rFonts w:hint="eastAsia" w:ascii="Times New Roman" w:hAnsi="Times New Roman" w:eastAsia="宋体" w:cs="宋体"/>
          <w:color w:val="auto"/>
          <w:szCs w:val="21"/>
          <w:highlight w:val="none"/>
        </w:rPr>
        <w:t xml:space="preserve">  </w:t>
      </w:r>
      <w:r>
        <w:rPr>
          <w:rFonts w:hint="eastAsia" w:ascii="Times New Roman" w:hAnsi="Times New Roman" w:eastAsia="宋体"/>
          <w:color w:val="auto"/>
          <w:szCs w:val="21"/>
          <w:highlight w:val="none"/>
        </w:rPr>
        <w:t xml:space="preserve"> </w:t>
      </w:r>
      <w:r/>
    </w:p>
    <w:p>
      <w:pPr>
        <w:pStyle w:val="960"/>
        <w:jc w:val="center"/>
        <w:pageBreakBefore w:val="0"/>
        <w:spacing w:line="360" w:lineRule="auto"/>
        <w:rPr>
          <w:rFonts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 xml:space="preserve">扬州大学2026年端午节、中秋节福利项目采购报价单（包五：B生鲜套餐）　单位：元</w:t>
      </w:r>
      <w:r/>
    </w:p>
    <w:tbl>
      <w:tblPr>
        <w:tblStyle w:val="956"/>
        <w:tblW w:w="0" w:type="auto"/>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70"/>
        <w:gridCol w:w="1100"/>
        <w:gridCol w:w="938"/>
        <w:gridCol w:w="1712"/>
        <w:gridCol w:w="905"/>
        <w:gridCol w:w="868"/>
        <w:gridCol w:w="666"/>
        <w:gridCol w:w="589"/>
      </w:tblGrid>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序号</w:t>
            </w:r>
            <w:r/>
          </w:p>
        </w:tc>
        <w:tc>
          <w:tcPr>
            <w:tcW w:w="117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产品名称</w:t>
            </w:r>
            <w:r/>
          </w:p>
        </w:tc>
        <w:tc>
          <w:tcPr>
            <w:tcW w:w="110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品　牌</w:t>
            </w:r>
            <w:r/>
          </w:p>
        </w:tc>
        <w:tc>
          <w:tcPr>
            <w:tcW w:w="938"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规　格</w:t>
            </w:r>
            <w:r/>
          </w:p>
        </w:tc>
        <w:tc>
          <w:tcPr>
            <w:tcW w:w="1712"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卖场名称</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（具体门店）</w:t>
            </w:r>
            <w:r/>
          </w:p>
        </w:tc>
        <w:tc>
          <w:tcPr>
            <w:tcW w:w="905"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卖场价</w:t>
            </w:r>
            <w:r/>
          </w:p>
        </w:tc>
        <w:tc>
          <w:tcPr>
            <w:tcW w:w="868"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投标价</w:t>
            </w:r>
            <w:r/>
          </w:p>
        </w:tc>
        <w:tc>
          <w:tcPr>
            <w:tcW w:w="666"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生产日期</w:t>
            </w:r>
            <w:r/>
          </w:p>
        </w:tc>
        <w:tc>
          <w:tcPr>
            <w:tcW w:w="58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备注</w:t>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tcW w:w="765"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w:t>
            </w:r>
            <w:r/>
          </w:p>
        </w:tc>
        <w:tc>
          <w:tcPr>
            <w:tcW w:w="117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10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3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1712"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905"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868"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66"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589"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tc>
          <w:tcPr>
            <w:gridSpan w:val="4"/>
            <w:tcW w:w="3973" w:type="dxa"/>
            <w:vAlign w:val="center"/>
            <w:textDirection w:val="lrTb"/>
            <w:noWrap w:val="false"/>
          </w:tcPr>
          <w:p>
            <w:pPr>
              <w:pStyle w:val="960"/>
              <w:jc w:val="center"/>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总价（卖场报价）</w:t>
            </w:r>
            <w:r/>
          </w:p>
        </w:tc>
        <w:tc>
          <w:tcPr>
            <w:gridSpan w:val="5"/>
            <w:tcW w:w="4740" w:type="dxa"/>
            <w:textDirection w:val="lrTb"/>
            <w:noWrap w:val="false"/>
          </w:tcPr>
          <w:p>
            <w:pPr>
              <w:pStyle w:val="96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p>
        </w:tc>
      </w:tr>
    </w:tbl>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法定代表人或授权代表（签字）：</w:t>
      </w:r>
      <w:r/>
    </w:p>
    <w:p>
      <w:pPr>
        <w:pStyle w:val="960"/>
        <w:pageBreakBefore w:val="0"/>
        <w:spacing w:line="360" w:lineRule="auto"/>
        <w:rPr>
          <w:rFonts w:ascii="Times New Roman" w:hAnsi="Times New Roman"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 w:val="21"/>
          <w:szCs w:val="21"/>
          <w:highlight w:val="none"/>
        </w:rPr>
        <w:t xml:space="preserve">日期：     年   月   日</w:t>
      </w:r>
      <w:r/>
    </w:p>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五、技术参数响应及偏离表</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投标人名称（公章）：</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所投包号：</w:t>
      </w:r>
      <w:r/>
    </w:p>
    <w:tbl>
      <w:tblPr>
        <w:tblStyle w:val="9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622"/>
        <w:gridCol w:w="2622"/>
        <w:gridCol w:w="1244"/>
        <w:gridCol w:w="1102"/>
      </w:tblGrid>
      <w:tr>
        <w:trPr>
          <w:cantSpli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招标要求</w:t>
            </w:r>
            <w:r/>
          </w:p>
        </w:tc>
        <w:tc>
          <w:tcPr>
            <w:tcBorders>
              <w:top w:val="single" w:color="auto" w:sz="4" w:space="0"/>
              <w:left w:val="single" w:color="auto" w:sz="4" w:space="0"/>
              <w:bottom w:val="single" w:color="auto" w:sz="4" w:space="0"/>
              <w:right w:val="single" w:color="auto" w:sz="4" w:space="0"/>
            </w:tcBorders>
            <w:tcW w:w="2622"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投标响应</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原因</w:t>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cantSplit/>
          <w:trHeight w:val="640"/>
        </w:trPr>
        <w:tc>
          <w:tcPr>
            <w:tcBorders>
              <w:top w:val="single" w:color="auto" w:sz="4" w:space="0"/>
              <w:left w:val="single" w:color="auto" w:sz="4" w:space="0"/>
              <w:bottom w:val="single" w:color="auto" w:sz="4" w:space="0"/>
              <w:right w:val="single" w:color="auto" w:sz="4" w:space="0"/>
            </w:tcBorders>
            <w:tcW w:w="93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4"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02"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法定代表人或授权代表（签字）：</w:t>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注：1、按照基本技术要求详细填列。</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2、行数不够，可自行添加。</w:t>
      </w:r>
      <w:r/>
    </w:p>
    <w:p>
      <w:pPr>
        <w:jc w:val="left"/>
        <w:pageBreakBefore w:val="0"/>
        <w:spacing w:line="360" w:lineRule="auto"/>
        <w:rPr>
          <w:rFonts w:ascii="Times New Roman" w:hAnsi="Times New Roman" w:eastAsia="宋体" w:cs="宋体"/>
          <w:b/>
          <w:color w:val="auto"/>
          <w:szCs w:val="21"/>
          <w:highlight w:val="none"/>
        </w:rPr>
      </w:pPr>
      <w:r>
        <w:rPr>
          <w:rFonts w:ascii="Times New Roman" w:hAnsi="Times New Roman" w:eastAsia="宋体" w:cs="宋体"/>
          <w:b/>
          <w:color w:val="auto"/>
          <w:szCs w:val="21"/>
          <w:highlight w:val="none"/>
        </w:rPr>
      </w:r>
      <w:r/>
    </w:p>
    <w:p>
      <w:pPr>
        <w:jc w:val="left"/>
        <w:pageBreakBefore w:val="0"/>
        <w:spacing w:line="360" w:lineRule="auto"/>
        <w:rPr>
          <w:rFonts w:ascii="Times New Roman" w:hAnsi="Times New Roman" w:eastAsia="宋体" w:cs="宋体"/>
          <w:b/>
          <w:color w:val="auto"/>
          <w:szCs w:val="21"/>
          <w:highlight w:val="none"/>
        </w:rPr>
      </w:pPr>
      <w:r>
        <w:rPr>
          <w:rFonts w:ascii="Times New Roman" w:hAnsi="Times New Roman" w:eastAsia="宋体" w:cs="宋体"/>
          <w:b/>
          <w:color w:val="auto"/>
          <w:szCs w:val="21"/>
          <w:highlight w:val="none"/>
        </w:rPr>
      </w:r>
      <w:r/>
    </w:p>
    <w:p>
      <w:pPr>
        <w:jc w:val="left"/>
        <w:pageBreakBefore w:val="0"/>
        <w:spacing w:line="360" w:lineRule="auto"/>
        <w:rPr>
          <w:rFonts w:ascii="Times New Roman" w:hAnsi="Times New Roman" w:eastAsia="宋体" w:cs="宋体"/>
          <w:b/>
          <w:color w:val="auto"/>
          <w:szCs w:val="21"/>
          <w:highlight w:val="none"/>
        </w:rPr>
      </w:pPr>
      <w:r>
        <w:rPr>
          <w:rFonts w:ascii="Times New Roman" w:hAnsi="Times New Roman" w:eastAsia="宋体" w:cs="宋体"/>
          <w:b/>
          <w:color w:val="auto"/>
          <w:szCs w:val="21"/>
          <w:highlight w:val="none"/>
        </w:rPr>
      </w:r>
      <w:r/>
    </w:p>
    <w:p>
      <w:pPr>
        <w:jc w:val="left"/>
        <w:pageBreakBefore w:val="0"/>
        <w:spacing w:line="360" w:lineRule="auto"/>
        <w:rPr>
          <w:rFonts w:ascii="Times New Roman" w:hAnsi="Times New Roman" w:eastAsia="宋体" w:cs="宋体"/>
          <w:b/>
          <w:color w:val="auto"/>
          <w:szCs w:val="21"/>
          <w:highlight w:val="none"/>
        </w:rPr>
      </w:pPr>
      <w:r>
        <w:rPr>
          <w:rFonts w:ascii="Times New Roman" w:hAnsi="Times New Roman" w:eastAsia="宋体" w:cs="宋体"/>
          <w:b/>
          <w:color w:val="auto"/>
          <w:szCs w:val="21"/>
          <w:highlight w:val="none"/>
        </w:rPr>
      </w:r>
      <w:r/>
    </w:p>
    <w:p>
      <w:pPr>
        <w:jc w:val="left"/>
        <w:pageBreakBefore w:val="0"/>
        <w:spacing w:line="360" w:lineRule="auto"/>
        <w:rPr>
          <w:rFonts w:ascii="Times New Roman" w:hAnsi="Times New Roman" w:eastAsia="宋体" w:cs="宋体"/>
          <w:b/>
          <w:color w:val="auto"/>
          <w:szCs w:val="21"/>
          <w:highlight w:val="none"/>
        </w:rPr>
      </w:pPr>
      <w:r>
        <w:rPr>
          <w:rFonts w:ascii="Times New Roman" w:hAnsi="Times New Roman" w:eastAsia="宋体" w:cs="宋体"/>
          <w:b/>
          <w:color w:val="auto"/>
          <w:szCs w:val="21"/>
          <w:highlight w:val="none"/>
        </w:rPr>
      </w:r>
      <w:r/>
    </w:p>
    <w:p>
      <w:pPr>
        <w:pageBreakBefore w:val="0"/>
        <w:spacing w:line="360" w:lineRule="auto"/>
        <w:rPr>
          <w:rFonts w:ascii="Times New Roman" w:hAnsi="Times New Roman" w:eastAsia="宋体" w:cs="宋体"/>
          <w:bCs/>
          <w:color w:val="auto"/>
          <w:szCs w:val="21"/>
          <w:highlight w:val="none"/>
        </w:rPr>
      </w:pPr>
      <w:r>
        <w:rPr>
          <w:rFonts w:ascii="Times New Roman" w:hAnsi="Times New Roman" w:eastAsia="宋体" w:cs="宋体"/>
          <w:bCs/>
          <w:color w:val="auto"/>
          <w:szCs w:val="21"/>
          <w:highlight w:val="none"/>
        </w:rPr>
      </w:r>
      <w:r/>
    </w:p>
    <w:p>
      <w:pPr>
        <w:pageBreakBefore w:val="0"/>
        <w:spacing w:line="360" w:lineRule="auto"/>
        <w:rPr>
          <w:rFonts w:ascii="Times New Roman" w:hAnsi="Times New Roman" w:eastAsia="宋体" w:cs="宋体"/>
          <w:bCs/>
          <w:color w:val="auto"/>
          <w:szCs w:val="21"/>
          <w:highlight w:val="none"/>
        </w:rPr>
      </w:pPr>
      <w:r>
        <w:rPr>
          <w:rFonts w:ascii="Times New Roman" w:hAnsi="Times New Roman" w:eastAsia="宋体" w:cs="宋体"/>
          <w:bCs/>
          <w:color w:val="auto"/>
          <w:szCs w:val="21"/>
          <w:highlight w:val="none"/>
        </w:rPr>
      </w:r>
      <w:r/>
    </w:p>
    <w:p>
      <w:pPr>
        <w:pageBreakBefore w:val="0"/>
        <w:spacing w:line="360" w:lineRule="auto"/>
        <w:rPr>
          <w:rFonts w:ascii="Times New Roman" w:hAnsi="Times New Roman" w:eastAsia="宋体" w:cs="宋体"/>
          <w:bCs/>
          <w:color w:val="auto"/>
          <w:szCs w:val="21"/>
          <w:highlight w:val="none"/>
        </w:rPr>
      </w:pPr>
      <w:r>
        <w:rPr>
          <w:rFonts w:ascii="Times New Roman" w:hAnsi="Times New Roman" w:eastAsia="宋体" w:cs="宋体"/>
          <w:bCs/>
          <w:color w:val="auto"/>
          <w:szCs w:val="21"/>
          <w:highlight w:val="none"/>
        </w:rPr>
      </w:r>
      <w:r/>
    </w:p>
    <w:p>
      <w:pPr>
        <w:numPr>
          <w:ilvl w:val="0"/>
          <w:numId w:val="0"/>
        </w:num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 w:val="21"/>
          <w:szCs w:val="21"/>
          <w:highlight w:val="none"/>
          <w:lang w:val="en-US" w:eastAsia="zh-CN" w:bidi="ar-SA"/>
        </w:rPr>
        <w:t xml:space="preserve">六、</w:t>
      </w:r>
      <w:r>
        <w:rPr>
          <w:rFonts w:hint="eastAsia" w:ascii="Times New Roman" w:hAnsi="Times New Roman" w:eastAsia="宋体" w:cs="宋体"/>
          <w:b/>
          <w:color w:val="auto"/>
          <w:szCs w:val="21"/>
          <w:highlight w:val="none"/>
        </w:rPr>
        <w:t xml:space="preserve">商务条款响应及偏离表</w:t>
      </w:r>
      <w:r/>
    </w:p>
    <w:p>
      <w:pPr>
        <w:numPr>
          <w:ilvl w:val="0"/>
          <w:numId w:val="0"/>
        </w:numPr>
        <w:jc w:val="both"/>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bl>
      <w:tblPr>
        <w:tblStyle w:val="956"/>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142" w:name="_Hlt24879081"/>
            <w:r/>
            <w:bookmarkEnd w:id="142"/>
            <w:r/>
            <w:bookmarkStart w:id="143" w:name="_Hlt26671372"/>
            <w:r/>
            <w:bookmarkEnd w:id="143"/>
            <w:r/>
            <w:bookmarkStart w:id="144" w:name="_Hlt26671343"/>
            <w:r/>
            <w:bookmarkEnd w:id="144"/>
            <w:r/>
            <w:bookmarkStart w:id="145" w:name="_Hlt26955056"/>
            <w:r/>
            <w:bookmarkEnd w:id="145"/>
            <w:r/>
            <w:bookmarkStart w:id="146" w:name="_Hlt26782999"/>
            <w:r/>
            <w:bookmarkEnd w:id="146"/>
            <w:r/>
            <w:bookmarkStart w:id="147" w:name="_Hlt26580838"/>
            <w:r/>
            <w:bookmarkEnd w:id="147"/>
            <w:r/>
            <w:bookmarkStart w:id="148" w:name="_Hlt26609391"/>
            <w:r/>
            <w:bookmarkEnd w:id="148"/>
            <w:r/>
            <w:bookmarkStart w:id="149" w:name="_Hlt26955064"/>
            <w:r/>
            <w:bookmarkEnd w:id="149"/>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法定代表人或授权代表（签字）：</w:t>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b/>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s="宋体"/>
          <w:b/>
          <w:color w:val="auto"/>
          <w:szCs w:val="21"/>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七、主要标的信息（中标后将公示）</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投标人名称（公章）</w:t>
      </w:r>
      <w:r>
        <w:rPr>
          <w:rFonts w:hint="eastAsia" w:ascii="Times New Roman" w:hAnsi="Times New Roman" w:eastAsia="宋体"/>
          <w:color w:val="auto"/>
          <w:szCs w:val="21"/>
          <w:highlight w:val="none"/>
        </w:rPr>
        <w:t xml:space="preserve">：</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color w:val="auto"/>
          <w:szCs w:val="21"/>
          <w:highlight w:val="none"/>
        </w:rPr>
        <w:t xml:space="preserve">所投包号：</w:t>
      </w:r>
      <w:r/>
    </w:p>
    <w:tbl>
      <w:tblPr>
        <w:tblStyle w:val="956"/>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名称：</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品牌（如有）：</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规格型号：</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数量：</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名称：</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服务范围：</w:t>
            </w:r>
            <w:r/>
          </w:p>
          <w:p>
            <w:pPr>
              <w:pageBreakBefore w:val="0"/>
              <w:spacing w:line="360" w:lineRule="auto"/>
              <w:rPr>
                <w:rFonts w:ascii="Times New Roman" w:hAnsi="Times New Roman" w:eastAsia="宋体" w:cs="宋体"/>
                <w:color w:val="auto"/>
                <w:szCs w:val="21"/>
                <w:highlight w:val="none"/>
                <w:u w:val="single"/>
              </w:rPr>
            </w:pPr>
            <w:r>
              <w:rPr>
                <w:rFonts w:hint="eastAsia" w:ascii="Times New Roman" w:hAnsi="Times New Roman" w:eastAsia="宋体" w:cs="宋体"/>
                <w:color w:val="auto"/>
                <w:szCs w:val="21"/>
                <w:highlight w:val="none"/>
              </w:rPr>
              <w:t xml:space="preserve">服务要求：</w:t>
            </w:r>
            <w:r/>
          </w:p>
          <w:p>
            <w:pPr>
              <w:pageBreakBefore w:val="0"/>
              <w:spacing w:line="360" w:lineRule="auto"/>
              <w:rPr>
                <w:rFonts w:ascii="Times New Roman" w:hAnsi="Times New Roman" w:eastAsia="宋体" w:cs="宋体"/>
                <w:color w:val="auto"/>
                <w:szCs w:val="21"/>
                <w:highlight w:val="none"/>
                <w:u w:val="single"/>
              </w:rPr>
            </w:pPr>
            <w:r>
              <w:rPr>
                <w:rFonts w:hint="eastAsia" w:ascii="Times New Roman" w:hAnsi="Times New Roman" w:eastAsia="宋体" w:cs="宋体"/>
                <w:color w:val="auto"/>
                <w:szCs w:val="21"/>
                <w:highlight w:val="none"/>
              </w:rPr>
              <w:t xml:space="preserve">服务时间：</w:t>
            </w:r>
            <w:r/>
          </w:p>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服务标准：</w:t>
            </w:r>
            <w:r/>
          </w:p>
        </w:tc>
      </w:tr>
    </w:tbl>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font-weight : 400">
    <w:panose1 w:val="020B0503020202020204"/>
  </w:font>
  <w:font w:name="等线 Light">
    <w:panose1 w:val="02010600030101010101"/>
  </w:font>
  <w:font w:name="仿宋">
    <w:panose1 w:val="02010609060101010101"/>
  </w:font>
  <w:font w:name="Tahoma">
    <w:panose1 w:val="020B0604030504040204"/>
  </w:font>
  <w:font w:name="Noto Sans CJK JP Regular">
    <w:panose1 w:val="020B0503020202020204"/>
  </w:font>
  <w:font w:name="Courier New">
    <w:panose1 w:val="02070309020205020404"/>
  </w:font>
  <w:font w:name="楷体_GB2312">
    <w:panose1 w:val="02010609060101010101"/>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Fonts w:ascii="宋体_GB2312" w:hAns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rFonts w:hint="eastAsia"/>
        <w:lang w:eastAsia="zh-CN"/>
      </w:rPr>
      <w:t xml:space="preserve">JSZC-320000-SWGC-G2026-0040号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rFonts w:hint="eastAsia"/>
        <w:lang w:eastAsia="zh-CN"/>
      </w:rPr>
      <w:t xml:space="preserve">JSZC-320000-SWGC-G2026-0040号</w:t>
    </w:r>
    <w:r>
      <w:rPr>
        <w:rFonts w:hint="eastAsia"/>
      </w:rPr>
      <w:t xml:space="preserve">                           江苏苏维工程管理有限公司</w:t>
    </w:r>
    <w:r/>
  </w:p>
  <w:p>
    <w:pPr>
      <w:pStyle w:val="97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63"/>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089"/>
      <w:isLgl/>
      <w:suff w:val="tab"/>
      <w:lvlText w:val="%1.%2"/>
      <w:lvlJc w:val="left"/>
      <w:pPr>
        <w:ind w:left="0" w:firstLine="0"/>
        <w:tabs>
          <w:tab w:val="left" w:pos="851" w:leader="none"/>
        </w:tabs>
      </w:pPr>
    </w:lvl>
    <w:lvl w:ilvl="2">
      <w:start w:val="1"/>
      <w:numFmt w:val="decimal"/>
      <w:pStyle w:val="1073"/>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bullet"/>
      <w:pStyle w:val="95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21"/>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4">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vanish w:val="0"/>
        <w:spacing w:val="0"/>
        <w:position w:val="0"/>
        <w:sz w:val="21"/>
        <w:szCs w:val="32"/>
        <w:u w:val="none"/>
        <w:vertAlign w:val="baseline"/>
      </w:rPr>
    </w:lvl>
    <w:lvl w:ilvl="1">
      <w:start w:val="1"/>
      <w:numFmt w:val="decimal"/>
      <w:pStyle w:val="947"/>
      <w:isLgl w:val="false"/>
      <w:suff w:val="space"/>
      <w:lvlText w:val="%1.%2"/>
      <w:lvlJc w:val="left"/>
      <w:pPr>
        <w:ind w:left="851" w:hanging="567"/>
      </w:pPr>
      <w:rPr>
        <w:rFonts w:hint="default" w:ascii="Arial" w:hAnsi="Arial" w:eastAsia="黑体"/>
        <w:b/>
        <w:i w:val="0"/>
        <w:sz w:val="28"/>
        <w:szCs w:val="28"/>
      </w:rPr>
    </w:lvl>
    <w:lvl w:ilvl="2">
      <w:start w:val="1"/>
      <w:numFmt w:val="decimal"/>
      <w:pStyle w:val="948"/>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5">
    <w:name w:val="Heading 1 Char"/>
    <w:basedOn w:val="955"/>
    <w:link w:val="946"/>
    <w:uiPriority w:val="9"/>
    <w:rPr>
      <w:rFonts w:ascii="Arial" w:hAnsi="Arial" w:eastAsia="Arial" w:cs="Arial"/>
      <w:sz w:val="40"/>
      <w:szCs w:val="40"/>
    </w:rPr>
  </w:style>
  <w:style w:type="character" w:styleId="786">
    <w:name w:val="Heading 2 Char"/>
    <w:basedOn w:val="955"/>
    <w:link w:val="947"/>
    <w:uiPriority w:val="9"/>
    <w:rPr>
      <w:rFonts w:ascii="Arial" w:hAnsi="Arial" w:eastAsia="Arial" w:cs="Arial"/>
      <w:sz w:val="34"/>
    </w:rPr>
  </w:style>
  <w:style w:type="character" w:styleId="787">
    <w:name w:val="Heading 3 Char"/>
    <w:basedOn w:val="955"/>
    <w:link w:val="948"/>
    <w:uiPriority w:val="9"/>
    <w:rPr>
      <w:rFonts w:ascii="Arial" w:hAnsi="Arial" w:eastAsia="Arial" w:cs="Arial"/>
      <w:sz w:val="30"/>
      <w:szCs w:val="30"/>
    </w:rPr>
  </w:style>
  <w:style w:type="character" w:styleId="788">
    <w:name w:val="Heading 4 Char"/>
    <w:basedOn w:val="955"/>
    <w:link w:val="949"/>
    <w:uiPriority w:val="9"/>
    <w:rPr>
      <w:rFonts w:ascii="Arial" w:hAnsi="Arial" w:eastAsia="Arial" w:cs="Arial"/>
      <w:b/>
      <w:bCs/>
      <w:sz w:val="26"/>
      <w:szCs w:val="26"/>
    </w:rPr>
  </w:style>
  <w:style w:type="character" w:styleId="789">
    <w:name w:val="Heading 5 Char"/>
    <w:basedOn w:val="955"/>
    <w:link w:val="950"/>
    <w:uiPriority w:val="9"/>
    <w:rPr>
      <w:rFonts w:ascii="Arial" w:hAnsi="Arial" w:eastAsia="Arial" w:cs="Arial"/>
      <w:b/>
      <w:bCs/>
      <w:sz w:val="24"/>
      <w:szCs w:val="24"/>
    </w:rPr>
  </w:style>
  <w:style w:type="character" w:styleId="790">
    <w:name w:val="Heading 6 Char"/>
    <w:basedOn w:val="955"/>
    <w:link w:val="951"/>
    <w:uiPriority w:val="9"/>
    <w:rPr>
      <w:rFonts w:ascii="Arial" w:hAnsi="Arial" w:eastAsia="Arial" w:cs="Arial"/>
      <w:b/>
      <w:bCs/>
      <w:sz w:val="22"/>
      <w:szCs w:val="22"/>
    </w:rPr>
  </w:style>
  <w:style w:type="character" w:styleId="791">
    <w:name w:val="Heading 7 Char"/>
    <w:basedOn w:val="955"/>
    <w:link w:val="952"/>
    <w:uiPriority w:val="9"/>
    <w:rPr>
      <w:rFonts w:ascii="Arial" w:hAnsi="Arial" w:eastAsia="Arial" w:cs="Arial"/>
      <w:b/>
      <w:bCs/>
      <w:i/>
      <w:iCs/>
      <w:sz w:val="22"/>
      <w:szCs w:val="22"/>
    </w:rPr>
  </w:style>
  <w:style w:type="character" w:styleId="792">
    <w:name w:val="Heading 8 Char"/>
    <w:basedOn w:val="955"/>
    <w:link w:val="953"/>
    <w:uiPriority w:val="9"/>
    <w:rPr>
      <w:rFonts w:ascii="Arial" w:hAnsi="Arial" w:eastAsia="Arial" w:cs="Arial"/>
      <w:i/>
      <w:iCs/>
      <w:sz w:val="22"/>
      <w:szCs w:val="22"/>
    </w:rPr>
  </w:style>
  <w:style w:type="character" w:styleId="793">
    <w:name w:val="Heading 9 Char"/>
    <w:basedOn w:val="955"/>
    <w:link w:val="954"/>
    <w:uiPriority w:val="9"/>
    <w:rPr>
      <w:rFonts w:ascii="Arial" w:hAnsi="Arial" w:eastAsia="Arial" w:cs="Arial"/>
      <w:i/>
      <w:iCs/>
      <w:sz w:val="21"/>
      <w:szCs w:val="21"/>
    </w:rPr>
  </w:style>
  <w:style w:type="paragraph" w:styleId="794">
    <w:name w:val="No Spacing"/>
    <w:uiPriority w:val="1"/>
    <w:qFormat/>
    <w:pPr>
      <w:spacing w:before="0" w:after="0" w:line="240" w:lineRule="auto"/>
    </w:pPr>
  </w:style>
  <w:style w:type="paragraph" w:styleId="795">
    <w:name w:val="Title"/>
    <w:basedOn w:val="945"/>
    <w:next w:val="945"/>
    <w:link w:val="796"/>
    <w:uiPriority w:val="10"/>
    <w:qFormat/>
    <w:pPr>
      <w:contextualSpacing/>
      <w:spacing w:before="300" w:after="200"/>
    </w:pPr>
    <w:rPr>
      <w:sz w:val="48"/>
      <w:szCs w:val="48"/>
    </w:rPr>
  </w:style>
  <w:style w:type="character" w:styleId="796">
    <w:name w:val="Title Char"/>
    <w:basedOn w:val="955"/>
    <w:link w:val="795"/>
    <w:uiPriority w:val="10"/>
    <w:rPr>
      <w:sz w:val="48"/>
      <w:szCs w:val="48"/>
    </w:rPr>
  </w:style>
  <w:style w:type="paragraph" w:styleId="797">
    <w:name w:val="Subtitle"/>
    <w:basedOn w:val="945"/>
    <w:next w:val="945"/>
    <w:link w:val="798"/>
    <w:uiPriority w:val="11"/>
    <w:qFormat/>
    <w:pPr>
      <w:spacing w:before="200" w:after="200"/>
    </w:pPr>
    <w:rPr>
      <w:sz w:val="24"/>
      <w:szCs w:val="24"/>
    </w:rPr>
  </w:style>
  <w:style w:type="character" w:styleId="798">
    <w:name w:val="Subtitle Char"/>
    <w:basedOn w:val="955"/>
    <w:link w:val="797"/>
    <w:uiPriority w:val="11"/>
    <w:rPr>
      <w:sz w:val="24"/>
      <w:szCs w:val="24"/>
    </w:rPr>
  </w:style>
  <w:style w:type="paragraph" w:styleId="799">
    <w:name w:val="Quote"/>
    <w:basedOn w:val="945"/>
    <w:next w:val="945"/>
    <w:link w:val="800"/>
    <w:uiPriority w:val="29"/>
    <w:qFormat/>
    <w:pPr>
      <w:ind w:left="720" w:right="720"/>
    </w:pPr>
    <w:rPr>
      <w:i/>
    </w:rPr>
  </w:style>
  <w:style w:type="character" w:styleId="800">
    <w:name w:val="Quote Char"/>
    <w:link w:val="799"/>
    <w:uiPriority w:val="29"/>
    <w:rPr>
      <w:i/>
    </w:rPr>
  </w:style>
  <w:style w:type="paragraph" w:styleId="801">
    <w:name w:val="Intense Quote"/>
    <w:basedOn w:val="945"/>
    <w:next w:val="945"/>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55"/>
    <w:link w:val="970"/>
    <w:uiPriority w:val="99"/>
  </w:style>
  <w:style w:type="character" w:styleId="804">
    <w:name w:val="Footer Char"/>
    <w:basedOn w:val="955"/>
    <w:link w:val="969"/>
    <w:uiPriority w:val="99"/>
  </w:style>
  <w:style w:type="paragraph" w:styleId="805">
    <w:name w:val="Caption"/>
    <w:basedOn w:val="945"/>
    <w:next w:val="945"/>
    <w:uiPriority w:val="35"/>
    <w:semiHidden/>
    <w:unhideWhenUsed/>
    <w:qFormat/>
    <w:pPr>
      <w:spacing w:line="276" w:lineRule="auto"/>
    </w:pPr>
    <w:rPr>
      <w:b/>
      <w:bCs/>
      <w:color w:val="4f81bd" w:themeColor="accent1"/>
      <w:sz w:val="18"/>
      <w:szCs w:val="18"/>
    </w:rPr>
  </w:style>
  <w:style w:type="character" w:styleId="806">
    <w:name w:val="Caption Char"/>
    <w:basedOn w:val="805"/>
    <w:link w:val="969"/>
    <w:uiPriority w:val="99"/>
  </w:style>
  <w:style w:type="table" w:styleId="807">
    <w:name w:val="Table Grid"/>
    <w:basedOn w:val="95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9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9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9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basedOn w:val="9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basedOn w:val="9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basedOn w:val="9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basedOn w:val="9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basedOn w:val="9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basedOn w:val="9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basedOn w:val="9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basedOn w:val="9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basedOn w:val="9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basedOn w:val="9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basedOn w:val="9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basedOn w:val="9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basedOn w:val="9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basedOn w:val="9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basedOn w:val="9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basedOn w:val="9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basedOn w:val="9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basedOn w:val="9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basedOn w:val="9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basedOn w:val="9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basedOn w:val="9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basedOn w:val="9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basedOn w:val="9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basedOn w:val="9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basedOn w:val="9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basedOn w:val="9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basedOn w:val="9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basedOn w:val="9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basedOn w:val="9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basedOn w:val="9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basedOn w:val="9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basedOn w:val="9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basedOn w:val="9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basedOn w:val="9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basedOn w:val="9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basedOn w:val="9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basedOn w:val="9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basedOn w:val="9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basedOn w:val="9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basedOn w:val="9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basedOn w:val="9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basedOn w:val="9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basedOn w:val="9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basedOn w:val="9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basedOn w:val="9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basedOn w:val="9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basedOn w:val="9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basedOn w:val="9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basedOn w:val="9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basedOn w:val="9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basedOn w:val="9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basedOn w:val="9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basedOn w:val="9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basedOn w:val="9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basedOn w:val="9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basedOn w:val="9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basedOn w:val="9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basedOn w:val="9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basedOn w:val="9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basedOn w:val="9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basedOn w:val="9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basedOn w:val="9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basedOn w:val="9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basedOn w:val="9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basedOn w:val="9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basedOn w:val="9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basedOn w:val="9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basedOn w:val="9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3">
    <w:name w:val="footnote text"/>
    <w:basedOn w:val="945"/>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basedOn w:val="955"/>
    <w:uiPriority w:val="99"/>
    <w:unhideWhenUsed/>
    <w:rPr>
      <w:vertAlign w:val="superscript"/>
    </w:rPr>
  </w:style>
  <w:style w:type="paragraph" w:styleId="936">
    <w:name w:val="endnote text"/>
    <w:basedOn w:val="945"/>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basedOn w:val="955"/>
    <w:uiPriority w:val="99"/>
    <w:semiHidden/>
    <w:unhideWhenUsed/>
    <w:rPr>
      <w:vertAlign w:val="superscript"/>
    </w:rPr>
  </w:style>
  <w:style w:type="paragraph" w:styleId="939">
    <w:name w:val="toc 4"/>
    <w:basedOn w:val="945"/>
    <w:next w:val="945"/>
    <w:uiPriority w:val="39"/>
    <w:unhideWhenUsed/>
    <w:pPr>
      <w:ind w:left="850" w:right="0" w:firstLine="0"/>
      <w:spacing w:after="57"/>
    </w:pPr>
  </w:style>
  <w:style w:type="paragraph" w:styleId="940">
    <w:name w:val="toc 5"/>
    <w:basedOn w:val="945"/>
    <w:next w:val="945"/>
    <w:uiPriority w:val="39"/>
    <w:unhideWhenUsed/>
    <w:pPr>
      <w:ind w:left="1134" w:right="0" w:firstLine="0"/>
      <w:spacing w:after="57"/>
    </w:pPr>
  </w:style>
  <w:style w:type="paragraph" w:styleId="941">
    <w:name w:val="toc 6"/>
    <w:basedOn w:val="945"/>
    <w:next w:val="945"/>
    <w:uiPriority w:val="39"/>
    <w:unhideWhenUsed/>
    <w:pPr>
      <w:ind w:left="1417" w:right="0" w:firstLine="0"/>
      <w:spacing w:after="57"/>
    </w:pPr>
  </w:style>
  <w:style w:type="paragraph" w:styleId="942">
    <w:name w:val="toc 7"/>
    <w:basedOn w:val="945"/>
    <w:next w:val="945"/>
    <w:uiPriority w:val="39"/>
    <w:unhideWhenUsed/>
    <w:pPr>
      <w:ind w:left="1701" w:right="0" w:firstLine="0"/>
      <w:spacing w:after="57"/>
    </w:pPr>
  </w:style>
  <w:style w:type="paragraph" w:styleId="943">
    <w:name w:val="toc 8"/>
    <w:basedOn w:val="945"/>
    <w:next w:val="945"/>
    <w:uiPriority w:val="39"/>
    <w:unhideWhenUsed/>
    <w:pPr>
      <w:ind w:left="1984" w:right="0" w:firstLine="0"/>
      <w:spacing w:after="57"/>
    </w:pPr>
  </w:style>
  <w:style w:type="paragraph" w:styleId="944">
    <w:name w:val="TOC Heading"/>
    <w:uiPriority w:val="39"/>
    <w:unhideWhenUsed/>
  </w:style>
  <w:style w:type="paragraph" w:styleId="945" w:default="1">
    <w:name w:val="Normal"/>
    <w:next w:val="957"/>
    <w:uiPriority w:val="0"/>
    <w:qFormat/>
    <w:pPr>
      <w:jc w:val="both"/>
      <w:widowControl w:val="off"/>
    </w:pPr>
    <w:rPr>
      <w:rFonts w:ascii="Times New Roman" w:hAnsi="Times New Roman" w:eastAsia="宋体" w:cs="Times New Roman"/>
      <w:sz w:val="21"/>
      <w:szCs w:val="22"/>
      <w:lang w:val="en-US" w:eastAsia="zh-CN" w:bidi="ar-SA"/>
    </w:rPr>
  </w:style>
  <w:style w:type="paragraph" w:styleId="946">
    <w:name w:val="Heading 1"/>
    <w:basedOn w:val="945"/>
    <w:next w:val="945"/>
    <w:link w:val="987"/>
    <w:uiPriority w:val="0"/>
    <w:qFormat/>
    <w:pPr>
      <w:keepLines/>
      <w:keepNext/>
      <w:spacing w:before="340" w:after="330" w:line="578" w:lineRule="auto"/>
      <w:outlineLvl w:val="0"/>
    </w:pPr>
    <w:rPr>
      <w:b/>
      <w:bCs/>
      <w:sz w:val="44"/>
      <w:szCs w:val="44"/>
    </w:rPr>
  </w:style>
  <w:style w:type="paragraph" w:styleId="947">
    <w:name w:val="Heading 2"/>
    <w:basedOn w:val="945"/>
    <w:next w:val="945"/>
    <w:link w:val="988"/>
    <w:uiPriority w:val="0"/>
    <w:qFormat/>
    <w:pPr>
      <w:numPr>
        <w:ilvl w:val="1"/>
        <w:numId w:val="1"/>
      </w:numPr>
      <w:jc w:val="left"/>
      <w:keepLines/>
      <w:keepNext/>
      <w:spacing w:before="312" w:after="312"/>
      <w:outlineLvl w:val="1"/>
    </w:pPr>
    <w:rPr>
      <w:rFonts w:ascii="Arial" w:hAnsi="Arial"/>
      <w:b/>
      <w:bCs/>
      <w:sz w:val="28"/>
      <w:szCs w:val="36"/>
    </w:rPr>
  </w:style>
  <w:style w:type="paragraph" w:styleId="948">
    <w:name w:val="Heading 3"/>
    <w:basedOn w:val="945"/>
    <w:next w:val="945"/>
    <w:link w:val="989"/>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949">
    <w:name w:val="Heading 4"/>
    <w:basedOn w:val="945"/>
    <w:next w:val="958"/>
    <w:link w:val="990"/>
    <w:uiPriority w:val="0"/>
    <w:qFormat/>
    <w:pPr>
      <w:spacing w:before="280" w:after="290" w:line="377" w:lineRule="auto"/>
      <w:outlineLvl w:val="3"/>
    </w:pPr>
    <w:rPr>
      <w:rFonts w:ascii="Arial" w:hAnsi="Arial" w:eastAsia="黑体"/>
      <w:b/>
      <w:bCs/>
      <w:sz w:val="28"/>
      <w:szCs w:val="28"/>
    </w:rPr>
  </w:style>
  <w:style w:type="paragraph" w:styleId="950">
    <w:name w:val="Heading 5"/>
    <w:basedOn w:val="945"/>
    <w:next w:val="945"/>
    <w:link w:val="992"/>
    <w:uiPriority w:val="0"/>
    <w:qFormat/>
    <w:pPr>
      <w:keepLines/>
      <w:keepNext/>
      <w:spacing w:before="280" w:after="290" w:line="376" w:lineRule="auto"/>
      <w:outlineLvl w:val="4"/>
    </w:pPr>
    <w:rPr>
      <w:rFonts w:ascii="Calibri" w:hAnsi="Calibri"/>
      <w:b/>
      <w:bCs/>
      <w:sz w:val="28"/>
      <w:szCs w:val="28"/>
    </w:rPr>
  </w:style>
  <w:style w:type="paragraph" w:styleId="951">
    <w:name w:val="Heading 6"/>
    <w:basedOn w:val="945"/>
    <w:next w:val="945"/>
    <w:link w:val="993"/>
    <w:uiPriority w:val="0"/>
    <w:qFormat/>
    <w:pPr>
      <w:ind w:left="1152" w:hanging="1152"/>
      <w:keepLines/>
      <w:keepNext/>
      <w:spacing w:before="240" w:after="64" w:line="320" w:lineRule="auto"/>
      <w:outlineLvl w:val="5"/>
    </w:pPr>
    <w:rPr>
      <w:rFonts w:ascii="Cambria" w:hAnsi="Cambria"/>
      <w:b/>
      <w:bCs/>
      <w:sz w:val="24"/>
      <w:szCs w:val="24"/>
    </w:rPr>
  </w:style>
  <w:style w:type="paragraph" w:styleId="952">
    <w:name w:val="Heading 7"/>
    <w:basedOn w:val="945"/>
    <w:next w:val="945"/>
    <w:link w:val="994"/>
    <w:uiPriority w:val="0"/>
    <w:qFormat/>
    <w:pPr>
      <w:ind w:left="1296" w:hanging="1296"/>
      <w:keepLines/>
      <w:keepNext/>
      <w:spacing w:before="240" w:after="64" w:line="320" w:lineRule="auto"/>
      <w:outlineLvl w:val="6"/>
    </w:pPr>
    <w:rPr>
      <w:b/>
      <w:bCs/>
      <w:sz w:val="24"/>
      <w:szCs w:val="24"/>
    </w:rPr>
  </w:style>
  <w:style w:type="paragraph" w:styleId="953">
    <w:name w:val="Heading 8"/>
    <w:basedOn w:val="945"/>
    <w:next w:val="945"/>
    <w:link w:val="995"/>
    <w:uiPriority w:val="0"/>
    <w:qFormat/>
    <w:pPr>
      <w:ind w:left="1440" w:hanging="1440"/>
      <w:keepLines/>
      <w:keepNext/>
      <w:spacing w:before="240" w:after="64" w:line="320" w:lineRule="auto"/>
      <w:outlineLvl w:val="7"/>
    </w:pPr>
    <w:rPr>
      <w:rFonts w:ascii="Cambria" w:hAnsi="Cambria"/>
      <w:sz w:val="24"/>
      <w:szCs w:val="24"/>
    </w:rPr>
  </w:style>
  <w:style w:type="paragraph" w:styleId="954">
    <w:name w:val="Heading 9"/>
    <w:basedOn w:val="945"/>
    <w:next w:val="945"/>
    <w:link w:val="996"/>
    <w:uiPriority w:val="0"/>
    <w:qFormat/>
    <w:pPr>
      <w:ind w:left="1584" w:hanging="1584"/>
      <w:keepLines/>
      <w:keepNext/>
      <w:spacing w:before="240" w:after="64" w:line="320" w:lineRule="auto"/>
      <w:outlineLvl w:val="8"/>
    </w:pPr>
    <w:rPr>
      <w:rFonts w:ascii="Cambria" w:hAnsi="Cambria"/>
      <w:sz w:val="20"/>
      <w:szCs w:val="21"/>
    </w:rPr>
  </w:style>
  <w:style w:type="character" w:styleId="955" w:default="1">
    <w:name w:val="Default Paragraph Font"/>
    <w:uiPriority w:val="1"/>
    <w:semiHidden/>
    <w:unhideWhenUsed/>
    <w:qFormat/>
  </w:style>
  <w:style w:type="table" w:styleId="956" w:default="1">
    <w:name w:val="Normal Table"/>
    <w:uiPriority w:val="99"/>
    <w:semiHidden/>
    <w:unhideWhenUsed/>
    <w:qFormat/>
    <w:tblPr>
      <w:tblCellMar>
        <w:left w:w="108" w:type="dxa"/>
        <w:top w:w="0" w:type="dxa"/>
        <w:right w:w="108" w:type="dxa"/>
        <w:bottom w:w="0" w:type="dxa"/>
      </w:tblCellMar>
    </w:tblPr>
  </w:style>
  <w:style w:type="paragraph" w:styleId="957">
    <w:name w:val="List Bullet 2"/>
    <w:basedOn w:val="945"/>
    <w:uiPriority w:val="99"/>
    <w:semiHidden/>
    <w:unhideWhenUsed/>
    <w:qFormat/>
    <w:pPr>
      <w:numPr>
        <w:ilvl w:val="0"/>
        <w:numId w:val="2"/>
      </w:numPr>
    </w:pPr>
  </w:style>
  <w:style w:type="paragraph" w:styleId="958">
    <w:name w:val="Normal Indent"/>
    <w:basedOn w:val="945"/>
    <w:next w:val="945"/>
    <w:link w:val="991"/>
    <w:uiPriority w:val="0"/>
    <w:unhideWhenUsed/>
    <w:qFormat/>
    <w:pPr>
      <w:ind w:firstLine="420"/>
    </w:pPr>
  </w:style>
  <w:style w:type="paragraph" w:styleId="959">
    <w:name w:val="annotation text"/>
    <w:basedOn w:val="945"/>
    <w:link w:val="997"/>
    <w:uiPriority w:val="99"/>
    <w:unhideWhenUsed/>
    <w:qFormat/>
    <w:pPr>
      <w:jc w:val="left"/>
    </w:pPr>
    <w:rPr>
      <w:sz w:val="20"/>
      <w:szCs w:val="24"/>
    </w:rPr>
  </w:style>
  <w:style w:type="paragraph" w:styleId="960">
    <w:name w:val="Body Text"/>
    <w:basedOn w:val="945"/>
    <w:next w:val="958"/>
    <w:link w:val="998"/>
    <w:uiPriority w:val="0"/>
    <w:qFormat/>
    <w:rPr>
      <w:rFonts w:ascii="楷体_GB2312" w:hAnsi="Arial" w:eastAsia="楷体_GB2312"/>
      <w:sz w:val="28"/>
      <w:szCs w:val="28"/>
    </w:rPr>
  </w:style>
  <w:style w:type="paragraph" w:styleId="961">
    <w:name w:val="Body Text Indent"/>
    <w:basedOn w:val="945"/>
    <w:next w:val="962"/>
    <w:link w:val="999"/>
    <w:uiPriority w:val="0"/>
    <w:qFormat/>
    <w:pPr>
      <w:ind w:left="420"/>
      <w:spacing w:after="120"/>
    </w:pPr>
    <w:rPr>
      <w:sz w:val="20"/>
      <w:szCs w:val="24"/>
    </w:rPr>
  </w:style>
  <w:style w:type="paragraph" w:styleId="962">
    <w:name w:val="envelope return"/>
    <w:basedOn w:val="945"/>
    <w:uiPriority w:val="99"/>
    <w:unhideWhenUsed/>
    <w:qFormat/>
    <w:rPr>
      <w:rFonts w:ascii="Arial" w:hAnsi="Arial"/>
    </w:rPr>
  </w:style>
  <w:style w:type="paragraph" w:styleId="963">
    <w:name w:val="index 4"/>
    <w:basedOn w:val="945"/>
    <w:next w:val="945"/>
    <w:uiPriority w:val="99"/>
    <w:unhideWhenUsed/>
    <w:qFormat/>
    <w:pPr>
      <w:ind w:left="600"/>
    </w:pPr>
    <w:rPr>
      <w:rFonts w:ascii="Verdana" w:hAnsi="Verdana"/>
      <w:szCs w:val="20"/>
    </w:rPr>
  </w:style>
  <w:style w:type="paragraph" w:styleId="964">
    <w:name w:val="toc 3"/>
    <w:basedOn w:val="945"/>
    <w:next w:val="945"/>
    <w:uiPriority w:val="39"/>
    <w:unhideWhenUsed/>
    <w:qFormat/>
    <w:pPr>
      <w:ind w:left="840"/>
    </w:pPr>
    <w:rPr>
      <w:rFonts w:ascii="Calibri" w:hAnsi="Calibri"/>
    </w:rPr>
  </w:style>
  <w:style w:type="paragraph" w:styleId="965">
    <w:name w:val="Plain Text"/>
    <w:basedOn w:val="945"/>
    <w:link w:val="1000"/>
    <w:uiPriority w:val="0"/>
    <w:qFormat/>
    <w:rPr>
      <w:rFonts w:ascii="宋体" w:hAnsi="Courier New"/>
      <w:sz w:val="20"/>
      <w:szCs w:val="21"/>
    </w:rPr>
  </w:style>
  <w:style w:type="paragraph" w:styleId="966">
    <w:name w:val="Date"/>
    <w:basedOn w:val="945"/>
    <w:next w:val="945"/>
    <w:uiPriority w:val="99"/>
    <w:unhideWhenUsed/>
    <w:qFormat/>
    <w:pPr>
      <w:ind w:left="100"/>
    </w:pPr>
    <w:rPr>
      <w:rFonts w:eastAsia="楷体_GB2312"/>
      <w:b/>
      <w:bCs/>
      <w:sz w:val="32"/>
    </w:rPr>
  </w:style>
  <w:style w:type="paragraph" w:styleId="967">
    <w:name w:val="Body Text Indent 2"/>
    <w:basedOn w:val="945"/>
    <w:link w:val="1001"/>
    <w:uiPriority w:val="0"/>
    <w:qFormat/>
    <w:pPr>
      <w:ind w:firstLine="562"/>
      <w:spacing w:line="480" w:lineRule="exact"/>
    </w:pPr>
    <w:rPr>
      <w:rFonts w:ascii="楷体_GB2312" w:eastAsia="楷体_GB2312"/>
      <w:b/>
      <w:bCs/>
      <w:sz w:val="28"/>
      <w:szCs w:val="24"/>
    </w:rPr>
  </w:style>
  <w:style w:type="paragraph" w:styleId="968">
    <w:name w:val="Balloon Text"/>
    <w:basedOn w:val="945"/>
    <w:link w:val="1002"/>
    <w:uiPriority w:val="0"/>
    <w:unhideWhenUsed/>
    <w:qFormat/>
    <w:rPr>
      <w:sz w:val="18"/>
      <w:szCs w:val="18"/>
    </w:rPr>
  </w:style>
  <w:style w:type="paragraph" w:styleId="969">
    <w:name w:val="Footer"/>
    <w:basedOn w:val="945"/>
    <w:link w:val="1003"/>
    <w:uiPriority w:val="0"/>
    <w:unhideWhenUsed/>
    <w:qFormat/>
    <w:pPr>
      <w:jc w:val="left"/>
      <w:tabs>
        <w:tab w:val="center" w:pos="4153" w:leader="none"/>
        <w:tab w:val="right" w:pos="8306" w:leader="none"/>
      </w:tabs>
    </w:pPr>
    <w:rPr>
      <w:sz w:val="18"/>
      <w:szCs w:val="18"/>
    </w:rPr>
  </w:style>
  <w:style w:type="paragraph" w:styleId="970">
    <w:name w:val="Header"/>
    <w:basedOn w:val="945"/>
    <w:link w:val="100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71">
    <w:name w:val="toc 1"/>
    <w:basedOn w:val="945"/>
    <w:next w:val="945"/>
    <w:uiPriority w:val="39"/>
    <w:unhideWhenUsed/>
    <w:qFormat/>
    <w:rPr>
      <w:rFonts w:ascii="Calibri" w:hAnsi="Calibri"/>
    </w:rPr>
  </w:style>
  <w:style w:type="paragraph" w:styleId="972">
    <w:name w:val="table of figures"/>
    <w:basedOn w:val="945"/>
    <w:next w:val="945"/>
    <w:uiPriority w:val="0"/>
    <w:semiHidden/>
    <w:qFormat/>
    <w:pPr>
      <w:ind w:left="840" w:hanging="420"/>
      <w:spacing w:before="156" w:after="156"/>
    </w:pPr>
    <w:rPr>
      <w:sz w:val="24"/>
      <w:szCs w:val="24"/>
    </w:rPr>
  </w:style>
  <w:style w:type="paragraph" w:styleId="973">
    <w:name w:val="toc 2"/>
    <w:basedOn w:val="945"/>
    <w:next w:val="945"/>
    <w:uiPriority w:val="39"/>
    <w:unhideWhenUsed/>
    <w:qFormat/>
    <w:pPr>
      <w:ind w:left="420"/>
    </w:pPr>
    <w:rPr>
      <w:rFonts w:ascii="Calibri" w:hAnsi="Calibri"/>
    </w:rPr>
  </w:style>
  <w:style w:type="paragraph" w:styleId="974">
    <w:name w:val="toc 9"/>
    <w:basedOn w:val="945"/>
    <w:next w:val="945"/>
    <w:uiPriority w:val="0"/>
    <w:qFormat/>
    <w:pPr>
      <w:ind w:left="3360"/>
    </w:pPr>
    <w:rPr>
      <w:rFonts w:ascii="Calibri" w:hAnsi="Calibri"/>
    </w:rPr>
  </w:style>
  <w:style w:type="paragraph" w:styleId="975">
    <w:name w:val="Body Text 2"/>
    <w:basedOn w:val="945"/>
    <w:uiPriority w:val="0"/>
    <w:qFormat/>
    <w:pPr>
      <w:spacing w:after="120" w:line="480" w:lineRule="auto"/>
    </w:pPr>
  </w:style>
  <w:style w:type="paragraph" w:styleId="976">
    <w:name w:val="Normal (Web)"/>
    <w:basedOn w:val="945"/>
    <w:uiPriority w:val="99"/>
    <w:unhideWhenUsed/>
    <w:qFormat/>
    <w:rPr>
      <w:sz w:val="24"/>
    </w:rPr>
  </w:style>
  <w:style w:type="paragraph" w:styleId="977">
    <w:name w:val="annotation subject"/>
    <w:basedOn w:val="959"/>
    <w:next w:val="959"/>
    <w:link w:val="1005"/>
    <w:uiPriority w:val="99"/>
    <w:unhideWhenUsed/>
    <w:qFormat/>
    <w:rPr>
      <w:b/>
      <w:bCs/>
      <w:szCs w:val="20"/>
    </w:rPr>
  </w:style>
  <w:style w:type="paragraph" w:styleId="978">
    <w:name w:val="Body Text First Indent"/>
    <w:basedOn w:val="960"/>
    <w:next w:val="945"/>
    <w:uiPriority w:val="0"/>
    <w:qFormat/>
    <w:pPr>
      <w:ind w:firstLine="425"/>
      <w:spacing w:before="100" w:after="100" w:line="360" w:lineRule="atLeast"/>
    </w:pPr>
    <w:rPr>
      <w:rFonts w:ascii="Times New Roman" w:hAnsi="Times New Roman" w:eastAsia="宋体"/>
    </w:rPr>
  </w:style>
  <w:style w:type="paragraph" w:styleId="979">
    <w:name w:val="Body Text First Indent 2"/>
    <w:basedOn w:val="961"/>
    <w:uiPriority w:val="99"/>
    <w:unhideWhenUsed/>
    <w:qFormat/>
    <w:pPr>
      <w:ind w:firstLine="420"/>
    </w:pPr>
  </w:style>
  <w:style w:type="character" w:styleId="980">
    <w:name w:val="Strong"/>
    <w:uiPriority w:val="0"/>
    <w:qFormat/>
    <w:rPr>
      <w:rFonts w:ascii="Tahoma" w:hAnsi="Tahoma" w:eastAsia="宋体"/>
      <w:b/>
      <w:bCs/>
      <w:spacing w:val="10"/>
      <w:sz w:val="24"/>
      <w:lang w:val="en-US" w:eastAsia="zh-CN" w:bidi="ar-SA"/>
    </w:rPr>
  </w:style>
  <w:style w:type="character" w:styleId="981">
    <w:name w:val="page number"/>
    <w:uiPriority w:val="0"/>
    <w:qFormat/>
  </w:style>
  <w:style w:type="character" w:styleId="982">
    <w:name w:val="Emphasis"/>
    <w:uiPriority w:val="20"/>
    <w:qFormat/>
    <w:rPr>
      <w:color w:val="cc0000"/>
    </w:rPr>
  </w:style>
  <w:style w:type="character" w:styleId="983">
    <w:name w:val="HTML Typewriter"/>
    <w:uiPriority w:val="0"/>
    <w:qFormat/>
    <w:rPr>
      <w:rFonts w:ascii="Courier New" w:hAnsi="Courier New" w:cs="Courier New"/>
      <w:sz w:val="20"/>
      <w:szCs w:val="20"/>
    </w:rPr>
  </w:style>
  <w:style w:type="character" w:styleId="984">
    <w:name w:val="Hyperlink"/>
    <w:uiPriority w:val="99"/>
    <w:unhideWhenUsed/>
    <w:qFormat/>
    <w:rPr>
      <w:color w:val="0000ff"/>
      <w:u w:val="single"/>
    </w:rPr>
  </w:style>
  <w:style w:type="character" w:styleId="985">
    <w:name w:val="annotation reference"/>
    <w:uiPriority w:val="99"/>
    <w:unhideWhenUsed/>
    <w:qFormat/>
    <w:rPr>
      <w:sz w:val="21"/>
      <w:szCs w:val="21"/>
    </w:rPr>
  </w:style>
  <w:style w:type="character" w:styleId="986">
    <w:name w:val="HTML Cite"/>
    <w:uiPriority w:val="99"/>
    <w:unhideWhenUsed/>
    <w:qFormat/>
    <w:rPr>
      <w:color w:val="008000"/>
    </w:rPr>
  </w:style>
  <w:style w:type="character" w:styleId="987" w:customStyle="1">
    <w:name w:val="标题 1 字符"/>
    <w:link w:val="946"/>
    <w:uiPriority w:val="0"/>
    <w:qFormat/>
    <w:rPr>
      <w:b/>
      <w:bCs/>
      <w:sz w:val="44"/>
      <w:szCs w:val="44"/>
    </w:rPr>
  </w:style>
  <w:style w:type="character" w:styleId="988" w:customStyle="1">
    <w:name w:val="标题 2 字符"/>
    <w:link w:val="947"/>
    <w:uiPriority w:val="0"/>
    <w:qFormat/>
    <w:rPr>
      <w:rFonts w:ascii="Arial" w:hAnsi="Arial" w:eastAsia="宋体" w:cs="Times New Roman"/>
      <w:b/>
      <w:bCs/>
      <w:sz w:val="28"/>
      <w:szCs w:val="36"/>
    </w:rPr>
  </w:style>
  <w:style w:type="character" w:styleId="989" w:customStyle="1">
    <w:name w:val="标题 3 字符"/>
    <w:link w:val="948"/>
    <w:uiPriority w:val="0"/>
    <w:qFormat/>
    <w:rPr>
      <w:rFonts w:ascii="Arial" w:hAnsi="Arial" w:eastAsia="黑体" w:cs="Times New Roman"/>
      <w:b/>
      <w:bCs/>
      <w:sz w:val="30"/>
      <w:szCs w:val="32"/>
    </w:rPr>
  </w:style>
  <w:style w:type="character" w:styleId="990" w:customStyle="1">
    <w:name w:val="标题 4 字符"/>
    <w:link w:val="949"/>
    <w:uiPriority w:val="0"/>
    <w:qFormat/>
    <w:rPr>
      <w:rFonts w:ascii="Arial" w:hAnsi="Arial" w:eastAsia="黑体" w:cs="Arial"/>
      <w:b/>
      <w:bCs/>
      <w:sz w:val="28"/>
      <w:szCs w:val="28"/>
    </w:rPr>
  </w:style>
  <w:style w:type="character" w:styleId="991" w:customStyle="1">
    <w:name w:val="正文缩进 字符"/>
    <w:link w:val="958"/>
    <w:uiPriority w:val="0"/>
    <w:qFormat/>
  </w:style>
  <w:style w:type="character" w:styleId="992" w:customStyle="1">
    <w:name w:val="标题 5 字符1"/>
    <w:link w:val="950"/>
    <w:uiPriority w:val="0"/>
    <w:qFormat/>
    <w:rPr>
      <w:rFonts w:ascii="Calibri" w:hAnsi="Calibri" w:eastAsia="宋体" w:cs="Times New Roman"/>
      <w:b/>
      <w:bCs/>
      <w:sz w:val="28"/>
      <w:szCs w:val="28"/>
    </w:rPr>
  </w:style>
  <w:style w:type="character" w:styleId="993" w:customStyle="1">
    <w:name w:val="标题 6 字符"/>
    <w:link w:val="951"/>
    <w:uiPriority w:val="0"/>
    <w:qFormat/>
    <w:rPr>
      <w:rFonts w:ascii="Cambria" w:hAnsi="Cambria" w:eastAsia="宋体" w:cs="Times New Roman"/>
      <w:b/>
      <w:bCs/>
      <w:sz w:val="24"/>
      <w:szCs w:val="24"/>
    </w:rPr>
  </w:style>
  <w:style w:type="character" w:styleId="994" w:customStyle="1">
    <w:name w:val="标题 7 字符"/>
    <w:link w:val="952"/>
    <w:uiPriority w:val="0"/>
    <w:qFormat/>
    <w:rPr>
      <w:rFonts w:ascii="Times New Roman" w:hAnsi="Times New Roman" w:eastAsia="宋体" w:cs="Times New Roman"/>
      <w:b/>
      <w:bCs/>
      <w:sz w:val="24"/>
      <w:szCs w:val="24"/>
    </w:rPr>
  </w:style>
  <w:style w:type="character" w:styleId="995" w:customStyle="1">
    <w:name w:val="标题 8 字符"/>
    <w:link w:val="953"/>
    <w:uiPriority w:val="0"/>
    <w:qFormat/>
    <w:rPr>
      <w:rFonts w:ascii="Cambria" w:hAnsi="Cambria" w:eastAsia="宋体" w:cs="Times New Roman"/>
      <w:sz w:val="24"/>
      <w:szCs w:val="24"/>
    </w:rPr>
  </w:style>
  <w:style w:type="character" w:styleId="996" w:customStyle="1">
    <w:name w:val="标题 9 字符"/>
    <w:link w:val="954"/>
    <w:uiPriority w:val="0"/>
    <w:qFormat/>
    <w:rPr>
      <w:rFonts w:ascii="Cambria" w:hAnsi="Cambria" w:eastAsia="宋体" w:cs="Times New Roman"/>
      <w:sz w:val="20"/>
      <w:szCs w:val="21"/>
    </w:rPr>
  </w:style>
  <w:style w:type="character" w:styleId="997" w:customStyle="1">
    <w:name w:val="批注文字 字符"/>
    <w:link w:val="959"/>
    <w:uiPriority w:val="99"/>
    <w:qFormat/>
    <w:rPr>
      <w:rFonts w:ascii="Times New Roman" w:hAnsi="Times New Roman" w:eastAsia="宋体" w:cs="Times New Roman"/>
      <w:szCs w:val="24"/>
    </w:rPr>
  </w:style>
  <w:style w:type="character" w:styleId="998" w:customStyle="1">
    <w:name w:val="正文文本 字符"/>
    <w:link w:val="960"/>
    <w:uiPriority w:val="0"/>
    <w:qFormat/>
    <w:rPr>
      <w:rFonts w:ascii="楷体_GB2312" w:hAnsi="Arial" w:eastAsia="楷体_GB2312" w:cs="Times New Roman"/>
      <w:sz w:val="28"/>
      <w:szCs w:val="28"/>
    </w:rPr>
  </w:style>
  <w:style w:type="character" w:styleId="999" w:customStyle="1">
    <w:name w:val="正文文本缩进 字符"/>
    <w:link w:val="961"/>
    <w:uiPriority w:val="0"/>
    <w:qFormat/>
    <w:rPr>
      <w:rFonts w:ascii="Times New Roman" w:hAnsi="Times New Roman"/>
      <w:szCs w:val="24"/>
    </w:rPr>
  </w:style>
  <w:style w:type="character" w:styleId="1000" w:customStyle="1">
    <w:name w:val="纯文本 字符"/>
    <w:link w:val="965"/>
    <w:uiPriority w:val="0"/>
    <w:qFormat/>
    <w:rPr>
      <w:rFonts w:ascii="宋体" w:hAnsi="Courier New" w:eastAsia="宋体" w:cs="Times New Roman"/>
      <w:szCs w:val="21"/>
    </w:rPr>
  </w:style>
  <w:style w:type="character" w:styleId="1001" w:customStyle="1">
    <w:name w:val="正文文本缩进 2 字符"/>
    <w:link w:val="967"/>
    <w:uiPriority w:val="0"/>
    <w:qFormat/>
    <w:rPr>
      <w:rFonts w:ascii="楷体_GB2312" w:hAnsi="Times New Roman" w:eastAsia="楷体_GB2312"/>
      <w:b/>
      <w:bCs/>
      <w:sz w:val="28"/>
      <w:szCs w:val="24"/>
    </w:rPr>
  </w:style>
  <w:style w:type="character" w:styleId="1002" w:customStyle="1">
    <w:name w:val="批注框文本 字符"/>
    <w:link w:val="968"/>
    <w:uiPriority w:val="0"/>
    <w:qFormat/>
    <w:rPr>
      <w:sz w:val="18"/>
      <w:szCs w:val="18"/>
    </w:rPr>
  </w:style>
  <w:style w:type="character" w:styleId="1003" w:customStyle="1">
    <w:name w:val="页脚 字符"/>
    <w:link w:val="969"/>
    <w:uiPriority w:val="0"/>
    <w:qFormat/>
    <w:rPr>
      <w:rFonts w:ascii="Times New Roman" w:hAnsi="Times New Roman" w:eastAsia="宋体" w:cs="Times New Roman"/>
      <w:sz w:val="18"/>
      <w:szCs w:val="18"/>
    </w:rPr>
  </w:style>
  <w:style w:type="character" w:styleId="1004" w:customStyle="1">
    <w:name w:val="页眉 字符"/>
    <w:link w:val="970"/>
    <w:uiPriority w:val="0"/>
    <w:qFormat/>
    <w:rPr>
      <w:rFonts w:ascii="Times New Roman" w:hAnsi="Times New Roman" w:eastAsia="宋体" w:cs="Times New Roman"/>
      <w:sz w:val="18"/>
      <w:szCs w:val="18"/>
    </w:rPr>
  </w:style>
  <w:style w:type="character" w:styleId="1005" w:customStyle="1">
    <w:name w:val="批注主题 字符"/>
    <w:link w:val="977"/>
    <w:uiPriority w:val="99"/>
    <w:qFormat/>
    <w:rPr>
      <w:b/>
      <w:bCs/>
    </w:rPr>
  </w:style>
  <w:style w:type="paragraph" w:styleId="1006" w:customStyle="1">
    <w:name w:val="BodyText1I2"/>
    <w:basedOn w:val="1007"/>
    <w:next w:val="1008"/>
    <w:uiPriority w:val="0"/>
    <w:qFormat/>
    <w:pPr>
      <w:ind w:firstLine="420"/>
    </w:pPr>
  </w:style>
  <w:style w:type="paragraph" w:styleId="1007" w:customStyle="1">
    <w:name w:val="BodyTextIndent"/>
    <w:basedOn w:val="945"/>
    <w:next w:val="945"/>
    <w:uiPriority w:val="0"/>
    <w:qFormat/>
    <w:pPr>
      <w:ind w:left="420"/>
      <w:spacing w:after="120"/>
    </w:pPr>
    <w:rPr>
      <w:szCs w:val="24"/>
    </w:rPr>
  </w:style>
  <w:style w:type="paragraph" w:styleId="1008" w:customStyle="1">
    <w:name w:val="BodyText1I"/>
    <w:basedOn w:val="1009"/>
    <w:uiPriority w:val="0"/>
    <w:qFormat/>
    <w:pPr>
      <w:ind w:firstLine="420"/>
    </w:pPr>
  </w:style>
  <w:style w:type="paragraph" w:styleId="1009" w:customStyle="1">
    <w:name w:val="BodyText"/>
    <w:basedOn w:val="945"/>
    <w:uiPriority w:val="0"/>
    <w:qFormat/>
    <w:pPr>
      <w:spacing w:after="120"/>
    </w:pPr>
    <w:rPr>
      <w:rFonts w:ascii="Calibri"/>
    </w:rPr>
  </w:style>
  <w:style w:type="character" w:styleId="1010" w:customStyle="1">
    <w:name w:val="15"/>
    <w:uiPriority w:val="0"/>
    <w:qFormat/>
    <w:rPr>
      <w:rFonts w:hint="eastAsia" w:ascii="宋体" w:hAnsi="宋体" w:eastAsia="宋体"/>
      <w:color w:val="000000"/>
      <w:sz w:val="18"/>
      <w:szCs w:val="18"/>
    </w:rPr>
  </w:style>
  <w:style w:type="character" w:styleId="1011" w:customStyle="1">
    <w:name w:val="列出段落 Char"/>
    <w:link w:val="1012"/>
    <w:uiPriority w:val="0"/>
    <w:qFormat/>
    <w:rPr>
      <w:rFonts w:ascii="Calibri" w:hAnsi="Calibri" w:eastAsia="宋体" w:cs="Times New Roman"/>
    </w:rPr>
  </w:style>
  <w:style w:type="paragraph" w:styleId="1012" w:customStyle="1">
    <w:name w:val="列出段落1"/>
    <w:basedOn w:val="945"/>
    <w:link w:val="1011"/>
    <w:uiPriority w:val="0"/>
    <w:qFormat/>
    <w:pPr>
      <w:ind w:firstLine="200"/>
    </w:pPr>
    <w:rPr>
      <w:rFonts w:ascii="Calibri" w:hAnsi="Calibri"/>
      <w:sz w:val="20"/>
      <w:szCs w:val="20"/>
    </w:rPr>
  </w:style>
  <w:style w:type="character" w:styleId="1013" w:customStyle="1">
    <w:name w:val="无间隔 Char"/>
    <w:link w:val="1014"/>
    <w:uiPriority w:val="0"/>
    <w:qFormat/>
    <w:rPr>
      <w:sz w:val="21"/>
      <w:szCs w:val="22"/>
      <w:lang w:val="en-US" w:eastAsia="zh-CN" w:bidi="ar-SA"/>
    </w:rPr>
  </w:style>
  <w:style w:type="paragraph" w:styleId="1014" w:customStyle="1">
    <w:name w:val="msonospacing"/>
    <w:link w:val="1013"/>
    <w:uiPriority w:val="0"/>
    <w:qFormat/>
    <w:pPr>
      <w:jc w:val="both"/>
      <w:widowControl w:val="off"/>
    </w:pPr>
    <w:rPr>
      <w:rFonts w:ascii="Times New Roman" w:hAnsi="Times New Roman" w:eastAsia="宋体" w:cs="Times New Roman"/>
      <w:sz w:val="21"/>
      <w:szCs w:val="22"/>
      <w:lang w:val="en-US" w:eastAsia="zh-CN" w:bidi="ar-SA"/>
    </w:rPr>
  </w:style>
  <w:style w:type="character" w:styleId="1015" w:customStyle="1">
    <w:name w:val="font21"/>
    <w:uiPriority w:val="0"/>
    <w:qFormat/>
    <w:rPr>
      <w:rFonts w:hint="eastAsia" w:ascii="宋体" w:hAnsi="宋体" w:eastAsia="宋体" w:cs="宋体"/>
      <w:color w:val="000000"/>
      <w:sz w:val="18"/>
      <w:szCs w:val="18"/>
      <w:u w:val="none"/>
    </w:rPr>
  </w:style>
  <w:style w:type="character" w:styleId="1016" w:customStyle="1">
    <w:name w:val="表格样式居左 Char"/>
    <w:link w:val="1017"/>
    <w:uiPriority w:val="0"/>
    <w:qFormat/>
    <w:rPr>
      <w:rFonts w:eastAsia="仿宋_GB2312"/>
      <w:bCs/>
      <w:color w:val="000000"/>
      <w:sz w:val="21"/>
      <w:szCs w:val="44"/>
      <w:lang w:val="en-US" w:eastAsia="zh-CN" w:bidi="ar-SA"/>
    </w:rPr>
  </w:style>
  <w:style w:type="paragraph" w:styleId="1017" w:customStyle="1">
    <w:name w:val="表格样式居左"/>
    <w:link w:val="1016"/>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18" w:customStyle="1">
    <w:name w:val="Table Text Char1"/>
    <w:link w:val="1019"/>
    <w:uiPriority w:val="0"/>
    <w:qFormat/>
    <w:rPr>
      <w:rFonts w:ascii="Arial" w:hAnsi="Arial" w:cs="Arial"/>
      <w:sz w:val="18"/>
      <w:szCs w:val="24"/>
    </w:rPr>
  </w:style>
  <w:style w:type="paragraph" w:styleId="1019" w:customStyle="1">
    <w:name w:val="Table Text"/>
    <w:basedOn w:val="945"/>
    <w:link w:val="1018"/>
    <w:uiPriority w:val="0"/>
    <w:qFormat/>
    <w:pPr>
      <w:spacing w:before="80" w:after="80"/>
      <w:widowControl/>
      <w:tabs>
        <w:tab w:val="decimal" w:pos="0" w:leader="none"/>
      </w:tabs>
    </w:pPr>
    <w:rPr>
      <w:rFonts w:ascii="Arial" w:hAnsi="Arial"/>
      <w:sz w:val="18"/>
      <w:szCs w:val="24"/>
    </w:rPr>
  </w:style>
  <w:style w:type="character" w:styleId="1020" w:customStyle="1">
    <w:name w:val="项目排列 Char"/>
    <w:link w:val="1021"/>
    <w:uiPriority w:val="0"/>
    <w:qFormat/>
    <w:rPr>
      <w:sz w:val="24"/>
      <w:szCs w:val="24"/>
    </w:rPr>
  </w:style>
  <w:style w:type="paragraph" w:styleId="1021" w:customStyle="1">
    <w:name w:val="项目排列"/>
    <w:basedOn w:val="945"/>
    <w:link w:val="1020"/>
    <w:uiPriority w:val="0"/>
    <w:qFormat/>
    <w:pPr>
      <w:numPr>
        <w:ilvl w:val="0"/>
        <w:numId w:val="3"/>
      </w:numPr>
      <w:spacing w:before="156" w:after="156" w:line="300" w:lineRule="auto"/>
      <w:tabs>
        <w:tab w:val="left" w:pos="900" w:leader="none"/>
      </w:tabs>
    </w:pPr>
    <w:rPr>
      <w:sz w:val="24"/>
      <w:szCs w:val="24"/>
    </w:rPr>
  </w:style>
  <w:style w:type="character" w:styleId="1022" w:customStyle="1">
    <w:name w:val="c-icon28"/>
    <w:uiPriority w:val="0"/>
    <w:qFormat/>
  </w:style>
  <w:style w:type="character" w:styleId="1023" w:customStyle="1">
    <w:name w:val="c-icon14"/>
    <w:uiPriority w:val="0"/>
    <w:qFormat/>
  </w:style>
  <w:style w:type="character" w:styleId="1024" w:customStyle="1">
    <w:name w:val="Char Char8"/>
    <w:uiPriority w:val="0"/>
    <w:qFormat/>
    <w:rPr>
      <w:rFonts w:ascii="Calibri" w:hAnsi="Calibri" w:eastAsia="宋体" w:cs="Times New Roman"/>
      <w:b/>
      <w:bCs/>
      <w:sz w:val="28"/>
      <w:szCs w:val="28"/>
    </w:rPr>
  </w:style>
  <w:style w:type="character" w:styleId="1025" w:customStyle="1">
    <w:name w:val="Char Char12"/>
    <w:uiPriority w:val="0"/>
    <w:qFormat/>
    <w:rPr>
      <w:b/>
      <w:bCs/>
      <w:sz w:val="44"/>
      <w:szCs w:val="44"/>
    </w:rPr>
  </w:style>
  <w:style w:type="character" w:styleId="1026" w:customStyle="1">
    <w:name w:val="正文文本缩进 Char1"/>
    <w:uiPriority w:val="99"/>
    <w:semiHidden/>
    <w:qFormat/>
  </w:style>
  <w:style w:type="character" w:styleId="1027" w:customStyle="1">
    <w:name w:val="apple-style-span"/>
    <w:uiPriority w:val="0"/>
    <w:qFormat/>
  </w:style>
  <w:style w:type="character" w:styleId="1028" w:customStyle="1">
    <w:name w:val="正文文本缩进 2 Char1"/>
    <w:uiPriority w:val="99"/>
    <w:semiHidden/>
    <w:qFormat/>
  </w:style>
  <w:style w:type="character" w:styleId="1029" w:customStyle="1">
    <w:name w:val="批注框文本 Char1"/>
    <w:uiPriority w:val="99"/>
    <w:semiHidden/>
    <w:qFormat/>
    <w:rPr>
      <w:rFonts w:ascii="Times New Roman" w:hAnsi="Times New Roman"/>
      <w:sz w:val="18"/>
      <w:szCs w:val="18"/>
    </w:rPr>
  </w:style>
  <w:style w:type="character" w:styleId="1030" w:customStyle="1">
    <w:name w:val="表格文字 Char"/>
    <w:link w:val="1031"/>
    <w:uiPriority w:val="0"/>
    <w:qFormat/>
    <w:rPr>
      <w:szCs w:val="21"/>
    </w:rPr>
  </w:style>
  <w:style w:type="paragraph" w:styleId="1031" w:customStyle="1">
    <w:name w:val="表格文字"/>
    <w:basedOn w:val="945"/>
    <w:link w:val="1030"/>
    <w:uiPriority w:val="0"/>
    <w:qFormat/>
    <w:pPr>
      <w:jc w:val="left"/>
    </w:pPr>
    <w:rPr>
      <w:sz w:val="20"/>
      <w:szCs w:val="21"/>
    </w:rPr>
  </w:style>
  <w:style w:type="character" w:styleId="1032" w:customStyle="1">
    <w:name w:val="Char Char10"/>
    <w:uiPriority w:val="0"/>
    <w:qFormat/>
    <w:rPr>
      <w:rFonts w:ascii="Arial" w:hAnsi="Arial" w:eastAsia="黑体" w:cs="Times New Roman"/>
      <w:b/>
      <w:bCs/>
      <w:sz w:val="30"/>
      <w:szCs w:val="32"/>
    </w:rPr>
  </w:style>
  <w:style w:type="character" w:styleId="1033" w:customStyle="1">
    <w:name w:val="font91"/>
    <w:uiPriority w:val="0"/>
    <w:qFormat/>
    <w:rPr>
      <w:rFonts w:hint="eastAsia" w:ascii="宋体" w:hAnsi="宋体" w:eastAsia="宋体" w:cs="宋体"/>
      <w:color w:val="000000"/>
      <w:sz w:val="16"/>
      <w:szCs w:val="16"/>
      <w:u w:val="none"/>
    </w:rPr>
  </w:style>
  <w:style w:type="character" w:styleId="1034" w:customStyle="1">
    <w:name w:val="font11"/>
    <w:uiPriority w:val="0"/>
    <w:qFormat/>
    <w:rPr>
      <w:rFonts w:hint="eastAsia" w:ascii="宋体" w:hAnsi="宋体" w:eastAsia="宋体" w:cs="宋体"/>
      <w:color w:val="000000"/>
      <w:sz w:val="20"/>
      <w:szCs w:val="20"/>
      <w:u w:val="none"/>
    </w:rPr>
  </w:style>
  <w:style w:type="character" w:styleId="1035" w:customStyle="1">
    <w:name w:val="hover25"/>
    <w:uiPriority w:val="0"/>
    <w:qFormat/>
  </w:style>
  <w:style w:type="character" w:styleId="1036" w:customStyle="1">
    <w:name w:val="标题 5 字符"/>
    <w:uiPriority w:val="0"/>
    <w:semiHidden/>
    <w:qFormat/>
    <w:rPr>
      <w:rFonts w:ascii="Calibri" w:hAnsi="Calibri"/>
      <w:b/>
      <w:bCs/>
      <w:sz w:val="28"/>
      <w:szCs w:val="28"/>
    </w:rPr>
  </w:style>
  <w:style w:type="character" w:styleId="1037" w:customStyle="1">
    <w:name w:val="批注主题 Char1"/>
    <w:uiPriority w:val="99"/>
    <w:semiHidden/>
    <w:qFormat/>
    <w:rPr>
      <w:rFonts w:ascii="Times New Roman" w:hAnsi="Times New Roman" w:eastAsia="宋体" w:cs="Times New Roman"/>
      <w:b/>
      <w:bCs/>
      <w:szCs w:val="24"/>
    </w:rPr>
  </w:style>
  <w:style w:type="character" w:styleId="1038" w:customStyle="1">
    <w:name w:val="Char Char9"/>
    <w:uiPriority w:val="0"/>
    <w:qFormat/>
    <w:rPr>
      <w:rFonts w:ascii="等线 Light" w:hAnsi="等线 Light" w:eastAsia="等线 Light" w:cs="Times New Roman"/>
      <w:b/>
      <w:bCs/>
      <w:sz w:val="28"/>
      <w:szCs w:val="28"/>
    </w:rPr>
  </w:style>
  <w:style w:type="character" w:styleId="1039" w:customStyle="1">
    <w:name w:val="hover22"/>
    <w:uiPriority w:val="0"/>
    <w:qFormat/>
  </w:style>
  <w:style w:type="character" w:styleId="1040" w:customStyle="1">
    <w:name w:val="hover23"/>
    <w:uiPriority w:val="0"/>
    <w:qFormat/>
    <w:rPr>
      <w:color w:val="315efb"/>
    </w:rPr>
  </w:style>
  <w:style w:type="character" w:styleId="1041" w:customStyle="1">
    <w:name w:val="段落 Char1"/>
    <w:link w:val="1042"/>
    <w:uiPriority w:val="0"/>
    <w:qFormat/>
    <w:rPr>
      <w:rFonts w:eastAsia="仿宋_GB2312"/>
      <w:sz w:val="32"/>
      <w:szCs w:val="32"/>
      <w:lang w:val="en-US" w:eastAsia="zh-CN" w:bidi="ar-SA"/>
    </w:rPr>
  </w:style>
  <w:style w:type="paragraph" w:styleId="1042" w:customStyle="1">
    <w:name w:val="段落"/>
    <w:link w:val="1041"/>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043" w:customStyle="1">
    <w:name w:val="一级缩进 Char"/>
    <w:link w:val="1044"/>
    <w:uiPriority w:val="0"/>
    <w:qFormat/>
    <w:rPr>
      <w:rFonts w:eastAsia="仿宋_GB2312"/>
      <w:sz w:val="32"/>
      <w:szCs w:val="32"/>
      <w:lang w:val="en-US" w:eastAsia="zh-CN" w:bidi="ar-SA"/>
    </w:rPr>
  </w:style>
  <w:style w:type="paragraph" w:styleId="1044" w:customStyle="1">
    <w:name w:val="一级缩进"/>
    <w:link w:val="1043"/>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045" w:customStyle="1">
    <w:name w:val="正文缩进 Char1"/>
    <w:uiPriority w:val="0"/>
    <w:qFormat/>
    <w:rPr>
      <w:rFonts w:ascii="Times New Roman" w:hAnsi="Times New Roman" w:eastAsia="宋体" w:cs="Times New Roman"/>
      <w:szCs w:val="20"/>
    </w:rPr>
  </w:style>
  <w:style w:type="character" w:styleId="1046" w:customStyle="1">
    <w:name w:val="表格样式居中 Char"/>
    <w:link w:val="1047"/>
    <w:uiPriority w:val="0"/>
    <w:qFormat/>
    <w:rPr>
      <w:rFonts w:ascii="宋体" w:hAnsi="宋体"/>
      <w:bCs/>
      <w:sz w:val="21"/>
      <w:szCs w:val="21"/>
      <w:lang w:val="zh-CN" w:eastAsia="zh-CN" w:bidi="ar-SA"/>
    </w:rPr>
  </w:style>
  <w:style w:type="paragraph" w:styleId="1047" w:customStyle="1">
    <w:name w:val="表格样式居中"/>
    <w:link w:val="1046"/>
    <w:uiPriority w:val="0"/>
    <w:qFormat/>
    <w:pPr>
      <w:jc w:val="center"/>
      <w:spacing w:line="360" w:lineRule="auto"/>
    </w:pPr>
    <w:rPr>
      <w:rFonts w:ascii="宋体" w:hAnsi="宋体" w:eastAsia="宋体" w:cs="Times New Roman"/>
      <w:bCs/>
      <w:sz w:val="21"/>
      <w:szCs w:val="21"/>
      <w:lang w:val="zh-CN" w:eastAsia="zh-CN" w:bidi="ar-SA"/>
    </w:rPr>
  </w:style>
  <w:style w:type="character" w:styleId="1048" w:customStyle="1">
    <w:name w:val="hover24"/>
    <w:uiPriority w:val="0"/>
    <w:qFormat/>
    <w:rPr>
      <w:color w:val="315efb"/>
    </w:rPr>
  </w:style>
  <w:style w:type="character" w:styleId="1049" w:customStyle="1">
    <w:name w:val="批注文字 Char"/>
    <w:uiPriority w:val="99"/>
    <w:qFormat/>
    <w:rPr>
      <w:sz w:val="21"/>
      <w:szCs w:val="22"/>
    </w:rPr>
  </w:style>
  <w:style w:type="character" w:styleId="1050" w:customStyle="1">
    <w:name w:val="font101"/>
    <w:uiPriority w:val="0"/>
    <w:qFormat/>
    <w:rPr>
      <w:rFonts w:hint="eastAsia" w:ascii="宋体" w:hAnsi="宋体" w:eastAsia="宋体" w:cs="宋体"/>
      <w:b/>
      <w:color w:val="000000"/>
      <w:sz w:val="18"/>
      <w:szCs w:val="18"/>
      <w:u w:val="none"/>
    </w:rPr>
  </w:style>
  <w:style w:type="character" w:styleId="1051" w:customStyle="1">
    <w:name w:val="font51"/>
    <w:uiPriority w:val="0"/>
    <w:qFormat/>
    <w:rPr>
      <w:rFonts w:hint="eastAsia" w:ascii="宋体" w:hAnsi="宋体" w:eastAsia="宋体" w:cs="宋体"/>
      <w:b/>
      <w:color w:val="000000"/>
      <w:sz w:val="20"/>
      <w:szCs w:val="20"/>
      <w:u w:val="none"/>
    </w:rPr>
  </w:style>
  <w:style w:type="character" w:styleId="1052" w:customStyle="1">
    <w:name w:val="Char Char11"/>
    <w:uiPriority w:val="0"/>
    <w:qFormat/>
    <w:rPr>
      <w:rFonts w:ascii="Arial" w:hAnsi="Arial" w:eastAsia="宋体" w:cs="Times New Roman"/>
      <w:b/>
      <w:bCs/>
      <w:sz w:val="28"/>
      <w:szCs w:val="36"/>
    </w:rPr>
  </w:style>
  <w:style w:type="paragraph" w:styleId="1053" w:customStyle="1">
    <w:name w:val="Default Paragraph Font Para Char"/>
    <w:basedOn w:val="945"/>
    <w:uiPriority w:val="0"/>
    <w:qFormat/>
    <w:pPr>
      <w:jc w:val="left"/>
      <w:spacing w:before="156" w:after="160" w:line="240" w:lineRule="exact"/>
      <w:widowControl/>
    </w:pPr>
    <w:rPr>
      <w:rFonts w:ascii="Verdana" w:hAnsi="Verdana"/>
      <w:sz w:val="20"/>
      <w:szCs w:val="20"/>
      <w:lang w:eastAsia="en-US"/>
    </w:rPr>
  </w:style>
  <w:style w:type="paragraph" w:styleId="1054" w:customStyle="1">
    <w:name w:val="无间隔1"/>
    <w:uiPriority w:val="1"/>
    <w:qFormat/>
    <w:pPr>
      <w:jc w:val="both"/>
      <w:widowControl w:val="off"/>
    </w:pPr>
    <w:rPr>
      <w:rFonts w:ascii="Times New Roman" w:hAnsi="Times New Roman" w:eastAsia="宋体" w:cs="Times New Roman"/>
      <w:sz w:val="21"/>
      <w:szCs w:val="22"/>
      <w:lang w:val="en-US" w:eastAsia="zh-CN" w:bidi="ar-SA"/>
    </w:rPr>
  </w:style>
  <w:style w:type="paragraph" w:styleId="1055" w:customStyle="1">
    <w:name w:val="列表段落1"/>
    <w:basedOn w:val="945"/>
    <w:uiPriority w:val="34"/>
    <w:qFormat/>
    <w:pPr>
      <w:ind w:firstLine="420"/>
    </w:pPr>
    <w:rPr>
      <w:rFonts w:ascii="Calibri" w:hAnsi="Calibri"/>
    </w:rPr>
  </w:style>
  <w:style w:type="paragraph" w:styleId="1056" w:customStyle="1">
    <w:name w:val="彩色列表 - 强调文字颜色 11"/>
    <w:basedOn w:val="945"/>
    <w:uiPriority w:val="34"/>
    <w:qFormat/>
    <w:pPr>
      <w:ind w:firstLine="420"/>
      <w:spacing w:line="360" w:lineRule="auto"/>
    </w:pPr>
    <w:rPr>
      <w:sz w:val="24"/>
    </w:rPr>
  </w:style>
  <w:style w:type="paragraph" w:styleId="1057" w:customStyle="1">
    <w:name w:val="无间隔2"/>
    <w:uiPriority w:val="1"/>
    <w:qFormat/>
    <w:rPr>
      <w:rFonts w:ascii="Tahoma" w:hAnsi="Tahoma" w:eastAsia="微软雅黑" w:cs="Times New Roman"/>
      <w:sz w:val="22"/>
      <w:szCs w:val="22"/>
      <w:lang w:val="en-US" w:eastAsia="zh-CN" w:bidi="ar-SA"/>
    </w:rPr>
  </w:style>
  <w:style w:type="paragraph" w:styleId="1058" w:customStyle="1">
    <w:name w:val="正文 A"/>
    <w:next w:val="1059"/>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59" w:customStyle="1">
    <w:name w:val="段"/>
    <w:next w:val="1058"/>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1060"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061" w:customStyle="1">
    <w:name w:val="正文空2格  1."/>
    <w:basedOn w:val="945"/>
    <w:uiPriority w:val="0"/>
    <w:qFormat/>
    <w:pPr>
      <w:ind w:firstLine="480"/>
    </w:pPr>
    <w:rPr>
      <w:rFonts w:cs="宋体"/>
      <w:sz w:val="28"/>
      <w:szCs w:val="20"/>
    </w:rPr>
  </w:style>
  <w:style w:type="paragraph" w:styleId="1062">
    <w:name w:val="List Paragraph"/>
    <w:basedOn w:val="945"/>
    <w:uiPriority w:val="34"/>
    <w:qFormat/>
    <w:pPr>
      <w:ind w:left="720"/>
    </w:pPr>
    <w:rPr>
      <w:szCs w:val="21"/>
    </w:rPr>
  </w:style>
  <w:style w:type="paragraph" w:styleId="1063" w:customStyle="1">
    <w:name w:val="二级目录"/>
    <w:next w:val="945"/>
    <w:uiPriority w:val="0"/>
    <w:qFormat/>
    <w:pPr>
      <w:numPr>
        <w:ilvl w:val="0"/>
        <w:numId w:val="4"/>
      </w:numPr>
      <w:outlineLvl w:val="1"/>
    </w:pPr>
    <w:rPr>
      <w:rFonts w:ascii="Times New Roman" w:hAnsi="Times New Roman" w:eastAsia="宋体" w:cs="Times New Roman"/>
      <w:b/>
      <w:sz w:val="30"/>
      <w:szCs w:val="28"/>
      <w:lang w:val="en-US" w:eastAsia="zh-CN" w:bidi="ar-SA"/>
    </w:rPr>
  </w:style>
  <w:style w:type="paragraph" w:styleId="1064" w:customStyle="1">
    <w:name w:val="文档标题"/>
    <w:basedOn w:val="945"/>
    <w:uiPriority w:val="0"/>
    <w:qFormat/>
    <w:pPr>
      <w:jc w:val="center"/>
      <w:spacing w:before="312" w:after="312" w:line="300" w:lineRule="auto"/>
    </w:pPr>
    <w:rPr>
      <w:rFonts w:ascii="Arial" w:hAnsi="Arial" w:eastAsia="黑体" w:cs="Arial"/>
      <w:b/>
      <w:sz w:val="48"/>
      <w:szCs w:val="32"/>
    </w:rPr>
  </w:style>
  <w:style w:type="paragraph" w:styleId="1065" w:customStyle="1">
    <w:name w:val="普通正文"/>
    <w:basedOn w:val="945"/>
    <w:uiPriority w:val="0"/>
    <w:qFormat/>
    <w:pPr>
      <w:ind w:firstLine="480"/>
      <w:jc w:val="left"/>
      <w:spacing w:before="120" w:after="120" w:line="360" w:lineRule="auto"/>
    </w:pPr>
    <w:rPr>
      <w:rFonts w:ascii="Arial" w:hAnsi="Arial"/>
      <w:sz w:val="24"/>
      <w:szCs w:val="24"/>
    </w:rPr>
  </w:style>
  <w:style w:type="paragraph" w:styleId="1066" w:customStyle="1">
    <w:name w:val="（1）"/>
    <w:basedOn w:val="945"/>
    <w:uiPriority w:val="0"/>
    <w:qFormat/>
    <w:pPr>
      <w:ind w:firstLine="480"/>
      <w:spacing w:line="360" w:lineRule="auto"/>
    </w:pPr>
    <w:rPr>
      <w:rFonts w:ascii="宋体" w:hAnsi="宋体" w:cs="宋体"/>
      <w:sz w:val="24"/>
      <w:szCs w:val="24"/>
    </w:rPr>
  </w:style>
  <w:style w:type="paragraph" w:styleId="1067" w:customStyle="1">
    <w:name w:val="无间隔21"/>
    <w:uiPriority w:val="0"/>
    <w:qFormat/>
    <w:pPr>
      <w:jc w:val="both"/>
      <w:widowControl w:val="off"/>
    </w:pPr>
    <w:rPr>
      <w:rFonts w:ascii="Times New Roman" w:hAnsi="Times New Roman" w:eastAsia="宋体" w:cs="Times New Roman"/>
      <w:sz w:val="21"/>
      <w:szCs w:val="22"/>
      <w:lang w:val="en-US" w:eastAsia="zh-CN" w:bidi="ar-SA"/>
    </w:rPr>
  </w:style>
  <w:style w:type="paragraph" w:styleId="1068" w:customStyle="1">
    <w:name w:val="Default"/>
    <w:next w:val="945"/>
    <w:uiPriority w:val="0"/>
    <w:qFormat/>
    <w:pPr>
      <w:widowControl w:val="off"/>
    </w:pPr>
    <w:rPr>
      <w:rFonts w:ascii="微软雅黑" w:hAnsi="Times New Roman" w:eastAsia="微软雅黑" w:cs="微软雅黑"/>
      <w:color w:val="000000"/>
      <w:sz w:val="24"/>
      <w:szCs w:val="24"/>
      <w:lang w:val="en-US" w:eastAsia="zh-CN" w:bidi="ar-SA"/>
    </w:rPr>
  </w:style>
  <w:style w:type="paragraph" w:styleId="1069" w:customStyle="1">
    <w:name w:val="正文1"/>
    <w:uiPriority w:val="0"/>
    <w:qFormat/>
    <w:pPr>
      <w:jc w:val="both"/>
      <w:widowControl w:val="off"/>
    </w:pPr>
    <w:rPr>
      <w:rFonts w:ascii="Times New Roman" w:hAnsi="Times New Roman" w:eastAsia="宋体" w:cs="Times New Roman"/>
      <w:sz w:val="21"/>
      <w:szCs w:val="24"/>
      <w:lang w:val="en-US" w:eastAsia="zh-CN" w:bidi="ar-SA"/>
    </w:rPr>
  </w:style>
  <w:style w:type="paragraph" w:styleId="1070" w:customStyle="1">
    <w:name w:val="表格正文"/>
    <w:basedOn w:val="945"/>
    <w:uiPriority w:val="0"/>
    <w:qFormat/>
    <w:pPr>
      <w:spacing w:line="360" w:lineRule="atLeast"/>
    </w:pPr>
  </w:style>
  <w:style w:type="paragraph" w:styleId="1071" w:customStyle="1">
    <w:name w:val="paragraph"/>
    <w:basedOn w:val="945"/>
    <w:uiPriority w:val="0"/>
    <w:qFormat/>
    <w:pPr>
      <w:jc w:val="left"/>
      <w:spacing w:before="100" w:beforeAutospacing="1" w:after="100" w:afterAutospacing="1"/>
      <w:widowControl/>
    </w:pPr>
    <w:rPr>
      <w:rFonts w:ascii="宋体" w:hAnsi="宋体" w:cs="宋体"/>
      <w:sz w:val="24"/>
      <w:szCs w:val="24"/>
    </w:rPr>
  </w:style>
  <w:style w:type="paragraph" w:styleId="1072" w:customStyle="1">
    <w:name w:val="标准正文"/>
    <w:uiPriority w:val="0"/>
    <w:qFormat/>
    <w:pPr>
      <w:ind w:firstLine="200"/>
      <w:spacing w:before="156" w:line="360" w:lineRule="auto"/>
    </w:pPr>
    <w:rPr>
      <w:rFonts w:ascii="Times New Roman" w:hAnsi="Times New Roman" w:eastAsia="宋体" w:cs="Times New Roman"/>
      <w:sz w:val="21"/>
      <w:szCs w:val="22"/>
      <w:lang w:val="en-US" w:eastAsia="zh-CN" w:bidi="ar-SA"/>
    </w:rPr>
  </w:style>
  <w:style w:type="paragraph" w:styleId="1073" w:customStyle="1">
    <w:name w:val="正文 1.1.1"/>
    <w:basedOn w:val="945"/>
    <w:next w:val="945"/>
    <w:uiPriority w:val="0"/>
    <w:qFormat/>
    <w:pPr>
      <w:numPr>
        <w:ilvl w:val="2"/>
        <w:numId w:val="5"/>
      </w:numPr>
      <w:outlineLvl w:val="2"/>
    </w:pPr>
    <w:rPr>
      <w:rFonts w:hAnsi="宋体"/>
      <w:color w:val="ff0000"/>
    </w:rPr>
  </w:style>
  <w:style w:type="paragraph" w:styleId="1074"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1075" w:customStyle="1">
    <w:name w:val="CD 正文"/>
    <w:basedOn w:val="945"/>
    <w:uiPriority w:val="0"/>
    <w:qFormat/>
    <w:pPr>
      <w:jc w:val="left"/>
    </w:pPr>
    <w:rPr>
      <w:rFonts w:ascii="Arial" w:hAnsi="Arial" w:eastAsia="微软雅黑" w:cs="Arial"/>
      <w:szCs w:val="21"/>
    </w:rPr>
  </w:style>
  <w:style w:type="paragraph" w:styleId="1076" w:customStyle="1">
    <w:name w:val="正文（缩进）"/>
    <w:basedOn w:val="945"/>
    <w:next w:val="1077"/>
    <w:uiPriority w:val="0"/>
    <w:qFormat/>
    <w:pPr>
      <w:ind w:firstLine="480"/>
    </w:pPr>
  </w:style>
  <w:style w:type="paragraph" w:styleId="1077" w:customStyle="1">
    <w:name w:val="Char Char Char Char Char Char Char Char Char"/>
    <w:basedOn w:val="945"/>
    <w:next w:val="1078"/>
    <w:uiPriority w:val="0"/>
    <w:qFormat/>
    <w:pPr>
      <w:ind w:left="360" w:firstLine="5784"/>
    </w:pPr>
  </w:style>
  <w:style w:type="paragraph" w:styleId="1078" w:customStyle="1">
    <w:name w:val="正文文本 21"/>
    <w:basedOn w:val="945"/>
    <w:next w:val="1079"/>
    <w:uiPriority w:val="0"/>
    <w:qFormat/>
    <w:pPr>
      <w:ind w:left="720" w:firstLine="5680"/>
      <w:widowControl/>
    </w:pPr>
  </w:style>
  <w:style w:type="paragraph" w:styleId="1079" w:customStyle="1">
    <w:name w:val="默认段落字体 Para Char Char Char Char Char Char Char"/>
    <w:basedOn w:val="945"/>
    <w:next w:val="1080"/>
    <w:uiPriority w:val="0"/>
    <w:qFormat/>
    <w:pPr>
      <w:ind w:firstLine="200"/>
    </w:pPr>
    <w:rPr>
      <w:rFonts w:cs="Arial"/>
    </w:rPr>
  </w:style>
  <w:style w:type="paragraph" w:styleId="1080" w:customStyle="1">
    <w:name w:val="样式 首行缩进:  2 字符"/>
    <w:basedOn w:val="945"/>
    <w:next w:val="1081"/>
    <w:uiPriority w:val="0"/>
    <w:qFormat/>
    <w:pPr>
      <w:ind w:left="480" w:firstLine="5856"/>
      <w:spacing w:line="360" w:lineRule="auto"/>
    </w:pPr>
  </w:style>
  <w:style w:type="paragraph" w:styleId="1081" w:customStyle="1">
    <w:name w:val="样式 段后: 0.25 行"/>
    <w:basedOn w:val="945"/>
    <w:next w:val="1082"/>
    <w:uiPriority w:val="0"/>
    <w:qFormat/>
    <w:pPr>
      <w:ind w:left="420" w:firstLine="5796"/>
      <w:spacing w:line="300" w:lineRule="auto"/>
      <w:widowControl/>
    </w:pPr>
  </w:style>
  <w:style w:type="paragraph" w:styleId="1082" w:customStyle="1">
    <w:name w:val="正文 New New New New New New New New New New New New New New"/>
    <w:next w:val="974"/>
    <w:uiPriority w:val="0"/>
    <w:qFormat/>
    <w:pPr>
      <w:ind w:firstLine="2048"/>
      <w:jc w:val="both"/>
      <w:widowControl w:val="off"/>
    </w:pPr>
    <w:rPr>
      <w:rFonts w:ascii="Calibri" w:hAnsi="Calibri" w:eastAsia="宋体" w:cs="Times New Roman"/>
      <w:lang w:val="en-US" w:eastAsia="zh-CN" w:bidi="ar-SA"/>
    </w:rPr>
  </w:style>
  <w:style w:type="paragraph" w:styleId="1083" w:customStyle="1">
    <w:name w:val="Table Paragraph"/>
    <w:basedOn w:val="945"/>
    <w:uiPriority w:val="1"/>
    <w:qFormat/>
    <w:rPr>
      <w:rFonts w:ascii="Noto Sans CJK JP Regular" w:hAnsi="Noto Sans CJK JP Regular" w:eastAsia="Noto Sans CJK JP Regular" w:cs="Noto Sans CJK JP Regular"/>
    </w:rPr>
  </w:style>
  <w:style w:type="paragraph" w:styleId="1084" w:customStyle="1">
    <w:name w:val="Char"/>
    <w:basedOn w:val="945"/>
    <w:uiPriority w:val="0"/>
    <w:qFormat/>
    <w:pPr>
      <w:ind w:firstLine="200"/>
      <w:tabs>
        <w:tab w:val="left" w:pos="360" w:leader="none"/>
      </w:tabs>
    </w:pPr>
    <w:rPr>
      <w:sz w:val="28"/>
      <w:szCs w:val="30"/>
    </w:rPr>
  </w:style>
  <w:style w:type="paragraph" w:styleId="1085" w:customStyle="1">
    <w:name w:val="_Style 2"/>
    <w:basedOn w:val="945"/>
    <w:uiPriority w:val="0"/>
    <w:qFormat/>
    <w:pPr>
      <w:ind w:firstLine="420"/>
    </w:pPr>
  </w:style>
  <w:style w:type="paragraph" w:styleId="1086" w:customStyle="1">
    <w:name w:val="p0"/>
    <w:basedOn w:val="945"/>
    <w:uiPriority w:val="0"/>
    <w:qFormat/>
    <w:pPr>
      <w:widowControl/>
    </w:pPr>
    <w:rPr>
      <w:szCs w:val="21"/>
    </w:rPr>
  </w:style>
  <w:style w:type="paragraph" w:styleId="1087" w:customStyle="1">
    <w:name w:val="正文缩进1"/>
    <w:basedOn w:val="945"/>
    <w:uiPriority w:val="0"/>
    <w:qFormat/>
    <w:pPr>
      <w:ind w:firstLine="420"/>
      <w:jc w:val="left"/>
      <w:spacing w:line="360" w:lineRule="auto"/>
      <w:widowControl/>
    </w:pPr>
    <w:rPr>
      <w:rFonts w:ascii="宋体"/>
      <w:sz w:val="20"/>
      <w:szCs w:val="20"/>
    </w:rPr>
  </w:style>
  <w:style w:type="paragraph" w:styleId="1088" w:customStyle="1">
    <w:name w:val="列出段落3"/>
    <w:basedOn w:val="945"/>
    <w:uiPriority w:val="0"/>
    <w:qFormat/>
    <w:pPr>
      <w:ind w:firstLine="420"/>
    </w:pPr>
    <w:rPr>
      <w:rFonts w:ascii="Cambria" w:hAnsi="Cambria"/>
      <w:sz w:val="24"/>
      <w:szCs w:val="20"/>
    </w:rPr>
  </w:style>
  <w:style w:type="paragraph" w:styleId="1089" w:customStyle="1">
    <w:name w:val="正文 1.1"/>
    <w:basedOn w:val="945"/>
    <w:next w:val="1073"/>
    <w:uiPriority w:val="0"/>
    <w:qFormat/>
    <w:pPr>
      <w:numPr>
        <w:ilvl w:val="1"/>
        <w:numId w:val="5"/>
      </w:numPr>
      <w:ind w:firstLine="550"/>
      <w:outlineLvl w:val="1"/>
    </w:pPr>
    <w:rPr>
      <w:rFonts w:ascii="仿宋" w:hAnsi="仿宋"/>
      <w:b/>
    </w:rPr>
  </w:style>
  <w:style w:type="paragraph" w:styleId="1090" w:customStyle="1">
    <w:name w:val="列出段落2"/>
    <w:basedOn w:val="945"/>
    <w:uiPriority w:val="0"/>
    <w:qFormat/>
    <w:pPr>
      <w:ind w:firstLine="420"/>
    </w:pPr>
    <w:rPr>
      <w:rFonts w:ascii="Calibri" w:hAnsi="Calibri"/>
      <w:lang w:val="zh-CN"/>
    </w:rPr>
  </w:style>
  <w:style w:type="paragraph" w:styleId="1091" w:customStyle="1">
    <w:name w:val="表 靠左"/>
    <w:basedOn w:val="945"/>
    <w:uiPriority w:val="0"/>
    <w:qFormat/>
    <w:pPr>
      <w:jc w:val="left"/>
      <w:spacing w:after="200"/>
      <w:widowControl/>
    </w:pPr>
    <w:rPr>
      <w:sz w:val="22"/>
    </w:rPr>
  </w:style>
  <w:style w:type="paragraph" w:styleId="1092" w:customStyle="1">
    <w:name w:val="List Paragraph1"/>
    <w:basedOn w:val="945"/>
    <w:uiPriority w:val="0"/>
    <w:qFormat/>
    <w:pPr>
      <w:ind w:firstLine="420"/>
    </w:pPr>
    <w:rPr>
      <w:szCs w:val="20"/>
    </w:rPr>
  </w:style>
  <w:style w:type="paragraph" w:styleId="1093" w:customStyle="1">
    <w:name w:val="纯文本1"/>
    <w:basedOn w:val="945"/>
    <w:uiPriority w:val="0"/>
    <w:qFormat/>
    <w:rPr>
      <w:rFonts w:ascii="宋体" w:hAnsi="Courier New"/>
      <w:sz w:val="20"/>
      <w:szCs w:val="21"/>
    </w:rPr>
  </w:style>
  <w:style w:type="character" w:styleId="1094" w:customStyle="1">
    <w:name w:val="font41"/>
    <w:uiPriority w:val="99"/>
    <w:qFormat/>
    <w:rPr>
      <w:rFonts w:ascii="font-weight : 400" w:hAnsi="font-weight : 400" w:cs="font-weight : 400"/>
      <w:color w:val="000000"/>
      <w:sz w:val="22"/>
      <w:szCs w:val="22"/>
      <w:u w:val="none"/>
    </w:rPr>
  </w:style>
  <w:style w:type="table" w:styleId="1095" w:customStyle="1">
    <w:name w:val="网格型1"/>
    <w:basedOn w:val="956"/>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6" w:customStyle="1">
    <w:name w:val="网格型2"/>
    <w:basedOn w:val="956"/>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7" w:customStyle="1">
    <w:name w:val="网格型3"/>
    <w:basedOn w:val="956"/>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98" w:customStyle="1">
    <w:name w:val="网格型4"/>
    <w:basedOn w:val="956"/>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9" w:customStyle="1">
    <w:name w:val="普通(网站)1"/>
    <w:basedOn w:val="945"/>
    <w:uiPriority w:val="0"/>
    <w:qFormat/>
    <w:rPr>
      <w:sz w:val="24"/>
    </w:rPr>
  </w:style>
  <w:style w:type="character" w:styleId="1100" w:customStyle="1">
    <w:name w:val="要点1"/>
    <w:uiPriority w:val="0"/>
    <w:qFormat/>
    <w:rPr>
      <w:rFonts w:ascii="Times New Roman" w:hAnsi="Times New Roman" w:eastAsia="宋体" w:cs="Times New Roman"/>
      <w:sz w:val="21"/>
      <w:szCs w:val="22"/>
      <w:lang w:val="en-US" w:eastAsia="zh-CN" w:bidi="ar-SA"/>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SWCGDLG-20210720号</dc:title>
  <dc:creator>admin</dc:creator>
  <cp:lastModifiedBy>李韦林</cp:lastModifiedBy>
  <cp:revision>10</cp:revision>
  <dcterms:created xsi:type="dcterms:W3CDTF">2025-11-12T01:12:00Z</dcterms:created>
  <dcterms:modified xsi:type="dcterms:W3CDTF">2026-03-31T03:19:05Z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00852EEB134948D291B22AC8F410C3D9_13</vt:lpwstr>
  </property>
  <property fmtid="{D5CDD505-2E9C-101B-9397-08002B2CF9AE}" pid="4" name="KSOTemplateDocerSaveRecord">
    <vt:lpwstr>eyJoZGlkIjoiMDYwN2NkZDAzMTBkNTllNGY2YWY0NzczNWEwMjM1OWIiLCJ1c2VySWQiOiIzMDc2NjU2NDYifQ==</vt:lpwstr>
  </property>
</Properties>
</file>