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line="360"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84"/>
        </w:rPr>
        <w:t xml:space="preserve"> </w:t>
      </w:r>
      <w:r/>
    </w:p>
    <w:p>
      <w:pPr>
        <w:jc w:val="center"/>
        <w:spacing w:before="120" w:after="120" w:line="36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firstLine="2249"/>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项目名称：</w:t>
      </w:r>
      <w:sdt>
        <w:sdtPr>
          <w:alias w:val="1"/>
          <w15:appearance w15:val="hidden"/>
          <w:id w:val="1"/>
          <w:lock w:val="sdtContentLocked"/>
          <w:tag w:val="项目名称"/>
          <w:rPr>
            <w:rFonts w:ascii="Arial" w:hAnsi="Arial" w:eastAsia="Arial" w:cs="Arial"/>
            <w:color w:val="000000"/>
            <w:sz w:val="24"/>
          </w:rPr>
        </w:sdtPr>
        <w:sdtContent>
          <w:r>
            <w:rPr>
              <w:rFonts w:ascii="经典仿宋简" w:hAnsi="经典仿宋简" w:eastAsia="经典仿宋简" w:cs="经典仿宋简"/>
              <w:sz w:val="22"/>
            </w:rPr>
            <w:t xml:space="preserve">2026年度常州市一体化政务服务平台软件运维及监理服务</w:t>
          </w:r>
        </w:sdtContent>
      </w:sdt>
      <w:r/>
      <w:r/>
    </w:p>
    <w:p>
      <w:pPr>
        <w:ind w:left="2100" w:firstLine="161"/>
        <w:spacing w:after="0"/>
        <w:pBdr>
          <w:top w:val="none" w:color="000000" w:sz="0" w:space="0"/>
          <w:left w:val="none" w:color="000000" w:sz="0" w:space="0"/>
          <w:bottom w:val="none" w:color="000000" w:sz="0" w:space="0"/>
          <w:right w:val="none" w:color="000000" w:sz="0" w:space="0"/>
        </w:pBdr>
      </w:pPr>
      <w:r>
        <w:rPr>
          <w:rFonts w:ascii="宋体" w:hAnsi="宋体" w:cs="宋体"/>
          <w:b/>
          <w:color w:val="ff0000"/>
          <w:sz w:val="32"/>
        </w:rPr>
        <w:t xml:space="preserve">项目编号：</w:t>
      </w:r>
      <w:sdt>
        <w:sdtPr>
          <w:alias w:val="2"/>
          <w15:appearance w15:val="hidden"/>
          <w:id w:val="2"/>
          <w:lock w:val="sdtContentLocked"/>
          <w:tag w:val="项目编号"/>
          <w:rPr>
            <w:rFonts w:eastAsia="Times New Roman"/>
            <w:b/>
            <w:color w:val="ff0000"/>
            <w:sz w:val="32"/>
          </w:rPr>
        </w:sdtPr>
        <w:sdtContent>
          <w:r>
            <w:rPr>
              <w:rFonts w:ascii="经典仿宋简" w:hAnsi="经典仿宋简" w:eastAsia="经典仿宋简" w:cs="经典仿宋简"/>
              <w:sz w:val="22"/>
            </w:rPr>
            <w:t xml:space="preserve">JSZC-320400-JZCG-G2026-0080</w:t>
          </w:r>
        </w:sdtContent>
      </w:sdt>
      <w:r>
        <w:rPr>
          <w:rFonts w:eastAsia="Times New Roman"/>
          <w:color w:val="ff0000"/>
        </w:rPr>
        <w:t xml:space="preserve">        </w:t>
      </w:r>
      <w:r>
        <w:rPr>
          <w:rFonts w:eastAsia="Times New Roman"/>
          <w:b/>
          <w:color w:val="ff0000"/>
          <w:sz w:val="30"/>
        </w:rPr>
        <w:t xml:space="preserve">   </w:t>
      </w:r>
      <w:r>
        <w:rPr>
          <w:rFonts w:eastAsia="Times New Roman"/>
          <w:color w:val="ff0000"/>
        </w:rPr>
        <w:t xml:space="preserve">  </w:t>
      </w:r>
      <w:r>
        <w:rPr>
          <w:rFonts w:eastAsia="Times New Roman"/>
          <w:b/>
          <w:color w:val="ff0000"/>
          <w:sz w:val="30"/>
        </w:rPr>
        <w:t xml:space="preserve"> </w:t>
      </w:r>
      <w:r/>
    </w:p>
    <w:p>
      <w:pPr>
        <w:ind w:left="2100"/>
        <w:spacing w:after="0"/>
        <w:pBdr>
          <w:top w:val="none" w:color="000000" w:sz="0" w:space="0"/>
          <w:left w:val="none" w:color="000000" w:sz="0" w:space="0"/>
          <w:bottom w:val="none" w:color="000000" w:sz="0" w:space="0"/>
          <w:right w:val="none" w:color="000000" w:sz="0" w:space="0"/>
        </w:pBdr>
      </w:pPr>
      <w:r>
        <w:rPr>
          <w:rFonts w:ascii="宋体" w:hAnsi="宋体" w:cs="宋体"/>
          <w:b/>
          <w:color w:val="ff0000"/>
          <w:sz w:val="30"/>
        </w:rPr>
        <w:t xml:space="preserve">（全流程电子化</w:t>
      </w:r>
      <w:r>
        <w:rPr>
          <w:rFonts w:eastAsia="Times New Roman"/>
          <w:b/>
          <w:color w:val="ff0000"/>
          <w:sz w:val="30"/>
        </w:rPr>
        <w:t xml:space="preserve">-</w:t>
      </w:r>
      <w:r>
        <w:rPr>
          <w:rFonts w:ascii="宋体" w:hAnsi="宋体" w:cs="宋体"/>
          <w:b/>
          <w:color w:val="ff0000"/>
          <w:sz w:val="30"/>
        </w:rPr>
        <w:t xml:space="preserve">服务类项目，适用苏采云系统，非专门面向中小企业）</w:t>
      </w:r>
      <w:r/>
    </w:p>
    <w:p>
      <w:pPr>
        <w:spacing w:after="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常州市政府采购中心</w:t>
      </w:r>
      <w:r/>
    </w:p>
    <w:p>
      <w:pPr>
        <w:jc w:val="center"/>
        <w:spacing w:before="120" w:after="120" w:line="360" w:lineRule="atLeast"/>
        <w:pBdr>
          <w:top w:val="none" w:color="000000" w:sz="0" w:space="0"/>
          <w:left w:val="none" w:color="000000" w:sz="0" w:space="0"/>
          <w:bottom w:val="none" w:color="000000" w:sz="0" w:space="0"/>
          <w:right w:val="none" w:color="000000" w:sz="0" w:space="0"/>
        </w:pBdr>
      </w:pPr>
      <w:r/>
      <w:sdt>
        <w:sdtPr>
          <w:alias w:val="3"/>
          <w15:appearance w15:val="hidden"/>
          <w:id w:val="3"/>
          <w:tag w:val="系统当前时间"/>
          <w:rPr>
            <w:rFonts w:ascii="Arial" w:hAnsi="Arial" w:eastAsia="Arial" w:cs="Arial"/>
            <w:b/>
            <w:color w:val="000000"/>
            <w:sz w:val="32"/>
          </w:rPr>
        </w:sdtPr>
        <w:sdtContent>
          <w:r>
            <w:rPr>
              <w:rFonts w:ascii="经典仿宋简" w:hAnsi="经典仿宋简" w:eastAsia="经典仿宋简" w:cs="经典仿宋简"/>
              <w:sz w:val="22"/>
            </w:rPr>
            <w:t xml:space="preserve">2026年04月08日</w:t>
          </w:r>
        </w:sdtContent>
      </w:sdt>
      <w:r/>
      <w:r/>
    </w:p>
    <w:p>
      <w:pPr>
        <w:spacing w:before="120" w:after="120" w:line="3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jc w:val="center"/>
        <w:spacing w:before="120" w:after="120" w:line="3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spacing w:after="0"/>
        <w:pBdr>
          <w:top w:val="none" w:color="000000" w:sz="0" w:space="0"/>
          <w:left w:val="none" w:color="000000" w:sz="0" w:space="0"/>
          <w:bottom w:val="none" w:color="000000" w:sz="0" w:space="0"/>
          <w:right w:val="none" w:color="000000" w:sz="0" w:space="0"/>
        </w:pBdr>
      </w:pPr>
      <w:r>
        <w:br w:type="page" w:clear="all"/>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after="0" w:line="113"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rPr>
          <w:rFonts w:ascii="黑体" w:hAnsi="黑体" w:eastAsia="黑体" w:cs="黑体"/>
          <w:b/>
          <w:color w:val="000000"/>
          <w:sz w:val="44"/>
        </w:rPr>
        <w:t xml:space="preserve">总  目  录</w:t>
      </w:r>
      <w:r/>
    </w:p>
    <w:p>
      <w:pPr>
        <w:spacing w:after="0" w:line="113"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4"/>
        </w:numPr>
        <w:spacing w:after="0" w:line="113" w:lineRule="atLeast"/>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 </w:t>
      </w:r>
      <w:r/>
    </w:p>
    <w:p>
      <w:pPr>
        <w:numPr>
          <w:ilvl w:val="0"/>
          <w:numId w:val="4"/>
        </w:numPr>
        <w:spacing w:after="0" w:line="113" w:lineRule="atLeast"/>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  </w:t>
      </w:r>
      <w:r/>
    </w:p>
    <w:p>
      <w:pPr>
        <w:numPr>
          <w:ilvl w:val="0"/>
          <w:numId w:val="4"/>
        </w:numPr>
        <w:spacing w:after="0" w:line="113" w:lineRule="atLeast"/>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w:t>
      </w:r>
      <w:r/>
    </w:p>
    <w:p>
      <w:pPr>
        <w:numPr>
          <w:ilvl w:val="0"/>
          <w:numId w:val="4"/>
        </w:numPr>
        <w:spacing w:after="0" w:line="113" w:lineRule="atLeast"/>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w:t>
      </w:r>
      <w:r/>
    </w:p>
    <w:p>
      <w:pPr>
        <w:numPr>
          <w:ilvl w:val="0"/>
          <w:numId w:val="4"/>
        </w:numPr>
        <w:spacing w:after="0" w:line="113" w:lineRule="atLeast"/>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w:t>
      </w:r>
      <w:r/>
    </w:p>
    <w:p>
      <w:pPr>
        <w:numPr>
          <w:ilvl w:val="0"/>
          <w:numId w:val="4"/>
        </w:numPr>
        <w:spacing w:after="0" w:line="113" w:lineRule="atLeast"/>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after="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after="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after="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after="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after="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after="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after="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after="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after="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after="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693"/>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第一章  投标邀请</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受[</w:t>
      </w:r>
      <w:sdt>
        <w:sdtPr>
          <w:alias w:val="15"/>
          <w15:appearance w15:val="hidden"/>
          <w:id w:val="15"/>
          <w:lock w:val="sdtContentLocked"/>
          <w:tag w:val="采购单位名称"/>
          <w:rPr>
            <w:rFonts w:ascii="宋体" w:hAnsi="宋体" w:cs="宋体"/>
            <w:color w:val="000000"/>
            <w:sz w:val="24"/>
          </w:rPr>
        </w:sdtPr>
        <w:sdtContent>
          <w:r>
            <w:rPr>
              <w:rFonts w:ascii="经典仿宋简" w:hAnsi="经典仿宋简" w:eastAsia="经典仿宋简" w:cs="经典仿宋简"/>
              <w:sz w:val="22"/>
            </w:rPr>
            <w:t xml:space="preserve">常州市数据局</w:t>
          </w:r>
        </w:sdtContent>
      </w:sdt>
      <w:r>
        <w:rPr>
          <w:rFonts w:ascii="宋体" w:hAnsi="宋体" w:cs="宋体"/>
          <w:color w:val="000000"/>
          <w:sz w:val="24"/>
        </w:rPr>
        <w:t xml:space="preserve">]的委托，常州市政府采购中心就[</w:t>
      </w:r>
      <w:sdt>
        <w:sdtPr>
          <w:alias w:val="16"/>
          <w15:appearance w15:val="hidden"/>
          <w:id w:val="16"/>
          <w:lock w:val="sdtContentLocked"/>
          <w:tag w:val="项目名称"/>
          <w:rPr>
            <w:rFonts w:ascii="宋体" w:hAnsi="宋体" w:cs="宋体"/>
            <w:color w:val="000000"/>
            <w:sz w:val="24"/>
          </w:rPr>
        </w:sdtPr>
        <w:sdtContent>
          <w:r>
            <w:rPr>
              <w:rFonts w:ascii="经典仿宋简" w:hAnsi="经典仿宋简" w:eastAsia="经典仿宋简" w:cs="经典仿宋简"/>
              <w:sz w:val="22"/>
            </w:rPr>
            <w:t xml:space="preserve">2026年度常州市一体化政务服务平台软件运维及监理服务</w:t>
          </w:r>
        </w:sdtContent>
      </w:sdt>
      <w:r>
        <w:rPr>
          <w:rFonts w:ascii="宋体" w:hAnsi="宋体" w:cs="宋体"/>
          <w:color w:val="000000"/>
          <w:sz w:val="24"/>
        </w:rPr>
        <w:t xml:space="preserve">]([</w:t>
      </w:r>
      <w:sdt>
        <w:sdtPr>
          <w:alias w:val="17"/>
          <w15:appearance w15:val="hidden"/>
          <w:id w:val="17"/>
          <w:lock w:val="sdtContentLocked"/>
          <w:tag w:val="项目编号"/>
          <w:rPr>
            <w:rFonts w:ascii="宋体" w:hAnsi="宋体" w:cs="宋体"/>
            <w:color w:val="000000"/>
            <w:sz w:val="24"/>
          </w:rPr>
        </w:sdtPr>
        <w:sdtContent>
          <w:r>
            <w:rPr>
              <w:rFonts w:ascii="经典仿宋简" w:hAnsi="经典仿宋简" w:eastAsia="经典仿宋简" w:cs="经典仿宋简"/>
              <w:sz w:val="22"/>
            </w:rPr>
            <w:t xml:space="preserve">JSZC-320400-JZCG-G2026-0080</w:t>
          </w:r>
        </w:sdtContent>
      </w:sdt>
      <w:r>
        <w:rPr>
          <w:rFonts w:ascii="宋体" w:hAnsi="宋体" w:cs="宋体"/>
          <w:color w:val="000000"/>
          <w:sz w:val="24"/>
        </w:rPr>
        <w:t xml:space="preserve">])项目进行公开招标采购，欢迎符合条件的供应商投标。</w:t>
      </w:r>
      <w:r/>
    </w:p>
    <w:p>
      <w:pPr>
        <w:pStyle w:val="695"/>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1.项目编号：</w:t>
      </w:r>
      <w:sdt>
        <w:sdtPr>
          <w:alias w:val="4"/>
          <w15:appearance w15:val="hidden"/>
          <w:id w:val="4"/>
          <w:lock w:val="sdtContentLocked"/>
          <w:tag w:val="项目编号"/>
          <w:rPr>
            <w:rFonts w:ascii="宋体" w:hAnsi="宋体" w:cs="宋体"/>
            <w:color w:val="000000"/>
            <w:sz w:val="24"/>
          </w:rPr>
        </w:sdtPr>
        <w:sdtContent>
          <w:r>
            <w:rPr>
              <w:rFonts w:ascii="经典仿宋简" w:hAnsi="经典仿宋简" w:eastAsia="经典仿宋简" w:cs="经典仿宋简"/>
              <w:sz w:val="22"/>
            </w:rPr>
            <w:t xml:space="preserve">JSZC-320400-JZCG-G2026-0080</w:t>
          </w:r>
        </w:sdtContent>
      </w:sd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2.项目名称：</w:t>
      </w:r>
      <w:sdt>
        <w:sdtPr>
          <w:alias w:val="5"/>
          <w15:appearance w15:val="hidden"/>
          <w:id w:val="5"/>
          <w:lock w:val="sdtContentLocked"/>
          <w:tag w:val="项目名称"/>
          <w:rPr>
            <w:rFonts w:ascii="宋体" w:hAnsi="宋体" w:cs="宋体"/>
            <w:color w:val="000000"/>
            <w:sz w:val="24"/>
          </w:rPr>
        </w:sdtPr>
        <w:sdtContent>
          <w:r>
            <w:rPr>
              <w:rFonts w:ascii="经典仿宋简" w:hAnsi="经典仿宋简" w:eastAsia="经典仿宋简" w:cs="经典仿宋简"/>
              <w:sz w:val="22"/>
            </w:rPr>
            <w:t xml:space="preserve">2026年度常州市一体化政务服务平台软件运维及监理服务</w:t>
          </w:r>
        </w:sdtContent>
      </w:sdt>
      <w:r/>
      <w:r/>
    </w:p>
    <w:p>
      <w:pPr>
        <w:ind w:firstLine="480"/>
        <w:spacing w:after="0"/>
        <w:rPr>
          <w:rFonts w:hint="eastAsia" w:ascii="宋体" w:hAnsi="宋体" w:cs="宋体"/>
          <w:color w:val="000000"/>
          <w:sz w:val="24"/>
          <w:highlight w:val="yellow"/>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3.预算金额：</w:t>
      </w:r>
      <w:sdt>
        <w:sdtPr>
          <w:alias w:val="6"/>
          <w15:appearance w15:val="hidden"/>
          <w:id w:val="6"/>
          <w:lock w:val="sdtContentLocked"/>
          <w:tag w:val="项目预算小写"/>
          <w:rPr>
            <w:rFonts w:ascii="宋体" w:hAnsi="宋体" w:cs="宋体"/>
            <w:color w:val="000000"/>
            <w:sz w:val="24"/>
          </w:rPr>
        </w:sdtPr>
        <w:sdtContent>
          <w:r>
            <w:rPr>
              <w:rFonts w:ascii="经典仿宋简" w:hAnsi="经典仿宋简" w:eastAsia="经典仿宋简" w:cs="经典仿宋简"/>
              <w:sz w:val="22"/>
            </w:rPr>
            <w:t xml:space="preserve">3539900</w:t>
          </w:r>
        </w:sdtContent>
      </w:sdt>
      <w:r>
        <w:rPr>
          <w:rFonts w:ascii="宋体" w:hAnsi="宋体" w:cs="宋体"/>
          <w:color w:val="000000"/>
          <w:sz w:val="24"/>
          <w:highlight w:val="yellow"/>
        </w:rPr>
        <w:t xml:space="preserve">元</w:t>
      </w:r>
      <w:r/>
    </w:p>
    <w:p>
      <w:pPr>
        <w:ind w:firstLine="480"/>
        <w:spacing w:after="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分包1：</w:t>
      </w:r>
      <w:r>
        <w:rPr>
          <w:rFonts w:ascii="宋体" w:hAnsi="宋体" w:cs="宋体"/>
          <w:color w:val="000000"/>
          <w:sz w:val="24"/>
        </w:rPr>
        <w:t xml:space="preserve">2026年度常州市一体化政务服务平台软件运维服务</w:t>
      </w:r>
      <w:r>
        <w:rPr>
          <w:rFonts w:hint="eastAsia" w:ascii="宋体" w:hAnsi="宋体" w:cs="宋体"/>
          <w:color w:val="000000"/>
          <w:sz w:val="24"/>
        </w:rPr>
        <w:t xml:space="preserve">，3479900元。</w:t>
      </w:r>
      <w:r/>
    </w:p>
    <w:p>
      <w:pPr>
        <w:ind w:firstLine="480"/>
        <w:spacing w:after="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分包2：</w:t>
      </w:r>
      <w:r>
        <w:rPr>
          <w:rFonts w:ascii="宋体" w:hAnsi="宋体" w:cs="宋体"/>
          <w:color w:val="000000"/>
          <w:sz w:val="24"/>
        </w:rPr>
        <w:t xml:space="preserve">2026年度常州市一体化政务服务平台软件运维</w:t>
      </w:r>
      <w:r>
        <w:rPr>
          <w:rFonts w:hint="eastAsia" w:ascii="宋体" w:hAnsi="宋体" w:cs="宋体"/>
          <w:color w:val="000000"/>
          <w:sz w:val="24"/>
        </w:rPr>
        <w:t xml:space="preserve">监理</w:t>
      </w:r>
      <w:r>
        <w:rPr>
          <w:rFonts w:ascii="宋体" w:hAnsi="宋体" w:cs="宋体"/>
          <w:color w:val="000000"/>
          <w:sz w:val="24"/>
        </w:rPr>
        <w:t xml:space="preserve">服务</w:t>
      </w:r>
      <w:r>
        <w:rPr>
          <w:rFonts w:hint="eastAsia" w:ascii="宋体" w:hAnsi="宋体" w:cs="宋体"/>
          <w:color w:val="000000"/>
          <w:sz w:val="24"/>
        </w:rPr>
        <w:t xml:space="preserve">，60000元。</w:t>
      </w:r>
      <w:r/>
    </w:p>
    <w:p>
      <w:pPr>
        <w:ind w:firstLine="480"/>
        <w:spacing w:after="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4.本项目</w:t>
      </w:r>
      <w:r/>
    </w:p>
    <w:p>
      <w:pPr>
        <w:ind w:firstLine="480"/>
        <w:spacing w:after="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分包1</w:t>
      </w:r>
      <w:r>
        <w:rPr>
          <w:rFonts w:ascii="宋体" w:hAnsi="宋体" w:cs="宋体"/>
          <w:color w:val="000000"/>
          <w:sz w:val="24"/>
        </w:rPr>
        <w:t xml:space="preserve">最高限价为</w:t>
      </w:r>
      <w:r>
        <w:rPr>
          <w:rFonts w:hint="eastAsia" w:ascii="宋体" w:hAnsi="宋体" w:cs="宋体"/>
          <w:color w:val="000000"/>
          <w:sz w:val="24"/>
        </w:rPr>
        <w:t xml:space="preserve">347.99</w:t>
      </w:r>
      <w:r>
        <w:rPr>
          <w:rFonts w:ascii="宋体" w:hAnsi="宋体" w:cs="宋体"/>
          <w:color w:val="000000"/>
          <w:sz w:val="24"/>
        </w:rPr>
        <w:t xml:space="preserve">万元。</w:t>
      </w:r>
      <w:r/>
    </w:p>
    <w:p>
      <w:pPr>
        <w:ind w:firstLine="480"/>
        <w:spacing w:after="0"/>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分包2</w:t>
      </w:r>
      <w:r>
        <w:rPr>
          <w:rFonts w:ascii="宋体" w:hAnsi="宋体" w:cs="宋体"/>
          <w:color w:val="000000"/>
          <w:sz w:val="24"/>
        </w:rPr>
        <w:t xml:space="preserve">最高限价为</w:t>
      </w:r>
      <w:r>
        <w:rPr>
          <w:rFonts w:hint="eastAsia" w:ascii="宋体" w:hAnsi="宋体" w:cs="宋体"/>
          <w:color w:val="000000"/>
          <w:sz w:val="24"/>
        </w:rPr>
        <w:t xml:space="preserve">6</w:t>
      </w:r>
      <w:r>
        <w:rPr>
          <w:rFonts w:ascii="宋体" w:hAnsi="宋体" w:cs="宋体"/>
          <w:color w:val="000000"/>
          <w:sz w:val="24"/>
        </w:rPr>
        <w:t xml:space="preserve">万元。</w:t>
      </w:r>
      <w:r/>
    </w:p>
    <w:p>
      <w:pPr>
        <w:ind w:firstLine="480"/>
        <w:spacing w:after="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5.采购需求（简介）：</w:t>
      </w:r>
      <w:r/>
    </w:p>
    <w:p>
      <w:pPr>
        <w:ind w:firstLine="480"/>
        <w:spacing w:after="0"/>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分包1：</w:t>
      </w:r>
      <w:r>
        <w:rPr>
          <w:rFonts w:hint="eastAsia" w:ascii="宋体" w:hAnsi="宋体" w:cs="宋体"/>
          <w:color w:val="000000"/>
          <w:sz w:val="24"/>
          <w:szCs w:val="24"/>
        </w:rPr>
        <w:t xml:space="preserve">完成2026年度常州市一体化政务服务平台软件运维工作，包括“一网通办”运维工作、公共支撑运维工作、系统对接运维工作以及信息安全运维工作。</w:t>
      </w:r>
      <w:r/>
    </w:p>
    <w:p>
      <w:pPr>
        <w:ind w:firstLine="480"/>
        <w:spacing w:after="0"/>
        <w:rPr>
          <w:bCs/>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分包2：开</w:t>
      </w:r>
      <w:r>
        <w:rPr>
          <w:rFonts w:hint="eastAsia" w:ascii="宋体" w:hAnsi="宋体"/>
          <w:sz w:val="24"/>
        </w:rPr>
        <w:t xml:space="preserve">展2026年度</w:t>
      </w:r>
      <w:r>
        <w:rPr>
          <w:rFonts w:hint="eastAsia"/>
          <w:bCs/>
          <w:sz w:val="24"/>
        </w:rPr>
        <w:t xml:space="preserve">常州市一体化政务服务平台软件运维、常州市工程建设项目审批管理系统运维、常州市数据局电脑终端、办公设备维护的监理服务。</w:t>
      </w:r>
      <w:r/>
    </w:p>
    <w:p>
      <w:pPr>
        <w:ind w:firstLine="480"/>
        <w:spacing w:after="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w:t>
      </w:r>
      <w:r>
        <w:rPr>
          <w:rFonts w:ascii="宋体" w:hAnsi="宋体" w:cs="宋体"/>
          <w:color w:val="000000"/>
          <w:sz w:val="24"/>
        </w:rPr>
        <w:t xml:space="preserve">详细内容见本招标文件第四章） </w:t>
      </w:r>
      <w:r/>
    </w:p>
    <w:p>
      <w:pPr>
        <w:ind w:firstLine="480"/>
        <w:spacing w:after="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（每个投标人可选择相应的分包投标，兼投不兼中。在分包一中被推荐为第一中标候选人的单位可参与分包二评标，但不得成为分包二的推荐中标候选人，按分包顺序，以此类推。）</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6.合同履行期限：</w:t>
      </w:r>
      <w:r>
        <w:rPr>
          <w:rFonts w:hint="eastAsia" w:ascii="宋体" w:hAnsi="宋体" w:cs="宋体"/>
          <w:color w:val="000000"/>
          <w:sz w:val="24"/>
        </w:rPr>
        <w:t xml:space="preserve">一年</w:t>
      </w:r>
      <w:r/>
    </w:p>
    <w:p>
      <w:pPr>
        <w:pStyle w:val="695"/>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（一）通用资格要求</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1.满足《中华人民共和国政府采购法》第二十二条规定，并提供投标人资格声明函。</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3.落实政府采购政策需满足的资格要求：无</w:t>
      </w:r>
      <w:r/>
    </w:p>
    <w:p>
      <w:pPr>
        <w:ind w:firstLine="48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4.本项目</w:t>
      </w:r>
      <w:r>
        <w:rPr>
          <w:rFonts w:hint="eastAsia" w:ascii="宋体" w:hAnsi="宋体" w:cs="宋体"/>
          <w:color w:val="000000"/>
          <w:sz w:val="24"/>
          <w:u w:val="single"/>
        </w:rPr>
        <w:t xml:space="preserve"> 不接受 </w:t>
      </w:r>
      <w:r>
        <w:rPr>
          <w:rFonts w:ascii="宋体" w:hAnsi="宋体" w:cs="宋体"/>
          <w:color w:val="000000"/>
          <w:sz w:val="24"/>
        </w:rPr>
        <w:t xml:space="preserve">联合体投标（接受/不接受）。</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（二）本项目的特定资格要求</w:t>
      </w:r>
      <w:r/>
    </w:p>
    <w:p>
      <w:pPr>
        <w:ind w:firstLine="480"/>
        <w:spacing w:after="0"/>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无</w:t>
      </w:r>
      <w:r/>
    </w:p>
    <w:p>
      <w:pPr>
        <w:pStyle w:val="695"/>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firstLine="54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1.时间：详见招标公告。</w:t>
      </w:r>
      <w:r/>
    </w:p>
    <w:p>
      <w:pPr>
        <w:ind w:firstLine="54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2.方式：在“江苏政府采购网”、“常州市政府采购网”自行免费下载招标文件。</w:t>
      </w:r>
      <w:r/>
    </w:p>
    <w:p>
      <w:pPr>
        <w:pStyle w:val="695"/>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四、投标文件提交</w:t>
      </w:r>
      <w:r/>
    </w:p>
    <w:p>
      <w:pPr>
        <w:ind w:firstLine="54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1.时间：详见招标公告。</w:t>
      </w:r>
      <w:r/>
    </w:p>
    <w:p>
      <w:pPr>
        <w:ind w:firstLine="54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2.地点：苏采云政府采购一体化平台</w:t>
      </w:r>
      <w:r/>
    </w:p>
    <w:p>
      <w:pPr>
        <w:pStyle w:val="695"/>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招标公告及招标文件公告期限为自本公告发布之日起5个工作日。</w:t>
      </w:r>
      <w:r/>
    </w:p>
    <w:p>
      <w:pPr>
        <w:pStyle w:val="695"/>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无</w:t>
      </w:r>
      <w:r/>
    </w:p>
    <w:p>
      <w:pPr>
        <w:pStyle w:val="695"/>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1.采购人信息</w:t>
      </w:r>
      <w:r/>
    </w:p>
    <w:p>
      <w:pPr>
        <w:ind w:left="1079" w:hanging="30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 称：</w:t>
      </w:r>
      <w:sdt>
        <w:sdtPr>
          <w:alias w:val="9"/>
          <w15:appearance w15:val="hidden"/>
          <w:id w:val="9"/>
          <w:lock w:val="sdtContentLocked"/>
          <w:tag w:val="采购单位名称"/>
          <w:rPr>
            <w:rFonts w:ascii="宋体" w:hAnsi="宋体" w:cs="宋体"/>
            <w:color w:val="000000"/>
            <w:sz w:val="24"/>
          </w:rPr>
        </w:sdtPr>
        <w:sdtContent>
          <w:r>
            <w:rPr>
              <w:rFonts w:ascii="经典仿宋简" w:hAnsi="经典仿宋简" w:eastAsia="经典仿宋简" w:cs="经典仿宋简"/>
              <w:sz w:val="22"/>
            </w:rPr>
            <w:t xml:space="preserve">常州市数据局</w:t>
          </w:r>
        </w:sdtContent>
      </w:sdt>
      <w:r/>
      <w:r/>
    </w:p>
    <w:p>
      <w:pPr>
        <w:ind w:left="1079" w:hanging="30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sdt>
        <w:sdtPr>
          <w:alias w:val="10"/>
          <w15:appearance w15:val="hidden"/>
          <w:id w:val="10"/>
          <w:lock w:val="sdtContentLocked"/>
          <w:tag w:val="采购单位地址"/>
          <w:rPr>
            <w:rFonts w:ascii="宋体" w:hAnsi="宋体" w:cs="宋体"/>
            <w:color w:val="000000"/>
            <w:sz w:val="24"/>
          </w:rPr>
        </w:sdtPr>
        <w:sdtContent>
          <w:r>
            <w:rPr>
              <w:rFonts w:ascii="经典仿宋简" w:hAnsi="经典仿宋简" w:eastAsia="经典仿宋简" w:cs="经典仿宋简"/>
              <w:sz w:val="22"/>
            </w:rPr>
            <w:t xml:space="preserve">常州市锦绣路2号1-1号楼</w:t>
          </w:r>
        </w:sdtContent>
      </w:sdt>
      <w:r/>
      <w:r/>
    </w:p>
    <w:p>
      <w:pPr>
        <w:ind w:left="1079" w:hanging="30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sdt>
        <w:sdtPr>
          <w:alias w:val="11"/>
          <w15:appearance w15:val="hidden"/>
          <w:id w:val="11"/>
          <w:lock w:val="sdtContentLocked"/>
          <w:tag w:val="采购人联系人"/>
          <w:rPr>
            <w:rFonts w:ascii="宋体" w:hAnsi="宋体" w:cs="宋体"/>
            <w:color w:val="000000"/>
            <w:sz w:val="24"/>
            <w:u w:val="single"/>
          </w:rPr>
        </w:sdtPr>
        <w:sdtContent>
          <w:r>
            <w:rPr>
              <w:rFonts w:ascii="经典仿宋简" w:hAnsi="经典仿宋简" w:eastAsia="经典仿宋简" w:cs="经典仿宋简"/>
              <w:sz w:val="22"/>
            </w:rPr>
            <w:t xml:space="preserve">王易之,王易之</w:t>
          </w:r>
        </w:sdtContent>
      </w:sdt>
      <w:r/>
      <w:r/>
    </w:p>
    <w:p>
      <w:pPr>
        <w:ind w:left="1079" w:hanging="30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联系方式：</w:t>
      </w:r>
      <w:sdt>
        <w:sdtPr>
          <w:alias w:val="12"/>
          <w15:appearance w15:val="hidden"/>
          <w:id w:val="12"/>
          <w:lock w:val="sdtContentLocked"/>
          <w:tag w:val="采购人联系电话"/>
          <w:rPr>
            <w:rFonts w:ascii="宋体" w:hAnsi="宋体" w:cs="宋体"/>
            <w:color w:val="000000"/>
            <w:sz w:val="24"/>
          </w:rPr>
        </w:sdtPr>
        <w:sdtContent>
          <w:r>
            <w:rPr>
              <w:rFonts w:ascii="经典仿宋简" w:hAnsi="经典仿宋简" w:eastAsia="经典仿宋简" w:cs="经典仿宋简"/>
              <w:sz w:val="22"/>
            </w:rPr>
            <w:t xml:space="preserve">采购包1联系人电话:85588027,采购包2联系人电话:85588027</w:t>
          </w:r>
        </w:sdtContent>
      </w:sdt>
      <w:r/>
      <w:r/>
    </w:p>
    <w:p>
      <w:pPr>
        <w:ind w:left="1079" w:hanging="30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2.常州市政府采购中心信息</w:t>
      </w:r>
      <w:r/>
    </w:p>
    <w:p>
      <w:pPr>
        <w:ind w:firstLine="7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　址：常州市锦绣路2号常州市政务服务中心1-1号楼6楼</w:t>
      </w:r>
      <w:r/>
    </w:p>
    <w:p>
      <w:pPr>
        <w:ind w:firstLine="7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采购文件相关联系人：</w:t>
      </w:r>
      <w:sdt>
        <w:sdtPr>
          <w:alias w:val="13"/>
          <w15:appearance w15:val="hidden"/>
          <w:id w:val="13"/>
          <w:lock w:val="sdtContentLocked"/>
          <w:tag w:val="代理机构经办人"/>
          <w:rPr>
            <w:rFonts w:ascii="宋体" w:hAnsi="宋体" w:cs="宋体"/>
            <w:color w:val="000000"/>
            <w:sz w:val="24"/>
          </w:rPr>
        </w:sdtPr>
        <w:sdtContent>
          <w:r>
            <w:rPr>
              <w:rFonts w:ascii="经典仿宋简" w:hAnsi="经典仿宋简" w:eastAsia="经典仿宋简" w:cs="经典仿宋简"/>
              <w:sz w:val="22"/>
            </w:rPr>
            <w:t xml:space="preserve">马樱</w:t>
          </w:r>
        </w:sdtContent>
      </w:sdt>
      <w:r>
        <w:rPr>
          <w:rFonts w:ascii="宋体" w:hAnsi="宋体" w:cs="宋体"/>
          <w:color w:val="000000"/>
          <w:sz w:val="24"/>
        </w:rPr>
        <w:t xml:space="preserve">                </w:t>
      </w:r>
      <w:r/>
    </w:p>
    <w:p>
      <w:pPr>
        <w:ind w:firstLine="7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  　话：</w:t>
      </w:r>
      <w:sdt>
        <w:sdtPr>
          <w:alias w:val="14"/>
          <w15:appearance w15:val="hidden"/>
          <w:id w:val="14"/>
          <w:lock w:val="sdtContentLocked"/>
          <w:tag w:val="代理机构经办人联系电话"/>
          <w:rPr>
            <w:rFonts w:ascii="宋体" w:hAnsi="宋体" w:cs="宋体"/>
            <w:color w:val="000000"/>
            <w:sz w:val="24"/>
          </w:rPr>
        </w:sdtPr>
        <w:sdtContent>
          <w:r>
            <w:rPr>
              <w:rFonts w:ascii="经典仿宋简" w:hAnsi="经典仿宋简" w:eastAsia="经典仿宋简" w:cs="经典仿宋简"/>
              <w:sz w:val="22"/>
            </w:rPr>
            <w:t xml:space="preserve">0519-85588166</w:t>
          </w:r>
        </w:sdtContent>
      </w:sdt>
      <w:r/>
      <w:r/>
    </w:p>
    <w:p>
      <w:pPr>
        <w:ind w:firstLine="7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开标评审相关联系人：卢先生            </w:t>
      </w:r>
      <w:r/>
    </w:p>
    <w:p>
      <w:pPr>
        <w:ind w:firstLine="7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  　话：0519-85588157</w:t>
      </w:r>
      <w:r/>
    </w:p>
    <w:p>
      <w:pPr>
        <w:ind w:firstLine="7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电子化招投标技术支持电话：0519-85588210</w:t>
      </w:r>
      <w:r/>
    </w:p>
    <w:p>
      <w:pPr>
        <w:ind w:firstLine="7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695"/>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firstLine="480"/>
        <w:spacing w:after="0" w:line="55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1. 根据省财政厅《关于更</w:t>
      </w:r>
      <w:r>
        <w:rPr>
          <w:rFonts w:ascii="宋体" w:hAnsi="宋体" w:cs="宋体"/>
          <w:color w:val="ff0000"/>
          <w:sz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spacing w:after="0" w:line="55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领取CA和办理电子签章（请至常州市锦绣路2号常州市政务服务中心1-1号楼四楼大厅CA办理窗口办理，窗口联系电话0519-85588127,0519-85588177，其他联系方式见《苏采云系统供应商操作手册》（以下简称《操作手册》））、进行注册并按《操作手册》要求制作、上传电子投标文件。</w:t>
      </w:r>
      <w:r/>
    </w:p>
    <w:p>
      <w:pPr>
        <w:ind w:firstLine="480"/>
        <w:spacing w:after="0" w:line="55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 有关本次招标的事项若存在变动或修改，敬请及时关注常州市政府采购中心在“江苏政府采购网” 、“常州市政府采购网”发布的更正公告。</w:t>
      </w:r>
      <w:r/>
    </w:p>
    <w:p>
      <w:pPr>
        <w:ind w:firstLine="480"/>
        <w:spacing w:after="0" w:line="55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 本次招标不收取投标保证金。</w:t>
      </w:r>
      <w:r/>
    </w:p>
    <w:p>
      <w:pPr>
        <w:ind w:firstLine="480"/>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pBdr>
          <w:top w:val="none" w:color="000000" w:sz="0" w:space="0"/>
          <w:left w:val="none" w:color="000000" w:sz="0" w:space="0"/>
          <w:bottom w:val="none" w:color="000000" w:sz="0" w:space="0"/>
          <w:right w:val="none" w:color="000000" w:sz="0" w:space="0"/>
        </w:pBdr>
      </w:pPr>
      <w:r>
        <w:br w:type="page" w:clear="all"/>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84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694"/>
        <w:ind w:firstLine="2429"/>
        <w:spacing w:before="260" w:after="260" w:line="76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pStyle w:val="695"/>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pStyle w:val="696"/>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1</w:t>
      </w:r>
      <w:r>
        <w:rPr>
          <w:rFonts w:ascii="黑体" w:hAnsi="黑体" w:eastAsia="黑体" w:cs="黑体"/>
          <w:color w:val="000000"/>
          <w:sz w:val="28"/>
        </w:rPr>
        <w:t xml:space="preserve">、招标方式</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本次招标采取公开招标方式，本招标文件仅适用于招标公告中所述项目。</w:t>
      </w:r>
      <w:r/>
    </w:p>
    <w:p>
      <w:pPr>
        <w:pStyle w:val="696"/>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2</w:t>
      </w:r>
      <w:r>
        <w:rPr>
          <w:rFonts w:ascii="黑体" w:hAnsi="黑体" w:eastAsia="黑体" w:cs="黑体"/>
          <w:color w:val="000000"/>
          <w:sz w:val="28"/>
        </w:rPr>
        <w:t xml:space="preserve">、合格的投标人</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2.1满足招标公告中供应商的资格要求的规定。</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 满足本文件实质性要求和条件的规定。</w:t>
      </w:r>
      <w:r/>
    </w:p>
    <w:p>
      <w:pPr>
        <w:pStyle w:val="696"/>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3</w:t>
      </w:r>
      <w:r>
        <w:rPr>
          <w:rFonts w:ascii="黑体" w:hAnsi="黑体" w:eastAsia="黑体" w:cs="黑体"/>
          <w:color w:val="000000"/>
          <w:sz w:val="28"/>
        </w:rPr>
        <w:t xml:space="preserve">、适用法律</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 本次招标及由此产生的合同受中华人民共和国有关的法律法规制约和保护。</w:t>
      </w:r>
      <w:r/>
    </w:p>
    <w:p>
      <w:pPr>
        <w:pStyle w:val="696"/>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4</w:t>
      </w:r>
      <w:r>
        <w:rPr>
          <w:rFonts w:ascii="黑体" w:hAnsi="黑体" w:eastAsia="黑体" w:cs="黑体"/>
          <w:color w:val="000000"/>
          <w:sz w:val="28"/>
        </w:rPr>
        <w:t xml:space="preserve">、投标费用</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 投标人应自行承担所有与参加投标有关的费用，无论投标过程中的做法和结果如何，常州市政府采购中心（以下简称采购中心）在任何情况下均无义务和责任承担这些费用。</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4.2本次招标采购中心和采购人不收取标书工本费与中标服务费。</w:t>
      </w:r>
      <w:r/>
    </w:p>
    <w:p>
      <w:pPr>
        <w:pStyle w:val="696"/>
        <w:ind w:firstLine="602"/>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5</w:t>
      </w:r>
      <w:r>
        <w:rPr>
          <w:rFonts w:ascii="黑体" w:hAnsi="黑体" w:eastAsia="黑体" w:cs="黑体"/>
          <w:color w:val="000000"/>
          <w:sz w:val="30"/>
        </w:rPr>
        <w:t xml:space="preserve">、</w:t>
      </w:r>
      <w:r>
        <w:rPr>
          <w:rFonts w:ascii="黑体" w:hAnsi="黑体" w:eastAsia="黑体" w:cs="黑体"/>
          <w:color w:val="000000"/>
          <w:sz w:val="28"/>
        </w:rPr>
        <w:t xml:space="preserve">招标文件的约束力</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 投标人一旦参加本项目采购活动，即被认为接受了本招标文件的规定和约束。</w:t>
      </w:r>
      <w:r/>
    </w:p>
    <w:p>
      <w:pPr>
        <w:pStyle w:val="695"/>
        <w:ind w:firstLine="321"/>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pStyle w:val="696"/>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6</w:t>
      </w:r>
      <w:r>
        <w:rPr>
          <w:rFonts w:ascii="黑体" w:hAnsi="黑体" w:eastAsia="黑体" w:cs="黑体"/>
          <w:color w:val="000000"/>
          <w:sz w:val="28"/>
        </w:rPr>
        <w:t xml:space="preserve">、招标文件构成</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 招标文件由以下部分组成：</w:t>
      </w:r>
      <w:r/>
    </w:p>
    <w:p>
      <w:pPr>
        <w:ind w:firstLine="36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（1）投标邀请</w:t>
      </w:r>
      <w:r/>
    </w:p>
    <w:p>
      <w:pPr>
        <w:ind w:firstLine="36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（2）投标人须知</w:t>
      </w:r>
      <w:r/>
    </w:p>
    <w:p>
      <w:pPr>
        <w:ind w:firstLine="36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（3）合同文本</w:t>
      </w:r>
      <w:r/>
    </w:p>
    <w:p>
      <w:pPr>
        <w:ind w:firstLine="36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（4）采购需求</w:t>
      </w:r>
      <w:r/>
    </w:p>
    <w:p>
      <w:pPr>
        <w:ind w:firstLine="36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（5）评标方法与评标标准</w:t>
      </w:r>
      <w:r/>
    </w:p>
    <w:p>
      <w:pPr>
        <w:ind w:firstLine="36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（6）投标文件格式</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请仔细检查招标文件是否齐全，如有缺漏请立即与采购中心联系解决。</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6"/>
        <w:ind w:firstLine="560"/>
        <w:spacing w:before="0" w:after="0"/>
        <w:pBdr>
          <w:top w:val="none" w:color="000000" w:sz="0" w:space="0"/>
          <w:left w:val="none" w:color="000000" w:sz="0" w:space="0"/>
          <w:bottom w:val="none" w:color="000000" w:sz="0" w:space="0"/>
          <w:right w:val="none" w:color="000000" w:sz="0" w:space="0"/>
        </w:pBdr>
      </w:pPr>
      <w:r>
        <w:rPr>
          <w:color w:val="000000"/>
          <w:sz w:val="28"/>
        </w:rPr>
        <w:t xml:space="preserve">7</w:t>
      </w:r>
      <w:r>
        <w:rPr>
          <w:rFonts w:ascii="黑体" w:hAnsi="黑体" w:eastAsia="黑体" w:cs="黑体"/>
          <w:color w:val="000000"/>
          <w:sz w:val="28"/>
        </w:rPr>
        <w:t xml:space="preserve">、招标文件的澄清</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 任何要求对招标文件进行澄清的投标人，应在投标截止期</w:t>
      </w:r>
      <w:r>
        <w:rPr>
          <w:rFonts w:ascii="宋体" w:hAnsi="宋体" w:cs="宋体"/>
          <w:b/>
          <w:color w:val="000000"/>
          <w:sz w:val="24"/>
        </w:rPr>
        <w:t xml:space="preserve">十日</w:t>
      </w:r>
      <w:r>
        <w:rPr>
          <w:rFonts w:ascii="宋体" w:hAnsi="宋体" w:cs="宋体"/>
          <w:color w:val="000000"/>
          <w:sz w:val="24"/>
        </w:rPr>
        <w:t xml:space="preserve">前按招标公告中的通讯地址，以书面形式通知采购中心。</w:t>
      </w:r>
      <w:r/>
    </w:p>
    <w:p>
      <w:pPr>
        <w:pStyle w:val="696"/>
        <w:ind w:firstLine="560"/>
        <w:spacing w:before="0" w:after="0"/>
        <w:pBdr>
          <w:top w:val="none" w:color="000000" w:sz="0" w:space="0"/>
          <w:left w:val="none" w:color="000000" w:sz="0" w:space="0"/>
          <w:bottom w:val="none" w:color="000000" w:sz="0" w:space="0"/>
          <w:right w:val="none" w:color="000000" w:sz="0" w:space="0"/>
        </w:pBdr>
      </w:pPr>
      <w:r>
        <w:rPr>
          <w:color w:val="000000"/>
          <w:sz w:val="28"/>
        </w:rPr>
        <w:t xml:space="preserve">8</w:t>
      </w:r>
      <w:r>
        <w:rPr>
          <w:rFonts w:ascii="黑体" w:hAnsi="黑体" w:eastAsia="黑体" w:cs="黑体"/>
          <w:color w:val="000000"/>
          <w:sz w:val="28"/>
        </w:rPr>
        <w:t xml:space="preserve">、招标文件的修改</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 在投标截止时间前，采购中心可以对招标文件进行修改。</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 采购中心有权按照法定的要求推迟投标截止日期和开标日期。</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8.3 招标文件的修改将在江苏政府采购网、常州市政府采购网公布，补充文件将作为招标文件的组成部分，并对投标人具有约束力。</w:t>
      </w:r>
      <w:r/>
    </w:p>
    <w:p>
      <w:pPr>
        <w:pStyle w:val="695"/>
        <w:ind w:firstLine="482"/>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pStyle w:val="696"/>
        <w:ind w:firstLine="560"/>
        <w:spacing w:before="0" w:after="0"/>
        <w:pBdr>
          <w:top w:val="none" w:color="000000" w:sz="0" w:space="0"/>
          <w:left w:val="none" w:color="000000" w:sz="0" w:space="0"/>
          <w:bottom w:val="none" w:color="000000" w:sz="0" w:space="0"/>
          <w:right w:val="none" w:color="000000" w:sz="0" w:space="0"/>
        </w:pBdr>
      </w:pPr>
      <w:r>
        <w:rPr>
          <w:color w:val="000000"/>
          <w:sz w:val="28"/>
        </w:rPr>
        <w:t xml:space="preserve">9</w:t>
      </w:r>
      <w:r>
        <w:rPr>
          <w:rFonts w:ascii="黑体" w:hAnsi="黑体" w:eastAsia="黑体" w:cs="黑体"/>
          <w:color w:val="000000"/>
          <w:sz w:val="28"/>
        </w:rPr>
        <w:t xml:space="preserve">、投标文件的语言及度量衡单位</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 投标人提交的投标文件以及投标人与采购中心就有关投标的所有来往通知、函件和文件均应使用</w:t>
      </w:r>
      <w:r>
        <w:rPr>
          <w:rFonts w:ascii="宋体" w:hAnsi="宋体" w:cs="宋体"/>
          <w:b/>
          <w:color w:val="000000"/>
          <w:sz w:val="24"/>
        </w:rPr>
        <w:t xml:space="preserve">简体中文</w:t>
      </w:r>
      <w:r>
        <w:rPr>
          <w:rFonts w:ascii="宋体" w:hAnsi="宋体" w:cs="宋体"/>
          <w:color w:val="000000"/>
          <w:sz w:val="24"/>
        </w:rPr>
        <w:t xml:space="preserve">。</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9.2 除技术性能另有规定外，投标文件所使用的度量衡单位，均须采用国家法定计量单位。</w:t>
      </w:r>
      <w:r/>
    </w:p>
    <w:p>
      <w:pPr>
        <w:pStyle w:val="696"/>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10</w:t>
      </w:r>
      <w:r>
        <w:rPr>
          <w:rFonts w:ascii="黑体" w:hAnsi="黑体" w:eastAsia="黑体" w:cs="黑体"/>
          <w:color w:val="000000"/>
          <w:sz w:val="28"/>
        </w:rPr>
        <w:t xml:space="preserve">、投标文件构成</w:t>
      </w:r>
      <w:r/>
    </w:p>
    <w:p>
      <w:pPr>
        <w:ind w:firstLine="480"/>
        <w:spacing w:after="0" w:line="85" w:lineRule="atLeast"/>
        <w:tabs>
          <w:tab w:val="left" w:pos="1080" w:leader="none"/>
          <w:tab w:val="left" w:pos="1589" w:leader="none"/>
          <w:tab w:val="left" w:pos="2014"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10.1本项目如划分采购包，投标人可以对本项目的其中一个采购包进行投标，也可同时对多个采购包进行投标。</w:t>
      </w:r>
      <w:r>
        <w:rPr>
          <w:rFonts w:ascii="宋体" w:hAnsi="宋体" w:cs="宋体"/>
          <w:i/>
          <w:color w:val="000000"/>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10.3如标书制作工具中格式和内容与“江苏政府采购网” 、“常州市政府采购网”发布的招标文件不一致，请以“江苏政府采购网” 、“常州市政府采购网”发布的招标文件为准。</w:t>
      </w:r>
      <w:r/>
    </w:p>
    <w:p>
      <w:pPr>
        <w:pStyle w:val="696"/>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11</w:t>
      </w:r>
      <w:r>
        <w:rPr>
          <w:rFonts w:ascii="黑体" w:hAnsi="黑体" w:eastAsia="黑体" w:cs="黑体"/>
          <w:color w:val="000000"/>
          <w:sz w:val="28"/>
        </w:rPr>
        <w:t xml:space="preserve">、证明投标人及投标标的符合招标文件规定的文件</w:t>
      </w:r>
      <w:r/>
    </w:p>
    <w:p>
      <w:pPr>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11.1 投标人应按照法律、法规、规章和规范性文件以及招标文件要求提交证明文件，证明其及投标标的符合招标文件规定。</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11.2招标文件对证明文件无明确形式要求的，证明文件可以以文字资料、图纸和数据等形式提交。</w:t>
      </w:r>
      <w:r/>
    </w:p>
    <w:p>
      <w:pPr>
        <w:pStyle w:val="696"/>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12</w:t>
      </w:r>
      <w:r>
        <w:rPr>
          <w:rFonts w:ascii="黑体" w:hAnsi="黑体" w:eastAsia="黑体" w:cs="黑体"/>
          <w:color w:val="000000"/>
          <w:sz w:val="28"/>
        </w:rPr>
        <w:t xml:space="preserve">、投标分项报价表</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 投标人应按照招标文件规定格式填报投标分项报价表。</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12.2投标货币。投标文件中的单价和总价无特殊规定的采用人民币报价，以元为单位标注。招标文件中另有规定的按规定执行。</w:t>
      </w:r>
      <w:r/>
    </w:p>
    <w:p>
      <w:pPr>
        <w:pStyle w:val="696"/>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13</w:t>
      </w:r>
      <w:r>
        <w:rPr>
          <w:rFonts w:ascii="黑体" w:hAnsi="黑体" w:eastAsia="黑体" w:cs="黑体"/>
          <w:color w:val="000000"/>
          <w:sz w:val="28"/>
        </w:rPr>
        <w:t xml:space="preserve">、技术要求响应及偏离表、商务要求响应及偏离表</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 投标人需对招标文件中的技术要求与商务要求逐项作出响应或偏离，并说明原因。</w:t>
      </w:r>
      <w:r/>
    </w:p>
    <w:p>
      <w:pPr>
        <w:ind w:firstLine="480"/>
        <w:spacing w:after="0" w:line="499" w:lineRule="atLeast"/>
        <w:tabs>
          <w:tab w:val="left" w:pos="1035"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 投标人可在投标文件中提供认为需要的其他技术文件或说明。</w:t>
      </w:r>
      <w:r/>
    </w:p>
    <w:p>
      <w:pPr>
        <w:pStyle w:val="696"/>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14</w:t>
      </w:r>
      <w:r>
        <w:rPr>
          <w:rFonts w:ascii="黑体" w:hAnsi="黑体" w:eastAsia="黑体" w:cs="黑体"/>
          <w:color w:val="000000"/>
          <w:sz w:val="28"/>
        </w:rPr>
        <w:t xml:space="preserve">、投标函和开标一览表</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 投标人应按照招标文件中提供的格式完整、正确填写投标函、开标一览表。</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 对于采用货币报价的项目，开标一览表中的投标总报价应与投标分项报价表中的投标总报价一致，如不一致，不作为无效投标处理，但评标时按开标一览表中价格为准</w:t>
      </w:r>
      <w:r>
        <w:rPr>
          <w:rFonts w:ascii="宋体" w:hAnsi="宋体" w:cs="宋体"/>
          <w:b/>
          <w:color w:val="000000"/>
          <w:sz w:val="24"/>
        </w:rPr>
        <w:t xml:space="preserve">。</w:t>
      </w:r>
      <w:r/>
    </w:p>
    <w:p>
      <w:pPr>
        <w:pStyle w:val="696"/>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15</w:t>
      </w:r>
      <w:r>
        <w:rPr>
          <w:rFonts w:ascii="黑体" w:hAnsi="黑体" w:eastAsia="黑体" w:cs="黑体"/>
          <w:color w:val="000000"/>
          <w:sz w:val="28"/>
        </w:rPr>
        <w:t xml:space="preserve">、投标有效期</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15.1 投标有效期为采购中心规定的开标之日后</w:t>
      </w:r>
      <w:r>
        <w:rPr>
          <w:rFonts w:ascii="宋体" w:hAnsi="宋体" w:cs="宋体"/>
          <w:b/>
          <w:color w:val="000000"/>
          <w:sz w:val="24"/>
          <w:u w:val="single"/>
        </w:rPr>
        <w:t xml:space="preserve">六十（</w:t>
      </w:r>
      <w:r>
        <w:rPr>
          <w:rFonts w:ascii="仿宋" w:hAnsi="仿宋" w:eastAsia="仿宋" w:cs="仿宋"/>
          <w:b/>
          <w:color w:val="000000"/>
          <w:sz w:val="24"/>
          <w:u w:val="single"/>
        </w:rPr>
        <w:t xml:space="preserve">60</w:t>
      </w:r>
      <w:r>
        <w:rPr>
          <w:rFonts w:ascii="宋体" w:hAnsi="宋体" w:cs="宋体"/>
          <w:b/>
          <w:color w:val="000000"/>
          <w:sz w:val="24"/>
          <w:u w:val="single"/>
        </w:rPr>
        <w:t xml:space="preserve">）天</w:t>
      </w:r>
      <w:r>
        <w:rPr>
          <w:rFonts w:ascii="宋体" w:hAnsi="宋体" w:cs="宋体"/>
          <w:color w:val="000000"/>
          <w:sz w:val="24"/>
        </w:rPr>
        <w:t xml:space="preserve">。投标有效期比规定短的将被视为未实质性响应招标文件而予以拒绝。</w:t>
      </w:r>
      <w:r/>
    </w:p>
    <w:p>
      <w:pPr>
        <w:pStyle w:val="696"/>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16</w:t>
      </w:r>
      <w:r>
        <w:rPr>
          <w:rFonts w:ascii="黑体" w:hAnsi="黑体" w:eastAsia="黑体" w:cs="黑体"/>
          <w:color w:val="000000"/>
          <w:sz w:val="28"/>
        </w:rPr>
        <w:t xml:space="preserve">、投标有效期的延长</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16.1 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695"/>
        <w:ind w:firstLine="482"/>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pStyle w:val="696"/>
        <w:ind w:firstLine="560"/>
        <w:spacing w:before="0" w:after="0"/>
        <w:pBdr>
          <w:top w:val="none" w:color="000000" w:sz="0" w:space="0"/>
          <w:left w:val="none" w:color="000000" w:sz="0" w:space="0"/>
          <w:bottom w:val="none" w:color="000000" w:sz="0" w:space="0"/>
          <w:right w:val="none" w:color="000000" w:sz="0" w:space="0"/>
        </w:pBdr>
      </w:pPr>
      <w:r>
        <w:rPr>
          <w:color w:val="000000"/>
          <w:sz w:val="28"/>
        </w:rPr>
        <w:t xml:space="preserve">17</w:t>
      </w:r>
      <w:r>
        <w:rPr>
          <w:rFonts w:ascii="黑体" w:hAnsi="黑体" w:eastAsia="黑体" w:cs="黑体"/>
          <w:color w:val="000000"/>
          <w:sz w:val="28"/>
        </w:rPr>
        <w:t xml:space="preserve">、投标文件的递交</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17.1 电子投标文件的递交</w:t>
      </w:r>
      <w:r/>
    </w:p>
    <w:p>
      <w:pPr>
        <w:ind w:left="525"/>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投标人应当按照《操作手册》规定，在投标截止时间前制作并上传电子投标文件。</w:t>
      </w:r>
      <w:r/>
    </w:p>
    <w:p>
      <w:pPr>
        <w:pStyle w:val="696"/>
        <w:ind w:firstLine="420"/>
        <w:spacing w:before="280" w:after="290" w:line="436" w:lineRule="atLeast"/>
        <w:pBdr>
          <w:top w:val="none" w:color="000000" w:sz="0" w:space="0"/>
          <w:left w:val="none" w:color="000000" w:sz="0" w:space="0"/>
          <w:bottom w:val="none" w:color="000000" w:sz="0" w:space="0"/>
          <w:right w:val="none" w:color="000000" w:sz="0" w:space="0"/>
        </w:pBdr>
      </w:pPr>
      <w:r>
        <w:rPr>
          <w:color w:val="000000"/>
          <w:sz w:val="28"/>
        </w:rPr>
        <w:t xml:space="preserve">18</w:t>
      </w:r>
      <w:r>
        <w:rPr>
          <w:rFonts w:ascii="黑体" w:hAnsi="黑体" w:eastAsia="黑体" w:cs="黑体"/>
          <w:color w:val="000000"/>
          <w:sz w:val="28"/>
        </w:rPr>
        <w:t xml:space="preserve">、投标截止时间</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18.1 投标人上传电子投标文件的时间不得迟于招标公告中规定的投标截止时间。</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18.2 采购中心可以按照规定，通过修改招标文件酌情延长投标截止时间，在此情况下，投标人的所有权利和义务以及投标人受制的截止时间均应以延长后新的截止时间为准。</w:t>
      </w:r>
      <w:r/>
    </w:p>
    <w:p>
      <w:pPr>
        <w:pStyle w:val="696"/>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19</w:t>
      </w:r>
      <w:r>
        <w:rPr>
          <w:rFonts w:ascii="黑体" w:hAnsi="黑体" w:eastAsia="黑体" w:cs="黑体"/>
          <w:color w:val="000000"/>
          <w:sz w:val="28"/>
        </w:rPr>
        <w:t xml:space="preserve">、投标文件的拒收</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19.1采购中心拒绝接收在其规定的投标截止时间后上传的任何投标文件。</w:t>
      </w:r>
      <w:r/>
    </w:p>
    <w:p>
      <w:pPr>
        <w:pStyle w:val="696"/>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20</w:t>
      </w:r>
      <w:r>
        <w:rPr>
          <w:rFonts w:ascii="黑体" w:hAnsi="黑体" w:eastAsia="黑体" w:cs="黑体"/>
          <w:color w:val="000000"/>
          <w:sz w:val="28"/>
        </w:rPr>
        <w:t xml:space="preserve">、投标文件的撤回和修改</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 投标文件的撤回</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20.1.1 电子投标文件的撤回</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投标人可在投标截止时间前，撤回其电子投标文件，具体操作方法见《操作手册》。</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20.1.2 投标人撤回电子投标文件，则认为其不再参与本项目投标活动。</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 投标文件的修改</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20.2.1投标人可在投标截止时间前，对其电子投标文件进行修改，具体操作方法见《操作手册》。</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20.2.2 在投标截止时间之后，投标人不得对其电子投标文件作任何修改。</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20.3 在投标截止时间至招标文件中规定的投标有效期满之间的这段时间内，投标人不得撤回其投标。</w:t>
      </w:r>
      <w:r/>
    </w:p>
    <w:p>
      <w:pPr>
        <w:pStyle w:val="695"/>
        <w:ind w:firstLine="482"/>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pStyle w:val="696"/>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21</w:t>
      </w:r>
      <w:r>
        <w:rPr>
          <w:rFonts w:ascii="黑体" w:hAnsi="黑体" w:eastAsia="黑体" w:cs="黑体"/>
          <w:color w:val="000000"/>
          <w:sz w:val="28"/>
        </w:rPr>
        <w:t xml:space="preserve">、开标</w:t>
      </w:r>
      <w:r/>
    </w:p>
    <w:p>
      <w:pPr>
        <w:ind w:firstLine="36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21.1 采购中心将在招标公告中规定的时间和地点组织公开开标。投标人应当按照《操作手册》规定，参加开标活动和在</w:t>
      </w:r>
      <w:r>
        <w:rPr>
          <w:rFonts w:ascii="宋体" w:hAnsi="宋体" w:cs="宋体"/>
          <w:color w:val="ff0000"/>
          <w:sz w:val="24"/>
        </w:rPr>
        <w:t xml:space="preserve">苏采云系统</w:t>
      </w:r>
      <w:r>
        <w:rPr>
          <w:rFonts w:ascii="宋体" w:hAnsi="宋体" w:cs="宋体"/>
          <w:color w:val="000000"/>
          <w:sz w:val="24"/>
        </w:rPr>
        <w:t xml:space="preserve">规定的时间内对投标文件进行解密。</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21.2开标仪式由采购中心组织。</w:t>
      </w:r>
      <w:r>
        <w:rPr>
          <w:rFonts w:ascii="宋体" w:hAnsi="宋体" w:cs="宋体"/>
          <w:color w:val="ff0000"/>
          <w:sz w:val="24"/>
        </w:rPr>
        <w:t xml:space="preserve">苏采云系统</w:t>
      </w:r>
      <w:r>
        <w:rPr>
          <w:rFonts w:ascii="宋体" w:hAnsi="宋体" w:cs="宋体"/>
          <w:color w:val="000000"/>
          <w:sz w:val="24"/>
        </w:rPr>
        <w:t xml:space="preserve">将自动对项目进行开标，并宣布各投标人名称和投标价格。</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21.3投标人在开标过程中涉及到的投标文件解密、开标结果确认等工作，应按照《操作手册》规定执行。</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21.4投标人如果对开标过程和开标记录有疑义，应当根据《操作手册》规定提出，如 </w:t>
      </w:r>
      <w:r>
        <w:rPr>
          <w:rFonts w:ascii="宋体" w:hAnsi="宋体" w:cs="宋体"/>
          <w:color w:val="ff0000"/>
          <w:sz w:val="24"/>
        </w:rPr>
        <w:t xml:space="preserve">苏采云系统</w:t>
      </w:r>
      <w:r>
        <w:rPr>
          <w:rFonts w:ascii="宋体" w:hAnsi="宋体" w:cs="宋体"/>
          <w:color w:val="000000"/>
          <w:sz w:val="24"/>
        </w:rPr>
        <w:t xml:space="preserve">中《开标记录表》宣布后5分钟内未提出的，视同认可开标结果。</w:t>
      </w:r>
      <w:r/>
    </w:p>
    <w:p>
      <w:pPr>
        <w:pStyle w:val="696"/>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22</w:t>
      </w:r>
      <w:r>
        <w:rPr>
          <w:rFonts w:ascii="黑体" w:hAnsi="黑体" w:eastAsia="黑体" w:cs="黑体"/>
          <w:color w:val="000000"/>
          <w:sz w:val="28"/>
        </w:rPr>
        <w:t xml:space="preserve">、评标委员会</w:t>
      </w:r>
      <w:r/>
    </w:p>
    <w:p>
      <w:pPr>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 22.1开标后，采购中心将立即组织评标委员会（以下简称评委会）进行评标。</w:t>
      </w:r>
      <w:r/>
    </w:p>
    <w:p>
      <w:pPr>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 22.2 评委会由采购人代表和有关技术、经济等方面的专家组成，且人员构成符合政府采购有关规定。</w:t>
      </w:r>
      <w:r/>
    </w:p>
    <w:p>
      <w:pPr>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 22.3评委会独立工作，负责评审所有投标文件并确定中标候选人。</w:t>
      </w:r>
      <w:r/>
    </w:p>
    <w:p>
      <w:pPr>
        <w:pStyle w:val="696"/>
        <w:ind w:firstLine="420"/>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23、评标过程的保密与公正</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23.1凡是与审查、澄清、评价和比较投标的有关资料以及授标建议等，采购人、评委、采购中心均不得向投标人或与评标无关的其他人员透露。</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23.2在评标过程中，投标人不得以任何行为影响评标过程，否则其投标文件将被作为无效投标文件。</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23.3 采购中心和评标委员会不向未中标的投标人解释未中标原因，也不公布评标过程中的相关细节。</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23.4 采用综合评分法的项目，未中标的投标人可于中标结果公告期限届满之日起通过</w:t>
      </w:r>
      <w:r>
        <w:rPr>
          <w:rFonts w:ascii="宋体" w:hAnsi="宋体" w:cs="宋体"/>
          <w:color w:val="ff0000"/>
          <w:sz w:val="24"/>
        </w:rPr>
        <w:t xml:space="preserve">苏采云系统</w:t>
      </w:r>
      <w:r>
        <w:rPr>
          <w:rFonts w:ascii="宋体" w:hAnsi="宋体" w:cs="宋体"/>
          <w:color w:val="000000"/>
          <w:sz w:val="24"/>
        </w:rPr>
        <w:t xml:space="preserve">查看自己的评审得分及排序情况。</w:t>
      </w:r>
      <w:r/>
    </w:p>
    <w:p>
      <w:pPr>
        <w:pStyle w:val="696"/>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24</w:t>
      </w:r>
      <w:r>
        <w:rPr>
          <w:rFonts w:ascii="黑体" w:hAnsi="黑体" w:eastAsia="黑体" w:cs="黑体"/>
          <w:color w:val="000000"/>
          <w:sz w:val="28"/>
        </w:rPr>
        <w:t xml:space="preserve">、投标文件的澄清</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24.1评标期间，评委会对投标文件中含义不明确、同类问题表述不一致或者有明显文字和计算错误的内容 ，有权要求投标人作出必要的澄清、说明或者补正。</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投标人的澄清、说明或者补正不得超出投标文件的范围或者改变投标文件的实质性内容。</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评标委员会并非对每个投标人都做澄清要求。</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24.2需要供应商进行澄清、说明和补正的，评委会将通过</w:t>
      </w:r>
      <w:r>
        <w:rPr>
          <w:rFonts w:ascii="宋体" w:hAnsi="宋体" w:cs="宋体"/>
          <w:color w:val="ff0000"/>
          <w:sz w:val="24"/>
        </w:rPr>
        <w:t xml:space="preserve">苏采云系统</w:t>
      </w:r>
      <w:r>
        <w:rPr>
          <w:rFonts w:ascii="宋体" w:hAnsi="宋体" w:cs="宋体"/>
          <w:color w:val="000000"/>
          <w:sz w:val="24"/>
        </w:rPr>
        <w:t xml:space="preserve">向供应商发出“澄清要求函”，接到“澄清要求函”的投标人应当按照要求在</w:t>
      </w:r>
      <w:r>
        <w:rPr>
          <w:rFonts w:ascii="宋体" w:hAnsi="宋体" w:cs="宋体"/>
          <w:color w:val="ff0000"/>
          <w:sz w:val="24"/>
        </w:rPr>
        <w:t xml:space="preserve">苏采云系统</w:t>
      </w:r>
      <w:r>
        <w:rPr>
          <w:rFonts w:ascii="宋体" w:hAnsi="宋体" w:cs="宋体"/>
          <w:color w:val="000000"/>
          <w:sz w:val="24"/>
        </w:rPr>
        <w:t xml:space="preserve">中提交“澄清响应函”并加盖CA电子公章。澄清、说明和补正的内容作为投标文件的补充部分，具体操作方式见《操作手册》。</w:t>
      </w:r>
      <w:r/>
    </w:p>
    <w:p>
      <w:pPr>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24.3 接到评委会澄清、说明和补正要求的投标人如未按规定做出澄清、说明和补正，其风险由投标人自行承担。</w:t>
      </w:r>
      <w:r/>
    </w:p>
    <w:p>
      <w:pPr>
        <w:pStyle w:val="696"/>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25</w:t>
      </w:r>
      <w:r>
        <w:rPr>
          <w:rFonts w:ascii="黑体" w:hAnsi="黑体" w:eastAsia="黑体" w:cs="黑体"/>
          <w:color w:val="000000"/>
          <w:sz w:val="28"/>
        </w:rPr>
        <w:t xml:space="preserve">、对投标文件的初审</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25.1投标文件初审分为资格审查和符合性审查。</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 资格审查：依据法律法规和招标文件的规定，由采购人对投标文件中的资格证明文件进行审查。资格审查的结论，采购人以书面形式向评委会进行反馈。</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采购人在进行资格性审查的同时，将在“信用中国”网站（www.creditchina.gov.cn）查询投标人的信用记录，以确定投标人是否具备投标资格,查询结果留存并归档。</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25.1.3 未通过资格审查或符合性审查的投标人，采购中心将在</w:t>
      </w:r>
      <w:r>
        <w:rPr>
          <w:rFonts w:ascii="宋体" w:hAnsi="宋体" w:cs="宋体"/>
          <w:color w:val="ff0000"/>
          <w:sz w:val="24"/>
        </w:rPr>
        <w:t xml:space="preserve">苏采云系统</w:t>
      </w:r>
      <w:r>
        <w:rPr>
          <w:rFonts w:ascii="宋体" w:hAnsi="宋体" w:cs="宋体"/>
          <w:color w:val="000000"/>
          <w:sz w:val="24"/>
        </w:rPr>
        <w:t xml:space="preserve">中告知未通过资格审查或符合性审查的原因，评标结束后，采购中心将不再告知未通过资格审查和符合性审查的原因。</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25.3如果投标文件实质上没有响应招标文件的要求，评委会将予以拒绝，投标人不得通过修改或撤销不合要求的偏离或保留而使其投标成为实质性响应的投标。</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25.4评委会将对确定为实质性响应的投标进行进一步审核，确定其是否有计算上或累加上的算术错误，修正错误的原则如下：</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（1）投标文件中开标一览表内容与投标文件中相应内容不一致的，以开标一览表为准。</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（2）大写金额和小写金额不一致的，以大写金额为准。</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（3）单价金额小数点或者百分比有明显错位的，以开标一览表的总价为准，并修改单价。</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（4）总价金额与按单价汇总金额不一致的，以单价金额计算结果为准。</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同时出现两种以上错误的，按照前款规定的顺序修正。</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25.5 评委会将按上述修正错误的方法调整投标文件中的投标报价，并通过</w:t>
      </w:r>
      <w:r>
        <w:rPr>
          <w:rFonts w:ascii="宋体" w:hAnsi="宋体" w:cs="宋体"/>
          <w:color w:val="ff0000"/>
          <w:sz w:val="24"/>
        </w:rPr>
        <w:t xml:space="preserve">苏采云系统</w:t>
      </w:r>
      <w:r>
        <w:rPr>
          <w:rFonts w:ascii="宋体" w:hAnsi="宋体" w:cs="宋体"/>
          <w:color w:val="000000"/>
          <w:sz w:val="24"/>
        </w:rPr>
        <w:t xml:space="preserve">告知投标人，调整后的价格应对投标人具有约束力。如果投标人不接受修正后的价格，则其投标将被拒绝。</w:t>
      </w:r>
      <w:r/>
    </w:p>
    <w:p>
      <w:pPr>
        <w:ind w:firstLine="42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25.6投标人在开、评标全过程中应保持通讯畅通，及时登录</w:t>
      </w:r>
      <w:r>
        <w:rPr>
          <w:rFonts w:ascii="宋体" w:hAnsi="宋体" w:cs="宋体"/>
          <w:color w:val="ff0000"/>
          <w:sz w:val="24"/>
        </w:rPr>
        <w:t xml:space="preserve">苏采云系统</w:t>
      </w:r>
      <w:r>
        <w:rPr>
          <w:rFonts w:ascii="宋体" w:hAnsi="宋体" w:cs="宋体"/>
          <w:color w:val="000000"/>
          <w:sz w:val="24"/>
        </w:rPr>
        <w:t xml:space="preserve">查阅、答复相关信息，并安排专人与采购中心及评标委员会联系。</w:t>
      </w:r>
      <w:r/>
    </w:p>
    <w:p>
      <w:pPr>
        <w:pStyle w:val="696"/>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26</w:t>
      </w:r>
      <w:r>
        <w:rPr>
          <w:rFonts w:ascii="黑体" w:hAnsi="黑体" w:eastAsia="黑体" w:cs="黑体"/>
          <w:color w:val="000000"/>
          <w:sz w:val="28"/>
        </w:rPr>
        <w:t xml:space="preserve">、无效投标条款和废标条款</w:t>
      </w:r>
      <w:r/>
    </w:p>
    <w:p>
      <w:pPr>
        <w:ind w:left="479"/>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26.1无效投标条款</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 投标人在</w:t>
      </w:r>
      <w:r>
        <w:rPr>
          <w:rFonts w:ascii="宋体" w:hAnsi="宋体" w:cs="宋体"/>
          <w:color w:val="ff0000"/>
          <w:sz w:val="24"/>
        </w:rPr>
        <w:t xml:space="preserve">苏采云系统</w:t>
      </w:r>
      <w:r>
        <w:rPr>
          <w:rFonts w:ascii="宋体" w:hAnsi="宋体" w:cs="宋体"/>
          <w:color w:val="000000"/>
          <w:sz w:val="24"/>
        </w:rPr>
        <w:t xml:space="preserve">规定的时间内未成功解密电子投标文件的。</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26.1.2 投标人未按照招标文件要求上传电子投标文件的。</w:t>
      </w:r>
      <w:r/>
    </w:p>
    <w:p>
      <w:pPr>
        <w:ind w:left="479"/>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26.1.3同一投标人提交两个（含两个）以上不同的投标报价的。</w:t>
      </w:r>
      <w:r/>
    </w:p>
    <w:p>
      <w:pPr>
        <w:ind w:left="479"/>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26.1.4投标人不具备招标文件中规定资格要求的。</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26.1.5投标人的报价超过了采购预算或最高限价的。</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26.1.6未通过符合性审查的。</w:t>
      </w:r>
      <w:r/>
    </w:p>
    <w:p>
      <w:pPr>
        <w:ind w:firstLine="36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26.1.7不符合招标文件中规定的实质性要求和条件的</w:t>
      </w:r>
      <w:r>
        <w:rPr>
          <w:rFonts w:ascii="宋体" w:hAnsi="宋体" w:cs="宋体"/>
          <w:b/>
          <w:color w:val="000000"/>
          <w:sz w:val="24"/>
        </w:rPr>
        <w:t xml:space="preserve">（</w:t>
      </w:r>
      <w:r>
        <w:rPr>
          <w:rFonts w:ascii="宋体" w:hAnsi="宋体" w:cs="宋体"/>
          <w:b/>
          <w:i/>
          <w:color w:val="000000"/>
          <w:sz w:val="24"/>
          <w:u w:val="single"/>
        </w:rPr>
        <w:t xml:space="preserve">本招标文件中斜体且有下划线部分的、或者加“★”号的、或者以文字说明属于实质性要求的内容均为实质性要求和条件）。</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26.1.9 投标文件含有采购人不能接受的附加条件的。</w:t>
      </w:r>
      <w:r/>
    </w:p>
    <w:p>
      <w:pPr>
        <w:ind w:firstLine="480"/>
        <w:spacing w:after="0" w:line="439"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26.1.10投标（响应）供应商出现</w:t>
      </w:r>
      <w:r>
        <w:rPr>
          <w:rFonts w:ascii="宋体" w:hAnsi="宋体" w:cs="宋体"/>
          <w:color w:val="000000"/>
          <w:sz w:val="24"/>
        </w:rPr>
        <w:t xml:space="preserve">相关文件</w:t>
      </w:r>
      <w:r>
        <w:rPr>
          <w:rFonts w:ascii="宋体" w:hAnsi="宋体" w:cs="宋体"/>
          <w:color w:val="000000"/>
          <w:sz w:val="24"/>
          <w:szCs w:val="24"/>
        </w:rPr>
        <w:t xml:space="preserve">规定的异常低价情形的，评标委员会（评审小组）将通过苏采云系统要求其在合理的时间内提供书面说明及相关证明材料；供应商不能证明其报价合理性的，评标委员会（评审小组）应当将其作为无效响应处理。</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26.1.11 投标文件未按照招标文件要求加盖CA电子公章的。</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26.1.12其他法律、法规及本招标文件规定的属无效投标的情形。</w:t>
      </w:r>
      <w:r/>
    </w:p>
    <w:p>
      <w:pPr>
        <w:ind w:left="479"/>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26.2废标条款</w:t>
      </w:r>
      <w:r/>
    </w:p>
    <w:p>
      <w:pPr>
        <w:ind w:left="479"/>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26.2.1符合专业条件的供应商或者对招标文件作实质响应的供应商不足三家的。26.2.2出现影响采购公正的违法、违规行为的。</w:t>
      </w:r>
      <w:r/>
    </w:p>
    <w:p>
      <w:pPr>
        <w:ind w:left="479"/>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26.2.3因重大变故，采购任务取消的。</w:t>
      </w:r>
      <w:r/>
    </w:p>
    <w:p>
      <w:pPr>
        <w:ind w:left="479"/>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26.2.4评标委员会认定招标文件存在歧义、重大缺陷导致评审工作无法进行。</w:t>
      </w:r>
      <w:r/>
    </w:p>
    <w:p>
      <w:pPr>
        <w:ind w:left="479"/>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26.2.5 因</w:t>
      </w:r>
      <w:r>
        <w:rPr>
          <w:rFonts w:ascii="宋体" w:hAnsi="宋体" w:cs="宋体"/>
          <w:color w:val="ff0000"/>
          <w:sz w:val="24"/>
        </w:rPr>
        <w:t xml:space="preserve">苏采云系统</w:t>
      </w:r>
      <w:r>
        <w:rPr>
          <w:rFonts w:ascii="宋体" w:hAnsi="宋体" w:cs="宋体"/>
          <w:color w:val="000000"/>
          <w:sz w:val="24"/>
        </w:rPr>
        <w:t xml:space="preserve">系统故障原因造成开标不成功的。</w:t>
      </w:r>
      <w:r/>
    </w:p>
    <w:p>
      <w:pPr>
        <w:ind w:left="479"/>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 投标截止时间结束后参加投标的供应商不足三家的处理：</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26.3.1如出现投标截止时间结束后参加投标的供应商或者在评标期间对招标文件做出实质响应的供应商不足三家情况，按政府采购相关规定执行。</w:t>
      </w:r>
      <w:r/>
    </w:p>
    <w:p>
      <w:pPr>
        <w:pStyle w:val="695"/>
        <w:ind w:firstLine="482"/>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pStyle w:val="696"/>
        <w:ind w:firstLine="600"/>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27、确定中标单位</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27.1中标候选人的选取原则和数量见招标文件第五章规定。 </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 采购人应根据评委会推荐的中标候选人按顺序确定中标人，中标候选人并列的，由采购人依法确定。</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 采购中心将在“江苏政府采购网、常州市政府采购网”发布中标公告，公告期限为1个工作日。</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  若有充分证据证明，中标人出现下列情况之一的，一经查实，将被取消中标资格：</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27.4.1提供虚假材料谋取中标的。</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27.4.2向采购人、采购中心行贿或者提供其他不正当利益的。</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27.4.3属于本文件规定的无效条件，但在评标过程中又未被评委会发现的。</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27.4.4与采购人或者其他供应商恶意串通的。</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27.4.5采取不正当手段诋毁、排挤其他供应商的。</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27.5有下列情形之一的，视为投标人串通投标，投标无效：</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27.5.1不同投标人的投标文件由同一单位或者个人编制。</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27.5.2不同投标人委托同一单位或者个人办理投标事宜。</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27.5.3 不同投标人的投标文件载明的项目管理成员或者联系人员为同一人。</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27.5.4不同投标人的投标文件异常一致或者投标报价呈规律性差异。</w:t>
      </w:r>
      <w:r/>
    </w:p>
    <w:p>
      <w:pPr>
        <w:pStyle w:val="696"/>
        <w:ind w:firstLine="600"/>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28、质疑处理</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28.1 提出质疑的供应商应当是参与所质疑项目采购活动的供应商。潜在供应商依法获取其可质疑的采购文件的，可以对采购文件提出质疑。</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28.2.1对可以质疑的采购文件提出质疑的，为收到采购文件之日或者采购文件公告期限届满之日；</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28.2.2对采购过程提出质疑的，为各采购程序环节结束之日；</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28.2.3对中标或者成交结果提出质疑的，为中标或者成交结果公告期限届满之日。</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采购中心及采购人只接收以纸质原件形式送达的质疑,建议外地供应商尽量通过邮寄方式提交质疑</w:t>
      </w:r>
      <w:r>
        <w:rPr>
          <w:rFonts w:ascii="宋体" w:hAnsi="宋体" w:cs="宋体"/>
          <w:color w:val="ff0000"/>
          <w:sz w:val="24"/>
        </w:rPr>
        <w:t xml:space="preserve">（采购人和采购中心不接受未填写快递运单的快件）。</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采购人和采购中心质疑接收联系方式见第一章投标邀请。</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 以下情形的质疑不予受理</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28.5.1 内容不符合《政府采购质疑和投诉办法》第十二条规定的质疑。</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28.5.2 超出政府采购法定期限的质疑。</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28.5.3 以传真、电子邮件等方式递交的非原件形式的质疑。</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28.5.4 未参加投标活动的供应商或在投标活动中自身权益未受到损害的供应商所提出的质疑。</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28.5.5供应商组成联合体参加投标，联合体中任何一方或多方未按要求签字、盖章、加盖公章的质疑。</w:t>
      </w:r>
      <w:r/>
    </w:p>
    <w:p>
      <w:pPr>
        <w:ind w:firstLine="468"/>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96"/>
        <w:ind w:firstLine="600"/>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29、中标通知书</w:t>
      </w:r>
      <w:r/>
    </w:p>
    <w:p>
      <w:pPr>
        <w:ind w:firstLine="60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29.l中标结果确定后，采购中心将向中标人发出中标通知书。请中标人在中标结果公告届满之日起30日内,使用CA数字证书登录</w:t>
      </w:r>
      <w:r>
        <w:rPr>
          <w:rFonts w:ascii="宋体" w:hAnsi="宋体" w:cs="宋体"/>
          <w:color w:val="ff0000"/>
          <w:sz w:val="24"/>
        </w:rPr>
        <w:t xml:space="preserve">苏采云系统</w:t>
      </w:r>
      <w:r>
        <w:rPr>
          <w:rFonts w:ascii="宋体" w:hAnsi="宋体" w:cs="宋体"/>
          <w:color w:val="000000"/>
          <w:sz w:val="24"/>
        </w:rPr>
        <w:t xml:space="preserve">及时下载中标通知书。因系统存储空间有限，自中标结果公告届满之日起30日后，</w:t>
      </w:r>
      <w:r>
        <w:rPr>
          <w:rFonts w:ascii="宋体" w:hAnsi="宋体" w:cs="宋体"/>
          <w:color w:val="ff0000"/>
          <w:sz w:val="24"/>
        </w:rPr>
        <w:t xml:space="preserve">苏采云系统</w:t>
      </w:r>
      <w:r>
        <w:rPr>
          <w:rFonts w:ascii="宋体" w:hAnsi="宋体" w:cs="宋体"/>
          <w:color w:val="000000"/>
          <w:sz w:val="24"/>
        </w:rPr>
        <w:t xml:space="preserve">不再保证提供下载中标通知书服务,因未及时下载而造成的不利后果由中标人自行承担。</w:t>
      </w:r>
      <w:r/>
    </w:p>
    <w:p>
      <w:pPr>
        <w:ind w:firstLine="60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695"/>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pStyle w:val="696"/>
        <w:ind w:firstLine="600"/>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 签订合同</w:t>
      </w:r>
      <w:r/>
    </w:p>
    <w:p>
      <w:pPr>
        <w:ind w:firstLine="60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30.l中标人应当在中标通知书发出之日起三十日内，按照招标文件确定的事项与采购人签订政府采购合同。</w:t>
      </w:r>
      <w:r/>
    </w:p>
    <w:p>
      <w:pPr>
        <w:ind w:firstLine="60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30.2招标文件、中标人的投标文件及招标过程中有关澄清、承诺文件均应作为合同附件。</w:t>
      </w:r>
      <w:r/>
    </w:p>
    <w:p>
      <w:pPr>
        <w:ind w:firstLine="60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30.3 签订合同后，</w:t>
      </w:r>
      <w:r>
        <w:rPr>
          <w:rFonts w:ascii="宋体" w:hAnsi="宋体" w:cs="宋体"/>
          <w:i/>
          <w:color w:val="000000"/>
          <w:sz w:val="24"/>
          <w:u w:val="single"/>
        </w:rPr>
        <w:t xml:space="preserve">中标人不得将合同标的进行转包</w:t>
      </w:r>
      <w:r>
        <w:rPr>
          <w:rFonts w:ascii="宋体" w:hAnsi="宋体" w:cs="宋体"/>
          <w:color w:val="000000"/>
          <w:sz w:val="24"/>
        </w:rPr>
        <w:t xml:space="preserve">。未经采购人同意，中标人也不得采用分包的形式履行合同，否则采购人有权终止合同。转包或分包造成采购人损失的，中标人应承担相应赔偿责任。</w:t>
      </w:r>
      <w:r/>
    </w:p>
    <w:p>
      <w:pPr>
        <w:pStyle w:val="696"/>
        <w:ind w:firstLine="600"/>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31、服务（包含与服务相关的货物）的追加</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96"/>
        <w:ind w:firstLine="600"/>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32、需要执行的政府采购政策（包括但不限于）</w:t>
      </w:r>
      <w:r/>
    </w:p>
    <w:p>
      <w:pPr>
        <w:ind w:firstLine="482"/>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32.1履约资金扶持政策</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中标人可凭政府采购合同办理融资贷款，详情请见江苏政府采购网“政采贷”专栏。</w:t>
      </w:r>
      <w:r/>
    </w:p>
    <w:p>
      <w:pPr>
        <w:ind w:firstLine="482"/>
        <w:spacing w:after="0" w:line="479" w:lineRule="atLeast"/>
        <w:tabs>
          <w:tab w:val="left" w:pos="1381" w:leader="none"/>
        </w:tabs>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32.2进口产品</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32.3中小企业、监狱企业及残疾人福利性单位</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32.3.1中小企业定义：</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中小企业是</w:t>
      </w:r>
      <w:r>
        <w:rPr>
          <w:rFonts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32.3.2供应商提供的货物、工程或者服务符合下列情形的，享受中小企业扶持政策：</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32.3.2.1在货物采购项目中，货物由中小企业制造，即货物由中小企业生产且使用该中小企业商号或者注册商标；</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32.3.2.2在工程采购项目中，工程由中小企业承建，即工程施工单位为中小企业；</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32.3.2.3在服务采购项目中，服务由中小企业承接，即提供服务的人员为中小企业依照《中华人民共和国劳动合同法》订立劳动合同的从业人员。</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32.3.3在货物采购项目中，供应商提供的货物既有中小企业制造货物，也有大型企业制造货物的，不享受中小企业扶持政策。</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32.3.4以联合体形式参加政府采购活动，联合体各方均为中小企业的，联合体视同中小企业。其中，联合体各方均为小微企业的，联合体视同小微企业。</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32.3.6残疾人福利单位定义：享受政府采购支持政策的残疾人福利性单位应当同时满足以下条件：</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32.3.6.1安置的残疾人占本单位在职职工人数的比例不低于25%（含25%），并且安置的残疾人人数不少于10 人（含10 人）；</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32.3.6.2依法与安置的每位残疾人签订了一年以上（含一年）的劳动合同或服务协议；</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32.3.6.3为安置的每位残疾人按月足额缴纳了基本养老保险、基本医疗保险、失业保险、工伤保险和生育保险等社会保险费；</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32.3.6.4通过银行等金融机构向安置的每位残疾人，按月支付了不低于单位所在区县适用的经省级人民政府批准的月最低工资标准的工资；</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32.3.7本项目是否专门面向中小企业预留采购份额见第一章《投标邀请》。</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32.3.8采购标的对应的中小企业划分标准所属行业见第四章《采购需求》。</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32.3.9小微企业价格评审优惠的政策调整：见第五章《评标方法和评标标准》。</w:t>
      </w:r>
      <w:r/>
    </w:p>
    <w:p>
      <w:pPr>
        <w:ind w:firstLine="482"/>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32.4政府采购节能产品、环境标志产品</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32.4.1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32.4.2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32.4.2</w:t>
      </w:r>
      <w:r>
        <w:rPr>
          <w:rFonts w:ascii="宋体" w:hAnsi="宋体" w:cs="宋体"/>
          <w:b/>
          <w:color w:val="000000"/>
          <w:sz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32.4.2非政府强制采购的节能产品或环境标志产品，依据品目清单和认证证书实施政府优先采购。优先采购的具体规定见第五章《评标方法和评标标准》（如涉及）。</w:t>
      </w:r>
      <w:r/>
    </w:p>
    <w:p>
      <w:pPr>
        <w:ind w:firstLine="482"/>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32.5绿色包装</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32.6支持乡村产业振兴管理</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32.7正版软件</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32.7.1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32.8政府采购创新产品政策</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82"/>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32.9绿色数据中心政策 </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依据《绿色数据中心政府采购需求标准（试行）》（财办库〔2023〕7号）文件精神，采购</w:t>
      </w:r>
      <w:r>
        <w:rPr>
          <w:rFonts w:ascii="宋体" w:hAnsi="宋体" w:cs="宋体"/>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after="0" w:line="479"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rPr>
          <w:rFonts w:ascii="宋体" w:hAnsi="宋体" w:cs="宋体"/>
          <w:b/>
          <w:color w:val="000000"/>
          <w:sz w:val="24"/>
        </w:rPr>
        <w:t xml:space="preserve">32.10履约保证金相关政策</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80"/>
        <w:spacing w:after="0"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20"/>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693"/>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第三章  合同文本</w:t>
      </w:r>
      <w:r/>
    </w:p>
    <w:p>
      <w:pPr>
        <w:ind w:firstLine="480"/>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以下为中标后签定本项目合同的通用条款，中标人不得提出实质性的修改。</w:t>
      </w:r>
      <w:r/>
    </w:p>
    <w:p>
      <w:pPr>
        <w:ind w:firstLine="640"/>
        <w:spacing w:after="0" w:line="499" w:lineRule="atLeast"/>
        <w:pBdr>
          <w:top w:val="none" w:color="000000" w:sz="0" w:space="0"/>
          <w:left w:val="none" w:color="000000" w:sz="0" w:space="0"/>
          <w:bottom w:val="none" w:color="000000" w:sz="0" w:space="0"/>
          <w:right w:val="none" w:color="000000" w:sz="0" w:space="0"/>
        </w:pBdr>
      </w:pPr>
      <w:r/>
      <w:r/>
    </w:p>
    <w:p>
      <w:pPr>
        <w:jc w:val="center"/>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常州市政府采购合同（服务）（合同编号）</w:t>
      </w:r>
      <w:r/>
    </w:p>
    <w:p>
      <w:pPr>
        <w:spacing w:before="120" w:after="12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甲方：（买方）_________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乙方：（卖方）_________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甲、乙双方根据常州市政府采购中心</w:t>
      </w:r>
      <w:r>
        <w:rPr>
          <w:rFonts w:ascii="宋体" w:hAnsi="宋体" w:cs="宋体"/>
          <w:color w:val="000000"/>
          <w:sz w:val="24"/>
          <w:u w:val="single"/>
        </w:rPr>
        <w:t xml:space="preserve">        </w:t>
      </w:r>
      <w:r>
        <w:rPr>
          <w:rFonts w:ascii="宋体" w:hAnsi="宋体" w:cs="宋体"/>
          <w:color w:val="000000"/>
          <w:sz w:val="24"/>
        </w:rPr>
        <w:t xml:space="preserve">项目公开招标的结果，签署本合同。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一、合同内容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标的名称：</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1.2标的质量：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 标的数量（规模）：</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 履行时间（期限）：</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 履行地点：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1.6履行方式：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二、合同金额</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 本合同金额为（大写）：____________________________________圆（_______________元）人民币或其他币种。</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3.1乙方应按招标文件规定的时间向甲方提供服务（包含与服务相关的货物）的有关技术资料。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四、知识产权</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五、产权担保</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 乙方保证所交付的服务（包含与服务相关的货物）的所有权完全属于乙方且无任何抵押、查封等产权瑕疵。</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六、履约保证金</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本项目</w:t>
      </w:r>
      <w:r>
        <w:rPr>
          <w:rFonts w:hint="eastAsia" w:ascii="宋体" w:hAnsi="宋体" w:cs="宋体"/>
          <w:color w:val="000000"/>
          <w:sz w:val="24"/>
          <w:u w:val="single"/>
        </w:rPr>
        <w:t xml:space="preserve"> </w:t>
      </w:r>
      <w:r>
        <w:rPr>
          <w:rFonts w:ascii="宋体" w:hAnsi="宋体" w:cs="宋体"/>
          <w:color w:val="000000"/>
          <w:sz w:val="24"/>
          <w:u w:val="single"/>
        </w:rPr>
        <w:t xml:space="preserve">不收取</w:t>
      </w:r>
      <w:r>
        <w:rPr>
          <w:rFonts w:hint="eastAsia" w:ascii="宋体" w:hAnsi="宋体" w:cs="宋体"/>
          <w:color w:val="000000"/>
          <w:sz w:val="24"/>
          <w:u w:val="single"/>
        </w:rPr>
        <w:t xml:space="preserve"> </w:t>
      </w:r>
      <w:r>
        <w:rPr>
          <w:rFonts w:ascii="宋体" w:hAnsi="宋体" w:cs="宋体"/>
          <w:color w:val="000000"/>
          <w:sz w:val="24"/>
        </w:rPr>
        <w:t xml:space="preserve">履约保证金。</w:t>
      </w:r>
      <w:r/>
    </w:p>
    <w:p>
      <w:pPr>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七、合同转包或分包</w:t>
      </w:r>
      <w:r/>
    </w:p>
    <w:p>
      <w:pPr>
        <w:spacing w:before="156" w:after="15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7.1乙方不得将合同标的转包给他人履行。</w:t>
      </w:r>
      <w:r/>
    </w:p>
    <w:p>
      <w:pPr>
        <w:spacing w:before="156" w:after="15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7.2乙方不得将合同标的分包给他人履行。</w:t>
      </w:r>
      <w:r/>
    </w:p>
    <w:p>
      <w:pPr>
        <w:spacing w:before="156" w:after="15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7.3乙方如有转包或未经甲方同意的分包行为，甲方有权解除合同。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八、合同款项支付</w:t>
      </w:r>
      <w:r/>
    </w:p>
    <w:p>
      <w:pPr>
        <w:spacing w:before="156" w:after="156"/>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分包1：</w:t>
      </w:r>
      <w:r/>
    </w:p>
    <w:p>
      <w:pPr>
        <w:spacing w:before="156" w:after="156"/>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8.1 合同签订（收到发票）后10个工作日内，甲方向乙方支付合同总价的50%；</w:t>
      </w:r>
      <w:r/>
    </w:p>
    <w:p>
      <w:pPr>
        <w:spacing w:before="156" w:after="156"/>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8.2 2026年12月31日之前，依据监理核实确认工作量并出具同意支付意见，甲方自收到发票起10个工作日内，一次性支付乙方剩余50%尾款。</w:t>
      </w:r>
      <w:r/>
    </w:p>
    <w:p>
      <w:pPr>
        <w:spacing w:before="156" w:after="156"/>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8.3 运维服务采取包干制方式，包含但不限于一年期一体化政务服务平台所有软件运行维护（“一网通办”运维、公共支撑运维、系统对接运维和信息安全运维），超出部分乙方自行承担，但不得降低运维服务标准及要求。</w:t>
      </w:r>
      <w:r/>
    </w:p>
    <w:p>
      <w:pPr>
        <w:spacing w:before="156" w:after="156"/>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分包2：</w:t>
      </w:r>
      <w:r/>
    </w:p>
    <w:p>
      <w:pPr>
        <w:spacing w:before="156" w:after="156"/>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8.1 合同签订（收到发票）后10个工作日内，甲方向乙方支付合同总价的50%；</w:t>
      </w:r>
      <w:r/>
    </w:p>
    <w:p>
      <w:pPr>
        <w:spacing w:before="156" w:after="156"/>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8.2 2026年12月31日之前，自收到发票起10个工作日内，甲方一次性支付乙方剩余50%尾款。</w:t>
      </w:r>
      <w:r/>
    </w:p>
    <w:p>
      <w:pPr>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九、税费</w:t>
      </w:r>
      <w:r/>
    </w:p>
    <w:p>
      <w:pPr>
        <w:spacing w:before="156" w:after="15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9.1本合同执行中相关的一切税费均由乙方负担。</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十、项目验收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 甲方依法组织履约验收工作。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10.3 对于实际使用人和甲方分离的项目，甲方邀请实际使用人参与验收。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10.4 如有必要，甲方邀请参加本项目的其他供应商或第三方专业机构及专家参与验收，相关意见将作为验收书的参考资料。</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履约验收的各项资料存档备查。</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10.6 采购合同的履行、违约责任和解决争议的方式等适用《民法典》。乙方在履约过程中有政府采购法律法规规定的违法违规情形的,甲方将及时报告本级财政部门。</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十一、违约责任</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 甲方无正当理由拒绝接受乙方提供服务的，甲方向乙方偿付拒绝接受服务合同价款总值</w:t>
      </w:r>
      <w:r>
        <w:rPr>
          <w:rFonts w:ascii="宋体" w:hAnsi="宋体" w:cs="宋体"/>
          <w:color w:val="000000"/>
          <w:sz w:val="24"/>
          <w:u w:val="single"/>
        </w:rPr>
        <w:t xml:space="preserve">    </w:t>
      </w:r>
      <w:r>
        <w:rPr>
          <w:rFonts w:ascii="宋体" w:hAnsi="宋体" w:cs="宋体"/>
          <w:color w:val="000000"/>
          <w:sz w:val="24"/>
        </w:rPr>
        <w:t xml:space="preserve">的违约金。</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 甲方无故逾期验收和办理合同款项支付手续的,甲方应按逾期付款总额</w:t>
      </w:r>
      <w:r>
        <w:rPr>
          <w:rFonts w:ascii="宋体" w:hAnsi="宋体" w:cs="宋体"/>
          <w:color w:val="000000"/>
          <w:sz w:val="24"/>
          <w:u w:val="single"/>
        </w:rPr>
        <w:t xml:space="preserve">    </w:t>
      </w:r>
      <w:r>
        <w:rPr>
          <w:rFonts w:ascii="宋体" w:hAnsi="宋体" w:cs="宋体"/>
          <w:color w:val="000000"/>
          <w:sz w:val="24"/>
        </w:rPr>
        <w:t xml:space="preserve">每日向乙方支付违约金。</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cs="宋体"/>
          <w:color w:val="000000"/>
          <w:sz w:val="24"/>
          <w:u w:val="single"/>
        </w:rPr>
        <w:t xml:space="preserve">     </w:t>
      </w:r>
      <w:r>
        <w:rPr>
          <w:rFonts w:ascii="宋体" w:hAnsi="宋体" w:cs="宋体"/>
          <w:color w:val="000000"/>
          <w:sz w:val="24"/>
        </w:rPr>
        <w:t xml:space="preserve">的违约金，如造成甲方损失超过违约金的，超出部分由乙方继续承担赔偿责任。 </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11.4 乙方所提供服务的标准不符合合同规定及招标文件规定标准的，甲方有权拒绝接受服务，并可单方面解除合同。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十二、不可抗力事件处理</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 在合同有效期内，任何一方因不可抗力事件导致不能履行合同，则合同履行期可延长，其延长期与不可抗力影响 期相同。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 不可抗力事件发生后，应立即通知对方，并寄送有关权威机构出具的证明。</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12.3 不可抗力事件延续120天以上，双方应通过友好协商，确定是否继续履行合同。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十三、解决争议的方法</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13.1双方在签订、履行合同中所发生的一切争议，应通过友好协商解决。如协商不成，由甲方住所地人民法院管辖。</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十四、合同生效及其它</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 合同经双方法定代表人或授权委托代表人签字并加盖单位公章后生效。</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14.2本合同未尽事宜，遵照《民法典》、《政府采购法》有关条文执行。</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14.3 本合同正本一式两份，具有同等法律效力，甲方、乙方各执一份。</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甲方：                       乙方：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地址：                       地址：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法定代表人或授权代表：        法定代表人或授权代表：</w:t>
      </w:r>
      <w:r/>
    </w:p>
    <w:p>
      <w:pPr>
        <w:ind w:firstLine="24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                    联系电话：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签订日期：      年    月   日</w:t>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spacing w:before="120" w:after="12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jc w:val="center"/>
        <w:spacing w:before="120" w:after="12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693"/>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spacing w:before="240" w:after="240"/>
        <w:rPr>
          <w:rFonts w:hint="eastAsia" w:ascii="黑体" w:hAnsi="黑体" w:eastAsia="黑体" w:cs="黑体"/>
          <w:b/>
          <w:color w:val="000000"/>
          <w:sz w:val="32"/>
          <w:szCs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szCs w:val="32"/>
        </w:rPr>
        <w:t xml:space="preserve">分包1：</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一、采购标的</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w:t>
      </w:r>
      <w:r>
        <w:rPr>
          <w:rFonts w:ascii="宋体" w:hAnsi="宋体" w:cs="宋体"/>
          <w:color w:val="000000"/>
          <w:sz w:val="24"/>
        </w:rPr>
        <w:t xml:space="preserve">项目名称：</w:t>
      </w:r>
      <w:r>
        <w:rPr>
          <w:color w:val="000000"/>
          <w:sz w:val="24"/>
          <w:szCs w:val="24"/>
        </w:rPr>
        <w:t xml:space="preserve">2026年度常州市一体化政务服务平台软件运维服务</w:t>
      </w:r>
      <w:r>
        <w:rPr>
          <w:rFonts w:eastAsia="Times New Roman"/>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2.预算金额：</w:t>
      </w:r>
      <w:r>
        <w:rPr>
          <w:rFonts w:hint="eastAsia" w:ascii="宋体" w:hAnsi="宋体" w:cs="宋体"/>
          <w:color w:val="000000"/>
          <w:sz w:val="24"/>
          <w:szCs w:val="24"/>
        </w:rPr>
        <w:t xml:space="preserve">347.99万元</w:t>
      </w:r>
      <w:r>
        <w:rPr>
          <w:rFonts w:ascii="宋体" w:hAnsi="宋体" w:cs="宋体"/>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3.最高限价：</w:t>
      </w:r>
      <w:r>
        <w:rPr>
          <w:rFonts w:hint="eastAsia" w:ascii="宋体" w:hAnsi="宋体" w:cs="宋体"/>
          <w:color w:val="000000"/>
          <w:sz w:val="24"/>
          <w:szCs w:val="24"/>
        </w:rPr>
        <w:t xml:space="preserve">347.99万元</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4.采购项目概况（简介）：</w:t>
      </w:r>
      <w:r>
        <w:rPr>
          <w:rFonts w:hint="eastAsia" w:ascii="宋体" w:hAnsi="宋体" w:cs="宋体"/>
          <w:color w:val="000000"/>
          <w:sz w:val="24"/>
          <w:szCs w:val="24"/>
        </w:rPr>
        <w:t xml:space="preserve">完成2026年度常州市一体化政务服务平台软件运维工作，包括“一网通办”运维工作、公共支撑运维工作、系统对接运维工作以及信息安全运维工作。</w:t>
      </w:r>
      <w:r>
        <w:rPr>
          <w:rFonts w:hint="eastAsia" w:ascii="宋体" w:hAnsi="宋体" w:cs="宋体"/>
          <w:color w:val="000000"/>
          <w:sz w:val="24"/>
        </w:rPr>
        <w:t xml:space="preserve">（每个投标人可选择相应的分包投标，兼投不兼中。在分包一中被推荐为第一中标候选人的单位可参与分包二评标，但不得成为分包二的推荐中标候选人，按分包顺序，以此类推。）</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5.合同履行期限：</w:t>
      </w:r>
      <w:r>
        <w:rPr>
          <w:rFonts w:hint="eastAsia" w:ascii="宋体" w:hAnsi="宋体" w:cs="宋体"/>
          <w:color w:val="000000"/>
          <w:sz w:val="24"/>
          <w:szCs w:val="24"/>
        </w:rPr>
        <w:t xml:space="preserve">一年</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6.是/否接受联合体投标：</w:t>
      </w:r>
      <w:r>
        <w:rPr>
          <w:rFonts w:hint="eastAsia" w:ascii="宋体" w:hAnsi="宋体" w:cs="宋体"/>
          <w:color w:val="000000"/>
          <w:sz w:val="24"/>
        </w:rPr>
        <w:t xml:space="preserve">否</w:t>
      </w:r>
      <w:r>
        <w:rPr>
          <w:rFonts w:ascii="宋体" w:hAnsi="宋体" w:cs="宋体"/>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sz w:val="24"/>
        </w:rPr>
        <w:t xml:space="preserve">7.</w:t>
      </w:r>
      <w:r>
        <w:rPr>
          <w:rFonts w:ascii="宋体" w:hAnsi="宋体" w:cs="宋体"/>
          <w:color w:val="000000"/>
          <w:sz w:val="24"/>
        </w:rPr>
        <w:t xml:space="preserve">是</w:t>
      </w:r>
      <w:r>
        <w:rPr>
          <w:rFonts w:eastAsia="Times New Roman"/>
          <w:color w:val="000000"/>
          <w:sz w:val="24"/>
        </w:rPr>
        <w:t xml:space="preserve">/</w:t>
      </w:r>
      <w:r>
        <w:rPr>
          <w:rFonts w:ascii="宋体" w:hAnsi="宋体" w:cs="宋体"/>
          <w:color w:val="000000"/>
          <w:sz w:val="24"/>
        </w:rPr>
        <w:t xml:space="preserve">否接受分支机构参与响应：</w:t>
      </w:r>
      <w:r>
        <w:rPr>
          <w:rFonts w:hint="eastAsia" w:ascii="宋体" w:hAnsi="宋体" w:cs="宋体"/>
          <w:color w:val="000000"/>
          <w:sz w:val="24"/>
        </w:rPr>
        <w:t xml:space="preserve">否</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8.是/否属于政府购买服务：</w:t>
      </w:r>
      <w:r>
        <w:rPr>
          <w:rFonts w:hint="eastAsia" w:ascii="宋体" w:hAnsi="宋体" w:cs="宋体"/>
          <w:color w:val="000000"/>
          <w:sz w:val="24"/>
        </w:rPr>
        <w:t xml:space="preserve">是</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9.是</w:t>
      </w:r>
      <w:r>
        <w:rPr>
          <w:rFonts w:eastAsia="Times New Roman"/>
          <w:color w:val="000000"/>
          <w:sz w:val="24"/>
        </w:rPr>
        <w:t xml:space="preserve">/</w:t>
      </w:r>
      <w:r>
        <w:rPr>
          <w:rFonts w:ascii="宋体" w:hAnsi="宋体" w:cs="宋体"/>
          <w:color w:val="000000"/>
          <w:sz w:val="24"/>
        </w:rPr>
        <w:t xml:space="preserve">否接受进口产品投标：</w:t>
      </w:r>
      <w:r>
        <w:rPr>
          <w:rFonts w:hint="eastAsia" w:ascii="宋体" w:hAnsi="宋体" w:cs="宋体"/>
          <w:color w:val="000000"/>
          <w:sz w:val="24"/>
        </w:rPr>
        <w:t xml:space="preserve">否</w:t>
      </w:r>
      <w:r/>
    </w:p>
    <w:p>
      <w:pPr>
        <w:spacing w:after="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 是/否专门面向中小企业预留采购份额：</w:t>
      </w:r>
      <w:r>
        <w:rPr>
          <w:rFonts w:hint="eastAsia" w:ascii="宋体" w:hAnsi="宋体" w:cs="宋体"/>
          <w:color w:val="000000"/>
          <w:sz w:val="24"/>
        </w:rPr>
        <w:t xml:space="preserve">否</w:t>
      </w:r>
      <w:r/>
    </w:p>
    <w:p>
      <w:pPr>
        <w:spacing w:after="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11.本项目的特定资格要求：</w:t>
      </w:r>
      <w:r>
        <w:rPr>
          <w:rFonts w:hint="eastAsia" w:ascii="宋体" w:hAnsi="宋体" w:cs="宋体"/>
          <w:color w:val="000000"/>
          <w:sz w:val="24"/>
        </w:rPr>
        <w:t xml:space="preserve">无</w:t>
      </w:r>
      <w:r/>
    </w:p>
    <w:p>
      <w:pPr>
        <w:spacing w:after="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12.项目类别：</w:t>
      </w:r>
      <w:r>
        <w:rPr>
          <w:rFonts w:hint="eastAsia" w:ascii="宋体" w:hAnsi="宋体" w:cs="宋体"/>
          <w:color w:val="000000"/>
          <w:sz w:val="24"/>
        </w:rPr>
        <w:t xml:space="preserve">服务类</w:t>
      </w:r>
      <w:r>
        <w:rPr>
          <w:rFonts w:ascii="宋体" w:hAnsi="宋体" w:cs="宋体"/>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二、商务要求</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 </w:t>
      </w:r>
      <w:r>
        <w:rPr>
          <w:rFonts w:ascii="宋体" w:hAnsi="宋体" w:cs="宋体"/>
          <w:color w:val="000000"/>
          <w:sz w:val="24"/>
        </w:rPr>
        <w:t xml:space="preserve">交付（实施）的时间（期限）和地点（范围）</w:t>
      </w:r>
      <w:r/>
    </w:p>
    <w:p>
      <w:pPr>
        <w:rPr>
          <w:i/>
          <w:sz w:val="24"/>
        </w:rPr>
      </w:pPr>
      <w:r>
        <w:rPr>
          <w:rFonts w:ascii="宋体" w:hAnsi="宋体" w:cs="宋体"/>
          <w:color w:val="000000"/>
          <w:sz w:val="24"/>
        </w:rPr>
        <w:t xml:space="preserve"> </w:t>
      </w:r>
      <w:r>
        <w:rPr>
          <w:rFonts w:hint="eastAsia" w:ascii="宋体" w:hAnsi="宋体" w:cs="宋体"/>
          <w:color w:val="000000"/>
          <w:sz w:val="24"/>
        </w:rPr>
        <w:t xml:space="preserve">一年，常州</w:t>
      </w:r>
      <w:r/>
    </w:p>
    <w:p>
      <w:pPr>
        <w:spacing w:after="0"/>
        <w:pBdr>
          <w:top w:val="none" w:color="000000" w:sz="0" w:space="0"/>
          <w:left w:val="none" w:color="000000" w:sz="0" w:space="0"/>
          <w:bottom w:val="none" w:color="000000" w:sz="0" w:space="0"/>
          <w:right w:val="none" w:color="000000" w:sz="0" w:space="0"/>
        </w:pBdr>
      </w:pPr>
      <w:r/>
      <w:r/>
    </w:p>
    <w:p>
      <w:pPr>
        <w:spacing w:after="0"/>
        <w:pBdr>
          <w:top w:val="none" w:color="000000" w:sz="0" w:space="0"/>
          <w:left w:val="none" w:color="000000" w:sz="0" w:space="0"/>
          <w:bottom w:val="none" w:color="000000" w:sz="0" w:space="0"/>
          <w:right w:val="none" w:color="000000" w:sz="0" w:space="0"/>
        </w:pBdr>
      </w:pPr>
      <w:r>
        <w:rPr>
          <w:rFonts w:eastAsia="Times New Roman"/>
          <w:color w:val="000000"/>
          <w:sz w:val="24"/>
        </w:rPr>
        <w:t xml:space="preserve">2. </w:t>
      </w:r>
      <w:r>
        <w:rPr>
          <w:rFonts w:ascii="宋体" w:hAnsi="宋体" w:cs="宋体"/>
          <w:color w:val="000000"/>
          <w:sz w:val="24"/>
        </w:rPr>
        <w:t xml:space="preserve">付款条件（进度和方式）</w:t>
      </w:r>
      <w:r/>
    </w:p>
    <w:p>
      <w:pPr>
        <w:spacing w:before="120" w:after="120"/>
        <w:rPr>
          <w:rFonts w:hint="eastAsia" w:ascii="宋体" w:hAnsi="宋体"/>
          <w:sz w:val="24"/>
          <w:szCs w:val="24"/>
        </w:rPr>
      </w:pPr>
      <w:r>
        <w:rPr>
          <w:rFonts w:hint="eastAsia" w:ascii="宋体" w:hAnsi="宋体"/>
          <w:sz w:val="24"/>
          <w:szCs w:val="24"/>
        </w:rPr>
        <w:t xml:space="preserve">（1）合同签订（收到发票）后10个工作日内，甲方向乙方支付合同总价的50%；</w:t>
      </w:r>
      <w:r/>
    </w:p>
    <w:p>
      <w:pPr>
        <w:spacing w:before="120" w:after="120"/>
        <w:rPr>
          <w:rFonts w:hint="eastAsia" w:ascii="宋体" w:hAnsi="宋体"/>
          <w:sz w:val="24"/>
          <w:szCs w:val="24"/>
        </w:rPr>
      </w:pPr>
      <w:r>
        <w:rPr>
          <w:rFonts w:hint="eastAsia" w:ascii="宋体" w:hAnsi="宋体"/>
          <w:sz w:val="24"/>
          <w:szCs w:val="24"/>
        </w:rPr>
        <w:t xml:space="preserve">（2）2025年12月31日之前，依据监理核实确认工作量并出具同意支付意见，甲方自收到发票起10个工作日内，一次性支付乙方剩余50%尾款。</w:t>
      </w:r>
      <w:r/>
    </w:p>
    <w:p>
      <w:pPr>
        <w:spacing w:before="120" w:after="120"/>
      </w:pPr>
      <w:r>
        <w:rPr>
          <w:rFonts w:hint="eastAsia" w:ascii="宋体" w:hAnsi="宋体"/>
          <w:sz w:val="24"/>
          <w:szCs w:val="24"/>
        </w:rPr>
        <w:t xml:space="preserve">（3）运维服务采取包干制方式，包含但不限于一年期一体化政务服务平台所有软件运行维护（“一网通办”运维、公共支撑运维、系统对接运维和信息安全运维），超出部分乙方自行承担，但不得降低运维服务标准及要求。</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sz w:val="24"/>
        </w:rPr>
        <w:t xml:space="preserve">3. </w:t>
      </w:r>
      <w:r>
        <w:rPr>
          <w:rFonts w:ascii="宋体" w:hAnsi="宋体" w:cs="宋体"/>
          <w:color w:val="000000"/>
          <w:sz w:val="24"/>
        </w:rPr>
        <w:t xml:space="preserve">包装和运输</w:t>
      </w:r>
      <w:r/>
    </w:p>
    <w:p>
      <w:pPr>
        <w:spacing w:after="0"/>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无</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sz w:val="24"/>
        </w:rPr>
        <w:t xml:space="preserve">4. </w:t>
      </w:r>
      <w:r>
        <w:rPr>
          <w:rFonts w:ascii="宋体" w:hAnsi="宋体" w:cs="宋体"/>
          <w:color w:val="000000"/>
          <w:sz w:val="24"/>
        </w:rPr>
        <w:t xml:space="preserve">售后服务（质保期等）</w:t>
      </w:r>
      <w:r/>
    </w:p>
    <w:p>
      <w:pPr>
        <w:rPr>
          <w:sz w:val="24"/>
        </w:rPr>
      </w:pPr>
      <w:r>
        <w:rPr>
          <w:rFonts w:hint="eastAsia"/>
          <w:sz w:val="24"/>
        </w:rPr>
        <w:t xml:space="preserve">（1）提供24小时技术支持热线，免费提供技术咨询。</w:t>
      </w:r>
      <w:r/>
    </w:p>
    <w:p>
      <w:pPr>
        <w:rPr>
          <w:sz w:val="24"/>
        </w:rPr>
      </w:pPr>
      <w:r>
        <w:rPr>
          <w:rFonts w:hint="eastAsia"/>
          <w:sz w:val="24"/>
        </w:rPr>
        <w:t xml:space="preserve">（2）提供免费培训，并给出详细的培训方案，技术培训的内容覆盖系统的日常操作和管理维护。</w:t>
      </w:r>
      <w:r/>
    </w:p>
    <w:p>
      <w:pPr>
        <w:rPr>
          <w:sz w:val="24"/>
        </w:rPr>
      </w:pPr>
      <w:r>
        <w:rPr>
          <w:rFonts w:hint="eastAsia"/>
          <w:sz w:val="24"/>
        </w:rPr>
        <w:t xml:space="preserve">（3）在接到采购人故障报告后响应时间不超过2小时，一般性故障4小时处理完成，对于复杂故障问题8小时内处理完成。若确认故障远程无法解决后，在客观条件允许的情况下，第一时间到达故障现场，4小时内恢复系统基本功能，2个工作日内解决故障；</w:t>
      </w:r>
      <w:r/>
    </w:p>
    <w:p>
      <w:pPr>
        <w:spacing w:after="0"/>
        <w:pBdr>
          <w:top w:val="none" w:color="000000" w:sz="0" w:space="0"/>
          <w:left w:val="none" w:color="000000" w:sz="0" w:space="0"/>
          <w:bottom w:val="none" w:color="000000" w:sz="0" w:space="0"/>
          <w:right w:val="none" w:color="000000" w:sz="0" w:space="0"/>
        </w:pBdr>
      </w:pPr>
      <w:r/>
      <w:r/>
    </w:p>
    <w:p>
      <w:pPr>
        <w:spacing w:after="0"/>
        <w:pBdr>
          <w:top w:val="none" w:color="000000" w:sz="0" w:space="0"/>
          <w:left w:val="none" w:color="000000" w:sz="0" w:space="0"/>
          <w:bottom w:val="none" w:color="000000" w:sz="0" w:space="0"/>
          <w:right w:val="none" w:color="000000" w:sz="0" w:space="0"/>
        </w:pBdr>
      </w:pPr>
      <w:r>
        <w:rPr>
          <w:rFonts w:eastAsia="Times New Roman"/>
          <w:color w:val="000000"/>
          <w:sz w:val="24"/>
        </w:rPr>
        <w:t xml:space="preserve">5. </w:t>
      </w:r>
      <w:r>
        <w:rPr>
          <w:rFonts w:ascii="宋体" w:hAnsi="宋体" w:cs="宋体"/>
          <w:color w:val="000000"/>
          <w:sz w:val="24"/>
        </w:rPr>
        <w:t xml:space="preserve">保险</w:t>
      </w:r>
      <w:r/>
    </w:p>
    <w:p>
      <w:pPr>
        <w:spacing w:after="0"/>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无</w:t>
      </w:r>
      <w:r>
        <w:rPr>
          <w:rFonts w:eastAsia="Times New Roman"/>
          <w:b/>
          <w:i/>
          <w:color w:val="000000"/>
          <w:sz w:val="24"/>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三、技术要求</w:t>
      </w:r>
      <w:r/>
    </w:p>
    <w:p>
      <w:pPr>
        <w:rPr>
          <w:sz w:val="24"/>
          <w:szCs w:val="24"/>
        </w:rPr>
      </w:pPr>
      <w:r>
        <w:rPr>
          <w:rFonts w:eastAsia="Calibri" w:cs="Calibri"/>
          <w:sz w:val="24"/>
          <w:szCs w:val="24"/>
        </w:rPr>
        <w:t xml:space="preserve">1. </w:t>
      </w:r>
      <w:r>
        <w:rPr>
          <w:rFonts w:ascii="宋体" w:hAnsi="宋体" w:cs="宋体"/>
          <w:sz w:val="24"/>
          <w:szCs w:val="24"/>
        </w:rPr>
        <w:t xml:space="preserve">基本要求</w:t>
      </w:r>
      <w:r/>
    </w:p>
    <w:p>
      <w:pPr>
        <w:ind w:firstLine="480"/>
        <w:rPr>
          <w:rFonts w:hint="eastAsia" w:ascii="宋体" w:hAnsi="宋体" w:cs="宋体"/>
          <w:sz w:val="24"/>
          <w:szCs w:val="24"/>
        </w:rPr>
      </w:pPr>
      <w:r>
        <w:rPr>
          <w:rFonts w:eastAsia="Calibri" w:cs="Calibri"/>
          <w:sz w:val="24"/>
          <w:szCs w:val="24"/>
        </w:rPr>
        <w:t xml:space="preserve">1.1 </w:t>
      </w:r>
      <w:r>
        <w:rPr>
          <w:rFonts w:ascii="宋体" w:hAnsi="宋体" w:cs="宋体"/>
          <w:sz w:val="24"/>
          <w:szCs w:val="24"/>
        </w:rPr>
        <w:t xml:space="preserve">采购标的需实现的功能或者目标</w:t>
      </w:r>
      <w:r/>
    </w:p>
    <w:p>
      <w:pPr>
        <w:ind w:firstLine="480"/>
        <w:rPr>
          <w:sz w:val="24"/>
          <w:szCs w:val="24"/>
        </w:rPr>
      </w:pPr>
      <w:r>
        <w:rPr>
          <w:rFonts w:hint="eastAsia"/>
          <w:sz w:val="24"/>
          <w:szCs w:val="24"/>
        </w:rPr>
        <w:t xml:space="preserve">顺利完成常州市一体化政务服务平台软件运维工作，包括做好“一网通办”运维工作、公共支撑运维工作、系统对接运维工作以及做好信息安全运维工作。</w:t>
      </w:r>
      <w:r/>
    </w:p>
    <w:p>
      <w:pPr>
        <w:ind w:firstLine="480"/>
        <w:rPr>
          <w:sz w:val="24"/>
          <w:szCs w:val="24"/>
        </w:rPr>
      </w:pPr>
      <w:r>
        <w:rPr>
          <w:rFonts w:hint="eastAsia"/>
          <w:sz w:val="24"/>
          <w:szCs w:val="24"/>
        </w:rPr>
        <w:t xml:space="preserve">1.2 需执行的国家相关标准、行业标准、地方标准或者其他标准、规范</w:t>
      </w:r>
      <w:r/>
    </w:p>
    <w:p>
      <w:pPr>
        <w:ind w:firstLine="480"/>
        <w:rPr>
          <w:sz w:val="24"/>
          <w:szCs w:val="24"/>
        </w:rPr>
      </w:pPr>
      <w:r>
        <w:rPr>
          <w:rFonts w:hint="eastAsia"/>
          <w:sz w:val="24"/>
          <w:szCs w:val="24"/>
        </w:rPr>
        <w:t xml:space="preserve">（1）《中华人民共和国网络安全法》</w:t>
      </w:r>
      <w:r/>
    </w:p>
    <w:p>
      <w:pPr>
        <w:ind w:firstLine="480"/>
        <w:rPr>
          <w:sz w:val="24"/>
          <w:szCs w:val="24"/>
        </w:rPr>
      </w:pPr>
      <w:r>
        <w:rPr>
          <w:rFonts w:hint="eastAsia"/>
          <w:sz w:val="24"/>
          <w:szCs w:val="24"/>
        </w:rPr>
        <w:t xml:space="preserve">（2）《中华人民共和国数据安全法》</w:t>
      </w:r>
      <w:r/>
    </w:p>
    <w:p>
      <w:pPr>
        <w:ind w:firstLine="480"/>
        <w:rPr>
          <w:sz w:val="24"/>
          <w:szCs w:val="24"/>
        </w:rPr>
      </w:pPr>
      <w:r>
        <w:rPr>
          <w:rFonts w:hint="eastAsia"/>
          <w:sz w:val="24"/>
          <w:szCs w:val="24"/>
        </w:rPr>
        <w:t xml:space="preserve">（3）《中华人民共和国计算机信息系统安全保护条例》</w:t>
      </w:r>
      <w:r/>
    </w:p>
    <w:p>
      <w:pPr>
        <w:ind w:firstLine="480"/>
        <w:rPr>
          <w:sz w:val="24"/>
          <w:szCs w:val="24"/>
        </w:rPr>
      </w:pPr>
      <w:r>
        <w:rPr>
          <w:rFonts w:hint="eastAsia"/>
          <w:sz w:val="24"/>
          <w:szCs w:val="24"/>
        </w:rPr>
        <w:t xml:space="preserve">（4）《中华人民共和国个人信息保护法》</w:t>
      </w:r>
      <w:r/>
    </w:p>
    <w:p>
      <w:pPr>
        <w:ind w:firstLine="480"/>
        <w:rPr>
          <w:sz w:val="24"/>
          <w:szCs w:val="24"/>
        </w:rPr>
      </w:pPr>
      <w:r>
        <w:rPr>
          <w:rFonts w:hint="eastAsia"/>
          <w:sz w:val="24"/>
          <w:szCs w:val="24"/>
        </w:rPr>
        <w:t xml:space="preserve">（5）《信息安全技术 个人信息安全规范》（GB/T 35273-2020）</w:t>
      </w:r>
      <w:r/>
    </w:p>
    <w:p>
      <w:pPr>
        <w:ind w:firstLine="480"/>
        <w:rPr>
          <w:sz w:val="24"/>
          <w:szCs w:val="24"/>
        </w:rPr>
      </w:pPr>
      <w:r>
        <w:rPr>
          <w:rFonts w:hint="eastAsia"/>
          <w:sz w:val="24"/>
          <w:szCs w:val="24"/>
        </w:rPr>
        <w:t xml:space="preserve">（6）《信息安全技术 云计算服务安全指南》（GB/T 31167-2014）；</w:t>
      </w:r>
      <w:r/>
    </w:p>
    <w:p>
      <w:pPr>
        <w:ind w:firstLine="480"/>
        <w:rPr>
          <w:sz w:val="24"/>
          <w:szCs w:val="24"/>
        </w:rPr>
      </w:pPr>
      <w:r>
        <w:rPr>
          <w:rFonts w:hint="eastAsia"/>
          <w:sz w:val="24"/>
          <w:szCs w:val="24"/>
        </w:rPr>
        <w:t xml:space="preserve">（7）《信息安全技术 云计算服务安全能力要求》（GB/T 31168-2014）</w:t>
      </w:r>
      <w:r/>
    </w:p>
    <w:p>
      <w:pPr>
        <w:ind w:firstLine="480"/>
        <w:rPr>
          <w:sz w:val="24"/>
          <w:szCs w:val="24"/>
        </w:rPr>
      </w:pPr>
      <w:r>
        <w:rPr>
          <w:rFonts w:hint="eastAsia"/>
          <w:sz w:val="24"/>
          <w:szCs w:val="24"/>
        </w:rPr>
        <w:t xml:space="preserve">（8）《信息安全技术 信息系统灾难恢复规范》（GB/T 20988-2007）</w:t>
      </w:r>
      <w:r/>
    </w:p>
    <w:p>
      <w:pPr>
        <w:ind w:firstLine="480"/>
        <w:rPr>
          <w:sz w:val="24"/>
          <w:szCs w:val="24"/>
        </w:rPr>
      </w:pPr>
      <w:r>
        <w:rPr>
          <w:rFonts w:hint="eastAsia"/>
          <w:sz w:val="24"/>
          <w:szCs w:val="24"/>
        </w:rPr>
        <w:t xml:space="preserve">（9）《信息安全技术 网络安全等级保护基本要求》（GB/T 22239-2019）</w:t>
      </w:r>
      <w:r/>
    </w:p>
    <w:p>
      <w:pPr>
        <w:ind w:firstLine="480"/>
        <w:rPr>
          <w:sz w:val="24"/>
          <w:szCs w:val="24"/>
        </w:rPr>
      </w:pPr>
      <w:r>
        <w:rPr>
          <w:rFonts w:hint="eastAsia"/>
          <w:sz w:val="24"/>
          <w:szCs w:val="24"/>
        </w:rPr>
        <w:t xml:space="preserve">（10）《信息安全技术 网络安全等级保护定级指南》（GB/T 22240-2020）</w:t>
      </w:r>
      <w:r/>
    </w:p>
    <w:p>
      <w:pPr>
        <w:ind w:firstLine="480"/>
        <w:rPr>
          <w:sz w:val="24"/>
          <w:szCs w:val="24"/>
        </w:rPr>
      </w:pPr>
      <w:r>
        <w:rPr>
          <w:rFonts w:hint="eastAsia"/>
          <w:sz w:val="24"/>
          <w:szCs w:val="24"/>
        </w:rPr>
        <w:t xml:space="preserve">（11）《信息安全技术 网络安全等级保护安全设计技术要求》（GB/T 25070-2019）</w:t>
      </w:r>
      <w:r/>
    </w:p>
    <w:p>
      <w:pPr>
        <w:ind w:firstLine="480"/>
        <w:rPr>
          <w:sz w:val="24"/>
          <w:szCs w:val="24"/>
        </w:rPr>
      </w:pPr>
      <w:r>
        <w:rPr>
          <w:rFonts w:hint="eastAsia"/>
          <w:sz w:val="24"/>
          <w:szCs w:val="24"/>
        </w:rPr>
        <w:t xml:space="preserve">（12）《信息安全技术 信息安全风险评估方法》（GB/T 20984-2022）</w:t>
      </w:r>
      <w:r/>
    </w:p>
    <w:p>
      <w:pPr>
        <w:ind w:firstLine="480"/>
        <w:rPr>
          <w:sz w:val="24"/>
          <w:szCs w:val="24"/>
        </w:rPr>
      </w:pPr>
      <w:r>
        <w:rPr>
          <w:rFonts w:hint="eastAsia"/>
          <w:sz w:val="24"/>
          <w:szCs w:val="24"/>
        </w:rPr>
        <w:t xml:space="preserve">（13）《信息技术 安全技术 信息安全管理体系要求》（GB/T 22080-2016）</w:t>
      </w:r>
      <w:r/>
    </w:p>
    <w:p>
      <w:pPr>
        <w:ind w:firstLine="480"/>
        <w:rPr>
          <w:sz w:val="24"/>
          <w:szCs w:val="24"/>
        </w:rPr>
      </w:pPr>
      <w:r>
        <w:rPr>
          <w:rFonts w:hint="eastAsia"/>
          <w:sz w:val="24"/>
          <w:szCs w:val="24"/>
        </w:rPr>
        <w:t xml:space="preserve">（14）《信息安全技术 移动终端安全保护技术要求》（GB/T 35278-2017）</w:t>
      </w:r>
      <w:r/>
    </w:p>
    <w:p>
      <w:pPr>
        <w:ind w:firstLine="480"/>
        <w:rPr>
          <w:sz w:val="24"/>
          <w:szCs w:val="24"/>
        </w:rPr>
      </w:pPr>
      <w:r>
        <w:rPr>
          <w:rFonts w:hint="eastAsia"/>
          <w:sz w:val="24"/>
          <w:szCs w:val="24"/>
        </w:rPr>
        <w:t xml:space="preserve">（15）《移动Web服务网络身份认证技术要求 第1部分：总体技术要求》（YD/T 2127.1-2010）</w:t>
      </w:r>
      <w:r/>
    </w:p>
    <w:p>
      <w:pPr>
        <w:ind w:firstLine="480"/>
        <w:rPr>
          <w:sz w:val="24"/>
          <w:szCs w:val="24"/>
        </w:rPr>
      </w:pPr>
      <w:r>
        <w:rPr>
          <w:rFonts w:hint="eastAsia"/>
          <w:sz w:val="24"/>
          <w:szCs w:val="24"/>
        </w:rPr>
        <w:t xml:space="preserve">（16）《移动Web服务网络身份认证技术要求 第2部分：网络身份Web服务框架》（YD/T 2127.2-2010）</w:t>
      </w:r>
      <w:r/>
    </w:p>
    <w:p>
      <w:pPr>
        <w:ind w:firstLine="480"/>
        <w:rPr>
          <w:sz w:val="24"/>
          <w:szCs w:val="24"/>
        </w:rPr>
      </w:pPr>
      <w:r>
        <w:rPr>
          <w:rFonts w:hint="eastAsia"/>
          <w:sz w:val="24"/>
          <w:szCs w:val="24"/>
        </w:rPr>
        <w:t xml:space="preserve">（17）《移动Web服务网络身份认证技术要求 第3部分：网络身份联合框架》（YD/T 2127.3-2010）</w:t>
      </w:r>
      <w:r/>
    </w:p>
    <w:p>
      <w:pPr>
        <w:ind w:firstLine="480"/>
        <w:rPr>
          <w:sz w:val="24"/>
          <w:szCs w:val="24"/>
        </w:rPr>
      </w:pPr>
      <w:r>
        <w:rPr>
          <w:rFonts w:hint="eastAsia"/>
          <w:sz w:val="24"/>
          <w:szCs w:val="24"/>
        </w:rPr>
        <w:t xml:space="preserve">（18）《信息安全技术 移动互联网应用程序（App）收集个人信息基本要求》（GB/T 41391-2022）</w:t>
      </w:r>
      <w:r/>
    </w:p>
    <w:p>
      <w:pPr>
        <w:ind w:firstLine="480"/>
        <w:rPr>
          <w:sz w:val="24"/>
          <w:szCs w:val="24"/>
        </w:rPr>
      </w:pPr>
      <w:r>
        <w:rPr>
          <w:rFonts w:hint="eastAsia"/>
          <w:sz w:val="24"/>
          <w:szCs w:val="24"/>
        </w:rPr>
        <w:t xml:space="preserve">（19）《信息安全技术 信息系统密码应用基本要求》（GB/T 39786-2021）</w:t>
      </w:r>
      <w:r/>
    </w:p>
    <w:p>
      <w:pPr>
        <w:ind w:firstLine="480"/>
        <w:rPr>
          <w:sz w:val="24"/>
          <w:szCs w:val="24"/>
        </w:rPr>
      </w:pPr>
      <w:r>
        <w:rPr>
          <w:rFonts w:hint="eastAsia"/>
          <w:sz w:val="24"/>
          <w:szCs w:val="24"/>
        </w:rPr>
        <w:t xml:space="preserve">（20）《信息安全技术 网络数据处理安全要求》（GB/T 41479-2022）</w:t>
      </w:r>
      <w:r/>
    </w:p>
    <w:p>
      <w:pPr>
        <w:ind w:firstLine="480"/>
        <w:rPr>
          <w:sz w:val="24"/>
          <w:szCs w:val="24"/>
        </w:rPr>
      </w:pPr>
      <w:r>
        <w:rPr>
          <w:rFonts w:hint="eastAsia"/>
          <w:sz w:val="24"/>
          <w:szCs w:val="24"/>
        </w:rPr>
        <w:t xml:space="preserve">（21）《信息安全技术 政务信息共享 数据安全技术要求》（GB/T 39477-2020）</w:t>
      </w:r>
      <w:r/>
    </w:p>
    <w:p>
      <w:pPr>
        <w:ind w:firstLine="480"/>
        <w:rPr>
          <w:sz w:val="24"/>
          <w:szCs w:val="24"/>
        </w:rPr>
      </w:pPr>
      <w:r>
        <w:rPr>
          <w:rFonts w:hint="eastAsia"/>
          <w:sz w:val="24"/>
          <w:szCs w:val="24"/>
        </w:rPr>
        <w:t xml:space="preserve">（22）《国家电子政务外网跨网数据安全交换技术要求和实施指南》（GW0205-2014）</w:t>
      </w:r>
      <w:r/>
    </w:p>
    <w:p>
      <w:pPr>
        <w:ind w:firstLine="480"/>
        <w:rPr>
          <w:sz w:val="24"/>
          <w:szCs w:val="24"/>
        </w:rPr>
      </w:pPr>
      <w:r>
        <w:rPr>
          <w:rFonts w:hint="eastAsia"/>
          <w:sz w:val="24"/>
          <w:szCs w:val="24"/>
        </w:rPr>
        <w:t xml:space="preserve">（23）《信息安全技术 政府部门信息安全管理基本要求》（GB/T 29245-2012）</w:t>
      </w:r>
      <w:r/>
    </w:p>
    <w:p>
      <w:pPr>
        <w:ind w:firstLine="480"/>
        <w:rPr>
          <w:sz w:val="24"/>
          <w:szCs w:val="24"/>
        </w:rPr>
      </w:pPr>
      <w:r>
        <w:rPr>
          <w:rFonts w:hint="eastAsia"/>
          <w:sz w:val="24"/>
          <w:szCs w:val="24"/>
        </w:rPr>
        <w:t xml:space="preserve">（24）《信息安全技术 政务网站系统安全指南》（GB/T 31506-2022）</w:t>
      </w:r>
      <w:r/>
    </w:p>
    <w:p>
      <w:pPr>
        <w:ind w:firstLine="480"/>
        <w:rPr>
          <w:sz w:val="24"/>
          <w:szCs w:val="24"/>
        </w:rPr>
      </w:pPr>
      <w:r>
        <w:rPr>
          <w:rFonts w:hint="eastAsia"/>
          <w:sz w:val="24"/>
          <w:szCs w:val="24"/>
        </w:rPr>
        <w:t xml:space="preserve">（25）《政府信息系统安全防护基本要求》（DB32/T 1927-2011）</w:t>
      </w:r>
      <w:r/>
    </w:p>
    <w:p>
      <w:pPr>
        <w:ind w:firstLine="480"/>
        <w:rPr>
          <w:sz w:val="24"/>
          <w:szCs w:val="24"/>
        </w:rPr>
      </w:pPr>
      <w:r>
        <w:rPr>
          <w:rFonts w:hint="eastAsia"/>
          <w:sz w:val="24"/>
          <w:szCs w:val="24"/>
        </w:rPr>
        <w:t xml:space="preserve">（26）《国家信息中心政务外网标准政务云安全要求》（GW0013—2017）</w:t>
      </w:r>
      <w:r/>
    </w:p>
    <w:p>
      <w:pPr>
        <w:ind w:firstLine="480"/>
        <w:rPr>
          <w:sz w:val="24"/>
          <w:szCs w:val="24"/>
        </w:rPr>
      </w:pPr>
      <w:r>
        <w:rPr>
          <w:rFonts w:hint="eastAsia"/>
          <w:sz w:val="24"/>
          <w:szCs w:val="24"/>
        </w:rPr>
        <w:t xml:space="preserve">（27）《电子政务系统总体设计要求》（GB/T 21064-2007）</w:t>
      </w:r>
      <w:r/>
    </w:p>
    <w:p>
      <w:pPr>
        <w:ind w:firstLine="480"/>
        <w:rPr>
          <w:sz w:val="24"/>
          <w:szCs w:val="24"/>
        </w:rPr>
      </w:pPr>
      <w:r>
        <w:rPr>
          <w:rFonts w:hint="eastAsia"/>
          <w:sz w:val="24"/>
          <w:szCs w:val="24"/>
        </w:rPr>
        <w:t xml:space="preserve">（28）《计算机软件需求规格说明规范》（GB/T 9385-2008）</w:t>
      </w:r>
      <w:r/>
    </w:p>
    <w:p>
      <w:pPr>
        <w:ind w:firstLine="480"/>
        <w:rPr>
          <w:sz w:val="24"/>
          <w:szCs w:val="24"/>
        </w:rPr>
      </w:pPr>
      <w:r>
        <w:rPr>
          <w:rFonts w:hint="eastAsia"/>
          <w:sz w:val="24"/>
          <w:szCs w:val="24"/>
        </w:rPr>
        <w:t xml:space="preserve">（29）《计算机软件文档编制规范》（GB/T 8567-2006）</w:t>
      </w:r>
      <w:r/>
    </w:p>
    <w:p>
      <w:pPr>
        <w:ind w:firstLine="480"/>
        <w:rPr>
          <w:sz w:val="24"/>
          <w:szCs w:val="24"/>
        </w:rPr>
      </w:pPr>
      <w:r>
        <w:rPr>
          <w:rFonts w:hint="eastAsia"/>
          <w:sz w:val="24"/>
          <w:szCs w:val="24"/>
        </w:rPr>
        <w:t xml:space="preserve">（30）《政务信息资源交换体系》（GB/T 21062.3-2007）</w:t>
      </w:r>
      <w:r/>
    </w:p>
    <w:p>
      <w:pPr>
        <w:ind w:firstLine="480"/>
        <w:rPr>
          <w:sz w:val="24"/>
          <w:szCs w:val="24"/>
        </w:rPr>
      </w:pPr>
      <w:r>
        <w:rPr>
          <w:rFonts w:hint="eastAsia"/>
          <w:sz w:val="24"/>
          <w:szCs w:val="24"/>
        </w:rPr>
        <w:t xml:space="preserve">（31）《政务信息资源目录体系》（GB/T 21063.6-2007）</w:t>
      </w:r>
      <w:r/>
    </w:p>
    <w:p>
      <w:pPr>
        <w:rPr>
          <w:sz w:val="24"/>
        </w:rPr>
      </w:pPr>
      <w:r>
        <w:rPr>
          <w:sz w:val="24"/>
        </w:rPr>
      </w:r>
      <w:r/>
    </w:p>
    <w:p>
      <w:pPr>
        <w:rPr>
          <w:sz w:val="24"/>
        </w:rPr>
      </w:pPr>
      <w:r>
        <w:rPr>
          <w:sz w:val="24"/>
        </w:rPr>
      </w:r>
      <w:r/>
    </w:p>
    <w:p>
      <w:pPr>
        <w:rPr>
          <w:sz w:val="24"/>
        </w:rPr>
      </w:pPr>
      <w:r>
        <w:rPr>
          <w:sz w:val="24"/>
        </w:rPr>
        <w:t xml:space="preserve">2. 服务内容及要求/货物技术要求</w:t>
      </w:r>
      <w:r/>
    </w:p>
    <w:p>
      <w:pPr>
        <w:ind w:firstLine="480"/>
        <w:rPr>
          <w:rFonts w:hint="eastAsia"/>
          <w:sz w:val="24"/>
          <w:szCs w:val="24"/>
        </w:rPr>
      </w:pPr>
      <w:r>
        <w:rPr>
          <w:rFonts w:hint="eastAsia"/>
          <w:sz w:val="24"/>
          <w:szCs w:val="24"/>
        </w:rPr>
        <w:t xml:space="preserve">2.1服务内容</w:t>
      </w:r>
      <w:r/>
    </w:p>
    <w:p>
      <w:pPr>
        <w:ind w:firstLine="480"/>
        <w:rPr>
          <w:rFonts w:hint="eastAsia"/>
          <w:sz w:val="24"/>
          <w:szCs w:val="24"/>
        </w:rPr>
      </w:pPr>
      <w:r>
        <w:rPr>
          <w:rFonts w:hint="eastAsia"/>
          <w:sz w:val="24"/>
          <w:szCs w:val="24"/>
        </w:rPr>
        <w:t xml:space="preserve">（一）“一网通办”运维</w:t>
      </w:r>
      <w:r/>
    </w:p>
    <w:p>
      <w:pPr>
        <w:ind w:firstLine="480"/>
        <w:rPr>
          <w:rFonts w:hint="eastAsia"/>
          <w:sz w:val="24"/>
          <w:szCs w:val="24"/>
        </w:rPr>
      </w:pPr>
      <w:r>
        <w:rPr>
          <w:rFonts w:hint="eastAsia"/>
          <w:sz w:val="24"/>
          <w:szCs w:val="24"/>
        </w:rPr>
        <w:t xml:space="preserve">（1）一体化政务服务平台运维</w:t>
      </w:r>
      <w:r/>
    </w:p>
    <w:p>
      <w:pPr>
        <w:ind w:firstLine="480"/>
        <w:rPr>
          <w:rFonts w:hint="eastAsia"/>
          <w:sz w:val="24"/>
          <w:szCs w:val="24"/>
        </w:rPr>
      </w:pPr>
      <w:r>
        <w:rPr>
          <w:rFonts w:hint="eastAsia"/>
          <w:sz w:val="24"/>
          <w:szCs w:val="24"/>
        </w:rPr>
        <w:t xml:space="preserve">a）做好日常运维服务。做好一体化政务服务平台事项中心、业务中心、数据中心、运营中心、运维中心</w:t>
      </w:r>
      <w:r>
        <w:rPr>
          <w:rFonts w:hint="default"/>
          <w:sz w:val="24"/>
          <w:szCs w:val="24"/>
        </w:rPr>
        <w:t xml:space="preserve">共50余个子模块</w:t>
      </w:r>
      <w:r>
        <w:rPr>
          <w:rFonts w:hint="eastAsia"/>
          <w:sz w:val="24"/>
          <w:szCs w:val="24"/>
        </w:rPr>
        <w:t xml:space="preserve">运维工作，对事项管理、统一受理、业务审批、电子监督、统计分析、运营分析等系统进行日常监控维护、操作培训、问题解决、业务配置、技术指导。</w:t>
      </w:r>
      <w:r/>
    </w:p>
    <w:p>
      <w:pPr>
        <w:ind w:firstLine="480"/>
        <w:rPr>
          <w:rFonts w:hint="eastAsia"/>
          <w:sz w:val="24"/>
          <w:szCs w:val="24"/>
        </w:rPr>
      </w:pPr>
      <w:r>
        <w:rPr>
          <w:rFonts w:hint="eastAsia"/>
          <w:sz w:val="24"/>
          <w:szCs w:val="24"/>
        </w:rPr>
        <w:t xml:space="preserve">b）升级政务服务知识库。对知识库数据的来源、类型、覆盖范围等进行清晰记录，确保知识内容来源可查、规模可控，实现知识的准确性、规范性与可溯源管理。</w:t>
      </w:r>
      <w:r/>
    </w:p>
    <w:p>
      <w:pPr>
        <w:ind w:firstLine="480"/>
        <w:rPr>
          <w:rFonts w:hint="eastAsia"/>
          <w:sz w:val="24"/>
          <w:szCs w:val="24"/>
        </w:rPr>
      </w:pPr>
      <w:r>
        <w:rPr>
          <w:rFonts w:hint="eastAsia"/>
          <w:sz w:val="24"/>
          <w:szCs w:val="24"/>
        </w:rPr>
        <w:t xml:space="preserve">c）提升智能客服服务能级。以智能客服“小畅”为中枢，将用户咨询问题精准匹配至各区相关领域智能体，实现跨区域协同服务与统筹管理。</w:t>
      </w:r>
      <w:r>
        <w:rPr>
          <w:rFonts w:hint="default"/>
          <w:sz w:val="24"/>
          <w:szCs w:val="24"/>
        </w:rPr>
        <w:t xml:space="preserve">持续做好智能客服运营工作，</w:t>
      </w:r>
      <w:r>
        <w:rPr>
          <w:rFonts w:hint="eastAsia"/>
          <w:sz w:val="24"/>
          <w:szCs w:val="24"/>
        </w:rPr>
        <w:t xml:space="preserve">完善智能客服工作流程、提示词优化与知识库动态更新机制。智能分析智能客服产生的服务数据，助力持续优化提升。</w:t>
      </w:r>
      <w:r/>
    </w:p>
    <w:p>
      <w:pPr>
        <w:ind w:firstLine="480"/>
        <w:rPr>
          <w:rFonts w:hint="eastAsia"/>
          <w:sz w:val="24"/>
          <w:szCs w:val="24"/>
        </w:rPr>
      </w:pPr>
      <w:r>
        <w:rPr>
          <w:rFonts w:hint="eastAsia"/>
          <w:sz w:val="24"/>
          <w:szCs w:val="24"/>
        </w:rPr>
        <w:t xml:space="preserve">d）拓展智能填表应用场景。针对高频业务场景，通过标准化、数字化的表单流程，统一服务标准，简化企业办事环节。</w:t>
      </w:r>
      <w:r/>
    </w:p>
    <w:p>
      <w:pPr>
        <w:ind w:firstLine="480"/>
        <w:rPr>
          <w:rFonts w:hint="eastAsia"/>
          <w:sz w:val="24"/>
          <w:szCs w:val="24"/>
        </w:rPr>
      </w:pPr>
      <w:r>
        <w:rPr>
          <w:rFonts w:hint="eastAsia"/>
          <w:sz w:val="24"/>
          <w:szCs w:val="24"/>
        </w:rPr>
        <w:t xml:space="preserve">e）拓展AI审批应用场景。将高频业务纳入AI审批中心统一支撑，提升审批服务效率与规范性。</w:t>
      </w:r>
      <w:r/>
    </w:p>
    <w:p>
      <w:pPr>
        <w:ind w:firstLine="480"/>
        <w:rPr>
          <w:rFonts w:hint="eastAsia"/>
          <w:sz w:val="24"/>
          <w:szCs w:val="24"/>
        </w:rPr>
      </w:pPr>
      <w:r>
        <w:rPr>
          <w:rFonts w:hint="eastAsia"/>
          <w:sz w:val="24"/>
          <w:szCs w:val="24"/>
        </w:rPr>
        <w:t xml:space="preserve">f）深化“三免”数据治理。对申请信息、申请表单、申请材料及非结构化数据进行归集清洗，建立关键数据字段共享复用机制，系统化建设与沉淀高质量业务数据资源库，为业务办理提供支撑。</w:t>
      </w:r>
      <w:r/>
    </w:p>
    <w:p>
      <w:pPr>
        <w:ind w:firstLine="480"/>
        <w:rPr>
          <w:rFonts w:hint="eastAsia"/>
          <w:sz w:val="24"/>
          <w:szCs w:val="24"/>
        </w:rPr>
      </w:pPr>
      <w:r>
        <w:rPr>
          <w:rFonts w:hint="eastAsia"/>
          <w:sz w:val="24"/>
          <w:szCs w:val="24"/>
        </w:rPr>
        <w:t xml:space="preserve">g）优化数据预警。围绕数据阈值、更新频率、趋势变化、同比/环比波动及完整性等关键指标，建立多维度数据质量监测机制。通过多渠道、实时化预警信息推送，实现预警通知快速触达。</w:t>
      </w:r>
      <w:r/>
    </w:p>
    <w:p>
      <w:pPr>
        <w:ind w:firstLine="480"/>
        <w:rPr>
          <w:rFonts w:hint="eastAsia"/>
          <w:sz w:val="24"/>
          <w:szCs w:val="24"/>
        </w:rPr>
      </w:pPr>
      <w:r>
        <w:rPr>
          <w:rFonts w:hint="eastAsia"/>
          <w:sz w:val="24"/>
          <w:szCs w:val="24"/>
        </w:rPr>
        <w:t xml:space="preserve">h）优化评估指标。配合调整一体化政务服务平台数据中心的政务服务效能评估体系，及政务服务评价指标，以数字化转型成效、智能服务覆盖率、“好差评”联动成效、数据共享质量、跨部门协同效能、特殊群体服务适配性等关键维度为切入点，提供2026年营商环境相关政务服务指标。</w:t>
      </w:r>
      <w:r/>
    </w:p>
    <w:p>
      <w:pPr>
        <w:ind w:firstLine="480"/>
        <w:rPr>
          <w:rFonts w:hint="eastAsia"/>
          <w:sz w:val="24"/>
          <w:szCs w:val="24"/>
        </w:rPr>
      </w:pPr>
      <w:r>
        <w:rPr>
          <w:rFonts w:hint="eastAsia"/>
          <w:sz w:val="24"/>
          <w:szCs w:val="24"/>
        </w:rPr>
        <w:t xml:space="preserve">i）升级智能运维中心。基于系统日志、设备状态、业务流量和工单流转等多维数据，完善运维数据库。通过智能巡检与自动化流程，实现四端应用问题的自动发现、分派、报告与闭环整改；完善运维工作日志管理，完善运维工作全景可视化视图，提升运维工作透明度。</w:t>
      </w:r>
      <w:r/>
    </w:p>
    <w:p>
      <w:pPr>
        <w:ind w:firstLine="480"/>
        <w:rPr>
          <w:rFonts w:hint="eastAsia"/>
          <w:sz w:val="24"/>
          <w:szCs w:val="24"/>
        </w:rPr>
      </w:pPr>
      <w:r>
        <w:rPr>
          <w:rFonts w:hint="eastAsia"/>
          <w:sz w:val="24"/>
          <w:szCs w:val="24"/>
        </w:rPr>
        <w:t xml:space="preserve">（2）江苏政务服务网常州旗舰店运维</w:t>
      </w:r>
      <w:r/>
    </w:p>
    <w:p>
      <w:pPr>
        <w:ind w:firstLine="480"/>
        <w:rPr>
          <w:rFonts w:hint="eastAsia"/>
          <w:sz w:val="24"/>
          <w:szCs w:val="24"/>
        </w:rPr>
      </w:pPr>
      <w:r>
        <w:rPr>
          <w:rFonts w:hint="eastAsia"/>
          <w:sz w:val="24"/>
          <w:szCs w:val="24"/>
        </w:rPr>
        <w:t xml:space="preserve">a）做好日常运维服务。保障江苏政务服务网常州综合旗舰店7*24小时正常运行，做好旗舰店常态化升级改版、节假日主题界面切换及</w:t>
      </w:r>
      <w:r>
        <w:rPr>
          <w:rFonts w:hint="default"/>
          <w:sz w:val="24"/>
          <w:szCs w:val="24"/>
        </w:rPr>
        <w:t xml:space="preserve">10余个</w:t>
      </w:r>
      <w:r>
        <w:rPr>
          <w:rFonts w:hint="eastAsia"/>
          <w:sz w:val="24"/>
          <w:szCs w:val="24"/>
        </w:rPr>
        <w:t xml:space="preserve">服务专栏内容常态化更新，根据各方网站检测问题进行系统漏洞检测、修复工作，配合接入国家2026年度“高效办成一件事”重点事项清单。</w:t>
      </w:r>
      <w:r/>
    </w:p>
    <w:p>
      <w:pPr>
        <w:ind w:firstLine="480"/>
        <w:rPr>
          <w:rFonts w:hint="eastAsia"/>
          <w:sz w:val="24"/>
          <w:szCs w:val="24"/>
        </w:rPr>
      </w:pPr>
      <w:r>
        <w:rPr>
          <w:rFonts w:hint="eastAsia"/>
          <w:sz w:val="24"/>
          <w:szCs w:val="24"/>
        </w:rPr>
        <w:t xml:space="preserve">b）升级改造网页端旗舰店。对首页样式、布局、图标等进行调整，构建更具辨识度、便捷性与实用性的线上服务入口。升级智能化搜索，实现自然语言交互查询，支持自动联想推荐，同步提供模糊查询纠错、关键词精准匹配等服务，提升搜索查询精准度与便捷性。</w:t>
      </w:r>
      <w:r/>
    </w:p>
    <w:p>
      <w:pPr>
        <w:ind w:firstLine="480"/>
        <w:rPr>
          <w:rFonts w:hint="eastAsia"/>
          <w:sz w:val="24"/>
          <w:szCs w:val="24"/>
        </w:rPr>
      </w:pPr>
      <w:r>
        <w:rPr>
          <w:rFonts w:hint="eastAsia"/>
          <w:sz w:val="24"/>
          <w:szCs w:val="24"/>
        </w:rPr>
        <w:t xml:space="preserve">c）升级虚拟政务服务大厅。在网页端旗舰店升级虚拟政务服务大厅，构建虚实融合、全时在线的数字政务空间，通过三维空间导航与智能交互方式，降低使用门槛，通过可视化样例和清晰范本，使办事要求一目了然。</w:t>
      </w:r>
      <w:r/>
    </w:p>
    <w:p>
      <w:pPr>
        <w:ind w:firstLine="480"/>
        <w:rPr>
          <w:rFonts w:hint="eastAsia"/>
          <w:sz w:val="24"/>
          <w:szCs w:val="24"/>
        </w:rPr>
      </w:pPr>
      <w:r>
        <w:rPr>
          <w:rFonts w:hint="eastAsia"/>
          <w:sz w:val="24"/>
          <w:szCs w:val="24"/>
        </w:rPr>
        <w:t xml:space="preserve">d）升级网页端智能客服。对智能客服前端界面进行优化升级，集成业务导航、常用工具等模块，新增区域位置信息默认功能；建立答案质量评价反馈机制，新增用户评价与建议收集渠道；完善精准用户画像，实现个性化服务推荐，并直达办事入口、智能导办、微课堂等服务应用。</w:t>
      </w:r>
      <w:r/>
    </w:p>
    <w:p>
      <w:pPr>
        <w:ind w:firstLine="480"/>
        <w:rPr>
          <w:rFonts w:hint="eastAsia"/>
          <w:sz w:val="24"/>
          <w:szCs w:val="24"/>
        </w:rPr>
      </w:pPr>
      <w:r>
        <w:rPr>
          <w:rFonts w:hint="eastAsia"/>
          <w:sz w:val="24"/>
          <w:szCs w:val="24"/>
        </w:rPr>
        <w:t xml:space="preserve"> e）升级网页端智能预审。对网页端用户的申报信息以及上传的申请材料进行自动识别、完整性检查和规范性提示，提升材料通过率。</w:t>
      </w:r>
      <w:r/>
    </w:p>
    <w:p>
      <w:pPr>
        <w:ind w:firstLine="480"/>
        <w:rPr>
          <w:rFonts w:hint="eastAsia"/>
          <w:sz w:val="24"/>
          <w:szCs w:val="24"/>
        </w:rPr>
      </w:pPr>
      <w:r>
        <w:rPr>
          <w:rFonts w:hint="eastAsia"/>
          <w:sz w:val="24"/>
          <w:szCs w:val="24"/>
        </w:rPr>
        <w:t xml:space="preserve">（3）“苏服办”APP·常州旗舰店运维</w:t>
      </w:r>
      <w:r/>
    </w:p>
    <w:p>
      <w:pPr>
        <w:ind w:firstLine="480"/>
        <w:rPr>
          <w:rFonts w:hint="eastAsia"/>
          <w:sz w:val="24"/>
          <w:szCs w:val="24"/>
        </w:rPr>
      </w:pPr>
      <w:r>
        <w:rPr>
          <w:rFonts w:hint="eastAsia"/>
          <w:sz w:val="24"/>
          <w:szCs w:val="24"/>
        </w:rPr>
        <w:t xml:space="preserve">a）做好日常运维服务。做好“苏服办”APP·常州旗舰店</w:t>
      </w:r>
      <w:r>
        <w:rPr>
          <w:rFonts w:hint="default"/>
          <w:sz w:val="24"/>
          <w:szCs w:val="24"/>
        </w:rPr>
        <w:t xml:space="preserve">500余个</w:t>
      </w:r>
      <w:r>
        <w:rPr>
          <w:rFonts w:hint="eastAsia"/>
          <w:sz w:val="24"/>
          <w:szCs w:val="24"/>
        </w:rPr>
        <w:t xml:space="preserve">应用运行技术支持，做好移动旗舰店节假日主题界面切换，按省标准要求升级完善应用、处理应用报错、第三方联调和指导部门整改工作。</w:t>
      </w:r>
      <w:r/>
    </w:p>
    <w:p>
      <w:pPr>
        <w:ind w:firstLine="480"/>
        <w:rPr>
          <w:rFonts w:hint="eastAsia"/>
          <w:sz w:val="24"/>
          <w:szCs w:val="24"/>
        </w:rPr>
      </w:pPr>
      <w:r>
        <w:rPr>
          <w:rFonts w:hint="eastAsia"/>
          <w:sz w:val="24"/>
          <w:szCs w:val="24"/>
        </w:rPr>
        <w:t xml:space="preserve">b）升级移动端智能客服。升级移动端智能客服，包括前端界面优化升级，新增区域位置信息默认功能，新增用户评价与建议收集渠道，优化个性化服务推荐等内容。</w:t>
      </w:r>
      <w:r/>
    </w:p>
    <w:p>
      <w:pPr>
        <w:ind w:firstLine="480"/>
        <w:rPr>
          <w:rFonts w:hint="eastAsia"/>
          <w:sz w:val="24"/>
          <w:szCs w:val="24"/>
        </w:rPr>
      </w:pPr>
      <w:r>
        <w:rPr>
          <w:rFonts w:hint="eastAsia"/>
          <w:sz w:val="24"/>
          <w:szCs w:val="24"/>
        </w:rPr>
        <w:t xml:space="preserve">c）升级移动端智能预审。对移动端用户的申报信息以及上传的申请材料进行自动识别、完整性检查和规范性提示，提升材料通过率。</w:t>
      </w:r>
      <w:r/>
    </w:p>
    <w:p>
      <w:pPr>
        <w:ind w:firstLine="480"/>
        <w:rPr>
          <w:rFonts w:hint="eastAsia"/>
          <w:sz w:val="24"/>
          <w:szCs w:val="24"/>
        </w:rPr>
      </w:pPr>
      <w:r>
        <w:rPr>
          <w:rFonts w:hint="eastAsia"/>
          <w:sz w:val="24"/>
          <w:szCs w:val="24"/>
        </w:rPr>
        <w:t xml:space="preserve">（4）“畅通办”自助服务系统运维</w:t>
      </w:r>
      <w:r/>
    </w:p>
    <w:p>
      <w:pPr>
        <w:ind w:firstLine="480"/>
        <w:rPr>
          <w:rFonts w:hint="eastAsia"/>
          <w:sz w:val="24"/>
          <w:szCs w:val="24"/>
        </w:rPr>
      </w:pPr>
      <w:r>
        <w:rPr>
          <w:rFonts w:hint="eastAsia"/>
          <w:sz w:val="24"/>
          <w:szCs w:val="24"/>
        </w:rPr>
        <w:t xml:space="preserve">a）做好日常运维服务。负责全市自助服务应用运行技术支持、全市统一自助服务应用的维护、操作培训、日常使用指导、数据统计分析，全市统一自助服务系统常态化升级优化、节假日主题界面设计及切换工作，配合完成自助服务推广应用工作任务。</w:t>
      </w:r>
      <w:r/>
    </w:p>
    <w:p>
      <w:pPr>
        <w:ind w:firstLine="480"/>
        <w:rPr>
          <w:rFonts w:hint="eastAsia"/>
          <w:sz w:val="24"/>
          <w:szCs w:val="24"/>
        </w:rPr>
      </w:pPr>
      <w:r>
        <w:rPr>
          <w:rFonts w:hint="eastAsia"/>
          <w:sz w:val="24"/>
          <w:szCs w:val="24"/>
        </w:rPr>
        <w:t xml:space="preserve">b）拓展自助端应用。将移动端、电脑端高频应用适配至自助端。</w:t>
      </w:r>
      <w:r/>
    </w:p>
    <w:p>
      <w:pPr>
        <w:ind w:firstLine="480"/>
        <w:rPr>
          <w:rFonts w:hint="eastAsia"/>
          <w:sz w:val="24"/>
          <w:szCs w:val="24"/>
        </w:rPr>
      </w:pPr>
      <w:r>
        <w:rPr>
          <w:rFonts w:hint="eastAsia"/>
          <w:sz w:val="24"/>
          <w:szCs w:val="24"/>
        </w:rPr>
        <w:t xml:space="preserve">（5）其他平台运维</w:t>
      </w:r>
      <w:r/>
    </w:p>
    <w:p>
      <w:pPr>
        <w:ind w:firstLine="480"/>
        <w:rPr>
          <w:rFonts w:hint="eastAsia"/>
          <w:sz w:val="24"/>
          <w:szCs w:val="24"/>
        </w:rPr>
      </w:pPr>
      <w:r>
        <w:rPr>
          <w:rFonts w:hint="eastAsia"/>
          <w:sz w:val="24"/>
          <w:szCs w:val="24"/>
        </w:rPr>
        <w:t xml:space="preserve">a）做好基层高频事项一平台运维，及时响应并解决基层使用中的各类问题；组织操作培训与线上指导，确保一线人员熟练使用系统；持续提供技术支持与系统优化，保障模块平稳运行；按照省级相关要求，完成基层证明线上开具系统接入等上级重点任务，并配合各条线拓展服务渠道与业务范围。</w:t>
      </w:r>
      <w:r/>
    </w:p>
    <w:p>
      <w:pPr>
        <w:ind w:firstLine="480"/>
        <w:rPr>
          <w:rFonts w:hint="eastAsia"/>
          <w:sz w:val="24"/>
          <w:szCs w:val="24"/>
        </w:rPr>
      </w:pPr>
      <w:r>
        <w:rPr>
          <w:rFonts w:hint="eastAsia"/>
          <w:sz w:val="24"/>
          <w:szCs w:val="24"/>
        </w:rPr>
        <w:t xml:space="preserve">b）做好政务服务管理平台运维，包括各功能模块日常运维服务、故障应急服务及技术支持服务。</w:t>
      </w:r>
      <w:r/>
    </w:p>
    <w:p>
      <w:pPr>
        <w:ind w:firstLine="480"/>
        <w:rPr>
          <w:rFonts w:hint="eastAsia"/>
          <w:sz w:val="24"/>
          <w:szCs w:val="24"/>
        </w:rPr>
      </w:pPr>
      <w:r>
        <w:rPr>
          <w:rFonts w:hint="eastAsia"/>
          <w:sz w:val="24"/>
          <w:szCs w:val="24"/>
        </w:rPr>
        <w:t xml:space="preserve">c）做好省运维工单处理，包括省运维工单协调、处理，事项库、用户注册、省考核通报等相关工作沟通、协调、确认。</w:t>
      </w:r>
      <w:r/>
    </w:p>
    <w:p>
      <w:pPr>
        <w:ind w:firstLine="480"/>
        <w:rPr>
          <w:rFonts w:hint="eastAsia"/>
          <w:sz w:val="24"/>
          <w:szCs w:val="24"/>
        </w:rPr>
      </w:pPr>
      <w:r>
        <w:rPr>
          <w:rFonts w:hint="eastAsia"/>
          <w:sz w:val="24"/>
          <w:szCs w:val="24"/>
        </w:rPr>
        <w:t xml:space="preserve">（二）公共支撑运维</w:t>
      </w:r>
      <w:r/>
    </w:p>
    <w:p>
      <w:pPr>
        <w:ind w:firstLine="480"/>
        <w:rPr>
          <w:rFonts w:hint="eastAsia"/>
          <w:sz w:val="24"/>
          <w:szCs w:val="24"/>
        </w:rPr>
      </w:pPr>
      <w:r>
        <w:rPr>
          <w:rFonts w:hint="eastAsia"/>
          <w:sz w:val="24"/>
          <w:szCs w:val="24"/>
        </w:rPr>
        <w:t xml:space="preserve">（1）做好统一身份认证技术支持，包括江苏政务服务网、苏证通、苏服码用户体系应用技术支持，处理江苏政务服务网个人用户登录、企业认证、苏证通、苏服码等认证事务。</w:t>
      </w:r>
      <w:r/>
    </w:p>
    <w:p>
      <w:pPr>
        <w:ind w:firstLine="480"/>
        <w:rPr>
          <w:rFonts w:hint="eastAsia"/>
          <w:sz w:val="24"/>
          <w:szCs w:val="24"/>
        </w:rPr>
      </w:pPr>
      <w:r>
        <w:rPr>
          <w:rFonts w:hint="eastAsia"/>
          <w:sz w:val="24"/>
          <w:szCs w:val="24"/>
        </w:rPr>
        <w:t xml:space="preserve">（2）做好统一电子印章技术支持，保障已接入电子印章的正常使用，保障接口运维稳定。</w:t>
      </w:r>
      <w:r/>
    </w:p>
    <w:p>
      <w:pPr>
        <w:ind w:firstLine="480"/>
        <w:rPr>
          <w:rFonts w:hint="eastAsia"/>
          <w:sz w:val="24"/>
          <w:szCs w:val="24"/>
        </w:rPr>
      </w:pPr>
      <w:r>
        <w:rPr>
          <w:rFonts w:hint="eastAsia"/>
          <w:sz w:val="24"/>
          <w:szCs w:val="24"/>
        </w:rPr>
        <w:t xml:space="preserve">（3）做好统一电子证照技术支持，保障已接入电子证照的正常调用和苏服码的正常使用，做好电子证照接口监控。</w:t>
      </w:r>
      <w:r/>
    </w:p>
    <w:p>
      <w:pPr>
        <w:ind w:firstLine="480"/>
        <w:rPr>
          <w:rFonts w:hint="eastAsia"/>
          <w:sz w:val="24"/>
          <w:szCs w:val="24"/>
        </w:rPr>
      </w:pPr>
      <w:r>
        <w:rPr>
          <w:rFonts w:hint="eastAsia"/>
          <w:sz w:val="24"/>
          <w:szCs w:val="24"/>
        </w:rPr>
        <w:t xml:space="preserve">（4）做好电子档案系统电子归档应用技术支持，保障系统电子归档应用的正常运行。</w:t>
      </w:r>
      <w:r/>
    </w:p>
    <w:p>
      <w:pPr>
        <w:ind w:firstLine="480"/>
        <w:rPr>
          <w:rFonts w:hint="eastAsia"/>
          <w:sz w:val="24"/>
          <w:szCs w:val="24"/>
        </w:rPr>
      </w:pPr>
      <w:r>
        <w:rPr>
          <w:rFonts w:hint="eastAsia"/>
          <w:sz w:val="24"/>
          <w:szCs w:val="24"/>
        </w:rPr>
        <w:t xml:space="preserve">（5）做好公共基础数据共享交换应用技术支持，保障数据正常共享调用。</w:t>
      </w:r>
      <w:r/>
    </w:p>
    <w:p>
      <w:pPr>
        <w:ind w:firstLine="480"/>
        <w:rPr>
          <w:rFonts w:hint="eastAsia"/>
          <w:sz w:val="24"/>
          <w:szCs w:val="24"/>
        </w:rPr>
      </w:pPr>
      <w:r>
        <w:rPr>
          <w:rFonts w:hint="eastAsia"/>
          <w:sz w:val="24"/>
          <w:szCs w:val="24"/>
        </w:rPr>
        <w:t xml:space="preserve">（6）做好支撑能力监测技术支持，实时监控智慧服务能力，预警响应超时、使用异常等情况。</w:t>
      </w:r>
      <w:r/>
    </w:p>
    <w:p>
      <w:pPr>
        <w:ind w:firstLine="480"/>
        <w:rPr>
          <w:rFonts w:hint="eastAsia"/>
          <w:sz w:val="24"/>
          <w:szCs w:val="24"/>
        </w:rPr>
      </w:pPr>
      <w:r>
        <w:rPr>
          <w:rFonts w:hint="eastAsia"/>
          <w:sz w:val="24"/>
          <w:szCs w:val="24"/>
        </w:rPr>
        <w:t xml:space="preserve">（三）系统对接运维</w:t>
      </w:r>
      <w:r/>
    </w:p>
    <w:p>
      <w:pPr>
        <w:ind w:firstLine="480"/>
        <w:rPr>
          <w:rFonts w:hint="eastAsia"/>
          <w:sz w:val="24"/>
          <w:szCs w:val="24"/>
        </w:rPr>
      </w:pPr>
      <w:r>
        <w:rPr>
          <w:rFonts w:hint="eastAsia"/>
          <w:sz w:val="24"/>
          <w:szCs w:val="24"/>
        </w:rPr>
        <w:t xml:space="preserve">包括根据业务需求与部门系统开展对接，并保障已接入部门数据正常交换共享，做好部门系统业务数据清洗、部门系统业务数据跟踪反馈、业务数据基层回流、业务数据开放共享对接技术支持、服务能力开放共享对接技术支持，并满足省平台数据上报要求；对数据汇聚进行监测，推动重点部门全量办件信息归集，完善数据汇聚分析，实时关注数据更新、信息完整度、异常预警及问题反馈处理情况。</w:t>
      </w:r>
      <w:r/>
    </w:p>
    <w:p>
      <w:pPr>
        <w:ind w:firstLine="480"/>
        <w:rPr>
          <w:rFonts w:hint="eastAsia"/>
          <w:sz w:val="24"/>
          <w:szCs w:val="24"/>
        </w:rPr>
      </w:pPr>
      <w:r>
        <w:rPr>
          <w:rFonts w:hint="eastAsia"/>
          <w:sz w:val="24"/>
          <w:szCs w:val="24"/>
        </w:rPr>
        <w:t xml:space="preserve">（四）信息安全运维</w:t>
      </w:r>
      <w:r/>
    </w:p>
    <w:p>
      <w:pPr>
        <w:ind w:firstLine="480"/>
        <w:rPr>
          <w:rFonts w:hint="eastAsia"/>
          <w:sz w:val="24"/>
          <w:szCs w:val="24"/>
        </w:rPr>
      </w:pPr>
      <w:r>
        <w:rPr>
          <w:rFonts w:hint="eastAsia"/>
          <w:sz w:val="24"/>
          <w:szCs w:val="24"/>
        </w:rPr>
        <w:t xml:space="preserve">包括做好应用系统常态化安全加固服务，日常安全保障服务，重大节日、重大活动安全保障服务，安全通报及技术支撑服务等。做好安全记录台账管理，详实记录所有风险评估报告、安全警示信息、安全通报及整改报告。做好信创适配，夯实平台基础能力，升级一体化平台对接接口。</w:t>
      </w:r>
      <w:r/>
    </w:p>
    <w:p>
      <w:pPr>
        <w:ind w:firstLine="480"/>
        <w:rPr>
          <w:rFonts w:hint="eastAsia"/>
          <w:sz w:val="24"/>
          <w:szCs w:val="24"/>
        </w:rPr>
      </w:pPr>
      <w:r>
        <w:rPr>
          <w:rFonts w:hint="eastAsia"/>
          <w:sz w:val="24"/>
          <w:szCs w:val="24"/>
        </w:rPr>
      </w:r>
      <w:r/>
    </w:p>
    <w:p>
      <w:pPr>
        <w:ind w:firstLine="480"/>
        <w:rPr>
          <w:rFonts w:hint="eastAsia"/>
          <w:sz w:val="24"/>
          <w:szCs w:val="24"/>
        </w:rPr>
      </w:pPr>
      <w:r>
        <w:rPr>
          <w:rFonts w:hint="eastAsia"/>
          <w:sz w:val="24"/>
          <w:szCs w:val="24"/>
        </w:rPr>
        <w:t xml:space="preserve">2.2服务要求</w:t>
      </w:r>
      <w:r/>
    </w:p>
    <w:p>
      <w:pPr>
        <w:ind w:firstLine="480"/>
        <w:rPr>
          <w:rFonts w:hint="eastAsia"/>
          <w:sz w:val="24"/>
          <w:szCs w:val="24"/>
        </w:rPr>
      </w:pPr>
      <w:r>
        <w:rPr>
          <w:rFonts w:hint="eastAsia"/>
          <w:sz w:val="24"/>
          <w:szCs w:val="24"/>
        </w:rPr>
        <w:t xml:space="preserve">（1）本项目提供不少于15人驻场服务。</w:t>
      </w:r>
      <w:r/>
    </w:p>
    <w:p>
      <w:pPr>
        <w:ind w:firstLine="480"/>
        <w:rPr>
          <w:rFonts w:hint="eastAsia"/>
          <w:sz w:val="24"/>
          <w:szCs w:val="24"/>
        </w:rPr>
      </w:pPr>
      <w:r>
        <w:rPr>
          <w:rFonts w:hint="eastAsia"/>
          <w:sz w:val="24"/>
          <w:szCs w:val="24"/>
        </w:rPr>
        <w:t xml:space="preserve">（2）本项目投标人中标后应按照本项目招标需求所要求的服务内容及目标要求提供服务。</w:t>
      </w:r>
      <w:r/>
    </w:p>
    <w:p>
      <w:pPr>
        <w:ind w:firstLine="480"/>
        <w:rPr>
          <w:rFonts w:hint="eastAsia"/>
          <w:sz w:val="24"/>
          <w:szCs w:val="24"/>
        </w:rPr>
      </w:pPr>
      <w:r>
        <w:rPr>
          <w:rFonts w:hint="eastAsia"/>
          <w:sz w:val="24"/>
          <w:szCs w:val="24"/>
        </w:rPr>
        <w:t xml:space="preserve">（3）在项目服务实施期间，中标人应严格执行国家、地方、行业各项有关本项目业务管理和安全作业的法律、法规和制度，积极主动加强和服务业务及安全等有关的管理工作，并按规定承担相应的费用。中标人因违反规定等原因造成的一切损失和责任由中标人承担。</w:t>
      </w:r>
      <w:r/>
    </w:p>
    <w:p>
      <w:pPr>
        <w:ind w:firstLine="480"/>
        <w:rPr>
          <w:sz w:val="24"/>
        </w:rPr>
      </w:pPr>
      <w:r>
        <w:rPr>
          <w:rFonts w:hint="eastAsia"/>
          <w:sz w:val="24"/>
          <w:szCs w:val="24"/>
        </w:rPr>
        <w:t xml:space="preserve">（4）在组织项目服务实施期间，应按采购人实际服务需求落实所对应提供的服务工作，在项目服务实施期间应做好相关管理记录，保证满足采购人服务需求。</w:t>
      </w:r>
      <w:r/>
    </w:p>
    <w:p>
      <w:pPr>
        <w:pStyle w:val="777"/>
        <w:ind w:firstLine="372"/>
      </w:pPr>
      <w:r/>
      <w:r/>
    </w:p>
    <w:p>
      <w:pPr>
        <w:rPr>
          <w:sz w:val="24"/>
        </w:rPr>
      </w:pPr>
      <w:r>
        <w:rPr>
          <w:sz w:val="24"/>
        </w:rPr>
        <w:t xml:space="preserve">3.验收标准</w:t>
      </w:r>
      <w:r/>
    </w:p>
    <w:p>
      <w:pPr>
        <w:ind w:firstLine="480"/>
        <w:rPr>
          <w:rFonts w:hint="eastAsia" w:ascii="宋体" w:hAnsi="宋体" w:cs="宋体"/>
          <w:sz w:val="24"/>
          <w:szCs w:val="24"/>
        </w:rPr>
      </w:pPr>
      <w:r>
        <w:rPr>
          <w:rFonts w:hint="eastAsia" w:ascii="宋体" w:hAnsi="宋体" w:cs="宋体"/>
          <w:sz w:val="24"/>
          <w:szCs w:val="24"/>
        </w:rPr>
        <w:t xml:space="preserve">（1）供应商提供的服务应符合国家、地方及相关政府管理部门和行业与本项目有关的各项服务标准、规范、规章要求，并满足采购人实际需求，标准、规范等不一致的，以要求高的为准。</w:t>
      </w:r>
      <w:r/>
    </w:p>
    <w:p>
      <w:pPr>
        <w:ind w:firstLine="480"/>
        <w:rPr>
          <w:sz w:val="24"/>
        </w:rPr>
      </w:pPr>
      <w:r>
        <w:rPr>
          <w:rFonts w:hint="eastAsia" w:ascii="宋体" w:hAnsi="宋体" w:cs="宋体"/>
          <w:sz w:val="24"/>
          <w:szCs w:val="24"/>
        </w:rPr>
        <w:t xml:space="preserve">（2）本项目验收将由采购人组织进行或委托第三方进行。</w:t>
      </w:r>
      <w:r/>
    </w:p>
    <w:p>
      <w:pPr>
        <w:ind w:firstLine="482"/>
        <w:widowControl/>
        <w:rPr>
          <w:b/>
          <w:sz w:val="24"/>
        </w:rPr>
      </w:pPr>
      <w:r>
        <w:rPr>
          <w:b/>
          <w:sz w:val="24"/>
        </w:rPr>
      </w:r>
      <w:r/>
    </w:p>
    <w:p>
      <w:pPr>
        <w:rPr>
          <w:sz w:val="24"/>
        </w:rPr>
      </w:pPr>
      <w:r>
        <w:rPr>
          <w:sz w:val="24"/>
        </w:rPr>
        <w:t xml:space="preserve">4. 其他要求</w:t>
      </w:r>
      <w:r/>
    </w:p>
    <w:p>
      <w:pPr>
        <w:pStyle w:val="777"/>
        <w:ind w:left="0" w:firstLine="420"/>
      </w:pPr>
      <w:r>
        <w:rPr>
          <w:rFonts w:hint="eastAsia" w:ascii="宋体" w:hAnsi="宋体" w:cs="宋体"/>
        </w:rPr>
        <w:t xml:space="preserve">符合《政务信息系统政府采购管理暂行办法》（财库〔2017〕210号）的相关要求。</w:t>
      </w:r>
      <w:r/>
    </w:p>
    <w:p>
      <w:pPr>
        <w:rPr>
          <w:i/>
          <w:sz w:val="28"/>
          <w:szCs w:val="28"/>
          <w:u w:val="single"/>
        </w:rPr>
      </w:pPr>
      <w:r>
        <w:rPr>
          <w:i/>
          <w:sz w:val="28"/>
          <w:szCs w:val="28"/>
          <w:u w:val="single"/>
        </w:rPr>
      </w:r>
      <w:r/>
    </w:p>
    <w:p>
      <w:pPr>
        <w:rPr>
          <w:b/>
          <w:sz w:val="28"/>
          <w:szCs w:val="28"/>
        </w:rPr>
      </w:pPr>
      <w:r>
        <w:rPr>
          <w:rFonts w:hint="eastAsia"/>
          <w:sz w:val="28"/>
          <w:szCs w:val="28"/>
        </w:rPr>
        <w:t xml:space="preserve">5. </w:t>
      </w:r>
      <w:r>
        <w:rPr>
          <w:rFonts w:hint="eastAsia"/>
          <w:b/>
          <w:sz w:val="28"/>
          <w:szCs w:val="28"/>
        </w:rPr>
        <w:t xml:space="preserve">实质性要求</w:t>
      </w:r>
      <w:r/>
    </w:p>
    <w:p>
      <w:r>
        <w:rPr>
          <w:rFonts w:hint="eastAsia"/>
        </w:rPr>
        <w:t xml:space="preserve">无</w:t>
      </w:r>
      <w:r/>
    </w:p>
    <w:p>
      <w:pPr>
        <w:rPr>
          <w:sz w:val="24"/>
          <w:highlight w:val="yellow"/>
        </w:rPr>
      </w:pPr>
      <w:r>
        <w:rPr>
          <w:sz w:val="24"/>
          <w:highlight w:val="yellow"/>
        </w:rPr>
      </w:r>
      <w:r/>
    </w:p>
    <w:p>
      <w:pPr>
        <w:rPr>
          <w:sz w:val="24"/>
        </w:rPr>
      </w:pPr>
      <w:r>
        <w:rPr>
          <w:rFonts w:hint="eastAsia"/>
          <w:sz w:val="24"/>
        </w:rPr>
        <w:t xml:space="preserve">6.样品</w:t>
      </w:r>
      <w:r/>
    </w:p>
    <w:p>
      <w:pPr>
        <w:rPr>
          <w:sz w:val="24"/>
        </w:rPr>
      </w:pPr>
      <w:r>
        <w:rPr>
          <w:rFonts w:hint="eastAsia"/>
          <w:sz w:val="24"/>
        </w:rPr>
        <w:t xml:space="preserve">无</w:t>
      </w:r>
      <w:r/>
    </w:p>
    <w:p>
      <w:pPr>
        <w:rPr>
          <w:sz w:val="24"/>
          <w:highlight w:val="yellow"/>
        </w:rPr>
      </w:pPr>
      <w:r>
        <w:rPr>
          <w:sz w:val="24"/>
          <w:highlight w:val="yellow"/>
        </w:rPr>
      </w:r>
      <w:r/>
    </w:p>
    <w:p>
      <w:pPr>
        <w:rPr>
          <w:color w:val="000000"/>
          <w:sz w:val="24"/>
        </w:rPr>
      </w:pPr>
      <w:r>
        <w:rPr>
          <w:rFonts w:hint="eastAsia"/>
          <w:color w:val="000000"/>
          <w:sz w:val="24"/>
        </w:rPr>
        <w:t xml:space="preserve">7. 演示</w:t>
      </w:r>
      <w:r/>
    </w:p>
    <w:p>
      <w:pPr>
        <w:ind w:firstLine="480"/>
        <w:rPr>
          <w:rFonts w:hint="eastAsia" w:ascii="宋体" w:hAnsi="宋体" w:cs="宋体"/>
          <w:sz w:val="24"/>
          <w:szCs w:val="24"/>
        </w:rPr>
      </w:pPr>
      <w:r>
        <w:rPr>
          <w:rFonts w:hint="eastAsia" w:ascii="宋体" w:hAnsi="宋体" w:cs="宋体"/>
          <w:sz w:val="24"/>
          <w:szCs w:val="24"/>
        </w:rPr>
        <w:t xml:space="preserve">上传演示视频的形式</w:t>
      </w:r>
      <w:r/>
    </w:p>
    <w:p>
      <w:pPr>
        <w:ind w:firstLine="480"/>
        <w:rPr>
          <w:rFonts w:hint="eastAsia" w:ascii="宋体" w:hAnsi="宋体" w:cs="宋体"/>
          <w:sz w:val="24"/>
          <w:szCs w:val="24"/>
        </w:rPr>
      </w:pPr>
      <w:r>
        <w:rPr>
          <w:rFonts w:hint="eastAsia" w:ascii="宋体" w:hAnsi="宋体" w:cs="宋体"/>
          <w:sz w:val="24"/>
          <w:szCs w:val="24"/>
        </w:rPr>
        <w:t xml:space="preserve">（1）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p>
    <w:p>
      <w:pPr>
        <w:ind w:firstLine="480"/>
        <w:rPr>
          <w:rFonts w:hint="eastAsia" w:ascii="宋体" w:hAnsi="宋体" w:cs="宋体"/>
          <w:sz w:val="24"/>
          <w:szCs w:val="24"/>
        </w:rPr>
      </w:pPr>
      <w:r>
        <w:rPr>
          <w:rFonts w:hint="eastAsia" w:ascii="宋体" w:hAnsi="宋体" w:cs="宋体"/>
          <w:sz w:val="24"/>
          <w:szCs w:val="24"/>
        </w:rPr>
        <w:t xml:space="preserve">（2）演示内容如下：</w:t>
      </w:r>
      <w:r/>
    </w:p>
    <w:p>
      <w:pPr>
        <w:ind w:firstLine="480"/>
        <w:rPr>
          <w:rFonts w:hint="eastAsia" w:ascii="宋体" w:hAnsi="宋体" w:cs="宋体"/>
          <w:sz w:val="24"/>
          <w:szCs w:val="24"/>
        </w:rPr>
      </w:pPr>
      <w:r>
        <w:rPr>
          <w:rFonts w:hint="eastAsia" w:ascii="宋体" w:hAnsi="宋体" w:cs="宋体"/>
          <w:sz w:val="24"/>
          <w:szCs w:val="24"/>
        </w:rPr>
        <w:t xml:space="preserve">①“小畅”智能客服功能演示。网页用户端提供默认定位功能、高频热门问题推荐、操作指引、结构化的复合知识卡片进行解答（涵盖政务事项、政策等信息）、融合业务导航与工具直达等生态聚合内容；管理后台对智能客服的工作流进行编排，各类问题分类至各区域和各专题进行知识检索</w:t>
      </w:r>
      <w:r>
        <w:rPr>
          <w:rFonts w:hint="eastAsia" w:ascii="宋体" w:hAnsi="宋体" w:cs="宋体"/>
          <w:sz w:val="24"/>
          <w:szCs w:val="24"/>
        </w:rPr>
        <w:t xml:space="preserve">，</w:t>
      </w:r>
      <w:r>
        <w:rPr>
          <w:rFonts w:hint="eastAsia" w:ascii="宋体" w:hAnsi="宋体" w:cs="宋体"/>
          <w:sz w:val="24"/>
          <w:szCs w:val="24"/>
          <w:lang w:val="en-US" w:eastAsia="zh-CN"/>
        </w:rPr>
        <w:t xml:space="preserve">并</w:t>
      </w:r>
      <w:r>
        <w:rPr>
          <w:rFonts w:hint="eastAsia" w:ascii="宋体" w:hAnsi="宋体" w:cs="宋体"/>
          <w:sz w:val="24"/>
          <w:szCs w:val="24"/>
        </w:rPr>
        <w:t xml:space="preserve">统一合并至大模型最终输出；管理后台提供知识库功能，支持批量和单个知识上传功能，实现对知识有效期、来源部门等精细化运营维护。</w:t>
      </w:r>
      <w:r/>
    </w:p>
    <w:p>
      <w:pPr>
        <w:ind w:firstLine="480"/>
        <w:rPr>
          <w:rFonts w:hint="eastAsia" w:ascii="宋体" w:hAnsi="宋体" w:cs="宋体"/>
          <w:sz w:val="24"/>
          <w:szCs w:val="24"/>
        </w:rPr>
      </w:pPr>
      <w:r>
        <w:rPr>
          <w:rFonts w:hint="eastAsia" w:ascii="宋体" w:hAnsi="宋体" w:cs="宋体"/>
          <w:sz w:val="24"/>
          <w:szCs w:val="24"/>
        </w:rPr>
        <w:t xml:space="preserve">②“小畅”日志智能分析功能演示。展示总体数据概览，支持在筛选时间内，选择多端多渠道的智能体，查看对应的咨询量和用户数、用户满意度、渠道分布占比、区域分布占比及高频提问词云等运行数据；分析用户提问数据，支持查看和管理各智能体日志，查看问答记录时可以创建客服整改工单，展示高频问题分析结果；分析智能体回答数据，展示质量分析结果，包括最佳回答排行榜和待改进回答排行榜，提供分析智能体运行报告的功能，实现不同周期分析报告的导出，包括周报、月报等形式。</w:t>
      </w:r>
      <w:r/>
    </w:p>
    <w:p>
      <w:pPr>
        <w:ind w:firstLine="480"/>
        <w:rPr>
          <w:rFonts w:hint="default" w:ascii="宋体" w:hAnsi="宋体" w:cs="宋体"/>
          <w:sz w:val="24"/>
          <w:szCs w:val="24"/>
          <w:lang w:val="en-US" w:eastAsia="zh-CN"/>
        </w:rPr>
      </w:pPr>
      <w:r>
        <w:rPr>
          <w:rFonts w:hint="eastAsia" w:ascii="宋体" w:hAnsi="宋体" w:cs="宋体"/>
          <w:sz w:val="24"/>
          <w:szCs w:val="24"/>
        </w:rPr>
        <w:t xml:space="preserve">③智能预审功能演示。系统支持自动填充申请人身份信息、历史办件信息等预填字段，减少手动录入内容；系统对已填报信息和上传材料进行逻辑一致性预审，自动标记缺失或错误项；预审完成后，系统以列表或高亮方式展示审查要点及对应结果，并给出修改建议或提醒。</w:t>
      </w:r>
      <w:r/>
    </w:p>
    <w:p>
      <w:pPr>
        <w:ind w:firstLine="480"/>
        <w:rPr>
          <w:rFonts w:hint="eastAsia" w:ascii="宋体" w:hAnsi="宋体"/>
          <w:sz w:val="24"/>
        </w:rPr>
      </w:pPr>
      <w:r/>
      <w:bookmarkStart w:id="1" w:name="_GoBack"/>
      <w:r/>
      <w:bookmarkEnd w:id="1"/>
      <w:r/>
      <w:r/>
    </w:p>
    <w:p>
      <w:pPr>
        <w:rPr>
          <w:rFonts w:hint="eastAsia" w:ascii="宋体" w:hAnsi="宋体"/>
          <w:sz w:val="24"/>
        </w:rPr>
      </w:pPr>
      <w:r>
        <w:rPr>
          <w:rFonts w:hint="eastAsia" w:ascii="宋体" w:hAnsi="宋体"/>
          <w:sz w:val="24"/>
        </w:rPr>
        <w:t xml:space="preserve">8.采购标的对应的中小企业划分标准所属行业一览表</w:t>
      </w:r>
      <w:r/>
    </w:p>
    <w:tbl>
      <w:tblPr>
        <w:tblStyle w:val="703"/>
        <w:tblW w:w="66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jc w:val="center"/>
        </w:trPr>
        <w:tc>
          <w:tcPr>
            <w:tcW w:w="545" w:type="dxa"/>
            <w:vAlign w:val="center"/>
            <w:textDirection w:val="lrTb"/>
            <w:noWrap w:val="false"/>
          </w:tcPr>
          <w:p>
            <w:pPr>
              <w:jc w:val="center"/>
              <w:rPr>
                <w:rFonts w:hint="eastAsia" w:ascii="宋体" w:hAnsi="宋体"/>
                <w:sz w:val="24"/>
              </w:rPr>
            </w:pPr>
            <w:r>
              <w:rPr>
                <w:rFonts w:hint="eastAsia" w:ascii="宋体" w:hAnsi="宋体"/>
                <w:sz w:val="24"/>
              </w:rPr>
              <w:t xml:space="preserve">序号</w:t>
            </w:r>
            <w:r/>
          </w:p>
        </w:tc>
        <w:tc>
          <w:tcPr>
            <w:tcW w:w="3291" w:type="dxa"/>
            <w:vAlign w:val="center"/>
            <w:textDirection w:val="lrTb"/>
            <w:noWrap w:val="false"/>
          </w:tcPr>
          <w:p>
            <w:pPr>
              <w:jc w:val="center"/>
              <w:rPr>
                <w:rFonts w:hint="eastAsia"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jc w:val="center"/>
              <w:rPr>
                <w:rFonts w:hint="eastAsia"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jc w:val="center"/>
          <w:trHeight w:val="291"/>
        </w:trPr>
        <w:tc>
          <w:tcPr>
            <w:tcW w:w="545" w:type="dxa"/>
            <w:textDirection w:val="lrTb"/>
            <w:noWrap w:val="false"/>
          </w:tcPr>
          <w:p>
            <w:pPr>
              <w:jc w:val="center"/>
              <w:rPr>
                <w:rFonts w:hint="eastAsia" w:ascii="宋体" w:hAnsi="宋体"/>
                <w:sz w:val="24"/>
              </w:rPr>
            </w:pPr>
            <w:r>
              <w:rPr>
                <w:rFonts w:hint="eastAsia" w:ascii="宋体" w:hAnsi="宋体"/>
                <w:sz w:val="24"/>
              </w:rPr>
              <w:t xml:space="preserve">1</w:t>
            </w:r>
            <w:r/>
          </w:p>
        </w:tc>
        <w:tc>
          <w:tcPr>
            <w:tcW w:w="3291" w:type="dxa"/>
            <w:textDirection w:val="lrTb"/>
            <w:noWrap w:val="false"/>
          </w:tcPr>
          <w:p>
            <w:pPr>
              <w:jc w:val="center"/>
              <w:rPr>
                <w:rFonts w:hint="eastAsia" w:ascii="宋体" w:hAnsi="宋体"/>
                <w:sz w:val="24"/>
              </w:rPr>
            </w:pPr>
            <w:r>
              <w:rPr>
                <w:rFonts w:hint="eastAsia" w:ascii="宋体" w:hAnsi="宋体" w:cs="宋体"/>
                <w:sz w:val="24"/>
              </w:rPr>
              <w:t xml:space="preserve">常州市</w:t>
            </w:r>
            <w:r>
              <w:rPr>
                <w:rFonts w:ascii="宋体" w:hAnsi="宋体" w:cs="宋体"/>
                <w:sz w:val="24"/>
              </w:rPr>
              <w:t xml:space="preserve">一体化政务服务平台软件运维</w:t>
            </w:r>
            <w:r/>
          </w:p>
        </w:tc>
        <w:tc>
          <w:tcPr>
            <w:tcW w:w="2852" w:type="dxa"/>
            <w:textDirection w:val="lrTb"/>
            <w:noWrap w:val="false"/>
          </w:tcPr>
          <w:p>
            <w:pPr>
              <w:jc w:val="center"/>
              <w:rPr>
                <w:rFonts w:hint="eastAsia" w:ascii="宋体" w:hAnsi="宋体"/>
                <w:sz w:val="24"/>
              </w:rPr>
            </w:pPr>
            <w:r>
              <w:rPr>
                <w:rFonts w:hint="eastAsia" w:ascii="宋体" w:hAnsi="宋体"/>
                <w:sz w:val="24"/>
              </w:rPr>
              <w:t xml:space="preserve">软件和信息技术服务业</w:t>
            </w:r>
            <w:r/>
          </w:p>
        </w:tc>
      </w:tr>
    </w:tbl>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before="240" w:after="240"/>
        <w:rPr>
          <w:rFonts w:hint="eastAsia" w:ascii="黑体" w:hAnsi="黑体" w:eastAsia="黑体" w:cs="黑体"/>
          <w:b/>
          <w:color w:val="000000"/>
          <w:sz w:val="32"/>
          <w:szCs w:val="32"/>
        </w:r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rPr>
          <w:rFonts w:hint="eastAsia" w:ascii="黑体" w:hAnsi="黑体" w:eastAsia="黑体" w:cs="黑体"/>
          <w:b/>
          <w:color w:val="000000"/>
          <w:sz w:val="32"/>
          <w:szCs w:val="32"/>
        </w:rPr>
        <w:t xml:space="preserve">分包2：</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一、采购标的</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w:t>
      </w:r>
      <w:r>
        <w:rPr>
          <w:rFonts w:ascii="宋体" w:hAnsi="宋体" w:cs="宋体"/>
          <w:color w:val="000000"/>
          <w:sz w:val="24"/>
        </w:rPr>
        <w:t xml:space="preserve">项目名称：</w:t>
      </w:r>
      <w:r>
        <w:rPr>
          <w:color w:val="000000"/>
          <w:sz w:val="24"/>
          <w:szCs w:val="24"/>
        </w:rPr>
        <w:t xml:space="preserve">2026年度常州市一体化政务服务平台软件运维</w:t>
      </w:r>
      <w:r>
        <w:rPr>
          <w:rFonts w:hint="eastAsia"/>
          <w:color w:val="000000"/>
          <w:sz w:val="24"/>
          <w:szCs w:val="24"/>
        </w:rPr>
        <w:t xml:space="preserve">监理</w:t>
      </w:r>
      <w:r>
        <w:rPr>
          <w:color w:val="000000"/>
          <w:sz w:val="24"/>
          <w:szCs w:val="24"/>
        </w:rPr>
        <w:t xml:space="preserve">服务</w:t>
      </w:r>
      <w:r>
        <w:rPr>
          <w:rFonts w:eastAsia="Times New Roman"/>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2.预算金额：</w:t>
      </w:r>
      <w:r>
        <w:rPr>
          <w:rFonts w:hint="eastAsia" w:ascii="宋体" w:hAnsi="宋体" w:cs="宋体"/>
          <w:color w:val="000000"/>
          <w:sz w:val="24"/>
          <w:szCs w:val="24"/>
        </w:rPr>
        <w:t xml:space="preserve">6万元</w:t>
      </w:r>
      <w:r>
        <w:rPr>
          <w:rFonts w:ascii="宋体" w:hAnsi="宋体" w:cs="宋体"/>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3.最高限价：</w:t>
      </w:r>
      <w:r>
        <w:rPr>
          <w:rFonts w:hint="eastAsia" w:ascii="宋体" w:hAnsi="宋体" w:cs="宋体"/>
          <w:color w:val="000000"/>
          <w:sz w:val="24"/>
          <w:szCs w:val="24"/>
        </w:rPr>
        <w:t xml:space="preserve">6万元</w:t>
      </w:r>
      <w:r/>
    </w:p>
    <w:p>
      <w:pPr>
        <w:pStyle w:val="722"/>
        <w:jc w:val="both"/>
        <w:spacing w:before="0" w:beforeAutospacing="0" w:after="0" w:afterAutospacing="0"/>
      </w:pPr>
      <w:r>
        <w:rPr>
          <w:rFonts w:ascii="宋体" w:hAnsi="宋体" w:cs="宋体"/>
          <w:color w:val="000000"/>
        </w:rPr>
        <w:t xml:space="preserve">4.采购项目概况（简介）：</w:t>
      </w:r>
      <w:r>
        <w:rPr>
          <w:rFonts w:hint="eastAsia" w:ascii="宋体" w:hAnsi="宋体"/>
        </w:rPr>
        <w:t xml:space="preserve">开展2026年度</w:t>
      </w:r>
      <w:r>
        <w:rPr>
          <w:rFonts w:hint="eastAsia"/>
          <w:bCs/>
        </w:rPr>
        <w:t xml:space="preserve">常州市一体化政务服务平台软件运维、常州市工程建设项目审批管理系统运维、常州市数据局电脑终端、办公设备维护的监理服务。</w:t>
      </w:r>
      <w:r>
        <w:rPr>
          <w:rFonts w:ascii="宋体" w:hAnsi="宋体" w:cs="宋体"/>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5.合同履行期限：</w:t>
      </w:r>
      <w:r>
        <w:rPr>
          <w:rFonts w:hint="eastAsia" w:ascii="宋体" w:hAnsi="宋体" w:cs="宋体"/>
          <w:color w:val="000000"/>
          <w:sz w:val="24"/>
          <w:szCs w:val="24"/>
        </w:rPr>
        <w:t xml:space="preserve">一年</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6.是/否接受联合体投标：</w:t>
      </w:r>
      <w:r>
        <w:rPr>
          <w:rFonts w:hint="eastAsia" w:ascii="宋体" w:hAnsi="宋体" w:cs="宋体"/>
          <w:color w:val="000000"/>
          <w:sz w:val="24"/>
        </w:rPr>
        <w:t xml:space="preserve">否</w:t>
      </w:r>
      <w:r>
        <w:rPr>
          <w:rFonts w:ascii="宋体" w:hAnsi="宋体" w:cs="宋体"/>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sz w:val="24"/>
        </w:rPr>
        <w:t xml:space="preserve">7.</w:t>
      </w:r>
      <w:r>
        <w:rPr>
          <w:rFonts w:ascii="宋体" w:hAnsi="宋体" w:cs="宋体"/>
          <w:color w:val="000000"/>
          <w:sz w:val="24"/>
        </w:rPr>
        <w:t xml:space="preserve">是</w:t>
      </w:r>
      <w:r>
        <w:rPr>
          <w:rFonts w:eastAsia="Times New Roman"/>
          <w:color w:val="000000"/>
          <w:sz w:val="24"/>
        </w:rPr>
        <w:t xml:space="preserve">/</w:t>
      </w:r>
      <w:r>
        <w:rPr>
          <w:rFonts w:ascii="宋体" w:hAnsi="宋体" w:cs="宋体"/>
          <w:color w:val="000000"/>
          <w:sz w:val="24"/>
        </w:rPr>
        <w:t xml:space="preserve">否接受分支机构参与响应：</w:t>
      </w:r>
      <w:r>
        <w:rPr>
          <w:rFonts w:hint="eastAsia" w:ascii="宋体" w:hAnsi="宋体" w:cs="宋体"/>
          <w:color w:val="000000"/>
          <w:sz w:val="24"/>
        </w:rPr>
        <w:t xml:space="preserve">否</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8.是/否属于政府购买服务：</w:t>
      </w:r>
      <w:r>
        <w:rPr>
          <w:rFonts w:hint="eastAsia" w:ascii="宋体" w:hAnsi="宋体" w:cs="宋体"/>
          <w:color w:val="000000"/>
          <w:sz w:val="24"/>
        </w:rPr>
        <w:t xml:space="preserve">是</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9.是</w:t>
      </w:r>
      <w:r>
        <w:rPr>
          <w:rFonts w:eastAsia="Times New Roman"/>
          <w:color w:val="000000"/>
          <w:sz w:val="24"/>
        </w:rPr>
        <w:t xml:space="preserve">/</w:t>
      </w:r>
      <w:r>
        <w:rPr>
          <w:rFonts w:ascii="宋体" w:hAnsi="宋体" w:cs="宋体"/>
          <w:color w:val="000000"/>
          <w:sz w:val="24"/>
        </w:rPr>
        <w:t xml:space="preserve">否接受进口产品投标：</w:t>
      </w:r>
      <w:r>
        <w:rPr>
          <w:rFonts w:hint="eastAsia" w:ascii="宋体" w:hAnsi="宋体" w:cs="宋体"/>
          <w:color w:val="000000"/>
          <w:sz w:val="24"/>
        </w:rPr>
        <w:t xml:space="preserve">否</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10. </w:t>
      </w:r>
      <w:r>
        <w:rPr>
          <w:rFonts w:ascii="宋体" w:hAnsi="宋体" w:cs="宋体"/>
          <w:color w:val="000000"/>
          <w:sz w:val="24"/>
        </w:rPr>
        <w:t xml:space="preserve">是</w:t>
      </w:r>
      <w:r>
        <w:rPr>
          <w:rFonts w:eastAsia="Times New Roman"/>
          <w:color w:val="000000"/>
          <w:sz w:val="24"/>
        </w:rPr>
        <w:t xml:space="preserve">/</w:t>
      </w:r>
      <w:r>
        <w:rPr>
          <w:rFonts w:ascii="宋体" w:hAnsi="宋体" w:cs="宋体"/>
          <w:color w:val="000000"/>
          <w:sz w:val="24"/>
        </w:rPr>
        <w:t xml:space="preserve">否专门面向中小企业预留采购份额：</w:t>
      </w:r>
      <w:r>
        <w:rPr>
          <w:rFonts w:hint="eastAsia" w:ascii="宋体" w:hAnsi="宋体" w:cs="宋体"/>
          <w:color w:val="000000"/>
          <w:sz w:val="24"/>
        </w:rPr>
        <w:t xml:space="preserve">否</w:t>
      </w:r>
      <w:r/>
    </w:p>
    <w:p>
      <w:pPr>
        <w:spacing w:after="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11.</w:t>
      </w:r>
      <w:r>
        <w:rPr>
          <w:rFonts w:ascii="宋体" w:hAnsi="宋体" w:cs="宋体"/>
          <w:color w:val="000000"/>
          <w:sz w:val="24"/>
        </w:rPr>
        <w:t xml:space="preserve">本项目的特定资格要求：</w:t>
      </w:r>
      <w:r>
        <w:rPr>
          <w:rFonts w:hint="eastAsia" w:ascii="宋体" w:hAnsi="宋体" w:cs="宋体"/>
          <w:color w:val="000000"/>
          <w:sz w:val="24"/>
        </w:rPr>
        <w:t xml:space="preserve">无</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12.项目类别：</w:t>
      </w:r>
      <w:r>
        <w:rPr>
          <w:rFonts w:hint="eastAsia" w:ascii="宋体" w:hAnsi="宋体" w:cs="宋体"/>
          <w:color w:val="000000"/>
          <w:sz w:val="24"/>
        </w:rPr>
        <w:t xml:space="preserve">服务类</w:t>
      </w:r>
      <w:r>
        <w:rPr>
          <w:rFonts w:ascii="宋体" w:hAnsi="宋体" w:cs="宋体"/>
          <w:color w:val="000000"/>
          <w:sz w:val="24"/>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二、商务要求</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 </w:t>
      </w:r>
      <w:r>
        <w:rPr>
          <w:rFonts w:ascii="宋体" w:hAnsi="宋体" w:cs="宋体"/>
          <w:color w:val="000000"/>
          <w:sz w:val="24"/>
        </w:rPr>
        <w:t xml:space="preserve">交付（实施）的时间（期限）和地点（范围）</w:t>
      </w:r>
      <w:r/>
    </w:p>
    <w:p>
      <w:pPr>
        <w:rPr>
          <w:i/>
          <w:sz w:val="24"/>
        </w:rPr>
      </w:pPr>
      <w:r>
        <w:rPr>
          <w:rFonts w:eastAsia="Times New Roman"/>
          <w:i/>
          <w:color w:val="000000"/>
          <w:sz w:val="24"/>
        </w:rPr>
        <w:t xml:space="preserve"> </w:t>
      </w:r>
      <w:r>
        <w:rPr>
          <w:rFonts w:hint="eastAsia" w:ascii="宋体" w:hAnsi="宋体" w:cs="宋体"/>
          <w:color w:val="000000"/>
          <w:sz w:val="24"/>
        </w:rPr>
        <w:t xml:space="preserve">一年，常州</w:t>
      </w:r>
      <w:r/>
    </w:p>
    <w:p>
      <w:pPr>
        <w:spacing w:after="0"/>
        <w:pBdr>
          <w:top w:val="none" w:color="000000" w:sz="0" w:space="0"/>
          <w:left w:val="none" w:color="000000" w:sz="0" w:space="0"/>
          <w:bottom w:val="none" w:color="000000" w:sz="0" w:space="0"/>
          <w:right w:val="none" w:color="000000" w:sz="0" w:space="0"/>
        </w:pBdr>
      </w:pPr>
      <w:r/>
      <w:r/>
    </w:p>
    <w:p>
      <w:pPr>
        <w:spacing w:after="0"/>
        <w:pBdr>
          <w:top w:val="none" w:color="000000" w:sz="0" w:space="0"/>
          <w:left w:val="none" w:color="000000" w:sz="0" w:space="0"/>
          <w:bottom w:val="none" w:color="000000" w:sz="0" w:space="0"/>
          <w:right w:val="none" w:color="000000" w:sz="0" w:space="0"/>
        </w:pBdr>
      </w:pPr>
      <w:r>
        <w:rPr>
          <w:rFonts w:eastAsia="Times New Roman"/>
          <w:color w:val="000000"/>
          <w:sz w:val="24"/>
        </w:rPr>
        <w:t xml:space="preserve">2. </w:t>
      </w:r>
      <w:r>
        <w:rPr>
          <w:rFonts w:ascii="宋体" w:hAnsi="宋体" w:cs="宋体"/>
          <w:color w:val="000000"/>
          <w:sz w:val="24"/>
        </w:rPr>
        <w:t xml:space="preserve">付款条件（进度和方式）</w:t>
      </w:r>
      <w:r/>
    </w:p>
    <w:p>
      <w:pPr>
        <w:pStyle w:val="722"/>
        <w:jc w:val="both"/>
        <w:spacing w:before="0" w:beforeAutospacing="0" w:after="0" w:afterAutospacing="0"/>
        <w:rPr>
          <w:rFonts w:hint="eastAsia" w:ascii="宋体" w:hAnsi="宋体" w:cs="宋体"/>
          <w:color w:val="000000"/>
          <w:szCs w:val="24"/>
        </w:rPr>
      </w:pPr>
      <w:r>
        <w:rPr>
          <w:rFonts w:hint="eastAsia" w:ascii="宋体" w:hAnsi="宋体" w:cs="宋体"/>
          <w:color w:val="000000"/>
          <w:szCs w:val="24"/>
        </w:rPr>
        <w:t xml:space="preserve">（1）合同签订（收到发票）后10个工作日内，甲方向乙方支付合同总价的50%；</w:t>
      </w:r>
      <w:r/>
    </w:p>
    <w:p>
      <w:pPr>
        <w:spacing w:before="120" w:after="120"/>
      </w:pPr>
      <w:r>
        <w:rPr>
          <w:rFonts w:hint="eastAsia" w:ascii="宋体" w:hAnsi="宋体" w:cs="宋体"/>
          <w:color w:val="000000"/>
          <w:sz w:val="24"/>
          <w:szCs w:val="24"/>
        </w:rPr>
        <w:t xml:space="preserve">（2）2026年12月31日之前，自收到发票起10个工作日内，甲方一次性支付乙方剩余50%尾款。</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sz w:val="24"/>
        </w:rPr>
        <w:t xml:space="preserve">3. </w:t>
      </w:r>
      <w:r>
        <w:rPr>
          <w:rFonts w:ascii="宋体" w:hAnsi="宋体" w:cs="宋体"/>
          <w:color w:val="000000"/>
          <w:sz w:val="24"/>
        </w:rPr>
        <w:t xml:space="preserve">包装和运输</w:t>
      </w:r>
      <w:r/>
    </w:p>
    <w:p>
      <w:pPr>
        <w:spacing w:after="0"/>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无</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sz w:val="24"/>
        </w:rPr>
        <w:t xml:space="preserve">4. </w:t>
      </w:r>
      <w:r>
        <w:rPr>
          <w:rFonts w:ascii="宋体" w:hAnsi="宋体" w:cs="宋体"/>
          <w:color w:val="000000"/>
          <w:sz w:val="24"/>
        </w:rPr>
        <w:t xml:space="preserve">售后服务（质保期等）</w:t>
      </w:r>
      <w:r/>
    </w:p>
    <w:p>
      <w:pPr>
        <w:rPr>
          <w:sz w:val="24"/>
        </w:rPr>
      </w:pPr>
      <w:r>
        <w:rPr>
          <w:rFonts w:hint="eastAsia"/>
          <w:sz w:val="24"/>
        </w:rPr>
        <w:t xml:space="preserve">不涉及</w:t>
      </w:r>
      <w:r/>
    </w:p>
    <w:p>
      <w:pPr>
        <w:spacing w:after="0"/>
        <w:pBdr>
          <w:top w:val="none" w:color="000000" w:sz="0" w:space="0"/>
          <w:left w:val="none" w:color="000000" w:sz="0" w:space="0"/>
          <w:bottom w:val="none" w:color="000000" w:sz="0" w:space="0"/>
          <w:right w:val="none" w:color="000000" w:sz="0" w:space="0"/>
        </w:pBdr>
      </w:pPr>
      <w:r/>
      <w:r/>
    </w:p>
    <w:p>
      <w:pPr>
        <w:spacing w:after="0"/>
        <w:pBdr>
          <w:top w:val="none" w:color="000000" w:sz="0" w:space="0"/>
          <w:left w:val="none" w:color="000000" w:sz="0" w:space="0"/>
          <w:bottom w:val="none" w:color="000000" w:sz="0" w:space="0"/>
          <w:right w:val="none" w:color="000000" w:sz="0" w:space="0"/>
        </w:pBdr>
      </w:pPr>
      <w:r>
        <w:rPr>
          <w:rFonts w:eastAsia="Times New Roman"/>
          <w:color w:val="000000"/>
          <w:sz w:val="24"/>
        </w:rPr>
        <w:t xml:space="preserve">5. </w:t>
      </w:r>
      <w:r>
        <w:rPr>
          <w:rFonts w:ascii="宋体" w:hAnsi="宋体" w:cs="宋体"/>
          <w:color w:val="000000"/>
          <w:sz w:val="24"/>
        </w:rPr>
        <w:t xml:space="preserve">保险</w:t>
      </w:r>
      <w:r/>
    </w:p>
    <w:p>
      <w:pPr>
        <w:spacing w:after="0"/>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无</w:t>
      </w:r>
      <w:r>
        <w:rPr>
          <w:rFonts w:eastAsia="Times New Roman"/>
          <w:b/>
          <w:i/>
          <w:color w:val="000000"/>
          <w:sz w:val="24"/>
        </w:rPr>
        <w:t xml:space="preserve"> </w:t>
      </w:r>
      <w:r/>
    </w:p>
    <w:p>
      <w:pPr>
        <w:spacing w:after="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pStyle w:val="722"/>
        <w:jc w:val="both"/>
        <w:spacing w:before="240" w:beforeAutospacing="0" w:after="240" w:afterAutospacing="0"/>
      </w:pPr>
      <w:r>
        <w:rPr>
          <w:rFonts w:ascii="宋体" w:hAnsi="宋体" w:cs="宋体"/>
          <w:b/>
          <w:bCs/>
          <w:color w:val="000000"/>
          <w:szCs w:val="24"/>
        </w:rPr>
        <w:t xml:space="preserve">三、技术要求</w:t>
      </w:r>
      <w:r/>
    </w:p>
    <w:p>
      <w:pPr>
        <w:ind w:firstLine="480"/>
        <w:rPr>
          <w:rFonts w:hint="eastAsia" w:ascii="宋体" w:hAnsi="宋体" w:cs="宋体"/>
          <w:sz w:val="24"/>
        </w:rPr>
      </w:pPr>
      <w:r>
        <w:rPr>
          <w:rFonts w:hint="eastAsia" w:ascii="宋体" w:hAnsi="宋体" w:cs="宋体"/>
          <w:sz w:val="24"/>
        </w:rPr>
        <w:t xml:space="preserve">1、监理服务内容</w:t>
      </w:r>
      <w:r/>
    </w:p>
    <w:p>
      <w:pPr>
        <w:ind w:firstLine="480"/>
        <w:spacing w:line="360" w:lineRule="auto"/>
        <w:rPr>
          <w:rFonts w:hint="eastAsia" w:ascii="宋体" w:hAnsi="宋体" w:cs="宋体"/>
          <w:sz w:val="24"/>
        </w:rPr>
      </w:pPr>
      <w:r>
        <w:rPr>
          <w:rFonts w:hint="eastAsia" w:ascii="宋体" w:hAnsi="宋体" w:cs="宋体"/>
          <w:sz w:val="24"/>
        </w:rPr>
        <w:t xml:space="preserve">按照“四控制、三管理、一协调”的原则，保证项目在规定的时间内完成，并实现项目建设的目标。监理服务的范围包括但不限于： 项目实施建设过程，应用软件开发和系统集成，设备和系统软件购置、安装调试，系统单元测试，集成测试，培训，试运行和系统验收，系统移交，相关各类项目会议的组织、记录，项目文档、起草、归档、移交等管理工作；针对项目建设情况，向甲方提出合理化的改进改良建议；全面负责项目各方的工作协调、督办等，并提供7*24小时的现场全程监理服务。协助甲方完成上级各部门对本项目的检查、考核、验收等工作。</w:t>
      </w:r>
      <w:r/>
    </w:p>
    <w:p>
      <w:pPr>
        <w:spacing w:line="440" w:lineRule="exact"/>
        <w:rPr>
          <w:rFonts w:hint="eastAsia" w:ascii="宋体" w:hAnsi="宋体" w:cs="宋体"/>
          <w:b/>
          <w:bCs/>
          <w:sz w:val="24"/>
        </w:rPr>
      </w:pPr>
      <w:r>
        <w:rPr>
          <w:rFonts w:hint="eastAsia" w:ascii="宋体" w:hAnsi="宋体" w:cs="宋体"/>
          <w:b/>
          <w:bCs/>
          <w:sz w:val="24"/>
        </w:rPr>
        <w:t xml:space="preserve">主要内容包括：</w:t>
      </w:r>
      <w:r/>
    </w:p>
    <w:p>
      <w:pPr>
        <w:numPr>
          <w:ilvl w:val="0"/>
          <w:numId w:val="5"/>
        </w:numPr>
        <w:ind w:firstLine="420"/>
        <w:spacing w:line="440" w:lineRule="exact"/>
        <w:rPr>
          <w:rFonts w:hint="eastAsia" w:ascii="宋体" w:hAnsi="宋体" w:cs="宋体"/>
          <w:sz w:val="24"/>
        </w:rPr>
      </w:pPr>
      <w:r>
        <w:rPr>
          <w:rFonts w:hint="eastAsia" w:ascii="宋体" w:hAnsi="宋体" w:cs="宋体"/>
          <w:sz w:val="24"/>
        </w:rPr>
        <w:t xml:space="preserve">项目质量控制</w:t>
      </w:r>
      <w:r/>
    </w:p>
    <w:p>
      <w:pPr>
        <w:ind w:firstLine="1200"/>
        <w:spacing w:line="440" w:lineRule="exact"/>
        <w:rPr>
          <w:rFonts w:hint="eastAsia" w:ascii="宋体" w:hAnsi="宋体" w:cs="宋体"/>
          <w:sz w:val="24"/>
        </w:rPr>
      </w:pPr>
      <w:r>
        <w:rPr>
          <w:rFonts w:hint="eastAsia" w:ascii="宋体" w:hAnsi="宋体" w:cs="宋体"/>
          <w:sz w:val="24"/>
        </w:rPr>
        <w:t xml:space="preserve">（1）系统集成质量的控制</w:t>
      </w:r>
      <w:r/>
    </w:p>
    <w:p>
      <w:pPr>
        <w:ind w:firstLine="1200"/>
        <w:spacing w:line="440" w:lineRule="exact"/>
        <w:rPr>
          <w:rFonts w:hint="eastAsia" w:ascii="宋体" w:hAnsi="宋体" w:cs="宋体"/>
          <w:sz w:val="24"/>
        </w:rPr>
      </w:pPr>
      <w:r>
        <w:rPr>
          <w:rFonts w:hint="eastAsia" w:ascii="宋体" w:hAnsi="宋体" w:cs="宋体"/>
          <w:sz w:val="24"/>
        </w:rPr>
        <w:t xml:space="preserve">（2）应用软件开发质量的控制</w:t>
      </w:r>
      <w:r/>
    </w:p>
    <w:p>
      <w:pPr>
        <w:ind w:firstLine="1200"/>
        <w:spacing w:line="440" w:lineRule="exact"/>
        <w:rPr>
          <w:rFonts w:hint="eastAsia" w:ascii="宋体" w:hAnsi="宋体" w:cs="宋体"/>
          <w:sz w:val="24"/>
        </w:rPr>
      </w:pPr>
      <w:r>
        <w:rPr>
          <w:rFonts w:hint="eastAsia" w:ascii="宋体" w:hAnsi="宋体" w:cs="宋体"/>
          <w:sz w:val="24"/>
        </w:rPr>
        <w:t xml:space="preserve">（3）软件应用培训的质量控制</w:t>
      </w:r>
      <w:r/>
    </w:p>
    <w:p>
      <w:pPr>
        <w:numPr>
          <w:ilvl w:val="0"/>
          <w:numId w:val="5"/>
        </w:numPr>
        <w:ind w:firstLine="420"/>
        <w:spacing w:line="440" w:lineRule="exact"/>
        <w:rPr>
          <w:rFonts w:hint="eastAsia" w:ascii="宋体" w:hAnsi="宋体" w:cs="宋体"/>
          <w:sz w:val="24"/>
        </w:rPr>
      </w:pPr>
      <w:r>
        <w:rPr>
          <w:rFonts w:hint="eastAsia" w:ascii="宋体" w:hAnsi="宋体" w:cs="宋体"/>
          <w:sz w:val="24"/>
        </w:rPr>
        <w:t xml:space="preserve">项目进度控制</w:t>
      </w:r>
      <w:r/>
    </w:p>
    <w:p>
      <w:pPr>
        <w:numPr>
          <w:ilvl w:val="0"/>
          <w:numId w:val="5"/>
        </w:numPr>
        <w:ind w:firstLine="420"/>
        <w:spacing w:line="440" w:lineRule="exact"/>
        <w:rPr>
          <w:rFonts w:hint="eastAsia" w:ascii="宋体" w:hAnsi="宋体" w:cs="宋体"/>
          <w:sz w:val="24"/>
        </w:rPr>
      </w:pPr>
      <w:r>
        <w:rPr>
          <w:rFonts w:hint="eastAsia" w:ascii="宋体" w:hAnsi="宋体" w:cs="宋体"/>
          <w:sz w:val="24"/>
        </w:rPr>
        <w:t xml:space="preserve">项目投资控制</w:t>
      </w:r>
      <w:r/>
    </w:p>
    <w:p>
      <w:pPr>
        <w:numPr>
          <w:ilvl w:val="0"/>
          <w:numId w:val="5"/>
        </w:numPr>
        <w:ind w:firstLine="420"/>
        <w:spacing w:line="440" w:lineRule="exact"/>
        <w:rPr>
          <w:rFonts w:hint="eastAsia" w:ascii="宋体" w:hAnsi="宋体" w:cs="宋体"/>
          <w:sz w:val="24"/>
        </w:rPr>
      </w:pPr>
      <w:r>
        <w:rPr>
          <w:rFonts w:hint="eastAsia" w:ascii="宋体" w:hAnsi="宋体" w:cs="宋体"/>
          <w:sz w:val="24"/>
        </w:rPr>
        <w:t xml:space="preserve">项目变更控制</w:t>
      </w:r>
      <w:r/>
    </w:p>
    <w:p>
      <w:pPr>
        <w:numPr>
          <w:ilvl w:val="0"/>
          <w:numId w:val="5"/>
        </w:numPr>
        <w:ind w:firstLine="420"/>
        <w:spacing w:line="440" w:lineRule="exact"/>
        <w:rPr>
          <w:rFonts w:hint="eastAsia" w:ascii="宋体" w:hAnsi="宋体" w:cs="宋体"/>
          <w:sz w:val="24"/>
        </w:rPr>
      </w:pPr>
      <w:r>
        <w:rPr>
          <w:rFonts w:hint="eastAsia" w:ascii="宋体" w:hAnsi="宋体" w:cs="宋体"/>
          <w:sz w:val="24"/>
        </w:rPr>
        <w:t xml:space="preserve">项目合同管理</w:t>
      </w:r>
      <w:r/>
    </w:p>
    <w:p>
      <w:pPr>
        <w:numPr>
          <w:ilvl w:val="0"/>
          <w:numId w:val="5"/>
        </w:numPr>
        <w:ind w:firstLine="420"/>
        <w:spacing w:line="440" w:lineRule="exact"/>
        <w:rPr>
          <w:rFonts w:hint="eastAsia" w:ascii="宋体" w:hAnsi="宋体" w:cs="宋体"/>
          <w:sz w:val="24"/>
        </w:rPr>
      </w:pPr>
      <w:r>
        <w:rPr>
          <w:rFonts w:hint="eastAsia" w:ascii="宋体" w:hAnsi="宋体" w:cs="宋体"/>
          <w:sz w:val="24"/>
        </w:rPr>
        <w:t xml:space="preserve">信息管理/项目文档管理</w:t>
      </w:r>
      <w:r/>
    </w:p>
    <w:p>
      <w:pPr>
        <w:numPr>
          <w:ilvl w:val="0"/>
          <w:numId w:val="5"/>
        </w:numPr>
        <w:ind w:firstLine="420"/>
        <w:spacing w:line="440" w:lineRule="exact"/>
        <w:rPr>
          <w:rFonts w:hint="eastAsia" w:ascii="宋体" w:hAnsi="宋体" w:cs="宋体"/>
          <w:sz w:val="24"/>
        </w:rPr>
      </w:pPr>
      <w:r>
        <w:rPr>
          <w:rFonts w:hint="eastAsia" w:ascii="宋体" w:hAnsi="宋体" w:cs="宋体"/>
          <w:sz w:val="24"/>
        </w:rPr>
        <w:t xml:space="preserve">经业主委托，负责协调本项目所涉及的各承建单位之间的工作关系，并协调解决项目建设过程中的各类纠纷。 </w:t>
      </w:r>
      <w:r/>
    </w:p>
    <w:p>
      <w:pPr>
        <w:numPr>
          <w:ilvl w:val="0"/>
          <w:numId w:val="5"/>
        </w:numPr>
        <w:ind w:firstLine="420"/>
        <w:spacing w:line="440" w:lineRule="exact"/>
        <w:rPr>
          <w:rFonts w:hint="eastAsia" w:ascii="宋体" w:hAnsi="宋体" w:cs="宋体"/>
          <w:sz w:val="24"/>
        </w:rPr>
      </w:pPr>
      <w:r>
        <w:rPr>
          <w:rFonts w:hint="eastAsia" w:ascii="宋体" w:hAnsi="宋体" w:cs="宋体"/>
          <w:sz w:val="24"/>
        </w:rPr>
        <w:t xml:space="preserve">项目安全的管理</w:t>
      </w:r>
      <w:r/>
    </w:p>
    <w:p>
      <w:pPr>
        <w:numPr>
          <w:ilvl w:val="0"/>
          <w:numId w:val="5"/>
        </w:numPr>
        <w:ind w:firstLine="420"/>
        <w:spacing w:line="440" w:lineRule="exact"/>
        <w:rPr>
          <w:rFonts w:hint="eastAsia" w:ascii="宋体" w:hAnsi="宋体" w:cs="宋体"/>
          <w:sz w:val="24"/>
        </w:rPr>
      </w:pPr>
      <w:r>
        <w:rPr>
          <w:rFonts w:hint="eastAsia" w:ascii="宋体" w:hAnsi="宋体" w:cs="宋体"/>
          <w:sz w:val="24"/>
        </w:rPr>
        <w:t xml:space="preserve">项目知识产权的管理</w:t>
      </w:r>
      <w:r/>
    </w:p>
    <w:p>
      <w:pPr>
        <w:pStyle w:val="695"/>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2、监理依据</w:t>
      </w:r>
      <w:r/>
    </w:p>
    <w:p>
      <w:pPr>
        <w:spacing w:line="440" w:lineRule="exact"/>
        <w:rPr>
          <w:rFonts w:hint="eastAsia" w:ascii="宋体" w:hAnsi="宋体" w:cs="宋体"/>
          <w:sz w:val="24"/>
        </w:rPr>
      </w:pPr>
      <w:r>
        <w:rPr>
          <w:rFonts w:hint="eastAsia" w:ascii="宋体" w:hAnsi="宋体" w:cs="宋体"/>
          <w:sz w:val="24"/>
        </w:rPr>
        <w:t xml:space="preserve">（1）国家信息产业部和省、市有关信息系统项目建设有关文件和监理规范；</w:t>
      </w:r>
      <w:r/>
    </w:p>
    <w:p>
      <w:pPr>
        <w:spacing w:line="440" w:lineRule="exact"/>
        <w:rPr>
          <w:rFonts w:hint="eastAsia" w:ascii="宋体" w:hAnsi="宋体" w:cs="宋体"/>
          <w:sz w:val="24"/>
        </w:rPr>
      </w:pPr>
      <w:r>
        <w:rPr>
          <w:rFonts w:hint="eastAsia" w:ascii="宋体" w:hAnsi="宋体" w:cs="宋体"/>
          <w:sz w:val="24"/>
        </w:rPr>
        <w:t xml:space="preserve">（2）采购人与项目承建单位签订的合同；</w:t>
      </w:r>
      <w:r/>
    </w:p>
    <w:p>
      <w:pPr>
        <w:ind w:firstLine="120"/>
        <w:spacing w:line="440" w:lineRule="exact"/>
        <w:rPr>
          <w:rFonts w:hint="eastAsia" w:ascii="宋体" w:hAnsi="宋体" w:cs="宋体"/>
          <w:sz w:val="24"/>
        </w:rPr>
      </w:pPr>
      <w:r>
        <w:rPr>
          <w:rFonts w:hint="eastAsia" w:ascii="宋体" w:hAnsi="宋体" w:cs="宋体"/>
          <w:sz w:val="24"/>
        </w:rPr>
        <w:t xml:space="preserve">(3）采购人与监理单位签订的服务合同；</w:t>
      </w:r>
      <w:r/>
    </w:p>
    <w:p>
      <w:pPr>
        <w:ind w:firstLine="120"/>
        <w:spacing w:line="440" w:lineRule="exact"/>
        <w:rPr>
          <w:rFonts w:hint="eastAsia" w:ascii="宋体" w:hAnsi="宋体" w:cs="宋体"/>
          <w:sz w:val="24"/>
        </w:rPr>
      </w:pPr>
      <w:r>
        <w:rPr>
          <w:rFonts w:hint="eastAsia" w:ascii="宋体" w:hAnsi="宋体" w:cs="宋体"/>
          <w:sz w:val="24"/>
        </w:rPr>
        <w:t xml:space="preserve">(4）有关国家、广西省、市技术规范和标准。</w:t>
      </w:r>
      <w:r/>
    </w:p>
    <w:p>
      <w:pPr>
        <w:pStyle w:val="695"/>
        <w:spacing w:line="440" w:lineRule="exact"/>
        <w:rPr>
          <w:rFonts w:hint="eastAsia" w:ascii="宋体" w:hAnsi="宋体" w:eastAsia="宋体" w:cs="宋体"/>
          <w:bCs/>
          <w:sz w:val="24"/>
          <w:szCs w:val="24"/>
        </w:rPr>
      </w:pPr>
      <w:r/>
      <w:bookmarkStart w:id="0" w:name="_Toc477415646"/>
      <w:r>
        <w:rPr>
          <w:rFonts w:hint="eastAsia" w:ascii="宋体" w:hAnsi="宋体" w:eastAsia="宋体" w:cs="宋体"/>
          <w:bCs/>
          <w:sz w:val="24"/>
          <w:szCs w:val="24"/>
        </w:rPr>
        <w:t xml:space="preserve">3、监理服务总体要求</w:t>
      </w:r>
      <w:bookmarkEnd w:id="0"/>
      <w:r/>
      <w:r/>
    </w:p>
    <w:p>
      <w:pPr>
        <w:ind w:firstLine="480"/>
        <w:spacing w:line="440" w:lineRule="exact"/>
        <w:rPr>
          <w:rFonts w:hint="eastAsia" w:ascii="宋体" w:hAnsi="宋体" w:cs="宋体"/>
          <w:sz w:val="24"/>
        </w:rPr>
      </w:pPr>
      <w:r>
        <w:rPr>
          <w:rFonts w:hint="eastAsia" w:ascii="宋体" w:hAnsi="宋体" w:cs="宋体"/>
          <w:sz w:val="24"/>
        </w:rPr>
        <w:t xml:space="preserve">按照“四控制、三管理、一协调”的原则，保证项目在规定的时间内完成，并实现项目建设的目标。具体内容包括：</w:t>
      </w:r>
      <w:r/>
    </w:p>
    <w:p>
      <w:pPr>
        <w:spacing w:line="440" w:lineRule="exact"/>
        <w:rPr>
          <w:rFonts w:hint="eastAsia" w:ascii="宋体" w:hAnsi="宋体" w:cs="宋体"/>
          <w:b/>
          <w:bCs/>
          <w:sz w:val="24"/>
        </w:rPr>
      </w:pPr>
      <w:r>
        <w:rPr>
          <w:rFonts w:hint="eastAsia" w:ascii="宋体" w:hAnsi="宋体" w:cs="宋体"/>
          <w:b/>
          <w:bCs/>
          <w:sz w:val="24"/>
        </w:rPr>
        <w:t xml:space="preserve">（一）项目组织及技术总体方案的把关</w:t>
      </w:r>
      <w:r/>
    </w:p>
    <w:p>
      <w:pPr>
        <w:spacing w:line="440" w:lineRule="exact"/>
        <w:rPr>
          <w:rFonts w:hint="eastAsia" w:ascii="宋体" w:hAnsi="宋体" w:cs="宋体"/>
          <w:sz w:val="24"/>
        </w:rPr>
      </w:pPr>
      <w:r>
        <w:rPr>
          <w:rFonts w:hint="eastAsia" w:ascii="宋体" w:hAnsi="宋体" w:cs="宋体"/>
          <w:sz w:val="24"/>
        </w:rPr>
        <w:t xml:space="preserve">(1)审核和确认承建单位的总体设计方案；</w:t>
      </w:r>
      <w:r/>
    </w:p>
    <w:p>
      <w:pPr>
        <w:spacing w:line="440" w:lineRule="exact"/>
        <w:rPr>
          <w:rFonts w:hint="eastAsia" w:ascii="宋体" w:hAnsi="宋体" w:cs="宋体"/>
          <w:sz w:val="24"/>
        </w:rPr>
      </w:pPr>
      <w:r>
        <w:rPr>
          <w:rFonts w:hint="eastAsia" w:ascii="宋体" w:hAnsi="宋体" w:cs="宋体"/>
          <w:sz w:val="24"/>
        </w:rPr>
        <w:t xml:space="preserve">(2)审核和确认项目建设过程中的各种关键技术方案；</w:t>
      </w:r>
      <w:r/>
    </w:p>
    <w:p>
      <w:pPr>
        <w:spacing w:line="440" w:lineRule="exact"/>
        <w:rPr>
          <w:rFonts w:hint="eastAsia" w:ascii="宋体" w:hAnsi="宋体" w:cs="宋体"/>
          <w:sz w:val="24"/>
        </w:rPr>
      </w:pPr>
      <w:r>
        <w:rPr>
          <w:rFonts w:hint="eastAsia" w:ascii="宋体" w:hAnsi="宋体" w:cs="宋体"/>
          <w:sz w:val="24"/>
        </w:rPr>
        <w:t xml:space="preserve">(3)审核和确认承建单位的组织和实施方案，和投标人提交的《项目计划》；</w:t>
      </w:r>
      <w:r/>
    </w:p>
    <w:p>
      <w:pPr>
        <w:spacing w:line="440" w:lineRule="exact"/>
        <w:rPr>
          <w:rFonts w:hint="eastAsia" w:ascii="宋体" w:hAnsi="宋体" w:cs="宋体"/>
          <w:sz w:val="24"/>
        </w:rPr>
      </w:pPr>
      <w:r>
        <w:rPr>
          <w:rFonts w:hint="eastAsia" w:ascii="宋体" w:hAnsi="宋体" w:cs="宋体"/>
          <w:sz w:val="24"/>
        </w:rPr>
        <w:t xml:space="preserve">(4)审核和确认承建单位的项目质量保证计划、质量控制体系（含质量控制的关键性节点）；</w:t>
      </w:r>
      <w:r/>
    </w:p>
    <w:p>
      <w:pPr>
        <w:spacing w:line="440" w:lineRule="exact"/>
        <w:rPr>
          <w:rFonts w:hint="eastAsia" w:ascii="宋体" w:hAnsi="宋体" w:cs="宋体"/>
          <w:sz w:val="24"/>
        </w:rPr>
      </w:pPr>
      <w:r>
        <w:rPr>
          <w:rFonts w:hint="eastAsia" w:ascii="宋体" w:hAnsi="宋体" w:cs="宋体"/>
          <w:sz w:val="24"/>
        </w:rPr>
        <w:t xml:space="preserve">(5)审核和确认承建单位的原代码管理方案；</w:t>
      </w:r>
      <w:r/>
    </w:p>
    <w:p>
      <w:pPr>
        <w:spacing w:line="440" w:lineRule="exact"/>
        <w:rPr>
          <w:rFonts w:hint="eastAsia" w:ascii="宋体" w:hAnsi="宋体" w:cs="宋体"/>
          <w:sz w:val="24"/>
        </w:rPr>
      </w:pPr>
      <w:r>
        <w:rPr>
          <w:rFonts w:hint="eastAsia" w:ascii="宋体" w:hAnsi="宋体" w:cs="宋体"/>
          <w:sz w:val="24"/>
        </w:rPr>
        <w:t xml:space="preserve">(6)审核和确认承建单位的测试计划；</w:t>
      </w:r>
      <w:r/>
    </w:p>
    <w:p>
      <w:pPr>
        <w:spacing w:line="440" w:lineRule="exact"/>
        <w:rPr>
          <w:rFonts w:hint="eastAsia" w:ascii="宋体" w:hAnsi="宋体" w:cs="宋体"/>
          <w:sz w:val="24"/>
        </w:rPr>
      </w:pPr>
      <w:r>
        <w:rPr>
          <w:rFonts w:hint="eastAsia" w:ascii="宋体" w:hAnsi="宋体" w:cs="宋体"/>
          <w:sz w:val="24"/>
        </w:rPr>
        <w:t xml:space="preserve">(7)审核和确认承建单位的项目进度计划和进度控制节点；</w:t>
      </w:r>
      <w:r/>
    </w:p>
    <w:p>
      <w:pPr>
        <w:spacing w:line="440" w:lineRule="exact"/>
        <w:rPr>
          <w:rFonts w:hint="eastAsia" w:ascii="宋体" w:hAnsi="宋体" w:cs="宋体"/>
          <w:b/>
          <w:bCs/>
          <w:sz w:val="24"/>
        </w:rPr>
      </w:pPr>
      <w:r>
        <w:rPr>
          <w:rFonts w:hint="eastAsia" w:ascii="宋体" w:hAnsi="宋体" w:cs="宋体"/>
          <w:b/>
          <w:bCs/>
          <w:sz w:val="24"/>
        </w:rPr>
        <w:t xml:space="preserve">（二）项目质量控制</w:t>
      </w:r>
      <w:r/>
    </w:p>
    <w:p>
      <w:pPr>
        <w:spacing w:line="440" w:lineRule="exact"/>
        <w:rPr>
          <w:rFonts w:hint="eastAsia" w:ascii="宋体" w:hAnsi="宋体" w:cs="宋体"/>
          <w:sz w:val="24"/>
        </w:rPr>
      </w:pPr>
      <w:r>
        <w:rPr>
          <w:rFonts w:hint="eastAsia" w:ascii="宋体" w:hAnsi="宋体" w:cs="宋体"/>
          <w:sz w:val="24"/>
        </w:rPr>
        <w:t xml:space="preserve">(1) </w:t>
      </w:r>
      <w:r>
        <w:rPr>
          <w:rFonts w:hint="eastAsia" w:ascii="宋体" w:hAnsi="宋体" w:cs="宋体"/>
          <w:b/>
          <w:bCs/>
          <w:sz w:val="24"/>
        </w:rPr>
        <w:t xml:space="preserve">组织措施</w:t>
      </w:r>
      <w:r/>
    </w:p>
    <w:p>
      <w:pPr>
        <w:spacing w:line="440" w:lineRule="exact"/>
        <w:rPr>
          <w:rFonts w:hint="eastAsia" w:ascii="宋体" w:hAnsi="宋体" w:cs="宋体"/>
          <w:sz w:val="24"/>
        </w:rPr>
      </w:pPr>
      <w:r>
        <w:rPr>
          <w:rFonts w:hint="eastAsia" w:ascii="宋体" w:hAnsi="宋体" w:cs="宋体"/>
          <w:sz w:val="24"/>
        </w:rPr>
        <w:t xml:space="preserve">    建立质量管理系统，完善职责分工及有关质量监督制度，落实质量控制责任。</w:t>
      </w:r>
      <w:r/>
    </w:p>
    <w:p>
      <w:pPr>
        <w:spacing w:line="440" w:lineRule="exact"/>
        <w:rPr>
          <w:rFonts w:hint="eastAsia" w:ascii="宋体" w:hAnsi="宋体" w:cs="宋体"/>
          <w:sz w:val="24"/>
        </w:rPr>
      </w:pPr>
      <w:r>
        <w:rPr>
          <w:rFonts w:hint="eastAsia" w:ascii="宋体" w:hAnsi="宋体" w:cs="宋体"/>
          <w:sz w:val="24"/>
        </w:rPr>
        <w:t xml:space="preserve">(2) </w:t>
      </w:r>
      <w:r>
        <w:rPr>
          <w:rFonts w:hint="eastAsia" w:ascii="宋体" w:hAnsi="宋体" w:cs="宋体"/>
          <w:b/>
          <w:bCs/>
          <w:sz w:val="24"/>
        </w:rPr>
        <w:t xml:space="preserve">系统集成质量控制</w:t>
      </w:r>
      <w:r/>
    </w:p>
    <w:p>
      <w:pPr>
        <w:ind w:firstLine="405"/>
        <w:spacing w:line="440" w:lineRule="exact"/>
        <w:rPr>
          <w:rFonts w:hint="eastAsia" w:ascii="宋体" w:hAnsi="宋体" w:cs="宋体"/>
          <w:sz w:val="24"/>
        </w:rPr>
      </w:pPr>
      <w:r>
        <w:rPr>
          <w:rFonts w:hint="eastAsia" w:ascii="宋体" w:hAnsi="宋体" w:cs="宋体"/>
          <w:sz w:val="24"/>
        </w:rPr>
        <w:t xml:space="preserve">审核系统总集成方案和各子系统方案；</w:t>
      </w:r>
      <w:r/>
    </w:p>
    <w:p>
      <w:pPr>
        <w:ind w:firstLine="405"/>
        <w:spacing w:line="440" w:lineRule="exact"/>
        <w:rPr>
          <w:rFonts w:hint="eastAsia" w:ascii="宋体" w:hAnsi="宋体" w:cs="宋体"/>
          <w:sz w:val="24"/>
        </w:rPr>
      </w:pPr>
      <w:r>
        <w:rPr>
          <w:rFonts w:hint="eastAsia" w:ascii="宋体" w:hAnsi="宋体" w:cs="宋体"/>
          <w:sz w:val="24"/>
        </w:rPr>
        <w:t xml:space="preserve">审核关键设备、系统软件选型方案，协助系统集成商和建设方进行选型；</w:t>
      </w:r>
      <w:r/>
    </w:p>
    <w:p>
      <w:pPr>
        <w:spacing w:line="440" w:lineRule="exact"/>
        <w:rPr>
          <w:rFonts w:hint="eastAsia" w:ascii="宋体" w:hAnsi="宋体" w:cs="宋体"/>
          <w:sz w:val="24"/>
        </w:rPr>
      </w:pPr>
      <w:r>
        <w:rPr>
          <w:rFonts w:hint="eastAsia" w:ascii="宋体" w:hAnsi="宋体" w:cs="宋体"/>
          <w:sz w:val="24"/>
        </w:rPr>
        <w:t xml:space="preserve">    对采购的硬件设备的质量进行检验、测试和验收；</w:t>
      </w:r>
      <w:r/>
    </w:p>
    <w:p>
      <w:pPr>
        <w:spacing w:line="440" w:lineRule="exact"/>
        <w:rPr>
          <w:rFonts w:hint="eastAsia" w:ascii="宋体" w:hAnsi="宋体" w:cs="宋体"/>
          <w:sz w:val="24"/>
        </w:rPr>
      </w:pPr>
      <w:r>
        <w:rPr>
          <w:rFonts w:hint="eastAsia" w:ascii="宋体" w:hAnsi="宋体" w:cs="宋体"/>
          <w:sz w:val="24"/>
        </w:rPr>
        <w:t xml:space="preserve">    参与制定系统验收大纲；</w:t>
      </w:r>
      <w:r/>
    </w:p>
    <w:p>
      <w:pPr>
        <w:spacing w:line="440" w:lineRule="exact"/>
        <w:rPr>
          <w:rFonts w:hint="eastAsia" w:ascii="宋体" w:hAnsi="宋体" w:cs="宋体"/>
          <w:sz w:val="24"/>
        </w:rPr>
      </w:pPr>
      <w:r>
        <w:rPr>
          <w:rFonts w:hint="eastAsia" w:ascii="宋体" w:hAnsi="宋体" w:cs="宋体"/>
          <w:sz w:val="24"/>
        </w:rPr>
        <w:t xml:space="preserve">    对设备安装、系统软件的安装、调试进行验收；</w:t>
      </w:r>
      <w:r/>
    </w:p>
    <w:p>
      <w:pPr>
        <w:spacing w:line="440" w:lineRule="exact"/>
        <w:rPr>
          <w:rFonts w:hint="eastAsia" w:ascii="宋体" w:hAnsi="宋体" w:cs="宋体"/>
          <w:sz w:val="24"/>
        </w:rPr>
      </w:pPr>
      <w:r>
        <w:rPr>
          <w:rFonts w:hint="eastAsia" w:ascii="宋体" w:hAnsi="宋体" w:cs="宋体"/>
          <w:sz w:val="24"/>
        </w:rPr>
        <w:t xml:space="preserve">    对系统进行总体验收。</w:t>
      </w:r>
      <w:r/>
    </w:p>
    <w:p>
      <w:pPr>
        <w:spacing w:line="440" w:lineRule="exact"/>
        <w:rPr>
          <w:rFonts w:hint="eastAsia" w:ascii="宋体" w:hAnsi="宋体" w:cs="宋体"/>
          <w:sz w:val="24"/>
        </w:rPr>
      </w:pPr>
      <w:r>
        <w:rPr>
          <w:rFonts w:hint="eastAsia" w:ascii="宋体" w:hAnsi="宋体" w:cs="宋体"/>
          <w:sz w:val="24"/>
        </w:rPr>
        <w:t xml:space="preserve">(3) </w:t>
      </w:r>
      <w:r>
        <w:rPr>
          <w:rFonts w:hint="eastAsia" w:ascii="宋体" w:hAnsi="宋体" w:cs="宋体"/>
          <w:b/>
          <w:bCs/>
          <w:sz w:val="24"/>
        </w:rPr>
        <w:t xml:space="preserve">应用软件开发的质量控制</w:t>
      </w:r>
      <w:r/>
    </w:p>
    <w:p>
      <w:pPr>
        <w:spacing w:line="440" w:lineRule="exact"/>
        <w:rPr>
          <w:rFonts w:hint="eastAsia" w:ascii="宋体" w:hAnsi="宋体" w:cs="宋体"/>
          <w:sz w:val="24"/>
        </w:rPr>
      </w:pPr>
      <w:r>
        <w:rPr>
          <w:rFonts w:hint="eastAsia" w:ascii="宋体" w:hAnsi="宋体" w:cs="宋体"/>
          <w:sz w:val="24"/>
        </w:rPr>
        <w:t xml:space="preserve">    协助审查并确认软件开发商制定的软件开发实施计划；</w:t>
      </w:r>
      <w:r/>
    </w:p>
    <w:p>
      <w:pPr>
        <w:ind w:firstLine="405"/>
        <w:spacing w:line="440" w:lineRule="exact"/>
        <w:rPr>
          <w:rFonts w:hint="eastAsia" w:ascii="宋体" w:hAnsi="宋体" w:cs="宋体"/>
          <w:sz w:val="24"/>
        </w:rPr>
      </w:pPr>
      <w:r>
        <w:rPr>
          <w:rFonts w:hint="eastAsia" w:ascii="宋体" w:hAnsi="宋体" w:cs="宋体"/>
          <w:sz w:val="24"/>
        </w:rPr>
        <w:t xml:space="preserve">对软件开发的需求分析、概要设计、详细设计、编码测试、应用测试阶段的质量进行控制；</w:t>
      </w:r>
      <w:r/>
    </w:p>
    <w:p>
      <w:pPr>
        <w:ind w:firstLine="405"/>
        <w:spacing w:line="440" w:lineRule="exact"/>
        <w:rPr>
          <w:rFonts w:hint="eastAsia" w:ascii="宋体" w:hAnsi="宋体" w:cs="宋体"/>
          <w:sz w:val="24"/>
        </w:rPr>
      </w:pPr>
      <w:r>
        <w:rPr>
          <w:rFonts w:hint="eastAsia" w:ascii="宋体" w:hAnsi="宋体" w:cs="宋体"/>
          <w:sz w:val="24"/>
        </w:rPr>
        <w:t xml:space="preserve">对承建单位的开发质量进行审核；</w:t>
      </w:r>
      <w:r/>
    </w:p>
    <w:p>
      <w:pPr>
        <w:spacing w:line="440" w:lineRule="exact"/>
        <w:rPr>
          <w:rFonts w:hint="eastAsia" w:ascii="宋体" w:hAnsi="宋体" w:cs="宋体"/>
          <w:sz w:val="24"/>
        </w:rPr>
      </w:pPr>
      <w:r>
        <w:rPr>
          <w:rFonts w:hint="eastAsia" w:ascii="宋体" w:hAnsi="宋体" w:cs="宋体"/>
          <w:sz w:val="24"/>
        </w:rPr>
        <w:t xml:space="preserve">    审核软件开发商的开发质量记录及阶段性测试文档；</w:t>
      </w:r>
      <w:r/>
    </w:p>
    <w:p>
      <w:pPr>
        <w:spacing w:line="440" w:lineRule="exact"/>
        <w:rPr>
          <w:rFonts w:hint="eastAsia" w:ascii="宋体" w:hAnsi="宋体" w:cs="宋体"/>
          <w:sz w:val="24"/>
        </w:rPr>
      </w:pPr>
      <w:r>
        <w:rPr>
          <w:rFonts w:hint="eastAsia" w:ascii="宋体" w:hAnsi="宋体" w:cs="宋体"/>
          <w:sz w:val="24"/>
        </w:rPr>
        <w:t xml:space="preserve">    参与制定并审核应用系统验收大纲；</w:t>
      </w:r>
      <w:r/>
    </w:p>
    <w:p>
      <w:pPr>
        <w:ind w:firstLine="405"/>
        <w:spacing w:line="440" w:lineRule="exact"/>
        <w:rPr>
          <w:rFonts w:hint="eastAsia" w:ascii="宋体" w:hAnsi="宋体" w:cs="宋体"/>
          <w:sz w:val="24"/>
        </w:rPr>
      </w:pPr>
      <w:r>
        <w:rPr>
          <w:rFonts w:hint="eastAsia" w:ascii="宋体" w:hAnsi="宋体" w:cs="宋体"/>
          <w:sz w:val="24"/>
        </w:rPr>
        <w:t xml:space="preserve">对软件开发商最终提交的源代码、开发文件进行移交验收。</w:t>
      </w:r>
      <w:r/>
    </w:p>
    <w:p>
      <w:pPr>
        <w:spacing w:line="440" w:lineRule="exact"/>
        <w:rPr>
          <w:rFonts w:hint="eastAsia" w:ascii="宋体" w:hAnsi="宋体" w:cs="宋体"/>
          <w:b/>
          <w:bCs/>
          <w:sz w:val="24"/>
        </w:rPr>
      </w:pPr>
      <w:r>
        <w:rPr>
          <w:rFonts w:hint="eastAsia" w:ascii="宋体" w:hAnsi="宋体" w:cs="宋体"/>
          <w:sz w:val="24"/>
        </w:rPr>
        <w:t xml:space="preserve">(4) </w:t>
      </w:r>
      <w:r>
        <w:rPr>
          <w:rFonts w:hint="eastAsia" w:ascii="宋体" w:hAnsi="宋体" w:cs="宋体"/>
          <w:b/>
          <w:bCs/>
          <w:sz w:val="24"/>
        </w:rPr>
        <w:t xml:space="preserve">人员培训的质量控制</w:t>
      </w:r>
      <w:r/>
    </w:p>
    <w:p>
      <w:pPr>
        <w:spacing w:line="440" w:lineRule="exact"/>
        <w:rPr>
          <w:rFonts w:hint="eastAsia" w:ascii="宋体" w:hAnsi="宋体" w:cs="宋体"/>
          <w:sz w:val="24"/>
        </w:rPr>
      </w:pPr>
      <w:r>
        <w:rPr>
          <w:rFonts w:hint="eastAsia" w:ascii="宋体" w:hAnsi="宋体" w:cs="宋体"/>
          <w:sz w:val="24"/>
        </w:rPr>
        <w:t xml:space="preserve">    协助审查并确认培训计划，审定培训大纲；</w:t>
      </w:r>
      <w:r/>
    </w:p>
    <w:p>
      <w:pPr>
        <w:spacing w:line="440" w:lineRule="exact"/>
        <w:rPr>
          <w:rFonts w:hint="eastAsia" w:ascii="宋体" w:hAnsi="宋体" w:cs="宋体"/>
          <w:sz w:val="24"/>
        </w:rPr>
      </w:pPr>
      <w:r>
        <w:rPr>
          <w:rFonts w:hint="eastAsia" w:ascii="宋体" w:hAnsi="宋体" w:cs="宋体"/>
          <w:sz w:val="24"/>
        </w:rPr>
        <w:t xml:space="preserve">    监督审查承包商实施其培训计划，并征求业主的意见反馈；</w:t>
      </w:r>
      <w:r/>
    </w:p>
    <w:p>
      <w:pPr>
        <w:spacing w:line="440" w:lineRule="exact"/>
        <w:rPr>
          <w:rFonts w:hint="eastAsia" w:ascii="宋体" w:hAnsi="宋体" w:cs="宋体"/>
          <w:sz w:val="24"/>
        </w:rPr>
      </w:pPr>
      <w:r>
        <w:rPr>
          <w:rFonts w:hint="eastAsia" w:ascii="宋体" w:hAnsi="宋体" w:cs="宋体"/>
          <w:sz w:val="24"/>
        </w:rPr>
        <w:t xml:space="preserve">    监督审查考核工作，评估培训效果；</w:t>
      </w:r>
      <w:r/>
    </w:p>
    <w:p>
      <w:pPr>
        <w:spacing w:line="440" w:lineRule="exact"/>
        <w:rPr>
          <w:rFonts w:hint="eastAsia" w:ascii="宋体" w:hAnsi="宋体" w:cs="宋体"/>
          <w:sz w:val="24"/>
        </w:rPr>
      </w:pPr>
      <w:r>
        <w:rPr>
          <w:rFonts w:hint="eastAsia" w:ascii="宋体" w:hAnsi="宋体" w:cs="宋体"/>
          <w:sz w:val="24"/>
        </w:rPr>
        <w:t xml:space="preserve">    协助审核并确认培训总结报告。</w:t>
      </w:r>
      <w:r/>
    </w:p>
    <w:p>
      <w:pPr>
        <w:spacing w:line="440" w:lineRule="exact"/>
        <w:rPr>
          <w:rFonts w:hint="eastAsia" w:ascii="宋体" w:hAnsi="宋体" w:cs="宋体"/>
          <w:sz w:val="24"/>
        </w:rPr>
      </w:pPr>
      <w:r>
        <w:rPr>
          <w:rFonts w:hint="eastAsia" w:ascii="宋体" w:hAnsi="宋体" w:cs="宋体"/>
          <w:sz w:val="24"/>
        </w:rPr>
        <w:t xml:space="preserve">(5) </w:t>
      </w:r>
      <w:r>
        <w:rPr>
          <w:rFonts w:hint="eastAsia" w:ascii="宋体" w:hAnsi="宋体" w:cs="宋体"/>
          <w:b/>
          <w:bCs/>
          <w:sz w:val="24"/>
        </w:rPr>
        <w:t xml:space="preserve">文档、资料的质量控制</w:t>
      </w:r>
      <w:r/>
    </w:p>
    <w:p>
      <w:pPr>
        <w:spacing w:line="440" w:lineRule="exact"/>
        <w:rPr>
          <w:rFonts w:hint="eastAsia" w:ascii="宋体" w:hAnsi="宋体" w:cs="宋体"/>
          <w:sz w:val="24"/>
        </w:rPr>
      </w:pPr>
      <w:r>
        <w:rPr>
          <w:rFonts w:hint="eastAsia" w:ascii="宋体" w:hAnsi="宋体" w:cs="宋体"/>
          <w:sz w:val="24"/>
        </w:rPr>
        <w:t xml:space="preserve">    监督审查承包商提供的设备型号、数量、到货时间以及设备的技术资料、系统集成和软件开发在实施过程中所有相关文件的标准性和规范化，在各项目验收时，应监督各项目承包商提交符合规定的各项目的成套资料，包括印刷本和电子版。</w:t>
      </w:r>
      <w:r/>
    </w:p>
    <w:p>
      <w:pPr>
        <w:spacing w:line="440" w:lineRule="exact"/>
        <w:rPr>
          <w:rFonts w:hint="eastAsia" w:ascii="宋体" w:hAnsi="宋体" w:cs="宋体"/>
          <w:sz w:val="24"/>
        </w:rPr>
      </w:pPr>
      <w:r>
        <w:rPr>
          <w:rFonts w:hint="eastAsia" w:ascii="宋体" w:hAnsi="宋体" w:cs="宋体"/>
          <w:sz w:val="24"/>
        </w:rPr>
        <w:t xml:space="preserve">    对监理项目实施过程中的文档进行标准化、规范化管理，在监理项目验收时，应提交符合规定的监理项目的成套资料，包括印刷本和电子版。</w:t>
      </w:r>
      <w:r/>
    </w:p>
    <w:p>
      <w:pPr>
        <w:spacing w:line="440" w:lineRule="exact"/>
        <w:rPr>
          <w:rFonts w:hint="eastAsia" w:ascii="宋体" w:hAnsi="宋体" w:cs="宋体"/>
          <w:b/>
          <w:bCs/>
          <w:sz w:val="24"/>
        </w:rPr>
      </w:pPr>
      <w:r>
        <w:rPr>
          <w:rFonts w:hint="eastAsia" w:ascii="宋体" w:hAnsi="宋体" w:cs="宋体"/>
          <w:b/>
          <w:bCs/>
          <w:sz w:val="24"/>
        </w:rPr>
        <w:t xml:space="preserve">（三） 项目进度控制</w:t>
      </w:r>
      <w:r/>
    </w:p>
    <w:p>
      <w:pPr>
        <w:spacing w:line="440" w:lineRule="exact"/>
        <w:rPr>
          <w:rFonts w:hint="eastAsia" w:ascii="宋体" w:hAnsi="宋体" w:cs="宋体"/>
          <w:sz w:val="24"/>
        </w:rPr>
      </w:pPr>
      <w:r>
        <w:rPr>
          <w:rFonts w:hint="eastAsia" w:ascii="宋体" w:hAnsi="宋体" w:cs="宋体"/>
          <w:sz w:val="24"/>
        </w:rPr>
        <w:t xml:space="preserve">(1)组织措施：建立进度控制协调制度，落实进度控制责任。</w:t>
      </w:r>
      <w:r/>
    </w:p>
    <w:p>
      <w:pPr>
        <w:spacing w:line="440" w:lineRule="exact"/>
        <w:rPr>
          <w:rFonts w:hint="eastAsia" w:ascii="宋体" w:hAnsi="宋体" w:cs="宋体"/>
          <w:sz w:val="24"/>
        </w:rPr>
      </w:pPr>
      <w:r>
        <w:rPr>
          <w:rFonts w:hint="eastAsia" w:ascii="宋体" w:hAnsi="宋体" w:cs="宋体"/>
          <w:sz w:val="24"/>
        </w:rPr>
        <w:t xml:space="preserve">(2)编制项目控制进度计划：编制项目总进度计划和网络图。按各子系统实际情况进行编制，包括系统建设开工、设备的采购、设备的安装调试、软件的编制、试运行等各方面内容, 做到既要保证各子系统、各阶段目标的顺利实现，又要保证项目间、阶段间的衔接、统一和协调。</w:t>
      </w:r>
      <w:r/>
    </w:p>
    <w:p>
      <w:pPr>
        <w:spacing w:line="440" w:lineRule="exact"/>
        <w:rPr>
          <w:rFonts w:hint="eastAsia" w:ascii="宋体" w:hAnsi="宋体" w:cs="宋体"/>
          <w:sz w:val="24"/>
        </w:rPr>
      </w:pPr>
      <w:r>
        <w:rPr>
          <w:rFonts w:hint="eastAsia" w:ascii="宋体" w:hAnsi="宋体" w:cs="宋体"/>
          <w:sz w:val="24"/>
        </w:rPr>
        <w:t xml:space="preserve">(3)审核承建单位的进度分解计划，确认分解计划可以保证总体计划目标。分析系统建设进度计划是否能满足合同工期及系统建设总进度计划的要求，特别要对照上阶段计划工程量完成情况进行审查, 对为完成系统建设进度计划所采取的措施是否恰当、设备能否满足要求、管理上有无缺陷进行审查。要根据承包商所能提供的人员及设备性能复核、计算设备能力和人员安排是否满足要求等，分析判断计划是否能落实，审查承包商提出的设备供应计划能否落实。如发现供应计划未落实，应及时报告业主，要求承包商采取应急措施满足系统建设的需求。</w:t>
      </w:r>
      <w:r/>
    </w:p>
    <w:p>
      <w:pPr>
        <w:spacing w:line="440" w:lineRule="exact"/>
        <w:rPr>
          <w:rFonts w:hint="eastAsia" w:ascii="宋体" w:hAnsi="宋体" w:cs="宋体"/>
          <w:sz w:val="24"/>
        </w:rPr>
      </w:pPr>
      <w:r>
        <w:rPr>
          <w:rFonts w:hint="eastAsia" w:ascii="宋体" w:hAnsi="宋体" w:cs="宋体"/>
          <w:sz w:val="24"/>
        </w:rPr>
        <w:t xml:space="preserve">(4)系统建设进度的现场检查：随时或定期、全面地对进度计划的执行情况跟踪检查，发现问题及时采取有效措施加以解决。加强系统建设准备工作的检查，在工程项目或部分工序实施前，对情况进行检查，要加强检查设备、人员安排、各项措施的落实情况，确保准备工作符合要求，不影响后续工程的进行。</w:t>
      </w:r>
      <w:r/>
    </w:p>
    <w:p>
      <w:pPr>
        <w:spacing w:line="440" w:lineRule="exact"/>
        <w:rPr>
          <w:rFonts w:hint="eastAsia" w:ascii="宋体" w:hAnsi="宋体" w:cs="宋体"/>
          <w:sz w:val="24"/>
        </w:rPr>
      </w:pPr>
      <w:r>
        <w:rPr>
          <w:rFonts w:hint="eastAsia" w:ascii="宋体" w:hAnsi="宋体" w:cs="宋体"/>
          <w:sz w:val="24"/>
        </w:rPr>
        <w:t xml:space="preserve">(5)进度计划的分析与调整: 要保证建设进度与计划进度一致，经常对计划进度与实际进度进行比较分析，发现实际进度与计划进度不符时，即出现进度偏差时，首先分析原因，分析偏差对后续工作的影响程度，并及时通知承包商采取措施，向承包商提出要求和修改计划的指令。</w:t>
      </w:r>
      <w:r/>
    </w:p>
    <w:p>
      <w:pPr>
        <w:spacing w:line="440" w:lineRule="exact"/>
        <w:rPr>
          <w:rFonts w:hint="eastAsia" w:ascii="宋体" w:hAnsi="宋体" w:cs="宋体"/>
          <w:b/>
          <w:bCs/>
          <w:sz w:val="24"/>
        </w:rPr>
      </w:pPr>
      <w:r>
        <w:rPr>
          <w:rFonts w:hint="eastAsia" w:ascii="宋体" w:hAnsi="宋体" w:cs="宋体"/>
          <w:b/>
          <w:bCs/>
          <w:sz w:val="24"/>
        </w:rPr>
        <w:t xml:space="preserve">（四） 项目投资控制</w:t>
      </w:r>
      <w:r/>
    </w:p>
    <w:p>
      <w:pPr>
        <w:spacing w:line="440" w:lineRule="exact"/>
        <w:rPr>
          <w:rFonts w:hint="eastAsia" w:ascii="宋体" w:hAnsi="宋体" w:cs="宋体"/>
          <w:sz w:val="24"/>
        </w:rPr>
      </w:pPr>
      <w:r>
        <w:rPr>
          <w:rFonts w:hint="eastAsia" w:ascii="宋体" w:hAnsi="宋体" w:cs="宋体"/>
          <w:sz w:val="24"/>
        </w:rPr>
        <w:t xml:space="preserve">(1)组织措施：建立健全项目管理组织，完善职责分工及有关质量项目管理制度，落实投资控制的责任。</w:t>
      </w:r>
      <w:r/>
    </w:p>
    <w:p>
      <w:pPr>
        <w:spacing w:line="440" w:lineRule="exact"/>
        <w:rPr>
          <w:rFonts w:hint="eastAsia" w:ascii="宋体" w:hAnsi="宋体" w:cs="宋体"/>
          <w:sz w:val="24"/>
        </w:rPr>
      </w:pPr>
      <w:r>
        <w:rPr>
          <w:rFonts w:hint="eastAsia" w:ascii="宋体" w:hAnsi="宋体" w:cs="宋体"/>
          <w:sz w:val="24"/>
        </w:rPr>
        <w:t xml:space="preserve">(2)审查设计图纸和文件，审查承包商的施工组织设计和各项技术措施，深入了解设计意图，在保证系统建设质量和安全的前提下尽可能优化设计，对工程建设不可预见费的开支使用情况进行技术性审核并提出意见，确保投资控制在预算之内或达到节约系统建设投资的目的。</w:t>
      </w:r>
      <w:r/>
    </w:p>
    <w:p>
      <w:pPr>
        <w:spacing w:line="440" w:lineRule="exact"/>
        <w:rPr>
          <w:rFonts w:hint="eastAsia" w:ascii="宋体" w:hAnsi="宋体" w:cs="宋体"/>
          <w:sz w:val="24"/>
        </w:rPr>
      </w:pPr>
      <w:r>
        <w:rPr>
          <w:rFonts w:hint="eastAsia" w:ascii="宋体" w:hAnsi="宋体" w:cs="宋体"/>
          <w:sz w:val="24"/>
        </w:rPr>
        <w:t xml:space="preserve">(3)对工程量进行全面的复核，保证设计工程量的准确。</w:t>
      </w:r>
      <w:r/>
    </w:p>
    <w:p>
      <w:pPr>
        <w:spacing w:line="440" w:lineRule="exact"/>
        <w:rPr>
          <w:rFonts w:hint="eastAsia" w:ascii="宋体" w:hAnsi="宋体" w:cs="宋体"/>
          <w:sz w:val="24"/>
        </w:rPr>
      </w:pPr>
      <w:r>
        <w:rPr>
          <w:rFonts w:hint="eastAsia" w:ascii="宋体" w:hAnsi="宋体" w:cs="宋体"/>
          <w:sz w:val="24"/>
        </w:rPr>
        <w:t xml:space="preserve">(4)做好承包商完成工作量的量测和复核工作。</w:t>
      </w:r>
      <w:r/>
    </w:p>
    <w:p>
      <w:pPr>
        <w:spacing w:line="440" w:lineRule="exact"/>
        <w:rPr>
          <w:rFonts w:hint="eastAsia" w:ascii="宋体" w:hAnsi="宋体" w:cs="宋体"/>
          <w:sz w:val="24"/>
        </w:rPr>
      </w:pPr>
      <w:r>
        <w:rPr>
          <w:rFonts w:hint="eastAsia" w:ascii="宋体" w:hAnsi="宋体" w:cs="宋体"/>
          <w:sz w:val="24"/>
        </w:rPr>
        <w:t xml:space="preserve">(5)严格督促承包商按合同实施，严格控制合同外项目的增加，协助业主严格控制设计变更，制定设计变更增加工作量的报批制度；及时了解系统建设情况，协调好各方矛盾，减少索赔事件的发生。对发生的事件严格按合同及法律条款进行处理，认真进行索赔调解。</w:t>
      </w:r>
      <w:r/>
    </w:p>
    <w:p>
      <w:pPr>
        <w:spacing w:line="440" w:lineRule="exact"/>
        <w:rPr>
          <w:rFonts w:hint="eastAsia" w:ascii="宋体" w:hAnsi="宋体" w:cs="宋体"/>
          <w:b/>
          <w:bCs/>
          <w:sz w:val="24"/>
        </w:rPr>
      </w:pPr>
      <w:r>
        <w:rPr>
          <w:rFonts w:hint="eastAsia" w:ascii="宋体" w:hAnsi="宋体" w:cs="宋体"/>
          <w:b/>
          <w:bCs/>
          <w:sz w:val="24"/>
        </w:rPr>
        <w:t xml:space="preserve">（五） 项目变更控制</w:t>
      </w:r>
      <w:r/>
    </w:p>
    <w:p>
      <w:pPr>
        <w:spacing w:line="440" w:lineRule="exact"/>
        <w:rPr>
          <w:rFonts w:hint="eastAsia" w:ascii="宋体" w:hAnsi="宋体" w:cs="宋体"/>
          <w:sz w:val="24"/>
        </w:rPr>
      </w:pPr>
      <w:r>
        <w:rPr>
          <w:rFonts w:hint="eastAsia" w:ascii="宋体" w:hAnsi="宋体" w:cs="宋体"/>
          <w:sz w:val="24"/>
        </w:rPr>
        <w:t xml:space="preserve">(1)协助业主建立变更控制委员会，建立项目配置管理体系；</w:t>
      </w:r>
      <w:r/>
    </w:p>
    <w:p>
      <w:pPr>
        <w:spacing w:line="440" w:lineRule="exact"/>
        <w:rPr>
          <w:rFonts w:hint="eastAsia" w:ascii="宋体" w:hAnsi="宋体" w:cs="宋体"/>
          <w:sz w:val="24"/>
        </w:rPr>
      </w:pPr>
      <w:r>
        <w:rPr>
          <w:rFonts w:hint="eastAsia" w:ascii="宋体" w:hAnsi="宋体" w:cs="宋体"/>
          <w:sz w:val="24"/>
        </w:rPr>
        <w:t xml:space="preserve">(2)与业主确定项目变更流程，并通知承建单位；</w:t>
      </w:r>
      <w:r/>
    </w:p>
    <w:p>
      <w:pPr>
        <w:spacing w:line="440" w:lineRule="exact"/>
        <w:rPr>
          <w:rFonts w:hint="eastAsia" w:ascii="宋体" w:hAnsi="宋体" w:cs="宋体"/>
          <w:sz w:val="24"/>
        </w:rPr>
      </w:pPr>
      <w:r>
        <w:rPr>
          <w:rFonts w:hint="eastAsia" w:ascii="宋体" w:hAnsi="宋体" w:cs="宋体"/>
          <w:sz w:val="24"/>
        </w:rPr>
        <w:t xml:space="preserve">(3)对业主和承建单位的变更申请快速响应，了解变化，并撰写工程备忘录；</w:t>
      </w:r>
      <w:r/>
    </w:p>
    <w:p>
      <w:pPr>
        <w:spacing w:line="440" w:lineRule="exact"/>
        <w:rPr>
          <w:rFonts w:hint="eastAsia" w:ascii="宋体" w:hAnsi="宋体" w:cs="宋体"/>
          <w:sz w:val="24"/>
        </w:rPr>
      </w:pPr>
      <w:r>
        <w:rPr>
          <w:rFonts w:hint="eastAsia" w:ascii="宋体" w:hAnsi="宋体" w:cs="宋体"/>
          <w:sz w:val="24"/>
        </w:rPr>
        <w:t xml:space="preserve">(4)评估和处理变更，界定变更的目标，选择冲击最小的方案，防止变更扩大化，并征得业主批准；</w:t>
      </w:r>
      <w:r/>
    </w:p>
    <w:p>
      <w:pPr>
        <w:spacing w:line="440" w:lineRule="exact"/>
        <w:rPr>
          <w:rFonts w:hint="eastAsia" w:ascii="宋体" w:hAnsi="宋体" w:cs="宋体"/>
          <w:sz w:val="24"/>
        </w:rPr>
      </w:pPr>
      <w:r>
        <w:rPr>
          <w:rFonts w:hint="eastAsia" w:ascii="宋体" w:hAnsi="宋体" w:cs="宋体"/>
          <w:sz w:val="24"/>
        </w:rPr>
        <w:t xml:space="preserve">(5)三方确认变更后，书面向干系人公布变更信息，督促承建单位按照项目配置管理规定，调整项目相关文档；</w:t>
      </w:r>
      <w:r/>
    </w:p>
    <w:p>
      <w:pPr>
        <w:spacing w:line="440" w:lineRule="exact"/>
        <w:rPr>
          <w:rFonts w:hint="eastAsia" w:ascii="宋体" w:hAnsi="宋体" w:cs="宋体"/>
          <w:sz w:val="24"/>
        </w:rPr>
      </w:pPr>
      <w:r>
        <w:rPr>
          <w:rFonts w:hint="eastAsia" w:ascii="宋体" w:hAnsi="宋体" w:cs="宋体"/>
          <w:sz w:val="24"/>
        </w:rPr>
        <w:t xml:space="preserve">(6)定期/分阶段进行项目变更风险的评估；</w:t>
      </w:r>
      <w:r/>
    </w:p>
    <w:p>
      <w:pPr>
        <w:spacing w:line="440" w:lineRule="exact"/>
        <w:rPr>
          <w:rFonts w:hint="eastAsia" w:ascii="宋体" w:hAnsi="宋体" w:cs="宋体"/>
          <w:sz w:val="24"/>
        </w:rPr>
      </w:pPr>
      <w:r>
        <w:rPr>
          <w:rFonts w:hint="eastAsia" w:ascii="宋体" w:hAnsi="宋体" w:cs="宋体"/>
          <w:sz w:val="24"/>
        </w:rPr>
        <w:t xml:space="preserve">(7)执行制定的变更程序，对变更进行严格的控制；</w:t>
      </w:r>
      <w:r/>
    </w:p>
    <w:p>
      <w:pPr>
        <w:spacing w:line="440" w:lineRule="exact"/>
        <w:rPr>
          <w:rFonts w:hint="eastAsia" w:ascii="宋体" w:hAnsi="宋体" w:cs="宋体"/>
          <w:sz w:val="24"/>
        </w:rPr>
      </w:pPr>
      <w:r>
        <w:rPr>
          <w:rFonts w:hint="eastAsia" w:ascii="宋体" w:hAnsi="宋体" w:cs="宋体"/>
          <w:sz w:val="24"/>
        </w:rPr>
        <w:t xml:space="preserve">(8)对变更执行效果进行检查；</w:t>
      </w:r>
      <w:r/>
    </w:p>
    <w:p>
      <w:pPr>
        <w:spacing w:line="440" w:lineRule="exact"/>
        <w:rPr>
          <w:rFonts w:hint="eastAsia" w:ascii="宋体" w:hAnsi="宋体" w:cs="宋体"/>
          <w:sz w:val="24"/>
        </w:rPr>
      </w:pPr>
      <w:r>
        <w:rPr>
          <w:rFonts w:hint="eastAsia" w:ascii="宋体" w:hAnsi="宋体" w:cs="宋体"/>
          <w:sz w:val="24"/>
        </w:rPr>
        <w:t xml:space="preserve">(9)主持业主与承建单位关于工程变更、索赔、有关争议而进行的谈判。</w:t>
      </w:r>
      <w:r/>
    </w:p>
    <w:p>
      <w:pPr>
        <w:spacing w:line="440" w:lineRule="exact"/>
        <w:rPr>
          <w:rFonts w:hint="eastAsia" w:ascii="宋体" w:hAnsi="宋体" w:cs="宋体"/>
          <w:b/>
          <w:bCs/>
          <w:sz w:val="24"/>
        </w:rPr>
      </w:pPr>
      <w:r>
        <w:rPr>
          <w:rFonts w:hint="eastAsia" w:ascii="宋体" w:hAnsi="宋体" w:cs="宋体"/>
          <w:b/>
          <w:bCs/>
          <w:sz w:val="24"/>
        </w:rPr>
        <w:t xml:space="preserve">（六） 项目合同管理</w:t>
      </w:r>
      <w:r/>
    </w:p>
    <w:p>
      <w:pPr>
        <w:spacing w:line="440" w:lineRule="exact"/>
        <w:rPr>
          <w:rFonts w:hint="eastAsia" w:ascii="宋体" w:hAnsi="宋体" w:cs="宋体"/>
          <w:sz w:val="24"/>
        </w:rPr>
      </w:pPr>
      <w:r>
        <w:rPr>
          <w:rFonts w:hint="eastAsia" w:ascii="宋体" w:hAnsi="宋体" w:cs="宋体"/>
          <w:sz w:val="24"/>
        </w:rPr>
        <w:t xml:space="preserve">合同管理是加快系统建设进度、降低系统建设造价、保证系统建设质量的有效途径之一。通过合同管理，可以督促承包商在各个阶段按照合同要求保证设备、人员的配备及投入，保证各阶段目标按合同实施，减少索赔事件，控制系统建设结算等。具体要求如下：</w:t>
      </w:r>
      <w:r/>
    </w:p>
    <w:p>
      <w:pPr>
        <w:spacing w:line="440" w:lineRule="exact"/>
        <w:rPr>
          <w:rFonts w:hint="eastAsia" w:ascii="宋体" w:hAnsi="宋体" w:cs="宋体"/>
          <w:sz w:val="24"/>
        </w:rPr>
      </w:pPr>
      <w:r>
        <w:rPr>
          <w:rFonts w:hint="eastAsia" w:ascii="宋体" w:hAnsi="宋体" w:cs="宋体"/>
          <w:sz w:val="24"/>
        </w:rPr>
        <w:t xml:space="preserve">(1)以合同为依据，本着“实事求是、公正”的原则，合情合理地处理合同执行过程中的各种争议。</w:t>
      </w:r>
      <w:r/>
    </w:p>
    <w:p>
      <w:pPr>
        <w:spacing w:line="440" w:lineRule="exact"/>
        <w:rPr>
          <w:rFonts w:hint="eastAsia" w:ascii="宋体" w:hAnsi="宋体" w:cs="宋体"/>
          <w:sz w:val="24"/>
        </w:rPr>
      </w:pPr>
      <w:r>
        <w:rPr>
          <w:rFonts w:hint="eastAsia" w:ascii="宋体" w:hAnsi="宋体" w:cs="宋体"/>
          <w:sz w:val="24"/>
        </w:rPr>
        <w:t xml:space="preserve">(2)分析、跟踪和检查合同执行情况，确保各项目承包商按时履约。</w:t>
      </w:r>
      <w:r/>
    </w:p>
    <w:p>
      <w:pPr>
        <w:spacing w:line="440" w:lineRule="exact"/>
        <w:rPr>
          <w:rFonts w:hint="eastAsia" w:ascii="宋体" w:hAnsi="宋体" w:cs="宋体"/>
          <w:sz w:val="24"/>
        </w:rPr>
      </w:pPr>
      <w:r>
        <w:rPr>
          <w:rFonts w:hint="eastAsia" w:ascii="宋体" w:hAnsi="宋体" w:cs="宋体"/>
          <w:sz w:val="24"/>
        </w:rPr>
        <w:t xml:space="preserve">(3)对合同的工期的延误和延期进行审核确认。</w:t>
      </w:r>
      <w:r/>
    </w:p>
    <w:p>
      <w:pPr>
        <w:spacing w:line="440" w:lineRule="exact"/>
        <w:rPr>
          <w:rFonts w:hint="eastAsia" w:ascii="宋体" w:hAnsi="宋体" w:cs="宋体"/>
          <w:sz w:val="24"/>
        </w:rPr>
      </w:pPr>
      <w:r>
        <w:rPr>
          <w:rFonts w:hint="eastAsia" w:ascii="宋体" w:hAnsi="宋体" w:cs="宋体"/>
          <w:sz w:val="24"/>
        </w:rPr>
        <w:t xml:space="preserve">(4)对合同变更、索赔等事宜进行审核确认。</w:t>
      </w:r>
      <w:r/>
    </w:p>
    <w:p>
      <w:pPr>
        <w:spacing w:line="440" w:lineRule="exact"/>
        <w:rPr>
          <w:rFonts w:hint="eastAsia" w:ascii="宋体" w:hAnsi="宋体" w:cs="宋体"/>
          <w:sz w:val="24"/>
        </w:rPr>
      </w:pPr>
      <w:r>
        <w:rPr>
          <w:rFonts w:hint="eastAsia" w:ascii="宋体" w:hAnsi="宋体" w:cs="宋体"/>
          <w:sz w:val="24"/>
        </w:rPr>
        <w:t xml:space="preserve">(5)根据合同约定，审核项目承包商的支付申请。</w:t>
      </w:r>
      <w:r/>
    </w:p>
    <w:p>
      <w:pPr>
        <w:spacing w:line="440" w:lineRule="exact"/>
        <w:rPr>
          <w:rFonts w:hint="eastAsia" w:ascii="宋体" w:hAnsi="宋体" w:cs="宋体"/>
          <w:sz w:val="24"/>
        </w:rPr>
      </w:pPr>
      <w:r>
        <w:rPr>
          <w:rFonts w:hint="eastAsia" w:ascii="宋体" w:hAnsi="宋体" w:cs="宋体"/>
          <w:sz w:val="24"/>
        </w:rPr>
        <w:t xml:space="preserve">(6)建立合同目录、编码和档案。</w:t>
      </w:r>
      <w:r/>
    </w:p>
    <w:p>
      <w:pPr>
        <w:spacing w:line="440" w:lineRule="exact"/>
        <w:rPr>
          <w:rFonts w:hint="eastAsia" w:ascii="宋体" w:hAnsi="宋体" w:cs="宋体"/>
          <w:sz w:val="24"/>
        </w:rPr>
      </w:pPr>
      <w:r>
        <w:rPr>
          <w:rFonts w:hint="eastAsia" w:ascii="宋体" w:hAnsi="宋体" w:cs="宋体"/>
          <w:sz w:val="24"/>
        </w:rPr>
        <w:t xml:space="preserve">(7)合同管理坚持标准化、程序化，如设计变更、延期、索赔、计量支付等应规定出固定格式和报表。合同价款的增减要有依据，合同外项目增加要严格审批制度。重大合同管理问题的处理，如大的变更、索赔、复杂的技术问题等，组成专门小组进行研究。不符合实际情况的合同条款及时向业主报告，尽早处理，以免造成损失。</w:t>
      </w:r>
      <w:r/>
    </w:p>
    <w:p>
      <w:pPr>
        <w:spacing w:line="440" w:lineRule="exact"/>
        <w:rPr>
          <w:rFonts w:hint="eastAsia" w:ascii="宋体" w:hAnsi="宋体" w:cs="宋体"/>
          <w:b/>
          <w:bCs/>
          <w:sz w:val="24"/>
        </w:rPr>
      </w:pPr>
      <w:r>
        <w:rPr>
          <w:rFonts w:hint="eastAsia" w:ascii="宋体" w:hAnsi="宋体" w:cs="宋体"/>
          <w:b/>
          <w:bCs/>
          <w:sz w:val="24"/>
        </w:rPr>
        <w:t xml:space="preserve">（七） 信息管理/项目文档管理</w:t>
      </w:r>
      <w:r/>
    </w:p>
    <w:p>
      <w:pPr>
        <w:ind w:firstLine="480"/>
        <w:spacing w:line="440" w:lineRule="exact"/>
        <w:rPr>
          <w:rFonts w:hint="eastAsia" w:ascii="宋体" w:hAnsi="宋体" w:cs="宋体"/>
          <w:sz w:val="24"/>
        </w:rPr>
      </w:pPr>
      <w:r>
        <w:rPr>
          <w:rFonts w:hint="eastAsia" w:ascii="宋体" w:hAnsi="宋体" w:cs="宋体"/>
          <w:sz w:val="24"/>
        </w:rPr>
        <w:t xml:space="preserve">在项目管理过程中，为了实现对进度、质量、投资的有效控制，处理有关合同管理中的各种问题，监理方需要收集各种有用的信息。信息的来源主要包括业主文件、设计图纸和文件、承包商的文件、建设现场的现场记录（或项目管理日志）、会议记录、验收情况及备忘录等等。其中项目管理日志是进行信息管理的一个最重要的方面。项目管理日志主要包括当天的工作项目和工作内容、投入的人力和机械设备、设备运行情况、计划的完成情况及进度情况、停工和返工及窝工情况。信息管理主要措施要求如下：</w:t>
      </w:r>
      <w:r/>
    </w:p>
    <w:p>
      <w:pPr>
        <w:spacing w:line="440" w:lineRule="exact"/>
        <w:rPr>
          <w:rFonts w:hint="eastAsia" w:ascii="宋体" w:hAnsi="宋体" w:cs="宋体"/>
          <w:sz w:val="24"/>
        </w:rPr>
      </w:pPr>
      <w:r>
        <w:rPr>
          <w:rFonts w:hint="eastAsia" w:ascii="宋体" w:hAnsi="宋体" w:cs="宋体"/>
          <w:sz w:val="24"/>
        </w:rPr>
        <w:t xml:space="preserve">(1)制定详细的信息收集、整理、汇总、分析、传递和利用制度，力求信息管理的标准化和制度化。由专人负责系统建设信息的收集、分类、整理储存及传递工作。信息传递以文字为主，统一编号，利用计算机进行管理，力求信息管理的高效、迅速、及时和准确，为系统建设提供及时有用的信息和决策依据。</w:t>
      </w:r>
      <w:r/>
    </w:p>
    <w:p>
      <w:pPr>
        <w:spacing w:line="440" w:lineRule="exact"/>
        <w:rPr>
          <w:rFonts w:hint="eastAsia" w:ascii="宋体" w:hAnsi="宋体" w:cs="宋体"/>
          <w:sz w:val="24"/>
        </w:rPr>
      </w:pPr>
      <w:r>
        <w:rPr>
          <w:rFonts w:hint="eastAsia" w:ascii="宋体" w:hAnsi="宋体" w:cs="宋体"/>
          <w:sz w:val="24"/>
        </w:rPr>
        <w:t xml:space="preserve">(2)在项目实施过程中做好工程监理日记和工程大事记。</w:t>
      </w:r>
      <w:r/>
    </w:p>
    <w:p>
      <w:pPr>
        <w:spacing w:line="440" w:lineRule="exact"/>
        <w:rPr>
          <w:rFonts w:hint="eastAsia" w:ascii="宋体" w:hAnsi="宋体" w:cs="宋体"/>
          <w:sz w:val="24"/>
        </w:rPr>
      </w:pPr>
      <w:r>
        <w:rPr>
          <w:rFonts w:hint="eastAsia" w:ascii="宋体" w:hAnsi="宋体" w:cs="宋体"/>
          <w:sz w:val="24"/>
        </w:rPr>
        <w:t xml:space="preserve">(3)做好双方合同、技术建设方案、测试文档、验收报告等各类往来文件的存档。</w:t>
      </w:r>
      <w:r/>
    </w:p>
    <w:p>
      <w:pPr>
        <w:spacing w:line="440" w:lineRule="exact"/>
        <w:rPr>
          <w:rFonts w:hint="eastAsia" w:ascii="宋体" w:hAnsi="宋体" w:cs="宋体"/>
          <w:sz w:val="24"/>
        </w:rPr>
      </w:pPr>
      <w:r>
        <w:rPr>
          <w:rFonts w:hint="eastAsia" w:ascii="宋体" w:hAnsi="宋体" w:cs="宋体"/>
          <w:sz w:val="24"/>
        </w:rPr>
        <w:t xml:space="preserve">(4)建立必要的会议、例会制度，整理好会议纪要，并监督会议有关事项的执行情况。</w:t>
      </w:r>
      <w:r/>
    </w:p>
    <w:p>
      <w:pPr>
        <w:spacing w:line="440" w:lineRule="exact"/>
        <w:rPr>
          <w:rFonts w:hint="eastAsia" w:ascii="宋体" w:hAnsi="宋体" w:cs="宋体"/>
          <w:sz w:val="24"/>
        </w:rPr>
      </w:pPr>
      <w:r>
        <w:rPr>
          <w:rFonts w:hint="eastAsia" w:ascii="宋体" w:hAnsi="宋体" w:cs="宋体"/>
          <w:sz w:val="24"/>
        </w:rPr>
        <w:t xml:space="preserve">(5)立足于建设现场，加强动态信息管理，对现场的信息进行详细记录和分析，做到以文字为基础，以数据说明问题。根据收集到的信息与合同进行比较，督促承包商的人员和设备到位，促使承包商按合同完成各项目标，从而实现对进度、质量、投资的控制。</w:t>
      </w:r>
      <w:r/>
    </w:p>
    <w:p>
      <w:pPr>
        <w:spacing w:line="440" w:lineRule="exact"/>
        <w:rPr>
          <w:rFonts w:hint="eastAsia" w:ascii="宋体" w:hAnsi="宋体" w:cs="宋体"/>
          <w:sz w:val="24"/>
        </w:rPr>
      </w:pPr>
      <w:r>
        <w:rPr>
          <w:rFonts w:hint="eastAsia" w:ascii="宋体" w:hAnsi="宋体" w:cs="宋体"/>
          <w:sz w:val="24"/>
        </w:rPr>
        <w:t xml:space="preserve">(6)建立完整的各项报表制度，规范各种适合本项目的报表。定期将各种报表、信息分类汇总，及时向业主及有关各方报送。</w:t>
      </w:r>
      <w:r/>
    </w:p>
    <w:p>
      <w:pPr>
        <w:spacing w:line="440" w:lineRule="exact"/>
        <w:rPr>
          <w:rFonts w:hint="eastAsia" w:ascii="宋体" w:hAnsi="宋体" w:cs="宋体"/>
          <w:sz w:val="24"/>
        </w:rPr>
      </w:pPr>
      <w:r>
        <w:rPr>
          <w:rFonts w:hint="eastAsia" w:ascii="宋体" w:hAnsi="宋体" w:cs="宋体"/>
          <w:sz w:val="24"/>
        </w:rPr>
        <w:t xml:space="preserve">(7)监理项目验收时，应提交符合规定的有关工程的成套资料，包括印刷本和电子版。</w:t>
      </w:r>
      <w:r/>
    </w:p>
    <w:p>
      <w:pPr>
        <w:spacing w:line="440" w:lineRule="exact"/>
        <w:rPr>
          <w:rFonts w:hint="eastAsia" w:ascii="宋体" w:hAnsi="宋体" w:cs="宋体"/>
          <w:sz w:val="24"/>
        </w:rPr>
      </w:pPr>
      <w:r>
        <w:rPr>
          <w:rFonts w:hint="eastAsia" w:ascii="宋体" w:hAnsi="宋体" w:cs="宋体"/>
          <w:sz w:val="24"/>
        </w:rPr>
        <w:t xml:space="preserve">(8)主要文档包括：</w:t>
      </w:r>
      <w:r/>
    </w:p>
    <w:p>
      <w:pPr>
        <w:numPr>
          <w:ilvl w:val="0"/>
          <w:numId w:val="6"/>
        </w:numPr>
        <w:spacing w:line="440" w:lineRule="exact"/>
        <w:rPr>
          <w:rFonts w:hint="eastAsia" w:ascii="宋体" w:hAnsi="宋体" w:cs="宋体"/>
          <w:sz w:val="24"/>
        </w:rPr>
      </w:pPr>
      <w:r>
        <w:rPr>
          <w:rFonts w:hint="eastAsia" w:ascii="宋体" w:hAnsi="宋体" w:cs="宋体"/>
          <w:sz w:val="24"/>
        </w:rPr>
        <w:t xml:space="preserve">项目周报；</w:t>
      </w:r>
      <w:r/>
    </w:p>
    <w:p>
      <w:pPr>
        <w:numPr>
          <w:ilvl w:val="0"/>
          <w:numId w:val="6"/>
        </w:numPr>
        <w:spacing w:line="440" w:lineRule="exact"/>
        <w:rPr>
          <w:rFonts w:hint="eastAsia" w:ascii="宋体" w:hAnsi="宋体" w:cs="宋体"/>
          <w:sz w:val="24"/>
        </w:rPr>
      </w:pPr>
      <w:r>
        <w:rPr>
          <w:rFonts w:hint="eastAsia" w:ascii="宋体" w:hAnsi="宋体" w:cs="宋体"/>
          <w:sz w:val="24"/>
        </w:rPr>
        <w:t xml:space="preserve">监理建议书；</w:t>
      </w:r>
      <w:r/>
    </w:p>
    <w:p>
      <w:pPr>
        <w:numPr>
          <w:ilvl w:val="0"/>
          <w:numId w:val="6"/>
        </w:numPr>
        <w:spacing w:line="440" w:lineRule="exact"/>
        <w:rPr>
          <w:rFonts w:hint="eastAsia" w:ascii="宋体" w:hAnsi="宋体" w:cs="宋体"/>
          <w:sz w:val="24"/>
        </w:rPr>
      </w:pPr>
      <w:r>
        <w:rPr>
          <w:rFonts w:hint="eastAsia" w:ascii="宋体" w:hAnsi="宋体" w:cs="宋体"/>
          <w:sz w:val="24"/>
        </w:rPr>
        <w:t xml:space="preserve">监理通知单；</w:t>
      </w:r>
      <w:r/>
    </w:p>
    <w:p>
      <w:pPr>
        <w:numPr>
          <w:ilvl w:val="0"/>
          <w:numId w:val="6"/>
        </w:numPr>
        <w:spacing w:line="440" w:lineRule="exact"/>
        <w:rPr>
          <w:rFonts w:hint="eastAsia" w:ascii="宋体" w:hAnsi="宋体" w:cs="宋体"/>
          <w:sz w:val="24"/>
        </w:rPr>
      </w:pPr>
      <w:r>
        <w:rPr>
          <w:rFonts w:hint="eastAsia" w:ascii="宋体" w:hAnsi="宋体" w:cs="宋体"/>
          <w:sz w:val="24"/>
        </w:rPr>
        <w:t xml:space="preserve">各种会议纪要；</w:t>
      </w:r>
      <w:r/>
    </w:p>
    <w:p>
      <w:pPr>
        <w:numPr>
          <w:ilvl w:val="0"/>
          <w:numId w:val="6"/>
        </w:numPr>
        <w:spacing w:line="440" w:lineRule="exact"/>
        <w:rPr>
          <w:rFonts w:hint="eastAsia" w:ascii="宋体" w:hAnsi="宋体" w:cs="宋体"/>
          <w:sz w:val="24"/>
        </w:rPr>
      </w:pPr>
      <w:r>
        <w:rPr>
          <w:rFonts w:hint="eastAsia" w:ascii="宋体" w:hAnsi="宋体" w:cs="宋体"/>
          <w:sz w:val="24"/>
        </w:rPr>
        <w:t xml:space="preserve">阶段性项目总结；</w:t>
      </w:r>
      <w:r/>
    </w:p>
    <w:p>
      <w:pPr>
        <w:numPr>
          <w:ilvl w:val="0"/>
          <w:numId w:val="6"/>
        </w:numPr>
        <w:spacing w:line="440" w:lineRule="exact"/>
        <w:rPr>
          <w:rFonts w:hint="eastAsia" w:ascii="宋体" w:hAnsi="宋体" w:cs="宋体"/>
          <w:sz w:val="24"/>
        </w:rPr>
      </w:pPr>
      <w:r>
        <w:rPr>
          <w:rFonts w:hint="eastAsia" w:ascii="宋体" w:hAnsi="宋体" w:cs="宋体"/>
          <w:sz w:val="24"/>
        </w:rPr>
        <w:t xml:space="preserve">各承建方提交的技术文档；</w:t>
      </w:r>
      <w:r/>
    </w:p>
    <w:p>
      <w:pPr>
        <w:spacing w:line="440" w:lineRule="exact"/>
        <w:rPr>
          <w:rFonts w:hint="eastAsia" w:ascii="宋体" w:hAnsi="宋体" w:cs="宋体"/>
          <w:b/>
          <w:bCs/>
          <w:sz w:val="24"/>
        </w:rPr>
      </w:pPr>
      <w:r>
        <w:rPr>
          <w:rFonts w:hint="eastAsia" w:ascii="宋体" w:hAnsi="宋体" w:cs="宋体"/>
          <w:b/>
          <w:bCs/>
          <w:sz w:val="24"/>
        </w:rPr>
        <w:t xml:space="preserve">（八） 协调解决项目建设过程中的各类纠纷 </w:t>
      </w:r>
      <w:r/>
    </w:p>
    <w:p>
      <w:pPr>
        <w:ind w:firstLine="480"/>
        <w:spacing w:line="440" w:lineRule="exact"/>
        <w:rPr>
          <w:rFonts w:hint="eastAsia" w:ascii="宋体" w:hAnsi="宋体" w:cs="宋体"/>
          <w:sz w:val="24"/>
        </w:rPr>
      </w:pPr>
      <w:r>
        <w:rPr>
          <w:rFonts w:hint="eastAsia" w:ascii="宋体" w:hAnsi="宋体" w:cs="宋体"/>
          <w:sz w:val="24"/>
        </w:rPr>
        <w:t xml:space="preserve">经招标人委托，负责协调本项目所涉及的各承建单位之间的工作关系，并协调解决项目建设过程中的各类纠纷。</w:t>
      </w:r>
      <w:r/>
    </w:p>
    <w:p>
      <w:pPr>
        <w:spacing w:line="440" w:lineRule="exact"/>
        <w:rPr>
          <w:rFonts w:hint="eastAsia" w:ascii="宋体" w:hAnsi="宋体" w:cs="宋体"/>
          <w:sz w:val="24"/>
        </w:rPr>
      </w:pPr>
      <w:r>
        <w:rPr>
          <w:rFonts w:hint="eastAsia" w:ascii="宋体" w:hAnsi="宋体" w:cs="宋体"/>
          <w:sz w:val="24"/>
        </w:rPr>
        <w:t xml:space="preserve">监理单位应该通过必要的会议制度来实施协调工作，主要包括：</w:t>
      </w:r>
      <w:r/>
    </w:p>
    <w:p>
      <w:pPr>
        <w:spacing w:line="440" w:lineRule="exact"/>
        <w:rPr>
          <w:rFonts w:hint="eastAsia" w:ascii="宋体" w:hAnsi="宋体" w:cs="宋体"/>
          <w:sz w:val="24"/>
        </w:rPr>
      </w:pPr>
      <w:r>
        <w:rPr>
          <w:rFonts w:hint="eastAsia" w:ascii="宋体" w:hAnsi="宋体" w:cs="宋体"/>
          <w:sz w:val="24"/>
        </w:rPr>
        <w:t xml:space="preserve">（1）现场会；（2）监理交底会；（3）周例会；（4）监理协调会；（5）专题讨论会；（6）专家论证会；（7）阶段工作总结会；（8）问题通报会；（9）阶段及最终验收会。</w:t>
      </w:r>
      <w:r/>
    </w:p>
    <w:p>
      <w:pPr>
        <w:spacing w:line="440" w:lineRule="exact"/>
        <w:rPr>
          <w:rFonts w:hint="eastAsia" w:ascii="宋体" w:hAnsi="宋体" w:cs="宋体"/>
          <w:b/>
          <w:bCs/>
          <w:sz w:val="24"/>
        </w:rPr>
      </w:pPr>
      <w:r>
        <w:rPr>
          <w:rFonts w:hint="eastAsia" w:ascii="宋体" w:hAnsi="宋体" w:cs="宋体"/>
          <w:b/>
          <w:bCs/>
          <w:sz w:val="24"/>
        </w:rPr>
        <w:t xml:space="preserve">（九） 项目安全管理</w:t>
      </w:r>
      <w:r/>
    </w:p>
    <w:p>
      <w:pPr>
        <w:spacing w:line="440" w:lineRule="exact"/>
        <w:rPr>
          <w:rFonts w:hint="eastAsia" w:ascii="宋体" w:hAnsi="宋体" w:cs="宋体"/>
          <w:sz w:val="24"/>
        </w:rPr>
      </w:pPr>
      <w:r>
        <w:rPr>
          <w:rFonts w:hint="eastAsia" w:ascii="宋体" w:hAnsi="宋体" w:cs="宋体"/>
          <w:sz w:val="24"/>
        </w:rPr>
        <w:t xml:space="preserve">（1）负责项目建设过程中所涉及的政府机密数据和资料的保护，保证不被非授权使用；</w:t>
      </w:r>
      <w:r/>
    </w:p>
    <w:p>
      <w:pPr>
        <w:spacing w:line="440" w:lineRule="exact"/>
        <w:rPr>
          <w:rFonts w:hint="eastAsia" w:ascii="宋体" w:hAnsi="宋体" w:cs="宋体"/>
          <w:sz w:val="24"/>
        </w:rPr>
      </w:pPr>
      <w:r>
        <w:rPr>
          <w:rFonts w:hint="eastAsia" w:ascii="宋体" w:hAnsi="宋体" w:cs="宋体"/>
          <w:sz w:val="24"/>
        </w:rPr>
        <w:t xml:space="preserve">（2）负责项目建设施工过程中安全控制，确保不出现安全事故；</w:t>
      </w:r>
      <w:r/>
    </w:p>
    <w:p>
      <w:pPr>
        <w:spacing w:line="440" w:lineRule="exact"/>
        <w:rPr>
          <w:rFonts w:hint="eastAsia" w:ascii="宋体" w:hAnsi="宋体" w:cs="宋体"/>
          <w:b/>
          <w:bCs/>
          <w:sz w:val="24"/>
        </w:rPr>
      </w:pPr>
      <w:r>
        <w:rPr>
          <w:rFonts w:hint="eastAsia" w:ascii="宋体" w:hAnsi="宋体" w:cs="宋体"/>
          <w:b/>
          <w:bCs/>
          <w:sz w:val="24"/>
        </w:rPr>
        <w:t xml:space="preserve">（十）项目知识产权管理</w:t>
      </w:r>
      <w:r/>
    </w:p>
    <w:p>
      <w:pPr>
        <w:spacing w:line="440" w:lineRule="exact"/>
        <w:rPr>
          <w:rFonts w:hint="eastAsia" w:ascii="宋体" w:hAnsi="宋体" w:cs="宋体"/>
          <w:sz w:val="24"/>
        </w:rPr>
      </w:pPr>
      <w:r>
        <w:rPr>
          <w:rFonts w:hint="eastAsia" w:ascii="宋体" w:hAnsi="宋体" w:cs="宋体"/>
          <w:sz w:val="24"/>
        </w:rPr>
        <w:t xml:space="preserve">（1）负责项目建设过程中所产生成果的知识产权保护，保证不被非授权使用；</w:t>
      </w:r>
      <w:r/>
    </w:p>
    <w:p>
      <w:pPr>
        <w:spacing w:line="440" w:lineRule="exact"/>
        <w:rPr>
          <w:rFonts w:hint="eastAsia" w:ascii="宋体" w:hAnsi="宋体" w:cs="宋体"/>
          <w:sz w:val="24"/>
        </w:rPr>
      </w:pPr>
      <w:r>
        <w:rPr>
          <w:rFonts w:hint="eastAsia" w:ascii="宋体" w:hAnsi="宋体" w:cs="宋体"/>
          <w:sz w:val="24"/>
        </w:rPr>
        <w:t xml:space="preserve">（2）负责项目建设过程中涉及知识产权的产品和系统的使用审核，保证甲方不在本项目建设中出现违反知识产权的行为。</w:t>
      </w:r>
      <w:r/>
    </w:p>
    <w:p>
      <w:pPr>
        <w:spacing w:line="440" w:lineRule="exact"/>
        <w:rPr>
          <w:rFonts w:hint="eastAsia" w:ascii="宋体" w:hAnsi="宋体" w:cs="宋体"/>
          <w:b/>
          <w:bCs/>
          <w:sz w:val="24"/>
        </w:rPr>
      </w:pPr>
      <w:r>
        <w:rPr>
          <w:rFonts w:hint="eastAsia" w:ascii="宋体" w:hAnsi="宋体" w:cs="宋体"/>
          <w:b/>
          <w:bCs/>
          <w:sz w:val="24"/>
        </w:rPr>
        <w:t xml:space="preserve">（十二）监理服务准则</w:t>
      </w:r>
      <w:r/>
    </w:p>
    <w:p>
      <w:pPr>
        <w:ind w:firstLine="480"/>
        <w:spacing w:line="440" w:lineRule="exact"/>
        <w:rPr>
          <w:rFonts w:hint="eastAsia" w:ascii="宋体" w:hAnsi="宋体" w:cs="宋体"/>
          <w:sz w:val="24"/>
        </w:rPr>
      </w:pPr>
      <w:r>
        <w:rPr>
          <w:rFonts w:hint="eastAsia" w:ascii="宋体" w:hAnsi="宋体" w:cs="宋体"/>
          <w:sz w:val="24"/>
        </w:rPr>
        <w:t xml:space="preserve">遵照国家信息产业部《信息系统项目监理暂行规定》，以“守法、诚信、公正、科学”的准则执业，维护建设方与承建方的合法权益。具体应做到：</w:t>
      </w:r>
      <w:r/>
    </w:p>
    <w:p>
      <w:pPr>
        <w:spacing w:line="440" w:lineRule="exact"/>
        <w:rPr>
          <w:rFonts w:hint="eastAsia" w:ascii="宋体" w:hAnsi="宋体" w:cs="宋体"/>
          <w:sz w:val="24"/>
        </w:rPr>
      </w:pPr>
      <w:r>
        <w:rPr>
          <w:rFonts w:hint="eastAsia" w:ascii="宋体" w:hAnsi="宋体" w:cs="宋体"/>
          <w:sz w:val="24"/>
        </w:rPr>
        <w:t xml:space="preserve">（1）执行有关项目建设的法律、法规、规范、标准和制度，履行监理合同规定的义务和职责。</w:t>
      </w:r>
      <w:r/>
    </w:p>
    <w:p>
      <w:pPr>
        <w:spacing w:line="440" w:lineRule="exact"/>
        <w:rPr>
          <w:rFonts w:hint="eastAsia" w:ascii="宋体" w:hAnsi="宋体" w:cs="宋体"/>
          <w:sz w:val="24"/>
        </w:rPr>
      </w:pPr>
      <w:r>
        <w:rPr>
          <w:rFonts w:hint="eastAsia" w:ascii="宋体" w:hAnsi="宋体" w:cs="宋体"/>
          <w:sz w:val="24"/>
        </w:rPr>
        <w:t xml:space="preserve">（2）不收受被监理单位的任何礼金。</w:t>
      </w:r>
      <w:r/>
    </w:p>
    <w:p>
      <w:pPr>
        <w:spacing w:line="440" w:lineRule="exact"/>
        <w:rPr>
          <w:rFonts w:hint="eastAsia" w:ascii="宋体" w:hAnsi="宋体" w:cs="宋体"/>
          <w:sz w:val="24"/>
        </w:rPr>
      </w:pPr>
      <w:r>
        <w:rPr>
          <w:rFonts w:hint="eastAsia" w:ascii="宋体" w:hAnsi="宋体" w:cs="宋体"/>
          <w:sz w:val="24"/>
        </w:rPr>
        <w:t xml:space="preserve">（3）不泄漏所监理项目各方认为需要保密的事项。</w:t>
      </w:r>
      <w:r/>
    </w:p>
    <w:p>
      <w:pPr>
        <w:spacing w:line="440" w:lineRule="exact"/>
        <w:rPr>
          <w:rFonts w:hint="eastAsia" w:ascii="宋体" w:hAnsi="宋体" w:cs="宋体"/>
          <w:sz w:val="24"/>
        </w:rPr>
      </w:pPr>
      <w:r>
        <w:rPr>
          <w:rFonts w:hint="eastAsia" w:ascii="宋体" w:hAnsi="宋体" w:cs="宋体"/>
          <w:sz w:val="24"/>
        </w:rPr>
        <w:t xml:space="preserve">（4）遵守国家的法律和政府的有关条例、规定和办法等。</w:t>
      </w:r>
      <w:r/>
    </w:p>
    <w:p>
      <w:pPr>
        <w:spacing w:line="440" w:lineRule="exact"/>
        <w:rPr>
          <w:rFonts w:hint="eastAsia" w:ascii="宋体" w:hAnsi="宋体" w:cs="宋体"/>
          <w:sz w:val="24"/>
        </w:rPr>
      </w:pPr>
      <w:r>
        <w:rPr>
          <w:rFonts w:hint="eastAsia" w:ascii="宋体" w:hAnsi="宋体" w:cs="宋体"/>
          <w:sz w:val="24"/>
        </w:rPr>
        <w:t xml:space="preserve">（5）坚持公正的立场，独立、公正地处理有关各方的争议。</w:t>
      </w:r>
      <w:r/>
    </w:p>
    <w:p>
      <w:pPr>
        <w:spacing w:line="440" w:lineRule="exact"/>
        <w:rPr>
          <w:rFonts w:hint="eastAsia" w:ascii="宋体" w:hAnsi="宋体" w:cs="宋体"/>
          <w:sz w:val="24"/>
        </w:rPr>
      </w:pPr>
      <w:r>
        <w:rPr>
          <w:rFonts w:hint="eastAsia" w:ascii="宋体" w:hAnsi="宋体" w:cs="宋体"/>
          <w:sz w:val="24"/>
        </w:rPr>
        <w:t xml:space="preserve">（6）坚持科学的态度和实事求是的原则。</w:t>
      </w:r>
      <w:r/>
    </w:p>
    <w:p>
      <w:pPr>
        <w:spacing w:line="440" w:lineRule="exact"/>
        <w:rPr>
          <w:rFonts w:hint="eastAsia" w:ascii="宋体" w:hAnsi="宋体" w:cs="宋体"/>
          <w:sz w:val="24"/>
        </w:rPr>
      </w:pPr>
      <w:r>
        <w:rPr>
          <w:rFonts w:hint="eastAsia" w:ascii="宋体" w:hAnsi="宋体" w:cs="宋体"/>
          <w:sz w:val="24"/>
        </w:rPr>
        <w:t xml:space="preserve">（7）在坚持按监理合同的规定向甲方提供技术服务的同时，帮助被监理者完成起担负的建设任务。</w:t>
      </w:r>
      <w:r/>
    </w:p>
    <w:p>
      <w:pPr>
        <w:spacing w:line="440" w:lineRule="exact"/>
        <w:rPr>
          <w:rFonts w:hint="eastAsia" w:ascii="宋体" w:hAnsi="宋体" w:cs="宋体"/>
          <w:sz w:val="24"/>
        </w:rPr>
      </w:pPr>
      <w:r>
        <w:rPr>
          <w:rFonts w:hint="eastAsia" w:ascii="宋体" w:hAnsi="宋体" w:cs="宋体"/>
          <w:sz w:val="24"/>
        </w:rPr>
        <w:t xml:space="preserve">（8）不得泄漏所监理的项目需保密的事项。</w:t>
      </w:r>
      <w:r>
        <w:rPr>
          <w:rFonts w:ascii="宋体" w:hAnsi="宋体" w:cs="宋体"/>
          <w:sz w:val="24"/>
        </w:rPr>
        <w:t xml:space="preserve"> </w:t>
      </w:r>
      <w:r/>
    </w:p>
    <w:p>
      <w:pPr>
        <w:spacing w:line="440" w:lineRule="exact"/>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验收标准</w:t>
      </w:r>
      <w:r/>
    </w:p>
    <w:p>
      <w:pPr>
        <w:spacing w:line="440" w:lineRule="exact"/>
        <w:rPr>
          <w:rFonts w:hint="eastAsia" w:ascii="宋体" w:hAnsi="宋体" w:cs="宋体"/>
          <w:sz w:val="24"/>
        </w:rPr>
      </w:pPr>
      <w:r>
        <w:rPr>
          <w:rFonts w:hint="eastAsia" w:ascii="宋体" w:hAnsi="宋体" w:cs="宋体"/>
          <w:sz w:val="24"/>
        </w:rPr>
        <w:t xml:space="preserve">通过运维项目评审</w:t>
      </w:r>
      <w:r/>
    </w:p>
    <w:p>
      <w:pPr>
        <w:spacing w:line="440" w:lineRule="exact"/>
        <w:rPr>
          <w:rFonts w:hint="eastAsia" w:ascii="宋体" w:hAnsi="宋体" w:cs="宋体"/>
          <w:sz w:val="24"/>
        </w:rPr>
      </w:pPr>
      <w:r>
        <w:rPr>
          <w:rFonts w:ascii="宋体" w:hAnsi="宋体" w:cs="宋体"/>
          <w:sz w:val="24"/>
        </w:rPr>
        <w:t xml:space="preserve"> </w:t>
      </w:r>
      <w:r/>
    </w:p>
    <w:p>
      <w:pPr>
        <w:spacing w:line="440" w:lineRule="exact"/>
        <w:rPr>
          <w:rFonts w:hint="eastAsia" w:ascii="宋体" w:hAnsi="宋体" w:cs="宋体"/>
          <w:sz w:val="24"/>
        </w:rPr>
      </w:pPr>
      <w:r>
        <w:rPr>
          <w:rFonts w:ascii="宋体" w:hAnsi="宋体" w:cs="宋体"/>
          <w:sz w:val="24"/>
        </w:rPr>
        <w:t xml:space="preserve">4.</w:t>
      </w:r>
      <w:r>
        <w:rPr>
          <w:rFonts w:hint="eastAsia" w:ascii="宋体" w:hAnsi="宋体" w:cs="宋体"/>
          <w:sz w:val="24"/>
        </w:rPr>
        <w:t xml:space="preserve">其他要求</w:t>
      </w:r>
      <w:r/>
    </w:p>
    <w:p>
      <w:pPr>
        <w:spacing w:line="440" w:lineRule="exact"/>
        <w:rPr>
          <w:rFonts w:hint="eastAsia" w:ascii="宋体" w:hAnsi="宋体" w:cs="宋体"/>
          <w:sz w:val="24"/>
        </w:rPr>
      </w:pPr>
      <w:r>
        <w:rPr>
          <w:rFonts w:hint="eastAsia" w:ascii="宋体" w:hAnsi="宋体" w:cs="宋体"/>
          <w:sz w:val="24"/>
        </w:rPr>
        <w:t xml:space="preserve">无</w:t>
      </w:r>
      <w:r/>
    </w:p>
    <w:p>
      <w:pPr>
        <w:pStyle w:val="722"/>
        <w:jc w:val="both"/>
        <w:spacing w:before="0" w:beforeAutospacing="0" w:after="0" w:afterAutospacing="0"/>
      </w:pPr>
      <w:r>
        <w:rPr>
          <w:i/>
          <w:iCs/>
          <w:color w:val="000000"/>
          <w:sz w:val="28"/>
          <w:szCs w:val="28"/>
          <w:u w:val="single"/>
        </w:rPr>
        <w:t xml:space="preserve"> </w:t>
      </w:r>
      <w:r/>
    </w:p>
    <w:p>
      <w:pPr>
        <w:pStyle w:val="722"/>
        <w:jc w:val="both"/>
        <w:spacing w:before="0" w:beforeAutospacing="0" w:after="0" w:afterAutospacing="0"/>
      </w:pPr>
      <w:r>
        <w:rPr>
          <w:color w:val="000000"/>
          <w:sz w:val="28"/>
          <w:szCs w:val="28"/>
        </w:rPr>
        <w:t xml:space="preserve">5.</w:t>
      </w:r>
      <w:r>
        <w:rPr>
          <w:rFonts w:ascii="宋体" w:hAnsi="宋体" w:cs="宋体"/>
          <w:b/>
          <w:bCs/>
          <w:color w:val="000000"/>
          <w:sz w:val="28"/>
          <w:szCs w:val="28"/>
        </w:rPr>
        <w:t xml:space="preserve">实质性要求</w:t>
      </w:r>
      <w:r/>
    </w:p>
    <w:p>
      <w:pPr>
        <w:spacing w:line="440" w:lineRule="exact"/>
        <w:rPr>
          <w:rFonts w:hint="eastAsia" w:ascii="宋体" w:hAnsi="宋体" w:cs="宋体"/>
          <w:sz w:val="24"/>
        </w:rPr>
      </w:pPr>
      <w:r>
        <w:rPr>
          <w:rFonts w:hint="eastAsia" w:ascii="宋体" w:hAnsi="宋体" w:cs="宋体"/>
          <w:sz w:val="24"/>
        </w:rPr>
        <w:t xml:space="preserve">无</w:t>
      </w:r>
      <w:r/>
    </w:p>
    <w:p>
      <w:pPr>
        <w:pStyle w:val="722"/>
        <w:jc w:val="both"/>
        <w:spacing w:before="0" w:beforeAutospacing="0" w:after="0" w:afterAutospacing="0"/>
      </w:pPr>
      <w:r/>
      <w:r/>
    </w:p>
    <w:p>
      <w:pPr>
        <w:pStyle w:val="722"/>
        <w:jc w:val="both"/>
        <w:spacing w:before="0" w:beforeAutospacing="0" w:after="0" w:afterAutospacing="0"/>
        <w:rPr>
          <w:rFonts w:hint="eastAsia" w:ascii="宋体" w:hAnsi="宋体" w:cs="宋体"/>
          <w:color w:val="000000"/>
          <w:szCs w:val="24"/>
        </w:rPr>
      </w:pPr>
      <w:r>
        <w:rPr>
          <w:color w:val="000000"/>
          <w:szCs w:val="24"/>
        </w:rPr>
        <w:t xml:space="preserve">6.</w:t>
      </w:r>
      <w:r>
        <w:rPr>
          <w:rFonts w:ascii="宋体" w:hAnsi="宋体" w:cs="宋体"/>
          <w:color w:val="000000"/>
          <w:szCs w:val="24"/>
        </w:rPr>
        <w:t xml:space="preserve">样品</w:t>
      </w:r>
      <w:r/>
    </w:p>
    <w:p>
      <w:pPr>
        <w:pStyle w:val="722"/>
        <w:jc w:val="both"/>
        <w:spacing w:before="0" w:beforeAutospacing="0" w:after="0" w:afterAutospacing="0"/>
        <w:rPr>
          <w:rFonts w:hint="eastAsia" w:ascii="宋体" w:hAnsi="宋体" w:cs="宋体"/>
          <w:color w:val="000000"/>
          <w:szCs w:val="24"/>
        </w:rPr>
      </w:pPr>
      <w:r>
        <w:rPr>
          <w:rFonts w:hint="eastAsia" w:ascii="宋体" w:hAnsi="宋体" w:cs="宋体"/>
          <w:color w:val="000000"/>
          <w:szCs w:val="24"/>
        </w:rPr>
        <w:t xml:space="preserve">无</w:t>
      </w:r>
      <w:r/>
    </w:p>
    <w:p>
      <w:pPr>
        <w:pStyle w:val="722"/>
        <w:jc w:val="both"/>
        <w:spacing w:before="0" w:beforeAutospacing="0" w:after="0" w:afterAutospacing="0"/>
      </w:pPr>
      <w:r/>
      <w:r/>
    </w:p>
    <w:p>
      <w:pPr>
        <w:pStyle w:val="722"/>
        <w:jc w:val="both"/>
        <w:spacing w:before="0" w:beforeAutospacing="0" w:after="0" w:afterAutospacing="0"/>
        <w:rPr>
          <w:rFonts w:hint="eastAsia" w:ascii="宋体" w:hAnsi="宋体" w:cs="宋体"/>
          <w:color w:val="000000"/>
          <w:szCs w:val="24"/>
        </w:rPr>
      </w:pPr>
      <w:r>
        <w:rPr>
          <w:rFonts w:ascii="宋体" w:hAnsi="宋体" w:cs="宋体"/>
          <w:color w:val="000000"/>
          <w:szCs w:val="24"/>
          <w:lang w:bidi="ar"/>
        </w:rPr>
        <w:t xml:space="preserve">7.</w:t>
      </w:r>
      <w:r>
        <w:rPr>
          <w:rFonts w:ascii="宋体" w:hAnsi="宋体" w:cs="宋体"/>
          <w:color w:val="000000"/>
          <w:szCs w:val="24"/>
        </w:rPr>
        <w:t xml:space="preserve">演示</w:t>
      </w:r>
      <w:r/>
    </w:p>
    <w:p>
      <w:pPr>
        <w:pStyle w:val="722"/>
        <w:jc w:val="both"/>
        <w:spacing w:before="0" w:beforeAutospacing="0" w:after="0" w:afterAutospacing="0"/>
        <w:rPr>
          <w:rFonts w:hint="eastAsia" w:ascii="宋体" w:hAnsi="宋体" w:cs="宋体"/>
          <w:color w:val="000000"/>
          <w:szCs w:val="24"/>
        </w:rPr>
      </w:pPr>
      <w:r>
        <w:rPr>
          <w:rFonts w:hint="eastAsia" w:ascii="宋体" w:hAnsi="宋体" w:cs="宋体"/>
          <w:color w:val="000000"/>
          <w:szCs w:val="24"/>
        </w:rPr>
        <w:t xml:space="preserve">无</w:t>
      </w:r>
      <w:r/>
    </w:p>
    <w:p>
      <w:pPr>
        <w:pStyle w:val="722"/>
        <w:jc w:val="both"/>
        <w:spacing w:before="0" w:beforeAutospacing="0" w:after="0" w:afterAutospacing="0"/>
      </w:pPr>
      <w:r/>
      <w:r/>
    </w:p>
    <w:p>
      <w:pPr>
        <w:pStyle w:val="722"/>
        <w:jc w:val="both"/>
        <w:spacing w:before="0" w:beforeAutospacing="0" w:after="0" w:afterAutospacing="0"/>
      </w:pPr>
      <w:r>
        <w:rPr>
          <w:rFonts w:ascii="宋体" w:hAnsi="宋体" w:cs="宋体"/>
          <w:color w:val="000000"/>
          <w:szCs w:val="24"/>
        </w:rPr>
        <w:t xml:space="preserve">8.采购标的对应的中小企业划分标准所属行业一览表</w:t>
      </w:r>
      <w:r/>
    </w:p>
    <w:tbl>
      <w:tblPr>
        <w:tblStyle w:val="703"/>
        <w:tblW w:w="6688" w:type="dxa"/>
        <w:tblCellSpacing w:w="0" w:type="dxa"/>
        <w:tblInd w:w="20" w:type="dxa"/>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pStyle w:val="722"/>
              <w:jc w:val="center"/>
              <w:spacing w:before="0" w:beforeAutospacing="0" w:after="0" w:afterAutospacing="0"/>
            </w:pPr>
            <w:r>
              <w:rPr>
                <w:rFonts w:ascii="宋体" w:hAnsi="宋体" w:cs="宋体"/>
                <w:color w:val="000000"/>
                <w:szCs w:val="24"/>
              </w:rPr>
              <w:t xml:space="preserve">序号</w:t>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val="false"/>
          </w:tcPr>
          <w:p>
            <w:pPr>
              <w:pStyle w:val="722"/>
              <w:jc w:val="center"/>
              <w:spacing w:before="0" w:beforeAutospacing="0" w:after="0" w:afterAutospacing="0"/>
            </w:pPr>
            <w:r>
              <w:rPr>
                <w:rFonts w:ascii="宋体" w:hAnsi="宋体" w:cs="宋体"/>
                <w:color w:val="000000"/>
                <w:szCs w:val="24"/>
              </w:rPr>
              <w:t xml:space="preserve">采购标的</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val="false"/>
          </w:tcPr>
          <w:p>
            <w:pPr>
              <w:pStyle w:val="722"/>
              <w:jc w:val="center"/>
              <w:spacing w:before="0" w:beforeAutospacing="0" w:after="0" w:afterAutospacing="0"/>
            </w:pPr>
            <w:r>
              <w:rPr>
                <w:rFonts w:ascii="宋体" w:hAnsi="宋体" w:cs="宋体"/>
                <w:color w:val="000000"/>
                <w:szCs w:val="24"/>
              </w:rPr>
              <w:t xml:space="preserve">对应中小企业划分标准所属行业</w:t>
            </w:r>
            <w:r/>
          </w:p>
        </w:tc>
      </w:tr>
      <w:tr>
        <w:trPr>
          <w:tblCellSpacing w:w="0" w:type="dxa"/>
          <w:trHeight w:val="291"/>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722"/>
              <w:jc w:val="center"/>
              <w:spacing w:before="0" w:beforeAutospacing="0" w:after="0" w:afterAutospacing="0"/>
            </w:pPr>
            <w:r>
              <w:rPr>
                <w:rFonts w:ascii="宋体" w:hAnsi="宋体" w:cs="宋体"/>
                <w:color w:val="000000"/>
                <w:szCs w:val="24"/>
              </w:rPr>
              <w:t xml:space="preserve">1</w:t>
            </w:r>
            <w:r/>
          </w:p>
        </w:tc>
        <w:tc>
          <w:tcPr>
            <w:tcBorders>
              <w:top w:val="none" w:color="000000" w:sz="4" w:space="0"/>
              <w:left w:val="none" w:color="000000" w:sz="4" w:space="0"/>
              <w:bottom w:val="single" w:color="000000" w:sz="8" w:space="0"/>
              <w:right w:val="single" w:color="000000" w:sz="8" w:space="0"/>
            </w:tcBorders>
            <w:tcW w:w="3291" w:type="dxa"/>
            <w:textDirection w:val="lrTb"/>
            <w:noWrap w:val="false"/>
          </w:tcPr>
          <w:p>
            <w:pPr>
              <w:jc w:val="center"/>
              <w:rPr>
                <w:rFonts w:ascii="Calibri" w:hAnsi="Calibri"/>
                <w:szCs w:val="24"/>
              </w:rPr>
            </w:pPr>
            <w:r>
              <w:rPr>
                <w:rFonts w:hint="eastAsia"/>
                <w:bCs/>
                <w:sz w:val="24"/>
              </w:rPr>
              <w:t xml:space="preserve">2026年度常州市一体化政务服务平台软件运维监理服务</w:t>
            </w:r>
            <w:r/>
          </w:p>
        </w:tc>
        <w:tc>
          <w:tcPr>
            <w:tcBorders>
              <w:top w:val="none" w:color="000000" w:sz="4" w:space="0"/>
              <w:left w:val="none" w:color="000000" w:sz="4" w:space="0"/>
              <w:bottom w:val="single" w:color="000000" w:sz="8" w:space="0"/>
              <w:right w:val="single" w:color="000000" w:sz="8" w:space="0"/>
            </w:tcBorders>
            <w:tcW w:w="2852" w:type="dxa"/>
            <w:textDirection w:val="lrTb"/>
            <w:noWrap w:val="false"/>
          </w:tcPr>
          <w:p>
            <w:pPr>
              <w:jc w:val="center"/>
              <w:rPr>
                <w:rFonts w:ascii="Calibri" w:hAnsi="Calibri"/>
                <w:szCs w:val="24"/>
              </w:rPr>
            </w:pPr>
            <w:r>
              <w:rPr>
                <w:rFonts w:hint="eastAsia" w:ascii="宋体" w:hAnsi="宋体"/>
                <w:sz w:val="24"/>
              </w:rPr>
              <w:t xml:space="preserve">软件和信息技术服务业</w:t>
            </w:r>
            <w:r/>
          </w:p>
        </w:tc>
      </w:tr>
    </w:tbl>
    <w:p>
      <w:pPr>
        <w:pStyle w:val="722"/>
        <w:jc w:val="both"/>
        <w:spacing w:before="0" w:beforeAutospacing="0" w:after="0" w:afterAutospacing="0"/>
      </w:pPr>
      <w:r/>
      <w:r/>
    </w:p>
    <w:p>
      <w:pPr>
        <w:pStyle w:val="722"/>
        <w:jc w:val="both"/>
        <w:spacing w:before="240" w:beforeAutospacing="0" w:after="240" w:afterAutospacing="0"/>
      </w:pPr>
      <w:r>
        <w:rPr>
          <w:color w:val="000000"/>
          <w:szCs w:val="24"/>
        </w:rPr>
        <w:t xml:space="preserve">9.</w:t>
      </w:r>
      <w:r>
        <w:rPr>
          <w:rFonts w:ascii="宋体" w:hAnsi="宋体" w:cs="宋体"/>
          <w:color w:val="000000"/>
          <w:szCs w:val="24"/>
        </w:rPr>
        <w:t xml:space="preserve">其他项目相关的表格清单、图纸、图片等资料可以电子文件形式通过系统上传。</w:t>
      </w:r>
      <w:r/>
    </w:p>
    <w:p>
      <w:pPr>
        <w:spacing w:after="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after="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693"/>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第五章  </w:t>
      </w:r>
      <w:r>
        <w:rPr>
          <w:rFonts w:ascii="黑体" w:hAnsi="黑体" w:eastAsia="黑体" w:cs="黑体"/>
          <w:b/>
          <w:color w:val="000000"/>
          <w:sz w:val="44"/>
        </w:rPr>
        <w:t xml:space="preserve">评标方法与评标标准</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39"/>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采用综合评分法的，评标结果按评审后得分由高到低顺序排列。得分相同的，按投标报价由低到高顺序排列。得分且投标报价相同的并列。</w:t>
      </w:r>
      <w:r>
        <w:t xml:space="preserve">投标文件满足招标文件全部实质性要求，且按照评审因素的量化指标评审得分最高的投标人为中标候选人。本项目分包选取一名中标候选人。</w:t>
      </w:r>
      <w:r/>
    </w:p>
    <w:p>
      <w:pPr>
        <w:ind w:firstLine="441"/>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政府采购政策功能落实</w:t>
      </w:r>
      <w:r/>
    </w:p>
    <w:p>
      <w:pPr>
        <w:ind w:firstLine="48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1、小微型企业价格扣除</w:t>
      </w:r>
      <w:r/>
    </w:p>
    <w:p>
      <w:pPr>
        <w:ind w:firstLine="36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（1）本项目对小型和微型企业提供的服务给予</w:t>
      </w:r>
      <w:r>
        <w:rPr>
          <w:rFonts w:ascii="宋体" w:hAnsi="宋体" w:cs="宋体"/>
          <w:color w:val="000000"/>
          <w:sz w:val="24"/>
          <w:u w:val="single"/>
        </w:rPr>
        <w:t xml:space="preserve">20%</w:t>
      </w:r>
      <w:r>
        <w:rPr>
          <w:rFonts w:ascii="宋体" w:hAnsi="宋体" w:cs="宋体"/>
          <w:color w:val="000000"/>
          <w:sz w:val="24"/>
        </w:rPr>
        <w:t xml:space="preserve">的扣除价格，用扣除后的价格参与评审。</w:t>
      </w:r>
      <w:r/>
    </w:p>
    <w:p>
      <w:pPr>
        <w:ind w:firstLine="36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（2）供应商需按照采购文件的要求提供相应的《小微企业声明函》。</w:t>
      </w:r>
      <w:r/>
    </w:p>
    <w:p>
      <w:pPr>
        <w:ind w:firstLine="36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（3）企业标准请参照《关于印发中小企业划型标准规定的通知》（工信部联企业[2011]300号）文件规定自行填写。</w:t>
      </w:r>
      <w:r/>
    </w:p>
    <w:p>
      <w:pPr>
        <w:ind w:firstLine="48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2、残疾人福利单位价格扣除</w:t>
      </w:r>
      <w:r/>
    </w:p>
    <w:p>
      <w:pPr>
        <w:ind w:left="120" w:firstLine="36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（1）本项目对残疾人福利性单位视同小型、微型企业，给予</w:t>
      </w:r>
      <w:r>
        <w:rPr>
          <w:rFonts w:ascii="宋体" w:hAnsi="宋体" w:cs="宋体"/>
          <w:color w:val="000000"/>
          <w:sz w:val="24"/>
          <w:u w:val="single"/>
        </w:rPr>
        <w:t xml:space="preserve">20%</w:t>
      </w:r>
      <w:r>
        <w:rPr>
          <w:rFonts w:ascii="宋体" w:hAnsi="宋体" w:cs="宋体"/>
          <w:color w:val="000000"/>
          <w:sz w:val="24"/>
        </w:rPr>
        <w:t xml:space="preserve">的价格扣除，用扣除后的价格参与评审。</w:t>
      </w:r>
      <w:r/>
    </w:p>
    <w:p>
      <w:pPr>
        <w:ind w:left="120" w:firstLine="36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（2）残疾人福利单位需按照采购文件的要求提供《残疾人福利性单位声明函》。</w:t>
      </w:r>
      <w:r/>
    </w:p>
    <w:p>
      <w:pPr>
        <w:ind w:left="120" w:firstLine="36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（3）残疾人福利单位标准请参照《关于促进残疾人就业政府采购政策的通知》（财库〔2017〕141号）。</w:t>
      </w:r>
      <w:r/>
    </w:p>
    <w:p>
      <w:pPr>
        <w:ind w:firstLine="48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3、监狱和戒毒企业价格扣除</w:t>
      </w:r>
      <w:r/>
    </w:p>
    <w:p>
      <w:pPr>
        <w:ind w:firstLine="48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（1）本项目对监狱和戒毒企业（简称监狱企业）视同小型、微型企业，给予</w:t>
      </w:r>
      <w:r>
        <w:rPr>
          <w:rFonts w:ascii="宋体" w:hAnsi="宋体" w:cs="宋体"/>
          <w:color w:val="000000"/>
          <w:sz w:val="24"/>
          <w:u w:val="single"/>
        </w:rPr>
        <w:t xml:space="preserve">20%</w:t>
      </w:r>
      <w:r>
        <w:rPr>
          <w:rFonts w:ascii="宋体" w:hAnsi="宋体" w:cs="宋体"/>
          <w:color w:val="000000"/>
          <w:sz w:val="24"/>
        </w:rPr>
        <w:t xml:space="preserve">的价格扣除，用扣除后的价格参与评审。</w:t>
      </w:r>
      <w:r/>
    </w:p>
    <w:p>
      <w:pPr>
        <w:ind w:firstLine="48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（3）监狱企业标准请参照《关于政府采购支持监狱企业发展有关问题的通知》（财库[2014]68号）。</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4、残疾人福利单位、监狱企业属于小型、微型企业的，不重复享受政策。</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sz w:val="24"/>
          <w:u w:val="single"/>
        </w:rPr>
        <w:t xml:space="preserve">6%</w:t>
      </w:r>
      <w:r>
        <w:rPr>
          <w:rFonts w:ascii="宋体" w:hAnsi="宋体" w:cs="宋体"/>
          <w:color w:val="000000"/>
          <w:sz w:val="24"/>
        </w:rPr>
        <w:t xml:space="preserve">的价格扣除，用扣除后的价格参与评审。</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6、联合体各方均为小型、微型企业（残疾人福利单位、监狱企业）的，联合体享受</w:t>
      </w:r>
      <w:r>
        <w:rPr>
          <w:rFonts w:ascii="宋体" w:hAnsi="宋体" w:cs="宋体"/>
          <w:color w:val="000000"/>
          <w:sz w:val="24"/>
          <w:u w:val="single"/>
        </w:rPr>
        <w:t xml:space="preserve">20%</w:t>
      </w:r>
      <w:r>
        <w:rPr>
          <w:rFonts w:ascii="宋体" w:hAnsi="宋体" w:cs="宋体"/>
          <w:color w:val="000000"/>
          <w:sz w:val="24"/>
        </w:rPr>
        <w:t xml:space="preserve">价格扣除，用扣除后的价格参与评审。</w:t>
      </w:r>
      <w:r/>
    </w:p>
    <w:p>
      <w:pPr>
        <w:ind w:firstLine="48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2"/>
        <w:spacing w:before="120" w:after="120" w:line="360" w:lineRule="atLeast"/>
        <w:rPr>
          <w:rFonts w:eastAsia="Times New Roman"/>
          <w:color w:val="000000"/>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评标方法与评标标准</w:t>
      </w:r>
      <w:r>
        <w:rPr>
          <w:rStyle w:val="728"/>
          <w:rFonts w:hint="eastAsia"/>
        </w:rPr>
        <w:t xml:space="preserve">（每个投标人可选择相应的分包投标，兼投不兼中。在分包一中被推荐为第一中标候选人的单位可参与分包二评标，但不得成为分包二的推荐中标候选人，按分包顺序，以此类推。）</w:t>
      </w:r>
      <w:r>
        <w:rPr>
          <w:rFonts w:eastAsia="Times New Roman"/>
          <w:color w:val="000000"/>
        </w:rPr>
        <w:t xml:space="preserve"> </w:t>
      </w:r>
      <w:r/>
    </w:p>
    <w:p>
      <w:pPr>
        <w:pStyle w:val="767"/>
        <w:rPr>
          <w:rFonts w:hint="eastAsia" w:ascii="宋体" w:hAnsi="宋体" w:cs="宋体"/>
          <w:b/>
          <w:color w:val="000000"/>
          <w:sz w:val="24"/>
          <w:szCs w:val="21"/>
        </w:rPr>
      </w:pPr>
      <w:r>
        <w:rPr>
          <w:rFonts w:hint="eastAsia" w:ascii="宋体" w:hAnsi="宋体" w:cs="宋体"/>
          <w:b/>
          <w:color w:val="000000"/>
          <w:sz w:val="24"/>
          <w:szCs w:val="21"/>
        </w:rPr>
        <w:t xml:space="preserve">分包1评分标准：</w:t>
      </w:r>
      <w:r/>
    </w:p>
    <w:tbl>
      <w:tblPr>
        <w:tblStyle w:val="703"/>
        <w:tblW w:w="8971" w:type="dxa"/>
        <w:tblCellSpacing w:w="0" w:type="dxa"/>
        <w:tblInd w:w="2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64"/>
        <w:gridCol w:w="1293"/>
        <w:gridCol w:w="4184"/>
        <w:gridCol w:w="690"/>
        <w:gridCol w:w="645"/>
        <w:gridCol w:w="675"/>
        <w:gridCol w:w="720"/>
      </w:tblGrid>
      <w:tr>
        <w:trPr>
          <w:tblCellSpacing w:w="0" w:type="dxa"/>
          <w:trHeight w:val="420"/>
        </w:trPr>
        <w:tc>
          <w:tcPr>
            <w:tcMar>
              <w:left w:w="0" w:type="dxa"/>
              <w:right w:w="0" w:type="dxa"/>
            </w:tcMar>
            <w:tcW w:w="764" w:type="dxa"/>
            <w:vAlign w:val="center"/>
            <w:textDirection w:val="lrTb"/>
            <w:noWrap w:val="false"/>
          </w:tcPr>
          <w:p>
            <w:pPr>
              <w:pStyle w:val="722"/>
              <w:jc w:val="center"/>
              <w:spacing w:before="0" w:beforeAutospacing="0" w:after="0" w:afterAutospacing="0"/>
            </w:pPr>
            <w:r>
              <w:rPr>
                <w:rFonts w:ascii="宋体" w:hAnsi="宋体" w:cs="宋体"/>
                <w:b/>
                <w:bCs/>
                <w:color w:val="000000"/>
                <w:sz w:val="20"/>
                <w:szCs w:val="20"/>
              </w:rPr>
              <w:t xml:space="preserve">序号</w:t>
            </w:r>
            <w:r/>
          </w:p>
        </w:tc>
        <w:tc>
          <w:tcPr>
            <w:tcW w:w="1293" w:type="dxa"/>
            <w:vAlign w:val="center"/>
            <w:textDirection w:val="lrTb"/>
            <w:noWrap w:val="false"/>
          </w:tcPr>
          <w:p>
            <w:pPr>
              <w:pStyle w:val="722"/>
              <w:jc w:val="center"/>
              <w:spacing w:before="0" w:beforeAutospacing="0" w:after="0" w:afterAutospacing="0"/>
            </w:pPr>
            <w:r>
              <w:rPr>
                <w:rFonts w:ascii="宋体" w:hAnsi="宋体" w:cs="宋体"/>
                <w:b/>
                <w:bCs/>
                <w:color w:val="000000"/>
                <w:sz w:val="20"/>
                <w:szCs w:val="20"/>
              </w:rPr>
              <w:t xml:space="preserve">评分因素</w:t>
            </w:r>
            <w:r/>
          </w:p>
        </w:tc>
        <w:tc>
          <w:tcPr>
            <w:tcW w:w="4184" w:type="dxa"/>
            <w:vAlign w:val="center"/>
            <w:textDirection w:val="lrTb"/>
            <w:noWrap w:val="false"/>
          </w:tcPr>
          <w:p>
            <w:pPr>
              <w:pStyle w:val="722"/>
              <w:jc w:val="center"/>
              <w:spacing w:before="0" w:beforeAutospacing="0" w:after="0" w:afterAutospacing="0"/>
            </w:pPr>
            <w:r>
              <w:rPr>
                <w:rFonts w:ascii="宋体" w:hAnsi="宋体" w:cs="宋体"/>
                <w:b/>
                <w:bCs/>
                <w:color w:val="000000"/>
                <w:sz w:val="21"/>
              </w:rPr>
              <w:t xml:space="preserve">评分标准和评审材料</w:t>
            </w:r>
            <w:r/>
          </w:p>
        </w:tc>
        <w:tc>
          <w:tcPr>
            <w:tcW w:w="690" w:type="dxa"/>
            <w:vAlign w:val="center"/>
            <w:textDirection w:val="lrTb"/>
            <w:noWrap w:val="false"/>
          </w:tcPr>
          <w:p>
            <w:pPr>
              <w:pStyle w:val="722"/>
              <w:jc w:val="center"/>
              <w:spacing w:before="0" w:beforeAutospacing="0" w:after="0" w:afterAutospacing="0"/>
            </w:pPr>
            <w:r>
              <w:rPr>
                <w:rFonts w:ascii="宋体" w:hAnsi="宋体" w:cs="宋体"/>
                <w:b/>
                <w:bCs/>
                <w:color w:val="000000"/>
                <w:sz w:val="21"/>
              </w:rPr>
              <w:t xml:space="preserve">最低分值</w:t>
            </w:r>
            <w:r/>
          </w:p>
        </w:tc>
        <w:tc>
          <w:tcPr>
            <w:tcMar>
              <w:left w:w="0" w:type="dxa"/>
              <w:right w:w="0" w:type="dxa"/>
            </w:tcMar>
            <w:tcW w:w="645" w:type="dxa"/>
            <w:vAlign w:val="center"/>
            <w:textDirection w:val="lrTb"/>
            <w:noWrap w:val="false"/>
          </w:tcPr>
          <w:p>
            <w:pPr>
              <w:pStyle w:val="722"/>
              <w:jc w:val="center"/>
              <w:spacing w:before="0" w:beforeAutospacing="0" w:after="0" w:afterAutospacing="0"/>
            </w:pPr>
            <w:r>
              <w:rPr>
                <w:rFonts w:ascii="宋体" w:hAnsi="宋体" w:cs="宋体"/>
                <w:b/>
                <w:bCs/>
                <w:color w:val="000000"/>
                <w:sz w:val="21"/>
              </w:rPr>
              <w:t xml:space="preserve">最高分值</w:t>
            </w:r>
            <w:r/>
          </w:p>
        </w:tc>
        <w:tc>
          <w:tcPr>
            <w:tcMar>
              <w:left w:w="0" w:type="dxa"/>
              <w:right w:w="0" w:type="dxa"/>
            </w:tcMar>
            <w:tcW w:w="675" w:type="dxa"/>
            <w:vAlign w:val="center"/>
            <w:textDirection w:val="lrTb"/>
            <w:noWrap w:val="false"/>
          </w:tcPr>
          <w:p>
            <w:pPr>
              <w:pStyle w:val="722"/>
              <w:jc w:val="center"/>
              <w:spacing w:before="0" w:beforeAutospacing="0" w:after="0" w:afterAutospacing="0"/>
            </w:pPr>
            <w:r>
              <w:rPr>
                <w:rFonts w:ascii="宋体" w:hAnsi="宋体" w:cs="宋体"/>
                <w:b/>
                <w:bCs/>
                <w:color w:val="000000"/>
                <w:sz w:val="21"/>
              </w:rPr>
              <w:t xml:space="preserve"> </w:t>
            </w:r>
            <w:r/>
          </w:p>
        </w:tc>
        <w:tc>
          <w:tcPr>
            <w:tcMar>
              <w:left w:w="0" w:type="dxa"/>
              <w:right w:w="0" w:type="dxa"/>
            </w:tcMar>
            <w:tcW w:w="720" w:type="dxa"/>
            <w:vAlign w:val="center"/>
            <w:textDirection w:val="lrTb"/>
            <w:noWrap w:val="false"/>
          </w:tcPr>
          <w:p>
            <w:pPr>
              <w:pStyle w:val="722"/>
              <w:jc w:val="center"/>
              <w:spacing w:before="0" w:beforeAutospacing="0" w:after="0" w:afterAutospacing="0"/>
            </w:pPr>
            <w:r>
              <w:rPr>
                <w:rFonts w:ascii="宋体" w:hAnsi="宋体" w:cs="宋体"/>
                <w:b/>
                <w:bCs/>
                <w:color w:val="000000"/>
                <w:sz w:val="21"/>
              </w:rPr>
              <w:t xml:space="preserve"> </w:t>
            </w:r>
            <w:r/>
          </w:p>
        </w:tc>
      </w:tr>
      <w:tr>
        <w:trPr>
          <w:tblCellSpacing w:w="0" w:type="dxa"/>
          <w:trHeight w:val="420"/>
        </w:trPr>
        <w:tc>
          <w:tcPr>
            <w:tcMar>
              <w:left w:w="0" w:type="dxa"/>
              <w:right w:w="0" w:type="dxa"/>
            </w:tcMar>
            <w:tcW w:w="764" w:type="dxa"/>
            <w:vAlign w:val="center"/>
            <w:textDirection w:val="lrTb"/>
            <w:noWrap w:val="false"/>
          </w:tcPr>
          <w:p>
            <w:pPr>
              <w:pStyle w:val="722"/>
              <w:jc w:val="center"/>
              <w:spacing w:before="0" w:beforeAutospacing="0" w:after="0" w:afterAutospacing="0"/>
            </w:pPr>
            <w:r>
              <w:rPr>
                <w:rFonts w:ascii="宋体" w:hAnsi="宋体" w:cs="宋体"/>
                <w:b/>
                <w:bCs/>
                <w:color w:val="000000"/>
                <w:sz w:val="20"/>
                <w:szCs w:val="20"/>
              </w:rPr>
              <w:t xml:space="preserve">1</w:t>
            </w:r>
            <w:r/>
          </w:p>
        </w:tc>
        <w:tc>
          <w:tcPr>
            <w:tcW w:w="1293" w:type="dxa"/>
            <w:vAlign w:val="center"/>
            <w:textDirection w:val="lrTb"/>
            <w:noWrap w:val="false"/>
          </w:tcPr>
          <w:p>
            <w:pPr>
              <w:pStyle w:val="722"/>
              <w:jc w:val="center"/>
              <w:spacing w:before="0" w:beforeAutospacing="0" w:after="0" w:afterAutospacing="0"/>
            </w:pPr>
            <w:r>
              <w:rPr>
                <w:rFonts w:ascii="宋体" w:hAnsi="宋体" w:cs="宋体"/>
                <w:b/>
                <w:bCs/>
                <w:color w:val="000000"/>
                <w:sz w:val="20"/>
                <w:szCs w:val="20"/>
              </w:rPr>
              <w:t xml:space="preserve">价格分</w:t>
            </w:r>
            <w:r/>
          </w:p>
        </w:tc>
        <w:tc>
          <w:tcPr>
            <w:tcW w:w="4184" w:type="dxa"/>
            <w:vAlign w:val="center"/>
            <w:textDirection w:val="lrTb"/>
            <w:noWrap w:val="false"/>
          </w:tcPr>
          <w:p>
            <w:pPr>
              <w:rPr>
                <w:rFonts w:ascii="Calibri" w:hAnsi="Calibri"/>
                <w:szCs w:val="24"/>
              </w:rPr>
            </w:pPr>
            <w:r>
              <w:rPr>
                <w:rFonts w:hint="eastAsia" w:ascii="宋体" w:hAnsi="宋体" w:cs="宋体"/>
                <w:color w:val="000000"/>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p>
        </w:tc>
        <w:tc>
          <w:tcPr>
            <w:tcW w:w="690" w:type="dxa"/>
            <w:vAlign w:val="center"/>
            <w:textDirection w:val="lrTb"/>
            <w:noWrap w:val="false"/>
          </w:tcPr>
          <w:p>
            <w:pPr>
              <w:jc w:val="center"/>
              <w:rPr>
                <w:rFonts w:ascii="Calibri" w:hAnsi="Calibri"/>
                <w:b/>
                <w:szCs w:val="24"/>
              </w:rPr>
            </w:pPr>
            <w:r>
              <w:rPr>
                <w:rFonts w:hint="eastAsia" w:ascii="宋体" w:hAnsi="宋体" w:cs="宋体"/>
                <w:b/>
                <w:sz w:val="20"/>
              </w:rPr>
              <w:t xml:space="preserve">0</w:t>
            </w:r>
            <w:r/>
          </w:p>
        </w:tc>
        <w:tc>
          <w:tcPr>
            <w:tcMar>
              <w:left w:w="0" w:type="dxa"/>
              <w:right w:w="0" w:type="dxa"/>
            </w:tcMar>
            <w:tcW w:w="645" w:type="dxa"/>
            <w:vAlign w:val="center"/>
            <w:textDirection w:val="lrTb"/>
            <w:noWrap w:val="false"/>
          </w:tcPr>
          <w:p>
            <w:pPr>
              <w:jc w:val="center"/>
              <w:rPr>
                <w:rFonts w:ascii="Calibri" w:hAnsi="Calibri"/>
                <w:b/>
                <w:szCs w:val="24"/>
              </w:rPr>
            </w:pPr>
            <w:r>
              <w:rPr>
                <w:rFonts w:hint="eastAsia" w:ascii="宋体" w:hAnsi="宋体" w:cs="宋体"/>
                <w:b/>
                <w:sz w:val="20"/>
              </w:rPr>
              <w:t xml:space="preserve">10</w:t>
            </w:r>
            <w:r/>
          </w:p>
        </w:tc>
        <w:tc>
          <w:tcPr>
            <w:tcMar>
              <w:left w:w="0" w:type="dxa"/>
              <w:right w:w="0" w:type="dxa"/>
            </w:tcMar>
            <w:tcW w:w="675" w:type="dxa"/>
            <w:vAlign w:val="center"/>
            <w:textDirection w:val="lrTb"/>
            <w:noWrap w:val="false"/>
          </w:tcPr>
          <w:p>
            <w:pPr>
              <w:pStyle w:val="722"/>
              <w:jc w:val="center"/>
              <w:spacing w:before="0" w:beforeAutospacing="0" w:after="0" w:afterAutospacing="0"/>
            </w:pPr>
            <w:r>
              <w:rPr>
                <w:rFonts w:ascii="宋体" w:hAnsi="宋体" w:cs="宋体"/>
                <w:b/>
                <w:bCs/>
                <w:color w:val="000000"/>
                <w:sz w:val="20"/>
                <w:szCs w:val="20"/>
              </w:rPr>
              <w:t xml:space="preserve"> </w:t>
            </w:r>
            <w:r/>
          </w:p>
        </w:tc>
        <w:tc>
          <w:tcPr>
            <w:tcMar>
              <w:left w:w="0" w:type="dxa"/>
              <w:right w:w="0" w:type="dxa"/>
            </w:tcMar>
            <w:tcW w:w="720" w:type="dxa"/>
            <w:vAlign w:val="center"/>
            <w:textDirection w:val="lrTb"/>
            <w:noWrap w:val="false"/>
          </w:tcPr>
          <w:p>
            <w:pPr>
              <w:pStyle w:val="722"/>
              <w:jc w:val="center"/>
              <w:spacing w:before="0" w:beforeAutospacing="0" w:after="0" w:afterAutospacing="0"/>
            </w:pPr>
            <w:r>
              <w:rPr>
                <w:rFonts w:ascii="宋体" w:hAnsi="宋体" w:cs="宋体"/>
                <w:b/>
                <w:bCs/>
                <w:color w:val="000000"/>
                <w:sz w:val="20"/>
                <w:szCs w:val="20"/>
              </w:rPr>
              <w:t xml:space="preserve"> </w:t>
            </w:r>
            <w:r/>
          </w:p>
        </w:tc>
      </w:tr>
      <w:tr>
        <w:trPr>
          <w:tblCellSpacing w:w="0" w:type="dxa"/>
          <w:trHeight w:val="420"/>
        </w:trPr>
        <w:tc>
          <w:tcPr>
            <w:tcMar>
              <w:left w:w="0" w:type="dxa"/>
              <w:right w:w="0" w:type="dxa"/>
            </w:tcMar>
            <w:tcW w:w="764" w:type="dxa"/>
            <w:vAlign w:val="center"/>
            <w:textDirection w:val="lrTb"/>
            <w:noWrap w:val="false"/>
          </w:tcPr>
          <w:p>
            <w:pPr>
              <w:pStyle w:val="722"/>
              <w:jc w:val="center"/>
              <w:spacing w:before="0" w:beforeAutospacing="0" w:after="0" w:afterAutospacing="0"/>
            </w:pPr>
            <w:r>
              <w:rPr>
                <w:rFonts w:ascii="宋体" w:hAnsi="宋体" w:cs="宋体"/>
                <w:b/>
                <w:bCs/>
                <w:color w:val="000000"/>
                <w:sz w:val="20"/>
                <w:szCs w:val="20"/>
              </w:rPr>
              <w:t xml:space="preserve">序号</w:t>
            </w:r>
            <w:r/>
          </w:p>
        </w:tc>
        <w:tc>
          <w:tcPr>
            <w:tcW w:w="1293" w:type="dxa"/>
            <w:vAlign w:val="center"/>
            <w:textDirection w:val="lrTb"/>
            <w:noWrap w:val="false"/>
          </w:tcPr>
          <w:p>
            <w:pPr>
              <w:pStyle w:val="722"/>
              <w:jc w:val="center"/>
              <w:spacing w:before="0" w:beforeAutospacing="0" w:after="0" w:afterAutospacing="0"/>
            </w:pPr>
            <w:r>
              <w:rPr>
                <w:rFonts w:ascii="宋体" w:hAnsi="宋体" w:cs="宋体"/>
                <w:b/>
                <w:bCs/>
                <w:color w:val="000000"/>
                <w:sz w:val="20"/>
                <w:szCs w:val="20"/>
              </w:rPr>
              <w:t xml:space="preserve">评分因素</w:t>
            </w:r>
            <w:r/>
          </w:p>
        </w:tc>
        <w:tc>
          <w:tcPr>
            <w:tcW w:w="4184" w:type="dxa"/>
            <w:vAlign w:val="center"/>
            <w:textDirection w:val="lrTb"/>
            <w:noWrap w:val="false"/>
          </w:tcPr>
          <w:p>
            <w:pPr>
              <w:pStyle w:val="722"/>
              <w:jc w:val="center"/>
              <w:spacing w:before="0" w:beforeAutospacing="0" w:after="0" w:afterAutospacing="0"/>
            </w:pPr>
            <w:r>
              <w:rPr>
                <w:rFonts w:ascii="宋体" w:hAnsi="宋体" w:cs="宋体"/>
                <w:b/>
                <w:bCs/>
                <w:color w:val="000000"/>
                <w:sz w:val="21"/>
              </w:rPr>
              <w:t xml:space="preserve">评分标准和评审材料</w:t>
            </w:r>
            <w:r/>
          </w:p>
        </w:tc>
        <w:tc>
          <w:tcPr>
            <w:tcW w:w="690" w:type="dxa"/>
            <w:vAlign w:val="center"/>
            <w:textDirection w:val="lrTb"/>
            <w:noWrap w:val="false"/>
          </w:tcPr>
          <w:p>
            <w:pPr>
              <w:pStyle w:val="722"/>
              <w:jc w:val="center"/>
              <w:spacing w:before="0" w:beforeAutospacing="0" w:after="0" w:afterAutospacing="0"/>
            </w:pPr>
            <w:r>
              <w:rPr>
                <w:rFonts w:ascii="宋体" w:hAnsi="宋体" w:cs="宋体"/>
                <w:b/>
                <w:bCs/>
                <w:color w:val="000000"/>
                <w:sz w:val="21"/>
              </w:rPr>
              <w:t xml:space="preserve">最低分值</w:t>
            </w:r>
            <w:r/>
          </w:p>
        </w:tc>
        <w:tc>
          <w:tcPr>
            <w:tcMar>
              <w:left w:w="0" w:type="dxa"/>
              <w:right w:w="0" w:type="dxa"/>
            </w:tcMar>
            <w:tcW w:w="645" w:type="dxa"/>
            <w:vAlign w:val="center"/>
            <w:textDirection w:val="lrTb"/>
            <w:noWrap w:val="false"/>
          </w:tcPr>
          <w:p>
            <w:pPr>
              <w:pStyle w:val="722"/>
              <w:jc w:val="center"/>
              <w:spacing w:before="0" w:beforeAutospacing="0" w:after="0" w:afterAutospacing="0"/>
            </w:pPr>
            <w:r>
              <w:rPr>
                <w:rFonts w:ascii="宋体" w:hAnsi="宋体" w:cs="宋体"/>
                <w:b/>
                <w:bCs/>
                <w:color w:val="000000"/>
                <w:sz w:val="21"/>
              </w:rPr>
              <w:t xml:space="preserve">最高分值</w:t>
            </w:r>
            <w:r/>
          </w:p>
        </w:tc>
        <w:tc>
          <w:tcPr>
            <w:tcMar>
              <w:left w:w="0" w:type="dxa"/>
              <w:right w:w="0" w:type="dxa"/>
            </w:tcMar>
            <w:tcW w:w="675" w:type="dxa"/>
            <w:vAlign w:val="center"/>
            <w:textDirection w:val="lrTb"/>
            <w:noWrap w:val="false"/>
          </w:tcPr>
          <w:p>
            <w:pPr>
              <w:pStyle w:val="722"/>
              <w:jc w:val="center"/>
              <w:spacing w:before="0" w:beforeAutospacing="0" w:after="0" w:afterAutospacing="0"/>
            </w:pPr>
            <w:r>
              <w:rPr>
                <w:rFonts w:ascii="宋体" w:hAnsi="宋体" w:cs="宋体"/>
                <w:b/>
                <w:bCs/>
                <w:color w:val="000000"/>
                <w:sz w:val="21"/>
              </w:rPr>
              <w:t xml:space="preserve">是否暗标评审</w:t>
            </w:r>
            <w:r/>
          </w:p>
        </w:tc>
        <w:tc>
          <w:tcPr>
            <w:tcMar>
              <w:left w:w="0" w:type="dxa"/>
              <w:right w:w="0" w:type="dxa"/>
            </w:tcMar>
            <w:tcW w:w="720" w:type="dxa"/>
            <w:vAlign w:val="center"/>
            <w:textDirection w:val="lrTb"/>
            <w:noWrap w:val="false"/>
          </w:tcPr>
          <w:p>
            <w:pPr>
              <w:pStyle w:val="722"/>
              <w:jc w:val="center"/>
              <w:spacing w:before="0" w:beforeAutospacing="0" w:after="0" w:afterAutospacing="0"/>
            </w:pPr>
            <w:r>
              <w:rPr>
                <w:rFonts w:ascii="宋体" w:hAnsi="宋体" w:cs="宋体"/>
                <w:b/>
                <w:bCs/>
                <w:color w:val="000000"/>
                <w:sz w:val="21"/>
              </w:rPr>
              <w:t xml:space="preserve">是否客观分</w:t>
            </w:r>
            <w:r/>
          </w:p>
        </w:tc>
      </w:tr>
      <w:tr>
        <w:trPr>
          <w:tblCellSpacing w:w="0" w:type="dxa"/>
          <w:trHeight w:val="420"/>
        </w:trPr>
        <w:tc>
          <w:tcPr>
            <w:tcMar>
              <w:left w:w="0" w:type="dxa"/>
              <w:right w:w="0" w:type="dxa"/>
            </w:tcMar>
            <w:tcW w:w="764" w:type="dxa"/>
            <w:vAlign w:val="center"/>
            <w:textDirection w:val="lrTb"/>
            <w:noWrap w:val="false"/>
          </w:tcPr>
          <w:p>
            <w:pPr>
              <w:pStyle w:val="722"/>
              <w:jc w:val="center"/>
              <w:spacing w:before="0" w:beforeAutospacing="0" w:after="0" w:afterAutospacing="0"/>
            </w:pPr>
            <w:r>
              <w:rPr>
                <w:rFonts w:ascii="宋体" w:hAnsi="宋体" w:cs="宋体"/>
                <w:b/>
                <w:bCs/>
                <w:color w:val="000000"/>
                <w:sz w:val="20"/>
                <w:szCs w:val="20"/>
              </w:rPr>
              <w:t xml:space="preserve"> </w:t>
            </w:r>
            <w:r/>
          </w:p>
        </w:tc>
        <w:tc>
          <w:tcPr>
            <w:tcW w:w="1293" w:type="dxa"/>
            <w:vAlign w:val="center"/>
            <w:textDirection w:val="lrTb"/>
            <w:noWrap w:val="false"/>
          </w:tcPr>
          <w:p>
            <w:pPr>
              <w:pStyle w:val="722"/>
              <w:jc w:val="center"/>
              <w:spacing w:before="0" w:beforeAutospacing="0" w:after="0" w:afterAutospacing="0"/>
            </w:pPr>
            <w:r>
              <w:rPr>
                <w:rFonts w:ascii="宋体" w:hAnsi="宋体" w:cs="宋体"/>
                <w:b/>
                <w:bCs/>
                <w:color w:val="000000"/>
                <w:sz w:val="20"/>
                <w:szCs w:val="20"/>
              </w:rPr>
              <w:t xml:space="preserve">技术分</w:t>
            </w:r>
            <w:r/>
          </w:p>
          <w:p>
            <w:pPr>
              <w:pStyle w:val="722"/>
              <w:jc w:val="center"/>
              <w:spacing w:before="0" w:beforeAutospacing="0" w:after="0" w:afterAutospacing="0"/>
            </w:pPr>
            <w:r>
              <w:rPr>
                <w:rFonts w:ascii="宋体" w:hAnsi="宋体" w:cs="宋体"/>
                <w:b/>
                <w:bCs/>
                <w:color w:val="000000"/>
                <w:sz w:val="20"/>
                <w:szCs w:val="20"/>
              </w:rPr>
              <w:t xml:space="preserve">（主观分）</w:t>
            </w:r>
            <w:r/>
          </w:p>
        </w:tc>
        <w:tc>
          <w:tcPr>
            <w:tcW w:w="4184" w:type="dxa"/>
            <w:vAlign w:val="center"/>
            <w:textDirection w:val="lrTb"/>
            <w:noWrap w:val="false"/>
          </w:tcPr>
          <w:p>
            <w:pPr>
              <w:pStyle w:val="722"/>
              <w:jc w:val="center"/>
              <w:spacing w:before="0" w:beforeAutospacing="0" w:after="0" w:afterAutospacing="0"/>
            </w:pPr>
            <w:r>
              <w:rPr>
                <w:b/>
                <w:bCs/>
                <w:szCs w:val="24"/>
              </w:rPr>
              <w:t xml:space="preserve">下列</w:t>
            </w:r>
            <w:r>
              <w:rPr>
                <w:rFonts w:hint="eastAsia"/>
                <w:b/>
                <w:bCs/>
                <w:szCs w:val="24"/>
              </w:rPr>
              <w:t xml:space="preserve">主观分</w:t>
            </w:r>
            <w:r>
              <w:rPr>
                <w:b/>
                <w:bCs/>
                <w:szCs w:val="24"/>
              </w:rPr>
              <w:t xml:space="preserve">评分项属于暗标评审项，各投标人（供应商）提供评审材料（含样品）中不能出现投标人（供应商）的名称、标志、标记以及其它能够体现投标人（供应商）的信息，否则所有暗标评审项目均不得分。</w:t>
            </w:r>
            <w:r>
              <w:rPr>
                <w:rFonts w:ascii="宋体" w:hAnsi="宋体" w:cs="宋体"/>
                <w:b/>
                <w:bCs/>
                <w:color w:val="000000"/>
                <w:sz w:val="20"/>
                <w:szCs w:val="20"/>
              </w:rPr>
              <w:t xml:space="preserve"> </w:t>
            </w:r>
            <w:r/>
          </w:p>
        </w:tc>
        <w:tc>
          <w:tcPr>
            <w:tcW w:w="690" w:type="dxa"/>
            <w:vAlign w:val="center"/>
            <w:textDirection w:val="lrTb"/>
            <w:noWrap w:val="false"/>
          </w:tcPr>
          <w:p>
            <w:pPr>
              <w:pStyle w:val="722"/>
              <w:jc w:val="center"/>
              <w:spacing w:before="0" w:beforeAutospacing="0" w:after="0" w:afterAutospacing="0"/>
            </w:pPr>
            <w:r>
              <w:rPr>
                <w:rFonts w:ascii="宋体" w:hAnsi="宋体" w:cs="宋体"/>
                <w:b/>
                <w:bCs/>
                <w:color w:val="000000"/>
                <w:sz w:val="20"/>
                <w:szCs w:val="20"/>
              </w:rPr>
              <w:t xml:space="preserve"> </w:t>
            </w:r>
            <w:r/>
          </w:p>
        </w:tc>
        <w:tc>
          <w:tcPr>
            <w:tcMar>
              <w:left w:w="0" w:type="dxa"/>
              <w:right w:w="0" w:type="dxa"/>
            </w:tcMar>
            <w:tcW w:w="645" w:type="dxa"/>
            <w:vAlign w:val="center"/>
            <w:textDirection w:val="lrTb"/>
            <w:noWrap w:val="false"/>
          </w:tcPr>
          <w:p>
            <w:pPr>
              <w:pStyle w:val="722"/>
              <w:jc w:val="center"/>
              <w:spacing w:before="0" w:beforeAutospacing="0" w:after="0" w:afterAutospacing="0"/>
            </w:pPr>
            <w:r>
              <w:rPr>
                <w:rFonts w:ascii="宋体" w:hAnsi="宋体" w:cs="宋体"/>
                <w:b/>
                <w:bCs/>
                <w:color w:val="000000"/>
                <w:sz w:val="20"/>
                <w:szCs w:val="20"/>
              </w:rPr>
              <w:t xml:space="preserve"> </w:t>
            </w:r>
            <w:r/>
          </w:p>
        </w:tc>
        <w:tc>
          <w:tcPr>
            <w:tcMar>
              <w:left w:w="0" w:type="dxa"/>
              <w:right w:w="0" w:type="dxa"/>
            </w:tcMar>
            <w:tcW w:w="675" w:type="dxa"/>
            <w:vAlign w:val="center"/>
            <w:textDirection w:val="lrTb"/>
            <w:noWrap w:val="false"/>
          </w:tcPr>
          <w:p>
            <w:pPr>
              <w:pStyle w:val="722"/>
              <w:jc w:val="center"/>
              <w:spacing w:before="0" w:beforeAutospacing="0" w:after="0" w:afterAutospacing="0"/>
            </w:pPr>
            <w:r>
              <w:rPr>
                <w:rFonts w:ascii="宋体" w:hAnsi="宋体" w:cs="宋体"/>
                <w:b/>
                <w:bCs/>
                <w:color w:val="000000"/>
                <w:sz w:val="20"/>
                <w:szCs w:val="20"/>
              </w:rPr>
              <w:t xml:space="preserve"> </w:t>
            </w:r>
            <w:r/>
          </w:p>
        </w:tc>
        <w:tc>
          <w:tcPr>
            <w:tcMar>
              <w:left w:w="0" w:type="dxa"/>
              <w:right w:w="0" w:type="dxa"/>
            </w:tcMar>
            <w:tcW w:w="720" w:type="dxa"/>
            <w:vAlign w:val="center"/>
            <w:textDirection w:val="lrTb"/>
            <w:noWrap w:val="false"/>
          </w:tcPr>
          <w:p>
            <w:pPr>
              <w:pStyle w:val="722"/>
              <w:jc w:val="center"/>
              <w:spacing w:before="0" w:beforeAutospacing="0" w:after="0" w:afterAutospacing="0"/>
            </w:pPr>
            <w:r>
              <w:rPr>
                <w:rFonts w:ascii="宋体" w:hAnsi="宋体" w:cs="宋体"/>
                <w:b/>
                <w:bCs/>
                <w:color w:val="000000"/>
                <w:sz w:val="20"/>
                <w:szCs w:val="20"/>
              </w:rPr>
              <w:t xml:space="preserve"> </w:t>
            </w:r>
            <w:r/>
          </w:p>
        </w:tc>
      </w:tr>
      <w:tr>
        <w:trPr>
          <w:tblCellSpacing w:w="0" w:type="dxa"/>
          <w:trHeight w:val="420"/>
        </w:trPr>
        <w:tc>
          <w:tcPr>
            <w:tcMar>
              <w:left w:w="0" w:type="dxa"/>
              <w:right w:w="0" w:type="dxa"/>
            </w:tcMar>
            <w:tcW w:w="764" w:type="dxa"/>
            <w:vAlign w:val="center"/>
            <w:textDirection w:val="lrTb"/>
            <w:noWrap w:val="false"/>
          </w:tcPr>
          <w:p>
            <w:pPr>
              <w:pStyle w:val="722"/>
              <w:jc w:val="center"/>
              <w:spacing w:before="0" w:beforeAutospacing="0" w:after="0" w:afterAutospacing="0"/>
            </w:pPr>
            <w:r>
              <w:rPr>
                <w:rFonts w:ascii="宋体" w:hAnsi="宋体" w:cs="宋体"/>
                <w:b/>
                <w:bCs/>
                <w:color w:val="000000"/>
                <w:sz w:val="20"/>
                <w:szCs w:val="20"/>
              </w:rPr>
              <w:t xml:space="preserve">2.1</w:t>
            </w:r>
            <w:r/>
          </w:p>
        </w:tc>
        <w:tc>
          <w:tcPr>
            <w:tcW w:w="1293" w:type="dxa"/>
            <w:vAlign w:val="center"/>
            <w:textDirection w:val="lrTb"/>
            <w:noWrap w:val="false"/>
          </w:tcPr>
          <w:p>
            <w:pPr>
              <w:jc w:val="center"/>
            </w:pPr>
            <w:r>
              <w:rPr>
                <w:rFonts w:hint="eastAsia" w:ascii="宋体" w:hAnsi="宋体" w:cs="宋体"/>
                <w:lang w:bidi="ar"/>
              </w:rPr>
              <w:t xml:space="preserve">需求理解方案</w:t>
            </w:r>
            <w:r/>
          </w:p>
        </w:tc>
        <w:tc>
          <w:tcPr>
            <w:tcW w:w="4184" w:type="dxa"/>
            <w:vAlign w:val="center"/>
            <w:textDirection w:val="lrTb"/>
            <w:noWrap w:val="false"/>
          </w:tcPr>
          <w:p>
            <w:pPr>
              <w:rPr>
                <w:rFonts w:hint="eastAsia" w:ascii="宋体" w:hAnsi="宋体" w:cs="宋体"/>
              </w:rPr>
            </w:pPr>
            <w:r>
              <w:rPr>
                <w:rFonts w:hint="eastAsia" w:ascii="宋体" w:hAnsi="宋体" w:cs="宋体"/>
              </w:rPr>
              <w:t xml:space="preserve">供应商对拟开展运维服务系统的了解情况，包含但不限于项目背景、系统现状、需求分析等，由评委进行综合打分。</w:t>
            </w:r>
            <w:r/>
          </w:p>
          <w:p>
            <w:pPr>
              <w:rPr>
                <w:rFonts w:hint="eastAsia" w:ascii="宋体" w:hAnsi="宋体" w:cs="宋体"/>
              </w:rPr>
            </w:pPr>
            <w:r>
              <w:rPr>
                <w:rFonts w:hint="eastAsia" w:ascii="宋体" w:hAnsi="宋体" w:cs="宋体"/>
              </w:rPr>
              <w:t xml:space="preserve">1、</w:t>
            </w:r>
            <w:r>
              <w:rPr>
                <w:rFonts w:hint="eastAsia" w:ascii="宋体" w:hAnsi="宋体" w:cs="宋体"/>
                <w:lang w:bidi="ar"/>
              </w:rPr>
              <w:t xml:space="preserve">供应商</w:t>
            </w:r>
            <w:r>
              <w:rPr>
                <w:rFonts w:hint="eastAsia"/>
              </w:rPr>
              <w:t xml:space="preserve">能</w:t>
            </w:r>
            <w:r>
              <w:rPr>
                <w:rFonts w:hint="eastAsia" w:ascii="宋体" w:hAnsi="宋体" w:cs="宋体"/>
              </w:rPr>
              <w:t xml:space="preserve">全面分析系统现状、运维要求等内容，对于本项目背景及需求理解深刻，得8分；</w:t>
            </w:r>
            <w:r/>
          </w:p>
          <w:p>
            <w:pPr>
              <w:rPr>
                <w:rFonts w:hint="eastAsia" w:ascii="宋体" w:hAnsi="宋体" w:cs="宋体"/>
              </w:rPr>
            </w:pPr>
            <w:r>
              <w:rPr>
                <w:rFonts w:hint="eastAsia" w:ascii="宋体" w:hAnsi="宋体" w:cs="宋体"/>
              </w:rPr>
              <w:t xml:space="preserve">2、</w:t>
            </w:r>
            <w:r>
              <w:rPr>
                <w:rFonts w:hint="eastAsia" w:ascii="宋体" w:hAnsi="宋体" w:cs="宋体"/>
                <w:lang w:bidi="ar"/>
              </w:rPr>
              <w:t xml:space="preserve">供应商</w:t>
            </w:r>
            <w:r>
              <w:rPr>
                <w:rFonts w:hint="eastAsia" w:ascii="宋体" w:hAnsi="宋体" w:cs="宋体"/>
                <w:color w:val="000000"/>
              </w:rPr>
              <w:t xml:space="preserve">能较全面分析系统现状、运维要求等内容，对本项目背景及需求理解基本到位</w:t>
            </w:r>
            <w:r>
              <w:rPr>
                <w:rFonts w:hint="eastAsia" w:ascii="宋体" w:hAnsi="宋体" w:cs="宋体"/>
              </w:rPr>
              <w:t xml:space="preserve">，得6分；</w:t>
            </w:r>
            <w:r/>
          </w:p>
          <w:p>
            <w:pPr>
              <w:rPr>
                <w:rFonts w:hint="eastAsia" w:ascii="宋体" w:hAnsi="宋体" w:cs="宋体"/>
              </w:rPr>
            </w:pPr>
            <w:r>
              <w:rPr>
                <w:rFonts w:hint="eastAsia" w:ascii="宋体" w:hAnsi="宋体" w:cs="宋体"/>
              </w:rPr>
              <w:t xml:space="preserve">3、</w:t>
            </w:r>
            <w:r>
              <w:rPr>
                <w:rFonts w:hint="eastAsia" w:ascii="宋体" w:hAnsi="宋体" w:cs="宋体"/>
                <w:lang w:bidi="ar"/>
              </w:rPr>
              <w:t xml:space="preserve">供应商</w:t>
            </w:r>
            <w:r>
              <w:rPr>
                <w:rFonts w:hint="eastAsia" w:ascii="宋体" w:hAnsi="宋体" w:cs="宋体"/>
                <w:color w:val="000000"/>
              </w:rPr>
              <w:t xml:space="preserve">对系统现状、运维要求等背景及需求理解略有偏差，</w:t>
            </w:r>
            <w:r>
              <w:rPr>
                <w:rFonts w:hint="eastAsia" w:ascii="宋体" w:hAnsi="宋体" w:cs="宋体"/>
              </w:rPr>
              <w:t xml:space="preserve">得4分；</w:t>
            </w:r>
            <w:r/>
          </w:p>
          <w:p>
            <w:r>
              <w:rPr>
                <w:rFonts w:hint="eastAsia" w:ascii="宋体" w:hAnsi="宋体" w:cs="宋体"/>
              </w:rPr>
              <w:t xml:space="preserve">4、</w:t>
            </w:r>
            <w:r>
              <w:rPr>
                <w:rFonts w:hint="eastAsia" w:ascii="宋体" w:hAnsi="宋体" w:cs="宋体"/>
                <w:lang w:bidi="ar"/>
              </w:rPr>
              <w:t xml:space="preserve">未提供方案本项不得分。</w:t>
            </w:r>
            <w:r/>
          </w:p>
        </w:tc>
        <w:tc>
          <w:tcPr>
            <w:tcW w:w="690" w:type="dxa"/>
            <w:vAlign w:val="center"/>
            <w:textDirection w:val="lrTb"/>
            <w:noWrap w:val="false"/>
          </w:tcPr>
          <w:p>
            <w:pPr>
              <w:jc w:val="center"/>
            </w:pPr>
            <w:r>
              <w:rPr>
                <w:rFonts w:hint="eastAsia" w:ascii="宋体" w:hAnsi="宋体" w:cs="宋体"/>
                <w:b/>
                <w:sz w:val="20"/>
              </w:rPr>
              <w:t xml:space="preserve">0</w:t>
            </w:r>
            <w:r/>
          </w:p>
        </w:tc>
        <w:tc>
          <w:tcPr>
            <w:tcMar>
              <w:left w:w="0" w:type="dxa"/>
              <w:right w:w="0" w:type="dxa"/>
            </w:tcMar>
            <w:tcW w:w="645" w:type="dxa"/>
            <w:vAlign w:val="center"/>
            <w:textDirection w:val="lrTb"/>
            <w:noWrap w:val="false"/>
          </w:tcPr>
          <w:p>
            <w:pPr>
              <w:jc w:val="center"/>
            </w:pPr>
            <w:r>
              <w:rPr>
                <w:rFonts w:hint="eastAsia" w:ascii="宋体" w:hAnsi="宋体" w:cs="宋体"/>
                <w:b/>
                <w:sz w:val="20"/>
              </w:rPr>
              <w:t xml:space="preserve">8</w:t>
            </w:r>
            <w:r/>
          </w:p>
        </w:tc>
        <w:tc>
          <w:tcPr>
            <w:tcMar>
              <w:left w:w="0" w:type="dxa"/>
              <w:right w:w="0" w:type="dxa"/>
            </w:tcMar>
            <w:tcW w:w="675" w:type="dxa"/>
            <w:vAlign w:val="center"/>
            <w:textDirection w:val="lrTb"/>
            <w:noWrap w:val="false"/>
          </w:tcPr>
          <w:p>
            <w:pPr>
              <w:jc w:val="center"/>
            </w:pPr>
            <w:r>
              <w:rPr>
                <w:rFonts w:hint="eastAsia"/>
              </w:rPr>
              <w:t xml:space="preserve">是</w:t>
            </w:r>
            <w:r/>
          </w:p>
        </w:tc>
        <w:tc>
          <w:tcPr>
            <w:tcMar>
              <w:left w:w="0" w:type="dxa"/>
              <w:right w:w="0" w:type="dxa"/>
            </w:tcMar>
            <w:tcW w:w="720" w:type="dxa"/>
            <w:vAlign w:val="center"/>
            <w:textDirection w:val="lrTb"/>
            <w:noWrap w:val="false"/>
          </w:tcPr>
          <w:p>
            <w:pPr>
              <w:jc w:val="center"/>
            </w:pPr>
            <w:r>
              <w:rPr>
                <w:rFonts w:hint="eastAsia"/>
              </w:rPr>
              <w:t xml:space="preserve">否</w:t>
            </w:r>
            <w:r/>
          </w:p>
        </w:tc>
      </w:tr>
      <w:tr>
        <w:trPr>
          <w:tblCellSpacing w:w="0" w:type="dxa"/>
          <w:trHeight w:val="420"/>
        </w:trPr>
        <w:tc>
          <w:tcPr>
            <w:tcMar>
              <w:left w:w="0" w:type="dxa"/>
              <w:right w:w="0" w:type="dxa"/>
            </w:tcMar>
            <w:tcW w:w="764" w:type="dxa"/>
            <w:vAlign w:val="center"/>
            <w:textDirection w:val="lrTb"/>
            <w:noWrap w:val="false"/>
          </w:tcPr>
          <w:p>
            <w:pPr>
              <w:pStyle w:val="722"/>
              <w:jc w:val="center"/>
              <w:spacing w:before="0" w:beforeAutospacing="0" w:after="0" w:afterAutospacing="0"/>
            </w:pPr>
            <w:r>
              <w:rPr>
                <w:rFonts w:hint="eastAsia" w:ascii="宋体" w:hAnsi="宋体" w:cs="宋体"/>
                <w:b/>
                <w:bCs/>
                <w:color w:val="000000"/>
                <w:sz w:val="20"/>
                <w:szCs w:val="20"/>
              </w:rPr>
              <w:t xml:space="preserve">2.2</w:t>
            </w:r>
            <w:r/>
          </w:p>
        </w:tc>
        <w:tc>
          <w:tcPr>
            <w:tcW w:w="1293" w:type="dxa"/>
            <w:vAlign w:val="center"/>
            <w:textDirection w:val="lrTb"/>
            <w:noWrap w:val="false"/>
          </w:tcPr>
          <w:p>
            <w:pPr>
              <w:jc w:val="center"/>
            </w:pPr>
            <w:r>
              <w:rPr>
                <w:rFonts w:hint="eastAsia" w:ascii="宋体" w:hAnsi="宋体" w:cs="宋体"/>
                <w:lang w:bidi="ar"/>
              </w:rPr>
              <w:t xml:space="preserve">总体设计方案</w:t>
            </w:r>
            <w:r/>
          </w:p>
        </w:tc>
        <w:tc>
          <w:tcPr>
            <w:tcW w:w="4184" w:type="dxa"/>
            <w:vAlign w:val="center"/>
            <w:textDirection w:val="lrTb"/>
            <w:noWrap w:val="false"/>
          </w:tcPr>
          <w:p>
            <w:pPr>
              <w:rPr>
                <w:rFonts w:hint="eastAsia" w:ascii="宋体" w:hAnsi="宋体" w:cs="宋体"/>
              </w:rPr>
            </w:pPr>
            <w:r>
              <w:rPr>
                <w:rFonts w:hint="eastAsia" w:ascii="宋体" w:hAnsi="宋体" w:cs="宋体"/>
              </w:rPr>
              <w:t xml:space="preserve">供应商提供运维服务工作的总体设计方案，包含但不限于工作目标、工作要求、工作方式等，由评委进行综合打分。</w:t>
            </w:r>
            <w:r/>
          </w:p>
          <w:p>
            <w:pPr>
              <w:rPr>
                <w:rFonts w:hint="eastAsia" w:ascii="宋体" w:hAnsi="宋体" w:cs="宋体"/>
              </w:rPr>
            </w:pPr>
            <w:r>
              <w:rPr>
                <w:rFonts w:hint="eastAsia" w:ascii="宋体" w:hAnsi="宋体" w:cs="宋体"/>
              </w:rPr>
              <w:t xml:space="preserve">1、供应商能够根据采购需求进行规划设计，对运维工作目标、要求、工作方式等分析、设计详细、到位，得8分；</w:t>
            </w:r>
            <w:r/>
          </w:p>
          <w:p>
            <w:pPr>
              <w:rPr>
                <w:rFonts w:hint="eastAsia" w:ascii="宋体" w:hAnsi="宋体" w:cs="宋体"/>
              </w:rPr>
            </w:pPr>
            <w:r>
              <w:rPr>
                <w:rFonts w:hint="eastAsia" w:ascii="宋体" w:hAnsi="宋体" w:cs="宋体"/>
              </w:rPr>
              <w:t xml:space="preserve">2、供应商能够根据采购需求进行规划设计，对运维工作目标、要求、工作方式等分析、设计基本到位，得6分；</w:t>
            </w:r>
            <w:r/>
          </w:p>
          <w:p>
            <w:pPr>
              <w:rPr>
                <w:rFonts w:hint="eastAsia" w:ascii="宋体" w:hAnsi="宋体" w:cs="宋体"/>
              </w:rPr>
            </w:pPr>
            <w:r>
              <w:rPr>
                <w:rFonts w:hint="eastAsia" w:ascii="宋体" w:hAnsi="宋体" w:cs="宋体"/>
              </w:rPr>
              <w:t xml:space="preserve">3、供应商能够根据采购需求进行规划设计，对运维工作目标、要求、工作方式等分析、设计稍有偏差，得4分；</w:t>
            </w:r>
            <w:r/>
          </w:p>
          <w:p>
            <w:r>
              <w:rPr>
                <w:rFonts w:hint="eastAsia" w:ascii="宋体" w:hAnsi="宋体" w:cs="宋体"/>
              </w:rPr>
              <w:t xml:space="preserve">4、未提供方案本项不得分。</w:t>
            </w:r>
            <w:r/>
          </w:p>
        </w:tc>
        <w:tc>
          <w:tcPr>
            <w:tcW w:w="690" w:type="dxa"/>
            <w:vAlign w:val="center"/>
            <w:textDirection w:val="lrTb"/>
            <w:noWrap w:val="false"/>
          </w:tcPr>
          <w:p>
            <w:pPr>
              <w:jc w:val="center"/>
            </w:pPr>
            <w:r>
              <w:rPr>
                <w:rFonts w:hint="eastAsia"/>
                <w:b/>
              </w:rPr>
              <w:t xml:space="preserve">0</w:t>
            </w:r>
            <w:r/>
          </w:p>
        </w:tc>
        <w:tc>
          <w:tcPr>
            <w:tcMar>
              <w:left w:w="0" w:type="dxa"/>
              <w:right w:w="0" w:type="dxa"/>
            </w:tcMar>
            <w:tcW w:w="645" w:type="dxa"/>
            <w:vAlign w:val="center"/>
            <w:textDirection w:val="lrTb"/>
            <w:noWrap w:val="false"/>
          </w:tcPr>
          <w:p>
            <w:pPr>
              <w:jc w:val="center"/>
            </w:pPr>
            <w:r>
              <w:rPr>
                <w:rFonts w:hint="eastAsia"/>
                <w:b/>
              </w:rPr>
              <w:t xml:space="preserve">8</w:t>
            </w:r>
            <w:r/>
          </w:p>
        </w:tc>
        <w:tc>
          <w:tcPr>
            <w:tcMar>
              <w:left w:w="0" w:type="dxa"/>
              <w:right w:w="0" w:type="dxa"/>
            </w:tcMar>
            <w:tcW w:w="675" w:type="dxa"/>
            <w:vAlign w:val="center"/>
            <w:textDirection w:val="lrTb"/>
            <w:noWrap w:val="false"/>
          </w:tcPr>
          <w:p>
            <w:pPr>
              <w:jc w:val="center"/>
            </w:pPr>
            <w:r>
              <w:rPr>
                <w:rFonts w:hint="eastAsia"/>
              </w:rPr>
              <w:t xml:space="preserve">是</w:t>
            </w:r>
            <w:r/>
          </w:p>
        </w:tc>
        <w:tc>
          <w:tcPr>
            <w:tcMar>
              <w:left w:w="0" w:type="dxa"/>
              <w:right w:w="0" w:type="dxa"/>
            </w:tcMar>
            <w:tcW w:w="720" w:type="dxa"/>
            <w:vAlign w:val="center"/>
            <w:textDirection w:val="lrTb"/>
            <w:noWrap w:val="false"/>
          </w:tcPr>
          <w:p>
            <w:pPr>
              <w:jc w:val="center"/>
            </w:pPr>
            <w:r>
              <w:rPr>
                <w:rFonts w:hint="eastAsia"/>
              </w:rPr>
              <w:t xml:space="preserve">否</w:t>
            </w:r>
            <w:r/>
          </w:p>
        </w:tc>
      </w:tr>
      <w:tr>
        <w:trPr>
          <w:tblCellSpacing w:w="0" w:type="dxa"/>
          <w:trHeight w:val="420"/>
        </w:trPr>
        <w:tc>
          <w:tcPr>
            <w:tcMar>
              <w:left w:w="0" w:type="dxa"/>
              <w:right w:w="0" w:type="dxa"/>
            </w:tcMar>
            <w:tcW w:w="764"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2.3</w:t>
            </w:r>
            <w:r/>
          </w:p>
        </w:tc>
        <w:tc>
          <w:tcPr>
            <w:tcW w:w="1293" w:type="dxa"/>
            <w:vAlign w:val="center"/>
            <w:textDirection w:val="lrTb"/>
            <w:noWrap w:val="false"/>
          </w:tcPr>
          <w:p>
            <w:pPr>
              <w:jc w:val="center"/>
              <w:rPr>
                <w:rFonts w:hint="eastAsia" w:ascii="宋体" w:hAnsi="宋体" w:cs="宋体"/>
                <w:b/>
                <w:bCs/>
                <w:color w:val="000000"/>
                <w:sz w:val="20"/>
                <w:szCs w:val="20"/>
              </w:rPr>
            </w:pPr>
            <w:r>
              <w:rPr>
                <w:rFonts w:hint="eastAsia" w:ascii="宋体" w:hAnsi="宋体" w:cs="宋体"/>
              </w:rPr>
              <w:t xml:space="preserve">维护服务方案</w:t>
            </w:r>
            <w:r/>
          </w:p>
        </w:tc>
        <w:tc>
          <w:tcPr>
            <w:tcW w:w="4184" w:type="dxa"/>
            <w:vAlign w:val="center"/>
            <w:textDirection w:val="lrTb"/>
            <w:noWrap w:val="false"/>
          </w:tcPr>
          <w:p>
            <w:pPr>
              <w:rPr>
                <w:rFonts w:hint="eastAsia" w:ascii="宋体" w:hAnsi="宋体" w:cs="宋体"/>
              </w:rPr>
            </w:pPr>
            <w:r>
              <w:rPr>
                <w:rFonts w:hint="eastAsia" w:ascii="宋体" w:hAnsi="宋体" w:cs="宋体"/>
              </w:rPr>
              <w:t xml:space="preserve">供应商提供本项目的维护服务方案，包括“一网通办”运维、公共支撑运维、系统对接运维以及信息安全运维，评委根据方案的专业性、针对性、可行性等情况综合打分。</w:t>
            </w:r>
            <w:r/>
          </w:p>
          <w:p>
            <w:pPr>
              <w:rPr>
                <w:rFonts w:hint="eastAsia" w:ascii="宋体" w:hAnsi="宋体" w:cs="宋体"/>
              </w:rPr>
            </w:pPr>
            <w:r>
              <w:rPr>
                <w:rFonts w:hint="eastAsia" w:ascii="宋体" w:hAnsi="宋体" w:cs="宋体"/>
              </w:rPr>
              <w:t xml:space="preserve">1、供应商能够根据采购需求提供详细内容描述，方案详尽，措施科学合理，可行性强，能提供智能客服产生的服务数据示例、智能预审审查要点示例、政务服务指标分析数据字段示例的，得10分；</w:t>
            </w:r>
            <w:r/>
          </w:p>
          <w:p>
            <w:pPr>
              <w:rPr>
                <w:rFonts w:hint="eastAsia" w:ascii="宋体" w:hAnsi="宋体" w:cs="宋体"/>
              </w:rPr>
            </w:pPr>
            <w:r>
              <w:rPr>
                <w:rFonts w:hint="eastAsia" w:ascii="宋体" w:hAnsi="宋体" w:cs="宋体"/>
              </w:rPr>
              <w:t xml:space="preserve">2、供应商能够根据采购需求提供详细内容描述，方案完整，措施合理，可行性较强，得8分；</w:t>
            </w:r>
            <w:r/>
          </w:p>
          <w:p>
            <w:pPr>
              <w:rPr>
                <w:rFonts w:hint="eastAsia" w:ascii="宋体" w:hAnsi="宋体" w:cs="宋体"/>
              </w:rPr>
            </w:pPr>
            <w:r>
              <w:rPr>
                <w:rFonts w:hint="eastAsia" w:ascii="宋体" w:hAnsi="宋体" w:cs="宋体"/>
              </w:rPr>
              <w:t xml:space="preserve">3、供应商能够根据采购需求提供详细内容描述，方案简单，措施及可行性一般，得6分；</w:t>
            </w:r>
            <w:r/>
          </w:p>
          <w:p>
            <w:pPr>
              <w:rPr>
                <w:rFonts w:hint="eastAsia" w:ascii="宋体" w:hAnsi="宋体" w:cs="宋体"/>
                <w:b/>
                <w:bCs/>
                <w:color w:val="000000"/>
                <w:sz w:val="20"/>
                <w:szCs w:val="20"/>
              </w:rPr>
            </w:pPr>
            <w:r>
              <w:rPr>
                <w:rFonts w:hint="eastAsia" w:ascii="宋体" w:hAnsi="宋体" w:cs="宋体"/>
              </w:rPr>
              <w:t xml:space="preserve">4、</w:t>
            </w:r>
            <w:r>
              <w:rPr>
                <w:rFonts w:hint="eastAsia" w:ascii="宋体" w:hAnsi="宋体" w:cs="宋体"/>
                <w:lang w:bidi="ar"/>
              </w:rPr>
              <w:t xml:space="preserve">未提供方案本项不得分。</w:t>
            </w:r>
            <w:r/>
          </w:p>
        </w:tc>
        <w:tc>
          <w:tcPr>
            <w:tcW w:w="690" w:type="dxa"/>
            <w:vAlign w:val="center"/>
            <w:textDirection w:val="lrTb"/>
            <w:noWrap w:val="false"/>
          </w:tcPr>
          <w:p>
            <w:pPr>
              <w:jc w:val="center"/>
              <w:rPr>
                <w:rFonts w:hint="eastAsia" w:ascii="宋体" w:hAnsi="宋体" w:cs="宋体"/>
                <w:b/>
                <w:bCs/>
                <w:color w:val="000000"/>
                <w:sz w:val="20"/>
                <w:szCs w:val="20"/>
              </w:rPr>
            </w:pPr>
            <w:r>
              <w:rPr>
                <w:rFonts w:hint="eastAsia"/>
                <w:b/>
              </w:rPr>
              <w:t xml:space="preserve">0</w:t>
            </w:r>
            <w:r/>
          </w:p>
        </w:tc>
        <w:tc>
          <w:tcPr>
            <w:tcMar>
              <w:left w:w="0" w:type="dxa"/>
              <w:right w:w="0" w:type="dxa"/>
            </w:tcMar>
            <w:tcW w:w="645" w:type="dxa"/>
            <w:vAlign w:val="center"/>
            <w:textDirection w:val="lrTb"/>
            <w:noWrap w:val="false"/>
          </w:tcPr>
          <w:p>
            <w:pPr>
              <w:jc w:val="center"/>
              <w:rPr>
                <w:rFonts w:hint="eastAsia" w:ascii="宋体" w:hAnsi="宋体" w:cs="宋体"/>
                <w:b/>
                <w:bCs/>
                <w:color w:val="000000"/>
                <w:sz w:val="20"/>
                <w:szCs w:val="20"/>
              </w:rPr>
            </w:pPr>
            <w:r>
              <w:rPr>
                <w:rFonts w:hint="eastAsia"/>
                <w:b/>
              </w:rPr>
              <w:t xml:space="preserve">10</w:t>
            </w:r>
            <w:r/>
          </w:p>
        </w:tc>
        <w:tc>
          <w:tcPr>
            <w:tcMar>
              <w:left w:w="0" w:type="dxa"/>
              <w:right w:w="0" w:type="dxa"/>
            </w:tcMar>
            <w:tcW w:w="675" w:type="dxa"/>
            <w:vAlign w:val="center"/>
            <w:textDirection w:val="lrTb"/>
            <w:noWrap w:val="false"/>
          </w:tcPr>
          <w:p>
            <w:pPr>
              <w:jc w:val="center"/>
              <w:rPr>
                <w:rFonts w:hint="eastAsia" w:ascii="宋体" w:hAnsi="宋体" w:cs="宋体"/>
                <w:b/>
                <w:bCs/>
                <w:color w:val="000000"/>
                <w:sz w:val="20"/>
                <w:szCs w:val="20"/>
              </w:rPr>
            </w:pPr>
            <w:r>
              <w:rPr>
                <w:rFonts w:hint="eastAsia"/>
              </w:rPr>
              <w:t xml:space="preserve">是</w:t>
            </w:r>
            <w:r/>
          </w:p>
        </w:tc>
        <w:tc>
          <w:tcPr>
            <w:tcMar>
              <w:left w:w="0" w:type="dxa"/>
              <w:right w:w="0" w:type="dxa"/>
            </w:tcMar>
            <w:tcW w:w="720" w:type="dxa"/>
            <w:vAlign w:val="center"/>
            <w:textDirection w:val="lrTb"/>
            <w:noWrap w:val="false"/>
          </w:tcPr>
          <w:p>
            <w:pPr>
              <w:jc w:val="center"/>
              <w:rPr>
                <w:rFonts w:hint="eastAsia" w:ascii="宋体" w:hAnsi="宋体" w:cs="宋体"/>
                <w:b/>
                <w:bCs/>
                <w:color w:val="000000"/>
                <w:sz w:val="20"/>
                <w:szCs w:val="20"/>
              </w:rPr>
            </w:pPr>
            <w:r>
              <w:rPr>
                <w:rFonts w:hint="eastAsia"/>
              </w:rPr>
              <w:t xml:space="preserve">否</w:t>
            </w:r>
            <w:r/>
          </w:p>
        </w:tc>
      </w:tr>
      <w:tr>
        <w:trPr>
          <w:tblCellSpacing w:w="0" w:type="dxa"/>
          <w:trHeight w:val="420"/>
        </w:trPr>
        <w:tc>
          <w:tcPr>
            <w:tcMar>
              <w:left w:w="0" w:type="dxa"/>
              <w:right w:w="0" w:type="dxa"/>
            </w:tcMar>
            <w:tcW w:w="764"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2.4</w:t>
            </w:r>
            <w:r/>
          </w:p>
        </w:tc>
        <w:tc>
          <w:tcPr>
            <w:tcW w:w="1293" w:type="dxa"/>
            <w:vAlign w:val="center"/>
            <w:textDirection w:val="lrTb"/>
            <w:noWrap w:val="false"/>
          </w:tcPr>
          <w:p>
            <w:pPr>
              <w:jc w:val="center"/>
              <w:rPr>
                <w:rFonts w:hint="eastAsia" w:ascii="宋体" w:hAnsi="宋体" w:cs="宋体"/>
                <w:b/>
                <w:bCs/>
                <w:color w:val="000000"/>
                <w:sz w:val="20"/>
                <w:szCs w:val="20"/>
              </w:rPr>
            </w:pPr>
            <w:r>
              <w:rPr>
                <w:rFonts w:hint="eastAsia" w:ascii="宋体" w:hAnsi="宋体" w:cs="宋体"/>
              </w:rPr>
              <w:t xml:space="preserve">应急保障方案</w:t>
            </w:r>
            <w:r/>
          </w:p>
        </w:tc>
        <w:tc>
          <w:tcPr>
            <w:tcW w:w="4184" w:type="dxa"/>
            <w:vAlign w:val="center"/>
            <w:textDirection w:val="lrTb"/>
            <w:noWrap w:val="false"/>
          </w:tcPr>
          <w:p>
            <w:pPr>
              <w:rPr>
                <w:rFonts w:hint="eastAsia" w:ascii="宋体" w:hAnsi="宋体" w:cs="宋体"/>
              </w:rPr>
            </w:pPr>
            <w:r>
              <w:rPr>
                <w:rFonts w:hint="eastAsia" w:ascii="宋体" w:hAnsi="宋体" w:cs="宋体"/>
              </w:rPr>
              <w:t xml:space="preserve">供应商提供面对突发情况得应急处置预案及应急响应保障方案，由评委进行综合打分。</w:t>
            </w:r>
            <w:r/>
          </w:p>
          <w:p>
            <w:pPr>
              <w:rPr>
                <w:rFonts w:hint="eastAsia" w:ascii="宋体" w:hAnsi="宋体" w:cs="宋体"/>
              </w:rPr>
            </w:pPr>
            <w:r>
              <w:rPr>
                <w:rFonts w:hint="eastAsia" w:ascii="宋体" w:hAnsi="宋体" w:cs="宋体"/>
              </w:rPr>
              <w:t xml:space="preserve">1、供应商提供的应急处置预案及应急响应保障方案详尽，措施科学合理，可行性强，得8分；</w:t>
            </w:r>
            <w:r/>
          </w:p>
          <w:p>
            <w:pPr>
              <w:rPr>
                <w:rFonts w:hint="eastAsia" w:ascii="宋体" w:hAnsi="宋体" w:cs="宋体"/>
              </w:rPr>
            </w:pPr>
            <w:r>
              <w:rPr>
                <w:rFonts w:hint="eastAsia" w:ascii="宋体" w:hAnsi="宋体" w:cs="宋体"/>
              </w:rPr>
              <w:t xml:space="preserve">2、供应商提供的预案及方案完整，措施合理，可行性较强，得6分；</w:t>
            </w:r>
            <w:r/>
          </w:p>
          <w:p>
            <w:pPr>
              <w:rPr>
                <w:rFonts w:hint="eastAsia" w:ascii="宋体" w:hAnsi="宋体" w:cs="宋体"/>
              </w:rPr>
            </w:pPr>
            <w:r>
              <w:rPr>
                <w:rFonts w:hint="eastAsia" w:ascii="宋体" w:hAnsi="宋体" w:cs="宋体"/>
              </w:rPr>
              <w:t xml:space="preserve">3、供应商提供的预案及方案简单，可行性一般，得4分；</w:t>
            </w:r>
            <w:r/>
          </w:p>
          <w:p>
            <w:pPr>
              <w:rPr>
                <w:rFonts w:hint="eastAsia" w:ascii="宋体" w:hAnsi="宋体" w:cs="宋体"/>
                <w:b/>
                <w:bCs/>
                <w:color w:val="000000"/>
                <w:sz w:val="20"/>
                <w:szCs w:val="20"/>
              </w:rPr>
            </w:pPr>
            <w:r>
              <w:rPr>
                <w:rFonts w:hint="eastAsia" w:ascii="宋体" w:hAnsi="宋体" w:cs="宋体"/>
              </w:rPr>
              <w:t xml:space="preserve">4、未提供方案本项不得分。</w:t>
            </w:r>
            <w:r/>
          </w:p>
        </w:tc>
        <w:tc>
          <w:tcPr>
            <w:tcW w:w="690" w:type="dxa"/>
            <w:vAlign w:val="center"/>
            <w:textDirection w:val="lrTb"/>
            <w:noWrap w:val="false"/>
          </w:tcPr>
          <w:p>
            <w:pPr>
              <w:jc w:val="center"/>
              <w:rPr>
                <w:rFonts w:hint="eastAsia" w:ascii="宋体" w:hAnsi="宋体" w:cs="宋体"/>
                <w:b/>
                <w:bCs/>
                <w:color w:val="000000"/>
                <w:sz w:val="20"/>
                <w:szCs w:val="20"/>
              </w:rPr>
            </w:pPr>
            <w:r>
              <w:rPr>
                <w:rFonts w:hint="eastAsia" w:ascii="宋体" w:hAnsi="宋体" w:cs="宋体"/>
                <w:b/>
                <w:sz w:val="20"/>
              </w:rPr>
              <w:t xml:space="preserve">0</w:t>
            </w:r>
            <w:r/>
          </w:p>
        </w:tc>
        <w:tc>
          <w:tcPr>
            <w:tcMar>
              <w:left w:w="0" w:type="dxa"/>
              <w:right w:w="0" w:type="dxa"/>
            </w:tcMar>
            <w:tcW w:w="645" w:type="dxa"/>
            <w:vAlign w:val="center"/>
            <w:textDirection w:val="lrTb"/>
            <w:noWrap w:val="false"/>
          </w:tcPr>
          <w:p>
            <w:pPr>
              <w:jc w:val="center"/>
              <w:rPr>
                <w:rFonts w:hint="eastAsia" w:ascii="宋体" w:hAnsi="宋体" w:cs="宋体"/>
                <w:b/>
                <w:bCs/>
                <w:color w:val="000000"/>
                <w:sz w:val="20"/>
                <w:szCs w:val="20"/>
              </w:rPr>
            </w:pPr>
            <w:r>
              <w:rPr>
                <w:rFonts w:hint="eastAsia" w:ascii="宋体" w:hAnsi="宋体" w:cs="宋体"/>
                <w:b/>
                <w:sz w:val="20"/>
              </w:rPr>
              <w:t xml:space="preserve">8</w:t>
            </w:r>
            <w:r/>
          </w:p>
        </w:tc>
        <w:tc>
          <w:tcPr>
            <w:tcMar>
              <w:left w:w="0" w:type="dxa"/>
              <w:right w:w="0" w:type="dxa"/>
            </w:tcMar>
            <w:tcW w:w="675" w:type="dxa"/>
            <w:vAlign w:val="center"/>
            <w:textDirection w:val="lrTb"/>
            <w:noWrap w:val="false"/>
          </w:tcPr>
          <w:p>
            <w:pPr>
              <w:jc w:val="center"/>
              <w:rPr>
                <w:rFonts w:hint="eastAsia" w:ascii="宋体" w:hAnsi="宋体" w:cs="宋体"/>
                <w:b/>
                <w:bCs/>
                <w:color w:val="000000"/>
                <w:sz w:val="20"/>
                <w:szCs w:val="20"/>
              </w:rPr>
            </w:pPr>
            <w:r>
              <w:rPr>
                <w:rFonts w:hint="eastAsia"/>
              </w:rPr>
              <w:t xml:space="preserve">是</w:t>
            </w:r>
            <w:r/>
          </w:p>
        </w:tc>
        <w:tc>
          <w:tcPr>
            <w:tcMar>
              <w:left w:w="0" w:type="dxa"/>
              <w:right w:w="0" w:type="dxa"/>
            </w:tcMar>
            <w:tcW w:w="720" w:type="dxa"/>
            <w:vAlign w:val="center"/>
            <w:textDirection w:val="lrTb"/>
            <w:noWrap w:val="false"/>
          </w:tcPr>
          <w:p>
            <w:pPr>
              <w:jc w:val="center"/>
              <w:rPr>
                <w:rFonts w:hint="eastAsia" w:ascii="宋体" w:hAnsi="宋体" w:cs="宋体"/>
                <w:b/>
                <w:bCs/>
                <w:color w:val="000000"/>
                <w:sz w:val="20"/>
                <w:szCs w:val="20"/>
              </w:rPr>
            </w:pPr>
            <w:r>
              <w:rPr>
                <w:rFonts w:hint="eastAsia"/>
              </w:rPr>
              <w:t xml:space="preserve">否</w:t>
            </w:r>
            <w:r/>
          </w:p>
        </w:tc>
      </w:tr>
      <w:tr>
        <w:trPr>
          <w:tblCellSpacing w:w="0" w:type="dxa"/>
          <w:trHeight w:val="420"/>
        </w:trPr>
        <w:tc>
          <w:tcPr>
            <w:tcMar>
              <w:left w:w="0" w:type="dxa"/>
              <w:right w:w="0" w:type="dxa"/>
            </w:tcMar>
            <w:tcW w:w="764"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2.5</w:t>
            </w:r>
            <w:r/>
          </w:p>
        </w:tc>
        <w:tc>
          <w:tcPr>
            <w:tcW w:w="1293" w:type="dxa"/>
            <w:vAlign w:val="center"/>
            <w:textDirection w:val="lrTb"/>
            <w:noWrap w:val="false"/>
          </w:tcPr>
          <w:p>
            <w:pPr>
              <w:jc w:val="center"/>
              <w:rPr>
                <w:rFonts w:hint="eastAsia" w:ascii="宋体" w:hAnsi="宋体" w:cs="宋体"/>
                <w:b/>
                <w:bCs/>
                <w:color w:val="000000"/>
                <w:sz w:val="20"/>
                <w:szCs w:val="20"/>
              </w:rPr>
            </w:pPr>
            <w:r>
              <w:rPr>
                <w:rFonts w:hint="eastAsia" w:ascii="宋体" w:hAnsi="宋体" w:cs="宋体"/>
              </w:rPr>
              <w:t xml:space="preserve">技术培训方案</w:t>
            </w:r>
            <w:r/>
          </w:p>
        </w:tc>
        <w:tc>
          <w:tcPr>
            <w:tcW w:w="4184" w:type="dxa"/>
            <w:vAlign w:val="center"/>
            <w:textDirection w:val="lrTb"/>
            <w:noWrap w:val="false"/>
          </w:tcPr>
          <w:p>
            <w:pPr>
              <w:rPr>
                <w:rFonts w:hint="eastAsia" w:ascii="宋体" w:hAnsi="宋体" w:cs="宋体"/>
              </w:rPr>
            </w:pPr>
            <w:r>
              <w:rPr>
                <w:rFonts w:hint="eastAsia" w:ascii="宋体" w:hAnsi="宋体" w:cs="宋体"/>
              </w:rPr>
              <w:t xml:space="preserve">供应商提供技术培训方案，包含但不限于培训目标、培训内容及培训方式等，由评委进行综合打分。</w:t>
            </w:r>
            <w:r/>
          </w:p>
          <w:p>
            <w:pPr>
              <w:rPr>
                <w:rFonts w:hint="eastAsia" w:ascii="宋体" w:hAnsi="宋体" w:cs="宋体"/>
              </w:rPr>
            </w:pPr>
            <w:r>
              <w:rPr>
                <w:rFonts w:hint="eastAsia" w:ascii="宋体" w:hAnsi="宋体" w:cs="宋体"/>
              </w:rPr>
              <w:t xml:space="preserve">1、供应商提供的培训方案完善性、可行性强，得5分；</w:t>
            </w:r>
            <w:r/>
          </w:p>
          <w:p>
            <w:pPr>
              <w:rPr>
                <w:rFonts w:hint="eastAsia" w:ascii="宋体" w:hAnsi="宋体" w:cs="宋体"/>
              </w:rPr>
            </w:pPr>
            <w:r>
              <w:rPr>
                <w:rFonts w:hint="eastAsia" w:ascii="宋体" w:hAnsi="宋体" w:cs="宋体"/>
              </w:rPr>
              <w:t xml:space="preserve">2、供应商提供的培训方案完善性、可行性较强，得3分；</w:t>
            </w:r>
            <w:r/>
          </w:p>
          <w:p>
            <w:pPr>
              <w:rPr>
                <w:rFonts w:hint="eastAsia" w:ascii="宋体" w:hAnsi="宋体" w:cs="宋体"/>
              </w:rPr>
            </w:pPr>
            <w:r>
              <w:rPr>
                <w:rFonts w:hint="eastAsia" w:ascii="宋体" w:hAnsi="宋体" w:cs="宋体"/>
              </w:rPr>
              <w:t xml:space="preserve">3、供应商提供的培训方案完善性、可行性一般，得1分；</w:t>
            </w:r>
            <w:r/>
          </w:p>
          <w:p>
            <w:pPr>
              <w:rPr>
                <w:rFonts w:hint="eastAsia" w:ascii="宋体" w:hAnsi="宋体" w:cs="宋体"/>
                <w:b/>
                <w:bCs/>
                <w:color w:val="000000"/>
                <w:sz w:val="20"/>
                <w:szCs w:val="20"/>
              </w:rPr>
            </w:pPr>
            <w:r>
              <w:rPr>
                <w:rFonts w:hint="eastAsia" w:ascii="宋体" w:hAnsi="宋体" w:cs="宋体"/>
              </w:rPr>
              <w:t xml:space="preserve">4、未提供方案本项不得分。</w:t>
            </w:r>
            <w:r/>
          </w:p>
        </w:tc>
        <w:tc>
          <w:tcPr>
            <w:tcW w:w="690" w:type="dxa"/>
            <w:vAlign w:val="center"/>
            <w:textDirection w:val="lrTb"/>
            <w:noWrap w:val="false"/>
          </w:tcPr>
          <w:p>
            <w:pPr>
              <w:jc w:val="center"/>
              <w:rPr>
                <w:rFonts w:hint="eastAsia" w:ascii="宋体" w:hAnsi="宋体" w:cs="宋体"/>
                <w:b/>
                <w:bCs/>
                <w:color w:val="000000"/>
                <w:sz w:val="20"/>
                <w:szCs w:val="20"/>
              </w:rPr>
            </w:pPr>
            <w:r>
              <w:rPr>
                <w:rFonts w:hint="eastAsia" w:ascii="宋体" w:hAnsi="宋体" w:cs="宋体"/>
                <w:b/>
                <w:sz w:val="20"/>
              </w:rPr>
              <w:t xml:space="preserve">0</w:t>
            </w:r>
            <w:r/>
          </w:p>
        </w:tc>
        <w:tc>
          <w:tcPr>
            <w:tcMar>
              <w:left w:w="0" w:type="dxa"/>
              <w:right w:w="0" w:type="dxa"/>
            </w:tcMar>
            <w:tcW w:w="645" w:type="dxa"/>
            <w:vAlign w:val="center"/>
            <w:textDirection w:val="lrTb"/>
            <w:noWrap w:val="false"/>
          </w:tcPr>
          <w:p>
            <w:pPr>
              <w:jc w:val="center"/>
              <w:rPr>
                <w:rFonts w:hint="eastAsia" w:ascii="宋体" w:hAnsi="宋体" w:cs="宋体"/>
                <w:b/>
                <w:bCs/>
                <w:color w:val="000000"/>
                <w:sz w:val="20"/>
                <w:szCs w:val="20"/>
              </w:rPr>
            </w:pPr>
            <w:r>
              <w:rPr>
                <w:rFonts w:hint="eastAsia" w:ascii="宋体" w:hAnsi="宋体" w:cs="宋体"/>
                <w:b/>
                <w:sz w:val="20"/>
              </w:rPr>
              <w:t xml:space="preserve">5</w:t>
            </w:r>
            <w:r/>
          </w:p>
        </w:tc>
        <w:tc>
          <w:tcPr>
            <w:tcMar>
              <w:left w:w="0" w:type="dxa"/>
              <w:right w:w="0" w:type="dxa"/>
            </w:tcMar>
            <w:tcW w:w="675" w:type="dxa"/>
            <w:vAlign w:val="center"/>
            <w:textDirection w:val="lrTb"/>
            <w:noWrap w:val="false"/>
          </w:tcPr>
          <w:p>
            <w:pPr>
              <w:jc w:val="center"/>
              <w:rPr>
                <w:rFonts w:hint="eastAsia" w:ascii="宋体" w:hAnsi="宋体" w:cs="宋体"/>
                <w:b/>
                <w:bCs/>
                <w:color w:val="000000"/>
                <w:sz w:val="20"/>
                <w:szCs w:val="20"/>
              </w:rPr>
            </w:pPr>
            <w:r>
              <w:rPr>
                <w:rFonts w:hint="eastAsia"/>
              </w:rPr>
              <w:t xml:space="preserve">是</w:t>
            </w:r>
            <w:r/>
          </w:p>
        </w:tc>
        <w:tc>
          <w:tcPr>
            <w:tcMar>
              <w:left w:w="0" w:type="dxa"/>
              <w:right w:w="0" w:type="dxa"/>
            </w:tcMar>
            <w:tcW w:w="720" w:type="dxa"/>
            <w:vAlign w:val="center"/>
            <w:textDirection w:val="lrTb"/>
            <w:noWrap w:val="false"/>
          </w:tcPr>
          <w:p>
            <w:pPr>
              <w:jc w:val="center"/>
              <w:rPr>
                <w:rFonts w:hint="eastAsia" w:ascii="宋体" w:hAnsi="宋体" w:cs="宋体"/>
                <w:b/>
                <w:bCs/>
                <w:color w:val="000000"/>
                <w:sz w:val="20"/>
                <w:szCs w:val="20"/>
              </w:rPr>
            </w:pPr>
            <w:r>
              <w:rPr>
                <w:rFonts w:hint="eastAsia"/>
              </w:rPr>
              <w:t xml:space="preserve">否</w:t>
            </w:r>
            <w:r/>
          </w:p>
        </w:tc>
      </w:tr>
      <w:tr>
        <w:trPr>
          <w:tblCellSpacing w:w="0" w:type="dxa"/>
          <w:trHeight w:val="420"/>
        </w:trPr>
        <w:tc>
          <w:tcPr>
            <w:tcMar>
              <w:left w:w="0" w:type="dxa"/>
              <w:right w:w="0" w:type="dxa"/>
            </w:tcMar>
            <w:tcW w:w="764" w:type="dxa"/>
            <w:vAlign w:val="center"/>
            <w:textDirection w:val="lrTb"/>
            <w:noWrap w:val="false"/>
          </w:tcPr>
          <w:p>
            <w:pPr>
              <w:pStyle w:val="722"/>
              <w:jc w:val="center"/>
              <w:spacing w:before="0" w:beforeAutospacing="0" w:after="0" w:afterAutospacing="0"/>
            </w:pPr>
            <w:r>
              <w:rPr>
                <w:rFonts w:ascii="宋体" w:hAnsi="宋体" w:cs="宋体"/>
                <w:b/>
                <w:bCs/>
                <w:color w:val="000000"/>
                <w:sz w:val="20"/>
                <w:szCs w:val="20"/>
              </w:rPr>
              <w:t xml:space="preserve"> </w:t>
            </w:r>
            <w:r/>
          </w:p>
        </w:tc>
        <w:tc>
          <w:tcPr>
            <w:tcW w:w="1293" w:type="dxa"/>
            <w:vAlign w:val="center"/>
            <w:textDirection w:val="lrTb"/>
            <w:noWrap w:val="false"/>
          </w:tcPr>
          <w:p>
            <w:pPr>
              <w:pStyle w:val="722"/>
              <w:jc w:val="center"/>
              <w:spacing w:before="0" w:beforeAutospacing="0" w:after="0" w:afterAutospacing="0"/>
            </w:pPr>
            <w:r>
              <w:rPr>
                <w:rFonts w:ascii="宋体" w:hAnsi="宋体" w:cs="宋体"/>
                <w:b/>
                <w:bCs/>
                <w:color w:val="000000"/>
                <w:sz w:val="20"/>
                <w:szCs w:val="20"/>
              </w:rPr>
              <w:t xml:space="preserve">商务分</w:t>
            </w:r>
            <w:r/>
          </w:p>
          <w:p>
            <w:pPr>
              <w:pStyle w:val="722"/>
              <w:jc w:val="center"/>
              <w:spacing w:before="0" w:beforeAutospacing="0" w:after="0" w:afterAutospacing="0"/>
            </w:pPr>
            <w:r>
              <w:rPr>
                <w:rFonts w:ascii="宋体" w:hAnsi="宋体" w:cs="宋体"/>
                <w:b/>
                <w:bCs/>
                <w:color w:val="000000"/>
                <w:sz w:val="20"/>
                <w:szCs w:val="20"/>
              </w:rPr>
              <w:t xml:space="preserve">（客观分）</w:t>
            </w:r>
            <w:r/>
          </w:p>
        </w:tc>
        <w:tc>
          <w:tcPr>
            <w:tcW w:w="4184" w:type="dxa"/>
            <w:vAlign w:val="center"/>
            <w:textDirection w:val="lrTb"/>
            <w:noWrap w:val="false"/>
          </w:tcPr>
          <w:p>
            <w:pPr>
              <w:pStyle w:val="722"/>
              <w:jc w:val="center"/>
              <w:spacing w:before="0" w:beforeAutospacing="0" w:after="0" w:afterAutospacing="0"/>
            </w:pPr>
            <w:r>
              <w:rPr>
                <w:rFonts w:ascii="宋体" w:hAnsi="宋体" w:cs="宋体"/>
                <w:b/>
                <w:bCs/>
                <w:color w:val="000000"/>
                <w:sz w:val="20"/>
                <w:szCs w:val="20"/>
              </w:rPr>
              <w:t xml:space="preserve"> </w:t>
            </w:r>
            <w:r/>
          </w:p>
        </w:tc>
        <w:tc>
          <w:tcPr>
            <w:tcW w:w="690" w:type="dxa"/>
            <w:vAlign w:val="center"/>
            <w:textDirection w:val="lrTb"/>
            <w:noWrap w:val="false"/>
          </w:tcPr>
          <w:p>
            <w:pPr>
              <w:pStyle w:val="722"/>
              <w:jc w:val="center"/>
              <w:spacing w:before="0" w:beforeAutospacing="0" w:after="0" w:afterAutospacing="0"/>
            </w:pPr>
            <w:r>
              <w:rPr>
                <w:rFonts w:ascii="宋体" w:hAnsi="宋体" w:cs="宋体"/>
                <w:b/>
                <w:bCs/>
                <w:color w:val="000000"/>
                <w:sz w:val="20"/>
                <w:szCs w:val="20"/>
              </w:rPr>
              <w:t xml:space="preserve"> </w:t>
            </w:r>
            <w:r/>
          </w:p>
        </w:tc>
        <w:tc>
          <w:tcPr>
            <w:tcMar>
              <w:left w:w="0" w:type="dxa"/>
              <w:right w:w="0" w:type="dxa"/>
            </w:tcMar>
            <w:tcW w:w="645" w:type="dxa"/>
            <w:vAlign w:val="center"/>
            <w:textDirection w:val="lrTb"/>
            <w:noWrap w:val="false"/>
          </w:tcPr>
          <w:p>
            <w:pPr>
              <w:pStyle w:val="722"/>
              <w:jc w:val="center"/>
              <w:spacing w:before="0" w:beforeAutospacing="0" w:after="0" w:afterAutospacing="0"/>
            </w:pPr>
            <w:r>
              <w:rPr>
                <w:rFonts w:ascii="宋体" w:hAnsi="宋体" w:cs="宋体"/>
                <w:b/>
                <w:bCs/>
                <w:color w:val="000000"/>
                <w:sz w:val="20"/>
                <w:szCs w:val="20"/>
              </w:rPr>
              <w:t xml:space="preserve"> </w:t>
            </w:r>
            <w:r/>
          </w:p>
        </w:tc>
        <w:tc>
          <w:tcPr>
            <w:tcMar>
              <w:left w:w="0" w:type="dxa"/>
              <w:right w:w="0" w:type="dxa"/>
            </w:tcMar>
            <w:tcW w:w="675" w:type="dxa"/>
            <w:vAlign w:val="center"/>
            <w:textDirection w:val="lrTb"/>
            <w:noWrap w:val="false"/>
          </w:tcPr>
          <w:p>
            <w:pPr>
              <w:pStyle w:val="722"/>
              <w:jc w:val="center"/>
              <w:spacing w:before="0" w:beforeAutospacing="0" w:after="0" w:afterAutospacing="0"/>
            </w:pPr>
            <w:r>
              <w:rPr>
                <w:rFonts w:ascii="宋体" w:hAnsi="宋体" w:cs="宋体"/>
                <w:b/>
                <w:bCs/>
                <w:color w:val="000000"/>
                <w:sz w:val="20"/>
                <w:szCs w:val="20"/>
              </w:rPr>
              <w:t xml:space="preserve"> </w:t>
            </w:r>
            <w:r/>
          </w:p>
        </w:tc>
        <w:tc>
          <w:tcPr>
            <w:tcMar>
              <w:left w:w="0" w:type="dxa"/>
              <w:right w:w="0" w:type="dxa"/>
            </w:tcMar>
            <w:tcW w:w="720" w:type="dxa"/>
            <w:vAlign w:val="center"/>
            <w:textDirection w:val="lrTb"/>
            <w:noWrap w:val="false"/>
          </w:tcPr>
          <w:p>
            <w:pPr>
              <w:pStyle w:val="722"/>
              <w:jc w:val="center"/>
              <w:spacing w:before="0" w:beforeAutospacing="0" w:after="0" w:afterAutospacing="0"/>
            </w:pPr>
            <w:r>
              <w:rPr>
                <w:rFonts w:ascii="宋体" w:hAnsi="宋体" w:cs="宋体"/>
                <w:b/>
                <w:bCs/>
                <w:color w:val="000000"/>
                <w:sz w:val="20"/>
                <w:szCs w:val="20"/>
              </w:rPr>
              <w:t xml:space="preserve"> </w:t>
            </w:r>
            <w:r/>
          </w:p>
        </w:tc>
      </w:tr>
      <w:tr>
        <w:trPr>
          <w:tblCellSpacing w:w="0" w:type="dxa"/>
          <w:trHeight w:val="420"/>
        </w:trPr>
        <w:tc>
          <w:tcPr>
            <w:tcMar>
              <w:left w:w="0" w:type="dxa"/>
              <w:right w:w="0" w:type="dxa"/>
            </w:tcMar>
            <w:tcW w:w="764" w:type="dxa"/>
            <w:vAlign w:val="center"/>
            <w:textDirection w:val="lrTb"/>
            <w:noWrap w:val="false"/>
          </w:tcPr>
          <w:p>
            <w:pPr>
              <w:pStyle w:val="722"/>
              <w:jc w:val="center"/>
              <w:spacing w:before="0" w:beforeAutospacing="0" w:after="0" w:afterAutospacing="0"/>
            </w:pPr>
            <w:r>
              <w:rPr>
                <w:rFonts w:ascii="宋体" w:hAnsi="宋体" w:cs="宋体"/>
                <w:b/>
                <w:bCs/>
                <w:color w:val="000000"/>
                <w:sz w:val="20"/>
                <w:szCs w:val="20"/>
              </w:rPr>
              <w:t xml:space="preserve">3.1</w:t>
            </w:r>
            <w:r/>
          </w:p>
        </w:tc>
        <w:tc>
          <w:tcPr>
            <w:tcW w:w="1293" w:type="dxa"/>
            <w:vAlign w:val="center"/>
            <w:textDirection w:val="lrTb"/>
            <w:noWrap w:val="false"/>
          </w:tcPr>
          <w:p>
            <w:pPr>
              <w:jc w:val="center"/>
            </w:pPr>
            <w:r>
              <w:rPr>
                <w:rFonts w:hint="eastAsia" w:ascii="宋体" w:hAnsi="宋体" w:cs="宋体"/>
                <w:lang w:bidi="ar"/>
              </w:rPr>
              <w:t xml:space="preserve">业绩案例</w:t>
            </w:r>
            <w:r/>
          </w:p>
        </w:tc>
        <w:tc>
          <w:tcPr>
            <w:tcW w:w="4184" w:type="dxa"/>
            <w:vAlign w:val="center"/>
            <w:textDirection w:val="lrTb"/>
            <w:noWrap w:val="false"/>
          </w:tcPr>
          <w:p>
            <w:pPr>
              <w:pStyle w:val="707"/>
              <w:jc w:val="both"/>
              <w:rPr>
                <w:rFonts w:hint="eastAsia" w:ascii="宋体" w:hAnsi="宋体" w:cs="宋体"/>
              </w:rPr>
            </w:pPr>
            <w:r>
              <w:rPr>
                <w:rFonts w:hint="eastAsia" w:ascii="宋体" w:hAnsi="宋体" w:cs="宋体"/>
              </w:rPr>
              <w:t xml:space="preserve">供应商具有2025年1月1日（以合同签订时间为准）以来信息化项目运维服务经验的，每提供一份合同得2分，最高得8分。</w:t>
            </w:r>
            <w:r/>
          </w:p>
          <w:p>
            <w:r>
              <w:rPr>
                <w:rFonts w:hint="eastAsia" w:ascii="宋体" w:hAnsi="宋体" w:cs="宋体"/>
                <w:b/>
                <w:bCs/>
                <w:lang w:bidi="ar"/>
              </w:rPr>
              <w:t xml:space="preserve">注:响应文件中提供完整合同扫描件加盖供应商公章，未提供或提供不完整的不得分。</w:t>
            </w:r>
            <w:r/>
          </w:p>
        </w:tc>
        <w:tc>
          <w:tcPr>
            <w:tcW w:w="690" w:type="dxa"/>
            <w:vAlign w:val="center"/>
            <w:textDirection w:val="lrTb"/>
            <w:noWrap w:val="false"/>
          </w:tcPr>
          <w:p>
            <w:pPr>
              <w:jc w:val="center"/>
            </w:pPr>
            <w:r>
              <w:rPr>
                <w:rFonts w:hint="eastAsia" w:ascii="宋体" w:hAnsi="宋体" w:cs="宋体"/>
                <w:b/>
                <w:sz w:val="20"/>
              </w:rPr>
              <w:t xml:space="preserve">0</w:t>
            </w:r>
            <w:r/>
          </w:p>
        </w:tc>
        <w:tc>
          <w:tcPr>
            <w:tcMar>
              <w:left w:w="0" w:type="dxa"/>
              <w:right w:w="0" w:type="dxa"/>
            </w:tcMar>
            <w:tcW w:w="645" w:type="dxa"/>
            <w:vAlign w:val="center"/>
            <w:textDirection w:val="lrTb"/>
            <w:noWrap w:val="false"/>
          </w:tcPr>
          <w:p>
            <w:pPr>
              <w:jc w:val="center"/>
            </w:pPr>
            <w:r>
              <w:rPr>
                <w:rFonts w:hint="eastAsia" w:ascii="宋体" w:hAnsi="宋体" w:cs="宋体"/>
                <w:b/>
                <w:sz w:val="20"/>
              </w:rPr>
              <w:t xml:space="preserve">8</w:t>
            </w:r>
            <w:r/>
          </w:p>
        </w:tc>
        <w:tc>
          <w:tcPr>
            <w:tcMar>
              <w:left w:w="0" w:type="dxa"/>
              <w:right w:w="0" w:type="dxa"/>
            </w:tcMar>
            <w:tcW w:w="675" w:type="dxa"/>
            <w:vAlign w:val="center"/>
            <w:textDirection w:val="lrTb"/>
            <w:noWrap w:val="false"/>
          </w:tcPr>
          <w:p>
            <w:pPr>
              <w:jc w:val="center"/>
            </w:pPr>
            <w:r>
              <w:rPr>
                <w:rFonts w:hint="eastAsia"/>
              </w:rPr>
              <w:t xml:space="preserve">否</w:t>
            </w:r>
            <w:r/>
          </w:p>
        </w:tc>
        <w:tc>
          <w:tcPr>
            <w:tcMar>
              <w:left w:w="0" w:type="dxa"/>
              <w:right w:w="0" w:type="dxa"/>
            </w:tcMar>
            <w:tcW w:w="720" w:type="dxa"/>
            <w:vAlign w:val="center"/>
            <w:textDirection w:val="lrTb"/>
            <w:noWrap w:val="false"/>
          </w:tcPr>
          <w:p>
            <w:pPr>
              <w:jc w:val="center"/>
            </w:pPr>
            <w:r>
              <w:rPr>
                <w:rFonts w:hint="eastAsia"/>
              </w:rPr>
              <w:t xml:space="preserve">是</w:t>
            </w:r>
            <w:r/>
          </w:p>
        </w:tc>
      </w:tr>
      <w:tr>
        <w:trPr>
          <w:tblCellSpacing w:w="0" w:type="dxa"/>
          <w:trHeight w:val="420"/>
        </w:trPr>
        <w:tc>
          <w:tcPr>
            <w:tcMar>
              <w:left w:w="0" w:type="dxa"/>
              <w:right w:w="0" w:type="dxa"/>
            </w:tcMar>
            <w:tcW w:w="764" w:type="dxa"/>
            <w:vAlign w:val="center"/>
            <w:textDirection w:val="lrTb"/>
            <w:noWrap w:val="false"/>
          </w:tcPr>
          <w:p>
            <w:pPr>
              <w:pStyle w:val="722"/>
              <w:jc w:val="center"/>
              <w:spacing w:before="0" w:beforeAutospacing="0" w:after="0" w:afterAutospacing="0"/>
            </w:pPr>
            <w:r>
              <w:rPr>
                <w:rFonts w:hint="eastAsia" w:ascii="宋体" w:hAnsi="宋体" w:cs="宋体"/>
                <w:b/>
                <w:bCs/>
                <w:color w:val="000000"/>
                <w:sz w:val="20"/>
                <w:szCs w:val="20"/>
              </w:rPr>
              <w:t xml:space="preserve">3.2</w:t>
            </w:r>
            <w:r/>
          </w:p>
        </w:tc>
        <w:tc>
          <w:tcPr>
            <w:tcW w:w="1293" w:type="dxa"/>
            <w:vAlign w:val="center"/>
            <w:textDirection w:val="lrTb"/>
            <w:noWrap w:val="false"/>
          </w:tcPr>
          <w:p>
            <w:pPr>
              <w:jc w:val="center"/>
            </w:pPr>
            <w:r>
              <w:rPr>
                <w:rFonts w:hint="eastAsia" w:ascii="宋体" w:hAnsi="宋体" w:cs="宋体"/>
              </w:rPr>
              <w:t xml:space="preserve">企业资质</w:t>
            </w:r>
            <w:r/>
          </w:p>
        </w:tc>
        <w:tc>
          <w:tcPr>
            <w:tcW w:w="4184" w:type="dxa"/>
            <w:vAlign w:val="center"/>
            <w:textDirection w:val="lrTb"/>
            <w:noWrap w:val="false"/>
          </w:tcPr>
          <w:p>
            <w:pPr>
              <w:rPr>
                <w:rFonts w:hint="eastAsia" w:ascii="宋体" w:hAnsi="宋体" w:cs="宋体"/>
              </w:rPr>
            </w:pPr>
            <w:r>
              <w:rPr>
                <w:rFonts w:hint="eastAsia" w:ascii="宋体" w:hAnsi="宋体" w:cs="宋体"/>
              </w:rPr>
              <w:t xml:space="preserve">供应商具有有效期内的</w:t>
            </w:r>
            <w:r>
              <w:rPr>
                <w:rFonts w:hint="eastAsia" w:ascii="宋体" w:hAnsi="宋体" w:cs="宋体"/>
                <w:color w:val="000000"/>
              </w:rPr>
              <w:t xml:space="preserve">ISO9001</w:t>
            </w:r>
            <w:r>
              <w:rPr>
                <w:rFonts w:hint="eastAsia" w:ascii="宋体" w:hAnsi="宋体" w:cs="宋体"/>
              </w:rPr>
              <w:t xml:space="preserve">质量管理体系认证证书、</w:t>
            </w:r>
            <w:r>
              <w:rPr>
                <w:rFonts w:hint="eastAsia" w:ascii="宋体" w:hAnsi="宋体" w:cs="宋体"/>
                <w:color w:val="000000"/>
              </w:rPr>
              <w:t xml:space="preserve">ISO27001</w:t>
            </w:r>
            <w:r>
              <w:rPr>
                <w:rFonts w:hint="eastAsia" w:ascii="宋体" w:hAnsi="宋体" w:cs="宋体"/>
              </w:rPr>
              <w:t xml:space="preserve">信息技术服务管理体系认证证书、</w:t>
            </w:r>
            <w:r>
              <w:rPr>
                <w:rFonts w:hint="eastAsia" w:ascii="宋体" w:hAnsi="宋体" w:cs="宋体"/>
                <w:color w:val="000000"/>
              </w:rPr>
              <w:t xml:space="preserve">ISO20000</w:t>
            </w:r>
            <w:r>
              <w:rPr>
                <w:rFonts w:hint="eastAsia" w:ascii="宋体" w:hAnsi="宋体" w:cs="宋体"/>
              </w:rPr>
              <w:t xml:space="preserve">信息安全管理体系认证证书的，每有一个得2分，最高分6分。</w:t>
            </w:r>
            <w:r/>
          </w:p>
          <w:p>
            <w:r>
              <w:rPr>
                <w:rFonts w:hint="eastAsia" w:ascii="宋体" w:hAnsi="宋体" w:cs="宋体"/>
                <w:b/>
                <w:bCs/>
              </w:rPr>
              <w:t xml:space="preserve">注:</w:t>
            </w:r>
            <w:r>
              <w:rPr>
                <w:rFonts w:hint="eastAsia" w:ascii="宋体" w:hAnsi="宋体" w:cs="宋体"/>
                <w:b/>
                <w:bCs/>
                <w:lang w:bidi="ar"/>
              </w:rPr>
              <w:t xml:space="preserve">响应文件中提供有效证书扫描件或复印件并加盖投标人公章，未提供或提供不完整的不得分</w:t>
            </w:r>
            <w:r>
              <w:rPr>
                <w:rFonts w:hint="eastAsia" w:ascii="宋体" w:hAnsi="宋体" w:cs="宋体"/>
                <w:b/>
                <w:bCs/>
              </w:rPr>
              <w:t xml:space="preserve">。</w:t>
            </w:r>
            <w:r/>
          </w:p>
        </w:tc>
        <w:tc>
          <w:tcPr>
            <w:tcW w:w="690" w:type="dxa"/>
            <w:vAlign w:val="center"/>
            <w:textDirection w:val="lrTb"/>
            <w:noWrap w:val="false"/>
          </w:tcPr>
          <w:p>
            <w:pPr>
              <w:jc w:val="center"/>
            </w:pPr>
            <w:r>
              <w:rPr>
                <w:rFonts w:hint="eastAsia" w:ascii="宋体" w:hAnsi="宋体" w:cs="宋体"/>
                <w:b/>
                <w:sz w:val="20"/>
              </w:rPr>
              <w:t xml:space="preserve">0</w:t>
            </w:r>
            <w:r/>
          </w:p>
        </w:tc>
        <w:tc>
          <w:tcPr>
            <w:tcMar>
              <w:left w:w="0" w:type="dxa"/>
              <w:right w:w="0" w:type="dxa"/>
            </w:tcMar>
            <w:tcW w:w="645" w:type="dxa"/>
            <w:vAlign w:val="center"/>
            <w:textDirection w:val="lrTb"/>
            <w:noWrap w:val="false"/>
          </w:tcPr>
          <w:p>
            <w:pPr>
              <w:jc w:val="center"/>
            </w:pPr>
            <w:r>
              <w:rPr>
                <w:rFonts w:hint="eastAsia" w:ascii="宋体" w:hAnsi="宋体" w:cs="宋体"/>
                <w:b/>
                <w:sz w:val="20"/>
              </w:rPr>
              <w:t xml:space="preserve">6</w:t>
            </w:r>
            <w:r/>
          </w:p>
        </w:tc>
        <w:tc>
          <w:tcPr>
            <w:tcMar>
              <w:left w:w="0" w:type="dxa"/>
              <w:right w:w="0" w:type="dxa"/>
            </w:tcMar>
            <w:tcW w:w="675" w:type="dxa"/>
            <w:vAlign w:val="center"/>
            <w:textDirection w:val="lrTb"/>
            <w:noWrap w:val="false"/>
          </w:tcPr>
          <w:p>
            <w:pPr>
              <w:jc w:val="center"/>
            </w:pPr>
            <w:r>
              <w:rPr>
                <w:rFonts w:hint="eastAsia"/>
              </w:rPr>
              <w:t xml:space="preserve">否</w:t>
            </w:r>
            <w:r/>
          </w:p>
        </w:tc>
        <w:tc>
          <w:tcPr>
            <w:tcMar>
              <w:left w:w="0" w:type="dxa"/>
              <w:right w:w="0" w:type="dxa"/>
            </w:tcMar>
            <w:tcW w:w="720" w:type="dxa"/>
            <w:vAlign w:val="center"/>
            <w:textDirection w:val="lrTb"/>
            <w:noWrap w:val="false"/>
          </w:tcPr>
          <w:p>
            <w:pPr>
              <w:jc w:val="center"/>
            </w:pPr>
            <w:r>
              <w:rPr>
                <w:rFonts w:hint="eastAsia"/>
              </w:rPr>
              <w:t xml:space="preserve">是</w:t>
            </w:r>
            <w:r/>
          </w:p>
        </w:tc>
      </w:tr>
      <w:tr>
        <w:trPr>
          <w:tblCellSpacing w:w="0" w:type="dxa"/>
          <w:trHeight w:val="420"/>
        </w:trPr>
        <w:tc>
          <w:tcPr>
            <w:tcMar>
              <w:left w:w="0" w:type="dxa"/>
              <w:right w:w="0" w:type="dxa"/>
            </w:tcMar>
            <w:tcW w:w="764"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3.3</w:t>
            </w:r>
            <w:r/>
          </w:p>
        </w:tc>
        <w:tc>
          <w:tcPr>
            <w:tcW w:w="1293" w:type="dxa"/>
            <w:vAlign w:val="center"/>
            <w:textDirection w:val="lrTb"/>
            <w:noWrap w:val="false"/>
          </w:tcPr>
          <w:p>
            <w:pPr>
              <w:jc w:val="center"/>
              <w:rPr>
                <w:rFonts w:hint="eastAsia" w:ascii="宋体" w:hAnsi="宋体" w:cs="宋体"/>
                <w:b/>
                <w:bCs/>
                <w:color w:val="000000"/>
                <w:sz w:val="20"/>
                <w:szCs w:val="20"/>
              </w:rPr>
            </w:pPr>
            <w:r>
              <w:rPr>
                <w:rFonts w:hint="eastAsia" w:ascii="宋体" w:hAnsi="宋体" w:cs="宋体"/>
                <w:lang w:bidi="ar"/>
              </w:rPr>
              <w:t xml:space="preserve">软件著作权</w:t>
            </w:r>
            <w:r/>
          </w:p>
        </w:tc>
        <w:tc>
          <w:tcPr>
            <w:tcW w:w="4184" w:type="dxa"/>
            <w:vAlign w:val="center"/>
            <w:textDirection w:val="lrTb"/>
            <w:noWrap w:val="false"/>
          </w:tcPr>
          <w:p>
            <w:pPr>
              <w:rPr>
                <w:rFonts w:hint="eastAsia" w:ascii="宋体" w:hAnsi="宋体" w:cs="宋体"/>
                <w:lang w:bidi="ar"/>
              </w:rPr>
            </w:pPr>
            <w:r>
              <w:rPr>
                <w:rFonts w:hint="eastAsia" w:ascii="宋体" w:hAnsi="宋体" w:cs="宋体"/>
                <w:lang w:bidi="ar"/>
              </w:rPr>
              <w:t xml:space="preserve">供应商具有与本次项目相关的计算机软件著作权证书，且著作权证书内容与采购需求的“一体化政务服务平台”“智能客服”“智能填表”“虚拟政务大厅”内容对应的，每有一个得2分，本项最高得8分。</w:t>
            </w:r>
            <w:r/>
          </w:p>
          <w:p>
            <w:pPr>
              <w:rPr>
                <w:rFonts w:hint="eastAsia" w:ascii="宋体" w:hAnsi="宋体" w:cs="宋体"/>
                <w:b/>
                <w:bCs/>
                <w:color w:val="000000"/>
                <w:sz w:val="20"/>
                <w:szCs w:val="20"/>
              </w:rPr>
            </w:pPr>
            <w:r>
              <w:rPr>
                <w:rFonts w:hint="eastAsia" w:ascii="宋体" w:hAnsi="宋体" w:cs="宋体"/>
                <w:b/>
                <w:bCs/>
                <w:lang w:bidi="ar"/>
              </w:rPr>
              <w:t xml:space="preserve">注：响应文件中提供证书扫描件加盖投标人公章，软件著作权证书必须在开标前取得，所登记注册的软件名称可以相似，但必须功能相同，著作权名称不同的，由评委判定，未提供不得分。</w:t>
            </w:r>
            <w:r/>
          </w:p>
        </w:tc>
        <w:tc>
          <w:tcPr>
            <w:tcW w:w="690" w:type="dxa"/>
            <w:vAlign w:val="center"/>
            <w:textDirection w:val="lrTb"/>
            <w:noWrap w:val="false"/>
          </w:tcPr>
          <w:p>
            <w:pPr>
              <w:jc w:val="center"/>
              <w:rPr>
                <w:rFonts w:hint="eastAsia" w:ascii="宋体" w:hAnsi="宋体" w:cs="宋体"/>
                <w:b/>
                <w:bCs/>
                <w:color w:val="000000"/>
                <w:sz w:val="20"/>
                <w:szCs w:val="20"/>
              </w:rPr>
            </w:pPr>
            <w:r>
              <w:rPr>
                <w:rFonts w:hint="eastAsia" w:ascii="宋体" w:hAnsi="宋体" w:cs="宋体"/>
                <w:b/>
                <w:sz w:val="20"/>
              </w:rPr>
              <w:t xml:space="preserve">0</w:t>
            </w:r>
            <w:r/>
          </w:p>
        </w:tc>
        <w:tc>
          <w:tcPr>
            <w:tcMar>
              <w:left w:w="0" w:type="dxa"/>
              <w:right w:w="0" w:type="dxa"/>
            </w:tcMar>
            <w:tcW w:w="645" w:type="dxa"/>
            <w:vAlign w:val="center"/>
            <w:textDirection w:val="lrTb"/>
            <w:noWrap w:val="false"/>
          </w:tcPr>
          <w:p>
            <w:pPr>
              <w:jc w:val="center"/>
              <w:rPr>
                <w:rFonts w:hint="eastAsia" w:ascii="宋体" w:hAnsi="宋体" w:cs="宋体"/>
                <w:b/>
                <w:bCs/>
                <w:color w:val="000000"/>
                <w:sz w:val="20"/>
                <w:szCs w:val="20"/>
              </w:rPr>
            </w:pPr>
            <w:r>
              <w:rPr>
                <w:rFonts w:hint="eastAsia" w:ascii="宋体" w:hAnsi="宋体" w:cs="宋体"/>
                <w:b/>
                <w:sz w:val="20"/>
              </w:rPr>
              <w:t xml:space="preserve">8</w:t>
            </w:r>
            <w:r/>
          </w:p>
        </w:tc>
        <w:tc>
          <w:tcPr>
            <w:tcMar>
              <w:left w:w="0" w:type="dxa"/>
              <w:right w:w="0" w:type="dxa"/>
            </w:tcMar>
            <w:tcW w:w="675" w:type="dxa"/>
            <w:vAlign w:val="center"/>
            <w:textDirection w:val="lrTb"/>
            <w:noWrap w:val="false"/>
          </w:tcPr>
          <w:p>
            <w:pPr>
              <w:jc w:val="center"/>
              <w:rPr>
                <w:rFonts w:hint="eastAsia" w:ascii="宋体" w:hAnsi="宋体" w:cs="宋体"/>
                <w:b/>
                <w:bCs/>
                <w:color w:val="000000"/>
                <w:sz w:val="20"/>
                <w:szCs w:val="20"/>
              </w:rPr>
            </w:pPr>
            <w:r>
              <w:rPr>
                <w:rFonts w:hint="eastAsia"/>
              </w:rPr>
              <w:t xml:space="preserve">否</w:t>
            </w:r>
            <w:r/>
          </w:p>
        </w:tc>
        <w:tc>
          <w:tcPr>
            <w:tcMar>
              <w:left w:w="0" w:type="dxa"/>
              <w:right w:w="0" w:type="dxa"/>
            </w:tcMar>
            <w:tcW w:w="720" w:type="dxa"/>
            <w:vAlign w:val="center"/>
            <w:textDirection w:val="lrTb"/>
            <w:noWrap w:val="false"/>
          </w:tcPr>
          <w:p>
            <w:pPr>
              <w:jc w:val="center"/>
              <w:rPr>
                <w:rFonts w:hint="eastAsia" w:ascii="宋体" w:hAnsi="宋体" w:cs="宋体"/>
                <w:b/>
                <w:bCs/>
                <w:color w:val="000000"/>
                <w:sz w:val="20"/>
                <w:szCs w:val="20"/>
              </w:rPr>
            </w:pPr>
            <w:r>
              <w:rPr>
                <w:rFonts w:hint="eastAsia"/>
              </w:rPr>
              <w:t xml:space="preserve">是</w:t>
            </w:r>
            <w:r/>
          </w:p>
        </w:tc>
      </w:tr>
      <w:tr>
        <w:trPr>
          <w:tblCellSpacing w:w="0" w:type="dxa"/>
          <w:trHeight w:val="420"/>
        </w:trPr>
        <w:tc>
          <w:tcPr>
            <w:tcMar>
              <w:left w:w="0" w:type="dxa"/>
              <w:right w:w="0" w:type="dxa"/>
            </w:tcMar>
            <w:tcW w:w="764"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3.4</w:t>
            </w:r>
            <w:r/>
          </w:p>
        </w:tc>
        <w:tc>
          <w:tcPr>
            <w:tcW w:w="1293" w:type="dxa"/>
            <w:vAlign w:val="center"/>
            <w:textDirection w:val="lrTb"/>
            <w:noWrap w:val="false"/>
          </w:tcPr>
          <w:p>
            <w:pPr>
              <w:jc w:val="center"/>
              <w:rPr>
                <w:rFonts w:hint="eastAsia" w:ascii="宋体" w:hAnsi="宋体" w:cs="宋体"/>
                <w:b/>
                <w:bCs/>
                <w:color w:val="000000"/>
                <w:sz w:val="20"/>
                <w:szCs w:val="20"/>
              </w:rPr>
            </w:pPr>
            <w:r>
              <w:rPr>
                <w:rFonts w:hint="eastAsia" w:ascii="宋体" w:hAnsi="宋体" w:cs="宋体"/>
              </w:rPr>
              <w:t xml:space="preserve">人员资质</w:t>
            </w:r>
            <w:r/>
          </w:p>
        </w:tc>
        <w:tc>
          <w:tcPr>
            <w:tcW w:w="4184" w:type="dxa"/>
            <w:vAlign w:val="center"/>
            <w:textDirection w:val="lrTb"/>
            <w:noWrap w:val="false"/>
          </w:tcPr>
          <w:p>
            <w:pPr>
              <w:rPr>
                <w:rFonts w:hint="eastAsia" w:ascii="宋体" w:hAnsi="宋体" w:cs="宋体"/>
                <w:color w:val="000000"/>
              </w:rPr>
            </w:pPr>
            <w:r>
              <w:rPr>
                <w:rFonts w:hint="eastAsia" w:ascii="宋体" w:hAnsi="宋体" w:cs="宋体"/>
                <w:color w:val="000000"/>
              </w:rPr>
              <w:t xml:space="preserve">投标人拟派运维团队中具有</w:t>
            </w:r>
            <w:r>
              <w:rPr>
                <w:rFonts w:hint="eastAsia" w:ascii="宋体" w:hAnsi="宋体" w:cs="宋体"/>
                <w:lang w:bidi="ar"/>
              </w:rPr>
              <w:t xml:space="preserve">中华人民共和国人力资源和社会保障部、工业和信息化部批准颁发的“信息系统项目管理师”、“系统分析师”、“软件设计师”、“软件评测师”证书的</w:t>
            </w:r>
            <w:r>
              <w:rPr>
                <w:rFonts w:hint="eastAsia" w:ascii="宋体" w:hAnsi="宋体" w:cs="宋体"/>
                <w:color w:val="000000"/>
              </w:rPr>
              <w:t xml:space="preserve">，</w:t>
            </w:r>
            <w:r>
              <w:rPr>
                <w:rFonts w:hint="eastAsia" w:ascii="宋体" w:hAnsi="宋体" w:cs="宋体"/>
                <w:lang w:bidi="ar"/>
              </w:rPr>
              <w:t xml:space="preserve">每有一个得2分，本项最高得8分。</w:t>
            </w:r>
            <w:r/>
          </w:p>
          <w:p>
            <w:pPr>
              <w:rPr>
                <w:rFonts w:hint="eastAsia" w:ascii="宋体" w:hAnsi="宋体" w:cs="宋体"/>
                <w:b/>
                <w:bCs/>
                <w:color w:val="000000"/>
                <w:sz w:val="20"/>
                <w:szCs w:val="20"/>
              </w:rPr>
            </w:pPr>
            <w:r>
              <w:rPr>
                <w:rFonts w:hint="eastAsia" w:ascii="宋体" w:hAnsi="宋体" w:cs="宋体"/>
                <w:b/>
                <w:bCs/>
              </w:rPr>
              <w:t xml:space="preserve">注:</w:t>
            </w:r>
            <w:r>
              <w:rPr>
                <w:rFonts w:hint="eastAsia" w:ascii="宋体" w:hAnsi="宋体" w:cs="宋体"/>
                <w:b/>
                <w:bCs/>
                <w:lang w:bidi="ar"/>
              </w:rPr>
              <w:t xml:space="preserve"> 须为投标单位正式员工，提供投标人为其缴纳的近三个月中任意一个月的社保证明和相对应证书扫描件，以上证明材料均需加盖投标人公章，未提供或提供不全的不得分</w:t>
            </w:r>
            <w:r>
              <w:rPr>
                <w:rFonts w:hint="eastAsia" w:ascii="宋体" w:hAnsi="宋体" w:cs="宋体"/>
                <w:b/>
                <w:bCs/>
                <w:color w:val="000000"/>
              </w:rPr>
              <w:t xml:space="preserve">。</w:t>
            </w:r>
            <w:r/>
          </w:p>
        </w:tc>
        <w:tc>
          <w:tcPr>
            <w:tcW w:w="690" w:type="dxa"/>
            <w:vAlign w:val="center"/>
            <w:textDirection w:val="lrTb"/>
            <w:noWrap w:val="false"/>
          </w:tcPr>
          <w:p>
            <w:pPr>
              <w:jc w:val="center"/>
              <w:rPr>
                <w:rFonts w:hint="eastAsia" w:ascii="宋体" w:hAnsi="宋体" w:cs="宋体"/>
                <w:b/>
                <w:bCs/>
                <w:color w:val="000000"/>
                <w:sz w:val="20"/>
                <w:szCs w:val="20"/>
              </w:rPr>
            </w:pPr>
            <w:r>
              <w:rPr>
                <w:rFonts w:hint="eastAsia" w:ascii="宋体" w:hAnsi="宋体" w:cs="宋体"/>
                <w:b/>
                <w:sz w:val="20"/>
              </w:rPr>
              <w:t xml:space="preserve">0</w:t>
            </w:r>
            <w:r/>
          </w:p>
        </w:tc>
        <w:tc>
          <w:tcPr>
            <w:tcMar>
              <w:left w:w="0" w:type="dxa"/>
              <w:right w:w="0" w:type="dxa"/>
            </w:tcMar>
            <w:tcW w:w="645" w:type="dxa"/>
            <w:vAlign w:val="center"/>
            <w:textDirection w:val="lrTb"/>
            <w:noWrap w:val="false"/>
          </w:tcPr>
          <w:p>
            <w:pPr>
              <w:jc w:val="center"/>
              <w:rPr>
                <w:rFonts w:hint="eastAsia" w:ascii="宋体" w:hAnsi="宋体" w:cs="宋体"/>
                <w:b/>
                <w:bCs/>
                <w:color w:val="000000"/>
                <w:sz w:val="20"/>
                <w:szCs w:val="20"/>
              </w:rPr>
            </w:pPr>
            <w:r>
              <w:rPr>
                <w:rFonts w:hint="eastAsia" w:ascii="宋体" w:hAnsi="宋体" w:cs="宋体"/>
                <w:b/>
                <w:sz w:val="20"/>
              </w:rPr>
              <w:t xml:space="preserve">8</w:t>
            </w:r>
            <w:r/>
          </w:p>
        </w:tc>
        <w:tc>
          <w:tcPr>
            <w:tcMar>
              <w:left w:w="0" w:type="dxa"/>
              <w:right w:w="0" w:type="dxa"/>
            </w:tcMar>
            <w:tcW w:w="675" w:type="dxa"/>
            <w:vAlign w:val="center"/>
            <w:textDirection w:val="lrTb"/>
            <w:noWrap w:val="false"/>
          </w:tcPr>
          <w:p>
            <w:pPr>
              <w:jc w:val="center"/>
              <w:rPr>
                <w:rFonts w:hint="eastAsia" w:ascii="宋体" w:hAnsi="宋体" w:cs="宋体"/>
                <w:b/>
                <w:bCs/>
                <w:color w:val="000000"/>
                <w:sz w:val="20"/>
                <w:szCs w:val="20"/>
              </w:rPr>
            </w:pPr>
            <w:r>
              <w:rPr>
                <w:rFonts w:hint="eastAsia"/>
              </w:rPr>
              <w:t xml:space="preserve">否</w:t>
            </w:r>
            <w:r/>
          </w:p>
        </w:tc>
        <w:tc>
          <w:tcPr>
            <w:tcMar>
              <w:left w:w="0" w:type="dxa"/>
              <w:right w:w="0" w:type="dxa"/>
            </w:tcMar>
            <w:tcW w:w="720" w:type="dxa"/>
            <w:vAlign w:val="center"/>
            <w:textDirection w:val="lrTb"/>
            <w:noWrap w:val="false"/>
          </w:tcPr>
          <w:p>
            <w:pPr>
              <w:jc w:val="center"/>
              <w:rPr>
                <w:rFonts w:hint="eastAsia" w:ascii="宋体" w:hAnsi="宋体" w:cs="宋体"/>
                <w:b/>
                <w:bCs/>
                <w:color w:val="000000"/>
                <w:sz w:val="20"/>
                <w:szCs w:val="20"/>
              </w:rPr>
            </w:pPr>
            <w:r>
              <w:rPr>
                <w:rFonts w:hint="eastAsia"/>
              </w:rPr>
              <w:t xml:space="preserve">是</w:t>
            </w:r>
            <w:r/>
          </w:p>
        </w:tc>
      </w:tr>
      <w:tr>
        <w:trPr>
          <w:tblCellSpacing w:w="0" w:type="dxa"/>
          <w:trHeight w:val="420"/>
        </w:trPr>
        <w:tc>
          <w:tcPr>
            <w:tcMar>
              <w:left w:w="0" w:type="dxa"/>
              <w:right w:w="0" w:type="dxa"/>
            </w:tcMar>
            <w:tcW w:w="764"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3.5</w:t>
            </w:r>
            <w:r/>
          </w:p>
        </w:tc>
        <w:tc>
          <w:tcPr>
            <w:tcW w:w="1293" w:type="dxa"/>
            <w:vAlign w:val="center"/>
            <w:textDirection w:val="lrTb"/>
            <w:noWrap w:val="false"/>
          </w:tcPr>
          <w:p>
            <w:pPr>
              <w:jc w:val="center"/>
              <w:rPr>
                <w:rFonts w:hint="eastAsia" w:ascii="宋体" w:hAnsi="宋体" w:cs="宋体"/>
                <w:b/>
                <w:bCs/>
                <w:color w:val="000000"/>
                <w:sz w:val="20"/>
                <w:szCs w:val="20"/>
              </w:rPr>
            </w:pPr>
            <w:r>
              <w:rPr>
                <w:rFonts w:hint="eastAsia" w:ascii="宋体" w:hAnsi="宋体" w:cs="宋体"/>
              </w:rPr>
              <w:t xml:space="preserve">驻场服务</w:t>
            </w:r>
            <w:r/>
          </w:p>
        </w:tc>
        <w:tc>
          <w:tcPr>
            <w:tcW w:w="4184" w:type="dxa"/>
            <w:vAlign w:val="center"/>
            <w:textDirection w:val="lrTb"/>
            <w:noWrap w:val="false"/>
          </w:tcPr>
          <w:p>
            <w:pPr>
              <w:rPr>
                <w:rFonts w:hint="eastAsia" w:ascii="宋体" w:hAnsi="宋体" w:cs="宋体"/>
                <w:b/>
                <w:bCs/>
                <w:lang w:bidi="ar"/>
              </w:rPr>
            </w:pPr>
            <w:r>
              <w:rPr>
                <w:rFonts w:hint="eastAsia" w:ascii="宋体" w:hAnsi="宋体" w:cs="宋体"/>
                <w:lang w:bidi="ar"/>
              </w:rPr>
              <w:t xml:space="preserve">投标人服务期内提供至少15人驻场服务的，得3分，否则该项不得分。</w:t>
            </w:r>
            <w:r/>
          </w:p>
          <w:p>
            <w:pPr>
              <w:rPr>
                <w:rFonts w:hint="eastAsia" w:ascii="宋体" w:hAnsi="宋体" w:cs="宋体"/>
                <w:b/>
                <w:bCs/>
                <w:color w:val="000000"/>
                <w:sz w:val="20"/>
                <w:szCs w:val="20"/>
              </w:rPr>
            </w:pPr>
            <w:r>
              <w:rPr>
                <w:rFonts w:hint="eastAsia" w:ascii="宋体" w:hAnsi="宋体" w:cs="宋体"/>
                <w:b/>
                <w:bCs/>
                <w:lang w:bidi="ar"/>
              </w:rPr>
              <w:t xml:space="preserve">注：响应文件中按要求提供承诺书加盖供应商公章，否则不得分。</w:t>
            </w:r>
            <w:r/>
          </w:p>
        </w:tc>
        <w:tc>
          <w:tcPr>
            <w:tcW w:w="690" w:type="dxa"/>
            <w:vAlign w:val="center"/>
            <w:textDirection w:val="lrTb"/>
            <w:noWrap w:val="false"/>
          </w:tcPr>
          <w:p>
            <w:pPr>
              <w:jc w:val="center"/>
              <w:rPr>
                <w:rFonts w:hint="eastAsia" w:ascii="宋体" w:hAnsi="宋体" w:cs="宋体"/>
                <w:b/>
                <w:bCs/>
                <w:color w:val="000000"/>
                <w:sz w:val="20"/>
                <w:szCs w:val="20"/>
              </w:rPr>
            </w:pPr>
            <w:r>
              <w:rPr>
                <w:rFonts w:hint="eastAsia" w:ascii="宋体" w:hAnsi="宋体" w:cs="宋体"/>
                <w:b/>
                <w:sz w:val="20"/>
              </w:rPr>
              <w:t xml:space="preserve">0</w:t>
            </w:r>
            <w:r/>
          </w:p>
        </w:tc>
        <w:tc>
          <w:tcPr>
            <w:tcMar>
              <w:left w:w="0" w:type="dxa"/>
              <w:right w:w="0" w:type="dxa"/>
            </w:tcMar>
            <w:tcW w:w="645" w:type="dxa"/>
            <w:vAlign w:val="center"/>
            <w:textDirection w:val="lrTb"/>
            <w:noWrap w:val="false"/>
          </w:tcPr>
          <w:p>
            <w:pPr>
              <w:jc w:val="center"/>
              <w:rPr>
                <w:rFonts w:hint="eastAsia" w:ascii="宋体" w:hAnsi="宋体" w:cs="宋体"/>
                <w:b/>
                <w:bCs/>
                <w:color w:val="000000"/>
                <w:sz w:val="20"/>
                <w:szCs w:val="20"/>
              </w:rPr>
            </w:pPr>
            <w:r>
              <w:rPr>
                <w:rFonts w:hint="eastAsia" w:ascii="宋体" w:hAnsi="宋体" w:cs="宋体"/>
                <w:b/>
                <w:sz w:val="20"/>
              </w:rPr>
              <w:t xml:space="preserve">3</w:t>
            </w:r>
            <w:r/>
          </w:p>
        </w:tc>
        <w:tc>
          <w:tcPr>
            <w:tcMar>
              <w:left w:w="0" w:type="dxa"/>
              <w:right w:w="0" w:type="dxa"/>
            </w:tcMar>
            <w:tcW w:w="675" w:type="dxa"/>
            <w:vAlign w:val="center"/>
            <w:textDirection w:val="lrTb"/>
            <w:noWrap w:val="false"/>
          </w:tcPr>
          <w:p>
            <w:pPr>
              <w:jc w:val="center"/>
              <w:rPr>
                <w:rFonts w:hint="eastAsia" w:ascii="宋体" w:hAnsi="宋体" w:cs="宋体"/>
                <w:b/>
                <w:bCs/>
                <w:color w:val="000000"/>
                <w:sz w:val="20"/>
                <w:szCs w:val="20"/>
              </w:rPr>
            </w:pPr>
            <w:r>
              <w:rPr>
                <w:rFonts w:hint="eastAsia"/>
              </w:rPr>
              <w:t xml:space="preserve">否</w:t>
            </w:r>
            <w:r/>
          </w:p>
        </w:tc>
        <w:tc>
          <w:tcPr>
            <w:tcMar>
              <w:left w:w="0" w:type="dxa"/>
              <w:right w:w="0" w:type="dxa"/>
            </w:tcMar>
            <w:tcW w:w="720" w:type="dxa"/>
            <w:vAlign w:val="center"/>
            <w:textDirection w:val="lrTb"/>
            <w:noWrap w:val="false"/>
          </w:tcPr>
          <w:p>
            <w:pPr>
              <w:jc w:val="center"/>
              <w:rPr>
                <w:rFonts w:hint="eastAsia" w:ascii="宋体" w:hAnsi="宋体" w:cs="宋体"/>
                <w:b/>
                <w:bCs/>
                <w:color w:val="000000"/>
                <w:sz w:val="20"/>
                <w:szCs w:val="20"/>
              </w:rPr>
            </w:pPr>
            <w:r>
              <w:rPr>
                <w:rFonts w:hint="eastAsia"/>
              </w:rPr>
              <w:t xml:space="preserve">是</w:t>
            </w:r>
            <w:r/>
          </w:p>
        </w:tc>
      </w:tr>
      <w:tr>
        <w:trPr>
          <w:tblCellSpacing w:w="0" w:type="dxa"/>
          <w:trHeight w:val="420"/>
        </w:trPr>
        <w:tc>
          <w:tcPr>
            <w:tcMar>
              <w:left w:w="0" w:type="dxa"/>
              <w:right w:w="0" w:type="dxa"/>
            </w:tcMar>
            <w:tcW w:w="764"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3.6</w:t>
            </w:r>
            <w:r/>
          </w:p>
        </w:tc>
        <w:tc>
          <w:tcPr>
            <w:tcW w:w="1293" w:type="dxa"/>
            <w:vAlign w:val="center"/>
            <w:textDirection w:val="lrTb"/>
            <w:noWrap w:val="false"/>
          </w:tcPr>
          <w:p>
            <w:pPr>
              <w:jc w:val="center"/>
              <w:rPr>
                <w:rFonts w:hint="eastAsia" w:ascii="宋体" w:hAnsi="宋体" w:cs="宋体"/>
                <w:b/>
                <w:bCs/>
                <w:color w:val="000000"/>
                <w:sz w:val="20"/>
                <w:szCs w:val="20"/>
              </w:rPr>
            </w:pPr>
            <w:r>
              <w:rPr>
                <w:rFonts w:hint="eastAsia" w:ascii="宋体" w:hAnsi="宋体" w:cs="宋体"/>
              </w:rPr>
              <w:t xml:space="preserve">“小畅”智能客服功能演示</w:t>
            </w:r>
            <w:r/>
          </w:p>
        </w:tc>
        <w:tc>
          <w:tcPr>
            <w:tcW w:w="4184" w:type="dxa"/>
            <w:vAlign w:val="center"/>
            <w:textDirection w:val="lrTb"/>
            <w:noWrap w:val="false"/>
          </w:tcPr>
          <w:p>
            <w:pPr>
              <w:jc w:val="left"/>
              <w:widowControl/>
            </w:pPr>
            <w:r>
              <w:rPr>
                <w:rFonts w:ascii="宋体" w:hAnsi="宋体" w:cs="宋体"/>
                <w:lang w:bidi="ar"/>
              </w:rPr>
              <w:t xml:space="preserve">1、网页用户端提供默认定位功能、高频热门问题推荐、操作指引、结构化的复合知识卡片进行解答（涵盖政务事项、政策等信息）、融合业务导航与工具直达等生态聚合内容，得2分；</w:t>
            </w:r>
            <w:r/>
          </w:p>
          <w:p>
            <w:pPr>
              <w:jc w:val="left"/>
              <w:widowControl/>
            </w:pPr>
            <w:r>
              <w:rPr>
                <w:rFonts w:ascii="宋体" w:hAnsi="宋体" w:cs="宋体"/>
                <w:lang w:bidi="ar"/>
              </w:rPr>
              <w:t xml:space="preserve">2、管理后台对智能客服的工作流进行编排，各类问题</w:t>
            </w:r>
            <w:r>
              <w:rPr>
                <w:rFonts w:ascii="宋体" w:hAnsi="宋体" w:cs="宋体"/>
              </w:rPr>
              <w:t xml:space="preserve">分类至各区域和各专题进行知识检索</w:t>
            </w:r>
            <w:r>
              <w:rPr>
                <w:rFonts w:hint="eastAsia" w:ascii="宋体" w:hAnsi="宋体" w:cs="宋体"/>
              </w:rPr>
              <w:t xml:space="preserve">，并</w:t>
            </w:r>
            <w:r>
              <w:rPr>
                <w:rFonts w:ascii="宋体" w:hAnsi="宋体" w:cs="宋体"/>
                <w:lang w:bidi="ar"/>
              </w:rPr>
              <w:t xml:space="preserve">统一合并至大模型最终输出，得2分；</w:t>
            </w:r>
            <w:r/>
          </w:p>
          <w:p>
            <w:pPr>
              <w:jc w:val="left"/>
              <w:widowControl/>
            </w:pPr>
            <w:r>
              <w:rPr>
                <w:rFonts w:ascii="宋体" w:hAnsi="宋体" w:cs="宋体"/>
                <w:lang w:bidi="ar"/>
              </w:rPr>
              <w:t xml:space="preserve">3、管理后台提供知识库功能，支持批量和单个知识上传功能，实现对知识有效期、来源部门等精细化运营维护，得2分；</w:t>
            </w:r>
            <w:r/>
          </w:p>
          <w:p>
            <w:pPr>
              <w:jc w:val="left"/>
              <w:widowControl/>
              <w:rPr>
                <w:rFonts w:hint="eastAsia" w:ascii="宋体" w:hAnsi="宋体" w:cs="宋体"/>
                <w:b/>
                <w:bCs/>
                <w:color w:val="000000"/>
                <w:sz w:val="20"/>
                <w:szCs w:val="20"/>
              </w:rPr>
            </w:pPr>
            <w:r>
              <w:rPr>
                <w:rFonts w:ascii="宋体" w:hAnsi="宋体" w:cs="宋体"/>
                <w:lang w:bidi="ar"/>
              </w:rPr>
              <w:t xml:space="preserve">4、未提供演示本项不得分。 </w:t>
            </w:r>
            <w:r/>
          </w:p>
        </w:tc>
        <w:tc>
          <w:tcPr>
            <w:tcW w:w="690" w:type="dxa"/>
            <w:vAlign w:val="center"/>
            <w:textDirection w:val="lrTb"/>
            <w:noWrap w:val="false"/>
          </w:tcPr>
          <w:p>
            <w:pPr>
              <w:jc w:val="center"/>
              <w:rPr>
                <w:rFonts w:hint="eastAsia" w:ascii="宋体" w:hAnsi="宋体" w:cs="宋体"/>
                <w:b/>
                <w:bCs/>
                <w:color w:val="000000"/>
                <w:sz w:val="20"/>
                <w:szCs w:val="20"/>
              </w:rPr>
            </w:pPr>
            <w:r>
              <w:rPr>
                <w:rFonts w:hint="eastAsia" w:ascii="宋体" w:hAnsi="宋体" w:cs="宋体"/>
                <w:b/>
                <w:sz w:val="20"/>
              </w:rPr>
              <w:t xml:space="preserve">0</w:t>
            </w:r>
            <w:r/>
          </w:p>
        </w:tc>
        <w:tc>
          <w:tcPr>
            <w:tcMar>
              <w:left w:w="0" w:type="dxa"/>
              <w:right w:w="0" w:type="dxa"/>
            </w:tcMar>
            <w:tcW w:w="645" w:type="dxa"/>
            <w:vAlign w:val="center"/>
            <w:textDirection w:val="lrTb"/>
            <w:noWrap w:val="false"/>
          </w:tcPr>
          <w:p>
            <w:pPr>
              <w:jc w:val="center"/>
              <w:rPr>
                <w:rFonts w:hint="eastAsia" w:ascii="宋体" w:hAnsi="宋体" w:cs="宋体"/>
                <w:b/>
                <w:bCs/>
                <w:color w:val="000000"/>
                <w:sz w:val="20"/>
                <w:szCs w:val="20"/>
              </w:rPr>
            </w:pPr>
            <w:r>
              <w:rPr>
                <w:rFonts w:hint="eastAsia" w:ascii="宋体" w:hAnsi="宋体" w:cs="宋体"/>
                <w:b/>
                <w:sz w:val="20"/>
              </w:rPr>
              <w:t xml:space="preserve">6</w:t>
            </w:r>
            <w:r/>
          </w:p>
        </w:tc>
        <w:tc>
          <w:tcPr>
            <w:tcMar>
              <w:left w:w="0" w:type="dxa"/>
              <w:right w:w="0" w:type="dxa"/>
            </w:tcMar>
            <w:tcW w:w="675" w:type="dxa"/>
            <w:vAlign w:val="center"/>
            <w:textDirection w:val="lrTb"/>
            <w:noWrap w:val="false"/>
          </w:tcPr>
          <w:p>
            <w:pPr>
              <w:jc w:val="center"/>
              <w:rPr>
                <w:rFonts w:hint="eastAsia" w:ascii="宋体" w:hAnsi="宋体" w:cs="宋体"/>
                <w:b/>
                <w:bCs/>
                <w:color w:val="000000"/>
                <w:sz w:val="20"/>
                <w:szCs w:val="20"/>
              </w:rPr>
            </w:pPr>
            <w:r>
              <w:rPr>
                <w:rFonts w:hint="eastAsia" w:ascii="宋体" w:hAnsi="宋体" w:cs="宋体"/>
                <w:b/>
                <w:bCs/>
                <w:color w:val="000000"/>
                <w:sz w:val="20"/>
                <w:szCs w:val="20"/>
              </w:rPr>
              <w:t xml:space="preserve">否</w:t>
            </w:r>
            <w:r/>
          </w:p>
        </w:tc>
        <w:tc>
          <w:tcPr>
            <w:tcMar>
              <w:left w:w="0" w:type="dxa"/>
              <w:right w:w="0" w:type="dxa"/>
            </w:tcMar>
            <w:tcW w:w="720" w:type="dxa"/>
            <w:vAlign w:val="center"/>
            <w:textDirection w:val="lrTb"/>
            <w:noWrap w:val="false"/>
          </w:tcPr>
          <w:p>
            <w:pPr>
              <w:jc w:val="center"/>
              <w:rPr>
                <w:rFonts w:hint="eastAsia" w:ascii="宋体" w:hAnsi="宋体" w:cs="宋体"/>
                <w:b/>
                <w:bCs/>
                <w:color w:val="000000"/>
                <w:sz w:val="20"/>
                <w:szCs w:val="20"/>
              </w:rPr>
            </w:pPr>
            <w:r>
              <w:rPr>
                <w:rFonts w:hint="eastAsia" w:ascii="宋体" w:hAnsi="宋体" w:cs="宋体"/>
                <w:b/>
                <w:bCs/>
                <w:color w:val="000000"/>
                <w:sz w:val="20"/>
                <w:szCs w:val="20"/>
              </w:rPr>
              <w:t xml:space="preserve">是</w:t>
            </w:r>
            <w:r/>
          </w:p>
        </w:tc>
      </w:tr>
      <w:tr>
        <w:trPr>
          <w:tblCellSpacing w:w="0" w:type="dxa"/>
          <w:trHeight w:val="420"/>
        </w:trPr>
        <w:tc>
          <w:tcPr>
            <w:tcMar>
              <w:left w:w="0" w:type="dxa"/>
              <w:right w:w="0" w:type="dxa"/>
            </w:tcMar>
            <w:tcW w:w="764"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3.7</w:t>
            </w:r>
            <w:r/>
          </w:p>
        </w:tc>
        <w:tc>
          <w:tcPr>
            <w:tcW w:w="1293" w:type="dxa"/>
            <w:vAlign w:val="center"/>
            <w:textDirection w:val="lrTb"/>
            <w:noWrap w:val="false"/>
          </w:tcPr>
          <w:p>
            <w:pPr>
              <w:jc w:val="center"/>
              <w:rPr>
                <w:rFonts w:hint="eastAsia" w:ascii="宋体" w:hAnsi="宋体" w:cs="宋体"/>
                <w:b/>
                <w:bCs/>
                <w:color w:val="000000"/>
                <w:sz w:val="20"/>
                <w:szCs w:val="20"/>
              </w:rPr>
            </w:pPr>
            <w:r>
              <w:rPr>
                <w:rFonts w:hint="eastAsia" w:ascii="宋体" w:hAnsi="宋体" w:cs="宋体"/>
              </w:rPr>
              <w:t xml:space="preserve">“小畅”日志智能分析功能演示</w:t>
            </w:r>
            <w:r/>
          </w:p>
        </w:tc>
        <w:tc>
          <w:tcPr>
            <w:tcW w:w="4184" w:type="dxa"/>
            <w:vAlign w:val="center"/>
            <w:textDirection w:val="lrTb"/>
            <w:noWrap w:val="false"/>
          </w:tcPr>
          <w:p>
            <w:pPr>
              <w:jc w:val="left"/>
              <w:widowControl/>
            </w:pPr>
            <w:r>
              <w:rPr>
                <w:rFonts w:ascii="宋体" w:hAnsi="宋体" w:cs="宋体"/>
                <w:lang w:bidi="ar"/>
              </w:rPr>
              <w:t xml:space="preserve">1、展示总体数据概览，支持在筛选时间内，选择多端多渠道的智能体，查看对应的咨询量和用户数、用户满意度、渠道分布占比、区域分布占比及高频提问词云等运行数据，得2分；</w:t>
            </w:r>
            <w:r/>
          </w:p>
          <w:p>
            <w:pPr>
              <w:jc w:val="left"/>
              <w:widowControl/>
            </w:pPr>
            <w:r>
              <w:rPr>
                <w:rFonts w:ascii="宋体" w:hAnsi="宋体" w:cs="宋体"/>
                <w:lang w:bidi="ar"/>
              </w:rPr>
              <w:t xml:space="preserve">2、分析用户提问数据，支持查看和管理各智能体日志，查看问答记录时可以创建客服整改工单，展示高频问题分析结果，得2分；</w:t>
            </w:r>
            <w:r/>
          </w:p>
          <w:p>
            <w:pPr>
              <w:jc w:val="left"/>
              <w:widowControl/>
            </w:pPr>
            <w:r>
              <w:rPr>
                <w:rFonts w:ascii="宋体" w:hAnsi="宋体" w:cs="宋体"/>
                <w:lang w:bidi="ar"/>
              </w:rPr>
              <w:t xml:space="preserve">3、分析智能体回答数据，展示质量分析结果，包括最佳回答排行榜和待改进回答排行榜，提供分析智能体运行报告的功能，实现不同周期分析报告的导出，包括周报、月报等形式，得2分；</w:t>
            </w:r>
            <w:r/>
          </w:p>
          <w:p>
            <w:pPr>
              <w:jc w:val="left"/>
              <w:widowControl/>
              <w:rPr>
                <w:rFonts w:hint="eastAsia" w:ascii="宋体" w:hAnsi="宋体" w:cs="宋体"/>
                <w:b/>
                <w:bCs/>
                <w:color w:val="000000"/>
                <w:sz w:val="20"/>
                <w:szCs w:val="20"/>
              </w:rPr>
            </w:pPr>
            <w:r>
              <w:rPr>
                <w:rFonts w:ascii="宋体" w:hAnsi="宋体" w:cs="宋体"/>
                <w:lang w:bidi="ar"/>
              </w:rPr>
              <w:t xml:space="preserve">4、未提供演示本项不得分。 </w:t>
            </w:r>
            <w:r/>
          </w:p>
        </w:tc>
        <w:tc>
          <w:tcPr>
            <w:tcW w:w="690" w:type="dxa"/>
            <w:vAlign w:val="center"/>
            <w:textDirection w:val="lrTb"/>
            <w:noWrap w:val="false"/>
          </w:tcPr>
          <w:p>
            <w:pPr>
              <w:jc w:val="center"/>
              <w:rPr>
                <w:rFonts w:hint="eastAsia" w:ascii="宋体" w:hAnsi="宋体" w:cs="宋体"/>
                <w:b/>
                <w:bCs/>
                <w:color w:val="000000"/>
                <w:sz w:val="20"/>
                <w:szCs w:val="20"/>
              </w:rPr>
            </w:pPr>
            <w:r>
              <w:rPr>
                <w:rFonts w:hint="eastAsia" w:ascii="宋体" w:hAnsi="宋体" w:cs="宋体"/>
                <w:b/>
                <w:sz w:val="20"/>
              </w:rPr>
              <w:t xml:space="preserve">0</w:t>
            </w:r>
            <w:r/>
          </w:p>
        </w:tc>
        <w:tc>
          <w:tcPr>
            <w:tcMar>
              <w:left w:w="0" w:type="dxa"/>
              <w:right w:w="0" w:type="dxa"/>
            </w:tcMar>
            <w:tcW w:w="645" w:type="dxa"/>
            <w:vAlign w:val="center"/>
            <w:textDirection w:val="lrTb"/>
            <w:noWrap w:val="false"/>
          </w:tcPr>
          <w:p>
            <w:pPr>
              <w:jc w:val="center"/>
              <w:rPr>
                <w:rFonts w:hint="eastAsia" w:ascii="宋体" w:hAnsi="宋体" w:cs="宋体"/>
                <w:b/>
                <w:bCs/>
                <w:color w:val="000000"/>
                <w:sz w:val="20"/>
                <w:szCs w:val="20"/>
              </w:rPr>
            </w:pPr>
            <w:r>
              <w:rPr>
                <w:rFonts w:hint="eastAsia" w:ascii="宋体" w:hAnsi="宋体" w:cs="宋体"/>
                <w:b/>
                <w:sz w:val="20"/>
              </w:rPr>
              <w:t xml:space="preserve">6</w:t>
            </w:r>
            <w:r/>
          </w:p>
        </w:tc>
        <w:tc>
          <w:tcPr>
            <w:tcMar>
              <w:left w:w="0" w:type="dxa"/>
              <w:right w:w="0" w:type="dxa"/>
            </w:tcMar>
            <w:tcW w:w="675" w:type="dxa"/>
            <w:vAlign w:val="center"/>
            <w:textDirection w:val="lrTb"/>
            <w:noWrap w:val="false"/>
          </w:tcPr>
          <w:p>
            <w:pPr>
              <w:jc w:val="center"/>
              <w:rPr>
                <w:rFonts w:hint="eastAsia" w:ascii="宋体" w:hAnsi="宋体" w:cs="宋体"/>
                <w:b/>
                <w:bCs/>
                <w:color w:val="000000"/>
                <w:sz w:val="20"/>
                <w:szCs w:val="20"/>
              </w:rPr>
            </w:pPr>
            <w:r>
              <w:rPr>
                <w:rFonts w:hint="eastAsia" w:ascii="宋体" w:hAnsi="宋体" w:cs="宋体"/>
                <w:b/>
                <w:bCs/>
                <w:color w:val="000000"/>
                <w:sz w:val="20"/>
                <w:szCs w:val="20"/>
              </w:rPr>
              <w:t xml:space="preserve">否</w:t>
            </w:r>
            <w:r/>
          </w:p>
        </w:tc>
        <w:tc>
          <w:tcPr>
            <w:tcMar>
              <w:left w:w="0" w:type="dxa"/>
              <w:right w:w="0" w:type="dxa"/>
            </w:tcMar>
            <w:tcW w:w="720" w:type="dxa"/>
            <w:vAlign w:val="center"/>
            <w:textDirection w:val="lrTb"/>
            <w:noWrap w:val="false"/>
          </w:tcPr>
          <w:p>
            <w:pPr>
              <w:jc w:val="center"/>
              <w:rPr>
                <w:rFonts w:hint="eastAsia" w:ascii="宋体" w:hAnsi="宋体" w:cs="宋体"/>
                <w:b/>
                <w:bCs/>
                <w:color w:val="000000"/>
                <w:sz w:val="20"/>
                <w:szCs w:val="20"/>
              </w:rPr>
            </w:pPr>
            <w:r>
              <w:rPr>
                <w:rFonts w:hint="eastAsia" w:ascii="宋体" w:hAnsi="宋体" w:cs="宋体"/>
                <w:b/>
                <w:bCs/>
                <w:color w:val="000000"/>
                <w:sz w:val="20"/>
                <w:szCs w:val="20"/>
              </w:rPr>
              <w:t xml:space="preserve">是</w:t>
            </w:r>
            <w:r/>
          </w:p>
        </w:tc>
      </w:tr>
      <w:tr>
        <w:trPr>
          <w:tblCellSpacing w:w="0" w:type="dxa"/>
          <w:trHeight w:val="420"/>
        </w:trPr>
        <w:tc>
          <w:tcPr>
            <w:tcMar>
              <w:left w:w="0" w:type="dxa"/>
              <w:right w:w="0" w:type="dxa"/>
            </w:tcMar>
            <w:tcW w:w="764"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3.8</w:t>
            </w:r>
            <w:r/>
          </w:p>
        </w:tc>
        <w:tc>
          <w:tcPr>
            <w:tcW w:w="1293" w:type="dxa"/>
            <w:vAlign w:val="center"/>
            <w:textDirection w:val="lrTb"/>
            <w:noWrap w:val="false"/>
          </w:tcPr>
          <w:p>
            <w:pPr>
              <w:jc w:val="center"/>
              <w:rPr>
                <w:rFonts w:hint="eastAsia" w:ascii="宋体" w:hAnsi="宋体" w:cs="宋体"/>
                <w:b/>
                <w:bCs/>
                <w:color w:val="000000"/>
                <w:sz w:val="20"/>
                <w:szCs w:val="20"/>
              </w:rPr>
            </w:pPr>
            <w:r>
              <w:rPr>
                <w:rFonts w:hint="eastAsia" w:ascii="宋体" w:hAnsi="宋体" w:cs="宋体"/>
              </w:rPr>
              <w:t xml:space="preserve">智能预审功能演示</w:t>
            </w:r>
            <w:r/>
          </w:p>
        </w:tc>
        <w:tc>
          <w:tcPr>
            <w:tcW w:w="4184" w:type="dxa"/>
            <w:vAlign w:val="center"/>
            <w:textDirection w:val="lrTb"/>
            <w:noWrap w:val="false"/>
          </w:tcPr>
          <w:p>
            <w:pPr>
              <w:rPr>
                <w:rFonts w:hint="eastAsia" w:ascii="宋体" w:hAnsi="宋体" w:cs="宋体"/>
                <w:lang w:bidi="ar"/>
              </w:rPr>
            </w:pPr>
            <w:r>
              <w:rPr>
                <w:rFonts w:hint="eastAsia" w:ascii="宋体" w:hAnsi="宋体" w:cs="宋体"/>
                <w:lang w:bidi="ar"/>
              </w:rPr>
              <w:t xml:space="preserve">1、系统支持自动填充申请人身份信息、历史办件信息等预填字段，减少手动录入内容，得2分；</w:t>
            </w:r>
            <w:r/>
          </w:p>
          <w:p>
            <w:pPr>
              <w:rPr>
                <w:rFonts w:hint="eastAsia" w:ascii="宋体" w:hAnsi="宋体" w:cs="宋体"/>
                <w:lang w:bidi="ar"/>
              </w:rPr>
            </w:pPr>
            <w:r>
              <w:rPr>
                <w:rFonts w:hint="eastAsia" w:ascii="宋体" w:hAnsi="宋体" w:cs="宋体"/>
                <w:lang w:bidi="ar"/>
              </w:rPr>
              <w:t xml:space="preserve">2、系统对已填报信息和上传材料进行逻辑一致性预审，自动标记缺失或错误项，得2分；</w:t>
            </w:r>
            <w:r/>
          </w:p>
          <w:p>
            <w:pPr>
              <w:rPr>
                <w:rFonts w:hint="eastAsia" w:ascii="宋体" w:hAnsi="宋体" w:cs="宋体"/>
                <w:lang w:bidi="ar"/>
              </w:rPr>
            </w:pPr>
            <w:r>
              <w:rPr>
                <w:rFonts w:hint="eastAsia" w:ascii="宋体" w:hAnsi="宋体" w:cs="宋体"/>
                <w:lang w:bidi="ar"/>
              </w:rPr>
              <w:t xml:space="preserve">3、预审完成后，系统以列表或高亮方式展示审查要点及对应结果，并给出修改建议或提醒，得2分；</w:t>
            </w:r>
            <w:r/>
          </w:p>
          <w:p>
            <w:pPr>
              <w:rPr>
                <w:rFonts w:hint="eastAsia" w:ascii="宋体" w:hAnsi="宋体" w:cs="宋体"/>
                <w:b/>
                <w:bCs/>
                <w:color w:val="000000"/>
                <w:sz w:val="20"/>
                <w:szCs w:val="20"/>
              </w:rPr>
            </w:pPr>
            <w:r>
              <w:rPr>
                <w:rFonts w:hint="eastAsia" w:ascii="宋体" w:hAnsi="宋体" w:cs="宋体"/>
                <w:lang w:bidi="ar"/>
              </w:rPr>
              <w:t xml:space="preserve">4、未提供演示本项不得分。</w:t>
            </w:r>
            <w:r/>
          </w:p>
        </w:tc>
        <w:tc>
          <w:tcPr>
            <w:tcW w:w="690" w:type="dxa"/>
            <w:vAlign w:val="center"/>
            <w:textDirection w:val="lrTb"/>
            <w:noWrap w:val="false"/>
          </w:tcPr>
          <w:p>
            <w:pPr>
              <w:jc w:val="center"/>
              <w:rPr>
                <w:rFonts w:hint="eastAsia" w:ascii="宋体" w:hAnsi="宋体" w:cs="宋体"/>
                <w:b/>
                <w:bCs/>
                <w:color w:val="000000"/>
                <w:sz w:val="20"/>
                <w:szCs w:val="20"/>
              </w:rPr>
            </w:pPr>
            <w:r>
              <w:rPr>
                <w:rFonts w:hint="eastAsia" w:ascii="宋体" w:hAnsi="宋体" w:cs="宋体"/>
                <w:b/>
                <w:sz w:val="20"/>
              </w:rPr>
              <w:t xml:space="preserve">0</w:t>
            </w:r>
            <w:r/>
          </w:p>
        </w:tc>
        <w:tc>
          <w:tcPr>
            <w:tcMar>
              <w:left w:w="0" w:type="dxa"/>
              <w:right w:w="0" w:type="dxa"/>
            </w:tcMar>
            <w:tcW w:w="645" w:type="dxa"/>
            <w:vAlign w:val="center"/>
            <w:textDirection w:val="lrTb"/>
            <w:noWrap w:val="false"/>
          </w:tcPr>
          <w:p>
            <w:pPr>
              <w:jc w:val="center"/>
              <w:rPr>
                <w:rFonts w:hint="eastAsia" w:ascii="宋体" w:hAnsi="宋体" w:cs="宋体"/>
                <w:b/>
                <w:bCs/>
                <w:color w:val="000000"/>
                <w:sz w:val="20"/>
                <w:szCs w:val="20"/>
              </w:rPr>
            </w:pPr>
            <w:r>
              <w:rPr>
                <w:rFonts w:hint="eastAsia" w:ascii="宋体" w:hAnsi="宋体" w:cs="宋体"/>
                <w:b/>
                <w:sz w:val="20"/>
              </w:rPr>
              <w:t xml:space="preserve">6</w:t>
            </w:r>
            <w:r/>
          </w:p>
        </w:tc>
        <w:tc>
          <w:tcPr>
            <w:tcMar>
              <w:left w:w="0" w:type="dxa"/>
              <w:right w:w="0" w:type="dxa"/>
            </w:tcMar>
            <w:tcW w:w="675" w:type="dxa"/>
            <w:vAlign w:val="center"/>
            <w:textDirection w:val="lrTb"/>
            <w:noWrap w:val="false"/>
          </w:tcPr>
          <w:p>
            <w:pPr>
              <w:jc w:val="center"/>
              <w:rPr>
                <w:rFonts w:hint="eastAsia" w:ascii="宋体" w:hAnsi="宋体" w:cs="宋体"/>
                <w:b/>
                <w:bCs/>
                <w:color w:val="000000"/>
                <w:sz w:val="20"/>
                <w:szCs w:val="20"/>
              </w:rPr>
            </w:pPr>
            <w:r>
              <w:rPr>
                <w:rFonts w:hint="eastAsia" w:ascii="宋体" w:hAnsi="宋体" w:cs="宋体"/>
                <w:b/>
                <w:bCs/>
                <w:color w:val="000000"/>
                <w:sz w:val="20"/>
                <w:szCs w:val="20"/>
              </w:rPr>
              <w:t xml:space="preserve">否</w:t>
            </w:r>
            <w:r/>
          </w:p>
        </w:tc>
        <w:tc>
          <w:tcPr>
            <w:tcMar>
              <w:left w:w="0" w:type="dxa"/>
              <w:right w:w="0" w:type="dxa"/>
            </w:tcMar>
            <w:tcW w:w="720" w:type="dxa"/>
            <w:vAlign w:val="center"/>
            <w:textDirection w:val="lrTb"/>
            <w:noWrap w:val="false"/>
          </w:tcPr>
          <w:p>
            <w:pPr>
              <w:jc w:val="center"/>
              <w:rPr>
                <w:rFonts w:hint="eastAsia" w:ascii="宋体" w:hAnsi="宋体" w:cs="宋体"/>
                <w:b/>
                <w:bCs/>
                <w:color w:val="000000"/>
                <w:sz w:val="20"/>
                <w:szCs w:val="20"/>
              </w:rPr>
            </w:pPr>
            <w:r>
              <w:rPr>
                <w:rFonts w:hint="eastAsia" w:ascii="宋体" w:hAnsi="宋体" w:cs="宋体"/>
                <w:b/>
                <w:bCs/>
                <w:color w:val="000000"/>
                <w:sz w:val="20"/>
                <w:szCs w:val="20"/>
              </w:rPr>
              <w:t xml:space="preserve">是</w:t>
            </w:r>
            <w:r/>
          </w:p>
        </w:tc>
      </w:tr>
    </w:tbl>
    <w:p>
      <w:pPr>
        <w:rPr>
          <w:rFonts w:hint="eastAsia" w:ascii="宋体" w:hAnsi="宋体" w:cs="宋体"/>
          <w:b/>
          <w:color w:val="000000"/>
          <w:sz w:val="24"/>
        </w:rPr>
      </w:pPr>
      <w:r>
        <w:rPr>
          <w:rFonts w:hint="eastAsia" w:ascii="宋体" w:hAnsi="宋体" w:cs="宋体"/>
          <w:b/>
          <w:color w:val="000000"/>
          <w:sz w:val="24"/>
        </w:rPr>
      </w:r>
      <w:r/>
    </w:p>
    <w:p>
      <w:pPr>
        <w:pStyle w:val="767"/>
      </w:pPr>
      <w:r/>
      <w:r/>
    </w:p>
    <w:p>
      <w:pPr>
        <w:pStyle w:val="767"/>
        <w:rPr>
          <w:rFonts w:hint="eastAsia" w:ascii="宋体" w:hAnsi="宋体" w:cs="宋体"/>
          <w:b/>
          <w:color w:val="000000"/>
          <w:sz w:val="24"/>
          <w:szCs w:val="21"/>
        </w:rPr>
      </w:pPr>
      <w:r>
        <w:rPr>
          <w:rFonts w:hint="eastAsia" w:ascii="宋体" w:hAnsi="宋体" w:cs="宋体"/>
          <w:b/>
          <w:color w:val="000000"/>
          <w:sz w:val="24"/>
          <w:szCs w:val="21"/>
        </w:rPr>
        <w:t xml:space="preserve">分包2评分标准：</w:t>
      </w:r>
      <w:r/>
    </w:p>
    <w:tbl>
      <w:tblPr>
        <w:tblStyle w:val="703"/>
        <w:tblW w:w="8953" w:type="dxa"/>
        <w:tblCellSpacing w:w="0" w:type="dxa"/>
        <w:tblInd w:w="2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63"/>
        <w:gridCol w:w="1293"/>
        <w:gridCol w:w="4182"/>
        <w:gridCol w:w="690"/>
        <w:gridCol w:w="645"/>
        <w:gridCol w:w="675"/>
        <w:gridCol w:w="705"/>
      </w:tblGrid>
      <w:tr>
        <w:trPr>
          <w:tblCellSpacing w:w="0" w:type="dxa"/>
          <w:trHeight w:val="420"/>
        </w:trPr>
        <w:tc>
          <w:tcPr>
            <w:tcMar>
              <w:left w:w="0" w:type="dxa"/>
              <w:right w:w="0" w:type="dxa"/>
            </w:tcMar>
            <w:tcW w:w="763" w:type="dxa"/>
            <w:vAlign w:val="center"/>
            <w:textDirection w:val="lrTb"/>
            <w:noWrap w:val="false"/>
          </w:tcPr>
          <w:p>
            <w:pPr>
              <w:pStyle w:val="722"/>
              <w:jc w:val="center"/>
              <w:spacing w:before="0" w:beforeAutospacing="0" w:after="0" w:afterAutospacing="0"/>
            </w:pPr>
            <w:r>
              <w:rPr>
                <w:rFonts w:ascii="宋体" w:hAnsi="宋体" w:cs="宋体"/>
                <w:b/>
                <w:bCs/>
                <w:color w:val="000000"/>
                <w:sz w:val="20"/>
                <w:szCs w:val="20"/>
              </w:rPr>
              <w:t xml:space="preserve">序号</w:t>
            </w:r>
            <w:r/>
          </w:p>
        </w:tc>
        <w:tc>
          <w:tcPr>
            <w:tcW w:w="1293" w:type="dxa"/>
            <w:vAlign w:val="center"/>
            <w:textDirection w:val="lrTb"/>
            <w:noWrap w:val="false"/>
          </w:tcPr>
          <w:p>
            <w:pPr>
              <w:pStyle w:val="722"/>
              <w:jc w:val="center"/>
              <w:spacing w:before="0" w:beforeAutospacing="0" w:after="0" w:afterAutospacing="0"/>
            </w:pPr>
            <w:r>
              <w:rPr>
                <w:rFonts w:ascii="宋体" w:hAnsi="宋体" w:cs="宋体"/>
                <w:b/>
                <w:bCs/>
                <w:color w:val="000000"/>
                <w:sz w:val="20"/>
                <w:szCs w:val="20"/>
              </w:rPr>
              <w:t xml:space="preserve">评分因素</w:t>
            </w:r>
            <w:r/>
          </w:p>
        </w:tc>
        <w:tc>
          <w:tcPr>
            <w:tcW w:w="4182" w:type="dxa"/>
            <w:vAlign w:val="center"/>
            <w:textDirection w:val="lrTb"/>
            <w:noWrap w:val="false"/>
          </w:tcPr>
          <w:p>
            <w:pPr>
              <w:pStyle w:val="722"/>
              <w:jc w:val="center"/>
              <w:spacing w:before="0" w:beforeAutospacing="0" w:after="0" w:afterAutospacing="0"/>
            </w:pPr>
            <w:r>
              <w:rPr>
                <w:rFonts w:ascii="宋体" w:hAnsi="宋体" w:cs="宋体"/>
                <w:b/>
                <w:bCs/>
                <w:color w:val="000000"/>
                <w:sz w:val="21"/>
              </w:rPr>
              <w:t xml:space="preserve">评分标准和评审材料</w:t>
            </w:r>
            <w:r/>
          </w:p>
        </w:tc>
        <w:tc>
          <w:tcPr>
            <w:tcW w:w="690" w:type="dxa"/>
            <w:vAlign w:val="center"/>
            <w:textDirection w:val="lrTb"/>
            <w:noWrap w:val="false"/>
          </w:tcPr>
          <w:p>
            <w:pPr>
              <w:pStyle w:val="722"/>
              <w:jc w:val="center"/>
              <w:spacing w:before="0" w:beforeAutospacing="0" w:after="0" w:afterAutospacing="0"/>
            </w:pPr>
            <w:r>
              <w:rPr>
                <w:rFonts w:ascii="宋体" w:hAnsi="宋体" w:cs="宋体"/>
                <w:b/>
                <w:bCs/>
                <w:color w:val="000000"/>
                <w:sz w:val="21"/>
              </w:rPr>
              <w:t xml:space="preserve">最低分值</w:t>
            </w:r>
            <w:r/>
          </w:p>
        </w:tc>
        <w:tc>
          <w:tcPr>
            <w:tcMar>
              <w:left w:w="0" w:type="dxa"/>
              <w:right w:w="0" w:type="dxa"/>
            </w:tcMar>
            <w:tcW w:w="645" w:type="dxa"/>
            <w:vAlign w:val="center"/>
            <w:textDirection w:val="lrTb"/>
            <w:noWrap w:val="false"/>
          </w:tcPr>
          <w:p>
            <w:pPr>
              <w:pStyle w:val="722"/>
              <w:jc w:val="center"/>
              <w:spacing w:before="0" w:beforeAutospacing="0" w:after="0" w:afterAutospacing="0"/>
            </w:pPr>
            <w:r>
              <w:rPr>
                <w:rFonts w:ascii="宋体" w:hAnsi="宋体" w:cs="宋体"/>
                <w:b/>
                <w:bCs/>
                <w:color w:val="000000"/>
                <w:sz w:val="21"/>
              </w:rPr>
              <w:t xml:space="preserve">最高分值</w:t>
            </w:r>
            <w:r/>
          </w:p>
        </w:tc>
        <w:tc>
          <w:tcPr>
            <w:tcMar>
              <w:left w:w="0" w:type="dxa"/>
              <w:right w:w="0" w:type="dxa"/>
            </w:tcMar>
            <w:tcW w:w="675" w:type="dxa"/>
            <w:vAlign w:val="center"/>
            <w:textDirection w:val="lrTb"/>
            <w:noWrap w:val="false"/>
          </w:tcPr>
          <w:p>
            <w:pPr>
              <w:pStyle w:val="722"/>
              <w:jc w:val="center"/>
              <w:spacing w:before="0" w:beforeAutospacing="0" w:after="0" w:afterAutospacing="0"/>
            </w:pPr>
            <w:r>
              <w:rPr>
                <w:rFonts w:ascii="宋体" w:hAnsi="宋体" w:cs="宋体"/>
                <w:b/>
                <w:bCs/>
                <w:color w:val="000000"/>
                <w:sz w:val="21"/>
              </w:rPr>
              <w:t xml:space="preserve"> </w:t>
            </w:r>
            <w:r/>
          </w:p>
        </w:tc>
        <w:tc>
          <w:tcPr>
            <w:tcMar>
              <w:left w:w="0" w:type="dxa"/>
              <w:right w:w="0" w:type="dxa"/>
            </w:tcMar>
            <w:tcW w:w="705" w:type="dxa"/>
            <w:vAlign w:val="center"/>
            <w:textDirection w:val="lrTb"/>
            <w:noWrap w:val="false"/>
          </w:tcPr>
          <w:p>
            <w:pPr>
              <w:pStyle w:val="722"/>
              <w:jc w:val="center"/>
              <w:spacing w:before="0" w:beforeAutospacing="0" w:after="0" w:afterAutospacing="0"/>
            </w:pPr>
            <w:r>
              <w:rPr>
                <w:rFonts w:ascii="宋体" w:hAnsi="宋体" w:cs="宋体"/>
                <w:b/>
                <w:bCs/>
                <w:color w:val="000000"/>
                <w:sz w:val="21"/>
              </w:rPr>
              <w:t xml:space="preserve"> </w:t>
            </w:r>
            <w:r/>
          </w:p>
        </w:tc>
      </w:tr>
      <w:tr>
        <w:trPr>
          <w:tblCellSpacing w:w="0" w:type="dxa"/>
          <w:trHeight w:val="420"/>
        </w:trPr>
        <w:tc>
          <w:tcPr>
            <w:tcMar>
              <w:left w:w="0" w:type="dxa"/>
              <w:right w:w="0" w:type="dxa"/>
            </w:tcMar>
            <w:tcW w:w="763" w:type="dxa"/>
            <w:vAlign w:val="center"/>
            <w:textDirection w:val="lrTb"/>
            <w:noWrap w:val="false"/>
          </w:tcPr>
          <w:p>
            <w:pPr>
              <w:pStyle w:val="722"/>
              <w:jc w:val="center"/>
              <w:spacing w:before="0" w:beforeAutospacing="0" w:after="0" w:afterAutospacing="0"/>
            </w:pPr>
            <w:r>
              <w:rPr>
                <w:rFonts w:ascii="宋体" w:hAnsi="宋体" w:cs="宋体"/>
                <w:b/>
                <w:bCs/>
                <w:color w:val="000000"/>
                <w:sz w:val="20"/>
                <w:szCs w:val="20"/>
              </w:rPr>
              <w:t xml:space="preserve">1</w:t>
            </w:r>
            <w:r/>
          </w:p>
        </w:tc>
        <w:tc>
          <w:tcPr>
            <w:tcW w:w="1293" w:type="dxa"/>
            <w:vAlign w:val="center"/>
            <w:textDirection w:val="lrTb"/>
            <w:noWrap w:val="false"/>
          </w:tcPr>
          <w:p>
            <w:pPr>
              <w:pStyle w:val="722"/>
              <w:jc w:val="center"/>
              <w:spacing w:before="0" w:beforeAutospacing="0" w:after="0" w:afterAutospacing="0"/>
            </w:pPr>
            <w:r>
              <w:rPr>
                <w:rFonts w:ascii="宋体" w:hAnsi="宋体" w:cs="宋体"/>
                <w:b/>
                <w:bCs/>
                <w:color w:val="000000"/>
                <w:sz w:val="20"/>
                <w:szCs w:val="20"/>
              </w:rPr>
              <w:t xml:space="preserve">价格分</w:t>
            </w:r>
            <w:r/>
          </w:p>
        </w:tc>
        <w:tc>
          <w:tcPr>
            <w:tcW w:w="4182" w:type="dxa"/>
            <w:vAlign w:val="center"/>
            <w:textDirection w:val="lrTb"/>
            <w:noWrap w:val="false"/>
          </w:tcPr>
          <w:p>
            <w:pPr>
              <w:jc w:val="left"/>
              <w:rPr>
                <w:rFonts w:ascii="Calibri" w:hAnsi="Calibri"/>
                <w:szCs w:val="24"/>
              </w:rPr>
            </w:pPr>
            <w:r>
              <w:rPr>
                <w:rFonts w:hint="eastAsia" w:ascii="宋体" w:hAnsi="宋体" w:cs="宋体"/>
                <w:color w:val="000000"/>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p>
        </w:tc>
        <w:tc>
          <w:tcPr>
            <w:tcW w:w="690" w:type="dxa"/>
            <w:vAlign w:val="center"/>
            <w:textDirection w:val="lrTb"/>
            <w:noWrap w:val="false"/>
          </w:tcPr>
          <w:p>
            <w:pPr>
              <w:jc w:val="center"/>
              <w:rPr>
                <w:rFonts w:ascii="Calibri" w:hAnsi="Calibri"/>
                <w:b/>
                <w:szCs w:val="24"/>
              </w:rPr>
            </w:pPr>
            <w:r>
              <w:rPr>
                <w:rFonts w:hint="eastAsia" w:ascii="宋体" w:hAnsi="宋体" w:cs="宋体"/>
                <w:b/>
                <w:sz w:val="20"/>
              </w:rPr>
              <w:t xml:space="preserve">0</w:t>
            </w:r>
            <w:r/>
          </w:p>
        </w:tc>
        <w:tc>
          <w:tcPr>
            <w:tcMar>
              <w:left w:w="0" w:type="dxa"/>
              <w:right w:w="0" w:type="dxa"/>
            </w:tcMar>
            <w:tcW w:w="645" w:type="dxa"/>
            <w:vAlign w:val="center"/>
            <w:textDirection w:val="lrTb"/>
            <w:noWrap w:val="false"/>
          </w:tcPr>
          <w:p>
            <w:pPr>
              <w:jc w:val="center"/>
              <w:rPr>
                <w:rFonts w:ascii="Calibri" w:hAnsi="Calibri"/>
                <w:b/>
                <w:szCs w:val="24"/>
              </w:rPr>
            </w:pPr>
            <w:r>
              <w:rPr>
                <w:rFonts w:hint="eastAsia" w:ascii="宋体" w:hAnsi="宋体" w:cs="宋体"/>
                <w:b/>
                <w:sz w:val="20"/>
              </w:rPr>
              <w:t xml:space="preserve">10</w:t>
            </w:r>
            <w:r/>
          </w:p>
        </w:tc>
        <w:tc>
          <w:tcPr>
            <w:tcMar>
              <w:left w:w="0" w:type="dxa"/>
              <w:right w:w="0" w:type="dxa"/>
            </w:tcMar>
            <w:tcW w:w="675" w:type="dxa"/>
            <w:vAlign w:val="center"/>
            <w:textDirection w:val="lrTb"/>
            <w:noWrap w:val="false"/>
          </w:tcPr>
          <w:p>
            <w:pPr>
              <w:pStyle w:val="722"/>
              <w:jc w:val="center"/>
              <w:spacing w:before="0" w:beforeAutospacing="0" w:after="0" w:afterAutospacing="0"/>
            </w:pPr>
            <w:r>
              <w:rPr>
                <w:rFonts w:ascii="宋体" w:hAnsi="宋体" w:cs="宋体"/>
                <w:b/>
                <w:bCs/>
                <w:color w:val="000000"/>
                <w:sz w:val="20"/>
                <w:szCs w:val="20"/>
              </w:rPr>
              <w:t xml:space="preserve"> </w:t>
            </w:r>
            <w:r/>
          </w:p>
        </w:tc>
        <w:tc>
          <w:tcPr>
            <w:tcMar>
              <w:left w:w="0" w:type="dxa"/>
              <w:right w:w="0" w:type="dxa"/>
            </w:tcMar>
            <w:tcW w:w="705" w:type="dxa"/>
            <w:vAlign w:val="center"/>
            <w:textDirection w:val="lrTb"/>
            <w:noWrap w:val="false"/>
          </w:tcPr>
          <w:p>
            <w:pPr>
              <w:pStyle w:val="722"/>
              <w:jc w:val="center"/>
              <w:spacing w:before="0" w:beforeAutospacing="0" w:after="0" w:afterAutospacing="0"/>
            </w:pPr>
            <w:r>
              <w:rPr>
                <w:rFonts w:ascii="宋体" w:hAnsi="宋体" w:cs="宋体"/>
                <w:b/>
                <w:bCs/>
                <w:color w:val="000000"/>
                <w:sz w:val="20"/>
                <w:szCs w:val="20"/>
              </w:rPr>
              <w:t xml:space="preserve"> </w:t>
            </w:r>
            <w:r/>
          </w:p>
        </w:tc>
      </w:tr>
      <w:tr>
        <w:trPr>
          <w:tblCellSpacing w:w="0" w:type="dxa"/>
          <w:trHeight w:val="420"/>
        </w:trPr>
        <w:tc>
          <w:tcPr>
            <w:tcMar>
              <w:left w:w="0" w:type="dxa"/>
              <w:right w:w="0" w:type="dxa"/>
            </w:tcMar>
            <w:tcW w:w="763" w:type="dxa"/>
            <w:vAlign w:val="center"/>
            <w:textDirection w:val="lrTb"/>
            <w:noWrap w:val="false"/>
          </w:tcPr>
          <w:p>
            <w:pPr>
              <w:pStyle w:val="722"/>
              <w:jc w:val="center"/>
              <w:spacing w:before="0" w:beforeAutospacing="0" w:after="0" w:afterAutospacing="0"/>
            </w:pPr>
            <w:r>
              <w:rPr>
                <w:rFonts w:ascii="宋体" w:hAnsi="宋体" w:cs="宋体"/>
                <w:b/>
                <w:bCs/>
                <w:color w:val="000000"/>
                <w:sz w:val="20"/>
                <w:szCs w:val="20"/>
              </w:rPr>
              <w:t xml:space="preserve">序号</w:t>
            </w:r>
            <w:r/>
          </w:p>
        </w:tc>
        <w:tc>
          <w:tcPr>
            <w:tcW w:w="1293" w:type="dxa"/>
            <w:vAlign w:val="center"/>
            <w:textDirection w:val="lrTb"/>
            <w:noWrap w:val="false"/>
          </w:tcPr>
          <w:p>
            <w:pPr>
              <w:pStyle w:val="722"/>
              <w:jc w:val="center"/>
              <w:spacing w:before="0" w:beforeAutospacing="0" w:after="0" w:afterAutospacing="0"/>
            </w:pPr>
            <w:r>
              <w:rPr>
                <w:rFonts w:ascii="宋体" w:hAnsi="宋体" w:cs="宋体"/>
                <w:b/>
                <w:bCs/>
                <w:color w:val="000000"/>
                <w:sz w:val="20"/>
                <w:szCs w:val="20"/>
              </w:rPr>
              <w:t xml:space="preserve">评分因素</w:t>
            </w:r>
            <w:r/>
          </w:p>
        </w:tc>
        <w:tc>
          <w:tcPr>
            <w:tcW w:w="4182" w:type="dxa"/>
            <w:vAlign w:val="center"/>
            <w:textDirection w:val="lrTb"/>
            <w:noWrap w:val="false"/>
          </w:tcPr>
          <w:p>
            <w:pPr>
              <w:pStyle w:val="722"/>
              <w:jc w:val="center"/>
              <w:spacing w:before="0" w:beforeAutospacing="0" w:after="0" w:afterAutospacing="0"/>
            </w:pPr>
            <w:r>
              <w:rPr>
                <w:rFonts w:ascii="宋体" w:hAnsi="宋体" w:cs="宋体"/>
                <w:b/>
                <w:bCs/>
                <w:color w:val="000000"/>
                <w:sz w:val="21"/>
              </w:rPr>
              <w:t xml:space="preserve">评分标准和评审材料</w:t>
            </w:r>
            <w:r/>
          </w:p>
        </w:tc>
        <w:tc>
          <w:tcPr>
            <w:tcW w:w="690" w:type="dxa"/>
            <w:vAlign w:val="center"/>
            <w:textDirection w:val="lrTb"/>
            <w:noWrap w:val="false"/>
          </w:tcPr>
          <w:p>
            <w:pPr>
              <w:pStyle w:val="722"/>
              <w:jc w:val="center"/>
              <w:spacing w:before="0" w:beforeAutospacing="0" w:after="0" w:afterAutospacing="0"/>
            </w:pPr>
            <w:r>
              <w:rPr>
                <w:rFonts w:ascii="宋体" w:hAnsi="宋体" w:cs="宋体"/>
                <w:b/>
                <w:bCs/>
                <w:color w:val="000000"/>
                <w:sz w:val="21"/>
              </w:rPr>
              <w:t xml:space="preserve">最低分值</w:t>
            </w:r>
            <w:r/>
          </w:p>
        </w:tc>
        <w:tc>
          <w:tcPr>
            <w:tcMar>
              <w:left w:w="0" w:type="dxa"/>
              <w:right w:w="0" w:type="dxa"/>
            </w:tcMar>
            <w:tcW w:w="645" w:type="dxa"/>
            <w:vAlign w:val="center"/>
            <w:textDirection w:val="lrTb"/>
            <w:noWrap w:val="false"/>
          </w:tcPr>
          <w:p>
            <w:pPr>
              <w:pStyle w:val="722"/>
              <w:jc w:val="center"/>
              <w:spacing w:before="0" w:beforeAutospacing="0" w:after="0" w:afterAutospacing="0"/>
            </w:pPr>
            <w:r>
              <w:rPr>
                <w:rFonts w:ascii="宋体" w:hAnsi="宋体" w:cs="宋体"/>
                <w:b/>
                <w:bCs/>
                <w:color w:val="000000"/>
                <w:sz w:val="21"/>
              </w:rPr>
              <w:t xml:space="preserve">最高分值</w:t>
            </w:r>
            <w:r/>
          </w:p>
        </w:tc>
        <w:tc>
          <w:tcPr>
            <w:tcMar>
              <w:left w:w="0" w:type="dxa"/>
              <w:right w:w="0" w:type="dxa"/>
            </w:tcMar>
            <w:tcW w:w="675" w:type="dxa"/>
            <w:vAlign w:val="center"/>
            <w:textDirection w:val="lrTb"/>
            <w:noWrap w:val="false"/>
          </w:tcPr>
          <w:p>
            <w:pPr>
              <w:pStyle w:val="722"/>
              <w:jc w:val="center"/>
              <w:spacing w:before="0" w:beforeAutospacing="0" w:after="0" w:afterAutospacing="0"/>
            </w:pPr>
            <w:r>
              <w:rPr>
                <w:rFonts w:ascii="宋体" w:hAnsi="宋体" w:cs="宋体"/>
                <w:b/>
                <w:bCs/>
                <w:color w:val="000000"/>
                <w:sz w:val="21"/>
              </w:rPr>
              <w:t xml:space="preserve">是否暗标评审</w:t>
            </w:r>
            <w:r/>
          </w:p>
        </w:tc>
        <w:tc>
          <w:tcPr>
            <w:tcMar>
              <w:left w:w="0" w:type="dxa"/>
              <w:right w:w="0" w:type="dxa"/>
            </w:tcMar>
            <w:tcW w:w="705" w:type="dxa"/>
            <w:vAlign w:val="center"/>
            <w:textDirection w:val="lrTb"/>
            <w:noWrap w:val="false"/>
          </w:tcPr>
          <w:p>
            <w:pPr>
              <w:pStyle w:val="722"/>
              <w:jc w:val="center"/>
              <w:spacing w:before="0" w:beforeAutospacing="0" w:after="0" w:afterAutospacing="0"/>
            </w:pPr>
            <w:r>
              <w:rPr>
                <w:rFonts w:ascii="宋体" w:hAnsi="宋体" w:cs="宋体"/>
                <w:b/>
                <w:bCs/>
                <w:color w:val="000000"/>
                <w:sz w:val="21"/>
              </w:rPr>
              <w:t xml:space="preserve">是否客观分</w:t>
            </w:r>
            <w:r/>
          </w:p>
        </w:tc>
      </w:tr>
      <w:tr>
        <w:trPr>
          <w:tblCellSpacing w:w="0" w:type="dxa"/>
          <w:trHeight w:val="420"/>
        </w:trPr>
        <w:tc>
          <w:tcPr>
            <w:tcMar>
              <w:left w:w="0" w:type="dxa"/>
              <w:right w:w="0" w:type="dxa"/>
            </w:tcMar>
            <w:tcW w:w="763" w:type="dxa"/>
            <w:vAlign w:val="center"/>
            <w:textDirection w:val="lrTb"/>
            <w:noWrap w:val="false"/>
          </w:tcPr>
          <w:p>
            <w:pPr>
              <w:pStyle w:val="722"/>
              <w:jc w:val="center"/>
              <w:spacing w:before="0" w:beforeAutospacing="0" w:after="0" w:afterAutospacing="0"/>
            </w:pPr>
            <w:r>
              <w:rPr>
                <w:rFonts w:ascii="宋体" w:hAnsi="宋体" w:cs="宋体"/>
                <w:b/>
                <w:bCs/>
                <w:color w:val="000000"/>
                <w:sz w:val="20"/>
                <w:szCs w:val="20"/>
              </w:rPr>
              <w:t xml:space="preserve"> </w:t>
            </w:r>
            <w:r/>
          </w:p>
        </w:tc>
        <w:tc>
          <w:tcPr>
            <w:tcW w:w="1293" w:type="dxa"/>
            <w:vAlign w:val="center"/>
            <w:textDirection w:val="lrTb"/>
            <w:noWrap w:val="false"/>
          </w:tcPr>
          <w:p>
            <w:pPr>
              <w:pStyle w:val="722"/>
              <w:jc w:val="center"/>
              <w:spacing w:before="0" w:beforeAutospacing="0" w:after="0" w:afterAutospacing="0"/>
            </w:pPr>
            <w:r>
              <w:rPr>
                <w:rFonts w:ascii="宋体" w:hAnsi="宋体" w:cs="宋体"/>
                <w:b/>
                <w:bCs/>
                <w:color w:val="000000"/>
                <w:sz w:val="20"/>
                <w:szCs w:val="20"/>
              </w:rPr>
              <w:t xml:space="preserve">技术分</w:t>
            </w:r>
            <w:r/>
          </w:p>
          <w:p>
            <w:pPr>
              <w:pStyle w:val="722"/>
              <w:jc w:val="center"/>
              <w:spacing w:before="0" w:beforeAutospacing="0" w:after="0" w:afterAutospacing="0"/>
            </w:pPr>
            <w:r>
              <w:rPr>
                <w:rFonts w:ascii="宋体" w:hAnsi="宋体" w:cs="宋体"/>
                <w:b/>
                <w:bCs/>
                <w:color w:val="000000"/>
                <w:sz w:val="20"/>
                <w:szCs w:val="20"/>
              </w:rPr>
              <w:t xml:space="preserve">（主观分）</w:t>
            </w:r>
            <w:r/>
          </w:p>
        </w:tc>
        <w:tc>
          <w:tcPr>
            <w:tcW w:w="4182" w:type="dxa"/>
            <w:vAlign w:val="center"/>
            <w:textDirection w:val="lrTb"/>
            <w:noWrap w:val="false"/>
          </w:tcPr>
          <w:p>
            <w:pPr>
              <w:pStyle w:val="722"/>
              <w:jc w:val="center"/>
              <w:spacing w:before="0" w:beforeAutospacing="0" w:after="0" w:afterAutospacing="0"/>
            </w:pPr>
            <w:r>
              <w:rPr>
                <w:b/>
                <w:bCs/>
                <w:szCs w:val="24"/>
              </w:rPr>
              <w:t xml:space="preserve">下列</w:t>
            </w:r>
            <w:r>
              <w:rPr>
                <w:rFonts w:hint="eastAsia"/>
                <w:b/>
                <w:bCs/>
                <w:szCs w:val="24"/>
              </w:rPr>
              <w:t xml:space="preserve">主观分</w:t>
            </w:r>
            <w:r>
              <w:rPr>
                <w:b/>
                <w:bCs/>
                <w:szCs w:val="24"/>
              </w:rPr>
              <w:t xml:space="preserve">评分项属于暗标评审项，各投标人（供应商）提供评审材料（含样品）中不能出现投标人（供应商）的名称、标志、标记以及其它能够体现投标人（供应商）的信息，否则所有暗标评审项目均不得分。</w:t>
            </w:r>
            <w:r>
              <w:rPr>
                <w:rFonts w:ascii="宋体" w:hAnsi="宋体" w:cs="宋体"/>
                <w:b/>
                <w:bCs/>
                <w:color w:val="000000"/>
                <w:sz w:val="20"/>
                <w:szCs w:val="20"/>
              </w:rPr>
              <w:t xml:space="preserve"> </w:t>
            </w:r>
            <w:r/>
          </w:p>
        </w:tc>
        <w:tc>
          <w:tcPr>
            <w:tcW w:w="690" w:type="dxa"/>
            <w:vAlign w:val="center"/>
            <w:textDirection w:val="lrTb"/>
            <w:noWrap w:val="false"/>
          </w:tcPr>
          <w:p>
            <w:pPr>
              <w:pStyle w:val="722"/>
              <w:jc w:val="center"/>
              <w:spacing w:before="0" w:beforeAutospacing="0" w:after="0" w:afterAutospacing="0"/>
            </w:pPr>
            <w:r>
              <w:rPr>
                <w:rFonts w:ascii="宋体" w:hAnsi="宋体" w:cs="宋体"/>
                <w:b/>
                <w:bCs/>
                <w:color w:val="000000"/>
                <w:sz w:val="20"/>
                <w:szCs w:val="20"/>
              </w:rPr>
              <w:t xml:space="preserve"> </w:t>
            </w:r>
            <w:r/>
          </w:p>
        </w:tc>
        <w:tc>
          <w:tcPr>
            <w:tcMar>
              <w:left w:w="0" w:type="dxa"/>
              <w:right w:w="0" w:type="dxa"/>
            </w:tcMar>
            <w:tcW w:w="645" w:type="dxa"/>
            <w:vAlign w:val="center"/>
            <w:textDirection w:val="lrTb"/>
            <w:noWrap w:val="false"/>
          </w:tcPr>
          <w:p>
            <w:pPr>
              <w:pStyle w:val="722"/>
              <w:jc w:val="center"/>
              <w:spacing w:before="0" w:beforeAutospacing="0" w:after="0" w:afterAutospacing="0"/>
            </w:pPr>
            <w:r>
              <w:rPr>
                <w:rFonts w:ascii="宋体" w:hAnsi="宋体" w:cs="宋体"/>
                <w:b/>
                <w:bCs/>
                <w:color w:val="000000"/>
                <w:sz w:val="20"/>
                <w:szCs w:val="20"/>
              </w:rPr>
              <w:t xml:space="preserve"> </w:t>
            </w:r>
            <w:r/>
          </w:p>
        </w:tc>
        <w:tc>
          <w:tcPr>
            <w:tcMar>
              <w:left w:w="0" w:type="dxa"/>
              <w:right w:w="0" w:type="dxa"/>
            </w:tcMar>
            <w:tcW w:w="675" w:type="dxa"/>
            <w:vAlign w:val="center"/>
            <w:textDirection w:val="lrTb"/>
            <w:noWrap w:val="false"/>
          </w:tcPr>
          <w:p>
            <w:pPr>
              <w:pStyle w:val="722"/>
              <w:jc w:val="center"/>
              <w:spacing w:before="0" w:beforeAutospacing="0" w:after="0" w:afterAutospacing="0"/>
            </w:pPr>
            <w:r>
              <w:rPr>
                <w:rFonts w:ascii="宋体" w:hAnsi="宋体" w:cs="宋体"/>
                <w:b/>
                <w:bCs/>
                <w:color w:val="000000"/>
                <w:sz w:val="20"/>
                <w:szCs w:val="20"/>
              </w:rPr>
              <w:t xml:space="preserve"> </w:t>
            </w:r>
            <w:r/>
          </w:p>
        </w:tc>
        <w:tc>
          <w:tcPr>
            <w:tcMar>
              <w:left w:w="0" w:type="dxa"/>
              <w:right w:w="0" w:type="dxa"/>
            </w:tcMar>
            <w:tcW w:w="705" w:type="dxa"/>
            <w:vAlign w:val="center"/>
            <w:textDirection w:val="lrTb"/>
            <w:noWrap w:val="false"/>
          </w:tcPr>
          <w:p>
            <w:pPr>
              <w:pStyle w:val="722"/>
              <w:jc w:val="center"/>
              <w:spacing w:before="0" w:beforeAutospacing="0" w:after="0" w:afterAutospacing="0"/>
            </w:pPr>
            <w:r>
              <w:rPr>
                <w:rFonts w:ascii="宋体" w:hAnsi="宋体" w:cs="宋体"/>
                <w:b/>
                <w:bCs/>
                <w:color w:val="000000"/>
                <w:sz w:val="20"/>
                <w:szCs w:val="20"/>
              </w:rPr>
              <w:t xml:space="preserve"> </w:t>
            </w:r>
            <w:r/>
          </w:p>
        </w:tc>
      </w:tr>
      <w:tr>
        <w:trPr>
          <w:tblCellSpacing w:w="0" w:type="dxa"/>
          <w:trHeight w:val="420"/>
        </w:trPr>
        <w:tc>
          <w:tcPr>
            <w:tcMar>
              <w:left w:w="0" w:type="dxa"/>
              <w:right w:w="0" w:type="dxa"/>
            </w:tcMar>
            <w:tcW w:w="763" w:type="dxa"/>
            <w:vAlign w:val="center"/>
            <w:textDirection w:val="lrTb"/>
            <w:noWrap w:val="false"/>
          </w:tcPr>
          <w:p>
            <w:pPr>
              <w:pStyle w:val="722"/>
              <w:jc w:val="center"/>
              <w:spacing w:before="0" w:beforeAutospacing="0" w:after="0" w:afterAutospacing="0"/>
            </w:pPr>
            <w:r>
              <w:rPr>
                <w:rFonts w:ascii="宋体" w:hAnsi="宋体" w:cs="宋体"/>
                <w:b/>
                <w:bCs/>
                <w:color w:val="000000"/>
                <w:sz w:val="20"/>
                <w:szCs w:val="20"/>
              </w:rPr>
              <w:t xml:space="preserve">2.1</w:t>
            </w:r>
            <w:r/>
          </w:p>
        </w:tc>
        <w:tc>
          <w:tcPr>
            <w:tcW w:w="1293" w:type="dxa"/>
            <w:vAlign w:val="center"/>
            <w:textDirection w:val="lrTb"/>
            <w:noWrap w:val="false"/>
          </w:tcPr>
          <w:p>
            <w:pPr>
              <w:spacing w:line="360" w:lineRule="auto"/>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总体技术方案</w:t>
            </w:r>
            <w:r/>
          </w:p>
        </w:tc>
        <w:tc>
          <w:tcPr>
            <w:tcW w:w="4182" w:type="dxa"/>
            <w:vAlign w:val="center"/>
            <w:textDirection w:val="lrTb"/>
            <w:noWrap w:val="false"/>
          </w:tcPr>
          <w:p>
            <w:pPr>
              <w:jc w:val="left"/>
              <w:spacing w:after="0" w:line="240" w:lineRule="auto"/>
              <w:widowControl/>
              <w:rPr>
                <w:rFonts w:hint="eastAsia" w:ascii="宋体" w:hAnsi="宋体" w:cs="宋体"/>
                <w:lang w:bidi="ar"/>
              </w:rPr>
            </w:pPr>
            <w:r>
              <w:rPr>
                <w:rFonts w:hint="eastAsia" w:ascii="宋体" w:hAnsi="宋体" w:cs="宋体"/>
                <w:lang w:bidi="ar"/>
              </w:rPr>
              <w:t xml:space="preserve">1.完全响应采购需求，监理工作目标、要求、方式分析设计详细到位，贴合信息化监理全流程规范，得6分；</w:t>
            </w:r>
            <w:r/>
          </w:p>
          <w:p>
            <w:pPr>
              <w:jc w:val="left"/>
              <w:spacing w:after="0" w:line="240" w:lineRule="auto"/>
              <w:widowControl/>
              <w:rPr>
                <w:rFonts w:hint="eastAsia" w:ascii="宋体" w:hAnsi="宋体" w:cs="宋体"/>
                <w:lang w:bidi="ar"/>
              </w:rPr>
            </w:pPr>
            <w:r>
              <w:rPr>
                <w:rFonts w:hint="eastAsia" w:ascii="宋体" w:hAnsi="宋体" w:cs="宋体"/>
                <w:lang w:bidi="ar"/>
              </w:rPr>
              <w:t xml:space="preserve">2.响应采购需求，监理工作核心内容设计基本到位，无重大缺失，得4分；</w:t>
            </w:r>
            <w:r/>
          </w:p>
          <w:p>
            <w:pPr>
              <w:jc w:val="left"/>
              <w:spacing w:after="0" w:line="240" w:lineRule="auto"/>
              <w:widowControl/>
              <w:rPr>
                <w:rFonts w:hint="eastAsia" w:ascii="宋体" w:hAnsi="宋体" w:cs="宋体"/>
                <w:lang w:bidi="ar"/>
              </w:rPr>
            </w:pPr>
            <w:r>
              <w:rPr>
                <w:rFonts w:hint="eastAsia" w:ascii="宋体" w:hAnsi="宋体" w:cs="宋体"/>
                <w:lang w:bidi="ar"/>
              </w:rPr>
              <w:t xml:space="preserve">3.部分响应采购需求，分析设计存在轻微偏差，得2分；</w:t>
            </w:r>
            <w:r/>
          </w:p>
          <w:p>
            <w:pPr>
              <w:jc w:val="left"/>
              <w:spacing w:after="0" w:line="240" w:lineRule="auto"/>
              <w:widowControl/>
              <w:rPr>
                <w:rFonts w:hint="eastAsia" w:ascii="宋体" w:hAnsi="宋体" w:cs="宋体"/>
                <w:color w:val="000000"/>
              </w:rPr>
            </w:pPr>
            <w:r>
              <w:rPr>
                <w:rFonts w:hint="eastAsia" w:ascii="宋体" w:hAnsi="宋体" w:cs="宋体"/>
                <w:lang w:bidi="ar"/>
              </w:rPr>
              <w:t xml:space="preserve">4.未提供方案不得分。</w:t>
            </w:r>
            <w:r/>
          </w:p>
        </w:tc>
        <w:tc>
          <w:tcPr>
            <w:tcW w:w="690" w:type="dxa"/>
            <w:vAlign w:val="center"/>
            <w:textDirection w:val="lrTb"/>
            <w:noWrap w:val="false"/>
          </w:tcPr>
          <w:p>
            <w:pPr>
              <w:pStyle w:val="722"/>
              <w:jc w:val="center"/>
              <w:spacing w:before="0" w:beforeAutospacing="0" w:after="0" w:afterAutospacing="0"/>
            </w:pPr>
            <w:r>
              <w:rPr>
                <w:rFonts w:ascii="宋体" w:hAnsi="宋体" w:cs="宋体"/>
                <w:b/>
                <w:bCs/>
                <w:color w:val="000000"/>
                <w:sz w:val="20"/>
                <w:szCs w:val="20"/>
              </w:rPr>
              <w:t xml:space="preserve"> </w:t>
            </w:r>
            <w:r>
              <w:rPr>
                <w:rFonts w:hint="eastAsia" w:ascii="宋体" w:hAnsi="宋体" w:cs="宋体"/>
                <w:b/>
                <w:bCs/>
                <w:color w:val="000000"/>
                <w:sz w:val="20"/>
                <w:szCs w:val="20"/>
              </w:rPr>
              <w:t xml:space="preserve">0</w:t>
            </w:r>
            <w:r/>
          </w:p>
        </w:tc>
        <w:tc>
          <w:tcPr>
            <w:tcMar>
              <w:left w:w="0" w:type="dxa"/>
              <w:right w:w="0" w:type="dxa"/>
            </w:tcMar>
            <w:tcW w:w="645" w:type="dxa"/>
            <w:vAlign w:val="center"/>
            <w:textDirection w:val="lrTb"/>
            <w:noWrap w:val="false"/>
          </w:tcPr>
          <w:p>
            <w:pPr>
              <w:pStyle w:val="722"/>
              <w:jc w:val="center"/>
              <w:spacing w:before="0" w:beforeAutospacing="0" w:after="0" w:afterAutospacing="0"/>
            </w:pPr>
            <w:r>
              <w:rPr>
                <w:rFonts w:hint="eastAsia" w:ascii="宋体" w:hAnsi="宋体" w:cs="宋体"/>
                <w:b/>
                <w:bCs/>
                <w:color w:val="000000"/>
                <w:sz w:val="20"/>
                <w:szCs w:val="20"/>
              </w:rPr>
              <w:t xml:space="preserve">6</w:t>
            </w:r>
            <w:r/>
          </w:p>
        </w:tc>
        <w:tc>
          <w:tcPr>
            <w:tcMar>
              <w:left w:w="0" w:type="dxa"/>
              <w:right w:w="0" w:type="dxa"/>
            </w:tcMar>
            <w:tcW w:w="675" w:type="dxa"/>
            <w:vAlign w:val="center"/>
            <w:textDirection w:val="lrTb"/>
            <w:noWrap w:val="false"/>
          </w:tcPr>
          <w:p>
            <w:pPr>
              <w:pStyle w:val="722"/>
              <w:jc w:val="center"/>
              <w:spacing w:before="0" w:beforeAutospacing="0" w:after="0" w:afterAutospacing="0"/>
            </w:pPr>
            <w:r>
              <w:rPr>
                <w:rFonts w:hint="eastAsia" w:ascii="宋体" w:hAnsi="宋体" w:cs="宋体"/>
                <w:b/>
                <w:bCs/>
                <w:color w:val="000000"/>
                <w:sz w:val="20"/>
                <w:szCs w:val="20"/>
              </w:rPr>
              <w:t xml:space="preserve">是</w:t>
            </w:r>
            <w:r/>
          </w:p>
        </w:tc>
        <w:tc>
          <w:tcPr>
            <w:tcMar>
              <w:left w:w="0" w:type="dxa"/>
              <w:right w:w="0" w:type="dxa"/>
            </w:tcMar>
            <w:tcW w:w="705" w:type="dxa"/>
            <w:vAlign w:val="center"/>
            <w:textDirection w:val="lrTb"/>
            <w:noWrap w:val="false"/>
          </w:tcPr>
          <w:p>
            <w:pPr>
              <w:pStyle w:val="722"/>
              <w:jc w:val="center"/>
              <w:spacing w:before="0" w:beforeAutospacing="0" w:after="0" w:afterAutospacing="0"/>
            </w:pPr>
            <w:r>
              <w:rPr>
                <w:rFonts w:hint="eastAsia" w:ascii="宋体" w:hAnsi="宋体" w:cs="宋体"/>
                <w:b/>
                <w:bCs/>
                <w:color w:val="000000"/>
                <w:sz w:val="20"/>
                <w:szCs w:val="20"/>
              </w:rPr>
              <w:t xml:space="preserve">否</w:t>
            </w:r>
            <w:r/>
          </w:p>
        </w:tc>
      </w:tr>
      <w:tr>
        <w:trPr>
          <w:tblCellSpacing w:w="0" w:type="dxa"/>
          <w:trHeight w:val="420"/>
        </w:trPr>
        <w:tc>
          <w:tcPr>
            <w:tcMar>
              <w:left w:w="0" w:type="dxa"/>
              <w:right w:w="0" w:type="dxa"/>
            </w:tcMar>
            <w:tcW w:w="763"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2.2</w:t>
            </w:r>
            <w:r/>
          </w:p>
        </w:tc>
        <w:tc>
          <w:tcPr>
            <w:tcW w:w="1293" w:type="dxa"/>
            <w:vAlign w:val="center"/>
            <w:textDirection w:val="lrTb"/>
            <w:noWrap w:val="false"/>
          </w:tcPr>
          <w:p>
            <w:pPr>
              <w:spacing w:line="360" w:lineRule="auto"/>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监理项目理解</w:t>
            </w:r>
            <w:r/>
          </w:p>
        </w:tc>
        <w:tc>
          <w:tcPr>
            <w:tcW w:w="4182" w:type="dxa"/>
            <w:vAlign w:val="center"/>
            <w:textDirection w:val="lrTb"/>
            <w:noWrap w:val="false"/>
          </w:tcPr>
          <w:p>
            <w:pPr>
              <w:jc w:val="left"/>
              <w:spacing w:after="0" w:line="240" w:lineRule="auto"/>
              <w:widowControl/>
              <w:rPr>
                <w:rFonts w:hint="eastAsia" w:ascii="宋体" w:hAnsi="宋体" w:cs="宋体"/>
                <w:lang w:bidi="ar"/>
              </w:rPr>
            </w:pPr>
            <w:r>
              <w:rPr>
                <w:rFonts w:hint="eastAsia" w:ascii="宋体" w:hAnsi="宋体" w:cs="宋体"/>
                <w:lang w:bidi="ar"/>
              </w:rPr>
              <w:t xml:space="preserve">1.全面分析系统现状、监理要求，对项目背景、服务范围、目标、准则理解深刻精准，符合项目管理规范，得4分；</w:t>
            </w:r>
            <w:r/>
          </w:p>
          <w:p>
            <w:pPr>
              <w:jc w:val="left"/>
              <w:spacing w:after="0" w:line="240" w:lineRule="auto"/>
              <w:widowControl/>
              <w:rPr>
                <w:rFonts w:hint="eastAsia" w:ascii="宋体" w:hAnsi="宋体" w:cs="宋体"/>
                <w:lang w:bidi="ar"/>
              </w:rPr>
            </w:pPr>
            <w:r>
              <w:rPr>
                <w:rFonts w:hint="eastAsia" w:ascii="宋体" w:hAnsi="宋体" w:cs="宋体"/>
                <w:lang w:bidi="ar"/>
              </w:rPr>
              <w:t xml:space="preserve">2.较全面分析现状与要求，对项目需求理解基本到位，得3分；</w:t>
            </w:r>
            <w:r/>
          </w:p>
          <w:p>
            <w:pPr>
              <w:jc w:val="left"/>
              <w:spacing w:after="0" w:line="240" w:lineRule="auto"/>
              <w:widowControl/>
              <w:rPr>
                <w:rFonts w:hint="eastAsia" w:ascii="宋体" w:hAnsi="宋体" w:cs="宋体"/>
                <w:lang w:bidi="ar"/>
              </w:rPr>
            </w:pPr>
            <w:r>
              <w:rPr>
                <w:rFonts w:hint="eastAsia" w:ascii="宋体" w:hAnsi="宋体" w:cs="宋体"/>
                <w:lang w:bidi="ar"/>
              </w:rPr>
              <w:t xml:space="preserve">3.对项目背景、需求理解略有偏差，得2分；</w:t>
            </w:r>
            <w:r/>
          </w:p>
          <w:p>
            <w:pPr>
              <w:jc w:val="left"/>
              <w:spacing w:after="0" w:line="240" w:lineRule="auto"/>
              <w:widowControl/>
              <w:rPr>
                <w:rFonts w:hint="eastAsia" w:ascii="宋体" w:hAnsi="宋体" w:cs="宋体"/>
                <w:color w:val="000000"/>
              </w:rPr>
            </w:pPr>
            <w:r>
              <w:rPr>
                <w:rFonts w:hint="eastAsia" w:ascii="宋体" w:hAnsi="宋体" w:cs="宋体"/>
                <w:lang w:bidi="ar"/>
              </w:rPr>
              <w:t xml:space="preserve">4.未提供不得分。</w:t>
            </w:r>
            <w:r/>
          </w:p>
        </w:tc>
        <w:tc>
          <w:tcPr>
            <w:tcW w:w="690"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0</w:t>
            </w:r>
            <w:r/>
          </w:p>
        </w:tc>
        <w:tc>
          <w:tcPr>
            <w:tcMar>
              <w:left w:w="0" w:type="dxa"/>
              <w:right w:w="0" w:type="dxa"/>
            </w:tcMar>
            <w:tcW w:w="645"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4</w:t>
            </w:r>
            <w:r/>
          </w:p>
        </w:tc>
        <w:tc>
          <w:tcPr>
            <w:tcMar>
              <w:left w:w="0" w:type="dxa"/>
              <w:right w:w="0" w:type="dxa"/>
            </w:tcMar>
            <w:tcW w:w="675"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是</w:t>
            </w:r>
            <w:r/>
          </w:p>
        </w:tc>
        <w:tc>
          <w:tcPr>
            <w:tcMar>
              <w:left w:w="0" w:type="dxa"/>
              <w:right w:w="0" w:type="dxa"/>
            </w:tcMar>
            <w:tcW w:w="705"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否</w:t>
            </w:r>
            <w:r/>
          </w:p>
        </w:tc>
      </w:tr>
      <w:tr>
        <w:trPr>
          <w:tblCellSpacing w:w="0" w:type="dxa"/>
          <w:trHeight w:val="420"/>
        </w:trPr>
        <w:tc>
          <w:tcPr>
            <w:tcMar>
              <w:left w:w="0" w:type="dxa"/>
              <w:right w:w="0" w:type="dxa"/>
            </w:tcMar>
            <w:tcW w:w="763"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2.3</w:t>
            </w:r>
            <w:r/>
          </w:p>
        </w:tc>
        <w:tc>
          <w:tcPr>
            <w:tcW w:w="1293" w:type="dxa"/>
            <w:vAlign w:val="center"/>
            <w:textDirection w:val="lrTb"/>
            <w:noWrap w:val="false"/>
          </w:tcPr>
          <w:p>
            <w:pPr>
              <w:spacing w:line="360" w:lineRule="auto"/>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重难点分析及应对措施</w:t>
            </w:r>
            <w:r/>
          </w:p>
        </w:tc>
        <w:tc>
          <w:tcPr>
            <w:tcW w:w="4182" w:type="dxa"/>
            <w:vAlign w:val="center"/>
            <w:textDirection w:val="lrTb"/>
            <w:noWrap w:val="false"/>
          </w:tcPr>
          <w:p>
            <w:pPr>
              <w:jc w:val="left"/>
              <w:spacing w:after="0" w:line="240" w:lineRule="auto"/>
              <w:widowControl/>
              <w:rPr>
                <w:rFonts w:hint="eastAsia" w:ascii="宋体" w:hAnsi="宋体" w:cs="宋体"/>
                <w:lang w:bidi="ar"/>
              </w:rPr>
            </w:pPr>
            <w:r>
              <w:rPr>
                <w:rFonts w:hint="eastAsia" w:ascii="宋体" w:hAnsi="宋体" w:cs="宋体"/>
                <w:lang w:bidi="ar"/>
              </w:rPr>
              <w:t xml:space="preserve">1.精准识别信息化监理核心重难点，分析透彻，应对措施贴合项目、可操作性强、符合GB/T 19668监理规范，得5分；</w:t>
            </w:r>
            <w:r/>
          </w:p>
          <w:p>
            <w:pPr>
              <w:jc w:val="left"/>
              <w:spacing w:after="0" w:line="240" w:lineRule="auto"/>
              <w:widowControl/>
              <w:rPr>
                <w:rFonts w:hint="eastAsia" w:ascii="宋体" w:hAnsi="宋体" w:cs="宋体"/>
                <w:lang w:bidi="ar"/>
              </w:rPr>
            </w:pPr>
            <w:r>
              <w:rPr>
                <w:rFonts w:hint="eastAsia" w:ascii="宋体" w:hAnsi="宋体" w:cs="宋体"/>
                <w:lang w:bidi="ar"/>
              </w:rPr>
              <w:t xml:space="preserve">2.识别主要重难点，分析基本准确，措施具备操作性，得3分；</w:t>
            </w:r>
            <w:r/>
          </w:p>
          <w:p>
            <w:pPr>
              <w:jc w:val="left"/>
              <w:spacing w:after="0" w:line="240" w:lineRule="auto"/>
              <w:widowControl/>
              <w:rPr>
                <w:rFonts w:hint="eastAsia" w:ascii="宋体" w:hAnsi="宋体" w:cs="宋体"/>
                <w:lang w:bidi="ar"/>
              </w:rPr>
            </w:pPr>
            <w:r>
              <w:rPr>
                <w:rFonts w:hint="eastAsia" w:ascii="宋体" w:hAnsi="宋体" w:cs="宋体"/>
                <w:lang w:bidi="ar"/>
              </w:rPr>
              <w:t xml:space="preserve">3.识别部分重难点，分析存在偏差，措施针对性不足，得1分；</w:t>
            </w:r>
            <w:r/>
          </w:p>
          <w:p>
            <w:pPr>
              <w:jc w:val="left"/>
              <w:spacing w:after="0" w:line="240" w:lineRule="auto"/>
              <w:widowControl/>
              <w:rPr>
                <w:rFonts w:hint="eastAsia" w:ascii="宋体" w:hAnsi="宋体" w:cs="宋体"/>
                <w:color w:val="000000"/>
              </w:rPr>
            </w:pPr>
            <w:r>
              <w:rPr>
                <w:rFonts w:hint="eastAsia" w:ascii="宋体" w:hAnsi="宋体" w:cs="宋体"/>
                <w:lang w:bidi="ar"/>
              </w:rPr>
              <w:t xml:space="preserve">4.未提供不得分。</w:t>
            </w:r>
            <w:r/>
          </w:p>
        </w:tc>
        <w:tc>
          <w:tcPr>
            <w:tcW w:w="690"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0</w:t>
            </w:r>
            <w:r/>
          </w:p>
        </w:tc>
        <w:tc>
          <w:tcPr>
            <w:tcMar>
              <w:left w:w="0" w:type="dxa"/>
              <w:right w:w="0" w:type="dxa"/>
            </w:tcMar>
            <w:tcW w:w="645"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5</w:t>
            </w:r>
            <w:r/>
          </w:p>
        </w:tc>
        <w:tc>
          <w:tcPr>
            <w:tcMar>
              <w:left w:w="0" w:type="dxa"/>
              <w:right w:w="0" w:type="dxa"/>
            </w:tcMar>
            <w:tcW w:w="675"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是</w:t>
            </w:r>
            <w:r/>
          </w:p>
        </w:tc>
        <w:tc>
          <w:tcPr>
            <w:tcMar>
              <w:left w:w="0" w:type="dxa"/>
              <w:right w:w="0" w:type="dxa"/>
            </w:tcMar>
            <w:tcW w:w="705"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否</w:t>
            </w:r>
            <w:r/>
          </w:p>
        </w:tc>
      </w:tr>
      <w:tr>
        <w:trPr>
          <w:tblCellSpacing w:w="0" w:type="dxa"/>
          <w:trHeight w:val="420"/>
        </w:trPr>
        <w:tc>
          <w:tcPr>
            <w:tcMar>
              <w:left w:w="0" w:type="dxa"/>
              <w:right w:w="0" w:type="dxa"/>
            </w:tcMar>
            <w:tcW w:w="763"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2.4</w:t>
            </w:r>
            <w:r/>
          </w:p>
        </w:tc>
        <w:tc>
          <w:tcPr>
            <w:tcW w:w="1293" w:type="dxa"/>
            <w:vAlign w:val="center"/>
            <w:textDirection w:val="lrTb"/>
            <w:noWrap w:val="false"/>
          </w:tcPr>
          <w:p>
            <w:pPr>
              <w:spacing w:line="360" w:lineRule="auto"/>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进度、质量、投资、变更控制方案</w:t>
            </w:r>
            <w:r/>
          </w:p>
        </w:tc>
        <w:tc>
          <w:tcPr>
            <w:tcW w:w="4182" w:type="dxa"/>
            <w:vAlign w:val="center"/>
            <w:textDirection w:val="lrTb"/>
            <w:noWrap w:val="false"/>
          </w:tcPr>
          <w:p>
            <w:pPr>
              <w:jc w:val="left"/>
              <w:spacing w:after="0" w:line="240" w:lineRule="auto"/>
              <w:widowControl/>
              <w:rPr>
                <w:rFonts w:hint="eastAsia" w:ascii="宋体" w:hAnsi="宋体" w:cs="宋体"/>
                <w:lang w:bidi="ar"/>
              </w:rPr>
            </w:pPr>
            <w:r>
              <w:rPr>
                <w:rFonts w:hint="eastAsia" w:ascii="宋体" w:hAnsi="宋体" w:cs="宋体"/>
                <w:lang w:bidi="ar"/>
              </w:rPr>
              <w:t xml:space="preserve">1.四项控制方案完整详实、流程完善、符合项目“四控制”要求，针对性与可操作性极强，得3分；</w:t>
            </w:r>
            <w:r/>
          </w:p>
          <w:p>
            <w:pPr>
              <w:jc w:val="left"/>
              <w:spacing w:after="0" w:line="240" w:lineRule="auto"/>
              <w:widowControl/>
              <w:rPr>
                <w:rFonts w:hint="eastAsia" w:ascii="宋体" w:hAnsi="宋体" w:cs="宋体"/>
                <w:lang w:bidi="ar"/>
              </w:rPr>
            </w:pPr>
            <w:r>
              <w:rPr>
                <w:rFonts w:hint="eastAsia" w:ascii="宋体" w:hAnsi="宋体" w:cs="宋体"/>
                <w:lang w:bidi="ar"/>
              </w:rPr>
              <w:t xml:space="preserve">2.四项控制方案基本完整、满足采购要求，得2分；</w:t>
            </w:r>
            <w:r/>
          </w:p>
          <w:p>
            <w:pPr>
              <w:jc w:val="left"/>
              <w:spacing w:after="0" w:line="240" w:lineRule="auto"/>
              <w:widowControl/>
              <w:rPr>
                <w:rFonts w:hint="eastAsia" w:ascii="宋体" w:hAnsi="宋体" w:cs="宋体"/>
                <w:lang w:bidi="ar"/>
              </w:rPr>
            </w:pPr>
            <w:r>
              <w:rPr>
                <w:rFonts w:hint="eastAsia" w:ascii="宋体" w:hAnsi="宋体" w:cs="宋体"/>
                <w:lang w:bidi="ar"/>
              </w:rPr>
              <w:t xml:space="preserve">3.控制方案内容不全、存在疏漏，得1分；</w:t>
            </w:r>
            <w:r/>
          </w:p>
          <w:p>
            <w:pPr>
              <w:jc w:val="left"/>
              <w:spacing w:after="0" w:line="240" w:lineRule="auto"/>
              <w:widowControl/>
              <w:rPr>
                <w:rFonts w:hint="eastAsia" w:ascii="宋体" w:hAnsi="宋体" w:cs="宋体"/>
                <w:color w:val="000000"/>
              </w:rPr>
            </w:pPr>
            <w:r>
              <w:rPr>
                <w:rFonts w:hint="eastAsia" w:ascii="宋体" w:hAnsi="宋体" w:cs="宋体"/>
                <w:lang w:bidi="ar"/>
              </w:rPr>
              <w:t xml:space="preserve">4.未提供不得分。</w:t>
            </w:r>
            <w:r/>
          </w:p>
        </w:tc>
        <w:tc>
          <w:tcPr>
            <w:tcW w:w="690"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0</w:t>
            </w:r>
            <w:r/>
          </w:p>
        </w:tc>
        <w:tc>
          <w:tcPr>
            <w:tcMar>
              <w:left w:w="0" w:type="dxa"/>
              <w:right w:w="0" w:type="dxa"/>
            </w:tcMar>
            <w:tcW w:w="645"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3</w:t>
            </w:r>
            <w:r/>
          </w:p>
        </w:tc>
        <w:tc>
          <w:tcPr>
            <w:tcMar>
              <w:left w:w="0" w:type="dxa"/>
              <w:right w:w="0" w:type="dxa"/>
            </w:tcMar>
            <w:tcW w:w="675"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是</w:t>
            </w:r>
            <w:r/>
          </w:p>
        </w:tc>
        <w:tc>
          <w:tcPr>
            <w:tcMar>
              <w:left w:w="0" w:type="dxa"/>
              <w:right w:w="0" w:type="dxa"/>
            </w:tcMar>
            <w:tcW w:w="705"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否</w:t>
            </w:r>
            <w:r/>
          </w:p>
        </w:tc>
      </w:tr>
      <w:tr>
        <w:trPr>
          <w:tblCellSpacing w:w="0" w:type="dxa"/>
          <w:trHeight w:val="420"/>
        </w:trPr>
        <w:tc>
          <w:tcPr>
            <w:tcMar>
              <w:left w:w="0" w:type="dxa"/>
              <w:right w:w="0" w:type="dxa"/>
            </w:tcMar>
            <w:tcW w:w="763"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2.5</w:t>
            </w:r>
            <w:r/>
          </w:p>
        </w:tc>
        <w:tc>
          <w:tcPr>
            <w:tcW w:w="1293" w:type="dxa"/>
            <w:vAlign w:val="center"/>
            <w:textDirection w:val="lrTb"/>
            <w:noWrap w:val="false"/>
          </w:tcPr>
          <w:p>
            <w:pPr>
              <w:spacing w:line="360" w:lineRule="auto"/>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监理项目实施、协调方案</w:t>
            </w:r>
            <w:r/>
          </w:p>
        </w:tc>
        <w:tc>
          <w:tcPr>
            <w:tcW w:w="4182" w:type="dxa"/>
            <w:vAlign w:val="center"/>
            <w:textDirection w:val="lrTb"/>
            <w:noWrap w:val="false"/>
          </w:tcPr>
          <w:p>
            <w:pPr>
              <w:jc w:val="left"/>
              <w:spacing w:after="0" w:line="240" w:lineRule="auto"/>
              <w:widowControl/>
              <w:rPr>
                <w:rFonts w:hint="eastAsia" w:ascii="宋体" w:hAnsi="宋体" w:cs="宋体"/>
                <w:lang w:bidi="ar"/>
              </w:rPr>
            </w:pPr>
            <w:r>
              <w:rPr>
                <w:rFonts w:hint="eastAsia" w:ascii="宋体" w:hAnsi="宋体" w:cs="宋体"/>
                <w:lang w:bidi="ar"/>
              </w:rPr>
              <w:t xml:space="preserve">1.实施方案流程清晰、监理机构配置完善、协调机制健全，满足驻场监理与多方协调要求，得2分；</w:t>
            </w:r>
            <w:r/>
          </w:p>
          <w:p>
            <w:pPr>
              <w:jc w:val="left"/>
              <w:spacing w:after="0" w:line="240" w:lineRule="auto"/>
              <w:widowControl/>
              <w:rPr>
                <w:rFonts w:hint="eastAsia" w:ascii="宋体" w:hAnsi="宋体" w:cs="宋体"/>
                <w:lang w:bidi="ar"/>
              </w:rPr>
            </w:pPr>
            <w:r>
              <w:rPr>
                <w:rFonts w:hint="eastAsia" w:ascii="宋体" w:hAnsi="宋体" w:cs="宋体"/>
                <w:lang w:bidi="ar"/>
              </w:rPr>
              <w:t xml:space="preserve">2.实施方案基本完整、机制可行，可保障工作推进，得1.5分；</w:t>
            </w:r>
            <w:r/>
          </w:p>
          <w:p>
            <w:pPr>
              <w:jc w:val="left"/>
              <w:spacing w:after="0" w:line="240" w:lineRule="auto"/>
              <w:widowControl/>
              <w:rPr>
                <w:rFonts w:hint="eastAsia" w:ascii="宋体" w:hAnsi="宋体" w:cs="宋体"/>
                <w:lang w:bidi="ar"/>
              </w:rPr>
            </w:pPr>
            <w:r>
              <w:rPr>
                <w:rFonts w:hint="eastAsia" w:ascii="宋体" w:hAnsi="宋体" w:cs="宋体"/>
                <w:lang w:bidi="ar"/>
              </w:rPr>
              <w:t xml:space="preserve">3.方案简略、机制不完善，得1分；</w:t>
            </w:r>
            <w:r/>
          </w:p>
          <w:p>
            <w:pPr>
              <w:jc w:val="left"/>
              <w:spacing w:after="0" w:line="240" w:lineRule="auto"/>
              <w:widowControl/>
              <w:rPr>
                <w:rFonts w:hint="eastAsia" w:ascii="宋体" w:hAnsi="宋体" w:cs="宋体"/>
                <w:color w:val="000000"/>
              </w:rPr>
            </w:pPr>
            <w:r>
              <w:rPr>
                <w:rFonts w:hint="eastAsia" w:ascii="宋体" w:hAnsi="宋体" w:cs="宋体"/>
                <w:lang w:bidi="ar"/>
              </w:rPr>
              <w:t xml:space="preserve">4.未提供不得分。</w:t>
            </w:r>
            <w:r/>
          </w:p>
        </w:tc>
        <w:tc>
          <w:tcPr>
            <w:tcW w:w="690"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0</w:t>
            </w:r>
            <w:r/>
          </w:p>
        </w:tc>
        <w:tc>
          <w:tcPr>
            <w:tcMar>
              <w:left w:w="0" w:type="dxa"/>
              <w:right w:w="0" w:type="dxa"/>
            </w:tcMar>
            <w:tcW w:w="645"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2</w:t>
            </w:r>
            <w:r/>
          </w:p>
        </w:tc>
        <w:tc>
          <w:tcPr>
            <w:tcMar>
              <w:left w:w="0" w:type="dxa"/>
              <w:right w:w="0" w:type="dxa"/>
            </w:tcMar>
            <w:tcW w:w="675"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是</w:t>
            </w:r>
            <w:r/>
          </w:p>
        </w:tc>
        <w:tc>
          <w:tcPr>
            <w:tcMar>
              <w:left w:w="0" w:type="dxa"/>
              <w:right w:w="0" w:type="dxa"/>
            </w:tcMar>
            <w:tcW w:w="705"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否</w:t>
            </w:r>
            <w:r/>
          </w:p>
        </w:tc>
      </w:tr>
      <w:tr>
        <w:trPr>
          <w:tblCellSpacing w:w="0" w:type="dxa"/>
          <w:trHeight w:val="420"/>
        </w:trPr>
        <w:tc>
          <w:tcPr>
            <w:tcMar>
              <w:left w:w="0" w:type="dxa"/>
              <w:right w:w="0" w:type="dxa"/>
            </w:tcMar>
            <w:tcW w:w="763"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2.6</w:t>
            </w:r>
            <w:r/>
          </w:p>
        </w:tc>
        <w:tc>
          <w:tcPr>
            <w:tcW w:w="1293" w:type="dxa"/>
            <w:vAlign w:val="center"/>
            <w:textDirection w:val="lrTb"/>
            <w:noWrap w:val="false"/>
          </w:tcPr>
          <w:p>
            <w:pPr>
              <w:spacing w:line="360" w:lineRule="auto"/>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合同、信息和资料管理措施</w:t>
            </w:r>
            <w:r/>
          </w:p>
        </w:tc>
        <w:tc>
          <w:tcPr>
            <w:tcW w:w="4182" w:type="dxa"/>
            <w:vAlign w:val="center"/>
            <w:textDirection w:val="lrTb"/>
            <w:noWrap w:val="false"/>
          </w:tcPr>
          <w:p>
            <w:pPr>
              <w:jc w:val="left"/>
              <w:spacing w:after="0" w:line="240" w:lineRule="auto"/>
              <w:widowControl/>
              <w:rPr>
                <w:rFonts w:hint="eastAsia" w:ascii="宋体" w:hAnsi="宋体" w:cs="宋体"/>
                <w:lang w:bidi="ar"/>
              </w:rPr>
            </w:pPr>
            <w:r>
              <w:rPr>
                <w:rFonts w:hint="eastAsia" w:ascii="宋体" w:hAnsi="宋体" w:cs="宋体"/>
                <w:lang w:bidi="ar"/>
              </w:rPr>
              <w:t xml:space="preserve">1.合同管理、信息管理、文档归档制度全面规范，覆盖项目全周期资料管理要求，得4分；</w:t>
            </w:r>
            <w:r/>
          </w:p>
          <w:p>
            <w:pPr>
              <w:jc w:val="left"/>
              <w:spacing w:after="0" w:line="240" w:lineRule="auto"/>
              <w:widowControl/>
              <w:rPr>
                <w:rFonts w:hint="eastAsia" w:ascii="宋体" w:hAnsi="宋体" w:cs="宋体"/>
                <w:lang w:bidi="ar"/>
              </w:rPr>
            </w:pPr>
            <w:r>
              <w:rPr>
                <w:rFonts w:hint="eastAsia" w:ascii="宋体" w:hAnsi="宋体" w:cs="宋体"/>
                <w:lang w:bidi="ar"/>
              </w:rPr>
              <w:t xml:space="preserve">2.管理内容基本完整，制度明确，得3分；</w:t>
            </w:r>
            <w:r/>
          </w:p>
          <w:p>
            <w:pPr>
              <w:jc w:val="left"/>
              <w:spacing w:after="0" w:line="240" w:lineRule="auto"/>
              <w:widowControl/>
              <w:rPr>
                <w:rFonts w:hint="eastAsia" w:ascii="宋体" w:hAnsi="宋体" w:cs="宋体"/>
                <w:lang w:bidi="ar"/>
              </w:rPr>
            </w:pPr>
            <w:r>
              <w:rPr>
                <w:rFonts w:hint="eastAsia" w:ascii="宋体" w:hAnsi="宋体" w:cs="宋体"/>
                <w:lang w:bidi="ar"/>
              </w:rPr>
              <w:t xml:space="preserve">3.内容简略、描述不够全面，得2分；</w:t>
            </w:r>
            <w:r/>
          </w:p>
          <w:p>
            <w:pPr>
              <w:jc w:val="left"/>
              <w:spacing w:after="0" w:line="240" w:lineRule="auto"/>
              <w:widowControl/>
              <w:rPr>
                <w:rFonts w:hint="eastAsia" w:ascii="宋体" w:hAnsi="宋体" w:cs="宋体"/>
                <w:color w:val="000000"/>
              </w:rPr>
            </w:pPr>
            <w:r>
              <w:rPr>
                <w:rFonts w:hint="eastAsia" w:ascii="宋体" w:hAnsi="宋体" w:cs="宋体"/>
                <w:lang w:bidi="ar"/>
              </w:rPr>
              <w:t xml:space="preserve">4.未提供不得分。</w:t>
            </w:r>
            <w:r/>
          </w:p>
        </w:tc>
        <w:tc>
          <w:tcPr>
            <w:tcW w:w="690"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0</w:t>
            </w:r>
            <w:r/>
          </w:p>
        </w:tc>
        <w:tc>
          <w:tcPr>
            <w:tcMar>
              <w:left w:w="0" w:type="dxa"/>
              <w:right w:w="0" w:type="dxa"/>
            </w:tcMar>
            <w:tcW w:w="645"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4</w:t>
            </w:r>
            <w:r/>
          </w:p>
        </w:tc>
        <w:tc>
          <w:tcPr>
            <w:tcMar>
              <w:left w:w="0" w:type="dxa"/>
              <w:right w:w="0" w:type="dxa"/>
            </w:tcMar>
            <w:tcW w:w="675"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是</w:t>
            </w:r>
            <w:r/>
          </w:p>
        </w:tc>
        <w:tc>
          <w:tcPr>
            <w:tcMar>
              <w:left w:w="0" w:type="dxa"/>
              <w:right w:w="0" w:type="dxa"/>
            </w:tcMar>
            <w:tcW w:w="705"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否</w:t>
            </w:r>
            <w:r/>
          </w:p>
        </w:tc>
      </w:tr>
      <w:tr>
        <w:trPr>
          <w:tblCellSpacing w:w="0" w:type="dxa"/>
          <w:trHeight w:val="420"/>
        </w:trPr>
        <w:tc>
          <w:tcPr>
            <w:tcMar>
              <w:left w:w="0" w:type="dxa"/>
              <w:right w:w="0" w:type="dxa"/>
            </w:tcMar>
            <w:tcW w:w="763"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2.7</w:t>
            </w:r>
            <w:r/>
          </w:p>
        </w:tc>
        <w:tc>
          <w:tcPr>
            <w:tcW w:w="1293" w:type="dxa"/>
            <w:vAlign w:val="center"/>
            <w:textDirection w:val="lrTb"/>
            <w:noWrap w:val="false"/>
          </w:tcPr>
          <w:p>
            <w:pPr>
              <w:spacing w:line="360" w:lineRule="auto"/>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安全文明施工控制目标、措施</w:t>
            </w:r>
            <w:r/>
          </w:p>
        </w:tc>
        <w:tc>
          <w:tcPr>
            <w:tcW w:w="4182" w:type="dxa"/>
            <w:vAlign w:val="center"/>
            <w:textDirection w:val="lrTb"/>
            <w:noWrap w:val="false"/>
          </w:tcPr>
          <w:p>
            <w:pPr>
              <w:jc w:val="left"/>
              <w:spacing w:after="0" w:line="240" w:lineRule="auto"/>
              <w:widowControl/>
              <w:rPr>
                <w:rFonts w:hint="eastAsia" w:ascii="宋体" w:hAnsi="宋体" w:cs="宋体"/>
                <w:lang w:bidi="ar"/>
              </w:rPr>
            </w:pPr>
            <w:r>
              <w:rPr>
                <w:rFonts w:hint="eastAsia" w:ascii="宋体" w:hAnsi="宋体" w:cs="宋体"/>
                <w:lang w:bidi="ar"/>
              </w:rPr>
              <w:t xml:space="preserve">1.完全符合信息安全、保密管理、外场作业安全、现场文明施工规定，控制目标清晰、方法科学、措施具体可行，全面覆盖内外场安全、设备安全、数据安全、施工规范，得 3 分；</w:t>
            </w:r>
            <w:r/>
          </w:p>
          <w:p>
            <w:pPr>
              <w:jc w:val="left"/>
              <w:spacing w:after="0" w:line="240" w:lineRule="auto"/>
              <w:widowControl/>
              <w:rPr>
                <w:rFonts w:hint="eastAsia" w:ascii="宋体" w:hAnsi="宋体" w:cs="宋体"/>
                <w:lang w:bidi="ar"/>
              </w:rPr>
            </w:pPr>
            <w:r>
              <w:rPr>
                <w:rFonts w:hint="eastAsia" w:ascii="宋体" w:hAnsi="宋体" w:cs="宋体"/>
                <w:lang w:bidi="ar"/>
              </w:rPr>
              <w:t xml:space="preserve">2.符合信息安全、保密及外场安全文明施工要求，目标基本明确、方法合理、措施具备可行性，满足内外场安全管控基本需求，得 2 分；</w:t>
            </w:r>
            <w:r/>
          </w:p>
          <w:p>
            <w:pPr>
              <w:jc w:val="left"/>
              <w:spacing w:after="0" w:line="240" w:lineRule="auto"/>
              <w:widowControl/>
              <w:rPr>
                <w:rFonts w:hint="eastAsia" w:ascii="宋体" w:hAnsi="宋体" w:cs="宋体"/>
                <w:lang w:bidi="ar"/>
              </w:rPr>
            </w:pPr>
            <w:r>
              <w:rPr>
                <w:rFonts w:hint="eastAsia" w:ascii="宋体" w:hAnsi="宋体" w:cs="宋体"/>
                <w:lang w:bidi="ar"/>
              </w:rPr>
              <w:t xml:space="preserve">3.基本符合安全管理相关规定，目标不够清晰、措施针对性一般，内外场安全管控存在少量欠缺，得 1 分；</w:t>
            </w:r>
            <w:r/>
          </w:p>
          <w:p>
            <w:pPr>
              <w:jc w:val="left"/>
              <w:spacing w:after="0" w:line="240" w:lineRule="auto"/>
              <w:widowControl/>
              <w:rPr>
                <w:rFonts w:hint="eastAsia" w:ascii="宋体" w:hAnsi="宋体" w:cs="宋体"/>
                <w:color w:val="000000"/>
              </w:rPr>
            </w:pPr>
            <w:r>
              <w:rPr>
                <w:rFonts w:hint="eastAsia" w:ascii="宋体" w:hAnsi="宋体" w:cs="宋体"/>
                <w:lang w:bidi="ar"/>
              </w:rPr>
              <w:t xml:space="preserve">4.未提供安全文明施工控制目标、措施内容，不得分。</w:t>
            </w:r>
            <w:r/>
          </w:p>
        </w:tc>
        <w:tc>
          <w:tcPr>
            <w:tcW w:w="690"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0</w:t>
            </w:r>
            <w:r/>
          </w:p>
        </w:tc>
        <w:tc>
          <w:tcPr>
            <w:tcMar>
              <w:left w:w="0" w:type="dxa"/>
              <w:right w:w="0" w:type="dxa"/>
            </w:tcMar>
            <w:tcW w:w="645"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3</w:t>
            </w:r>
            <w:r/>
          </w:p>
        </w:tc>
        <w:tc>
          <w:tcPr>
            <w:tcMar>
              <w:left w:w="0" w:type="dxa"/>
              <w:right w:w="0" w:type="dxa"/>
            </w:tcMar>
            <w:tcW w:w="675"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是</w:t>
            </w:r>
            <w:r/>
          </w:p>
        </w:tc>
        <w:tc>
          <w:tcPr>
            <w:tcMar>
              <w:left w:w="0" w:type="dxa"/>
              <w:right w:w="0" w:type="dxa"/>
            </w:tcMar>
            <w:tcW w:w="705"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否</w:t>
            </w:r>
            <w:r/>
          </w:p>
        </w:tc>
      </w:tr>
      <w:tr>
        <w:trPr>
          <w:tblCellSpacing w:w="0" w:type="dxa"/>
          <w:trHeight w:val="420"/>
        </w:trPr>
        <w:tc>
          <w:tcPr>
            <w:tcMar>
              <w:left w:w="0" w:type="dxa"/>
              <w:right w:w="0" w:type="dxa"/>
            </w:tcMar>
            <w:tcW w:w="763"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2.8</w:t>
            </w:r>
            <w:r/>
          </w:p>
        </w:tc>
        <w:tc>
          <w:tcPr>
            <w:tcW w:w="1293" w:type="dxa"/>
            <w:vAlign w:val="center"/>
            <w:textDirection w:val="lrTb"/>
            <w:noWrap w:val="false"/>
          </w:tcPr>
          <w:p>
            <w:pPr>
              <w:spacing w:line="360" w:lineRule="auto"/>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合理化建议 </w:t>
            </w:r>
            <w:r/>
          </w:p>
        </w:tc>
        <w:tc>
          <w:tcPr>
            <w:tcW w:w="4182" w:type="dxa"/>
            <w:vAlign w:val="center"/>
            <w:textDirection w:val="lrTb"/>
            <w:noWrap w:val="false"/>
          </w:tcPr>
          <w:p>
            <w:pPr>
              <w:jc w:val="left"/>
              <w:spacing w:after="0" w:line="240" w:lineRule="auto"/>
              <w:widowControl/>
              <w:rPr>
                <w:rFonts w:hint="eastAsia" w:ascii="宋体" w:hAnsi="宋体" w:cs="宋体"/>
                <w:lang w:bidi="ar"/>
              </w:rPr>
            </w:pPr>
            <w:r>
              <w:rPr>
                <w:rFonts w:hint="eastAsia" w:ascii="宋体" w:hAnsi="宋体" w:cs="宋体"/>
                <w:lang w:bidi="ar"/>
              </w:rPr>
              <w:t xml:space="preserve">1.针对信息化监理提出3条及以上可落地、能提质增效、符合项目管理规范的建议，得5分；</w:t>
            </w:r>
            <w:r/>
          </w:p>
          <w:p>
            <w:pPr>
              <w:jc w:val="left"/>
              <w:spacing w:after="0" w:line="240" w:lineRule="auto"/>
              <w:widowControl/>
              <w:rPr>
                <w:rFonts w:hint="eastAsia" w:ascii="宋体" w:hAnsi="宋体" w:cs="宋体"/>
                <w:lang w:bidi="ar"/>
              </w:rPr>
            </w:pPr>
            <w:r>
              <w:rPr>
                <w:rFonts w:hint="eastAsia" w:ascii="宋体" w:hAnsi="宋体" w:cs="宋体"/>
                <w:lang w:bidi="ar"/>
              </w:rPr>
              <w:t xml:space="preserve">2.提出2条具备合理性与操作性的建议，得3分；</w:t>
            </w:r>
            <w:r/>
          </w:p>
          <w:p>
            <w:pPr>
              <w:jc w:val="left"/>
              <w:spacing w:after="0" w:line="240" w:lineRule="auto"/>
              <w:widowControl/>
              <w:rPr>
                <w:rFonts w:hint="eastAsia" w:ascii="宋体" w:hAnsi="宋体" w:cs="宋体"/>
                <w:lang w:bidi="ar"/>
              </w:rPr>
            </w:pPr>
            <w:r>
              <w:rPr>
                <w:rFonts w:hint="eastAsia" w:ascii="宋体" w:hAnsi="宋体" w:cs="宋体"/>
                <w:lang w:bidi="ar"/>
              </w:rPr>
              <w:t xml:space="preserve">3.提出1条针对性一般的建议，得1分；</w:t>
            </w:r>
            <w:r/>
          </w:p>
          <w:p>
            <w:pPr>
              <w:jc w:val="left"/>
              <w:spacing w:after="0" w:line="240" w:lineRule="auto"/>
              <w:widowControl/>
              <w:rPr>
                <w:rFonts w:hint="eastAsia" w:ascii="宋体" w:hAnsi="宋体" w:cs="宋体"/>
                <w:color w:val="000000"/>
              </w:rPr>
            </w:pPr>
            <w:r>
              <w:rPr>
                <w:rFonts w:hint="eastAsia" w:ascii="宋体" w:hAnsi="宋体" w:cs="宋体"/>
                <w:lang w:bidi="ar"/>
              </w:rPr>
              <w:t xml:space="preserve">4.未提供不得分。</w:t>
            </w:r>
            <w:r/>
          </w:p>
        </w:tc>
        <w:tc>
          <w:tcPr>
            <w:tcW w:w="690"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0</w:t>
            </w:r>
            <w:r/>
          </w:p>
        </w:tc>
        <w:tc>
          <w:tcPr>
            <w:tcMar>
              <w:left w:w="0" w:type="dxa"/>
              <w:right w:w="0" w:type="dxa"/>
            </w:tcMar>
            <w:tcW w:w="645"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5</w:t>
            </w:r>
            <w:r/>
          </w:p>
        </w:tc>
        <w:tc>
          <w:tcPr>
            <w:tcMar>
              <w:left w:w="0" w:type="dxa"/>
              <w:right w:w="0" w:type="dxa"/>
            </w:tcMar>
            <w:tcW w:w="675"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是</w:t>
            </w:r>
            <w:r/>
          </w:p>
        </w:tc>
        <w:tc>
          <w:tcPr>
            <w:tcMar>
              <w:left w:w="0" w:type="dxa"/>
              <w:right w:w="0" w:type="dxa"/>
            </w:tcMar>
            <w:tcW w:w="705"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否</w:t>
            </w:r>
            <w:r/>
          </w:p>
        </w:tc>
      </w:tr>
      <w:tr>
        <w:trPr>
          <w:tblCellSpacing w:w="0" w:type="dxa"/>
          <w:trHeight w:val="420"/>
        </w:trPr>
        <w:tc>
          <w:tcPr>
            <w:tcMar>
              <w:left w:w="0" w:type="dxa"/>
              <w:right w:w="0" w:type="dxa"/>
            </w:tcMar>
            <w:tcW w:w="763" w:type="dxa"/>
            <w:vAlign w:val="center"/>
            <w:textDirection w:val="lrTb"/>
            <w:noWrap w:val="false"/>
          </w:tcPr>
          <w:p>
            <w:pPr>
              <w:pStyle w:val="722"/>
              <w:jc w:val="center"/>
              <w:spacing w:before="0" w:beforeAutospacing="0" w:after="0" w:afterAutospacing="0"/>
            </w:pPr>
            <w:r>
              <w:rPr>
                <w:rFonts w:hint="eastAsia" w:ascii="宋体" w:hAnsi="宋体" w:cs="宋体"/>
                <w:b/>
                <w:bCs/>
                <w:color w:val="000000"/>
                <w:sz w:val="20"/>
                <w:szCs w:val="20"/>
              </w:rPr>
              <w:t xml:space="preserve">2.9</w:t>
            </w:r>
            <w:r/>
          </w:p>
        </w:tc>
        <w:tc>
          <w:tcPr>
            <w:tcW w:w="1293" w:type="dxa"/>
            <w:vAlign w:val="center"/>
            <w:textDirection w:val="lrTb"/>
            <w:noWrap w:val="false"/>
          </w:tcPr>
          <w:p>
            <w:pPr>
              <w:spacing w:line="360" w:lineRule="auto"/>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售后及本地化服务</w:t>
            </w:r>
            <w:r/>
          </w:p>
        </w:tc>
        <w:tc>
          <w:tcPr>
            <w:tcW w:w="4182" w:type="dxa"/>
            <w:vAlign w:val="center"/>
            <w:textDirection w:val="lrTb"/>
            <w:noWrap w:val="false"/>
          </w:tcPr>
          <w:p>
            <w:pPr>
              <w:jc w:val="left"/>
              <w:spacing w:after="0" w:line="240" w:lineRule="auto"/>
              <w:widowControl/>
              <w:rPr>
                <w:rFonts w:hint="eastAsia" w:ascii="宋体" w:hAnsi="宋体" w:cs="宋体"/>
                <w:lang w:bidi="ar"/>
              </w:rPr>
            </w:pPr>
            <w:r>
              <w:rPr>
                <w:rFonts w:hint="eastAsia" w:ascii="宋体" w:hAnsi="宋体" w:cs="宋体"/>
                <w:lang w:bidi="ar"/>
              </w:rPr>
              <w:t xml:space="preserve">1.售后服务方案完整、驻场服务保障到位、响应及时，符合常州本地服务要求，得4分；</w:t>
            </w:r>
            <w:r/>
          </w:p>
          <w:p>
            <w:pPr>
              <w:jc w:val="left"/>
              <w:spacing w:after="0" w:line="240" w:lineRule="auto"/>
              <w:widowControl/>
              <w:rPr>
                <w:rFonts w:hint="eastAsia" w:ascii="宋体" w:hAnsi="宋体" w:cs="宋体"/>
                <w:lang w:bidi="ar"/>
              </w:rPr>
            </w:pPr>
            <w:r>
              <w:rPr>
                <w:rFonts w:hint="eastAsia" w:ascii="宋体" w:hAnsi="宋体" w:cs="宋体"/>
                <w:lang w:bidi="ar"/>
              </w:rPr>
              <w:t xml:space="preserve">2.服务方案基本完整、具备本地化服务能力，得3分；</w:t>
            </w:r>
            <w:r/>
          </w:p>
          <w:p>
            <w:pPr>
              <w:jc w:val="left"/>
              <w:spacing w:after="0" w:line="240" w:lineRule="auto"/>
              <w:widowControl/>
              <w:rPr>
                <w:rFonts w:hint="eastAsia" w:ascii="宋体" w:hAnsi="宋体" w:cs="宋体"/>
                <w:lang w:bidi="ar"/>
              </w:rPr>
            </w:pPr>
            <w:r>
              <w:rPr>
                <w:rFonts w:hint="eastAsia" w:ascii="宋体" w:hAnsi="宋体" w:cs="宋体"/>
                <w:lang w:bidi="ar"/>
              </w:rPr>
              <w:t xml:space="preserve">3.方案不完善、服务能力一般，得2分；</w:t>
            </w:r>
            <w:r/>
          </w:p>
          <w:p>
            <w:pPr>
              <w:jc w:val="left"/>
              <w:spacing w:after="0" w:line="240" w:lineRule="auto"/>
              <w:widowControl/>
              <w:rPr>
                <w:rFonts w:hint="eastAsia" w:ascii="宋体" w:hAnsi="宋体" w:cs="宋体"/>
                <w:color w:val="000000"/>
              </w:rPr>
            </w:pPr>
            <w:r>
              <w:rPr>
                <w:rFonts w:hint="eastAsia" w:ascii="宋体" w:hAnsi="宋体" w:cs="宋体"/>
                <w:lang w:bidi="ar"/>
              </w:rPr>
              <w:t xml:space="preserve">4.未提供不得分。</w:t>
            </w:r>
            <w:r/>
          </w:p>
        </w:tc>
        <w:tc>
          <w:tcPr>
            <w:tcW w:w="690" w:type="dxa"/>
            <w:vAlign w:val="center"/>
            <w:textDirection w:val="lrTb"/>
            <w:noWrap w:val="false"/>
          </w:tcPr>
          <w:p>
            <w:pPr>
              <w:pStyle w:val="722"/>
              <w:jc w:val="center"/>
              <w:spacing w:before="0" w:beforeAutospacing="0" w:after="0" w:afterAutospacing="0"/>
            </w:pPr>
            <w:r>
              <w:rPr>
                <w:rFonts w:hint="eastAsia" w:ascii="宋体" w:hAnsi="宋体" w:cs="宋体"/>
                <w:b/>
                <w:bCs/>
                <w:color w:val="000000"/>
                <w:sz w:val="20"/>
                <w:szCs w:val="20"/>
              </w:rPr>
              <w:t xml:space="preserve">0</w:t>
            </w:r>
            <w:r>
              <w:rPr>
                <w:rFonts w:ascii="宋体" w:hAnsi="宋体" w:cs="宋体"/>
                <w:b/>
                <w:bCs/>
                <w:color w:val="000000"/>
                <w:sz w:val="20"/>
                <w:szCs w:val="20"/>
              </w:rPr>
              <w:t xml:space="preserve"> </w:t>
            </w:r>
            <w:r/>
          </w:p>
        </w:tc>
        <w:tc>
          <w:tcPr>
            <w:tcMar>
              <w:left w:w="0" w:type="dxa"/>
              <w:right w:w="0" w:type="dxa"/>
            </w:tcMar>
            <w:tcW w:w="645" w:type="dxa"/>
            <w:vAlign w:val="center"/>
            <w:textDirection w:val="lrTb"/>
            <w:noWrap w:val="false"/>
          </w:tcPr>
          <w:p>
            <w:pPr>
              <w:pStyle w:val="722"/>
              <w:jc w:val="center"/>
              <w:spacing w:before="0" w:beforeAutospacing="0" w:after="0" w:afterAutospacing="0"/>
            </w:pPr>
            <w:r>
              <w:rPr>
                <w:rFonts w:hint="eastAsia" w:ascii="宋体" w:hAnsi="宋体" w:cs="宋体"/>
                <w:b/>
                <w:bCs/>
                <w:color w:val="000000"/>
                <w:sz w:val="20"/>
                <w:szCs w:val="20"/>
              </w:rPr>
              <w:t xml:space="preserve">4</w:t>
            </w:r>
            <w:r/>
          </w:p>
        </w:tc>
        <w:tc>
          <w:tcPr>
            <w:tcMar>
              <w:left w:w="0" w:type="dxa"/>
              <w:right w:w="0" w:type="dxa"/>
            </w:tcMar>
            <w:tcW w:w="675" w:type="dxa"/>
            <w:vAlign w:val="center"/>
            <w:textDirection w:val="lrTb"/>
            <w:noWrap w:val="false"/>
          </w:tcPr>
          <w:p>
            <w:pPr>
              <w:pStyle w:val="722"/>
              <w:jc w:val="center"/>
              <w:spacing w:before="0" w:beforeAutospacing="0" w:after="0" w:afterAutospacing="0"/>
            </w:pPr>
            <w:r>
              <w:rPr>
                <w:rFonts w:hint="eastAsia" w:ascii="宋体" w:hAnsi="宋体" w:cs="宋体"/>
                <w:b/>
                <w:bCs/>
                <w:color w:val="000000"/>
                <w:sz w:val="20"/>
                <w:szCs w:val="20"/>
              </w:rPr>
              <w:t xml:space="preserve">是</w:t>
            </w:r>
            <w:r/>
          </w:p>
        </w:tc>
        <w:tc>
          <w:tcPr>
            <w:tcMar>
              <w:left w:w="0" w:type="dxa"/>
              <w:right w:w="0" w:type="dxa"/>
            </w:tcMar>
            <w:tcW w:w="705" w:type="dxa"/>
            <w:vAlign w:val="center"/>
            <w:textDirection w:val="lrTb"/>
            <w:noWrap w:val="false"/>
          </w:tcPr>
          <w:p>
            <w:pPr>
              <w:pStyle w:val="722"/>
              <w:jc w:val="center"/>
              <w:spacing w:before="0" w:beforeAutospacing="0" w:after="0" w:afterAutospacing="0"/>
            </w:pPr>
            <w:r>
              <w:rPr>
                <w:rFonts w:hint="eastAsia" w:ascii="宋体" w:hAnsi="宋体" w:cs="宋体"/>
                <w:b/>
                <w:bCs/>
                <w:color w:val="000000"/>
                <w:sz w:val="20"/>
                <w:szCs w:val="20"/>
              </w:rPr>
              <w:t xml:space="preserve">否</w:t>
            </w:r>
            <w:r/>
          </w:p>
        </w:tc>
      </w:tr>
      <w:tr>
        <w:trPr>
          <w:tblCellSpacing w:w="0" w:type="dxa"/>
          <w:trHeight w:val="420"/>
        </w:trPr>
        <w:tc>
          <w:tcPr>
            <w:tcMar>
              <w:left w:w="0" w:type="dxa"/>
              <w:right w:w="0" w:type="dxa"/>
            </w:tcMar>
            <w:tcW w:w="763" w:type="dxa"/>
            <w:vAlign w:val="center"/>
            <w:textDirection w:val="lrTb"/>
            <w:noWrap w:val="false"/>
          </w:tcPr>
          <w:p>
            <w:pPr>
              <w:pStyle w:val="722"/>
              <w:jc w:val="center"/>
              <w:spacing w:before="0" w:beforeAutospacing="0" w:after="0" w:afterAutospacing="0"/>
            </w:pPr>
            <w:r>
              <w:rPr>
                <w:rFonts w:ascii="宋体" w:hAnsi="宋体" w:cs="宋体"/>
                <w:b/>
                <w:bCs/>
                <w:color w:val="000000"/>
                <w:sz w:val="20"/>
                <w:szCs w:val="20"/>
              </w:rPr>
              <w:t xml:space="preserve"> </w:t>
            </w:r>
            <w:r/>
          </w:p>
        </w:tc>
        <w:tc>
          <w:tcPr>
            <w:tcW w:w="1293" w:type="dxa"/>
            <w:vAlign w:val="center"/>
            <w:textDirection w:val="lrTb"/>
            <w:noWrap w:val="false"/>
          </w:tcPr>
          <w:p>
            <w:pPr>
              <w:pStyle w:val="722"/>
              <w:jc w:val="center"/>
              <w:spacing w:before="0" w:beforeAutospacing="0" w:after="0" w:afterAutospacing="0"/>
            </w:pPr>
            <w:r>
              <w:rPr>
                <w:rFonts w:ascii="宋体" w:hAnsi="宋体" w:cs="宋体"/>
                <w:b/>
                <w:bCs/>
                <w:color w:val="000000"/>
                <w:sz w:val="20"/>
                <w:szCs w:val="20"/>
              </w:rPr>
              <w:t xml:space="preserve">商务分</w:t>
            </w:r>
            <w:r/>
          </w:p>
          <w:p>
            <w:pPr>
              <w:pStyle w:val="722"/>
              <w:jc w:val="center"/>
              <w:spacing w:before="0" w:beforeAutospacing="0" w:after="0" w:afterAutospacing="0"/>
            </w:pPr>
            <w:r>
              <w:rPr>
                <w:rFonts w:ascii="宋体" w:hAnsi="宋体" w:cs="宋体"/>
                <w:b/>
                <w:bCs/>
                <w:color w:val="000000"/>
                <w:sz w:val="20"/>
                <w:szCs w:val="20"/>
              </w:rPr>
              <w:t xml:space="preserve">（客观分）</w:t>
            </w:r>
            <w:r/>
          </w:p>
        </w:tc>
        <w:tc>
          <w:tcPr>
            <w:tcW w:w="4182" w:type="dxa"/>
            <w:vAlign w:val="center"/>
            <w:textDirection w:val="lrTb"/>
            <w:noWrap w:val="false"/>
          </w:tcPr>
          <w:p>
            <w:pPr>
              <w:pStyle w:val="722"/>
              <w:jc w:val="center"/>
              <w:spacing w:before="0" w:beforeAutospacing="0" w:after="0" w:afterAutospacing="0"/>
            </w:pPr>
            <w:r>
              <w:rPr>
                <w:rFonts w:ascii="宋体" w:hAnsi="宋体" w:cs="宋体"/>
                <w:b/>
                <w:bCs/>
                <w:color w:val="000000"/>
                <w:sz w:val="20"/>
                <w:szCs w:val="20"/>
              </w:rPr>
              <w:t xml:space="preserve"> </w:t>
            </w:r>
            <w:r/>
          </w:p>
        </w:tc>
        <w:tc>
          <w:tcPr>
            <w:tcW w:w="690" w:type="dxa"/>
            <w:vAlign w:val="center"/>
            <w:textDirection w:val="lrTb"/>
            <w:noWrap w:val="false"/>
          </w:tcPr>
          <w:p>
            <w:pPr>
              <w:pStyle w:val="722"/>
              <w:jc w:val="center"/>
              <w:spacing w:before="0" w:beforeAutospacing="0" w:after="0" w:afterAutospacing="0"/>
            </w:pPr>
            <w:r>
              <w:rPr>
                <w:rFonts w:ascii="宋体" w:hAnsi="宋体" w:cs="宋体"/>
                <w:b/>
                <w:bCs/>
                <w:color w:val="000000"/>
                <w:sz w:val="20"/>
                <w:szCs w:val="20"/>
              </w:rPr>
              <w:t xml:space="preserve"> </w:t>
            </w:r>
            <w:r/>
          </w:p>
        </w:tc>
        <w:tc>
          <w:tcPr>
            <w:tcMar>
              <w:left w:w="0" w:type="dxa"/>
              <w:right w:w="0" w:type="dxa"/>
            </w:tcMar>
            <w:tcW w:w="645" w:type="dxa"/>
            <w:vAlign w:val="center"/>
            <w:textDirection w:val="lrTb"/>
            <w:noWrap w:val="false"/>
          </w:tcPr>
          <w:p>
            <w:pPr>
              <w:pStyle w:val="722"/>
              <w:jc w:val="center"/>
              <w:spacing w:before="0" w:beforeAutospacing="0" w:after="0" w:afterAutospacing="0"/>
            </w:pPr>
            <w:r>
              <w:rPr>
                <w:rFonts w:ascii="宋体" w:hAnsi="宋体" w:cs="宋体"/>
                <w:b/>
                <w:bCs/>
                <w:color w:val="000000"/>
                <w:sz w:val="20"/>
                <w:szCs w:val="20"/>
              </w:rPr>
              <w:t xml:space="preserve"> </w:t>
            </w:r>
            <w:r/>
          </w:p>
        </w:tc>
        <w:tc>
          <w:tcPr>
            <w:tcMar>
              <w:left w:w="0" w:type="dxa"/>
              <w:right w:w="0" w:type="dxa"/>
            </w:tcMar>
            <w:tcW w:w="675" w:type="dxa"/>
            <w:vAlign w:val="center"/>
            <w:textDirection w:val="lrTb"/>
            <w:noWrap w:val="false"/>
          </w:tcPr>
          <w:p>
            <w:pPr>
              <w:pStyle w:val="722"/>
              <w:jc w:val="center"/>
              <w:spacing w:before="0" w:beforeAutospacing="0" w:after="0" w:afterAutospacing="0"/>
            </w:pPr>
            <w:r>
              <w:rPr>
                <w:rFonts w:ascii="宋体" w:hAnsi="宋体" w:cs="宋体"/>
                <w:b/>
                <w:bCs/>
                <w:color w:val="000000"/>
                <w:sz w:val="20"/>
                <w:szCs w:val="20"/>
              </w:rPr>
              <w:t xml:space="preserve"> </w:t>
            </w:r>
            <w:r/>
          </w:p>
        </w:tc>
        <w:tc>
          <w:tcPr>
            <w:tcMar>
              <w:left w:w="0" w:type="dxa"/>
              <w:right w:w="0" w:type="dxa"/>
            </w:tcMar>
            <w:tcW w:w="705" w:type="dxa"/>
            <w:vAlign w:val="center"/>
            <w:textDirection w:val="lrTb"/>
            <w:noWrap w:val="false"/>
          </w:tcPr>
          <w:p>
            <w:pPr>
              <w:pStyle w:val="722"/>
              <w:jc w:val="center"/>
              <w:spacing w:before="0" w:beforeAutospacing="0" w:after="0" w:afterAutospacing="0"/>
            </w:pPr>
            <w:r>
              <w:rPr>
                <w:rFonts w:ascii="宋体" w:hAnsi="宋体" w:cs="宋体"/>
                <w:b/>
                <w:bCs/>
                <w:color w:val="000000"/>
                <w:sz w:val="20"/>
                <w:szCs w:val="20"/>
              </w:rPr>
              <w:t xml:space="preserve"> </w:t>
            </w:r>
            <w:r/>
          </w:p>
        </w:tc>
      </w:tr>
      <w:tr>
        <w:trPr>
          <w:tblCellSpacing w:w="0" w:type="dxa"/>
          <w:trHeight w:val="385"/>
        </w:trPr>
        <w:tc>
          <w:tcPr>
            <w:tcMar>
              <w:left w:w="0" w:type="dxa"/>
              <w:right w:w="0" w:type="dxa"/>
            </w:tcMar>
            <w:tcW w:w="763" w:type="dxa"/>
            <w:vAlign w:val="center"/>
            <w:textDirection w:val="lrTb"/>
            <w:noWrap w:val="false"/>
          </w:tcPr>
          <w:p>
            <w:pPr>
              <w:pStyle w:val="722"/>
              <w:jc w:val="center"/>
              <w:spacing w:before="0" w:beforeAutospacing="0" w:after="0" w:afterAutospacing="0"/>
            </w:pPr>
            <w:r>
              <w:rPr>
                <w:rFonts w:ascii="宋体" w:hAnsi="宋体" w:cs="宋体"/>
                <w:b/>
                <w:bCs/>
                <w:color w:val="000000"/>
                <w:sz w:val="20"/>
                <w:szCs w:val="20"/>
              </w:rPr>
              <w:t xml:space="preserve">3.1</w:t>
            </w:r>
            <w:r/>
          </w:p>
        </w:tc>
        <w:tc>
          <w:tcPr>
            <w:tcW w:w="1293" w:type="dxa"/>
            <w:vAlign w:val="center"/>
            <w:textDirection w:val="lrTb"/>
            <w:noWrap w:val="false"/>
          </w:tcPr>
          <w:p>
            <w:pPr>
              <w:pStyle w:val="722"/>
              <w:jc w:val="center"/>
              <w:spacing w:before="0" w:beforeAutospacing="0" w:after="0" w:afterAutospacing="0"/>
            </w:pPr>
            <w:r>
              <w:rPr>
                <w:rFonts w:hint="eastAsia" w:ascii="宋体" w:hAnsi="宋体" w:cs="宋体"/>
                <w:b/>
                <w:bCs/>
                <w:color w:val="000000"/>
                <w:sz w:val="20"/>
                <w:szCs w:val="20"/>
                <w:lang w:bidi="ar"/>
              </w:rPr>
              <w:t xml:space="preserve">供应商资质及实力</w:t>
            </w:r>
            <w:r/>
          </w:p>
        </w:tc>
        <w:tc>
          <w:tcPr>
            <w:tcW w:w="4182" w:type="dxa"/>
            <w:vAlign w:val="center"/>
            <w:textDirection w:val="lrTb"/>
            <w:noWrap w:val="false"/>
          </w:tcPr>
          <w:p>
            <w:pPr>
              <w:pStyle w:val="722"/>
              <w:spacing w:before="0" w:beforeAutospacing="0" w:after="0" w:afterAutospacing="0"/>
              <w:rPr>
                <w:rFonts w:hint="eastAsia" w:ascii="宋体" w:hAnsi="宋体" w:cs="宋体"/>
                <w:color w:val="000000"/>
                <w:sz w:val="21"/>
                <w:szCs w:val="24"/>
              </w:rPr>
            </w:pPr>
            <w:r>
              <w:rPr>
                <w:rFonts w:hint="eastAsia" w:ascii="宋体" w:hAnsi="宋体" w:cs="宋体"/>
                <w:color w:val="000000"/>
                <w:sz w:val="21"/>
                <w:szCs w:val="24"/>
              </w:rPr>
              <w:t xml:space="preserve">1、企业拥有ISO9001质量管理体系认证证书得2分。</w:t>
            </w:r>
            <w:r/>
          </w:p>
          <w:p>
            <w:pPr>
              <w:pStyle w:val="722"/>
              <w:spacing w:before="0" w:beforeAutospacing="0" w:after="0" w:afterAutospacing="0"/>
              <w:rPr>
                <w:rFonts w:hint="eastAsia" w:ascii="宋体" w:hAnsi="宋体" w:cs="宋体"/>
                <w:color w:val="000000"/>
                <w:sz w:val="21"/>
                <w:szCs w:val="24"/>
              </w:rPr>
            </w:pPr>
            <w:r>
              <w:rPr>
                <w:rFonts w:hint="eastAsia" w:ascii="宋体" w:hAnsi="宋体" w:cs="宋体"/>
                <w:color w:val="000000"/>
                <w:sz w:val="21"/>
                <w:szCs w:val="24"/>
              </w:rPr>
              <w:t xml:space="preserve">2、企业拥有ISO45001职业健康安全管理体系证书得2分。</w:t>
            </w:r>
            <w:r/>
          </w:p>
          <w:p>
            <w:pPr>
              <w:pStyle w:val="722"/>
              <w:spacing w:before="0" w:beforeAutospacing="0" w:after="0" w:afterAutospacing="0"/>
              <w:rPr>
                <w:rFonts w:hint="eastAsia" w:ascii="宋体" w:hAnsi="宋体" w:cs="宋体"/>
                <w:color w:val="000000"/>
                <w:sz w:val="21"/>
                <w:szCs w:val="24"/>
              </w:rPr>
            </w:pPr>
            <w:r>
              <w:rPr>
                <w:rFonts w:hint="eastAsia" w:ascii="宋体" w:hAnsi="宋体" w:cs="宋体"/>
                <w:color w:val="000000"/>
                <w:sz w:val="21"/>
                <w:szCs w:val="24"/>
              </w:rPr>
              <w:t xml:space="preserve">3、企业拥有ISO20000信息技术服务管理体系证书得2分。</w:t>
            </w:r>
            <w:r/>
          </w:p>
          <w:p>
            <w:pPr>
              <w:pStyle w:val="722"/>
              <w:spacing w:before="0" w:beforeAutospacing="0" w:after="0" w:afterAutospacing="0"/>
            </w:pPr>
            <w:r>
              <w:rPr>
                <w:rFonts w:hint="eastAsia" w:ascii="宋体" w:hAnsi="宋体" w:cs="宋体"/>
                <w:color w:val="000000"/>
                <w:sz w:val="21"/>
                <w:szCs w:val="24"/>
              </w:rPr>
              <w:t xml:space="preserve">(以上资质证书提供相关扫描件并加盖投标人公章）</w:t>
            </w:r>
            <w:r/>
          </w:p>
        </w:tc>
        <w:tc>
          <w:tcPr>
            <w:tcW w:w="690" w:type="dxa"/>
            <w:vAlign w:val="center"/>
            <w:textDirection w:val="lrTb"/>
            <w:noWrap w:val="false"/>
          </w:tcPr>
          <w:p>
            <w:pPr>
              <w:pStyle w:val="722"/>
              <w:jc w:val="center"/>
              <w:spacing w:before="0" w:beforeAutospacing="0" w:after="0" w:afterAutospacing="0"/>
            </w:pPr>
            <w:r>
              <w:rPr>
                <w:rFonts w:hint="eastAsia" w:ascii="宋体" w:hAnsi="宋体" w:cs="宋体"/>
                <w:b/>
                <w:bCs/>
                <w:color w:val="000000"/>
                <w:sz w:val="20"/>
                <w:szCs w:val="20"/>
              </w:rPr>
              <w:t xml:space="preserve">0</w:t>
            </w:r>
            <w:r/>
          </w:p>
        </w:tc>
        <w:tc>
          <w:tcPr>
            <w:tcMar>
              <w:left w:w="0" w:type="dxa"/>
              <w:right w:w="0" w:type="dxa"/>
            </w:tcMar>
            <w:tcW w:w="645" w:type="dxa"/>
            <w:vAlign w:val="center"/>
            <w:textDirection w:val="lrTb"/>
            <w:noWrap w:val="false"/>
          </w:tcPr>
          <w:p>
            <w:pPr>
              <w:pStyle w:val="722"/>
              <w:jc w:val="center"/>
              <w:spacing w:before="0" w:beforeAutospacing="0" w:after="0" w:afterAutospacing="0"/>
            </w:pPr>
            <w:r>
              <w:rPr>
                <w:rFonts w:hint="eastAsia" w:ascii="宋体" w:hAnsi="宋体" w:cs="宋体"/>
                <w:b/>
                <w:bCs/>
                <w:color w:val="000000"/>
                <w:sz w:val="20"/>
                <w:szCs w:val="20"/>
              </w:rPr>
              <w:t xml:space="preserve">6</w:t>
            </w:r>
            <w:r/>
          </w:p>
        </w:tc>
        <w:tc>
          <w:tcPr>
            <w:tcMar>
              <w:left w:w="0" w:type="dxa"/>
              <w:right w:w="0" w:type="dxa"/>
            </w:tcMar>
            <w:tcW w:w="675" w:type="dxa"/>
            <w:vAlign w:val="center"/>
            <w:textDirection w:val="lrTb"/>
            <w:noWrap w:val="false"/>
          </w:tcPr>
          <w:p>
            <w:pPr>
              <w:pStyle w:val="722"/>
              <w:jc w:val="center"/>
              <w:spacing w:before="0" w:beforeAutospacing="0" w:after="0" w:afterAutospacing="0"/>
            </w:pPr>
            <w:r>
              <w:rPr>
                <w:rFonts w:hint="eastAsia" w:ascii="宋体" w:hAnsi="宋体" w:cs="宋体"/>
                <w:b/>
                <w:bCs/>
                <w:color w:val="000000"/>
                <w:sz w:val="20"/>
                <w:szCs w:val="20"/>
              </w:rPr>
              <w:t xml:space="preserve">否</w:t>
            </w:r>
            <w:r/>
          </w:p>
        </w:tc>
        <w:tc>
          <w:tcPr>
            <w:tcMar>
              <w:left w:w="0" w:type="dxa"/>
              <w:right w:w="0" w:type="dxa"/>
            </w:tcMar>
            <w:tcW w:w="705" w:type="dxa"/>
            <w:vAlign w:val="center"/>
            <w:textDirection w:val="lrTb"/>
            <w:noWrap w:val="false"/>
          </w:tcPr>
          <w:p>
            <w:pPr>
              <w:pStyle w:val="722"/>
              <w:jc w:val="center"/>
              <w:spacing w:before="0" w:beforeAutospacing="0" w:after="0" w:afterAutospacing="0"/>
            </w:pPr>
            <w:r>
              <w:rPr>
                <w:rFonts w:hint="eastAsia" w:ascii="宋体" w:hAnsi="宋体" w:cs="宋体"/>
                <w:b/>
                <w:bCs/>
                <w:color w:val="000000"/>
                <w:sz w:val="20"/>
                <w:szCs w:val="20"/>
              </w:rPr>
              <w:t xml:space="preserve">是</w:t>
            </w:r>
            <w:r/>
          </w:p>
        </w:tc>
      </w:tr>
      <w:tr>
        <w:trPr>
          <w:tblCellSpacing w:w="0" w:type="dxa"/>
          <w:trHeight w:val="420"/>
        </w:trPr>
        <w:tc>
          <w:tcPr>
            <w:tcMar>
              <w:left w:w="0" w:type="dxa"/>
              <w:right w:w="0" w:type="dxa"/>
            </w:tcMar>
            <w:tcW w:w="763" w:type="dxa"/>
            <w:vAlign w:val="center"/>
            <w:textDirection w:val="lrTb"/>
            <w:noWrap w:val="false"/>
          </w:tcPr>
          <w:p>
            <w:pPr>
              <w:pStyle w:val="722"/>
              <w:jc w:val="center"/>
              <w:spacing w:before="0" w:beforeAutospacing="0" w:after="0" w:afterAutospacing="0"/>
            </w:pPr>
            <w:r>
              <w:rPr>
                <w:rFonts w:hint="eastAsia" w:ascii="宋体" w:hAnsi="宋体" w:cs="宋体"/>
                <w:b/>
                <w:bCs/>
                <w:color w:val="000000"/>
                <w:sz w:val="20"/>
                <w:szCs w:val="20"/>
              </w:rPr>
              <w:t xml:space="preserve">3.2</w:t>
            </w:r>
            <w:r/>
          </w:p>
        </w:tc>
        <w:tc>
          <w:tcPr>
            <w:tcW w:w="1293" w:type="dxa"/>
            <w:vAlign w:val="center"/>
            <w:textDirection w:val="lrTb"/>
            <w:noWrap w:val="false"/>
          </w:tcPr>
          <w:p>
            <w:pPr>
              <w:jc w:val="center"/>
              <w:spacing w:line="240" w:lineRule="atLeast"/>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拟派人员</w:t>
            </w:r>
            <w:r/>
          </w:p>
          <w:p>
            <w:pPr>
              <w:pStyle w:val="722"/>
              <w:jc w:val="center"/>
              <w:spacing w:before="0" w:beforeAutospacing="0" w:after="0" w:afterAutospacing="0"/>
            </w:pPr>
            <w:r>
              <w:rPr>
                <w:rFonts w:hint="eastAsia" w:ascii="宋体" w:hAnsi="宋体" w:cs="宋体"/>
                <w:b/>
                <w:bCs/>
                <w:color w:val="000000"/>
                <w:sz w:val="20"/>
                <w:szCs w:val="20"/>
                <w:lang w:bidi="ar"/>
              </w:rPr>
              <w:t xml:space="preserve">资质1</w:t>
            </w:r>
            <w:r>
              <w:rPr>
                <w:rFonts w:ascii="宋体" w:hAnsi="宋体" w:cs="宋体"/>
                <w:b/>
                <w:bCs/>
                <w:color w:val="000000"/>
                <w:sz w:val="20"/>
                <w:szCs w:val="20"/>
              </w:rPr>
              <w:t xml:space="preserve"> </w:t>
            </w:r>
            <w:r/>
          </w:p>
        </w:tc>
        <w:tc>
          <w:tcPr>
            <w:tcW w:w="4182" w:type="dxa"/>
            <w:vAlign w:val="center"/>
            <w:textDirection w:val="lrTb"/>
            <w:noWrap w:val="false"/>
          </w:tcPr>
          <w:p>
            <w:pPr>
              <w:ind w:left="0" w:firstLine="0"/>
              <w:jc w:val="left"/>
              <w:spacing w:line="240" w:lineRule="atLeast"/>
              <w:widowControl/>
              <w:rPr>
                <w:rFonts w:hint="eastAsia" w:ascii="宋体" w:hAnsi="宋体" w:cs="宋体"/>
                <w:color w:val="000000"/>
                <w:szCs w:val="24"/>
              </w:rPr>
            </w:pPr>
            <w:r>
              <w:rPr>
                <w:rFonts w:hint="eastAsia" w:ascii="宋体" w:hAnsi="宋体" w:cs="宋体"/>
                <w:color w:val="000000"/>
                <w:szCs w:val="24"/>
              </w:rPr>
              <w:t xml:space="preserve">1.供应商拟派的总监理工程师，每具备1项得2分，最高14分：</w:t>
            </w:r>
            <w:r/>
          </w:p>
          <w:p>
            <w:pPr>
              <w:jc w:val="left"/>
              <w:spacing w:line="360" w:lineRule="exact"/>
              <w:rPr>
                <w:rFonts w:hint="eastAsia" w:ascii="宋体" w:hAnsi="宋体" w:cs="宋体"/>
                <w:color w:val="000000"/>
                <w:szCs w:val="24"/>
              </w:rPr>
            </w:pPr>
            <w:r>
              <w:rPr>
                <w:rFonts w:hint="eastAsia" w:ascii="宋体" w:hAnsi="宋体" w:cs="宋体"/>
                <w:color w:val="000000"/>
                <w:szCs w:val="24"/>
                <w:lang w:val="zh-CN"/>
              </w:rPr>
              <w:t xml:space="preserve">①</w:t>
            </w:r>
            <w:r>
              <w:rPr>
                <w:rFonts w:hint="eastAsia" w:ascii="宋体" w:hAnsi="宋体" w:cs="宋体"/>
                <w:color w:val="000000"/>
                <w:szCs w:val="24"/>
              </w:rPr>
              <w:t xml:space="preserve">人社部和工信部</w:t>
            </w:r>
            <w:r>
              <w:rPr>
                <w:rFonts w:hint="eastAsia" w:ascii="宋体" w:hAnsi="宋体" w:cs="宋体"/>
                <w:color w:val="000000"/>
                <w:szCs w:val="24"/>
                <w:lang w:val="zh-CN"/>
              </w:rPr>
              <w:t xml:space="preserve">颁发的</w:t>
            </w:r>
            <w:r>
              <w:rPr>
                <w:rFonts w:hint="eastAsia" w:ascii="宋体" w:hAnsi="宋体" w:cs="宋体"/>
                <w:color w:val="000000"/>
                <w:szCs w:val="24"/>
              </w:rPr>
              <w:t xml:space="preserve">网络工程师</w:t>
            </w:r>
            <w:r/>
          </w:p>
          <w:p>
            <w:pPr>
              <w:jc w:val="left"/>
              <w:spacing w:line="360" w:lineRule="exact"/>
              <w:rPr>
                <w:rFonts w:hint="eastAsia" w:ascii="宋体" w:hAnsi="宋体" w:cs="宋体"/>
                <w:color w:val="000000"/>
                <w:szCs w:val="24"/>
              </w:rPr>
            </w:pPr>
            <w:r>
              <w:rPr>
                <w:rFonts w:hint="eastAsia" w:ascii="宋体" w:hAnsi="宋体" w:cs="宋体"/>
                <w:color w:val="000000"/>
                <w:szCs w:val="24"/>
                <w:lang w:val="zh-CN"/>
              </w:rPr>
              <w:t xml:space="preserve">②</w:t>
            </w:r>
            <w:r>
              <w:rPr>
                <w:rFonts w:hint="eastAsia" w:ascii="宋体" w:hAnsi="宋体" w:cs="宋体"/>
                <w:color w:val="000000"/>
                <w:szCs w:val="24"/>
              </w:rPr>
              <w:t xml:space="preserve">人社部和工信部</w:t>
            </w:r>
            <w:r>
              <w:rPr>
                <w:rFonts w:hint="eastAsia" w:ascii="宋体" w:hAnsi="宋体" w:cs="宋体"/>
                <w:color w:val="000000"/>
                <w:szCs w:val="24"/>
                <w:lang w:val="zh-CN"/>
              </w:rPr>
              <w:t xml:space="preserve">颁发的</w:t>
            </w:r>
            <w:r>
              <w:rPr>
                <w:rFonts w:hint="eastAsia" w:ascii="宋体" w:hAnsi="宋体" w:cs="宋体"/>
                <w:color w:val="000000"/>
                <w:szCs w:val="24"/>
              </w:rPr>
              <w:t xml:space="preserve">信息系统项目管理师</w:t>
            </w:r>
            <w:r/>
          </w:p>
          <w:p>
            <w:pPr>
              <w:jc w:val="left"/>
              <w:spacing w:line="360" w:lineRule="exact"/>
              <w:rPr>
                <w:rFonts w:hint="eastAsia" w:ascii="宋体" w:hAnsi="宋体" w:cs="宋体"/>
                <w:color w:val="000000"/>
                <w:szCs w:val="24"/>
              </w:rPr>
            </w:pPr>
            <w:r>
              <w:rPr>
                <w:rFonts w:hint="eastAsia" w:ascii="宋体" w:hAnsi="宋体" w:cs="宋体"/>
                <w:color w:val="000000"/>
                <w:szCs w:val="24"/>
              </w:rPr>
              <w:t xml:space="preserve">③人社部和工信部</w:t>
            </w:r>
            <w:r>
              <w:rPr>
                <w:rFonts w:hint="eastAsia" w:ascii="宋体" w:hAnsi="宋体" w:cs="宋体"/>
                <w:color w:val="000000"/>
                <w:szCs w:val="24"/>
                <w:lang w:val="zh-CN"/>
              </w:rPr>
              <w:t xml:space="preserve">颁发的</w:t>
            </w:r>
            <w:r>
              <w:rPr>
                <w:rFonts w:hint="eastAsia" w:ascii="宋体" w:hAnsi="宋体" w:cs="宋体"/>
                <w:color w:val="000000"/>
                <w:szCs w:val="24"/>
              </w:rPr>
              <w:t xml:space="preserve">系统集成项目管理工程师</w:t>
            </w:r>
            <w:r/>
          </w:p>
          <w:p>
            <w:pPr>
              <w:jc w:val="left"/>
              <w:spacing w:line="360" w:lineRule="exact"/>
              <w:rPr>
                <w:rFonts w:hint="eastAsia" w:ascii="宋体" w:hAnsi="宋体" w:cs="宋体"/>
                <w:color w:val="000000"/>
                <w:szCs w:val="24"/>
              </w:rPr>
            </w:pPr>
            <w:r>
              <w:rPr>
                <w:rFonts w:hint="eastAsia" w:ascii="宋体" w:hAnsi="宋体" w:cs="宋体"/>
                <w:color w:val="000000"/>
                <w:szCs w:val="24"/>
              </w:rPr>
              <w:t xml:space="preserve">④人社部和工信部</w:t>
            </w:r>
            <w:r>
              <w:rPr>
                <w:rFonts w:hint="eastAsia" w:ascii="宋体" w:hAnsi="宋体" w:cs="宋体"/>
                <w:color w:val="000000"/>
                <w:szCs w:val="24"/>
                <w:lang w:val="zh-CN"/>
              </w:rPr>
              <w:t xml:space="preserve">颁发的</w:t>
            </w:r>
            <w:r>
              <w:rPr>
                <w:rFonts w:hint="eastAsia" w:ascii="宋体" w:hAnsi="宋体" w:cs="宋体"/>
                <w:color w:val="000000"/>
                <w:szCs w:val="24"/>
              </w:rPr>
              <w:t xml:space="preserve">系统规划与管理师</w:t>
            </w:r>
            <w:r/>
          </w:p>
          <w:p>
            <w:pPr>
              <w:jc w:val="left"/>
              <w:spacing w:line="360" w:lineRule="exact"/>
              <w:rPr>
                <w:rFonts w:hint="eastAsia" w:ascii="宋体" w:hAnsi="宋体" w:cs="宋体"/>
                <w:color w:val="000000"/>
                <w:szCs w:val="24"/>
              </w:rPr>
            </w:pPr>
            <w:r>
              <w:rPr>
                <w:rFonts w:hint="eastAsia" w:ascii="宋体" w:hAnsi="宋体" w:cs="宋体"/>
                <w:color w:val="000000"/>
                <w:szCs w:val="24"/>
              </w:rPr>
              <w:t xml:space="preserve">⑤人社部和工信部</w:t>
            </w:r>
            <w:r>
              <w:rPr>
                <w:rFonts w:hint="eastAsia" w:ascii="宋体" w:hAnsi="宋体" w:cs="宋体"/>
                <w:color w:val="000000"/>
                <w:szCs w:val="24"/>
                <w:lang w:val="zh-CN"/>
              </w:rPr>
              <w:t xml:space="preserve">颁发的</w:t>
            </w:r>
            <w:r>
              <w:rPr>
                <w:rFonts w:hint="eastAsia" w:ascii="宋体" w:hAnsi="宋体" w:cs="宋体"/>
                <w:color w:val="000000"/>
                <w:szCs w:val="24"/>
              </w:rPr>
              <w:t xml:space="preserve">数据库系统工程师</w:t>
            </w:r>
            <w:r/>
          </w:p>
          <w:p>
            <w:pPr>
              <w:jc w:val="left"/>
              <w:spacing w:line="360" w:lineRule="exact"/>
              <w:rPr>
                <w:rFonts w:hint="eastAsia" w:ascii="宋体" w:hAnsi="宋体" w:cs="宋体"/>
                <w:color w:val="000000"/>
                <w:szCs w:val="24"/>
              </w:rPr>
            </w:pPr>
            <w:r>
              <w:rPr>
                <w:rFonts w:hint="eastAsia" w:ascii="宋体" w:hAnsi="宋体" w:cs="宋体"/>
                <w:color w:val="000000"/>
                <w:szCs w:val="24"/>
              </w:rPr>
              <w:t xml:space="preserve">⑥人力资源和社会保障厅颁发的高级工程师资格证书（电子信息专业）</w:t>
            </w:r>
            <w:r/>
          </w:p>
          <w:p>
            <w:pPr>
              <w:jc w:val="left"/>
              <w:spacing w:line="360" w:lineRule="exact"/>
              <w:rPr>
                <w:rFonts w:hint="eastAsia" w:ascii="宋体" w:hAnsi="宋体" w:cs="宋体"/>
                <w:color w:val="000000"/>
                <w:szCs w:val="24"/>
              </w:rPr>
            </w:pPr>
            <w:r>
              <w:rPr>
                <w:rFonts w:hint="eastAsia" w:ascii="宋体" w:hAnsi="宋体" w:cs="宋体"/>
                <w:color w:val="000000"/>
                <w:szCs w:val="24"/>
              </w:rPr>
              <w:t xml:space="preserve">⑦具有国家密码管理局颁发的《商用密码应用安全性评估从业人员》证书</w:t>
            </w:r>
            <w:r/>
          </w:p>
          <w:p>
            <w:pPr>
              <w:pStyle w:val="722"/>
              <w:spacing w:before="0" w:beforeAutospacing="0" w:after="0" w:afterAutospacing="0"/>
              <w:rPr>
                <w:rFonts w:hint="eastAsia" w:ascii="宋体" w:hAnsi="宋体" w:cs="宋体"/>
                <w:color w:val="000000"/>
                <w:sz w:val="21"/>
                <w:szCs w:val="24"/>
              </w:rPr>
            </w:pPr>
            <w:r>
              <w:rPr>
                <w:rFonts w:hint="eastAsia" w:ascii="宋体" w:hAnsi="宋体" w:cs="宋体"/>
                <w:color w:val="000000"/>
                <w:sz w:val="21"/>
                <w:szCs w:val="24"/>
              </w:rPr>
            </w:r>
            <w:r/>
          </w:p>
          <w:p>
            <w:pPr>
              <w:pStyle w:val="722"/>
              <w:spacing w:before="0" w:beforeAutospacing="0" w:after="0" w:afterAutospacing="0"/>
              <w:rPr>
                <w:rFonts w:hint="eastAsia" w:ascii="宋体" w:hAnsi="宋体" w:cs="宋体"/>
                <w:color w:val="000000"/>
                <w:sz w:val="21"/>
                <w:szCs w:val="24"/>
              </w:rPr>
            </w:pPr>
            <w:r>
              <w:rPr>
                <w:rFonts w:hint="eastAsia" w:ascii="宋体" w:hAnsi="宋体" w:cs="宋体"/>
                <w:color w:val="000000"/>
                <w:sz w:val="21"/>
                <w:szCs w:val="24"/>
              </w:rPr>
              <w:t xml:space="preserve">备注：1、以上人员资质证书提供相关扫描件并加盖投标人公章。2、以上人员必须具备信息系统监理师证书。3、以上人员必须提供供应商缴纳在投标截止日前三个月任意一个月的社保缴纳证明材料的扫描件并加盖投标人公章。不满足三点要求，本项不得分。</w:t>
            </w:r>
            <w:r/>
          </w:p>
        </w:tc>
        <w:tc>
          <w:tcPr>
            <w:tcW w:w="690" w:type="dxa"/>
            <w:vAlign w:val="center"/>
            <w:textDirection w:val="lrTb"/>
            <w:noWrap w:val="false"/>
          </w:tcPr>
          <w:p>
            <w:pPr>
              <w:pStyle w:val="722"/>
              <w:jc w:val="center"/>
              <w:spacing w:before="0" w:beforeAutospacing="0" w:after="0" w:afterAutospacing="0"/>
            </w:pPr>
            <w:r>
              <w:rPr>
                <w:rFonts w:hint="eastAsia" w:ascii="宋体" w:hAnsi="宋体" w:cs="宋体"/>
                <w:b/>
                <w:bCs/>
                <w:color w:val="000000"/>
                <w:sz w:val="20"/>
                <w:szCs w:val="20"/>
              </w:rPr>
              <w:t xml:space="preserve">0</w:t>
            </w:r>
            <w:r>
              <w:rPr>
                <w:rFonts w:ascii="宋体" w:hAnsi="宋体" w:cs="宋体"/>
                <w:b/>
                <w:bCs/>
                <w:color w:val="000000"/>
                <w:sz w:val="20"/>
                <w:szCs w:val="20"/>
              </w:rPr>
              <w:t xml:space="preserve"> </w:t>
            </w:r>
            <w:r/>
          </w:p>
        </w:tc>
        <w:tc>
          <w:tcPr>
            <w:tcMar>
              <w:left w:w="0" w:type="dxa"/>
              <w:right w:w="0" w:type="dxa"/>
            </w:tcMar>
            <w:tcW w:w="645" w:type="dxa"/>
            <w:vAlign w:val="center"/>
            <w:textDirection w:val="lrTb"/>
            <w:noWrap w:val="false"/>
          </w:tcPr>
          <w:p>
            <w:pPr>
              <w:pStyle w:val="722"/>
              <w:jc w:val="center"/>
              <w:spacing w:before="0" w:beforeAutospacing="0" w:after="0" w:afterAutospacing="0"/>
            </w:pPr>
            <w:r>
              <w:rPr>
                <w:rFonts w:hint="eastAsia" w:ascii="宋体" w:hAnsi="宋体" w:cs="宋体"/>
                <w:b/>
                <w:bCs/>
                <w:color w:val="000000"/>
                <w:sz w:val="20"/>
                <w:szCs w:val="20"/>
              </w:rPr>
              <w:t xml:space="preserve">14</w:t>
            </w:r>
            <w:r/>
          </w:p>
        </w:tc>
        <w:tc>
          <w:tcPr>
            <w:tcMar>
              <w:left w:w="0" w:type="dxa"/>
              <w:right w:w="0" w:type="dxa"/>
            </w:tcMar>
            <w:tcW w:w="675" w:type="dxa"/>
            <w:vAlign w:val="center"/>
            <w:textDirection w:val="lrTb"/>
            <w:noWrap w:val="false"/>
          </w:tcPr>
          <w:p>
            <w:pPr>
              <w:pStyle w:val="722"/>
              <w:jc w:val="center"/>
              <w:spacing w:before="0" w:beforeAutospacing="0" w:after="0" w:afterAutospacing="0"/>
            </w:pPr>
            <w:r>
              <w:rPr>
                <w:rFonts w:hint="eastAsia" w:ascii="宋体" w:hAnsi="宋体" w:cs="宋体"/>
                <w:b/>
                <w:bCs/>
                <w:color w:val="000000"/>
                <w:sz w:val="20"/>
                <w:szCs w:val="20"/>
              </w:rPr>
              <w:t xml:space="preserve">否</w:t>
            </w:r>
            <w:r/>
          </w:p>
        </w:tc>
        <w:tc>
          <w:tcPr>
            <w:tcMar>
              <w:left w:w="0" w:type="dxa"/>
              <w:right w:w="0" w:type="dxa"/>
            </w:tcMar>
            <w:tcW w:w="705" w:type="dxa"/>
            <w:vAlign w:val="center"/>
            <w:textDirection w:val="lrTb"/>
            <w:noWrap w:val="false"/>
          </w:tcPr>
          <w:p>
            <w:pPr>
              <w:pStyle w:val="722"/>
              <w:jc w:val="center"/>
              <w:spacing w:before="0" w:beforeAutospacing="0" w:after="0" w:afterAutospacing="0"/>
            </w:pPr>
            <w:r>
              <w:rPr>
                <w:rFonts w:hint="eastAsia" w:ascii="宋体" w:hAnsi="宋体" w:cs="宋体"/>
                <w:b/>
                <w:bCs/>
                <w:color w:val="000000"/>
                <w:sz w:val="20"/>
                <w:szCs w:val="20"/>
              </w:rPr>
              <w:t xml:space="preserve">是</w:t>
            </w:r>
            <w:r/>
          </w:p>
        </w:tc>
      </w:tr>
      <w:tr>
        <w:trPr>
          <w:tblCellSpacing w:w="0" w:type="dxa"/>
          <w:trHeight w:val="420"/>
        </w:trPr>
        <w:tc>
          <w:tcPr>
            <w:tcMar>
              <w:left w:w="0" w:type="dxa"/>
              <w:right w:w="0" w:type="dxa"/>
            </w:tcMar>
            <w:tcW w:w="763"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3.3</w:t>
            </w:r>
            <w:r/>
          </w:p>
        </w:tc>
        <w:tc>
          <w:tcPr>
            <w:tcW w:w="1293" w:type="dxa"/>
            <w:vAlign w:val="center"/>
            <w:textDirection w:val="lrTb"/>
            <w:noWrap w:val="false"/>
          </w:tcPr>
          <w:p>
            <w:pPr>
              <w:jc w:val="center"/>
              <w:spacing w:line="240" w:lineRule="atLeast"/>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拟派人员</w:t>
            </w:r>
            <w:r/>
          </w:p>
          <w:p>
            <w:pPr>
              <w:jc w:val="center"/>
              <w:spacing w:line="240" w:lineRule="atLeast"/>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资质2</w:t>
            </w:r>
            <w:r/>
          </w:p>
        </w:tc>
        <w:tc>
          <w:tcPr>
            <w:tcW w:w="4182" w:type="dxa"/>
            <w:vAlign w:val="center"/>
            <w:textDirection w:val="lrTb"/>
            <w:noWrap w:val="false"/>
          </w:tcPr>
          <w:p>
            <w:pPr>
              <w:jc w:val="left"/>
              <w:spacing w:line="360" w:lineRule="exact"/>
              <w:rPr>
                <w:rFonts w:hint="eastAsia" w:ascii="宋体" w:hAnsi="宋体" w:cs="宋体"/>
                <w:color w:val="000000"/>
                <w:szCs w:val="24"/>
              </w:rPr>
            </w:pPr>
            <w:r>
              <w:rPr>
                <w:rFonts w:hint="eastAsia" w:ascii="宋体" w:hAnsi="宋体" w:cs="宋体"/>
                <w:color w:val="000000"/>
                <w:szCs w:val="24"/>
              </w:rPr>
              <w:t xml:space="preserve">供应商拟派的总监理工程师代表，每具备1项得3分，最高12分：</w:t>
            </w:r>
            <w:r>
              <w:rPr>
                <w:rFonts w:hint="eastAsia" w:ascii="宋体" w:hAnsi="宋体" w:cs="宋体"/>
                <w:color w:val="000000"/>
                <w:szCs w:val="24"/>
              </w:rPr>
              <w:br/>
            </w:r>
            <w:r>
              <w:rPr>
                <w:rFonts w:hint="eastAsia" w:ascii="宋体" w:hAnsi="宋体" w:cs="宋体"/>
                <w:color w:val="000000"/>
                <w:szCs w:val="24"/>
                <w:lang w:val="zh-CN"/>
              </w:rPr>
              <w:t xml:space="preserve">①</w:t>
            </w:r>
            <w:r>
              <w:rPr>
                <w:rFonts w:hint="eastAsia" w:ascii="宋体" w:hAnsi="宋体" w:cs="宋体"/>
                <w:color w:val="000000"/>
                <w:szCs w:val="24"/>
              </w:rPr>
              <w:t xml:space="preserve">人社部和工信部</w:t>
            </w:r>
            <w:r>
              <w:rPr>
                <w:rFonts w:hint="eastAsia" w:ascii="宋体" w:hAnsi="宋体" w:cs="宋体"/>
                <w:color w:val="000000"/>
                <w:szCs w:val="24"/>
                <w:lang w:val="zh-CN"/>
              </w:rPr>
              <w:t xml:space="preserve">颁发的</w:t>
            </w:r>
            <w:r>
              <w:rPr>
                <w:rFonts w:hint="eastAsia" w:ascii="宋体" w:hAnsi="宋体" w:cs="宋体"/>
                <w:color w:val="000000"/>
                <w:szCs w:val="24"/>
              </w:rPr>
              <w:t xml:space="preserve">信息系统管理工程师</w:t>
            </w:r>
            <w:r/>
          </w:p>
          <w:p>
            <w:pPr>
              <w:jc w:val="left"/>
              <w:spacing w:line="360" w:lineRule="exact"/>
              <w:rPr>
                <w:rFonts w:hint="eastAsia" w:ascii="宋体" w:hAnsi="宋体" w:cs="宋体"/>
                <w:color w:val="000000"/>
                <w:szCs w:val="24"/>
              </w:rPr>
            </w:pPr>
            <w:r>
              <w:rPr>
                <w:rFonts w:hint="eastAsia" w:ascii="宋体" w:hAnsi="宋体" w:cs="宋体"/>
                <w:color w:val="000000"/>
                <w:szCs w:val="24"/>
                <w:lang w:val="zh-CN"/>
              </w:rPr>
              <w:t xml:space="preserve">②</w:t>
            </w:r>
            <w:r>
              <w:rPr>
                <w:rFonts w:hint="eastAsia" w:ascii="宋体" w:hAnsi="宋体" w:cs="宋体"/>
                <w:color w:val="000000"/>
                <w:szCs w:val="24"/>
              </w:rPr>
              <w:t xml:space="preserve">人社部和工信部</w:t>
            </w:r>
            <w:r>
              <w:rPr>
                <w:rFonts w:hint="eastAsia" w:ascii="宋体" w:hAnsi="宋体" w:cs="宋体"/>
                <w:color w:val="000000"/>
                <w:szCs w:val="24"/>
                <w:lang w:val="zh-CN"/>
              </w:rPr>
              <w:t xml:space="preserve">颁发的</w:t>
            </w:r>
            <w:r>
              <w:rPr>
                <w:rFonts w:hint="eastAsia" w:ascii="宋体" w:hAnsi="宋体" w:cs="宋体"/>
                <w:color w:val="000000"/>
                <w:szCs w:val="24"/>
              </w:rPr>
              <w:t xml:space="preserve">信息系统项目管理师</w:t>
            </w:r>
            <w:r/>
          </w:p>
          <w:p>
            <w:pPr>
              <w:jc w:val="left"/>
              <w:spacing w:line="360" w:lineRule="exact"/>
              <w:rPr>
                <w:rFonts w:hint="eastAsia" w:ascii="宋体" w:hAnsi="宋体" w:cs="宋体"/>
                <w:color w:val="000000"/>
                <w:szCs w:val="24"/>
              </w:rPr>
            </w:pPr>
            <w:r>
              <w:rPr>
                <w:rFonts w:hint="eastAsia" w:ascii="宋体" w:hAnsi="宋体" w:cs="宋体"/>
                <w:color w:val="000000"/>
                <w:szCs w:val="24"/>
              </w:rPr>
              <w:t xml:space="preserve">③人社部和工信部</w:t>
            </w:r>
            <w:r>
              <w:rPr>
                <w:rFonts w:hint="eastAsia" w:ascii="宋体" w:hAnsi="宋体" w:cs="宋体"/>
                <w:color w:val="000000"/>
                <w:szCs w:val="24"/>
                <w:lang w:val="zh-CN"/>
              </w:rPr>
              <w:t xml:space="preserve">颁发的</w:t>
            </w:r>
            <w:r>
              <w:rPr>
                <w:rFonts w:hint="eastAsia" w:ascii="宋体" w:hAnsi="宋体" w:cs="宋体"/>
                <w:color w:val="000000"/>
                <w:szCs w:val="24"/>
              </w:rPr>
              <w:t xml:space="preserve">系统集成项目管理工程师</w:t>
            </w:r>
            <w:r/>
          </w:p>
          <w:p>
            <w:pPr>
              <w:jc w:val="left"/>
              <w:spacing w:line="360" w:lineRule="exact"/>
              <w:rPr>
                <w:rFonts w:hint="eastAsia" w:ascii="宋体" w:hAnsi="宋体" w:cs="宋体"/>
                <w:color w:val="000000"/>
                <w:szCs w:val="24"/>
              </w:rPr>
            </w:pPr>
            <w:r>
              <w:rPr>
                <w:rFonts w:hint="eastAsia" w:ascii="宋体" w:hAnsi="宋体" w:cs="宋体"/>
                <w:color w:val="000000"/>
                <w:szCs w:val="24"/>
              </w:rPr>
              <w:t xml:space="preserve">④人社部和工信部</w:t>
            </w:r>
            <w:r>
              <w:rPr>
                <w:rFonts w:hint="eastAsia" w:ascii="宋体" w:hAnsi="宋体" w:cs="宋体"/>
                <w:color w:val="000000"/>
                <w:szCs w:val="24"/>
                <w:lang w:val="zh-CN"/>
              </w:rPr>
              <w:t xml:space="preserve">颁发的</w:t>
            </w:r>
            <w:r>
              <w:rPr>
                <w:rFonts w:hint="eastAsia" w:ascii="宋体" w:hAnsi="宋体" w:cs="宋体"/>
                <w:color w:val="000000"/>
                <w:szCs w:val="24"/>
              </w:rPr>
              <w:t xml:space="preserve">系统规划与管理师</w:t>
            </w:r>
            <w:r/>
          </w:p>
          <w:p>
            <w:pPr>
              <w:pStyle w:val="767"/>
              <w:rPr>
                <w:rFonts w:hint="eastAsia" w:ascii="宋体" w:hAnsi="宋体" w:cs="宋体"/>
                <w:color w:val="000000"/>
                <w:sz w:val="21"/>
                <w:szCs w:val="24"/>
              </w:rPr>
            </w:pPr>
            <w:r>
              <w:rPr>
                <w:rFonts w:hint="eastAsia" w:ascii="宋体" w:hAnsi="宋体" w:cs="宋体"/>
                <w:color w:val="000000"/>
                <w:sz w:val="21"/>
                <w:szCs w:val="24"/>
              </w:rPr>
            </w:r>
            <w:r/>
          </w:p>
          <w:p>
            <w:pPr>
              <w:pStyle w:val="767"/>
              <w:rPr>
                <w:rFonts w:hint="eastAsia" w:ascii="宋体" w:hAnsi="宋体" w:cs="宋体"/>
                <w:b/>
                <w:bCs/>
                <w:color w:val="000000"/>
                <w:sz w:val="20"/>
                <w:szCs w:val="20"/>
              </w:rPr>
            </w:pPr>
            <w:r>
              <w:rPr>
                <w:rFonts w:hint="eastAsia" w:ascii="宋体" w:hAnsi="宋体" w:cs="宋体"/>
                <w:color w:val="000000"/>
                <w:sz w:val="21"/>
                <w:szCs w:val="24"/>
              </w:rPr>
              <w:t xml:space="preserve">备注：1、以上人员资质证书提供相关的扫描件并加盖投标人公章。2、以上人员必须具备信息系统监理师证书。3、以上人员必须提供供应商缴纳在投标截止日前三个月任意一个月的社保缴纳证明材料的扫描件并加盖投标人公章。不满足三点要求，本项不得分。</w:t>
            </w:r>
            <w:r/>
          </w:p>
        </w:tc>
        <w:tc>
          <w:tcPr>
            <w:tcW w:w="690"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0</w:t>
            </w:r>
            <w:r/>
          </w:p>
        </w:tc>
        <w:tc>
          <w:tcPr>
            <w:tcMar>
              <w:left w:w="0" w:type="dxa"/>
              <w:right w:w="0" w:type="dxa"/>
            </w:tcMar>
            <w:tcW w:w="645"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12</w:t>
            </w:r>
            <w:r/>
          </w:p>
        </w:tc>
        <w:tc>
          <w:tcPr>
            <w:tcMar>
              <w:left w:w="0" w:type="dxa"/>
              <w:right w:w="0" w:type="dxa"/>
            </w:tcMar>
            <w:tcW w:w="675"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否</w:t>
            </w:r>
            <w:r/>
          </w:p>
        </w:tc>
        <w:tc>
          <w:tcPr>
            <w:tcMar>
              <w:left w:w="0" w:type="dxa"/>
              <w:right w:w="0" w:type="dxa"/>
            </w:tcMar>
            <w:tcW w:w="705"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是</w:t>
            </w:r>
            <w:r/>
          </w:p>
        </w:tc>
      </w:tr>
      <w:tr>
        <w:trPr>
          <w:tblCellSpacing w:w="0" w:type="dxa"/>
          <w:trHeight w:val="420"/>
        </w:trPr>
        <w:tc>
          <w:tcPr>
            <w:tcMar>
              <w:left w:w="0" w:type="dxa"/>
              <w:right w:w="0" w:type="dxa"/>
            </w:tcMar>
            <w:tcW w:w="763"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3.4</w:t>
            </w:r>
            <w:r/>
          </w:p>
        </w:tc>
        <w:tc>
          <w:tcPr>
            <w:tcW w:w="1293" w:type="dxa"/>
            <w:vAlign w:val="center"/>
            <w:textDirection w:val="lrTb"/>
            <w:noWrap w:val="false"/>
          </w:tcPr>
          <w:p>
            <w:pPr>
              <w:jc w:val="center"/>
              <w:spacing w:line="240" w:lineRule="atLeast"/>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拟派人员</w:t>
            </w:r>
            <w:r/>
          </w:p>
          <w:p>
            <w:pPr>
              <w:jc w:val="center"/>
              <w:spacing w:line="240" w:lineRule="atLeast"/>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资质3</w:t>
            </w:r>
            <w:r/>
          </w:p>
        </w:tc>
        <w:tc>
          <w:tcPr>
            <w:tcW w:w="4182" w:type="dxa"/>
            <w:vAlign w:val="center"/>
            <w:textDirection w:val="lrTb"/>
            <w:noWrap w:val="false"/>
          </w:tcPr>
          <w:p>
            <w:pPr>
              <w:jc w:val="left"/>
              <w:spacing w:line="240" w:lineRule="atLeast"/>
              <w:widowControl/>
              <w:rPr>
                <w:rFonts w:hint="eastAsia" w:ascii="宋体" w:hAnsi="宋体" w:cs="宋体"/>
                <w:color w:val="000000"/>
                <w:szCs w:val="24"/>
              </w:rPr>
            </w:pPr>
            <w:r>
              <w:rPr>
                <w:rFonts w:hint="eastAsia" w:ascii="宋体" w:hAnsi="宋体" w:cs="宋体"/>
                <w:color w:val="000000"/>
                <w:szCs w:val="24"/>
              </w:rPr>
              <w:t xml:space="preserve">供应商拟派的监理工程师具备以下相关资质证书（总监、总监代表除外），每具备1项得2分，一人多证不重复计分，同一证书多人具有只计一次，最高12分；</w:t>
            </w:r>
            <w:r/>
          </w:p>
          <w:p>
            <w:pPr>
              <w:jc w:val="left"/>
              <w:spacing w:line="240" w:lineRule="atLeast"/>
              <w:widowControl/>
              <w:rPr>
                <w:rFonts w:hint="eastAsia" w:ascii="宋体" w:hAnsi="宋体" w:cs="宋体"/>
                <w:color w:val="000000"/>
                <w:szCs w:val="24"/>
              </w:rPr>
            </w:pPr>
            <w:r>
              <w:rPr>
                <w:rFonts w:hint="eastAsia" w:ascii="宋体" w:hAnsi="宋体" w:cs="宋体"/>
                <w:color w:val="000000"/>
                <w:szCs w:val="24"/>
              </w:rPr>
              <w:t xml:space="preserve">①人社部和工信部颁发的系统分析师</w:t>
            </w:r>
            <w:r/>
          </w:p>
          <w:p>
            <w:pPr>
              <w:jc w:val="left"/>
              <w:spacing w:line="240" w:lineRule="atLeast"/>
              <w:widowControl/>
              <w:rPr>
                <w:rFonts w:hint="eastAsia" w:ascii="宋体" w:hAnsi="宋体" w:cs="宋体"/>
                <w:color w:val="000000"/>
                <w:szCs w:val="24"/>
              </w:rPr>
            </w:pPr>
            <w:r>
              <w:rPr>
                <w:rFonts w:hint="eastAsia" w:ascii="宋体" w:hAnsi="宋体" w:cs="宋体"/>
                <w:color w:val="000000"/>
                <w:szCs w:val="24"/>
              </w:rPr>
              <w:t xml:space="preserve">②人社部和工信部颁发的信息系统项目管理师</w:t>
            </w:r>
            <w:r/>
          </w:p>
          <w:p>
            <w:pPr>
              <w:jc w:val="left"/>
              <w:spacing w:line="240" w:lineRule="atLeast"/>
              <w:widowControl/>
              <w:rPr>
                <w:rFonts w:hint="eastAsia" w:ascii="宋体" w:hAnsi="宋体" w:cs="宋体"/>
                <w:color w:val="000000"/>
                <w:szCs w:val="24"/>
              </w:rPr>
            </w:pPr>
            <w:r>
              <w:rPr>
                <w:rFonts w:hint="eastAsia" w:ascii="宋体" w:hAnsi="宋体" w:cs="宋体"/>
                <w:color w:val="000000"/>
                <w:szCs w:val="24"/>
              </w:rPr>
              <w:t xml:space="preserve">③人社部和工信部颁发的系统集成项目管理工程师</w:t>
            </w:r>
            <w:r/>
          </w:p>
          <w:p>
            <w:pPr>
              <w:jc w:val="left"/>
              <w:spacing w:line="240" w:lineRule="atLeast"/>
              <w:widowControl/>
              <w:rPr>
                <w:rFonts w:hint="eastAsia" w:ascii="宋体" w:hAnsi="宋体" w:cs="宋体"/>
                <w:color w:val="000000"/>
                <w:szCs w:val="24"/>
              </w:rPr>
            </w:pPr>
            <w:r>
              <w:rPr>
                <w:rFonts w:hint="eastAsia" w:ascii="宋体" w:hAnsi="宋体" w:cs="宋体"/>
                <w:color w:val="000000"/>
                <w:szCs w:val="24"/>
              </w:rPr>
              <w:t xml:space="preserve">④人社部和工信部颁发的系统规划与管理师</w:t>
            </w:r>
            <w:r/>
          </w:p>
          <w:p>
            <w:pPr>
              <w:jc w:val="left"/>
              <w:spacing w:line="240" w:lineRule="atLeast"/>
              <w:widowControl/>
              <w:rPr>
                <w:rFonts w:hint="eastAsia" w:ascii="宋体" w:hAnsi="宋体" w:cs="宋体"/>
                <w:color w:val="000000"/>
                <w:szCs w:val="24"/>
              </w:rPr>
            </w:pPr>
            <w:r>
              <w:rPr>
                <w:rFonts w:hint="eastAsia" w:ascii="宋体" w:hAnsi="宋体" w:cs="宋体"/>
                <w:color w:val="000000"/>
                <w:szCs w:val="24"/>
              </w:rPr>
              <w:t xml:space="preserve">⑤人社部和工信部颁发的数据库系统工程师</w:t>
            </w:r>
            <w:r/>
          </w:p>
          <w:p>
            <w:pPr>
              <w:jc w:val="left"/>
              <w:spacing w:line="240" w:lineRule="atLeast"/>
              <w:widowControl/>
              <w:rPr>
                <w:rFonts w:hint="eastAsia" w:ascii="宋体" w:hAnsi="宋体" w:cs="宋体"/>
                <w:color w:val="000000"/>
                <w:szCs w:val="24"/>
              </w:rPr>
            </w:pPr>
            <w:r>
              <w:rPr>
                <w:rFonts w:hint="eastAsia" w:ascii="宋体" w:hAnsi="宋体" w:cs="宋体"/>
                <w:color w:val="000000"/>
                <w:szCs w:val="24"/>
              </w:rPr>
              <w:t xml:space="preserve">⑥人社部和工信部颁发的软件设计师</w:t>
            </w:r>
            <w:r/>
          </w:p>
          <w:p>
            <w:pPr>
              <w:pStyle w:val="722"/>
              <w:spacing w:before="0" w:beforeAutospacing="0" w:after="0" w:afterAutospacing="0"/>
              <w:rPr>
                <w:rFonts w:hint="eastAsia" w:ascii="宋体" w:hAnsi="宋体" w:cs="宋体"/>
                <w:b/>
                <w:bCs/>
                <w:color w:val="000000"/>
                <w:sz w:val="20"/>
                <w:szCs w:val="20"/>
              </w:rPr>
            </w:pPr>
            <w:r>
              <w:rPr>
                <w:rFonts w:hint="eastAsia" w:ascii="宋体" w:hAnsi="宋体" w:cs="宋体"/>
                <w:color w:val="000000"/>
                <w:sz w:val="21"/>
                <w:szCs w:val="24"/>
              </w:rPr>
              <w:t xml:space="preserve">备注：1、以上人员资质证书提供相关扫描件并加盖投标人公章。2、以上人员必须具备信息系统监理师证书。3、以上人员必须提供供应商缴纳在投标截止日前三个月任意一个月的社保缴纳证明材料的扫描件并加盖投标人公章。不满足三点要求，本项不得分。</w:t>
            </w:r>
            <w:r/>
          </w:p>
        </w:tc>
        <w:tc>
          <w:tcPr>
            <w:tcW w:w="690"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0</w:t>
            </w:r>
            <w:r/>
          </w:p>
        </w:tc>
        <w:tc>
          <w:tcPr>
            <w:tcMar>
              <w:left w:w="0" w:type="dxa"/>
              <w:right w:w="0" w:type="dxa"/>
            </w:tcMar>
            <w:tcW w:w="645"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12</w:t>
            </w:r>
            <w:r/>
          </w:p>
        </w:tc>
        <w:tc>
          <w:tcPr>
            <w:tcMar>
              <w:left w:w="0" w:type="dxa"/>
              <w:right w:w="0" w:type="dxa"/>
            </w:tcMar>
            <w:tcW w:w="675"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否</w:t>
            </w:r>
            <w:r/>
          </w:p>
        </w:tc>
        <w:tc>
          <w:tcPr>
            <w:tcMar>
              <w:left w:w="0" w:type="dxa"/>
              <w:right w:w="0" w:type="dxa"/>
            </w:tcMar>
            <w:tcW w:w="705"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是</w:t>
            </w:r>
            <w:r/>
          </w:p>
        </w:tc>
      </w:tr>
      <w:tr>
        <w:trPr>
          <w:tblCellSpacing w:w="0" w:type="dxa"/>
          <w:trHeight w:val="420"/>
        </w:trPr>
        <w:tc>
          <w:tcPr>
            <w:tcMar>
              <w:left w:w="0" w:type="dxa"/>
              <w:right w:w="0" w:type="dxa"/>
            </w:tcMar>
            <w:tcW w:w="763"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3.5</w:t>
            </w:r>
            <w:r/>
          </w:p>
        </w:tc>
        <w:tc>
          <w:tcPr>
            <w:tcW w:w="1293" w:type="dxa"/>
            <w:vAlign w:val="center"/>
            <w:textDirection w:val="lrTb"/>
            <w:noWrap w:val="false"/>
          </w:tcPr>
          <w:p>
            <w:pPr>
              <w:jc w:val="center"/>
              <w:spacing w:line="240" w:lineRule="atLeast"/>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管理工具及业绩</w:t>
            </w:r>
            <w:r/>
          </w:p>
        </w:tc>
        <w:tc>
          <w:tcPr>
            <w:tcW w:w="4182" w:type="dxa"/>
            <w:vAlign w:val="center"/>
            <w:textDirection w:val="lrTb"/>
            <w:noWrap w:val="false"/>
          </w:tcPr>
          <w:p>
            <w:pPr>
              <w:jc w:val="left"/>
              <w:spacing w:line="240" w:lineRule="atLeast"/>
              <w:rPr>
                <w:rFonts w:hint="eastAsia" w:ascii="宋体" w:hAnsi="宋体" w:cs="宋体"/>
                <w:color w:val="000000"/>
                <w:szCs w:val="24"/>
              </w:rPr>
            </w:pPr>
            <w:r>
              <w:rPr>
                <w:rFonts w:hint="eastAsia" w:ascii="宋体" w:hAnsi="宋体" w:cs="宋体"/>
                <w:color w:val="000000"/>
                <w:szCs w:val="24"/>
              </w:rPr>
              <w:t xml:space="preserve">1、具有自主研发项目管理/信息工程质量保障类软件著作权，每项得2分，最高8分。</w:t>
            </w:r>
            <w:r/>
          </w:p>
          <w:p>
            <w:pPr>
              <w:jc w:val="left"/>
              <w:spacing w:line="240" w:lineRule="atLeast"/>
              <w:widowControl/>
              <w:rPr>
                <w:rFonts w:hint="eastAsia" w:ascii="宋体" w:hAnsi="宋体" w:cs="宋体"/>
                <w:b/>
                <w:bCs/>
                <w:color w:val="000000"/>
                <w:sz w:val="20"/>
                <w:szCs w:val="20"/>
              </w:rPr>
            </w:pPr>
            <w:r>
              <w:rPr>
                <w:rFonts w:hint="eastAsia" w:ascii="宋体" w:hAnsi="宋体" w:cs="宋体"/>
                <w:color w:val="000000"/>
                <w:szCs w:val="24"/>
              </w:rPr>
              <w:t xml:space="preserve">2、</w:t>
            </w:r>
            <w:r>
              <w:rPr>
                <w:rFonts w:hint="eastAsia" w:ascii="宋体" w:hAnsi="宋体" w:cs="宋体"/>
                <w:lang w:bidi="ar"/>
              </w:rPr>
              <w:t xml:space="preserve">2022年1月1日以来承担过信息化监理项目，每项得1分，最高2分。提供证书或合同扫描件并加盖投标人公章，不提供不得分。</w:t>
            </w:r>
            <w:r/>
          </w:p>
        </w:tc>
        <w:tc>
          <w:tcPr>
            <w:tcW w:w="690"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0</w:t>
            </w:r>
            <w:r/>
          </w:p>
        </w:tc>
        <w:tc>
          <w:tcPr>
            <w:tcMar>
              <w:left w:w="0" w:type="dxa"/>
              <w:right w:w="0" w:type="dxa"/>
            </w:tcMar>
            <w:tcW w:w="645"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10</w:t>
            </w:r>
            <w:r/>
          </w:p>
        </w:tc>
        <w:tc>
          <w:tcPr>
            <w:tcMar>
              <w:left w:w="0" w:type="dxa"/>
              <w:right w:w="0" w:type="dxa"/>
            </w:tcMar>
            <w:tcW w:w="675"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否</w:t>
            </w:r>
            <w:r/>
          </w:p>
        </w:tc>
        <w:tc>
          <w:tcPr>
            <w:tcMar>
              <w:left w:w="0" w:type="dxa"/>
              <w:right w:w="0" w:type="dxa"/>
            </w:tcMar>
            <w:tcW w:w="705" w:type="dxa"/>
            <w:vAlign w:val="center"/>
            <w:textDirection w:val="lrTb"/>
            <w:noWrap w:val="false"/>
          </w:tcPr>
          <w:p>
            <w:pPr>
              <w:pStyle w:val="722"/>
              <w:jc w:val="center"/>
              <w:spacing w:before="0" w:beforeAutospacing="0" w:after="0" w:afterAutospacing="0"/>
              <w:rPr>
                <w:rFonts w:hint="eastAsia" w:ascii="宋体" w:hAnsi="宋体" w:cs="宋体"/>
                <w:b/>
                <w:bCs/>
                <w:color w:val="000000"/>
                <w:sz w:val="20"/>
                <w:szCs w:val="20"/>
              </w:rPr>
            </w:pPr>
            <w:r>
              <w:rPr>
                <w:rFonts w:hint="eastAsia" w:ascii="宋体" w:hAnsi="宋体" w:cs="宋体"/>
                <w:b/>
                <w:bCs/>
                <w:color w:val="000000"/>
                <w:sz w:val="20"/>
                <w:szCs w:val="20"/>
              </w:rPr>
              <w:t xml:space="preserve">是</w:t>
            </w:r>
            <w:r/>
          </w:p>
        </w:tc>
      </w:tr>
    </w:tbl>
    <w:p>
      <w:pPr>
        <w:rPr>
          <w:rFonts w:hint="eastAsia" w:ascii="宋体" w:hAnsi="宋体" w:cs="宋体"/>
          <w:b/>
          <w:color w:val="000000"/>
          <w:sz w:val="24"/>
        </w:rPr>
      </w:pPr>
      <w:r>
        <w:rPr>
          <w:rFonts w:hint="eastAsia" w:ascii="宋体" w:hAnsi="宋体" w:cs="宋体"/>
          <w:b/>
          <w:color w:val="000000"/>
          <w:sz w:val="24"/>
        </w:rPr>
      </w:r>
      <w:r/>
    </w:p>
    <w:p>
      <w:pPr>
        <w:pStyle w:val="767"/>
      </w:pPr>
      <w:r/>
      <w:r/>
    </w:p>
    <w:p>
      <w:pPr>
        <w:spacing w:after="0"/>
        <w:pBdr>
          <w:top w:val="none" w:color="000000" w:sz="0" w:space="0"/>
          <w:left w:val="none" w:color="000000" w:sz="0" w:space="0"/>
          <w:bottom w:val="none" w:color="000000" w:sz="0" w:space="0"/>
          <w:right w:val="none" w:color="000000" w:sz="0" w:space="0"/>
        </w:pBdr>
      </w:pPr>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693"/>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第六章  投标文件格式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投  标  文  件</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ind w:firstLine="1084"/>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名 称：</w:t>
      </w:r>
      <w:r>
        <w:rPr>
          <w:rFonts w:ascii="宋体" w:hAnsi="宋体" w:cs="宋体"/>
          <w:b/>
          <w:color w:val="000000"/>
          <w:sz w:val="36"/>
          <w:u w:val="single"/>
        </w:rPr>
        <w:t xml:space="preserve">               </w:t>
      </w:r>
      <w:r/>
    </w:p>
    <w:p>
      <w:pPr>
        <w:ind w:firstLine="1084"/>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编 号：</w:t>
      </w:r>
      <w:r>
        <w:rPr>
          <w:rFonts w:ascii="宋体" w:hAnsi="宋体" w:cs="宋体"/>
          <w:b/>
          <w:color w:val="000000"/>
          <w:sz w:val="36"/>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投标人名称 ：</w:t>
      </w:r>
      <w:r>
        <w:rPr>
          <w:rFonts w:ascii="宋体" w:hAnsi="宋体" w:cs="宋体"/>
          <w:b/>
          <w:color w:val="000000"/>
          <w:sz w:val="36"/>
          <w:u w:val="single"/>
        </w:rPr>
        <w:t xml:space="preserve">（加盖CA电子公章）</w:t>
      </w:r>
      <w:r/>
    </w:p>
    <w:p>
      <w:pP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日      期 ：</w:t>
      </w:r>
      <w:r>
        <w:rPr>
          <w:rFonts w:ascii="宋体" w:hAnsi="宋体" w:cs="宋体"/>
          <w:b/>
          <w:color w:val="000000"/>
          <w:sz w:val="36"/>
          <w:u w:val="single"/>
        </w:rPr>
        <w:t xml:space="preserve">               </w:t>
      </w:r>
      <w:r/>
    </w:p>
    <w:p>
      <w:pPr>
        <w:jc w:val="center"/>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spacing w:after="0"/>
        <w:pBdr>
          <w:top w:val="none" w:color="000000" w:sz="0" w:space="0"/>
          <w:left w:val="none" w:color="000000" w:sz="0" w:space="0"/>
          <w:bottom w:val="none" w:color="000000" w:sz="0" w:space="0"/>
          <w:right w:val="none" w:color="000000" w:sz="0" w:space="0"/>
        </w:pBdr>
      </w:pPr>
      <w:r>
        <w:br w:type="page" w:clear="all"/>
      </w:r>
      <w:r/>
    </w:p>
    <w:p>
      <w:pP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6"/>
          <w:u w:val="single"/>
        </w:rPr>
        <w:t xml:space="preserve"> </w:t>
      </w:r>
      <w:r/>
    </w:p>
    <w:p>
      <w:pPr>
        <w:ind w:firstLine="1084"/>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投标文件主要格式目录</w:t>
      </w:r>
      <w:r/>
    </w:p>
    <w:p>
      <w:pPr>
        <w:jc w:val="center"/>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一、投标人资格声明函</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二、特定资格要求的证明文件（如果本项目设置特定资格要求，则需要提供）</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三、法人授权书</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四、投标函</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五、小微企业声明函</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六、残疾人福利性单位声明函或监狱企业证明</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七、联合体协议</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八、投标分项报价表</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九、技术要求响应及偏离表</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十、商务要求响应及偏离表</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十一、开标一览表</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一、投标人资格声明函</w:t>
      </w:r>
      <w:r/>
    </w:p>
    <w:p>
      <w:pPr>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8"/>
        </w:rPr>
        <w:t xml:space="preserve"> </w:t>
      </w:r>
      <w:r/>
    </w:p>
    <w:p>
      <w:pPr>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8"/>
        </w:rPr>
        <w:t xml:space="preserve">投标人资格声明函</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致：常州市政府采购中心</w:t>
      </w:r>
      <w:r/>
    </w:p>
    <w:p>
      <w:pPr>
        <w:ind w:firstLine="84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（采购人名称）</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按照《中华人民共和国政府采购法》第二十二条和招标文件的规定，我单位郑重声明如下：</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一、我单位是按照中华人民共和国法律规定登记注册的，注册地点为</w:t>
      </w:r>
      <w:r>
        <w:rPr>
          <w:rFonts w:eastAsia="Times New Roman"/>
          <w:color w:val="000000"/>
          <w:u w:val="single"/>
        </w:rPr>
        <w:t xml:space="preserve">         </w:t>
      </w:r>
      <w:r>
        <w:rPr>
          <w:rFonts w:ascii="宋体" w:hAnsi="宋体" w:cs="宋体"/>
          <w:color w:val="000000"/>
        </w:rPr>
        <w:t xml:space="preserve">，全称为</w:t>
      </w:r>
      <w:r>
        <w:rPr>
          <w:rFonts w:eastAsia="Times New Roman"/>
          <w:color w:val="000000"/>
          <w:u w:val="single"/>
        </w:rPr>
        <w:t xml:space="preserve">        </w:t>
      </w:r>
      <w:r>
        <w:rPr>
          <w:rFonts w:ascii="宋体" w:hAnsi="宋体" w:cs="宋体"/>
          <w:color w:val="000000"/>
        </w:rPr>
        <w:t xml:space="preserve">，统一社会信用代码为</w:t>
      </w:r>
      <w:r>
        <w:rPr>
          <w:rFonts w:eastAsia="Times New Roman"/>
          <w:color w:val="000000"/>
          <w:u w:val="single"/>
        </w:rPr>
        <w:t xml:space="preserve">           </w:t>
      </w:r>
      <w:r>
        <w:rPr>
          <w:rFonts w:eastAsia="Times New Roman"/>
          <w:color w:val="000000"/>
        </w:rPr>
        <w:t xml:space="preserve"> </w:t>
      </w:r>
      <w:r>
        <w:rPr>
          <w:rFonts w:ascii="宋体" w:hAnsi="宋体" w:cs="宋体"/>
          <w:color w:val="000000"/>
        </w:rPr>
        <w:t xml:space="preserve">，法定代表人（单位负责人）为</w:t>
      </w:r>
      <w:r>
        <w:rPr>
          <w:rFonts w:eastAsia="Times New Roman"/>
          <w:color w:val="000000"/>
          <w:u w:val="single"/>
        </w:rPr>
        <w:t xml:space="preserve">         </w:t>
      </w:r>
      <w:r>
        <w:rPr>
          <w:rFonts w:ascii="宋体" w:hAnsi="宋体" w:cs="宋体"/>
          <w:color w:val="000000"/>
        </w:rPr>
        <w:t xml:space="preserve">，具有独立承担民事责任的能力</w:t>
      </w:r>
      <w:r>
        <w:rPr>
          <w:rFonts w:ascii="宋体" w:hAnsi="宋体" w:cs="宋体"/>
          <w:b/>
          <w:i/>
          <w:color w:val="000000"/>
          <w:u w:val="single"/>
        </w:rPr>
        <w:t xml:space="preserve">（如属于分公司经总公司授权参与项目，由总公司承担民事责任的，需提供总公司项目授权书）</w:t>
      </w:r>
      <w:r>
        <w:rPr>
          <w:rFonts w:ascii="宋体" w:hAnsi="宋体" w:cs="宋体"/>
          <w:color w:val="000000"/>
        </w:rPr>
        <w:t xml:space="preserve">。</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二、我单位具有良好的商业信誉（指投标人经营状况良好，无本资格声明第十条情形）和健全的财务会计制度。</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三、我单位依法进行纳税和社会保险申报并实际履行了义务。</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四、我单位具有履行本项目采购合同所必需的设备和专业技术能力，并具有履行合同的良好记录。为履行本项采购合同我单位具备如下主要设备和主要专业技术能力</w:t>
      </w:r>
      <w:r>
        <w:rPr>
          <w:rFonts w:eastAsia="Times New Roman"/>
          <w:color w:val="000000"/>
        </w:rPr>
        <w:t xml:space="preserve">:</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主要设备有：</w:t>
      </w:r>
      <w:r>
        <w:rPr>
          <w:rFonts w:eastAsia="Times New Roman"/>
          <w:color w:val="000000"/>
          <w:u w:val="single"/>
        </w:rPr>
        <w:t xml:space="preserve">            </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主要专业技术能力有</w:t>
      </w:r>
      <w:r>
        <w:rPr>
          <w:rFonts w:eastAsia="Times New Roman"/>
          <w:color w:val="000000"/>
          <w:u w:val="single"/>
        </w:rPr>
        <w:t xml:space="preserve">                 </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eastAsia="Times New Roman"/>
          <w:color w:val="000000"/>
        </w:rPr>
        <w:t xml:space="preserve">3</w:t>
      </w:r>
      <w:r>
        <w:rPr>
          <w:rFonts w:ascii="宋体" w:hAnsi="宋体" w:cs="宋体"/>
          <w:color w:val="000000"/>
        </w:rPr>
        <w:t xml:space="preserve">年内因违法经营被禁止在一定期限内参加政府采购活动，期限届满的，可以参加政府采购活动。）</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六、我单位具备法律、行政法规规定的其他条件。</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七、与我单位存在“单位负责人为同一人或者存在直接控股、管理关系”的其他单位信息如下（如无此情形的，填写“无”）：</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1</w:t>
      </w:r>
      <w:r>
        <w:rPr>
          <w:rFonts w:ascii="宋体" w:hAnsi="宋体" w:cs="宋体"/>
          <w:color w:val="000000"/>
        </w:rPr>
        <w:t xml:space="preserve">、与我单位的法定代表人（单位负责人）为同一人的其他单位如下：</w:t>
      </w:r>
      <w:r>
        <w:rPr>
          <w:rFonts w:eastAsia="Times New Roman"/>
          <w:color w:val="000000"/>
          <w:u w:val="single"/>
        </w:rPr>
        <w:t xml:space="preserve">     </w:t>
      </w:r>
      <w:r>
        <w:rPr>
          <w:rFonts w:eastAsia="Times New Roman"/>
          <w:color w:val="000000"/>
        </w:rPr>
        <w:t xml:space="preserve">          </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2</w:t>
      </w:r>
      <w:r>
        <w:rPr>
          <w:rFonts w:ascii="宋体" w:hAnsi="宋体" w:cs="宋体"/>
          <w:color w:val="000000"/>
        </w:rPr>
        <w:t xml:space="preserve">、我单位直接控股的其他单位如下：</w:t>
      </w:r>
      <w:r>
        <w:rPr>
          <w:rFonts w:eastAsia="Times New Roman"/>
          <w:color w:val="000000"/>
          <w:u w:val="single"/>
        </w:rPr>
        <w:t xml:space="preserve">                    </w:t>
      </w:r>
      <w:r>
        <w:rPr>
          <w:rFonts w:eastAsia="Times New Roman"/>
          <w:color w:val="000000"/>
        </w:rPr>
        <w:t xml:space="preserve"> </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3</w:t>
      </w:r>
      <w:r>
        <w:rPr>
          <w:rFonts w:ascii="宋体" w:hAnsi="宋体" w:cs="宋体"/>
          <w:color w:val="000000"/>
        </w:rPr>
        <w:t xml:space="preserve">、与我单位存在管理关系的其他单位如下：</w:t>
      </w:r>
      <w:r>
        <w:rPr>
          <w:rFonts w:eastAsia="Times New Roman"/>
          <w:color w:val="000000"/>
          <w:u w:val="single"/>
        </w:rPr>
        <w:t xml:space="preserve">              </w:t>
      </w:r>
      <w:r>
        <w:rPr>
          <w:rFonts w:eastAsia="Times New Roman"/>
          <w:color w:val="000000"/>
        </w:rPr>
        <w:t xml:space="preserve"> </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八、我单位不属于为本项目提供整体设计、规范编制或者项目管理、监理、检测等服务的投标人。</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九、我单位无以下不良信用记录情形：</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1</w:t>
      </w:r>
      <w:r>
        <w:rPr>
          <w:rFonts w:ascii="宋体" w:hAnsi="宋体" w:cs="宋体"/>
          <w:color w:val="000000"/>
        </w:rPr>
        <w:t xml:space="preserve">、在“信用中国”网站被列入失信被执行人和重大税收违法案件当事人名单；</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2</w:t>
      </w:r>
      <w:r>
        <w:rPr>
          <w:rFonts w:ascii="宋体" w:hAnsi="宋体" w:cs="宋体"/>
          <w:color w:val="000000"/>
        </w:rPr>
        <w:t xml:space="preserve">、在“中国政府采购网”网站被列入政府采购严重违法失信行为记录名单；</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3</w:t>
      </w:r>
      <w:r>
        <w:rPr>
          <w:rFonts w:ascii="宋体" w:hAnsi="宋体" w:cs="宋体"/>
          <w:color w:val="000000"/>
        </w:rPr>
        <w:t xml:space="preserve">、不符合《政府采购法》第二十二条规定的条件。</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我单位保证上述声明的事项都是真实的，如有虚假，我单位愿意承担相应的法律责任，并承担因此所造成的一切损失。</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rPr>
          <w:rFonts w:ascii="宋体" w:hAnsi="宋体" w:cs="宋体"/>
          <w:color w:val="000000"/>
        </w:rPr>
        <w:t xml:space="preserve">投标人：（加盖公章）</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rPr>
          <w:rFonts w:ascii="宋体" w:hAnsi="宋体" w:cs="宋体"/>
          <w:color w:val="000000"/>
        </w:rPr>
        <w:t xml:space="preserve">法定代表人（或单位负责人）签字或盖章：</w:t>
      </w:r>
      <w:r/>
    </w:p>
    <w:p>
      <w:pPr>
        <w:ind w:firstLine="4305"/>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日期：</w:t>
      </w:r>
      <w:r>
        <w:rPr>
          <w:rFonts w:eastAsia="Times New Roman"/>
          <w:color w:val="000000"/>
        </w:rPr>
        <w:t xml:space="preserve">   </w:t>
      </w:r>
      <w:r>
        <w:rPr>
          <w:rFonts w:ascii="宋体" w:hAnsi="宋体" w:cs="宋体"/>
          <w:color w:val="000000"/>
        </w:rPr>
        <w:t xml:space="preserve">年月日</w:t>
      </w:r>
      <w:r/>
    </w:p>
    <w:p>
      <w:pPr>
        <w:spacing w:after="0" w:line="85"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说明：投标人承诺不实的，依据《政府采购法》第七十七条“提供虚假材料谋取中标、成交的”有关规定予以处理。</w:t>
      </w:r>
      <w:r/>
    </w:p>
    <w:p>
      <w:pPr>
        <w:spacing w:after="0" w:line="85" w:lineRule="atLeast"/>
        <w:pBdr>
          <w:top w:val="none" w:color="000000" w:sz="0" w:space="0"/>
          <w:left w:val="none" w:color="000000" w:sz="0" w:space="0"/>
          <w:bottom w:val="none" w:color="000000" w:sz="0" w:space="0"/>
          <w:right w:val="none" w:color="000000" w:sz="0" w:space="0"/>
        </w:pBdr>
      </w:pPr>
      <w:r>
        <w:br w:type="page" w:clear="all"/>
      </w:r>
      <w:r/>
    </w:p>
    <w:p>
      <w:pPr>
        <w:spacing w:after="0" w:line="85"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二、特定资格要求的证明文件</w:t>
      </w:r>
      <w:r/>
    </w:p>
    <w:p>
      <w:pPr>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如果本项目申请人的特定资格要求中要求提供的，必须提供。</w:t>
      </w:r>
      <w:r/>
    </w:p>
    <w:p>
      <w:pPr>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三、法人授权书</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本授权书声明：</w:t>
      </w:r>
      <w:r>
        <w:rPr>
          <w:rFonts w:eastAsia="Times New Roman"/>
          <w:color w:val="000000"/>
          <w:sz w:val="24"/>
        </w:rPr>
        <w:t xml:space="preserve">____________</w:t>
      </w:r>
      <w:r>
        <w:rPr>
          <w:rFonts w:ascii="宋体" w:hAnsi="宋体" w:cs="宋体"/>
          <w:color w:val="000000"/>
          <w:sz w:val="24"/>
        </w:rPr>
        <w:t xml:space="preserve">（投标人名称）授权</w:t>
      </w:r>
      <w:r>
        <w:rPr>
          <w:rFonts w:eastAsia="Times New Roman"/>
          <w:color w:val="000000"/>
          <w:sz w:val="24"/>
        </w:rPr>
        <w:t xml:space="preserve">________________</w:t>
      </w:r>
      <w:r>
        <w:rPr>
          <w:rFonts w:ascii="宋体" w:hAnsi="宋体" w:cs="宋体"/>
          <w:color w:val="000000"/>
          <w:sz w:val="24"/>
        </w:rPr>
        <w:t xml:space="preserve">（被授权人的姓名）为我方就</w:t>
      </w:r>
      <w:r>
        <w:rPr>
          <w:rFonts w:eastAsia="Times New Roman"/>
          <w:color w:val="000000"/>
          <w:sz w:val="24"/>
        </w:rPr>
        <w:t xml:space="preserve">JSZC-</w:t>
      </w:r>
      <w:r>
        <w:rPr>
          <w:rFonts w:eastAsia="Times New Roman"/>
          <w:color w:val="000000"/>
          <w:sz w:val="24"/>
          <w:u w:val="single"/>
        </w:rPr>
        <w:t xml:space="preserve">        </w:t>
      </w:r>
      <w:r>
        <w:rPr>
          <w:rFonts w:ascii="宋体" w:hAnsi="宋体" w:cs="宋体"/>
          <w:color w:val="000000"/>
          <w:sz w:val="24"/>
        </w:rPr>
        <w:t xml:space="preserve">号项目采购活动的合法代理人，以本单位名义全权处理一切与该项目采购有关的事务。</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本授权书于</w:t>
      </w:r>
      <w:r>
        <w:rPr>
          <w:rFonts w:eastAsia="Times New Roman"/>
          <w:color w:val="000000"/>
          <w:sz w:val="24"/>
        </w:rPr>
        <w:t xml:space="preserve">______</w:t>
      </w:r>
      <w:r>
        <w:rPr>
          <w:rFonts w:ascii="宋体" w:hAnsi="宋体" w:cs="宋体"/>
          <w:color w:val="000000"/>
          <w:sz w:val="24"/>
        </w:rPr>
        <w:t xml:space="preserve">年</w:t>
      </w:r>
      <w:r>
        <w:rPr>
          <w:rFonts w:eastAsia="Times New Roman"/>
          <w:color w:val="000000"/>
          <w:sz w:val="24"/>
        </w:rPr>
        <w:t xml:space="preserve">____</w:t>
      </w:r>
      <w:r>
        <w:rPr>
          <w:rFonts w:ascii="宋体" w:hAnsi="宋体" w:cs="宋体"/>
          <w:color w:val="000000"/>
          <w:sz w:val="24"/>
        </w:rPr>
        <w:t xml:space="preserve">月</w:t>
      </w:r>
      <w:r>
        <w:rPr>
          <w:rFonts w:eastAsia="Times New Roman"/>
          <w:color w:val="000000"/>
          <w:sz w:val="24"/>
        </w:rPr>
        <w:t xml:space="preserve">____</w:t>
      </w:r>
      <w:r>
        <w:rPr>
          <w:rFonts w:ascii="宋体" w:hAnsi="宋体" w:cs="宋体"/>
          <w:color w:val="000000"/>
          <w:sz w:val="24"/>
        </w:rPr>
        <w:t xml:space="preserve">日起生效，特此声明。</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rPr>
          <w:rFonts w:ascii="宋体" w:hAnsi="宋体" w:cs="宋体"/>
          <w:color w:val="000000"/>
          <w:sz w:val="24"/>
        </w:rPr>
        <w:t xml:space="preserve">被授权人身份证号码：</w:t>
      </w:r>
      <w:r>
        <w:rPr>
          <w:rFonts w:eastAsia="Times New Roman"/>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rPr>
          <w:rFonts w:ascii="宋体" w:hAnsi="宋体" w:cs="宋体"/>
          <w:color w:val="000000"/>
          <w:sz w:val="24"/>
        </w:rPr>
        <w:t xml:space="preserve">被授权人联系电话：（手机）</w:t>
      </w:r>
      <w:r>
        <w:rPr>
          <w:rFonts w:eastAsia="Times New Roman"/>
          <w:color w:val="000000"/>
          <w:sz w:val="24"/>
          <w:u w:val="single"/>
        </w:rPr>
        <w:t xml:space="preserve">                          </w:t>
      </w:r>
      <w:r/>
    </w:p>
    <w:p>
      <w:pPr>
        <w:ind w:firstLine="120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授权单位名称：</w:t>
      </w:r>
      <w:r>
        <w:rPr>
          <w:rFonts w:ascii="宋体" w:hAnsi="宋体" w:cs="宋体"/>
          <w:color w:val="000000"/>
          <w:sz w:val="24"/>
          <w:u w:val="single"/>
        </w:rPr>
        <w:t xml:space="preserve">（加盖</w:t>
      </w:r>
      <w:r>
        <w:rPr>
          <w:rFonts w:eastAsia="Times New Roman"/>
          <w:color w:val="000000"/>
          <w:sz w:val="24"/>
          <w:u w:val="single"/>
        </w:rPr>
        <w:t xml:space="preserve">CA</w:t>
      </w:r>
      <w:r>
        <w:rPr>
          <w:rFonts w:ascii="宋体" w:hAnsi="宋体" w:cs="宋体"/>
          <w:color w:val="000000"/>
          <w:sz w:val="24"/>
          <w:u w:val="single"/>
        </w:rPr>
        <w:t xml:space="preserve">电子公章）</w:t>
      </w:r>
      <w:r/>
    </w:p>
    <w:p>
      <w:pPr>
        <w:ind w:firstLine="480"/>
        <w:spacing w:after="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rPr>
          <w:rFonts w:ascii="宋体" w:hAnsi="宋体" w:cs="宋体"/>
          <w:color w:val="000000"/>
          <w:sz w:val="24"/>
        </w:rPr>
        <w:t xml:space="preserve">单位地址：</w:t>
      </w:r>
      <w:r>
        <w:rPr>
          <w:rFonts w:eastAsia="Times New Roman"/>
          <w:color w:val="000000"/>
          <w:sz w:val="24"/>
          <w:u w:val="single"/>
        </w:rPr>
        <w:t xml:space="preserve">                                         </w:t>
      </w:r>
      <w:r/>
    </w:p>
    <w:p>
      <w:pPr>
        <w:ind w:firstLine="480"/>
        <w:spacing w:after="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rPr>
          <w:rFonts w:ascii="宋体" w:hAnsi="宋体" w:cs="宋体"/>
          <w:color w:val="000000"/>
          <w:sz w:val="24"/>
        </w:rPr>
        <w:t xml:space="preserve">日期：</w:t>
      </w:r>
      <w:r>
        <w:rPr>
          <w:rFonts w:eastAsia="Times New Roman"/>
          <w:color w:val="000000"/>
          <w:sz w:val="24"/>
          <w:u w:val="single"/>
        </w:rPr>
        <w:t xml:space="preserve">                                         </w:t>
      </w:r>
      <w:r/>
    </w:p>
    <w:p>
      <w:pPr>
        <w:ind w:firstLine="420"/>
        <w:spacing w:after="0"/>
        <w:pBdr>
          <w:top w:val="none" w:color="000000" w:sz="0" w:space="0"/>
          <w:left w:val="none" w:color="000000" w:sz="0" w:space="0"/>
          <w:bottom w:val="none" w:color="000000" w:sz="0" w:space="0"/>
          <w:right w:val="none" w:color="000000" w:sz="0" w:space="0"/>
        </w:pBdr>
      </w:pPr>
      <w:r>
        <w:rPr>
          <w:rFonts w:eastAsia="Times New Roman"/>
          <w:i/>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line="460"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p>
      <w:pPr>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pBdr>
          <w:top w:val="none" w:color="000000" w:sz="0" w:space="0"/>
          <w:left w:val="none" w:color="000000" w:sz="0" w:space="0"/>
          <w:bottom w:val="none" w:color="000000" w:sz="0" w:space="0"/>
          <w:right w:val="none" w:color="000000" w:sz="0" w:space="0"/>
        </w:pBdr>
      </w:pPr>
      <w:r>
        <w:br w:type="page" w:clear="all"/>
      </w:r>
      <w:r/>
    </w:p>
    <w:p>
      <w:pP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695"/>
        <w:spacing w:before="260" w:after="260" w:line="553" w:lineRule="atLeast"/>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u w:val="single"/>
        </w:rPr>
        <w:t xml:space="preserve">四、投标函</w:t>
      </w:r>
      <w:r/>
    </w:p>
    <w:p>
      <w:pPr>
        <w:spacing w:after="0"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致：常州市政府采购中心</w:t>
      </w:r>
      <w:r/>
    </w:p>
    <w:p>
      <w:pPr>
        <w:ind w:firstLine="480"/>
        <w:spacing w:after="0"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根据贵方的JSZC-***号招标文件，正式授权下述被授权人______(姓名)代表我方______________（投标人的名称），全权处理本次项目投标的有关事宜。</w:t>
      </w:r>
      <w:r/>
    </w:p>
    <w:p>
      <w:pPr>
        <w:ind w:firstLine="480"/>
        <w:spacing w:after="0"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据此函，__________被授权人兹宣布同意如下：</w:t>
      </w:r>
      <w:r/>
    </w:p>
    <w:p>
      <w:pPr>
        <w:ind w:firstLine="480"/>
        <w:spacing w:after="0"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1.按招标文件规定的各项要求，向买方提供所需服务（包含与服务相关的货物）。</w:t>
      </w:r>
      <w:r/>
    </w:p>
    <w:p>
      <w:pPr>
        <w:ind w:firstLine="480"/>
        <w:spacing w:after="0"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2.我们完全理解贵方不一定将合同授予最低报价的投标人。</w:t>
      </w:r>
      <w:r/>
    </w:p>
    <w:p>
      <w:pPr>
        <w:ind w:firstLine="480"/>
        <w:spacing w:after="0"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3.我们已详细审核全部招标文件及其有效补充文件，我们知道必须放弃提出含糊不清或误解问题的权利。</w:t>
      </w:r>
      <w:r/>
    </w:p>
    <w:p>
      <w:pPr>
        <w:ind w:firstLine="480"/>
        <w:spacing w:after="0"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4.我们同意从规定的开标日期起遵循本投标文件，并在规定的投标有效期期满之前均具有约束力。</w:t>
      </w:r>
      <w:r/>
    </w:p>
    <w:p>
      <w:pPr>
        <w:ind w:firstLine="480"/>
        <w:spacing w:after="0"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5.同意向贵方提供贵方可能另外要求的与投标有关的任何证据或资料，并保证我方已提供和将要提供的文件是真实的、准确的。</w:t>
      </w:r>
      <w:r/>
    </w:p>
    <w:p>
      <w:pPr>
        <w:ind w:firstLine="480"/>
        <w:spacing w:after="0"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6.一旦我方中标,我方将根据招标文件的规定，严格履行合同的责任和义务,并保证在招标文件规定的时间完成项目，交付买方验收、使用。</w:t>
      </w:r>
      <w:r/>
    </w:p>
    <w:p>
      <w:pPr>
        <w:ind w:firstLine="480"/>
        <w:spacing w:after="0"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7.与本投标有关的正式通讯地址为：</w:t>
      </w:r>
      <w:r/>
    </w:p>
    <w:p>
      <w:pPr>
        <w:ind w:left="420" w:firstLine="480"/>
        <w:spacing w:after="0"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          址：</w:t>
      </w:r>
      <w:r/>
    </w:p>
    <w:p>
      <w:pPr>
        <w:ind w:left="420" w:firstLine="480"/>
        <w:spacing w:after="0"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邮          编：</w:t>
      </w:r>
      <w:r/>
    </w:p>
    <w:p>
      <w:pPr>
        <w:ind w:left="420" w:firstLine="480"/>
        <w:spacing w:after="0"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          话：</w:t>
      </w:r>
      <w:r/>
    </w:p>
    <w:p>
      <w:pPr>
        <w:ind w:left="420" w:firstLine="480"/>
        <w:spacing w:after="0"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传          真：</w:t>
      </w:r>
      <w:r/>
    </w:p>
    <w:p>
      <w:pPr>
        <w:ind w:left="420" w:firstLine="480"/>
        <w:spacing w:after="0"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投标人开户行：</w:t>
      </w:r>
      <w:r/>
    </w:p>
    <w:p>
      <w:pPr>
        <w:ind w:left="420" w:firstLine="480"/>
        <w:spacing w:after="0"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账          号： </w:t>
      </w:r>
      <w:r/>
    </w:p>
    <w:p>
      <w:pPr>
        <w:ind w:left="420" w:firstLine="480"/>
        <w:spacing w:after="0"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           期：________年____月____日</w:t>
      </w:r>
      <w:r/>
    </w:p>
    <w:p>
      <w:pPr>
        <w:ind w:firstLine="240"/>
        <w:jc w:val="center"/>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40"/>
        <w:jc w:val="center"/>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40"/>
        <w:jc w:val="center"/>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40"/>
        <w:jc w:val="center"/>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40"/>
        <w:jc w:val="center"/>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after="0" w:line="46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after="0" w:line="46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五、小微企业声明函（服务）（分包号：**）</w:t>
      </w:r>
      <w:r/>
    </w:p>
    <w:p>
      <w:pPr>
        <w:ind w:firstLine="360"/>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本公司（联合体）郑重声明，根据《政府采购促进中小企业发展管理办法》(财库[2020]46号)的规定，本公司（联合体）参加常州市政府采购中心组织的</w:t>
      </w:r>
      <w:r>
        <w:rPr>
          <w:rFonts w:ascii="宋体" w:hAnsi="宋体" w:cs="宋体"/>
          <w:color w:val="000000"/>
          <w:sz w:val="24"/>
          <w:u w:val="single"/>
        </w:rPr>
        <w:t xml:space="preserve">（采购单位名称）</w:t>
      </w:r>
      <w:r>
        <w:rPr>
          <w:rFonts w:ascii="宋体" w:hAnsi="宋体" w:cs="宋体"/>
          <w:color w:val="000000"/>
          <w:sz w:val="24"/>
        </w:rPr>
        <w:t xml:space="preserve">采购编号为</w:t>
      </w:r>
      <w:r>
        <w:rPr>
          <w:rFonts w:ascii="宋体" w:hAnsi="宋体" w:cs="宋体"/>
          <w:color w:val="000000"/>
          <w:sz w:val="24"/>
          <w:u w:val="single"/>
        </w:rPr>
        <w:t xml:space="preserve">***</w:t>
      </w:r>
      <w:r>
        <w:rPr>
          <w:rFonts w:ascii="宋体" w:hAnsi="宋体" w:cs="宋体"/>
          <w:color w:val="000000"/>
          <w:sz w:val="24"/>
        </w:rPr>
        <w:t xml:space="preserve">，</w:t>
      </w:r>
      <w:r>
        <w:rPr>
          <w:rFonts w:ascii="宋体" w:hAnsi="宋体" w:cs="宋体"/>
          <w:color w:val="000000"/>
          <w:sz w:val="24"/>
          <w:u w:val="single"/>
        </w:rPr>
        <w:t xml:space="preserve">（项目名称）（分包号：**）</w:t>
      </w:r>
      <w:r>
        <w:rPr>
          <w:rFonts w:ascii="宋体" w:hAnsi="宋体" w:cs="宋体"/>
          <w:color w:val="000000"/>
          <w:sz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000000"/>
          <w:sz w:val="24"/>
          <w:u w:val="single"/>
        </w:rPr>
        <w:t xml:space="preserve"> </w:t>
      </w:r>
      <w:r>
        <w:rPr>
          <w:rFonts w:hint="eastAsia" w:ascii="宋体" w:hAnsi="宋体"/>
          <w:sz w:val="24"/>
          <w:u w:val="single"/>
        </w:rPr>
        <w:t xml:space="preserve">软件和信息技术服务业</w:t>
      </w:r>
      <w:r>
        <w:rPr>
          <w:rFonts w:ascii="宋体" w:hAnsi="宋体" w:cs="宋体"/>
          <w:color w:val="000000"/>
          <w:sz w:val="24"/>
          <w:u w:val="single"/>
        </w:rPr>
        <w:t xml:space="preserve">   </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0"/>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（小型企业、微型企业）；</w:t>
      </w:r>
      <w:r/>
    </w:p>
    <w:p>
      <w:pPr>
        <w:ind w:firstLine="360"/>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000000"/>
          <w:sz w:val="24"/>
          <w:u w:val="single"/>
        </w:rPr>
        <w:t xml:space="preserve">       </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0"/>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（小型企业、微型企业）；</w:t>
      </w:r>
      <w:r/>
    </w:p>
    <w:p>
      <w:pPr>
        <w:ind w:firstLine="360"/>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ind w:firstLine="360"/>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以上企业，不属于大企业的分支机构，不存在控股股东为大企业的情形，也不存在与大企业的负责人为同一人的情形。</w:t>
      </w:r>
      <w:r/>
    </w:p>
    <w:p>
      <w:pPr>
        <w:ind w:firstLine="360"/>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本企业对上述声明内容的真实性负责。如有虚假，将依法承担相应责任</w:t>
      </w:r>
      <w:r/>
    </w:p>
    <w:p>
      <w:pPr>
        <w:ind w:right="720"/>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180" w:firstLine="360"/>
        <w:jc w:val="right"/>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企业名称（加盖CA电子公章）：</w:t>
      </w:r>
      <w:r/>
    </w:p>
    <w:p>
      <w:pPr>
        <w:ind w:right="480" w:firstLine="5400"/>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  期：</w:t>
      </w:r>
      <w:r/>
    </w:p>
    <w:p>
      <w:pPr>
        <w:ind w:firstLine="240"/>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备注1：从业人员、营业收入、资产总额填报上一年度数据，无上一年度数据的新成立企业可不填报。</w:t>
      </w:r>
      <w:r/>
    </w:p>
    <w:p>
      <w:pPr>
        <w:ind w:firstLine="480"/>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备注2：供应商如不提供此声明函，价格将不做相应扣除。中标人为小微企业的，此声明函将随中标结果同时公告，接受社会监督。</w:t>
      </w:r>
      <w:r/>
    </w:p>
    <w:p>
      <w:pPr>
        <w:spacing w:after="0"/>
        <w:pBdr>
          <w:top w:val="none" w:color="000000" w:sz="0" w:space="0"/>
          <w:left w:val="none" w:color="000000" w:sz="0" w:space="0"/>
          <w:bottom w:val="none" w:color="000000" w:sz="0" w:space="0"/>
          <w:right w:val="none" w:color="000000" w:sz="0" w:space="0"/>
        </w:pBdr>
      </w:pPr>
      <w:r>
        <w:br w:type="page" w:clear="all"/>
      </w:r>
      <w:r/>
    </w:p>
    <w:p>
      <w:pPr>
        <w:spacing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after="0" w:line="46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六、残疾人福利性单位声明函（分包号：**）</w:t>
      </w:r>
      <w:r/>
    </w:p>
    <w:p>
      <w:pPr>
        <w:ind w:firstLine="480"/>
        <w:spacing w:after="0" w:line="58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cs="宋体"/>
          <w:color w:val="000000"/>
          <w:sz w:val="24"/>
          <w:u w:val="single"/>
        </w:rPr>
        <w:t xml:space="preserve">       </w:t>
      </w:r>
      <w:r>
        <w:rPr>
          <w:rFonts w:ascii="宋体" w:hAnsi="宋体" w:cs="宋体"/>
          <w:color w:val="000000"/>
          <w:sz w:val="24"/>
        </w:rPr>
        <w:t xml:space="preserve">项目（分包号：**）采购活动由本单位提供服务。</w:t>
      </w:r>
      <w:r/>
    </w:p>
    <w:p>
      <w:pPr>
        <w:ind w:firstLine="480"/>
        <w:spacing w:after="0" w:line="58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本单位对上述声明的真实性负责。如有虚假，将依法承担相应责任。</w:t>
      </w:r>
      <w:r/>
    </w:p>
    <w:p>
      <w:pPr>
        <w:ind w:firstLine="480"/>
        <w:spacing w:after="0" w:line="58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58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（备注：1、供应商如不提供此声明函，价格将不做相应扣除。2、中标人为残疾人福利单位的，此声明函将随中标结果同时公告，接受社会监督）</w:t>
      </w:r>
      <w:r/>
    </w:p>
    <w:p>
      <w:pPr>
        <w:ind w:firstLine="624"/>
        <w:spacing w:after="0" w:line="587"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p>
    <w:p>
      <w:pPr>
        <w:ind w:right="1560" w:firstLine="624"/>
        <w:jc w:val="center"/>
        <w:spacing w:after="0" w:line="587" w:lineRule="atLeast"/>
        <w:tabs>
          <w:tab w:val="left" w:pos="4860"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rPr>
          <w:rFonts w:ascii="宋体" w:hAnsi="宋体" w:cs="宋体"/>
          <w:color w:val="000000"/>
          <w:sz w:val="24"/>
        </w:rPr>
        <w:t xml:space="preserve">          供应商全称（加盖CA电子公章）：</w:t>
      </w:r>
      <w:r/>
    </w:p>
    <w:p>
      <w:pPr>
        <w:ind w:right="1560" w:firstLine="480"/>
        <w:jc w:val="center"/>
        <w:spacing w:after="0" w:line="587" w:lineRule="atLeast"/>
        <w:tabs>
          <w:tab w:val="left" w:pos="486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 期：</w:t>
      </w:r>
      <w:r/>
    </w:p>
    <w:p>
      <w:pPr>
        <w:jc w:val="center"/>
        <w:spacing w:after="0"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after="0"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after="0"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after="0"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after="0"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firstLine="643"/>
        <w:spacing w:after="0" w:line="587"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监狱企业证明文件。</w:t>
      </w:r>
      <w:r>
        <w:rPr>
          <w:rFonts w:ascii="宋体" w:hAnsi="宋体" w:cs="宋体"/>
          <w:color w:val="000000"/>
          <w:sz w:val="24"/>
        </w:rPr>
        <w:t xml:space="preserve">监狱企业须提供由省级以上监狱管理局、戒毒管理局（含新疆生产建设兵团）出具的属于监狱企业的证明文件。（备注：如是监狱企业的应提供，否则资格审查不予通过，作为无效投标。）</w:t>
      </w:r>
      <w:r/>
    </w:p>
    <w:p>
      <w:pPr>
        <w:jc w:val="center"/>
        <w:spacing w:after="0"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after="0"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after="0"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after="0"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after="0"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七、联合体协议（参考格式）（分包号：**）</w:t>
      </w:r>
      <w:r/>
    </w:p>
    <w:p>
      <w:pPr>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（联合体中各供应商全称）在此达成以下协议：</w:t>
      </w:r>
      <w:r/>
    </w:p>
    <w:p>
      <w:pPr>
        <w:ind w:firstLine="645"/>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1、我们</w:t>
      </w:r>
      <w:r>
        <w:rPr>
          <w:rFonts w:ascii="宋体" w:hAnsi="宋体" w:cs="宋体"/>
          <w:color w:val="000000"/>
          <w:sz w:val="24"/>
          <w:u w:val="single"/>
        </w:rPr>
        <w:t xml:space="preserve"> （供应商1），（供应商2） ，……</w:t>
      </w:r>
      <w:r>
        <w:rPr>
          <w:rFonts w:ascii="宋体" w:hAnsi="宋体" w:cs="宋体"/>
          <w:color w:val="000000"/>
          <w:sz w:val="24"/>
        </w:rPr>
        <w:t xml:space="preserve">自愿组成联合体，参加常州市政府采购中心组织的采购编号为</w:t>
      </w:r>
      <w:r>
        <w:rPr>
          <w:rFonts w:ascii="宋体" w:hAnsi="宋体" w:cs="宋体"/>
          <w:color w:val="000000"/>
          <w:sz w:val="24"/>
          <w:u w:val="single"/>
        </w:rPr>
        <w:t xml:space="preserve">（编号全称），（项目全称）</w:t>
      </w:r>
      <w:r>
        <w:rPr>
          <w:rFonts w:ascii="宋体" w:hAnsi="宋体" w:cs="宋体"/>
          <w:color w:val="000000"/>
          <w:sz w:val="24"/>
        </w:rPr>
        <w:t xml:space="preserve">项目（分包号：**）的政府采购活动，我联合体指定</w:t>
      </w:r>
      <w:r>
        <w:rPr>
          <w:rFonts w:ascii="宋体" w:hAnsi="宋体" w:cs="宋体"/>
          <w:color w:val="000000"/>
          <w:sz w:val="24"/>
          <w:u w:val="single"/>
        </w:rPr>
        <w:t xml:space="preserve">（供应商*）</w:t>
      </w:r>
      <w:r>
        <w:rPr>
          <w:rFonts w:ascii="宋体" w:hAnsi="宋体" w:cs="宋体"/>
          <w:color w:val="000000"/>
          <w:sz w:val="24"/>
        </w:rPr>
        <w:t xml:space="preserve">为牵头单位（牵头单位必须为联合体成员）。</w:t>
      </w:r>
      <w:r/>
    </w:p>
    <w:p>
      <w:pPr>
        <w:ind w:firstLine="645"/>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3、其中</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（小型、微型企业/残疾人福利性单位/监狱企业全称）为</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（小型、微型企业/残疾人福利性单位/监狱企业）企业，且我们约定该公司/单位所承担的合同金额将占本项目合同总金额的</w:t>
      </w:r>
      <w:r>
        <w:rPr>
          <w:rFonts w:ascii="宋体" w:hAnsi="宋体" w:cs="宋体"/>
          <w:color w:val="000000"/>
          <w:sz w:val="24"/>
          <w:u w:val="single"/>
        </w:rPr>
        <w:t xml:space="preserve">  </w:t>
      </w:r>
      <w:r>
        <w:rPr>
          <w:rFonts w:ascii="宋体" w:hAnsi="宋体" w:cs="宋体"/>
          <w:color w:val="000000"/>
          <w:sz w:val="24"/>
        </w:rPr>
        <w:t xml:space="preserve"> %。</w:t>
      </w:r>
      <w:r/>
    </w:p>
    <w:p>
      <w:pPr>
        <w:ind w:firstLine="645"/>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备注：本招标文件中要求加盖CA电子签章的地方，仅需加盖牵头单位的CA电子签章。</w:t>
      </w:r>
      <w:r/>
    </w:p>
    <w:p>
      <w:pPr>
        <w:ind w:firstLine="645"/>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jc w:val="right"/>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联合体中各供应商全称（公章）：     </w:t>
      </w:r>
      <w:r/>
    </w:p>
    <w:p>
      <w:pPr>
        <w:ind w:firstLine="645"/>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ind w:firstLine="645"/>
        <w:spacing w:after="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after="0"/>
        <w:rPr>
          <w:rFonts w:hint="eastAsia" w:ascii="黑体" w:hAnsi="黑体" w:eastAsia="黑体" w:cs="黑体"/>
          <w:b/>
          <w:bCs/>
          <w:i/>
          <w:color w:val="000000"/>
          <w:sz w:val="32"/>
          <w:szCs w:val="32"/>
          <w:u w:val="single"/>
        </w:rPr>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u w:val="single"/>
        </w:rPr>
        <w:t xml:space="preserve">八、投标分项报价表（分包号：**）</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jc w:val="left"/>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招标编号：</w:t>
      </w:r>
      <w:r/>
    </w:p>
    <w:tbl>
      <w:tblPr>
        <w:tblStyle w:val="725"/>
        <w:tblW w:w="724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083"/>
        <w:gridCol w:w="1682"/>
        <w:gridCol w:w="759"/>
        <w:gridCol w:w="648"/>
        <w:gridCol w:w="811"/>
        <w:gridCol w:w="1424"/>
      </w:tblGrid>
      <w:tr>
        <w:trPr>
          <w:trHeight w:val="65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总价</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734"/>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投标总报价（人民币：元）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textDirection w:val="lrTb"/>
            <w:noWrap w:val="false"/>
          </w:tcPr>
          <w:p>
            <w:pP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服务期限或者交付期：</w:t>
      </w:r>
      <w:r>
        <w:rPr>
          <w:rFonts w:ascii="宋体" w:hAnsi="宋体" w:cs="宋体"/>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备注：该表仅适用于项目采用货币报价的情形。项目采用折扣率报价的，如需要填写投标分项报价表，请项目经办人自行设计表格。招标文件定稿后该备注删除。</w:t>
      </w:r>
      <w:r/>
    </w:p>
    <w:p>
      <w:pPr>
        <w:jc w:val="center"/>
        <w:spacing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九、技术要求响应及偏离表（分包号：**）</w:t>
      </w:r>
      <w:r/>
    </w:p>
    <w:tbl>
      <w:tblPr>
        <w:tblStyle w:val="725"/>
        <w:tblW w:w="935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6"/>
        <w:gridCol w:w="3054"/>
        <w:gridCol w:w="2646"/>
        <w:gridCol w:w="1214"/>
        <w:gridCol w:w="1935"/>
      </w:tblGrid>
      <w:tr>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val="false"/>
          </w:tcPr>
          <w:p>
            <w:pPr>
              <w:spacing w:after="0" w:line="24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对本项目技术要求条款的偏离情况（请进行勾选）：</w:t>
            </w:r>
            <w:r/>
          </w:p>
          <w:p>
            <w:pPr>
              <w:spacing w:after="0" w:line="240" w:lineRule="auto"/>
              <w:pBdr>
                <w:top w:val="none" w:color="000000" w:sz="0" w:space="0"/>
                <w:left w:val="none" w:color="000000" w:sz="0" w:space="0"/>
                <w:bottom w:val="none" w:color="000000" w:sz="0" w:space="0"/>
                <w:right w:val="none" w:color="000000" w:sz="0" w:space="0"/>
              </w:pBdr>
            </w:pPr>
            <w:r>
              <w:rPr>
                <w:rFonts w:eastAsia="Times New Roman"/>
                <w:b/>
                <w:color w:val="000000"/>
                <w:sz w:val="24"/>
              </w:rPr>
              <w:t xml:space="preserve">□</w:t>
            </w:r>
            <w:r>
              <w:rPr>
                <w:rFonts w:ascii="宋体" w:hAnsi="宋体" w:cs="宋体"/>
                <w:b/>
                <w:color w:val="000000"/>
                <w:sz w:val="24"/>
              </w:rPr>
              <w:t xml:space="preserve">无偏离</w:t>
            </w:r>
            <w:r>
              <w:rPr>
                <w:rFonts w:ascii="宋体" w:hAnsi="宋体" w:cs="宋体"/>
                <w:color w:val="000000"/>
                <w:sz w:val="24"/>
              </w:rPr>
              <w:t xml:space="preserve">（如无偏离，仅勾选无偏离即可）</w:t>
            </w:r>
            <w:r/>
          </w:p>
          <w:p>
            <w:pPr>
              <w:spacing w:after="0" w:line="240" w:lineRule="auto"/>
              <w:pBdr>
                <w:top w:val="none" w:color="000000" w:sz="0" w:space="0"/>
                <w:left w:val="none" w:color="000000" w:sz="0" w:space="0"/>
                <w:bottom w:val="none" w:color="000000" w:sz="0" w:space="0"/>
                <w:right w:val="none" w:color="000000" w:sz="0" w:space="0"/>
              </w:pBdr>
            </w:pPr>
            <w:r>
              <w:rPr>
                <w:rFonts w:eastAsia="Times New Roman"/>
                <w:b/>
                <w:color w:val="000000"/>
                <w:sz w:val="24"/>
              </w:rPr>
              <w:t xml:space="preserve">□</w:t>
            </w:r>
            <w:r>
              <w:rPr>
                <w:rFonts w:ascii="宋体" w:hAnsi="宋体" w:cs="宋体"/>
                <w:b/>
                <w:color w:val="000000"/>
                <w:sz w:val="24"/>
              </w:rPr>
              <w:t xml:space="preserve">有偏离</w:t>
            </w:r>
            <w:r>
              <w:rPr>
                <w:rFonts w:ascii="宋体" w:hAnsi="宋体" w:cs="宋体"/>
                <w:color w:val="000000"/>
                <w:sz w:val="24"/>
              </w:rPr>
              <w:t xml:space="preserve">（如有超出或者偏离，则须在本表中对超出或者偏离项逐一列明）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招标文件要求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w:t>
            </w:r>
            <w:r/>
          </w:p>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或偏离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证明</w:t>
            </w:r>
            <w:r/>
          </w:p>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4"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4"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4"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4"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4"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4"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4"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4"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4"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4"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4"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4"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4"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4"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4"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4"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注： 行数不够，可自行添加。</w:t>
      </w:r>
      <w:r/>
    </w:p>
    <w:p>
      <w:pPr>
        <w:jc w:val="center"/>
        <w:spacing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 </w:t>
      </w:r>
      <w:r/>
    </w:p>
    <w:p>
      <w:pPr>
        <w:spacing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spacing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spacing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spacing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spacing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十、商务要求响应及偏离表（分包号：**）</w:t>
      </w:r>
      <w:r/>
    </w:p>
    <w:tbl>
      <w:tblPr>
        <w:tblStyle w:val="725"/>
        <w:tblW w:w="935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6"/>
        <w:gridCol w:w="3054"/>
        <w:gridCol w:w="2646"/>
        <w:gridCol w:w="1214"/>
        <w:gridCol w:w="1935"/>
      </w:tblGrid>
      <w:tr>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val="false"/>
          </w:tcPr>
          <w:p>
            <w:pPr>
              <w:spacing w:after="0" w:line="24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对本项目商务要求条款的偏离情况（请进行勾选）：</w:t>
            </w:r>
            <w:r/>
          </w:p>
          <w:p>
            <w:pPr>
              <w:spacing w:after="0" w:line="240" w:lineRule="auto"/>
              <w:pBdr>
                <w:top w:val="none" w:color="000000" w:sz="0" w:space="0"/>
                <w:left w:val="none" w:color="000000" w:sz="0" w:space="0"/>
                <w:bottom w:val="none" w:color="000000" w:sz="0" w:space="0"/>
                <w:right w:val="none" w:color="000000" w:sz="0" w:space="0"/>
              </w:pBdr>
            </w:pPr>
            <w:r>
              <w:rPr>
                <w:rFonts w:eastAsia="Times New Roman"/>
                <w:b/>
                <w:color w:val="000000"/>
                <w:sz w:val="24"/>
              </w:rPr>
              <w:t xml:space="preserve">□</w:t>
            </w:r>
            <w:r>
              <w:rPr>
                <w:rFonts w:ascii="宋体" w:hAnsi="宋体" w:cs="宋体"/>
                <w:b/>
                <w:color w:val="000000"/>
                <w:sz w:val="24"/>
              </w:rPr>
              <w:t xml:space="preserve">无偏离</w:t>
            </w:r>
            <w:r>
              <w:rPr>
                <w:rFonts w:ascii="宋体" w:hAnsi="宋体" w:cs="宋体"/>
                <w:color w:val="000000"/>
                <w:sz w:val="24"/>
              </w:rPr>
              <w:t xml:space="preserve">（如无偏离，仅勾选无偏离即可）</w:t>
            </w:r>
            <w:r/>
          </w:p>
          <w:p>
            <w:pPr>
              <w:spacing w:after="0" w:line="240" w:lineRule="auto"/>
              <w:pBdr>
                <w:top w:val="none" w:color="000000" w:sz="0" w:space="0"/>
                <w:left w:val="none" w:color="000000" w:sz="0" w:space="0"/>
                <w:bottom w:val="none" w:color="000000" w:sz="0" w:space="0"/>
                <w:right w:val="none" w:color="000000" w:sz="0" w:space="0"/>
              </w:pBdr>
            </w:pPr>
            <w:r>
              <w:rPr>
                <w:rFonts w:eastAsia="Times New Roman"/>
                <w:b/>
                <w:color w:val="000000"/>
                <w:sz w:val="24"/>
              </w:rPr>
              <w:t xml:space="preserve">□</w:t>
            </w:r>
            <w:r>
              <w:rPr>
                <w:rFonts w:ascii="宋体" w:hAnsi="宋体" w:cs="宋体"/>
                <w:b/>
                <w:color w:val="000000"/>
                <w:sz w:val="24"/>
              </w:rPr>
              <w:t xml:space="preserve">有偏离</w:t>
            </w:r>
            <w:r>
              <w:rPr>
                <w:rFonts w:ascii="宋体" w:hAnsi="宋体" w:cs="宋体"/>
                <w:color w:val="000000"/>
                <w:sz w:val="24"/>
              </w:rPr>
              <w:t xml:space="preserve">（如有超出或者偏离，则须在本表中对超出或者偏离项逐一列明）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招标文件要求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w:t>
            </w:r>
            <w:r/>
          </w:p>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或偏离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证明</w:t>
            </w:r>
            <w:r/>
          </w:p>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4"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4"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4"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4"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4"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4"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4"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4"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4"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4"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4"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4"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4"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4"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4"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4"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注： 行数不够，可自行添加。</w:t>
      </w:r>
      <w:r/>
    </w:p>
    <w:p>
      <w:pPr>
        <w:spacing w:after="0" w:line="113"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113"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spacing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spacing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spacing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spacing w:after="0"/>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u w:val="single"/>
        </w:rPr>
        <w:t xml:space="preserve">十一、开标一览表</w:t>
      </w:r>
      <w:r>
        <w:rPr>
          <w:rFonts w:ascii="黑体" w:hAnsi="黑体" w:eastAsia="黑体" w:cs="黑体"/>
          <w:i/>
          <w:color w:val="000000"/>
          <w:sz w:val="32"/>
          <w:u w:val="single"/>
        </w:rPr>
        <w:t xml:space="preserve">（实质性格式）</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投标人全称（加盖CA电子签章）：</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招标编号：                                   分包号：</w:t>
      </w:r>
      <w:r/>
    </w:p>
    <w:tbl>
      <w:tblPr>
        <w:tblStyle w:val="725"/>
        <w:tblW w:w="820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p>
        </w:tc>
      </w:tr>
    </w:tbl>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  </w:t>
      </w:r>
      <w:r>
        <w:rPr>
          <w:rFonts w:ascii="宋体" w:hAnsi="宋体" w:cs="宋体"/>
          <w:color w:val="000000"/>
          <w:sz w:val="24"/>
          <w:u w:val="single"/>
        </w:rPr>
        <w:t xml:space="preserve">     </w:t>
      </w:r>
      <w:r>
        <w:rPr>
          <w:rFonts w:ascii="宋体" w:hAnsi="宋体" w:cs="宋体"/>
          <w:color w:val="000000"/>
          <w:sz w:val="24"/>
        </w:rPr>
        <w:t xml:space="preserve">年</w:t>
      </w:r>
      <w:r>
        <w:rPr>
          <w:rFonts w:ascii="宋体" w:hAnsi="宋体" w:cs="宋体"/>
          <w:color w:val="000000"/>
          <w:sz w:val="24"/>
          <w:u w:val="single"/>
        </w:rPr>
        <w:t xml:space="preserve">   </w:t>
      </w:r>
      <w:r>
        <w:rPr>
          <w:rFonts w:ascii="宋体" w:hAnsi="宋体" w:cs="宋体"/>
          <w:color w:val="000000"/>
          <w:sz w:val="24"/>
        </w:rPr>
        <w:t xml:space="preserve">月</w:t>
      </w:r>
      <w:r>
        <w:rPr>
          <w:rFonts w:ascii="宋体" w:hAnsi="宋体" w:cs="宋体"/>
          <w:color w:val="000000"/>
          <w:sz w:val="24"/>
          <w:u w:val="single"/>
        </w:rPr>
        <w:t xml:space="preserve">   </w:t>
      </w:r>
      <w:r>
        <w:rPr>
          <w:rFonts w:ascii="宋体" w:hAnsi="宋体" w:cs="宋体"/>
          <w:color w:val="000000"/>
          <w:sz w:val="24"/>
        </w:rPr>
        <w:t xml:space="preserve">日</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46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十二、投标（响应）文件通用模板编制和评审要求</w:t>
      </w:r>
      <w:r>
        <w:rPr>
          <w:rFonts w:ascii="宋体" w:hAnsi="宋体" w:cs="宋体"/>
          <w:b/>
          <w:color w:val="000000"/>
          <w:sz w:val="24"/>
        </w:rPr>
        <w:t xml:space="preserve">（本表为通用格式，项目采购文件可能会根据实际情况对栏目作出调整，按照制作工具显示的栏目编制）</w:t>
      </w:r>
      <w:r/>
    </w:p>
    <w:p>
      <w:pPr>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bl>
      <w:tblPr>
        <w:tblStyle w:val="725"/>
        <w:tblW w:w="866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2808"/>
        <w:gridCol w:w="4920"/>
      </w:tblGrid>
      <w:tr>
        <w:trPr>
          <w:trHeight w:val="4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类型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栏目名称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编制和评审要求</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基本目录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投标（响应）文件封面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按照招标（采购）文件的规定格式。(格式见</w:t>
            </w:r>
            <w:r>
              <w:rPr>
                <w:rFonts w:ascii="宋体" w:hAnsi="宋体" w:cs="宋体"/>
                <w:b/>
                <w:color w:val="000000"/>
              </w:rPr>
              <w:t xml:space="preserve">《投标（响应）文件格式》</w:t>
            </w:r>
            <w:r>
              <w:rPr>
                <w:rFonts w:ascii="宋体" w:hAnsi="宋体" w:cs="宋体"/>
                <w:color w:val="000000"/>
              </w:rPr>
              <w:t xml:space="preserve">)</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基本目录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开标一览表（响应一览表）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按照招标（采购）文件的规定格式提供</w:t>
            </w:r>
            <w:r>
              <w:rPr>
                <w:rFonts w:ascii="宋体" w:hAnsi="宋体" w:cs="宋体"/>
                <w:b/>
                <w:color w:val="000000"/>
              </w:rPr>
              <w:t xml:space="preserve">《开标一览表（响应一览表）》</w:t>
            </w:r>
            <w:r>
              <w:rPr>
                <w:rFonts w:ascii="宋体" w:hAnsi="宋体" w:cs="宋体"/>
                <w:color w:val="000000"/>
              </w:rPr>
              <w:t xml:space="preserve">。(格式见《投标（响应）文件格式》)</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基本目录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技术要求响应及偏离表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按照招标（采购）文件的规定格式提供</w:t>
            </w:r>
            <w:r>
              <w:rPr>
                <w:rFonts w:ascii="宋体" w:hAnsi="宋体" w:cs="宋体"/>
                <w:b/>
                <w:color w:val="000000"/>
              </w:rPr>
              <w:t xml:space="preserve">《技术要求响应及偏离表》</w:t>
            </w:r>
            <w:r>
              <w:rPr>
                <w:rFonts w:ascii="宋体" w:hAnsi="宋体" w:cs="宋体"/>
                <w:color w:val="000000"/>
              </w:rPr>
              <w:t xml:space="preserve">。(格式见《投标（响应）文件格式》)</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基本目录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商务要求响应及偏离表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按照招标（采购）文件的规定格式提供</w:t>
            </w:r>
            <w:r>
              <w:rPr>
                <w:rFonts w:ascii="宋体" w:hAnsi="宋体" w:cs="宋体"/>
                <w:b/>
                <w:color w:val="000000"/>
              </w:rPr>
              <w:t xml:space="preserve">《商务要求响应及偏离表》</w:t>
            </w:r>
            <w:r>
              <w:rPr>
                <w:rFonts w:ascii="宋体" w:hAnsi="宋体" w:cs="宋体"/>
                <w:color w:val="000000"/>
              </w:rPr>
              <w:t xml:space="preserve">。(格式见《投标（响应）文件格式》)</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基本目录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项目完整技术和实施方案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spacing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spacing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spacing w:after="0" w:line="57" w:lineRule="atLeast"/>
            </w:pPr>
            <w:r/>
            <w:r/>
          </w:p>
        </w:tc>
      </w:tr>
      <w:tr>
        <w:trPr>
          <w:trHeight w:val="54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资格审查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投标人（供应商）资格声明函</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提供符合招标（采购）文件要求的</w:t>
            </w:r>
            <w:r>
              <w:rPr>
                <w:rFonts w:ascii="宋体" w:hAnsi="宋体" w:cs="宋体"/>
                <w:b/>
                <w:color w:val="000000"/>
              </w:rPr>
              <w:t xml:space="preserve">《投标人（供应商）资格声明函》</w:t>
            </w:r>
            <w:r>
              <w:rPr>
                <w:rFonts w:ascii="宋体" w:hAnsi="宋体" w:cs="宋体"/>
                <w:color w:val="000000"/>
              </w:rPr>
              <w:t xml:space="preserve">。(格式见《投标（响应）文件格式》)</w:t>
            </w:r>
            <w:r/>
          </w:p>
        </w:tc>
      </w:tr>
      <w:tr>
        <w:trPr>
          <w:trHeight w:val="216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资格审查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资格审查</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中小企业声明函等</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提供符合招标（采购）文件要求的</w:t>
            </w:r>
            <w:r>
              <w:rPr>
                <w:rFonts w:ascii="宋体" w:hAnsi="宋体" w:cs="宋体"/>
                <w:b/>
                <w:color w:val="000000"/>
              </w:rPr>
              <w:t xml:space="preserve">《中小企业声明函》或者《残疾人福利性单位声明函》或者监狱企业证明文件</w:t>
            </w:r>
            <w:r>
              <w:rPr>
                <w:rFonts w:ascii="宋体" w:hAnsi="宋体" w:cs="宋体"/>
                <w:color w:val="000000"/>
              </w:rPr>
              <w:t xml:space="preserve">。(格式见《投标（响应）文件格式》)</w:t>
            </w:r>
            <w:r>
              <w:rPr>
                <w:rFonts w:ascii="宋体" w:hAnsi="宋体" w:cs="宋体"/>
                <w:b/>
                <w:color w:val="ff0000"/>
              </w:rPr>
              <w:t xml:space="preserve">（如是属于非专门面向中小企业预留份额的项目，无需提供）</w:t>
            </w:r>
            <w:r/>
          </w:p>
        </w:tc>
      </w:tr>
      <w:tr>
        <w:trPr>
          <w:trHeight w:val="81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资格审查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其他落实政府采购政策的资格要求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如有的提供，否则无需提供。详见第一章《投标（竞谈、磋商、询价）邀请》相关要求。</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资格审查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是否接受联合体投标（响应）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如是接受联合体投标（响应），且投标人（供应商）组成联合体投标（响应）的必须提供</w:t>
            </w:r>
            <w:r>
              <w:rPr>
                <w:rFonts w:ascii="宋体" w:hAnsi="宋体" w:cs="宋体"/>
                <w:b/>
                <w:color w:val="000000"/>
              </w:rPr>
              <w:t xml:space="preserve">《联合体协议》</w:t>
            </w:r>
            <w:r>
              <w:rPr>
                <w:rFonts w:ascii="宋体" w:hAnsi="宋体" w:cs="宋体"/>
                <w:color w:val="000000"/>
              </w:rPr>
              <w:t xml:space="preserve">原件的电子件，格式见《投标（响应）文件格式》)，否则无需提供。</w:t>
            </w:r>
            <w:r/>
          </w:p>
        </w:tc>
      </w:tr>
      <w:tr>
        <w:trPr>
          <w:trHeight w:val="81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资格审查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本项目的特定资格要求</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spacing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spacing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spacing w:after="0" w:line="57" w:lineRule="atLeast"/>
            </w:pPr>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法人授权书、投标（响应）函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按招标（采购）文件要求提供</w:t>
            </w:r>
            <w:r>
              <w:rPr>
                <w:rFonts w:ascii="宋体" w:hAnsi="宋体" w:cs="宋体"/>
                <w:b/>
                <w:color w:val="000000"/>
              </w:rPr>
              <w:t xml:space="preserve">《法人授权书》</w:t>
            </w:r>
            <w:r>
              <w:rPr>
                <w:rFonts w:ascii="宋体" w:hAnsi="宋体" w:cs="宋体"/>
                <w:color w:val="000000"/>
              </w:rPr>
              <w:t xml:space="preserve">、</w:t>
            </w:r>
            <w:r>
              <w:rPr>
                <w:rFonts w:ascii="宋体" w:hAnsi="宋体" w:cs="宋体"/>
                <w:b/>
                <w:color w:val="000000"/>
              </w:rPr>
              <w:t xml:space="preserve">《投标（响应）函》</w:t>
            </w:r>
            <w:r>
              <w:rPr>
                <w:rFonts w:ascii="宋体" w:hAnsi="宋体" w:cs="宋体"/>
                <w:color w:val="000000"/>
              </w:rPr>
              <w:t xml:space="preserve">。(格式见《投标（响应）文件格式》)</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投标（响应）报价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p>
        </w:tc>
      </w:tr>
      <w:tr>
        <w:trPr>
          <w:trHeight w:val="81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报价唯一性</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投标（响应）文件未出现可选择性或可调整的报价（招标（采购）文件另有规定的除外）；提供</w:t>
            </w:r>
            <w:r>
              <w:rPr>
                <w:rFonts w:ascii="宋体" w:hAnsi="宋体" w:cs="宋体"/>
                <w:b/>
                <w:color w:val="000000"/>
              </w:rPr>
              <w:t xml:space="preserve">《分项报价表》</w:t>
            </w:r>
            <w:r>
              <w:rPr>
                <w:rFonts w:ascii="宋体" w:hAnsi="宋体" w:cs="宋体"/>
                <w:color w:val="000000"/>
              </w:rPr>
              <w:t xml:space="preserve">。(格式见《投标（响应）文件格式》)</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报价合理性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ind w:firstLine="640"/>
              <w:spacing w:after="0" w:line="24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由评委审查，报价合理的予以通过。根据财库〔</w:t>
            </w:r>
            <w:r>
              <w:rPr>
                <w:rFonts w:ascii="Calibri" w:hAnsi="Calibri" w:eastAsia="Calibri" w:cs="Calibri"/>
                <w:color w:val="000000"/>
              </w:rPr>
              <w:t xml:space="preserve">2026</w:t>
            </w:r>
            <w:r>
              <w:rPr>
                <w:rFonts w:ascii="宋体" w:hAnsi="宋体" w:cs="宋体"/>
                <w:color w:val="000000"/>
              </w:rPr>
              <w:t xml:space="preserve">〕</w:t>
            </w:r>
            <w:r>
              <w:rPr>
                <w:rFonts w:ascii="Calibri" w:hAnsi="Calibri" w:eastAsia="Calibri" w:cs="Calibri"/>
                <w:color w:val="000000"/>
              </w:rPr>
              <w:t xml:space="preserve">2</w:t>
            </w:r>
            <w:r>
              <w:rPr>
                <w:rFonts w:ascii="宋体" w:hAnsi="宋体" w:cs="宋体"/>
                <w:color w:val="000000"/>
              </w:rPr>
              <w:t xml:space="preserve">号文件规定，政府采购评审中出现下列情形之一的，评审委员会应当启动异常低价投标（响应）审查程序：</w:t>
            </w:r>
            <w:r>
              <w:rPr>
                <w:rFonts w:ascii="Calibri" w:hAnsi="Calibri" w:eastAsia="Calibri" w:cs="Calibri"/>
                <w:color w:val="000000"/>
              </w:rPr>
              <w:t xml:space="preserve">1</w:t>
            </w:r>
            <w:r>
              <w:rPr>
                <w:rFonts w:ascii="宋体" w:hAnsi="宋体" w:cs="宋体"/>
                <w:color w:val="000000"/>
              </w:rPr>
              <w:t xml:space="preserve">）投标（响应）报价低于全部通过符合性审查供应商投标（响应）报价平均值</w:t>
            </w:r>
            <w:r>
              <w:rPr>
                <w:rFonts w:ascii="Calibri" w:hAnsi="Calibri" w:eastAsia="Calibri" w:cs="Calibri"/>
                <w:color w:val="000000"/>
              </w:rPr>
              <w:t xml:space="preserve">50%</w:t>
            </w:r>
            <w:r>
              <w:rPr>
                <w:rFonts w:ascii="宋体" w:hAnsi="宋体" w:cs="宋体"/>
                <w:color w:val="000000"/>
              </w:rPr>
              <w:t xml:space="preserve">的，即投标（响应）报价</w:t>
            </w:r>
            <w:r>
              <w:rPr>
                <w:rFonts w:ascii="Calibri" w:hAnsi="Calibri" w:eastAsia="Calibri" w:cs="Calibri"/>
                <w:color w:val="000000"/>
              </w:rPr>
              <w:t xml:space="preserve">&lt;</w:t>
            </w:r>
            <w:r>
              <w:rPr>
                <w:rFonts w:ascii="宋体" w:hAnsi="宋体" w:cs="宋体"/>
                <w:color w:val="000000"/>
              </w:rPr>
              <w:t xml:space="preserve">全部通过符合性审查供应商投标（响应）报价平均值×</w:t>
            </w:r>
            <w:r>
              <w:rPr>
                <w:rFonts w:ascii="Calibri" w:hAnsi="Calibri" w:eastAsia="Calibri" w:cs="Calibri"/>
                <w:color w:val="000000"/>
              </w:rPr>
              <w:t xml:space="preserve">50%</w:t>
            </w:r>
            <w:r>
              <w:rPr>
                <w:rFonts w:ascii="宋体" w:hAnsi="宋体" w:cs="宋体"/>
                <w:color w:val="000000"/>
              </w:rPr>
              <w:t xml:space="preserve">；</w:t>
            </w:r>
            <w:r>
              <w:rPr>
                <w:rFonts w:ascii="Calibri" w:hAnsi="Calibri" w:eastAsia="Calibri" w:cs="Calibri"/>
                <w:color w:val="000000"/>
              </w:rPr>
              <w:t xml:space="preserve">2</w:t>
            </w:r>
            <w:r>
              <w:rPr>
                <w:rFonts w:ascii="宋体" w:hAnsi="宋体" w:cs="宋体"/>
                <w:color w:val="000000"/>
              </w:rPr>
              <w:t xml:space="preserve">）投标（响应）报价低于通过符合性审查的次低报价供应商投标（响应）报价</w:t>
            </w:r>
            <w:r>
              <w:rPr>
                <w:rFonts w:ascii="Calibri" w:hAnsi="Calibri" w:eastAsia="Calibri" w:cs="Calibri"/>
                <w:color w:val="000000"/>
              </w:rPr>
              <w:t xml:space="preserve">50%</w:t>
            </w:r>
            <w:r>
              <w:rPr>
                <w:rFonts w:ascii="宋体" w:hAnsi="宋体" w:cs="宋体"/>
                <w:color w:val="000000"/>
              </w:rPr>
              <w:t xml:space="preserve">的，即投标（响应）报价</w:t>
            </w:r>
            <w:r>
              <w:rPr>
                <w:rFonts w:ascii="Calibri" w:hAnsi="Calibri" w:eastAsia="Calibri" w:cs="Calibri"/>
                <w:color w:val="000000"/>
              </w:rPr>
              <w:t xml:space="preserve">&lt;</w:t>
            </w:r>
            <w:r>
              <w:rPr>
                <w:rFonts w:ascii="宋体" w:hAnsi="宋体" w:cs="宋体"/>
                <w:color w:val="000000"/>
              </w:rPr>
              <w:t xml:space="preserve">通过符合性审查的次低报价供应商投标（响应）报价×</w:t>
            </w:r>
            <w:r>
              <w:rPr>
                <w:rFonts w:ascii="Calibri" w:hAnsi="Calibri" w:eastAsia="Calibri" w:cs="Calibri"/>
                <w:color w:val="000000"/>
              </w:rPr>
              <w:t xml:space="preserve">50%</w:t>
            </w:r>
            <w:r>
              <w:rPr>
                <w:rFonts w:ascii="宋体" w:hAnsi="宋体" w:cs="宋体"/>
                <w:color w:val="000000"/>
              </w:rPr>
              <w:t xml:space="preserve">；</w:t>
            </w:r>
            <w:r>
              <w:rPr>
                <w:rFonts w:ascii="Calibri" w:hAnsi="Calibri" w:eastAsia="Calibri" w:cs="Calibri"/>
                <w:color w:val="000000"/>
              </w:rPr>
              <w:t xml:space="preserve">3</w:t>
            </w:r>
            <w:r>
              <w:rPr>
                <w:rFonts w:ascii="宋体" w:hAnsi="宋体" w:cs="宋体"/>
                <w:color w:val="000000"/>
              </w:rPr>
              <w:t xml:space="preserve">）投标（响应）报价低于采购项目最高限价</w:t>
            </w:r>
            <w:r>
              <w:rPr>
                <w:rFonts w:ascii="Calibri" w:hAnsi="Calibri" w:eastAsia="Calibri" w:cs="Calibri"/>
                <w:color w:val="000000"/>
              </w:rPr>
              <w:t xml:space="preserve">45%</w:t>
            </w:r>
            <w:r>
              <w:rPr>
                <w:rFonts w:ascii="宋体" w:hAnsi="宋体" w:cs="宋体"/>
                <w:color w:val="000000"/>
              </w:rPr>
              <w:t xml:space="preserve">的，即投标（响应）报价</w:t>
            </w:r>
            <w:r>
              <w:rPr>
                <w:rFonts w:ascii="Calibri" w:hAnsi="Calibri" w:eastAsia="Calibri" w:cs="Calibri"/>
                <w:color w:val="000000"/>
              </w:rPr>
              <w:t xml:space="preserve">&lt;</w:t>
            </w:r>
            <w:r>
              <w:rPr>
                <w:rFonts w:ascii="宋体" w:hAnsi="宋体" w:cs="宋体"/>
                <w:color w:val="000000"/>
              </w:rPr>
              <w:t xml:space="preserve">采购项目最高限价×</w:t>
            </w:r>
            <w:r>
              <w:rPr>
                <w:rFonts w:ascii="Calibri" w:hAnsi="Calibri" w:eastAsia="Calibri" w:cs="Calibri"/>
                <w:color w:val="000000"/>
              </w:rPr>
              <w:t xml:space="preserve">45%</w:t>
            </w:r>
            <w:r>
              <w:rPr>
                <w:rFonts w:ascii="宋体" w:hAnsi="宋体" w:cs="宋体"/>
                <w:color w:val="000000"/>
              </w:rPr>
              <w:t xml:space="preserve">；</w:t>
            </w:r>
            <w:r>
              <w:rPr>
                <w:rFonts w:ascii="Calibri" w:hAnsi="Calibri" w:eastAsia="Calibri" w:cs="Calibri"/>
                <w:color w:val="000000"/>
              </w:rPr>
              <w:t xml:space="preserve">4</w:t>
            </w:r>
            <w:r>
              <w:rPr>
                <w:rFonts w:ascii="宋体" w:hAnsi="宋体" w:cs="宋体"/>
                <w:color w:val="000000"/>
              </w:rPr>
              <w:t xml:space="preserve">）评审委员会基于专业判断，认为供应商报价过低，有可能影响产品质量或者不能诚信履约的其他情形。相关法律法规对供应商报价有规定的，从其规定。</w:t>
            </w:r>
            <w:r/>
          </w:p>
          <w:p>
            <w:pPr>
              <w:ind w:firstLine="420"/>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评审委员会启动异常低价投标（响应）审查后，属于前述第</w:t>
            </w:r>
            <w:r>
              <w:rPr>
                <w:rFonts w:ascii="Calibri" w:hAnsi="Calibri" w:eastAsia="Calibri" w:cs="Calibri"/>
                <w:color w:val="000000"/>
              </w:rPr>
              <w:t xml:space="preserve">1</w:t>
            </w:r>
            <w:r>
              <w:rPr>
                <w:rFonts w:ascii="宋体" w:hAnsi="宋体" w:cs="宋体"/>
                <w:color w:val="000000"/>
              </w:rPr>
              <w:t xml:space="preserve">项至第</w:t>
            </w:r>
            <w:r>
              <w:rPr>
                <w:rFonts w:ascii="Calibri" w:hAnsi="Calibri" w:eastAsia="Calibri" w:cs="Calibri"/>
                <w:color w:val="000000"/>
              </w:rPr>
              <w:t xml:space="preserve">4</w:t>
            </w:r>
            <w:r>
              <w:rPr>
                <w:rFonts w:ascii="宋体" w:hAnsi="宋体" w:cs="宋体"/>
                <w:color w:val="000000"/>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Calibri" w:hAnsi="Calibri" w:eastAsia="Calibri" w:cs="Calibri"/>
                <w:color w:val="000000"/>
              </w:rPr>
              <w:t xml:space="preserve">30</w:t>
            </w:r>
            <w:r>
              <w:rPr>
                <w:rFonts w:ascii="宋体" w:hAnsi="宋体" w:cs="宋体"/>
                <w:color w:val="000000"/>
              </w:rPr>
              <w:t xml:space="preserve">分钟。其中，属于第</w:t>
            </w:r>
            <w:r>
              <w:rPr>
                <w:rFonts w:ascii="Calibri" w:hAnsi="Calibri" w:eastAsia="Calibri" w:cs="Calibri"/>
                <w:color w:val="000000"/>
              </w:rPr>
              <w:t xml:space="preserve">3</w:t>
            </w:r>
            <w:r>
              <w:rPr>
                <w:rFonts w:ascii="宋体" w:hAnsi="宋体" w:cs="宋体"/>
                <w:color w:val="000000"/>
              </w:rPr>
              <w:t xml:space="preserve">项情形，供应商已随投标（响应）文件一并提交相关书面说明及必要的证明材料的，在评审现场可不再重复提交。评审委员会依据专业经验，参考同类项目中标（成交）价格、类</w:t>
            </w:r>
            <w:r>
              <w:rPr>
                <w:rFonts w:ascii="宋体" w:hAnsi="宋体" w:cs="宋体"/>
                <w:color w:val="00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trHeight w:val="81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报价的修正（如有）</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由评委审查，无需供应商提供材料。不涉及报价修正，或投标（响应）文件报价出现前后不一致时，投标人（供应商）对修正后的报价予以确认。</w:t>
            </w:r>
            <w:r/>
          </w:p>
        </w:tc>
      </w:tr>
      <w:tr>
        <w:trPr>
          <w:trHeight w:val="54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签署、加盖公章</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由评委审查，无需供应商提供材料。按照招标（采购）文件要求签署、加盖公章的。</w:t>
            </w:r>
            <w:r/>
          </w:p>
        </w:tc>
      </w:tr>
      <w:tr>
        <w:trPr>
          <w:trHeight w:val="54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进口产品（如有）</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由评委审查，无需供应商提供材料。招标（采购）文件不接受进口产品投标的内容时，投标人（供应商）所投产品均为非进口产品。</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投标完整性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由评委审查，无需供应商提供材料。投标人（供应商）未将一个采购包中的内容拆开投标。</w:t>
            </w:r>
            <w:r/>
          </w:p>
        </w:tc>
      </w:tr>
      <w:tr>
        <w:trPr>
          <w:trHeight w:val="135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公平竞争</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国家有关部门对投标产品有强制性规定或要求的</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附加条件</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由评委审查，无需供应商提供材料。投标（响应）文件未含有采购人不能接受的附加条件的。</w:t>
            </w:r>
            <w:r/>
          </w:p>
        </w:tc>
      </w:tr>
      <w:tr>
        <w:trPr>
          <w:trHeight w:val="81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其他无效情形</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由评委审查，无需供应商提供材料。投标人（供应商）、投标（响应）文件不存在不符合法律、法规和招标（采购）文件规定的其他无效情形。</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实质性条款响应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实质性条款响应1</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逐项提供相关证明材料</w:t>
            </w:r>
            <w:r/>
          </w:p>
        </w:tc>
      </w:tr>
      <w:tr>
        <w:trPr>
          <w:trHeight w:val="27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实质性条款响应2</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逐项提供相关证明材料</w:t>
            </w:r>
            <w:r/>
          </w:p>
        </w:tc>
      </w:tr>
      <w:tr>
        <w:trPr>
          <w:trHeight w:val="27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逐项提供相关证明材料</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spacing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spacing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spacing w:after="0" w:line="57" w:lineRule="atLeast"/>
            </w:pPr>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综合评审评分项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spacing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逐项提供相关证明材料</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spacing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逐项提供相关证明材料</w:t>
            </w:r>
            <w:r/>
          </w:p>
        </w:tc>
      </w:tr>
      <w:tr>
        <w:trPr>
          <w:trHeight w:val="108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价格折扣文件格式</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小微企业声明函</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属于小微企业的提供符合招标（采购）文件要求的</w:t>
            </w:r>
            <w:r>
              <w:rPr>
                <w:rFonts w:ascii="宋体" w:hAnsi="宋体" w:cs="宋体"/>
                <w:b/>
                <w:color w:val="000000"/>
              </w:rPr>
              <w:t xml:space="preserve">《小微企业声明函》</w:t>
            </w:r>
            <w:r>
              <w:rPr>
                <w:rFonts w:ascii="宋体" w:hAnsi="宋体" w:cs="宋体"/>
                <w:color w:val="000000"/>
              </w:rPr>
              <w:t xml:space="preserve">或者</w:t>
            </w:r>
            <w:r>
              <w:rPr>
                <w:rFonts w:ascii="宋体" w:hAnsi="宋体" w:cs="宋体"/>
                <w:b/>
                <w:color w:val="000000"/>
              </w:rPr>
              <w:t xml:space="preserve">《残疾人福利性单位声明函》</w:t>
            </w:r>
            <w:r>
              <w:rPr>
                <w:rFonts w:ascii="宋体" w:hAnsi="宋体" w:cs="宋体"/>
                <w:color w:val="000000"/>
              </w:rPr>
              <w:t xml:space="preserve">或者</w:t>
            </w:r>
            <w:r>
              <w:rPr>
                <w:rFonts w:ascii="宋体" w:hAnsi="宋体" w:cs="宋体"/>
                <w:b/>
                <w:color w:val="000000"/>
              </w:rPr>
              <w:t xml:space="preserve">监狱企业证明文件</w:t>
            </w:r>
            <w:r>
              <w:rPr>
                <w:rFonts w:ascii="宋体" w:hAnsi="宋体" w:cs="宋体"/>
                <w:color w:val="000000"/>
              </w:rPr>
              <w:t xml:space="preserve">。(格式见《投标（响应）文件格式》)</w:t>
            </w:r>
            <w:r>
              <w:rPr>
                <w:rFonts w:ascii="宋体" w:hAnsi="宋体" w:cs="宋体"/>
                <w:b/>
                <w:color w:val="ff0000"/>
              </w:rPr>
              <w:t xml:space="preserve">（如是属于专门面向中小企业预留份额的项目，该项删除）</w:t>
            </w:r>
            <w:r/>
          </w:p>
        </w:tc>
      </w:tr>
    </w:tbl>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质疑函范本</w:t>
      </w:r>
      <w:r/>
    </w:p>
    <w:p>
      <w:pPr>
        <w:spacing w:before="290"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一、质疑供应商基本信息</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质疑供应商：</w:t>
      </w:r>
      <w:r>
        <w:rPr>
          <w:rFonts w:ascii="宋体" w:hAnsi="宋体" w:cs="宋体"/>
          <w:color w:val="000000"/>
          <w:sz w:val="24"/>
          <w:u w:val="single"/>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sz w:val="24"/>
          <w:u w:val="single"/>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授权代表：</w:t>
      </w:r>
      <w:r>
        <w:rPr>
          <w:rFonts w:ascii="宋体" w:hAnsi="宋体" w:cs="宋体"/>
          <w:color w:val="000000"/>
          <w:sz w:val="24"/>
          <w:u w:val="single"/>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ascii="宋体" w:hAnsi="宋体" w:cs="宋体"/>
          <w:color w:val="000000"/>
          <w:sz w:val="24"/>
          <w:u w:val="single"/>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 </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二、质疑项目基本情况</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质疑项目的名称：</w:t>
      </w:r>
      <w:r>
        <w:rPr>
          <w:rFonts w:ascii="宋体" w:hAnsi="宋体" w:cs="宋体"/>
          <w:color w:val="000000"/>
          <w:sz w:val="24"/>
          <w:u w:val="single"/>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质疑项目的编号：</w:t>
      </w:r>
      <w:r>
        <w:rPr>
          <w:rFonts w:ascii="宋体" w:hAnsi="宋体" w:cs="宋体"/>
          <w:color w:val="000000"/>
          <w:sz w:val="24"/>
          <w:u w:val="single"/>
        </w:rPr>
        <w:t xml:space="preserve">                         </w:t>
      </w:r>
      <w:r>
        <w:rPr>
          <w:rFonts w:ascii="宋体" w:hAnsi="宋体" w:cs="宋体"/>
          <w:color w:val="000000"/>
          <w:sz w:val="24"/>
        </w:rPr>
        <w:t xml:space="preserve">包号：</w:t>
      </w:r>
      <w:r>
        <w:rPr>
          <w:rFonts w:ascii="宋体" w:hAnsi="宋体" w:cs="宋体"/>
          <w:color w:val="000000"/>
          <w:sz w:val="24"/>
          <w:u w:val="single"/>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采购人名称：</w:t>
      </w:r>
      <w:r>
        <w:rPr>
          <w:rFonts w:ascii="宋体" w:hAnsi="宋体" w:cs="宋体"/>
          <w:color w:val="000000"/>
          <w:sz w:val="24"/>
          <w:u w:val="single"/>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采购文件获取日期：</w:t>
      </w:r>
      <w:r>
        <w:rPr>
          <w:rFonts w:ascii="宋体" w:hAnsi="宋体" w:cs="宋体"/>
          <w:color w:val="000000"/>
          <w:sz w:val="24"/>
          <w:u w:val="single"/>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三、质疑事项具体内容</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质疑事项1：</w:t>
      </w:r>
      <w:r>
        <w:rPr>
          <w:rFonts w:ascii="宋体" w:hAnsi="宋体" w:cs="宋体"/>
          <w:color w:val="000000"/>
          <w:sz w:val="24"/>
          <w:u w:val="single"/>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事实依据：</w:t>
      </w:r>
      <w:r>
        <w:rPr>
          <w:rFonts w:ascii="宋体" w:hAnsi="宋体" w:cs="宋体"/>
          <w:color w:val="000000"/>
          <w:sz w:val="24"/>
          <w:u w:val="single"/>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法律依据：</w:t>
      </w:r>
      <w:r>
        <w:rPr>
          <w:rFonts w:ascii="宋体" w:hAnsi="宋体" w:cs="宋体"/>
          <w:color w:val="000000"/>
          <w:sz w:val="24"/>
          <w:u w:val="single"/>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质疑事项2</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四、与质疑事项相关的质疑请求</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请求：</w:t>
      </w:r>
      <w:r>
        <w:rPr>
          <w:rFonts w:ascii="宋体" w:hAnsi="宋体" w:cs="宋体"/>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签字(签章)：                   公章：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    </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质疑函制作说明：</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1.供应商提出质疑时，应提交质疑函和必要的证明材料。</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3.质疑供应商若对项目的某一分包进行质疑，质疑函中应列明具体分包号。</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4.质疑函的质疑事项应具体、明确，并有必要的事实依据和法律依据。</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5.质疑函的质疑请求应与质疑事项相关。</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firstLine="420"/>
        <w:spacing w:after="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firstLine="420"/>
        <w:spacing w:after="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ymbol">
    <w:panose1 w:val="05050102010706020507"/>
  </w:font>
  <w:font w:name="经典仿宋简">
    <w:panose1 w:val="020B0503020202020204"/>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rPr>
        <w:rStyle w:val="987"/>
        <w:rFonts w:hint="eastAsia" w:ascii="宋体" w:hAnsi="宋体"/>
      </w:rPr>
      <w:framePr w:wrap="around" w:vAnchor="text" w:hAnchor="margin" w:xAlign="center" w:y="1"/>
    </w:pPr>
    <w:r>
      <w:rPr>
        <w:rFonts w:ascii="宋体" w:hAnsi="宋体"/>
      </w:rPr>
      <w:fldChar w:fldCharType="begin"/>
    </w:r>
    <w:r>
      <w:rPr>
        <w:rStyle w:val="987"/>
        <w:rFonts w:ascii="宋体" w:hAnsi="宋体"/>
      </w:rPr>
      <w:instrText xml:space="preserve">PAGE  </w:instrText>
    </w:r>
    <w:r>
      <w:rPr>
        <w:rFonts w:ascii="宋体" w:hAnsi="宋体"/>
      </w:rPr>
      <w:fldChar w:fldCharType="separate"/>
    </w:r>
    <w:r>
      <w:rPr>
        <w:rStyle w:val="987"/>
        <w:rFonts w:ascii="宋体" w:hAnsi="宋体"/>
      </w:rPr>
      <w:t xml:space="preserve">１０</w:t>
    </w:r>
    <w:r>
      <w:rPr>
        <w:rFonts w:ascii="宋体" w:hAnsi="宋体"/>
      </w:rPr>
      <w:fldChar w:fldCharType="end"/>
    </w:r>
    <w:r/>
  </w:p>
  <w:p>
    <w:pPr>
      <w:pStyle w:val="962"/>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rPr>
        <w:rStyle w:val="987"/>
      </w:rPr>
      <w:framePr w:wrap="around" w:vAnchor="text" w:hAnchor="margin" w:xAlign="center" w:y="1"/>
    </w:pPr>
    <w:r>
      <w:fldChar w:fldCharType="begin"/>
    </w:r>
    <w:r>
      <w:rPr>
        <w:rStyle w:val="987"/>
      </w:rPr>
      <w:instrText xml:space="preserve">PAGE  </w:instrText>
    </w:r>
    <w:r>
      <w:fldChar w:fldCharType="separate"/>
    </w:r>
    <w:r>
      <w:rPr>
        <w:rStyle w:val="987"/>
      </w:rPr>
      <w:t xml:space="preserve">1</w:t>
    </w:r>
    <w:r>
      <w:fldChar w:fldCharType="end"/>
    </w:r>
    <w:r/>
  </w:p>
  <w:p>
    <w:pPr>
      <w:pStyle w:val="96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
    <w:multiLevelType w:val="hybridMultilevel"/>
    <w:lvl w:ilvl="0">
      <w:start w:val="1"/>
      <w:numFmt w:val="upperLetter"/>
      <w:pStyle w:val="100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3">
    <w:multiLevelType w:val="hybridMultilevel"/>
    <w:lvl w:ilvl="0">
      <w:start w:val="1"/>
      <w:numFmt w:val="decimal"/>
      <w:isLgl w:val="false"/>
      <w:suff w:val="tab"/>
      <w:lvlText w:val="第%1章"/>
      <w:lvlJc w:val="left"/>
      <w:pPr>
        <w:ind w:left="1440" w:hanging="1440"/>
      </w:pPr>
      <w:rPr>
        <w:rFonts w:ascii="黑体" w:hAnsi="黑体" w:eastAsia="黑体" w:cs="黑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2"/>
      <w:isLgl w:val="false"/>
      <w:suff w:val="nothing"/>
      <w:lvlText w:val=""/>
      <w:lvlJc w:val="left"/>
      <w:pPr>
        <w:ind w:left="0" w:firstLine="0"/>
      </w:pPr>
      <w:rPr>
        <w:rFonts w:hint="eastAsia"/>
      </w:rPr>
    </w:lvl>
    <w:lvl w:ilvl="6">
      <w:start w:val="1"/>
      <w:numFmt w:val="decimal"/>
      <w:pStyle w:val="923"/>
      <w:isLgl w:val="false"/>
      <w:suff w:val="nothing"/>
      <w:lvlText w:val=""/>
      <w:lvlJc w:val="left"/>
      <w:pPr>
        <w:ind w:left="0" w:firstLine="0"/>
      </w:pPr>
      <w:rPr>
        <w:rFonts w:hint="eastAsia"/>
      </w:rPr>
    </w:lvl>
    <w:lvl w:ilvl="7">
      <w:start w:val="1"/>
      <w:numFmt w:val="decimal"/>
      <w:pStyle w:val="924"/>
      <w:isLgl w:val="false"/>
      <w:suff w:val="nothing"/>
      <w:lvlText w:val=""/>
      <w:lvlJc w:val="left"/>
      <w:pPr>
        <w:ind w:left="0" w:firstLine="0"/>
      </w:pPr>
      <w:rPr>
        <w:rFonts w:hint="eastAsia"/>
      </w:rPr>
    </w:lvl>
    <w:lvl w:ilvl="8">
      <w:start w:val="1"/>
      <w:numFmt w:val="decimal"/>
      <w:pStyle w:val="925"/>
      <w:isLgl w:val="false"/>
      <w:suff w:val="nothing"/>
      <w:lvlText w:val=""/>
      <w:lvlJc w:val="left"/>
      <w:pPr>
        <w:ind w:left="0" w:firstLine="0"/>
      </w:pPr>
      <w:rPr>
        <w:rFonts w:hint="eastAsia"/>
      </w:rPr>
    </w:lvl>
  </w:abstractNum>
  <w:abstractNum w:abstractNumId="5">
    <w:multiLevelType w:val="hybridMultilevel"/>
    <w:lvl w:ilvl="0">
      <w:start w:val="1"/>
      <w:numFmt w:val="decimal"/>
      <w:pStyle w:val="101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1"/>
  </w:num>
  <w:num w:numId="3">
    <w:abstractNumId w:val="5"/>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uiPriority w:val="0"/>
    <w:qFormat/>
    <w:pPr>
      <w:jc w:val="both"/>
      <w:spacing w:before="0" w:beforeAutospacing="0" w:after="160" w:afterAutospacing="0" w:line="278" w:lineRule="auto"/>
      <w:widowControl w:val="off"/>
    </w:pPr>
    <w:rPr>
      <w:rFonts w:hint="default" w:ascii="Times New Roman" w:hAnsi="Times New Roman" w:eastAsia="宋体" w:cs="Times New Roman"/>
      <w:sz w:val="21"/>
      <w:szCs w:val="21"/>
    </w:rPr>
  </w:style>
  <w:style w:type="paragraph" w:styleId="693">
    <w:name w:val="Heading 1"/>
    <w:basedOn w:val="692"/>
    <w:next w:val="692"/>
    <w:link w:val="768"/>
    <w:uiPriority w:val="9"/>
    <w:qFormat/>
    <w:pPr>
      <w:keepLines/>
      <w:keepNext/>
      <w:spacing w:before="480" w:after="200"/>
      <w:outlineLvl w:val="0"/>
    </w:pPr>
    <w:rPr>
      <w:rFonts w:ascii="Arial" w:hAnsi="Arial" w:eastAsia="Arial" w:cs="Arial"/>
      <w:sz w:val="40"/>
      <w:szCs w:val="40"/>
    </w:rPr>
  </w:style>
  <w:style w:type="paragraph" w:styleId="694">
    <w:name w:val="Heading 2"/>
    <w:basedOn w:val="692"/>
    <w:next w:val="692"/>
    <w:link w:val="769"/>
    <w:uiPriority w:val="9"/>
    <w:unhideWhenUsed/>
    <w:qFormat/>
    <w:pPr>
      <w:keepLines/>
      <w:keepNext/>
      <w:spacing w:before="360" w:after="200"/>
      <w:outlineLvl w:val="1"/>
    </w:pPr>
    <w:rPr>
      <w:rFonts w:ascii="Arial" w:hAnsi="Arial" w:eastAsia="Arial" w:cs="Arial"/>
      <w:sz w:val="34"/>
    </w:rPr>
  </w:style>
  <w:style w:type="paragraph" w:styleId="695">
    <w:name w:val="Heading 3"/>
    <w:basedOn w:val="692"/>
    <w:next w:val="704"/>
    <w:link w:val="770"/>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692"/>
    <w:link w:val="771"/>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692"/>
    <w:next w:val="692"/>
    <w:link w:val="772"/>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link w:val="773"/>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link w:val="774"/>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link w:val="775"/>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776"/>
    <w:uiPriority w:val="9"/>
    <w:unhideWhenUsed/>
    <w:qFormat/>
    <w:pPr>
      <w:keepLines/>
      <w:keepNext/>
      <w:spacing w:before="320" w:after="200"/>
      <w:outlineLvl w:val="8"/>
    </w:pPr>
    <w:rPr>
      <w:rFonts w:ascii="Arial" w:hAnsi="Arial" w:eastAsia="Arial" w:cs="Arial"/>
      <w:i/>
      <w:iCs/>
    </w:rPr>
  </w:style>
  <w:style w:type="character" w:styleId="702" w:default="1">
    <w:name w:val="Default Paragraph Font"/>
    <w:uiPriority w:val="1"/>
    <w:semiHidden/>
    <w:unhideWhenUsed/>
  </w:style>
  <w:style w:type="table" w:styleId="703" w:default="1">
    <w:name w:val="Normal Table"/>
    <w:uiPriority w:val="99"/>
    <w:semiHidden/>
    <w:unhideWhenUsed/>
    <w:tblPr>
      <w:tblCellMar>
        <w:left w:w="108" w:type="dxa"/>
        <w:top w:w="0" w:type="dxa"/>
        <w:right w:w="108" w:type="dxa"/>
        <w:bottom w:w="0" w:type="dxa"/>
      </w:tblCellMar>
    </w:tblPr>
  </w:style>
  <w:style w:type="paragraph" w:styleId="704">
    <w:name w:val="Normal Indent"/>
    <w:basedOn w:val="692"/>
    <w:uiPriority w:val="0"/>
    <w:qFormat/>
    <w:pPr>
      <w:ind w:firstLine="200"/>
    </w:pPr>
  </w:style>
  <w:style w:type="paragraph" w:styleId="705">
    <w:name w:val="toc 7"/>
    <w:basedOn w:val="692"/>
    <w:next w:val="692"/>
    <w:uiPriority w:val="39"/>
    <w:unhideWhenUsed/>
    <w:qFormat/>
    <w:pPr>
      <w:ind w:left="1701"/>
      <w:spacing w:after="57"/>
    </w:pPr>
  </w:style>
  <w:style w:type="paragraph" w:styleId="706">
    <w:name w:val="Caption"/>
    <w:basedOn w:val="692"/>
    <w:next w:val="6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7">
    <w:name w:val="annotation text"/>
    <w:basedOn w:val="692"/>
    <w:link w:val="1027"/>
    <w:uiPriority w:val="99"/>
    <w:semiHidden/>
    <w:unhideWhenUsed/>
    <w:qFormat/>
    <w:pPr>
      <w:jc w:val="left"/>
    </w:pPr>
  </w:style>
  <w:style w:type="paragraph" w:styleId="708">
    <w:name w:val="toc 5"/>
    <w:basedOn w:val="692"/>
    <w:next w:val="692"/>
    <w:uiPriority w:val="39"/>
    <w:unhideWhenUsed/>
    <w:qFormat/>
    <w:pPr>
      <w:ind w:left="1134"/>
      <w:spacing w:after="57"/>
    </w:pPr>
  </w:style>
  <w:style w:type="paragraph" w:styleId="709">
    <w:name w:val="toc 3"/>
    <w:basedOn w:val="692"/>
    <w:next w:val="692"/>
    <w:uiPriority w:val="39"/>
    <w:unhideWhenUsed/>
    <w:qFormat/>
    <w:pPr>
      <w:ind w:left="567"/>
      <w:spacing w:after="57"/>
    </w:pPr>
  </w:style>
  <w:style w:type="paragraph" w:styleId="710">
    <w:name w:val="toc 8"/>
    <w:basedOn w:val="692"/>
    <w:next w:val="692"/>
    <w:uiPriority w:val="39"/>
    <w:unhideWhenUsed/>
    <w:qFormat/>
    <w:pPr>
      <w:ind w:left="1984"/>
      <w:spacing w:after="57"/>
    </w:pPr>
  </w:style>
  <w:style w:type="paragraph" w:styleId="711">
    <w:name w:val="endnote text"/>
    <w:basedOn w:val="692"/>
    <w:link w:val="914"/>
    <w:uiPriority w:val="99"/>
    <w:semiHidden/>
    <w:unhideWhenUsed/>
    <w:qFormat/>
    <w:pPr>
      <w:spacing w:after="0" w:line="240" w:lineRule="auto"/>
    </w:pPr>
    <w:rPr>
      <w:sz w:val="20"/>
    </w:rPr>
  </w:style>
  <w:style w:type="paragraph" w:styleId="712">
    <w:name w:val="Footer"/>
    <w:basedOn w:val="692"/>
    <w:link w:val="787"/>
    <w:uiPriority w:val="99"/>
    <w:unhideWhenUsed/>
    <w:qFormat/>
    <w:pPr>
      <w:spacing w:after="0" w:line="240" w:lineRule="auto"/>
      <w:tabs>
        <w:tab w:val="center" w:pos="7143" w:leader="none"/>
        <w:tab w:val="right" w:pos="14287" w:leader="none"/>
      </w:tabs>
    </w:pPr>
  </w:style>
  <w:style w:type="paragraph" w:styleId="713">
    <w:name w:val="Header"/>
    <w:basedOn w:val="692"/>
    <w:link w:val="785"/>
    <w:uiPriority w:val="99"/>
    <w:unhideWhenUsed/>
    <w:qFormat/>
    <w:pPr>
      <w:spacing w:after="0" w:line="240" w:lineRule="auto"/>
      <w:tabs>
        <w:tab w:val="center" w:pos="7143" w:leader="none"/>
        <w:tab w:val="right" w:pos="14287" w:leader="none"/>
      </w:tabs>
    </w:pPr>
  </w:style>
  <w:style w:type="paragraph" w:styleId="714">
    <w:name w:val="toc 1"/>
    <w:basedOn w:val="692"/>
    <w:next w:val="692"/>
    <w:uiPriority w:val="39"/>
    <w:unhideWhenUsed/>
    <w:qFormat/>
    <w:pPr>
      <w:spacing w:after="57"/>
    </w:pPr>
  </w:style>
  <w:style w:type="paragraph" w:styleId="715">
    <w:name w:val="toc 4"/>
    <w:basedOn w:val="692"/>
    <w:next w:val="692"/>
    <w:uiPriority w:val="39"/>
    <w:unhideWhenUsed/>
    <w:qFormat/>
    <w:pPr>
      <w:ind w:left="850"/>
      <w:spacing w:after="57"/>
    </w:pPr>
  </w:style>
  <w:style w:type="paragraph" w:styleId="716">
    <w:name w:val="Subtitle"/>
    <w:basedOn w:val="692"/>
    <w:next w:val="692"/>
    <w:link w:val="780"/>
    <w:uiPriority w:val="11"/>
    <w:qFormat/>
    <w:pPr>
      <w:spacing w:before="200" w:after="200"/>
    </w:pPr>
    <w:rPr>
      <w:sz w:val="24"/>
      <w:szCs w:val="24"/>
    </w:rPr>
  </w:style>
  <w:style w:type="paragraph" w:styleId="717">
    <w:name w:val="footnote text"/>
    <w:basedOn w:val="692"/>
    <w:link w:val="913"/>
    <w:uiPriority w:val="99"/>
    <w:semiHidden/>
    <w:unhideWhenUsed/>
    <w:qFormat/>
    <w:pPr>
      <w:spacing w:after="40" w:line="240" w:lineRule="auto"/>
    </w:pPr>
    <w:rPr>
      <w:sz w:val="18"/>
    </w:rPr>
  </w:style>
  <w:style w:type="paragraph" w:styleId="718">
    <w:name w:val="toc 6"/>
    <w:basedOn w:val="692"/>
    <w:next w:val="692"/>
    <w:uiPriority w:val="39"/>
    <w:unhideWhenUsed/>
    <w:qFormat/>
    <w:pPr>
      <w:ind w:left="1417"/>
      <w:spacing w:after="57"/>
    </w:pPr>
  </w:style>
  <w:style w:type="paragraph" w:styleId="719">
    <w:name w:val="table of figures"/>
    <w:basedOn w:val="692"/>
    <w:next w:val="692"/>
    <w:uiPriority w:val="99"/>
    <w:unhideWhenUsed/>
    <w:qFormat/>
    <w:pPr>
      <w:spacing w:after="0"/>
    </w:pPr>
  </w:style>
  <w:style w:type="paragraph" w:styleId="720">
    <w:name w:val="toc 2"/>
    <w:basedOn w:val="692"/>
    <w:next w:val="692"/>
    <w:uiPriority w:val="39"/>
    <w:unhideWhenUsed/>
    <w:qFormat/>
    <w:pPr>
      <w:ind w:left="283"/>
      <w:spacing w:after="57"/>
    </w:pPr>
  </w:style>
  <w:style w:type="paragraph" w:styleId="721">
    <w:name w:val="toc 9"/>
    <w:basedOn w:val="692"/>
    <w:next w:val="692"/>
    <w:uiPriority w:val="39"/>
    <w:unhideWhenUsed/>
    <w:qFormat/>
    <w:pPr>
      <w:ind w:left="2268"/>
      <w:spacing w:after="57"/>
    </w:pPr>
  </w:style>
  <w:style w:type="paragraph" w:styleId="722">
    <w:name w:val="Normal (Web)"/>
    <w:basedOn w:val="692"/>
    <w:uiPriority w:val="0"/>
    <w:qFormat/>
    <w:pPr>
      <w:jc w:val="left"/>
      <w:spacing w:before="100" w:beforeAutospacing="1" w:after="100" w:afterAutospacing="1"/>
    </w:pPr>
    <w:rPr>
      <w:sz w:val="24"/>
    </w:rPr>
  </w:style>
  <w:style w:type="paragraph" w:styleId="723">
    <w:name w:val="Title"/>
    <w:basedOn w:val="692"/>
    <w:next w:val="692"/>
    <w:link w:val="779"/>
    <w:uiPriority w:val="10"/>
    <w:qFormat/>
    <w:pPr>
      <w:contextualSpacing/>
      <w:spacing w:before="300" w:after="200"/>
    </w:pPr>
    <w:rPr>
      <w:sz w:val="48"/>
      <w:szCs w:val="48"/>
    </w:rPr>
  </w:style>
  <w:style w:type="paragraph" w:styleId="724">
    <w:name w:val="annotation subject"/>
    <w:basedOn w:val="707"/>
    <w:next w:val="707"/>
    <w:link w:val="1028"/>
    <w:uiPriority w:val="99"/>
    <w:semiHidden/>
    <w:unhideWhenUsed/>
    <w:rPr>
      <w:b/>
      <w:bCs/>
    </w:rPr>
  </w:style>
  <w:style w:type="table" w:styleId="72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endnote reference"/>
    <w:uiPriority w:val="99"/>
    <w:semiHidden/>
    <w:unhideWhenUsed/>
    <w:qFormat/>
    <w:rPr>
      <w:vertAlign w:val="superscript"/>
    </w:rPr>
  </w:style>
  <w:style w:type="character" w:styleId="727">
    <w:name w:val="Hyperlink"/>
    <w:uiPriority w:val="99"/>
    <w:unhideWhenUsed/>
    <w:qFormat/>
    <w:rPr>
      <w:color w:val="0000ff" w:themeColor="hyperlink"/>
      <w:u w:val="single"/>
      <w14:textFill>
        <w14:solidFill>
          <w14:schemeClr w14:val="hlink"/>
        </w14:solidFill>
      </w14:textFill>
    </w:rPr>
  </w:style>
  <w:style w:type="character" w:styleId="728">
    <w:name w:val="annotation reference"/>
    <w:basedOn w:val="702"/>
    <w:uiPriority w:val="99"/>
    <w:semiHidden/>
    <w:unhideWhenUsed/>
    <w:qFormat/>
    <w:rPr>
      <w:sz w:val="21"/>
      <w:szCs w:val="21"/>
    </w:rPr>
  </w:style>
  <w:style w:type="character" w:styleId="729">
    <w:name w:val="footnote reference"/>
    <w:uiPriority w:val="99"/>
    <w:unhideWhenUsed/>
    <w:qFormat/>
    <w:rPr>
      <w:vertAlign w:val="superscript"/>
    </w:rPr>
  </w:style>
  <w:style w:type="character" w:styleId="730" w:customStyle="1">
    <w:name w:val="Heading 1 Char"/>
    <w:basedOn w:val="702"/>
    <w:uiPriority w:val="9"/>
    <w:rPr>
      <w:rFonts w:ascii="Arial" w:hAnsi="Arial" w:eastAsia="Arial" w:cs="Arial"/>
      <w:sz w:val="40"/>
      <w:szCs w:val="40"/>
    </w:rPr>
  </w:style>
  <w:style w:type="character" w:styleId="731" w:customStyle="1">
    <w:name w:val="Heading 2 Char"/>
    <w:basedOn w:val="702"/>
    <w:uiPriority w:val="9"/>
    <w:rPr>
      <w:rFonts w:ascii="Arial" w:hAnsi="Arial" w:eastAsia="Arial" w:cs="Arial"/>
      <w:sz w:val="34"/>
    </w:rPr>
  </w:style>
  <w:style w:type="character" w:styleId="732" w:customStyle="1">
    <w:name w:val="Heading 3 Char"/>
    <w:basedOn w:val="702"/>
    <w:uiPriority w:val="9"/>
    <w:rPr>
      <w:rFonts w:ascii="Arial" w:hAnsi="Arial" w:eastAsia="Arial" w:cs="Arial"/>
      <w:sz w:val="30"/>
      <w:szCs w:val="30"/>
    </w:rPr>
  </w:style>
  <w:style w:type="character" w:styleId="733" w:customStyle="1">
    <w:name w:val="Heading 4 Char"/>
    <w:basedOn w:val="702"/>
    <w:uiPriority w:val="9"/>
    <w:rPr>
      <w:rFonts w:ascii="Arial" w:hAnsi="Arial" w:eastAsia="Arial" w:cs="Arial"/>
      <w:b/>
      <w:bCs/>
      <w:sz w:val="26"/>
      <w:szCs w:val="26"/>
    </w:rPr>
  </w:style>
  <w:style w:type="character" w:styleId="734" w:customStyle="1">
    <w:name w:val="Heading 5 Char"/>
    <w:basedOn w:val="702"/>
    <w:uiPriority w:val="9"/>
    <w:rPr>
      <w:rFonts w:ascii="Arial" w:hAnsi="Arial" w:eastAsia="Arial" w:cs="Arial"/>
      <w:b/>
      <w:bCs/>
      <w:sz w:val="24"/>
      <w:szCs w:val="24"/>
    </w:rPr>
  </w:style>
  <w:style w:type="character" w:styleId="735" w:customStyle="1">
    <w:name w:val="Heading 6 Char"/>
    <w:basedOn w:val="702"/>
    <w:uiPriority w:val="9"/>
    <w:rPr>
      <w:rFonts w:ascii="Arial" w:hAnsi="Arial" w:eastAsia="Arial" w:cs="Arial"/>
      <w:b/>
      <w:bCs/>
      <w:sz w:val="22"/>
      <w:szCs w:val="22"/>
    </w:rPr>
  </w:style>
  <w:style w:type="character" w:styleId="736" w:customStyle="1">
    <w:name w:val="Heading 7 Char"/>
    <w:basedOn w:val="702"/>
    <w:uiPriority w:val="9"/>
    <w:rPr>
      <w:rFonts w:ascii="Arial" w:hAnsi="Arial" w:eastAsia="Arial" w:cs="Arial"/>
      <w:b/>
      <w:bCs/>
      <w:i/>
      <w:iCs/>
      <w:sz w:val="22"/>
      <w:szCs w:val="22"/>
    </w:rPr>
  </w:style>
  <w:style w:type="character" w:styleId="737" w:customStyle="1">
    <w:name w:val="Heading 8 Char"/>
    <w:basedOn w:val="702"/>
    <w:uiPriority w:val="9"/>
    <w:rPr>
      <w:rFonts w:ascii="Arial" w:hAnsi="Arial" w:eastAsia="Arial" w:cs="Arial"/>
      <w:i/>
      <w:iCs/>
      <w:sz w:val="22"/>
      <w:szCs w:val="22"/>
    </w:rPr>
  </w:style>
  <w:style w:type="character" w:styleId="738" w:customStyle="1">
    <w:name w:val="Heading 9 Char"/>
    <w:basedOn w:val="702"/>
    <w:uiPriority w:val="9"/>
    <w:qFormat/>
    <w:rPr>
      <w:rFonts w:ascii="Arial" w:hAnsi="Arial" w:eastAsia="Arial" w:cs="Arial"/>
      <w:i/>
      <w:iCs/>
      <w:sz w:val="21"/>
      <w:szCs w:val="21"/>
    </w:rPr>
  </w:style>
  <w:style w:type="character" w:styleId="739" w:customStyle="1">
    <w:name w:val="Title Char"/>
    <w:basedOn w:val="702"/>
    <w:uiPriority w:val="10"/>
    <w:rPr>
      <w:sz w:val="48"/>
      <w:szCs w:val="48"/>
    </w:rPr>
  </w:style>
  <w:style w:type="character" w:styleId="740" w:customStyle="1">
    <w:name w:val="Subtitle Char"/>
    <w:basedOn w:val="702"/>
    <w:uiPriority w:val="11"/>
    <w:qFormat/>
    <w:rPr>
      <w:sz w:val="24"/>
      <w:szCs w:val="24"/>
    </w:rPr>
  </w:style>
  <w:style w:type="character" w:styleId="741" w:customStyle="1">
    <w:name w:val="Quote Char"/>
    <w:uiPriority w:val="29"/>
    <w:rPr>
      <w:i/>
    </w:rPr>
  </w:style>
  <w:style w:type="character" w:styleId="742" w:customStyle="1">
    <w:name w:val="Intense Quote Char"/>
    <w:uiPriority w:val="30"/>
    <w:qFormat/>
    <w:rPr>
      <w:i/>
    </w:rPr>
  </w:style>
  <w:style w:type="character" w:styleId="743" w:customStyle="1">
    <w:name w:val="Header Char"/>
    <w:basedOn w:val="702"/>
    <w:uiPriority w:val="99"/>
    <w:qFormat/>
  </w:style>
  <w:style w:type="character" w:styleId="744" w:customStyle="1">
    <w:name w:val="Caption Char"/>
    <w:uiPriority w:val="99"/>
  </w:style>
  <w:style w:type="table" w:styleId="745" w:customStyle="1">
    <w:name w:val="Plain Table 1"/>
    <w:basedOn w:val="703"/>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2"/>
    <w:basedOn w:val="703"/>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3"/>
    <w:basedOn w:val="70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customStyle="1">
    <w:name w:val="Plain Table 4"/>
    <w:basedOn w:val="70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customStyle="1">
    <w:name w:val="Plain Table 5"/>
    <w:basedOn w:val="70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customStyle="1">
    <w:name w:val="Grid Table 1 Light"/>
    <w:basedOn w:val="703"/>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1" w:customStyle="1">
    <w:name w:val="Grid Table 2"/>
    <w:basedOn w:val="70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2" w:customStyle="1">
    <w:name w:val="Grid Table 3"/>
    <w:basedOn w:val="70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4"/>
    <w:basedOn w:val="703"/>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customStyle="1">
    <w:name w:val="Grid Table 5 Dark"/>
    <w:basedOn w:val="70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5" w:customStyle="1">
    <w:name w:val="Grid Table 6 Colorful"/>
    <w:basedOn w:val="703"/>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6" w:customStyle="1">
    <w:name w:val="Grid Table 7 Colorful"/>
    <w:basedOn w:val="703"/>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7" w:customStyle="1">
    <w:name w:val="List Table 1 Light"/>
    <w:basedOn w:val="703"/>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customStyle="1">
    <w:name w:val="List Table 2"/>
    <w:basedOn w:val="703"/>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9" w:customStyle="1">
    <w:name w:val="List Table 3"/>
    <w:basedOn w:val="70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0" w:customStyle="1">
    <w:name w:val="List Table 4"/>
    <w:basedOn w:val="70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1" w:customStyle="1">
    <w:name w:val="List Table 5 Dark"/>
    <w:basedOn w:val="703"/>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2" w:customStyle="1">
    <w:name w:val="List Table 6 Colorful"/>
    <w:basedOn w:val="703"/>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3" w:customStyle="1">
    <w:name w:val="List Table 7 Colorful"/>
    <w:basedOn w:val="703"/>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4" w:customStyle="1">
    <w:name w:val="Footnote Text Char"/>
    <w:uiPriority w:val="99"/>
    <w:rPr>
      <w:sz w:val="18"/>
    </w:rPr>
  </w:style>
  <w:style w:type="character" w:styleId="765" w:customStyle="1">
    <w:name w:val="Endnote Text Char"/>
    <w:uiPriority w:val="99"/>
    <w:rPr>
      <w:sz w:val="20"/>
    </w:rPr>
  </w:style>
  <w:style w:type="paragraph" w:styleId="766" w:customStyle="1">
    <w:name w:val="TOC Heading"/>
    <w:uiPriority w:val="39"/>
    <w:unhideWhenUsed/>
    <w:pPr>
      <w:spacing w:before="0" w:beforeAutospacing="0" w:after="160" w:afterAutospacing="0" w:line="278" w:lineRule="auto"/>
    </w:pPr>
    <w:rPr>
      <w:rFonts w:hint="default" w:ascii="Calibri" w:hAnsi="Calibri" w:eastAsia="宋体" w:cs="Times New Roman"/>
    </w:rPr>
  </w:style>
  <w:style w:type="paragraph" w:styleId="767" w:customStyle="1">
    <w:name w:val="目录 1111"/>
    <w:basedOn w:val="692"/>
    <w:next w:val="692"/>
    <w:uiPriority w:val="39"/>
    <w:unhideWhenUsed/>
    <w:qFormat/>
    <w:pPr>
      <w:jc w:val="left"/>
      <w:spacing w:after="100" w:line="259" w:lineRule="auto"/>
      <w:widowControl/>
    </w:pPr>
    <w:rPr>
      <w:rFonts w:ascii="Calibri" w:hAnsi="Calibri"/>
      <w:sz w:val="22"/>
      <w:szCs w:val="22"/>
    </w:rPr>
  </w:style>
  <w:style w:type="character" w:styleId="768" w:customStyle="1">
    <w:name w:val="标题 1 字符"/>
    <w:link w:val="693"/>
    <w:uiPriority w:val="9"/>
    <w:qFormat/>
    <w:rPr>
      <w:rFonts w:ascii="Arial" w:hAnsi="Arial" w:eastAsia="Arial" w:cs="Arial"/>
      <w:sz w:val="40"/>
      <w:szCs w:val="40"/>
    </w:rPr>
  </w:style>
  <w:style w:type="character" w:styleId="769" w:customStyle="1">
    <w:name w:val="标题 2 字符"/>
    <w:link w:val="694"/>
    <w:uiPriority w:val="9"/>
    <w:qFormat/>
    <w:rPr>
      <w:rFonts w:ascii="Arial" w:hAnsi="Arial" w:eastAsia="Arial" w:cs="Arial"/>
      <w:sz w:val="34"/>
    </w:rPr>
  </w:style>
  <w:style w:type="character" w:styleId="770" w:customStyle="1">
    <w:name w:val="标题 3 字符"/>
    <w:link w:val="695"/>
    <w:uiPriority w:val="9"/>
    <w:qFormat/>
    <w:rPr>
      <w:rFonts w:ascii="Arial" w:hAnsi="Arial" w:eastAsia="Arial" w:cs="Arial"/>
      <w:sz w:val="30"/>
      <w:szCs w:val="30"/>
    </w:rPr>
  </w:style>
  <w:style w:type="character" w:styleId="771" w:customStyle="1">
    <w:name w:val="标题 4 字符"/>
    <w:link w:val="696"/>
    <w:uiPriority w:val="9"/>
    <w:qFormat/>
    <w:rPr>
      <w:rFonts w:ascii="Arial" w:hAnsi="Arial" w:eastAsia="Arial" w:cs="Arial"/>
      <w:b/>
      <w:bCs/>
      <w:sz w:val="26"/>
      <w:szCs w:val="26"/>
    </w:rPr>
  </w:style>
  <w:style w:type="character" w:styleId="772" w:customStyle="1">
    <w:name w:val="标题 5 字符"/>
    <w:link w:val="697"/>
    <w:uiPriority w:val="9"/>
    <w:qFormat/>
    <w:rPr>
      <w:rFonts w:ascii="Arial" w:hAnsi="Arial" w:eastAsia="Arial" w:cs="Arial"/>
      <w:b/>
      <w:bCs/>
      <w:sz w:val="24"/>
      <w:szCs w:val="24"/>
    </w:rPr>
  </w:style>
  <w:style w:type="character" w:styleId="773" w:customStyle="1">
    <w:name w:val="标题 6 字符"/>
    <w:link w:val="698"/>
    <w:uiPriority w:val="9"/>
    <w:qFormat/>
    <w:rPr>
      <w:rFonts w:ascii="Arial" w:hAnsi="Arial" w:eastAsia="Arial" w:cs="Arial"/>
      <w:b/>
      <w:bCs/>
      <w:sz w:val="22"/>
      <w:szCs w:val="22"/>
    </w:rPr>
  </w:style>
  <w:style w:type="character" w:styleId="774" w:customStyle="1">
    <w:name w:val="标题 7 字符"/>
    <w:link w:val="699"/>
    <w:uiPriority w:val="9"/>
    <w:qFormat/>
    <w:rPr>
      <w:rFonts w:ascii="Arial" w:hAnsi="Arial" w:eastAsia="Arial" w:cs="Arial"/>
      <w:b/>
      <w:bCs/>
      <w:i/>
      <w:iCs/>
      <w:sz w:val="22"/>
      <w:szCs w:val="22"/>
    </w:rPr>
  </w:style>
  <w:style w:type="character" w:styleId="775" w:customStyle="1">
    <w:name w:val="标题 8 字符"/>
    <w:link w:val="700"/>
    <w:uiPriority w:val="9"/>
    <w:qFormat/>
    <w:rPr>
      <w:rFonts w:ascii="Arial" w:hAnsi="Arial" w:eastAsia="Arial" w:cs="Arial"/>
      <w:i/>
      <w:iCs/>
      <w:sz w:val="22"/>
      <w:szCs w:val="22"/>
    </w:rPr>
  </w:style>
  <w:style w:type="character" w:styleId="776" w:customStyle="1">
    <w:name w:val="标题 9 字符"/>
    <w:link w:val="701"/>
    <w:uiPriority w:val="9"/>
    <w:qFormat/>
    <w:rPr>
      <w:rFonts w:ascii="Arial" w:hAnsi="Arial" w:eastAsia="Arial" w:cs="Arial"/>
      <w:i/>
      <w:iCs/>
      <w:sz w:val="21"/>
      <w:szCs w:val="21"/>
    </w:rPr>
  </w:style>
  <w:style w:type="paragraph" w:styleId="777">
    <w:name w:val="List Paragraph"/>
    <w:basedOn w:val="692"/>
    <w:uiPriority w:val="34"/>
    <w:qFormat/>
    <w:pPr>
      <w:contextualSpacing/>
      <w:ind w:left="720"/>
    </w:pPr>
  </w:style>
  <w:style w:type="paragraph" w:styleId="778">
    <w:name w:val="No Spacing"/>
    <w:uiPriority w:val="1"/>
    <w:qFormat/>
    <w:pPr>
      <w:spacing w:before="0" w:beforeAutospacing="0" w:after="0" w:afterAutospacing="0" w:line="240" w:lineRule="auto"/>
    </w:pPr>
    <w:rPr>
      <w:rFonts w:hint="default" w:ascii="Calibri" w:hAnsi="Calibri" w:eastAsia="宋体" w:cs="Times New Roman"/>
    </w:rPr>
  </w:style>
  <w:style w:type="character" w:styleId="779" w:customStyle="1">
    <w:name w:val="标题 字符"/>
    <w:link w:val="723"/>
    <w:uiPriority w:val="10"/>
    <w:qFormat/>
    <w:rPr>
      <w:sz w:val="48"/>
      <w:szCs w:val="48"/>
    </w:rPr>
  </w:style>
  <w:style w:type="character" w:styleId="780" w:customStyle="1">
    <w:name w:val="副标题 字符"/>
    <w:link w:val="716"/>
    <w:uiPriority w:val="11"/>
    <w:qFormat/>
    <w:rPr>
      <w:sz w:val="24"/>
      <w:szCs w:val="24"/>
    </w:rPr>
  </w:style>
  <w:style w:type="paragraph" w:styleId="781">
    <w:name w:val="Quote"/>
    <w:basedOn w:val="692"/>
    <w:next w:val="692"/>
    <w:link w:val="782"/>
    <w:uiPriority w:val="29"/>
    <w:qFormat/>
    <w:pPr>
      <w:ind w:left="720" w:right="720"/>
    </w:pPr>
    <w:rPr>
      <w:i/>
    </w:rPr>
  </w:style>
  <w:style w:type="character" w:styleId="782" w:customStyle="1">
    <w:name w:val="引用 字符"/>
    <w:link w:val="781"/>
    <w:uiPriority w:val="29"/>
    <w:qFormat/>
    <w:rPr>
      <w:i/>
    </w:rPr>
  </w:style>
  <w:style w:type="paragraph" w:styleId="783">
    <w:name w:val="Intense Quote"/>
    <w:basedOn w:val="692"/>
    <w:next w:val="692"/>
    <w:link w:val="7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customStyle="1">
    <w:name w:val="明显引用 字符"/>
    <w:link w:val="783"/>
    <w:uiPriority w:val="30"/>
    <w:qFormat/>
    <w:rPr>
      <w:i/>
    </w:rPr>
  </w:style>
  <w:style w:type="character" w:styleId="785" w:customStyle="1">
    <w:name w:val="页眉 字符"/>
    <w:link w:val="713"/>
    <w:uiPriority w:val="99"/>
    <w:qFormat/>
  </w:style>
  <w:style w:type="character" w:styleId="786" w:customStyle="1">
    <w:name w:val="Footer Char"/>
    <w:uiPriority w:val="99"/>
    <w:qFormat/>
  </w:style>
  <w:style w:type="character" w:styleId="787" w:customStyle="1">
    <w:name w:val="页脚 字符"/>
    <w:link w:val="712"/>
    <w:uiPriority w:val="99"/>
    <w:qFormat/>
  </w:style>
  <w:style w:type="table" w:styleId="78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9" w:customStyle="1">
    <w:name w:val="无格式表格 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2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无格式表格 31"/>
    <w:uiPriority w:val="99"/>
    <w:qFormat/>
    <w:pPr>
      <w:spacing w:after="0" w:line="240" w:lineRule="auto"/>
    </w:p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无格式表格 41"/>
    <w:uiPriority w:val="99"/>
    <w:qFormat/>
    <w:pPr>
      <w:spacing w:after="0" w:line="240" w:lineRule="auto"/>
    </w:p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无格式表格 51"/>
    <w:uiPriority w:val="99"/>
    <w:qFormat/>
    <w:pPr>
      <w:spacing w:after="0" w:line="240" w:lineRule="auto"/>
    </w:p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网格表 1 浅色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1" w:customStyle="1">
    <w:name w:val="网格表 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网格表 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网格表 4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2" w:customStyle="1">
    <w:name w:val="网格表 5 深色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9" w:customStyle="1">
    <w:name w:val="网格表 6 彩色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6" w:customStyle="1">
    <w:name w:val="网格表 7 彩色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3" w:customStyle="1">
    <w:name w:val="清单表 1 浅色1"/>
    <w:uiPriority w:val="99"/>
    <w:qFormat/>
    <w:pPr>
      <w:spacing w:after="0" w:line="240" w:lineRule="auto"/>
    </w:pPr>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List Table 1 Light - Accent 1"/>
    <w:uiPriority w:val="99"/>
    <w:qFormat/>
    <w:pPr>
      <w:spacing w:after="0" w:line="240" w:lineRule="auto"/>
    </w:pPr>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1 Light - Accent 2"/>
    <w:uiPriority w:val="99"/>
    <w:qFormat/>
    <w:pPr>
      <w:spacing w:after="0" w:line="240" w:lineRule="auto"/>
    </w:pPr>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6" w:customStyle="1">
    <w:name w:val="List Table 1 Light - Accent 3"/>
    <w:uiPriority w:val="99"/>
    <w:qFormat/>
    <w:pPr>
      <w:spacing w:after="0" w:line="240" w:lineRule="auto"/>
    </w:pPr>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7" w:customStyle="1">
    <w:name w:val="List Table 1 Light - Accent 4"/>
    <w:uiPriority w:val="99"/>
    <w:qFormat/>
    <w:pPr>
      <w:spacing w:after="0" w:line="240" w:lineRule="auto"/>
    </w:pPr>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8" w:customStyle="1">
    <w:name w:val="List Table 1 Light - Accent 5"/>
    <w:uiPriority w:val="99"/>
    <w:qFormat/>
    <w:pPr>
      <w:spacing w:after="0" w:line="240" w:lineRule="auto"/>
    </w:pPr>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List Table 1 Light - Accent 6"/>
    <w:uiPriority w:val="99"/>
    <w:qFormat/>
    <w:pPr>
      <w:spacing w:after="0" w:line="240" w:lineRule="auto"/>
    </w:pPr>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清单表 2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7" w:customStyle="1">
    <w:name w:val="清单表 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4" w:customStyle="1">
    <w:name w:val="清单表 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7"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8"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9"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0"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1" w:customStyle="1">
    <w:name w:val="清单表 5 深色1"/>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清单表 6 彩色1"/>
    <w:uiPriority w:val="99"/>
    <w:pPr>
      <w:spacing w:after="0" w:line="240" w:lineRule="auto"/>
    </w:pPr>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9"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0"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1"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2"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3"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4"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5" w:customStyle="1">
    <w:name w:val="清单表 7 彩色1"/>
    <w:uiPriority w:val="99"/>
    <w:pPr>
      <w:spacing w:after="0" w:line="240" w:lineRule="auto"/>
    </w:pPr>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List Table 7 Colorful - Accent 1"/>
    <w:uiPriority w:val="99"/>
    <w:pPr>
      <w:spacing w:after="0" w:line="240" w:lineRule="auto"/>
    </w:pPr>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7 Colorful - Accent 2"/>
    <w:uiPriority w:val="99"/>
    <w:pPr>
      <w:spacing w:after="0" w:line="240" w:lineRule="auto"/>
    </w:pPr>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List Table 7 Colorful - Accent 3"/>
    <w:uiPriority w:val="99"/>
    <w:pPr>
      <w:spacing w:after="0" w:line="240" w:lineRule="auto"/>
    </w:pPr>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9" w:customStyle="1">
    <w:name w:val="List Table 7 Colorful - Accent 4"/>
    <w:uiPriority w:val="99"/>
    <w:pPr>
      <w:spacing w:after="0" w:line="240" w:lineRule="auto"/>
    </w:pPr>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List Table 7 Colorful - Accent 5"/>
    <w:uiPriority w:val="99"/>
    <w:pPr>
      <w:spacing w:after="0" w:line="240" w:lineRule="auto"/>
    </w:pPr>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1" w:customStyle="1">
    <w:name w:val="List Table 7 Colorful - Accent 6"/>
    <w:uiPriority w:val="99"/>
    <w:pPr>
      <w:spacing w:after="0" w:line="240" w:lineRule="auto"/>
    </w:pPr>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2" w:customStyle="1">
    <w:name w:val="Lined - Accent"/>
    <w:uiPriority w:val="99"/>
    <w:pPr>
      <w:spacing w:after="0" w:line="240" w:lineRule="auto"/>
    </w:pPr>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Lined - Accent 1"/>
    <w:uiPriority w:val="99"/>
    <w:pPr>
      <w:spacing w:after="0" w:line="240" w:lineRule="auto"/>
    </w:pPr>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Lined - Accent 2"/>
    <w:uiPriority w:val="99"/>
    <w:pPr>
      <w:spacing w:after="0" w:line="240" w:lineRule="auto"/>
    </w:pPr>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Lined - Accent 3"/>
    <w:uiPriority w:val="99"/>
    <w:pPr>
      <w:spacing w:after="0" w:line="240" w:lineRule="auto"/>
    </w:pPr>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Lined - Accent 4"/>
    <w:uiPriority w:val="99"/>
    <w:pPr>
      <w:spacing w:after="0" w:line="240" w:lineRule="auto"/>
    </w:pPr>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Lined - Accent 5"/>
    <w:uiPriority w:val="99"/>
    <w:pPr>
      <w:spacing w:after="0" w:line="240" w:lineRule="auto"/>
    </w:pPr>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Lined - Accent 6"/>
    <w:uiPriority w:val="99"/>
    <w:pPr>
      <w:spacing w:after="0" w:line="240" w:lineRule="auto"/>
    </w:pPr>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7"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8"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9"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0"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1"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2"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3" w:customStyle="1">
    <w:name w:val="脚注文本 字符"/>
    <w:link w:val="717"/>
    <w:uiPriority w:val="99"/>
    <w:rPr>
      <w:sz w:val="18"/>
    </w:rPr>
  </w:style>
  <w:style w:type="character" w:styleId="914" w:customStyle="1">
    <w:name w:val="尾注文本 字符"/>
    <w:link w:val="711"/>
    <w:uiPriority w:val="99"/>
    <w:rPr>
      <w:sz w:val="20"/>
    </w:rPr>
  </w:style>
  <w:style w:type="paragraph" w:styleId="915" w:customStyle="1">
    <w:name w:val="TOC 标题1"/>
    <w:uiPriority w:val="39"/>
    <w:unhideWhenUsed/>
    <w:pPr>
      <w:spacing w:before="0" w:beforeAutospacing="0" w:after="160" w:afterAutospacing="0" w:line="278" w:lineRule="auto"/>
    </w:pPr>
    <w:rPr>
      <w:rFonts w:hint="default" w:ascii="Calibri" w:hAnsi="Calibri" w:eastAsia="宋体" w:cs="Times New Roman"/>
    </w:rPr>
  </w:style>
  <w:style w:type="paragraph" w:styleId="916" w:customStyle="1">
    <w:name w:val="标题 11"/>
    <w:basedOn w:val="692"/>
    <w:next w:val="692"/>
    <w:link w:val="928"/>
    <w:uiPriority w:val="0"/>
    <w:qFormat/>
    <w:pPr>
      <w:jc w:val="center"/>
      <w:keepNext/>
      <w:outlineLvl w:val="0"/>
    </w:pPr>
    <w:rPr>
      <w:rFonts w:ascii="楷体_GB2312" w:eastAsia="楷体_GB2312"/>
      <w:sz w:val="28"/>
      <w:szCs w:val="28"/>
    </w:rPr>
  </w:style>
  <w:style w:type="paragraph" w:styleId="917" w:customStyle="1">
    <w:name w:val="标题 21"/>
    <w:basedOn w:val="692"/>
    <w:next w:val="918"/>
    <w:link w:val="92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8" w:customStyle="1">
    <w:name w:val="正文缩进1"/>
    <w:basedOn w:val="692"/>
    <w:link w:val="937"/>
    <w:uiPriority w:val="99"/>
    <w:pPr>
      <w:ind w:firstLine="420"/>
    </w:pPr>
  </w:style>
  <w:style w:type="paragraph" w:styleId="919" w:customStyle="1">
    <w:name w:val="标题 31"/>
    <w:basedOn w:val="692"/>
    <w:next w:val="918"/>
    <w:link w:val="930"/>
    <w:uiPriority w:val="0"/>
    <w:qFormat/>
    <w:pPr>
      <w:keepLines/>
      <w:keepNext/>
      <w:spacing w:before="260" w:after="260" w:line="416" w:lineRule="auto"/>
      <w:outlineLvl w:val="2"/>
    </w:pPr>
    <w:rPr>
      <w:b/>
      <w:bCs/>
      <w:sz w:val="32"/>
      <w:szCs w:val="32"/>
    </w:rPr>
  </w:style>
  <w:style w:type="paragraph" w:styleId="920" w:customStyle="1">
    <w:name w:val="标题 41"/>
    <w:basedOn w:val="692"/>
    <w:next w:val="918"/>
    <w:link w:val="931"/>
    <w:uiPriority w:val="0"/>
    <w:qFormat/>
    <w:pPr>
      <w:keepLines/>
      <w:keepNext/>
      <w:spacing w:before="280" w:after="290" w:line="376" w:lineRule="auto"/>
      <w:outlineLvl w:val="3"/>
    </w:pPr>
    <w:rPr>
      <w:rFonts w:ascii="Arial" w:hAnsi="Arial" w:eastAsia="黑体" w:cs="Arial"/>
      <w:b/>
      <w:bCs/>
      <w:sz w:val="28"/>
      <w:szCs w:val="28"/>
    </w:rPr>
  </w:style>
  <w:style w:type="paragraph" w:styleId="921" w:customStyle="1">
    <w:name w:val="标题 51"/>
    <w:basedOn w:val="692"/>
    <w:next w:val="918"/>
    <w:link w:val="932"/>
    <w:uiPriority w:val="0"/>
    <w:qFormat/>
    <w:pPr>
      <w:keepNext/>
      <w:outlineLvl w:val="4"/>
    </w:pPr>
    <w:rPr>
      <w:rFonts w:ascii="宋体"/>
      <w:color w:val="000000"/>
      <w:sz w:val="28"/>
      <w:szCs w:val="28"/>
    </w:rPr>
  </w:style>
  <w:style w:type="paragraph" w:styleId="922" w:customStyle="1">
    <w:name w:val="标题 61"/>
    <w:basedOn w:val="692"/>
    <w:next w:val="692"/>
    <w:link w:val="93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23" w:customStyle="1">
    <w:name w:val="标题 71"/>
    <w:basedOn w:val="692"/>
    <w:next w:val="692"/>
    <w:link w:val="934"/>
    <w:uiPriority w:val="0"/>
    <w:qFormat/>
    <w:pPr>
      <w:numPr>
        <w:ilvl w:val="6"/>
        <w:numId w:val="1"/>
      </w:numPr>
      <w:keepLines/>
      <w:keepNext/>
      <w:spacing w:before="240" w:after="64" w:line="320" w:lineRule="auto"/>
      <w:outlineLvl w:val="6"/>
    </w:pPr>
    <w:rPr>
      <w:b/>
      <w:bCs/>
      <w:sz w:val="24"/>
      <w:szCs w:val="24"/>
    </w:rPr>
  </w:style>
  <w:style w:type="paragraph" w:styleId="924" w:customStyle="1">
    <w:name w:val="标题 81"/>
    <w:basedOn w:val="692"/>
    <w:next w:val="692"/>
    <w:link w:val="93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25" w:customStyle="1">
    <w:name w:val="标题 91"/>
    <w:basedOn w:val="692"/>
    <w:next w:val="692"/>
    <w:link w:val="936"/>
    <w:uiPriority w:val="0"/>
    <w:qFormat/>
    <w:pPr>
      <w:numPr>
        <w:ilvl w:val="8"/>
        <w:numId w:val="1"/>
      </w:numPr>
      <w:keepLines/>
      <w:keepNext/>
      <w:spacing w:before="240" w:after="64" w:line="320" w:lineRule="auto"/>
      <w:outlineLvl w:val="8"/>
    </w:pPr>
    <w:rPr>
      <w:rFonts w:ascii="Arial" w:hAnsi="Arial" w:eastAsia="黑体"/>
    </w:rPr>
  </w:style>
  <w:style w:type="character" w:styleId="926" w:customStyle="1">
    <w:name w:val="默认段落字体1"/>
    <w:uiPriority w:val="1"/>
    <w:semiHidden/>
    <w:unhideWhenUsed/>
  </w:style>
  <w:style w:type="table" w:styleId="927" w:customStyle="1">
    <w:name w:val="普通表格1"/>
    <w:uiPriority w:val="99"/>
    <w:semiHidden/>
    <w:unhideWhenUsed/>
    <w:tblPr>
      <w:tblCellMar>
        <w:left w:w="0" w:type="dxa"/>
        <w:top w:w="0" w:type="dxa"/>
        <w:right w:w="0" w:type="dxa"/>
        <w:bottom w:w="0" w:type="dxa"/>
      </w:tblCellMar>
    </w:tblPr>
  </w:style>
  <w:style w:type="character" w:styleId="928" w:customStyle="1">
    <w:name w:val="标题 1 Char"/>
    <w:link w:val="916"/>
    <w:uiPriority w:val="0"/>
    <w:rPr>
      <w:rFonts w:ascii="楷体_GB2312" w:hAnsi="Times New Roman" w:eastAsia="楷体_GB2312" w:cs="Times New Roman"/>
      <w:sz w:val="28"/>
      <w:szCs w:val="28"/>
    </w:rPr>
  </w:style>
  <w:style w:type="character" w:styleId="929" w:customStyle="1">
    <w:name w:val="标题 2 Char"/>
    <w:link w:val="917"/>
    <w:uiPriority w:val="0"/>
    <w:rPr>
      <w:rFonts w:ascii="Arial" w:hAnsi="Arial" w:eastAsia="幼圆" w:cs="Arial"/>
      <w:b/>
      <w:bCs/>
      <w:sz w:val="44"/>
      <w:szCs w:val="44"/>
    </w:rPr>
  </w:style>
  <w:style w:type="character" w:styleId="930" w:customStyle="1">
    <w:name w:val="标题 3 Char"/>
    <w:link w:val="919"/>
    <w:uiPriority w:val="0"/>
    <w:rPr>
      <w:rFonts w:ascii="Times New Roman" w:hAnsi="Times New Roman" w:eastAsia="宋体" w:cs="Times New Roman"/>
      <w:b/>
      <w:bCs/>
      <w:sz w:val="32"/>
      <w:szCs w:val="32"/>
    </w:rPr>
  </w:style>
  <w:style w:type="character" w:styleId="931" w:customStyle="1">
    <w:name w:val="标题 4 Char"/>
    <w:link w:val="920"/>
    <w:uiPriority w:val="0"/>
    <w:rPr>
      <w:rFonts w:ascii="Arial" w:hAnsi="Arial" w:eastAsia="黑体" w:cs="Arial"/>
      <w:b/>
      <w:bCs/>
      <w:sz w:val="28"/>
      <w:szCs w:val="28"/>
    </w:rPr>
  </w:style>
  <w:style w:type="character" w:styleId="932" w:customStyle="1">
    <w:name w:val="标题 5 Char"/>
    <w:link w:val="921"/>
    <w:uiPriority w:val="0"/>
    <w:rPr>
      <w:rFonts w:ascii="宋体" w:hAnsi="Times New Roman" w:eastAsia="宋体" w:cs="Times New Roman"/>
      <w:color w:val="000000"/>
      <w:sz w:val="28"/>
      <w:szCs w:val="28"/>
    </w:rPr>
  </w:style>
  <w:style w:type="character" w:styleId="933" w:customStyle="1">
    <w:name w:val="标题 6 Char"/>
    <w:link w:val="922"/>
    <w:uiPriority w:val="0"/>
    <w:rPr>
      <w:rFonts w:ascii="Arial" w:hAnsi="Arial" w:eastAsia="黑体" w:cs="Times New Roman"/>
      <w:b/>
      <w:bCs/>
      <w:sz w:val="24"/>
      <w:szCs w:val="24"/>
    </w:rPr>
  </w:style>
  <w:style w:type="character" w:styleId="934" w:customStyle="1">
    <w:name w:val="标题 7 Char"/>
    <w:link w:val="923"/>
    <w:uiPriority w:val="0"/>
    <w:rPr>
      <w:rFonts w:ascii="Times New Roman" w:hAnsi="Times New Roman" w:eastAsia="宋体" w:cs="Times New Roman"/>
      <w:b/>
      <w:bCs/>
      <w:sz w:val="24"/>
      <w:szCs w:val="24"/>
    </w:rPr>
  </w:style>
  <w:style w:type="character" w:styleId="935" w:customStyle="1">
    <w:name w:val="标题 8 Char"/>
    <w:link w:val="924"/>
    <w:uiPriority w:val="0"/>
    <w:rPr>
      <w:rFonts w:ascii="Arial" w:hAnsi="Arial" w:eastAsia="黑体" w:cs="Times New Roman"/>
      <w:sz w:val="24"/>
      <w:szCs w:val="24"/>
    </w:rPr>
  </w:style>
  <w:style w:type="character" w:styleId="936" w:customStyle="1">
    <w:name w:val="标题 9 Char"/>
    <w:link w:val="925"/>
    <w:uiPriority w:val="0"/>
    <w:rPr>
      <w:rFonts w:ascii="Arial" w:hAnsi="Arial" w:eastAsia="黑体" w:cs="Times New Roman"/>
      <w:szCs w:val="21"/>
    </w:rPr>
  </w:style>
  <w:style w:type="character" w:styleId="937" w:customStyle="1">
    <w:name w:val="正文缩进 Char"/>
    <w:link w:val="918"/>
    <w:uiPriority w:val="0"/>
    <w:qFormat/>
    <w:rPr>
      <w:rFonts w:ascii="Times New Roman" w:hAnsi="Times New Roman" w:eastAsia="宋体" w:cs="Times New Roman"/>
      <w:szCs w:val="21"/>
    </w:rPr>
  </w:style>
  <w:style w:type="paragraph" w:styleId="938" w:customStyle="1">
    <w:name w:val="列表 31"/>
    <w:basedOn w:val="692"/>
    <w:uiPriority w:val="0"/>
    <w:pPr>
      <w:ind w:left="100" w:hanging="200"/>
    </w:pPr>
  </w:style>
  <w:style w:type="paragraph" w:styleId="939" w:customStyle="1">
    <w:name w:val="目录 71"/>
    <w:basedOn w:val="692"/>
    <w:next w:val="692"/>
    <w:uiPriority w:val="0"/>
    <w:semiHidden/>
    <w:pPr>
      <w:ind w:left="1260"/>
      <w:jc w:val="left"/>
    </w:pPr>
  </w:style>
  <w:style w:type="paragraph" w:styleId="940" w:customStyle="1">
    <w:name w:val="文档结构图1"/>
    <w:basedOn w:val="692"/>
    <w:link w:val="941"/>
    <w:uiPriority w:val="0"/>
    <w:semiHidden/>
    <w:pPr>
      <w:shd w:val="clear" w:color="auto" w:fill="000080"/>
    </w:pPr>
  </w:style>
  <w:style w:type="character" w:styleId="941" w:customStyle="1">
    <w:name w:val="文档结构图 Char"/>
    <w:link w:val="940"/>
    <w:uiPriority w:val="0"/>
    <w:semiHidden/>
    <w:rPr>
      <w:rFonts w:ascii="Times New Roman" w:hAnsi="Times New Roman" w:eastAsia="宋体" w:cs="Times New Roman"/>
      <w:szCs w:val="21"/>
      <w:shd w:val="clear" w:color="auto" w:fill="000080"/>
    </w:rPr>
  </w:style>
  <w:style w:type="paragraph" w:styleId="942" w:customStyle="1">
    <w:name w:val="批注文字1"/>
    <w:basedOn w:val="692"/>
    <w:link w:val="943"/>
    <w:uiPriority w:val="0"/>
    <w:semiHidden/>
    <w:pPr>
      <w:jc w:val="left"/>
    </w:pPr>
  </w:style>
  <w:style w:type="character" w:styleId="943" w:customStyle="1">
    <w:name w:val="批注文字 Char"/>
    <w:link w:val="942"/>
    <w:uiPriority w:val="0"/>
    <w:semiHidden/>
    <w:rPr>
      <w:rFonts w:ascii="Times New Roman" w:hAnsi="Times New Roman" w:eastAsia="宋体" w:cs="Times New Roman"/>
      <w:szCs w:val="21"/>
    </w:rPr>
  </w:style>
  <w:style w:type="paragraph" w:styleId="944" w:customStyle="1">
    <w:name w:val="正文文本 31"/>
    <w:basedOn w:val="692"/>
    <w:link w:val="945"/>
    <w:uiPriority w:val="0"/>
    <w:rPr>
      <w:rFonts w:ascii="仿宋_GB2312" w:hAnsi="Arial" w:eastAsia="仿宋_GB2312"/>
      <w:sz w:val="32"/>
      <w:szCs w:val="32"/>
    </w:rPr>
  </w:style>
  <w:style w:type="character" w:styleId="945" w:customStyle="1">
    <w:name w:val="正文文本 3 Char"/>
    <w:link w:val="944"/>
    <w:uiPriority w:val="0"/>
    <w:rPr>
      <w:rFonts w:ascii="仿宋_GB2312" w:hAnsi="Arial" w:eastAsia="仿宋_GB2312" w:cs="Times New Roman"/>
      <w:sz w:val="32"/>
      <w:szCs w:val="32"/>
    </w:rPr>
  </w:style>
  <w:style w:type="paragraph" w:styleId="946" w:customStyle="1">
    <w:name w:val="正文文本1"/>
    <w:basedOn w:val="692"/>
    <w:link w:val="947"/>
    <w:uiPriority w:val="0"/>
    <w:rPr>
      <w:rFonts w:ascii="楷体_GB2312" w:hAnsi="Arial" w:eastAsia="楷体_GB2312"/>
      <w:sz w:val="28"/>
      <w:szCs w:val="28"/>
    </w:rPr>
  </w:style>
  <w:style w:type="character" w:styleId="947" w:customStyle="1">
    <w:name w:val="正文文本 Char"/>
    <w:link w:val="946"/>
    <w:uiPriority w:val="0"/>
    <w:rPr>
      <w:rFonts w:ascii="楷体_GB2312" w:hAnsi="Arial" w:eastAsia="楷体_GB2312" w:cs="Times New Roman"/>
      <w:sz w:val="28"/>
      <w:szCs w:val="28"/>
    </w:rPr>
  </w:style>
  <w:style w:type="paragraph" w:styleId="948" w:customStyle="1">
    <w:name w:val="正文文本缩进1"/>
    <w:basedOn w:val="692"/>
    <w:link w:val="949"/>
    <w:uiPriority w:val="0"/>
    <w:pPr>
      <w:ind w:firstLine="645"/>
    </w:pPr>
    <w:rPr>
      <w:rFonts w:ascii="楷体_GB2312" w:eastAsia="楷体_GB2312"/>
      <w:sz w:val="32"/>
      <w:szCs w:val="32"/>
    </w:rPr>
  </w:style>
  <w:style w:type="character" w:styleId="949" w:customStyle="1">
    <w:name w:val="正文文本缩进 Char"/>
    <w:link w:val="948"/>
    <w:uiPriority w:val="0"/>
    <w:rPr>
      <w:rFonts w:ascii="楷体_GB2312" w:hAnsi="Times New Roman" w:eastAsia="楷体_GB2312" w:cs="Times New Roman"/>
      <w:sz w:val="32"/>
      <w:szCs w:val="32"/>
    </w:rPr>
  </w:style>
  <w:style w:type="paragraph" w:styleId="950" w:customStyle="1">
    <w:name w:val="列表 21"/>
    <w:basedOn w:val="692"/>
    <w:uiPriority w:val="0"/>
    <w:pPr>
      <w:ind w:left="100" w:hanging="200"/>
    </w:pPr>
  </w:style>
  <w:style w:type="paragraph" w:styleId="951" w:customStyle="1">
    <w:name w:val="目录 51"/>
    <w:basedOn w:val="692"/>
    <w:next w:val="692"/>
    <w:uiPriority w:val="0"/>
    <w:semiHidden/>
    <w:pPr>
      <w:ind w:left="840"/>
      <w:jc w:val="left"/>
    </w:pPr>
  </w:style>
  <w:style w:type="paragraph" w:styleId="952" w:customStyle="1">
    <w:name w:val="目录 31"/>
    <w:basedOn w:val="692"/>
    <w:next w:val="692"/>
    <w:uiPriority w:val="0"/>
    <w:semiHidden/>
    <w:pPr>
      <w:ind w:left="420"/>
      <w:jc w:val="left"/>
    </w:pPr>
    <w:rPr>
      <w:i/>
      <w:iCs/>
      <w:szCs w:val="24"/>
    </w:rPr>
  </w:style>
  <w:style w:type="paragraph" w:styleId="953" w:customStyle="1">
    <w:name w:val="纯文本1"/>
    <w:basedOn w:val="692"/>
    <w:link w:val="954"/>
    <w:uiPriority w:val="0"/>
    <w:rPr>
      <w:rFonts w:ascii="宋体" w:hAnsi="Courier New" w:cs="Courier New"/>
    </w:rPr>
  </w:style>
  <w:style w:type="character" w:styleId="954" w:customStyle="1">
    <w:name w:val="纯文本 Char"/>
    <w:link w:val="953"/>
    <w:uiPriority w:val="0"/>
    <w:rPr>
      <w:rFonts w:ascii="宋体" w:hAnsi="Courier New" w:eastAsia="宋体" w:cs="Courier New"/>
      <w:szCs w:val="21"/>
    </w:rPr>
  </w:style>
  <w:style w:type="paragraph" w:styleId="955" w:customStyle="1">
    <w:name w:val="目录 81"/>
    <w:basedOn w:val="692"/>
    <w:next w:val="692"/>
    <w:uiPriority w:val="0"/>
    <w:semiHidden/>
    <w:pPr>
      <w:ind w:left="1470"/>
      <w:jc w:val="left"/>
    </w:pPr>
  </w:style>
  <w:style w:type="paragraph" w:styleId="956" w:customStyle="1">
    <w:name w:val="日期1"/>
    <w:basedOn w:val="692"/>
    <w:next w:val="692"/>
    <w:link w:val="957"/>
    <w:uiPriority w:val="0"/>
    <w:rPr>
      <w:sz w:val="24"/>
      <w:szCs w:val="24"/>
    </w:rPr>
  </w:style>
  <w:style w:type="character" w:styleId="957" w:customStyle="1">
    <w:name w:val="日期 Char"/>
    <w:link w:val="956"/>
    <w:uiPriority w:val="0"/>
    <w:rPr>
      <w:rFonts w:ascii="Times New Roman" w:hAnsi="Times New Roman" w:eastAsia="宋体" w:cs="Times New Roman"/>
      <w:sz w:val="24"/>
      <w:szCs w:val="24"/>
    </w:rPr>
  </w:style>
  <w:style w:type="paragraph" w:styleId="958" w:customStyle="1">
    <w:name w:val="正文文本缩进 21"/>
    <w:basedOn w:val="692"/>
    <w:link w:val="959"/>
    <w:uiPriority w:val="0"/>
    <w:pPr>
      <w:ind w:left="630" w:firstLine="645"/>
    </w:pPr>
    <w:rPr>
      <w:rFonts w:ascii="Arial" w:hAnsi="Arial" w:eastAsia="仿宋_GB2312" w:cs="Arial"/>
      <w:sz w:val="32"/>
      <w:szCs w:val="32"/>
    </w:rPr>
  </w:style>
  <w:style w:type="character" w:styleId="959" w:customStyle="1">
    <w:name w:val="正文文本缩进 2 Char"/>
    <w:link w:val="958"/>
    <w:uiPriority w:val="0"/>
    <w:rPr>
      <w:rFonts w:ascii="Arial" w:hAnsi="Arial" w:eastAsia="仿宋_GB2312" w:cs="Arial"/>
      <w:sz w:val="32"/>
      <w:szCs w:val="32"/>
    </w:rPr>
  </w:style>
  <w:style w:type="paragraph" w:styleId="960" w:customStyle="1">
    <w:name w:val="批注框文本1"/>
    <w:basedOn w:val="692"/>
    <w:link w:val="961"/>
    <w:uiPriority w:val="0"/>
    <w:semiHidden/>
    <w:rPr>
      <w:sz w:val="18"/>
      <w:szCs w:val="18"/>
    </w:rPr>
  </w:style>
  <w:style w:type="character" w:styleId="961" w:customStyle="1">
    <w:name w:val="批注框文本 Char"/>
    <w:link w:val="960"/>
    <w:uiPriority w:val="0"/>
    <w:semiHidden/>
    <w:rPr>
      <w:rFonts w:ascii="Times New Roman" w:hAnsi="Times New Roman" w:eastAsia="宋体" w:cs="Times New Roman"/>
      <w:sz w:val="18"/>
      <w:szCs w:val="18"/>
    </w:rPr>
  </w:style>
  <w:style w:type="paragraph" w:styleId="962" w:customStyle="1">
    <w:name w:val="页脚1"/>
    <w:basedOn w:val="692"/>
    <w:link w:val="963"/>
    <w:uiPriority w:val="0"/>
    <w:pPr>
      <w:jc w:val="left"/>
      <w:tabs>
        <w:tab w:val="center" w:pos="4153" w:leader="none"/>
        <w:tab w:val="right" w:pos="8306" w:leader="none"/>
      </w:tabs>
    </w:pPr>
    <w:rPr>
      <w:sz w:val="18"/>
      <w:szCs w:val="18"/>
    </w:rPr>
  </w:style>
  <w:style w:type="character" w:styleId="963" w:customStyle="1">
    <w:name w:val="页脚 Char"/>
    <w:link w:val="962"/>
    <w:uiPriority w:val="0"/>
    <w:rPr>
      <w:rFonts w:ascii="Times New Roman" w:hAnsi="Times New Roman" w:eastAsia="宋体" w:cs="Times New Roman"/>
      <w:sz w:val="18"/>
      <w:szCs w:val="18"/>
    </w:rPr>
  </w:style>
  <w:style w:type="paragraph" w:styleId="964" w:customStyle="1">
    <w:name w:val="页眉1"/>
    <w:basedOn w:val="692"/>
    <w:link w:val="965"/>
    <w:uiPriority w:val="0"/>
    <w:pPr>
      <w:jc w:val="center"/>
      <w:tabs>
        <w:tab w:val="center" w:pos="4153" w:leader="none"/>
        <w:tab w:val="right" w:pos="8306" w:leader="none"/>
      </w:tabs>
      <w:pBdr>
        <w:bottom w:val="single" w:color="000000" w:sz="6" w:space="1"/>
      </w:pBdr>
    </w:pPr>
    <w:rPr>
      <w:sz w:val="18"/>
      <w:szCs w:val="18"/>
    </w:rPr>
  </w:style>
  <w:style w:type="character" w:styleId="965" w:customStyle="1">
    <w:name w:val="页眉 Char"/>
    <w:link w:val="964"/>
    <w:uiPriority w:val="0"/>
    <w:rPr>
      <w:rFonts w:ascii="Times New Roman" w:hAnsi="Times New Roman" w:eastAsia="宋体" w:cs="Times New Roman"/>
      <w:sz w:val="18"/>
      <w:szCs w:val="18"/>
    </w:rPr>
  </w:style>
  <w:style w:type="paragraph" w:styleId="966" w:customStyle="1">
    <w:name w:val="目录 11"/>
    <w:basedOn w:val="692"/>
    <w:next w:val="692"/>
    <w:uiPriority w:val="0"/>
    <w:semiHidden/>
    <w:pPr>
      <w:jc w:val="left"/>
      <w:spacing w:before="120" w:after="120" w:line="400" w:lineRule="exact"/>
      <w:tabs>
        <w:tab w:val="right" w:pos="8720" w:leader="dot"/>
      </w:tabs>
    </w:pPr>
    <w:rPr>
      <w:rFonts w:ascii="宋体" w:hAnsi="宋体"/>
      <w:caps/>
      <w:sz w:val="24"/>
      <w:szCs w:val="24"/>
    </w:rPr>
  </w:style>
  <w:style w:type="paragraph" w:styleId="967" w:customStyle="1">
    <w:name w:val="目录 41"/>
    <w:basedOn w:val="692"/>
    <w:next w:val="692"/>
    <w:uiPriority w:val="0"/>
    <w:semiHidden/>
    <w:pPr>
      <w:ind w:left="630"/>
      <w:jc w:val="left"/>
    </w:pPr>
  </w:style>
  <w:style w:type="paragraph" w:styleId="968" w:customStyle="1">
    <w:name w:val="列表1"/>
    <w:basedOn w:val="692"/>
    <w:uiPriority w:val="0"/>
    <w:pPr>
      <w:ind w:left="200" w:hanging="200"/>
    </w:pPr>
  </w:style>
  <w:style w:type="paragraph" w:styleId="969" w:customStyle="1">
    <w:name w:val="目录 61"/>
    <w:basedOn w:val="692"/>
    <w:next w:val="692"/>
    <w:uiPriority w:val="0"/>
    <w:semiHidden/>
    <w:pPr>
      <w:ind w:left="1050"/>
      <w:jc w:val="left"/>
    </w:pPr>
  </w:style>
  <w:style w:type="paragraph" w:styleId="970" w:customStyle="1">
    <w:name w:val="正文文本缩进 31"/>
    <w:basedOn w:val="692"/>
    <w:link w:val="971"/>
    <w:uiPriority w:val="0"/>
    <w:pPr>
      <w:ind w:left="645" w:firstLine="645"/>
    </w:pPr>
    <w:rPr>
      <w:rFonts w:ascii="Arial" w:hAnsi="Arial" w:eastAsia="仿宋_GB2312" w:cs="Arial"/>
      <w:color w:val="ffff00"/>
      <w:sz w:val="32"/>
      <w:szCs w:val="32"/>
    </w:rPr>
  </w:style>
  <w:style w:type="character" w:styleId="971" w:customStyle="1">
    <w:name w:val="正文文本缩进 3 Char"/>
    <w:link w:val="970"/>
    <w:uiPriority w:val="0"/>
    <w:rPr>
      <w:rFonts w:ascii="Arial" w:hAnsi="Arial" w:eastAsia="仿宋_GB2312" w:cs="Arial"/>
      <w:color w:val="ffff00"/>
      <w:sz w:val="32"/>
      <w:szCs w:val="32"/>
    </w:rPr>
  </w:style>
  <w:style w:type="paragraph" w:styleId="972" w:customStyle="1">
    <w:name w:val="图表目录1"/>
    <w:basedOn w:val="692"/>
    <w:next w:val="692"/>
    <w:uiPriority w:val="0"/>
    <w:semiHidden/>
    <w:pPr>
      <w:ind w:left="840" w:hanging="420"/>
    </w:pPr>
  </w:style>
  <w:style w:type="paragraph" w:styleId="973" w:customStyle="1">
    <w:name w:val="目录 21"/>
    <w:basedOn w:val="692"/>
    <w:next w:val="692"/>
    <w:uiPriority w:val="0"/>
    <w:semiHidden/>
    <w:pPr>
      <w:ind w:left="210"/>
      <w:jc w:val="left"/>
    </w:pPr>
    <w:rPr>
      <w:smallCaps/>
      <w:szCs w:val="24"/>
    </w:rPr>
  </w:style>
  <w:style w:type="paragraph" w:styleId="974" w:customStyle="1">
    <w:name w:val="目录 91"/>
    <w:basedOn w:val="692"/>
    <w:next w:val="692"/>
    <w:uiPriority w:val="0"/>
    <w:semiHidden/>
    <w:qFormat/>
    <w:pPr>
      <w:ind w:left="1680"/>
      <w:jc w:val="left"/>
    </w:pPr>
  </w:style>
  <w:style w:type="paragraph" w:styleId="975" w:customStyle="1">
    <w:name w:val="正文文本 21"/>
    <w:basedOn w:val="692"/>
    <w:link w:val="976"/>
    <w:uiPriority w:val="0"/>
    <w:pPr>
      <w:jc w:val="center"/>
      <w:widowControl/>
    </w:pPr>
    <w:rPr>
      <w:rFonts w:ascii="楷体_GB2312" w:eastAsia="楷体_GB2312"/>
      <w:sz w:val="28"/>
      <w:szCs w:val="28"/>
    </w:rPr>
  </w:style>
  <w:style w:type="character" w:styleId="976" w:customStyle="1">
    <w:name w:val="正文文本 2 Char"/>
    <w:link w:val="975"/>
    <w:uiPriority w:val="0"/>
    <w:rPr>
      <w:rFonts w:ascii="楷体_GB2312" w:hAnsi="Times New Roman" w:eastAsia="楷体_GB2312" w:cs="Times New Roman"/>
      <w:sz w:val="28"/>
      <w:szCs w:val="28"/>
    </w:rPr>
  </w:style>
  <w:style w:type="paragraph" w:styleId="977" w:customStyle="1">
    <w:name w:val="普通(网站)1"/>
    <w:basedOn w:val="692"/>
    <w:uiPriority w:val="99"/>
    <w:pPr>
      <w:jc w:val="left"/>
      <w:spacing w:before="100" w:beforeAutospacing="1" w:after="100" w:afterAutospacing="1"/>
      <w:widowControl/>
    </w:pPr>
    <w:rPr>
      <w:rFonts w:ascii="宋体" w:hAnsi="宋体" w:cs="宋体"/>
      <w:sz w:val="24"/>
      <w:szCs w:val="24"/>
    </w:rPr>
  </w:style>
  <w:style w:type="paragraph" w:styleId="978" w:customStyle="1">
    <w:name w:val="索引 11"/>
    <w:basedOn w:val="692"/>
    <w:next w:val="692"/>
    <w:uiPriority w:val="0"/>
    <w:semiHidden/>
    <w:pPr>
      <w:spacing w:line="240" w:lineRule="atLeast"/>
    </w:pPr>
    <w:rPr>
      <w:b/>
      <w:bCs/>
    </w:rPr>
  </w:style>
  <w:style w:type="paragraph" w:styleId="979" w:customStyle="1">
    <w:name w:val="批注主题1"/>
    <w:basedOn w:val="942"/>
    <w:next w:val="942"/>
    <w:link w:val="980"/>
    <w:uiPriority w:val="0"/>
    <w:semiHidden/>
    <w:rPr>
      <w:b/>
      <w:bCs/>
    </w:rPr>
  </w:style>
  <w:style w:type="character" w:styleId="980" w:customStyle="1">
    <w:name w:val="批注主题 Char"/>
    <w:link w:val="979"/>
    <w:uiPriority w:val="0"/>
    <w:semiHidden/>
    <w:rPr>
      <w:rFonts w:ascii="Times New Roman" w:hAnsi="Times New Roman" w:eastAsia="宋体" w:cs="Times New Roman"/>
      <w:b/>
      <w:bCs/>
      <w:szCs w:val="21"/>
    </w:rPr>
  </w:style>
  <w:style w:type="paragraph" w:styleId="981" w:customStyle="1">
    <w:name w:val="正文首行缩进1"/>
    <w:basedOn w:val="692"/>
    <w:link w:val="982"/>
    <w:uiPriority w:val="0"/>
    <w:pPr>
      <w:ind w:firstLine="200"/>
      <w:spacing w:line="360" w:lineRule="auto"/>
    </w:pPr>
    <w:rPr>
      <w:rFonts w:ascii="仿宋_GB2312" w:eastAsia="仿宋_GB2312"/>
      <w:sz w:val="30"/>
      <w:szCs w:val="30"/>
    </w:rPr>
  </w:style>
  <w:style w:type="character" w:styleId="982" w:customStyle="1">
    <w:name w:val="正文首行缩进 Char"/>
    <w:link w:val="981"/>
    <w:uiPriority w:val="0"/>
    <w:rPr>
      <w:rFonts w:ascii="仿宋_GB2312" w:hAnsi="Times New Roman" w:eastAsia="仿宋_GB2312" w:cs="Times New Roman"/>
      <w:sz w:val="30"/>
      <w:szCs w:val="30"/>
    </w:rPr>
  </w:style>
  <w:style w:type="paragraph" w:styleId="983" w:customStyle="1">
    <w:name w:val="正文首行缩进 21"/>
    <w:basedOn w:val="948"/>
    <w:link w:val="984"/>
    <w:uiPriority w:val="0"/>
    <w:pPr>
      <w:ind w:firstLine="420"/>
      <w:spacing w:line="360" w:lineRule="auto"/>
    </w:pPr>
    <w:rPr>
      <w:rFonts w:ascii="宋体" w:hAnsi="宋体" w:eastAsia="宋体"/>
      <w:sz w:val="21"/>
      <w:szCs w:val="20"/>
    </w:rPr>
  </w:style>
  <w:style w:type="character" w:styleId="984" w:customStyle="1">
    <w:name w:val="正文首行缩进 2 Char"/>
    <w:link w:val="983"/>
    <w:uiPriority w:val="0"/>
    <w:rPr>
      <w:rFonts w:ascii="宋体" w:hAnsi="宋体" w:eastAsia="宋体" w:cs="Times New Roman"/>
      <w:sz w:val="32"/>
      <w:szCs w:val="20"/>
    </w:rPr>
  </w:style>
  <w:style w:type="table" w:styleId="985" w:customStyle="1">
    <w:name w:val="网格型1"/>
    <w:basedOn w:val="927"/>
    <w:uiPriority w:val="0"/>
    <w:pPr>
      <w:jc w:val="both"/>
      <w:widowControl w:val="off"/>
    </w:pPr>
    <w:rPr>
      <w:rFonts w:ascii="Times New Roman" w:hAnsi="Times New Roman"/>
    </w:rPr>
    <w:tblPr/>
  </w:style>
  <w:style w:type="character" w:styleId="986" w:customStyle="1">
    <w:name w:val="要点1"/>
    <w:uiPriority w:val="0"/>
    <w:qFormat/>
    <w:rPr>
      <w:b/>
      <w:bCs/>
    </w:rPr>
  </w:style>
  <w:style w:type="character" w:styleId="987" w:customStyle="1">
    <w:name w:val="页码1"/>
    <w:uiPriority w:val="0"/>
  </w:style>
  <w:style w:type="character" w:styleId="988" w:customStyle="1">
    <w:name w:val="访问过的超链接1"/>
    <w:uiPriority w:val="0"/>
    <w:rPr>
      <w:color w:val="800080"/>
      <w:u w:val="single"/>
    </w:rPr>
  </w:style>
  <w:style w:type="character" w:styleId="989" w:customStyle="1">
    <w:name w:val="超链接1"/>
    <w:uiPriority w:val="0"/>
    <w:rPr>
      <w:color w:val="0000ff"/>
      <w:u w:val="single"/>
    </w:rPr>
  </w:style>
  <w:style w:type="character" w:styleId="990" w:customStyle="1">
    <w:name w:val="批注引用1"/>
    <w:uiPriority w:val="0"/>
    <w:semiHidden/>
    <w:rPr>
      <w:sz w:val="21"/>
      <w:szCs w:val="21"/>
    </w:rPr>
  </w:style>
  <w:style w:type="character" w:styleId="991" w:customStyle="1">
    <w:name w:val="font5 Char"/>
    <w:uiPriority w:val="0"/>
    <w:rPr>
      <w:rFonts w:ascii="宋体" w:hAnsi="宋体" w:eastAsia="宋体"/>
      <w:sz w:val="28"/>
      <w:szCs w:val="28"/>
      <w:lang w:val="en-US" w:eastAsia="zh-CN" w:bidi="ar-SA"/>
    </w:rPr>
  </w:style>
  <w:style w:type="character" w:styleId="992" w:customStyle="1">
    <w:name w:val="二级目录 Char"/>
    <w:link w:val="993"/>
    <w:uiPriority w:val="0"/>
    <w:rPr>
      <w:b/>
      <w:sz w:val="30"/>
      <w:szCs w:val="28"/>
    </w:rPr>
  </w:style>
  <w:style w:type="paragraph" w:styleId="993" w:customStyle="1">
    <w:name w:val="二级目录"/>
    <w:next w:val="692"/>
    <w:link w:val="992"/>
    <w:uiPriority w:val="0"/>
    <w:pPr>
      <w:ind w:left="907" w:hanging="907"/>
      <w:spacing w:before="0" w:beforeAutospacing="0" w:after="160" w:afterAutospacing="0" w:line="278" w:lineRule="auto"/>
      <w:tabs>
        <w:tab w:val="left" w:pos="907" w:leader="none"/>
        <w:tab w:val="left" w:pos="1145" w:leader="none"/>
      </w:tabs>
      <w:outlineLvl w:val="1"/>
    </w:pPr>
    <w:rPr>
      <w:rFonts w:hint="default" w:ascii="Calibri" w:hAnsi="Calibri" w:eastAsia="宋体" w:cs="Times New Roman"/>
      <w:b/>
      <w:sz w:val="30"/>
      <w:szCs w:val="28"/>
    </w:rPr>
  </w:style>
  <w:style w:type="character" w:styleId="994" w:customStyle="1">
    <w:name w:val="列出段落 Char"/>
    <w:link w:val="995"/>
    <w:uiPriority w:val="0"/>
    <w:rPr>
      <w:rFonts w:ascii="Calibri" w:hAnsi="Calibri"/>
      <w:sz w:val="24"/>
      <w:szCs w:val="24"/>
      <w:lang w:eastAsia="en-US" w:bidi="en-US"/>
    </w:rPr>
  </w:style>
  <w:style w:type="paragraph" w:styleId="995" w:customStyle="1">
    <w:name w:val="列出段落1"/>
    <w:basedOn w:val="692"/>
    <w:link w:val="994"/>
    <w:uiPriority w:val="0"/>
    <w:qFormat/>
    <w:pPr>
      <w:contextualSpacing/>
      <w:ind w:left="720"/>
      <w:jc w:val="left"/>
      <w:widowControl/>
    </w:pPr>
    <w:rPr>
      <w:rFonts w:ascii="Calibri" w:hAnsi="Calibri"/>
      <w:sz w:val="24"/>
      <w:szCs w:val="24"/>
      <w:lang w:eastAsia="en-US" w:bidi="en-US"/>
    </w:rPr>
  </w:style>
  <w:style w:type="paragraph" w:styleId="996" w:customStyle="1">
    <w:name w:val="Body Text(ch)"/>
    <w:basedOn w:val="692"/>
    <w:next w:val="946"/>
    <w:uiPriority w:val="0"/>
    <w:pPr>
      <w:spacing w:after="120"/>
    </w:pPr>
    <w:rPr>
      <w:rFonts w:ascii="宋体" w:hAnsi="Arial"/>
      <w:bCs/>
      <w:iCs/>
      <w:szCs w:val="24"/>
    </w:rPr>
  </w:style>
  <w:style w:type="paragraph" w:styleId="997" w:customStyle="1">
    <w:name w:val="xl27"/>
    <w:basedOn w:val="692"/>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8" w:customStyle="1">
    <w:name w:val="xl26"/>
    <w:basedOn w:val="692"/>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9" w:customStyle="1">
    <w:name w:val="Char"/>
    <w:basedOn w:val="692"/>
    <w:uiPriority w:val="0"/>
    <w:pPr>
      <w:ind w:firstLine="200"/>
      <w:tabs>
        <w:tab w:val="left" w:pos="360" w:leader="none"/>
      </w:tabs>
    </w:pPr>
    <w:rPr>
      <w:sz w:val="28"/>
      <w:szCs w:val="30"/>
    </w:rPr>
  </w:style>
  <w:style w:type="paragraph" w:styleId="1000" w:customStyle="1">
    <w:name w:val="Char1"/>
    <w:basedOn w:val="940"/>
    <w:uiPriority w:val="0"/>
    <w:rPr>
      <w:rFonts w:ascii="Tahoma" w:hAnsi="Tahoma"/>
      <w:sz w:val="24"/>
      <w:szCs w:val="24"/>
    </w:rPr>
  </w:style>
  <w:style w:type="paragraph" w:styleId="1001" w:customStyle="1">
    <w:name w:val="普通正文"/>
    <w:basedOn w:val="692"/>
    <w:uiPriority w:val="0"/>
    <w:pPr>
      <w:ind w:firstLine="480"/>
      <w:jc w:val="left"/>
      <w:spacing w:before="120" w:after="120" w:line="360" w:lineRule="auto"/>
    </w:pPr>
    <w:rPr>
      <w:rFonts w:ascii="Arial" w:hAnsi="Arial"/>
      <w:sz w:val="24"/>
      <w:szCs w:val="24"/>
    </w:rPr>
  </w:style>
  <w:style w:type="paragraph" w:styleId="1002" w:customStyle="1">
    <w:name w:val="table_lines"/>
    <w:basedOn w:val="692"/>
    <w:uiPriority w:val="0"/>
    <w:pPr>
      <w:jc w:val="left"/>
      <w:widowControl/>
    </w:pPr>
    <w:rPr>
      <w:sz w:val="20"/>
      <w:szCs w:val="20"/>
      <w:lang w:val="de-DE" w:eastAsia="de-DE"/>
    </w:rPr>
  </w:style>
  <w:style w:type="paragraph" w:styleId="1003" w:customStyle="1">
    <w:name w:val="附录1"/>
    <w:uiPriority w:val="0"/>
    <w:pPr>
      <w:numPr>
        <w:ilvl w:val="0"/>
        <w:numId w:val="2"/>
      </w:numPr>
      <w:spacing w:before="240" w:beforeAutospacing="0" w:after="160" w:afterAutospacing="0" w:line="600" w:lineRule="atLeast"/>
    </w:pPr>
    <w:rPr>
      <w:rFonts w:hint="default" w:ascii="Times New Roman" w:hAnsi="Times New Roman" w:eastAsia="宋体" w:cs="Times New Roman"/>
      <w:b/>
      <w:i/>
      <w:sz w:val="28"/>
    </w:rPr>
  </w:style>
  <w:style w:type="paragraph" w:styleId="1004" w:customStyle="1">
    <w:name w:val="font7"/>
    <w:basedOn w:val="692"/>
    <w:uiPriority w:val="0"/>
    <w:pPr>
      <w:jc w:val="left"/>
      <w:spacing w:before="100" w:beforeAutospacing="1" w:after="100" w:afterAutospacing="1"/>
      <w:widowControl/>
    </w:pPr>
    <w:rPr>
      <w:rFonts w:hint="eastAsia" w:ascii="宋体" w:hAnsi="宋体"/>
      <w:sz w:val="18"/>
      <w:szCs w:val="18"/>
    </w:rPr>
  </w:style>
  <w:style w:type="paragraph" w:styleId="1005" w:customStyle="1">
    <w:name w:val="Char Char Char Char"/>
    <w:basedOn w:val="940"/>
    <w:uiPriority w:val="0"/>
    <w:pPr>
      <w:spacing w:line="360" w:lineRule="auto"/>
    </w:pPr>
    <w:rPr>
      <w:rFonts w:ascii="Tahoma" w:hAnsi="Tahoma"/>
      <w:sz w:val="24"/>
      <w:szCs w:val="24"/>
    </w:rPr>
  </w:style>
  <w:style w:type="paragraph" w:styleId="1006" w:customStyle="1">
    <w:name w:val="列出段落"/>
    <w:basedOn w:val="692"/>
    <w:uiPriority w:val="0"/>
    <w:qFormat/>
    <w:pPr>
      <w:contextualSpacing/>
      <w:ind w:left="720"/>
      <w:jc w:val="left"/>
      <w:widowControl/>
    </w:pPr>
    <w:rPr>
      <w:rFonts w:ascii="Calibri" w:hAnsi="Calibri"/>
      <w:sz w:val="24"/>
      <w:szCs w:val="24"/>
      <w:lang w:eastAsia="en-US" w:bidi="en-US"/>
    </w:rPr>
  </w:style>
  <w:style w:type="paragraph" w:styleId="1007" w:customStyle="1">
    <w:name w:val="4"/>
    <w:basedOn w:val="692"/>
    <w:next w:val="970"/>
    <w:uiPriority w:val="0"/>
    <w:pPr>
      <w:ind w:firstLine="420"/>
      <w:spacing w:line="360" w:lineRule="auto"/>
    </w:pPr>
    <w:rPr>
      <w:color w:val="ff0000"/>
      <w:sz w:val="24"/>
      <w:szCs w:val="24"/>
    </w:rPr>
  </w:style>
  <w:style w:type="paragraph" w:styleId="1008" w:customStyle="1">
    <w:name w:val="普通 (Web)"/>
    <w:basedOn w:val="692"/>
    <w:uiPriority w:val="0"/>
    <w:pPr>
      <w:jc w:val="left"/>
      <w:spacing w:before="100" w:beforeAutospacing="1" w:after="100" w:afterAutospacing="1"/>
      <w:widowControl/>
    </w:pPr>
    <w:rPr>
      <w:rFonts w:ascii="宋体" w:hAnsi="宋体"/>
      <w:sz w:val="24"/>
      <w:szCs w:val="24"/>
    </w:rPr>
  </w:style>
  <w:style w:type="paragraph" w:styleId="1009" w:customStyle="1">
    <w:name w:val="Char Char Char Char Char Char Char Char Char Char"/>
    <w:basedOn w:val="692"/>
    <w:uiPriority w:val="0"/>
    <w:pPr>
      <w:spacing w:line="360" w:lineRule="auto"/>
    </w:pPr>
    <w:rPr>
      <w:sz w:val="24"/>
      <w:szCs w:val="20"/>
    </w:rPr>
  </w:style>
  <w:style w:type="paragraph" w:styleId="1010" w:customStyle="1">
    <w:name w:val="样式1"/>
    <w:basedOn w:val="692"/>
    <w:uiPriority w:val="0"/>
    <w:pPr>
      <w:numPr>
        <w:ilvl w:val="0"/>
        <w:numId w:val="3"/>
      </w:numPr>
    </w:pPr>
    <w:rPr>
      <w:rFonts w:ascii="宋体" w:hAnsi="宋体"/>
    </w:rPr>
  </w:style>
  <w:style w:type="paragraph" w:styleId="1011" w:customStyle="1">
    <w:name w:val="font6"/>
    <w:basedOn w:val="692"/>
    <w:uiPriority w:val="0"/>
    <w:pPr>
      <w:jc w:val="left"/>
      <w:spacing w:before="100" w:beforeAutospacing="1" w:after="100" w:afterAutospacing="1"/>
      <w:widowControl/>
    </w:pPr>
    <w:rPr>
      <w:rFonts w:hint="eastAsia" w:ascii="宋体" w:hAnsi="宋体"/>
      <w:sz w:val="28"/>
      <w:szCs w:val="28"/>
      <w:u w:val="single"/>
    </w:rPr>
  </w:style>
  <w:style w:type="paragraph" w:styleId="1012" w:customStyle="1">
    <w:name w:val="xl25"/>
    <w:basedOn w:val="692"/>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3" w:customStyle="1">
    <w:name w:val="图标"/>
    <w:basedOn w:val="692"/>
    <w:next w:val="692"/>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4" w:customStyle="1">
    <w:name w:val="标题3"/>
    <w:basedOn w:val="692"/>
    <w:next w:val="692"/>
    <w:uiPriority w:val="0"/>
    <w:pPr>
      <w:ind w:firstLine="624"/>
      <w:spacing w:line="590" w:lineRule="atLeast"/>
    </w:pPr>
    <w:rPr>
      <w:rFonts w:ascii="方正黑体_GBK" w:eastAsia="方正黑体_GBK"/>
      <w:sz w:val="32"/>
      <w:szCs w:val="32"/>
    </w:rPr>
  </w:style>
  <w:style w:type="paragraph" w:styleId="1015" w:customStyle="1">
    <w:name w:val="xl24"/>
    <w:basedOn w:val="692"/>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6" w:customStyle="1">
    <w:name w:val="xl29"/>
    <w:basedOn w:val="692"/>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7" w:customStyle="1">
    <w:name w:val="Char Char Char Char Char Char Char Char"/>
    <w:basedOn w:val="692"/>
    <w:uiPriority w:val="0"/>
    <w:pPr>
      <w:jc w:val="left"/>
      <w:spacing w:line="240" w:lineRule="exact"/>
      <w:widowControl/>
    </w:pPr>
    <w:rPr>
      <w:rFonts w:ascii="Verdana" w:hAnsi="Verdana"/>
      <w:sz w:val="20"/>
      <w:szCs w:val="20"/>
      <w:lang w:eastAsia="en-US"/>
    </w:rPr>
  </w:style>
  <w:style w:type="paragraph" w:styleId="1018" w:customStyle="1">
    <w:name w:val="xl28"/>
    <w:basedOn w:val="692"/>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9" w:customStyle="1">
    <w:name w:val="Char Char Char Char Char Char Char Char1"/>
    <w:basedOn w:val="692"/>
    <w:uiPriority w:val="0"/>
    <w:pPr>
      <w:jc w:val="left"/>
      <w:spacing w:line="240" w:lineRule="exact"/>
      <w:widowControl/>
    </w:pPr>
    <w:rPr>
      <w:rFonts w:ascii="Verdana" w:hAnsi="Verdana"/>
      <w:sz w:val="20"/>
      <w:szCs w:val="20"/>
      <w:lang w:eastAsia="en-US"/>
    </w:rPr>
  </w:style>
  <w:style w:type="paragraph" w:styleId="1020" w:customStyle="1">
    <w:name w:val="xl30"/>
    <w:basedOn w:val="692"/>
    <w:uiPriority w:val="0"/>
    <w:pPr>
      <w:jc w:val="center"/>
      <w:spacing w:before="100" w:beforeAutospacing="1" w:after="100" w:afterAutospacing="1"/>
      <w:widowControl/>
    </w:pPr>
    <w:rPr>
      <w:rFonts w:ascii="宋体" w:hAnsi="宋体"/>
      <w:b/>
      <w:bCs/>
      <w:sz w:val="36"/>
      <w:szCs w:val="36"/>
    </w:rPr>
  </w:style>
  <w:style w:type="paragraph" w:styleId="1021" w:customStyle="1">
    <w:name w:val="Char Char Char Char1"/>
    <w:basedOn w:val="940"/>
    <w:uiPriority w:val="0"/>
    <w:pPr>
      <w:spacing w:line="360" w:lineRule="auto"/>
    </w:pPr>
    <w:rPr>
      <w:rFonts w:ascii="Tahoma" w:hAnsi="Tahoma"/>
      <w:sz w:val="24"/>
      <w:szCs w:val="24"/>
    </w:rPr>
  </w:style>
  <w:style w:type="paragraph" w:styleId="1022" w:customStyle="1">
    <w:name w:val="table_1stline"/>
    <w:basedOn w:val="692"/>
    <w:uiPriority w:val="0"/>
    <w:pPr>
      <w:jc w:val="left"/>
      <w:spacing w:before="120"/>
      <w:widowControl/>
    </w:pPr>
    <w:rPr>
      <w:bCs/>
      <w:sz w:val="20"/>
      <w:szCs w:val="20"/>
      <w:lang w:val="de-DE" w:eastAsia="de-DE"/>
    </w:rPr>
  </w:style>
  <w:style w:type="paragraph" w:styleId="1023" w:customStyle="1">
    <w:name w:val="font5"/>
    <w:basedOn w:val="692"/>
    <w:uiPriority w:val="0"/>
    <w:pPr>
      <w:jc w:val="left"/>
      <w:spacing w:before="100" w:beforeAutospacing="1" w:after="100" w:afterAutospacing="1"/>
      <w:widowControl/>
    </w:pPr>
    <w:rPr>
      <w:rFonts w:hint="eastAsia" w:ascii="宋体" w:hAnsi="宋体"/>
      <w:sz w:val="28"/>
      <w:szCs w:val="28"/>
    </w:rPr>
  </w:style>
  <w:style w:type="paragraph" w:styleId="1024" w:customStyle="1">
    <w:name w:val="标题1"/>
    <w:basedOn w:val="692"/>
    <w:next w:val="692"/>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5" w:customStyle="1">
    <w:name w:val="修订1"/>
    <w:uiPriority w:val="99"/>
    <w:semiHidden/>
    <w:pPr>
      <w:spacing w:before="0" w:beforeAutospacing="0" w:after="160" w:afterAutospacing="0" w:line="278" w:lineRule="auto"/>
    </w:pPr>
    <w:rPr>
      <w:rFonts w:hint="default" w:ascii="Times New Roman" w:hAnsi="Times New Roman" w:eastAsia="宋体" w:cs="Times New Roman"/>
      <w:sz w:val="21"/>
      <w:szCs w:val="21"/>
    </w:rPr>
  </w:style>
  <w:style w:type="paragraph" w:styleId="1026" w:customStyle="1">
    <w:name w:val="无间隔1"/>
    <w:uiPriority w:val="99"/>
    <w:qFormat/>
    <w:pPr>
      <w:jc w:val="both"/>
      <w:spacing w:before="0" w:beforeAutospacing="0" w:after="160" w:afterAutospacing="0" w:line="278" w:lineRule="auto"/>
      <w:widowControl w:val="off"/>
    </w:pPr>
    <w:rPr>
      <w:rFonts w:hint="default" w:ascii="Times New Roman" w:hAnsi="Times New Roman" w:eastAsia="宋体" w:cs="Times New Roman"/>
      <w:sz w:val="21"/>
      <w:szCs w:val="21"/>
    </w:rPr>
  </w:style>
  <w:style w:type="character" w:styleId="1027" w:customStyle="1">
    <w:name w:val="批注文字 字符"/>
    <w:basedOn w:val="702"/>
    <w:link w:val="707"/>
    <w:uiPriority w:val="99"/>
    <w:semiHidden/>
    <w:rPr>
      <w:rFonts w:ascii="Times New Roman" w:hAnsi="Times New Roman"/>
      <w:sz w:val="21"/>
      <w:szCs w:val="21"/>
    </w:rPr>
  </w:style>
  <w:style w:type="character" w:styleId="1028" w:customStyle="1">
    <w:name w:val="批注主题 字符"/>
    <w:basedOn w:val="1027"/>
    <w:link w:val="724"/>
    <w:uiPriority w:val="99"/>
    <w:semiHidden/>
    <w:rPr>
      <w:rFonts w:ascii="Times New Roman" w:hAnsi="Times New Roman"/>
      <w:b/>
      <w:bCs/>
      <w:sz w:val="21"/>
      <w:szCs w:val="21"/>
    </w:rPr>
  </w:style>
  <w:style w:type="numbering" w:styleId="115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马樱</cp:lastModifiedBy>
  <cp:revision>41</cp:revision>
  <dcterms:created xsi:type="dcterms:W3CDTF">2023-11-07T06:50:00Z</dcterms:created>
  <dcterms:modified xsi:type="dcterms:W3CDTF">2026-04-10T04:41:03Z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eyJoZGlkIjoiMTZjZjNmNjJlYjk3MjU3MDVjYTE1M2QwMGU2OGYxODMiLCJ1c2VySWQiOiIyNTYxNjY4MTcifQ==</vt:lpwstr>
  </property>
  <property fmtid="{D5CDD505-2E9C-101B-9397-08002B2CF9AE}" pid="4" name="ICV">
    <vt:lpwstr>61EBC7EE51DF4530BA4C69EA30E2518D_13</vt:lpwstr>
  </property>
</Properties>
</file>