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r>
      <w:r/>
    </w:p>
    <w:p>
      <w:pPr>
        <w:jc w:val="center"/>
        <w:spacing w:before="120" w:after="120" w:line="360" w:lineRule="auto"/>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 xml:space="preserve">招 标 文 件</w:t>
      </w:r>
      <w:r/>
    </w:p>
    <w:p>
      <w:pPr>
        <w:ind w:firstLine="2249"/>
        <w:jc w:val="left"/>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spacing w:before="120" w:after="120" w:line="480" w:lineRule="auto"/>
        <w:rPr>
          <w:rFonts w:hint="eastAsia" w:ascii="黑体" w:hAnsi="黑体" w:eastAsia="黑体"/>
          <w:bCs/>
          <w:color w:val="auto"/>
          <w:spacing w:val="-17"/>
          <w:sz w:val="40"/>
          <w:szCs w:val="40"/>
          <w:highlight w:val="none"/>
          <w:lang w:eastAsia="zh-CN"/>
        </w:rPr>
      </w:pPr>
      <w:r>
        <w:rPr>
          <w:rFonts w:hint="eastAsia" w:ascii="黑体" w:hAnsi="黑体" w:eastAsia="黑体"/>
          <w:bCs/>
          <w:color w:val="auto"/>
          <w:spacing w:val="-17"/>
          <w:sz w:val="40"/>
          <w:szCs w:val="40"/>
          <w:highlight w:val="none"/>
        </w:rPr>
        <w:t xml:space="preserve">项目名称：</w:t>
      </w:r>
      <w:r>
        <w:rPr>
          <w:rFonts w:hint="eastAsia" w:ascii="黑体" w:hAnsi="黑体" w:eastAsia="黑体"/>
          <w:bCs/>
          <w:color w:val="auto"/>
          <w:spacing w:val="-17"/>
          <w:sz w:val="40"/>
          <w:szCs w:val="40"/>
          <w:highlight w:val="none"/>
          <w:lang w:eastAsia="zh-CN"/>
        </w:rPr>
        <w:t xml:space="preserve">盐城市阜宁生态环境局16个乡镇（街道）</w:t>
      </w:r>
      <w:r/>
    </w:p>
    <w:p>
      <w:pPr>
        <w:jc w:val="center"/>
        <w:spacing w:before="120" w:after="120" w:line="480" w:lineRule="auto"/>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lang w:eastAsia="zh-CN"/>
        </w:rPr>
        <w:t xml:space="preserve">空气质量监测站运维服务</w:t>
      </w:r>
      <w:r/>
    </w:p>
    <w:p>
      <w:pPr>
        <w:ind w:firstLine="400"/>
        <w:jc w:val="both"/>
        <w:spacing w:before="120" w:after="120" w:line="480" w:lineRule="auto"/>
        <w:rPr>
          <w:rFonts w:hint="eastAsia" w:ascii="黑体" w:hAnsi="黑体" w:eastAsia="黑体"/>
          <w:bCs/>
          <w:color w:val="auto"/>
          <w:spacing w:val="-17"/>
          <w:sz w:val="40"/>
          <w:szCs w:val="40"/>
          <w:highlight w:val="none"/>
          <w:lang w:eastAsia="zh-CN"/>
        </w:rPr>
      </w:pPr>
      <w:r>
        <w:rPr>
          <w:rFonts w:hint="eastAsia" w:ascii="黑体" w:hAnsi="黑体" w:eastAsia="黑体"/>
          <w:bCs/>
          <w:color w:val="auto"/>
          <w:sz w:val="40"/>
          <w:szCs w:val="40"/>
          <w:highlight w:val="none"/>
        </w:rPr>
        <w:t xml:space="preserve">项目编号</w:t>
      </w:r>
      <w:r>
        <w:rPr>
          <w:rFonts w:hint="eastAsia" w:ascii="黑体" w:hAnsi="黑体" w:eastAsia="黑体"/>
          <w:bCs/>
          <w:color w:val="auto"/>
          <w:spacing w:val="-17"/>
          <w:sz w:val="40"/>
          <w:szCs w:val="40"/>
          <w:highlight w:val="none"/>
          <w:lang w:eastAsia="zh-CN"/>
        </w:rPr>
        <w:t xml:space="preserve">：JSZC-320923-SWGC-G2026-0043</w:t>
      </w:r>
      <w:r/>
    </w:p>
    <w:p>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 xml:space="preserve">采购单位：</w:t>
      </w:r>
      <w:r>
        <w:rPr>
          <w:rStyle w:val="984"/>
          <w:rFonts w:hint="eastAsia" w:ascii="黑体" w:hAnsi="黑体" w:eastAsia="黑体"/>
          <w:color w:val="auto"/>
          <w:sz w:val="36"/>
          <w:szCs w:val="30"/>
          <w:highlight w:val="none"/>
          <w:lang w:eastAsia="zh-CN"/>
        </w:rPr>
        <w:t xml:space="preserve">盐城市阜宁生态环境局</w:t>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 xml:space="preserve">2026年</w:t>
      </w:r>
      <w:r>
        <w:rPr>
          <w:rFonts w:hint="eastAsia" w:ascii="黑体" w:hAnsi="黑体" w:eastAsia="黑体"/>
          <w:bCs/>
          <w:color w:val="auto"/>
          <w:sz w:val="36"/>
          <w:szCs w:val="24"/>
          <w:highlight w:val="none"/>
          <w:lang w:val="en-US" w:eastAsia="zh-CN"/>
        </w:rPr>
        <w:t xml:space="preserve">04</w:t>
      </w:r>
      <w:r>
        <w:rPr>
          <w:rFonts w:hint="eastAsia" w:ascii="黑体" w:hAnsi="黑体" w:eastAsia="黑体"/>
          <w:bCs/>
          <w:color w:val="auto"/>
          <w:sz w:val="36"/>
          <w:szCs w:val="24"/>
          <w:highlight w:val="none"/>
          <w:lang w:eastAsia="zh-CN"/>
        </w:rPr>
        <w:t xml:space="preserve">月</w:t>
      </w:r>
      <w:r>
        <w:rPr>
          <w:rFonts w:hint="eastAsia" w:ascii="黑体" w:hAnsi="黑体" w:eastAsia="黑体"/>
          <w:bCs/>
          <w:color w:val="auto"/>
          <w:sz w:val="36"/>
          <w:szCs w:val="24"/>
          <w:highlight w:val="none"/>
          <w:lang w:val="en-US" w:eastAsia="zh-CN"/>
        </w:rPr>
        <w:t xml:space="preserve">17</w:t>
      </w:r>
      <w:r>
        <w:rPr>
          <w:rFonts w:hint="eastAsia" w:ascii="黑体" w:hAnsi="黑体" w:eastAsia="黑体"/>
          <w:bCs/>
          <w:color w:val="auto"/>
          <w:sz w:val="36"/>
          <w:szCs w:val="24"/>
          <w:highlight w:val="none"/>
          <w:lang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 xml:space="preserve">总  目  录</w:t>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第一章  招标公告</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21"/>
          <w:highlight w:val="none"/>
        </w:rPr>
        <w:t xml:space="preserve"> </w:t>
      </w:r>
      <w:r/>
    </w:p>
    <w:p>
      <w:pPr>
        <w:ind w:firstLine="720"/>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第三章  合同文本</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第四章  采购需求</w:t>
      </w:r>
      <w:r/>
    </w:p>
    <w:p>
      <w:pPr>
        <w:ind w:firstLine="720"/>
        <w:spacing w:line="480" w:lineRule="auto"/>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 xml:space="preserve">评标方法与评标标准</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 xml:space="preserve">投标文件格式</w:t>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jc w:val="center"/>
        <w:keepNext/>
        <w:spacing w:line="360" w:lineRule="auto"/>
        <w:rPr>
          <w:rFonts w:ascii="黑体" w:eastAsia="黑体"/>
          <w:bCs/>
          <w:color w:val="auto"/>
          <w:sz w:val="44"/>
          <w:szCs w:val="44"/>
          <w:highlight w:val="none"/>
        </w:rPr>
        <w:outlineLvl w:val="0"/>
      </w:pPr>
      <w:r>
        <w:rPr>
          <w:rFonts w:ascii="黑体" w:eastAsia="黑体"/>
          <w:color w:val="auto"/>
          <w:sz w:val="44"/>
          <w:szCs w:val="44"/>
          <w:highlight w:val="none"/>
        </w:rPr>
        <w:br w:type="page" w:clear="all"/>
      </w:r>
      <w:r>
        <w:rPr>
          <w:rFonts w:hint="eastAsia" w:ascii="黑体" w:eastAsia="黑体"/>
          <w:color w:val="auto"/>
          <w:sz w:val="44"/>
          <w:szCs w:val="44"/>
          <w:highlight w:val="none"/>
        </w:rPr>
        <w:t xml:space="preserve">第一章 招标公告</w:t>
      </w:r>
      <w:r/>
    </w:p>
    <w:p>
      <w:pPr>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盐城市阜宁生态环境局16个乡镇（街道）空气质量监测站运维服务</w:t>
      </w:r>
      <w:r>
        <w:rPr>
          <w:rFonts w:hint="eastAsia" w:ascii="宋体" w:hAnsi="宋体"/>
          <w:color w:val="auto"/>
          <w:sz w:val="24"/>
          <w:szCs w:val="24"/>
          <w:highlight w:val="none"/>
        </w:rPr>
        <w:t xml:space="preserve">招标项目的潜在投标人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在“苏采云”系统内免费下载（投标人必须在苏采云系统中获取采购文件，方能参与政府采购项目），并于</w:t>
      </w:r>
      <w:r>
        <w:rPr>
          <w:rFonts w:hint="eastAsia" w:ascii="宋体" w:hAnsi="宋体"/>
          <w:color w:val="auto"/>
          <w:sz w:val="24"/>
          <w:szCs w:val="24"/>
          <w:highlight w:val="yellow"/>
          <w:u w:val="single"/>
          <w:lang w:eastAsia="zh-CN"/>
        </w:rPr>
        <w:t xml:space="preserve">2026年0</w:t>
      </w:r>
      <w:r>
        <w:rPr>
          <w:rFonts w:hint="eastAsia" w:ascii="宋体" w:hAnsi="宋体"/>
          <w:color w:val="auto"/>
          <w:sz w:val="24"/>
          <w:szCs w:val="24"/>
          <w:highlight w:val="yellow"/>
          <w:u w:val="single"/>
          <w:lang w:val="en-US" w:eastAsia="zh-CN"/>
        </w:rPr>
        <w:t xml:space="preserve">5</w:t>
      </w:r>
      <w:r>
        <w:rPr>
          <w:rFonts w:hint="eastAsia" w:ascii="宋体" w:hAnsi="宋体"/>
          <w:color w:val="auto"/>
          <w:sz w:val="24"/>
          <w:szCs w:val="24"/>
          <w:highlight w:val="yellow"/>
          <w:u w:val="single"/>
          <w:lang w:eastAsia="zh-CN"/>
        </w:rPr>
        <w:t xml:space="preserve">月</w:t>
      </w:r>
      <w:r>
        <w:rPr>
          <w:rFonts w:hint="eastAsia" w:ascii="宋体" w:hAnsi="宋体"/>
          <w:color w:val="auto"/>
          <w:sz w:val="24"/>
          <w:szCs w:val="24"/>
          <w:highlight w:val="yellow"/>
          <w:u w:val="single"/>
          <w:lang w:val="en-US" w:eastAsia="zh-CN"/>
        </w:rPr>
        <w:t xml:space="preserve">11</w:t>
      </w:r>
      <w:r>
        <w:rPr>
          <w:rFonts w:hint="eastAsia" w:ascii="宋体" w:hAnsi="宋体"/>
          <w:color w:val="auto"/>
          <w:sz w:val="24"/>
          <w:szCs w:val="24"/>
          <w:highlight w:val="yellow"/>
          <w:u w:val="single"/>
          <w:lang w:eastAsia="zh-CN"/>
        </w:rPr>
        <w:t xml:space="preserve">日</w:t>
      </w:r>
      <w:r>
        <w:rPr>
          <w:rFonts w:hint="eastAsia" w:ascii="宋体" w:hAnsi="宋体"/>
          <w:color w:val="auto"/>
          <w:sz w:val="24"/>
          <w:szCs w:val="24"/>
          <w:highlight w:val="yellow"/>
          <w:u w:val="single"/>
          <w:lang w:val="en-US" w:eastAsia="zh-CN"/>
        </w:rPr>
        <w:t xml:space="preserve">09</w:t>
      </w:r>
      <w:r>
        <w:rPr>
          <w:rFonts w:hint="eastAsia" w:ascii="宋体" w:hAnsi="宋体"/>
          <w:color w:val="auto"/>
          <w:sz w:val="24"/>
          <w:szCs w:val="24"/>
          <w:highlight w:val="yellow"/>
          <w:u w:val="single"/>
          <w:lang w:eastAsia="zh-CN"/>
        </w:rPr>
        <w:t xml:space="preserve">点00分</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80"/>
        <w:spacing w:line="450" w:lineRule="exact"/>
        <w:rPr>
          <w:rFonts w:hint="eastAsia" w:ascii="宋体" w:hAnsi="宋体"/>
          <w:b/>
          <w:color w:val="auto"/>
          <w:sz w:val="24"/>
          <w:szCs w:val="24"/>
          <w:highlight w:val="none"/>
        </w:rPr>
      </w:pPr>
      <w:r/>
      <w:bookmarkStart w:id="0" w:name="_Toc38985263"/>
      <w:r/>
      <w:bookmarkStart w:id="1" w:name="_Toc28359079"/>
      <w:r/>
      <w:bookmarkStart w:id="2" w:name="_Toc28359002"/>
      <w:r/>
      <w:bookmarkStart w:id="3" w:name="_Toc35393621"/>
      <w:r/>
      <w:bookmarkStart w:id="4" w:name="_Toc35393790"/>
      <w:r/>
      <w:bookmarkStart w:id="5" w:name="_Hlk24379207"/>
      <w:r>
        <w:rPr>
          <w:rFonts w:hint="eastAsia" w:ascii="宋体" w:hAnsi="宋体"/>
          <w:b/>
          <w:color w:val="auto"/>
          <w:sz w:val="24"/>
          <w:szCs w:val="24"/>
          <w:highlight w:val="none"/>
        </w:rPr>
        <w:t xml:space="preserve">一、项目基本情况</w:t>
      </w:r>
      <w:bookmarkEnd w:id="0"/>
      <w:r/>
      <w:bookmarkEnd w:id="1"/>
      <w:r/>
      <w:bookmarkEnd w:id="2"/>
      <w:r/>
      <w:bookmarkEnd w:id="3"/>
      <w:r/>
      <w:bookmarkEnd w:id="4"/>
      <w:r/>
      <w:bookmarkEnd w:id="5"/>
      <w:r/>
    </w:p>
    <w:p>
      <w:pPr>
        <w:ind w:firstLine="480"/>
        <w:spacing w:line="450" w:lineRule="exact"/>
        <w:rPr>
          <w:rFonts w:hint="eastAsia" w:ascii="宋体" w:hAnsi="宋体" w:eastAsia="宋体"/>
          <w:color w:val="auto"/>
          <w:sz w:val="24"/>
          <w:szCs w:val="24"/>
          <w:highlight w:val="none"/>
          <w:lang w:eastAsia="zh-CN"/>
        </w:rPr>
      </w:pPr>
      <w:r/>
      <w:bookmarkStart w:id="6" w:name="_Toc28359003"/>
      <w:r/>
      <w:bookmarkStart w:id="7" w:name="_Toc38985264"/>
      <w:r/>
      <w:bookmarkStart w:id="8" w:name="_Toc28359080"/>
      <w:r/>
      <w:bookmarkStart w:id="9" w:name="_Toc35393622"/>
      <w:r/>
      <w:bookmarkStart w:id="10" w:name="_Toc35393791"/>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JSZC-320923-SWGC-G2026-0043</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盐城市阜宁生态环境局16个乡镇（街道）空气质量监测站运维服务</w:t>
      </w:r>
      <w:r>
        <w:rPr>
          <w:rFonts w:hint="eastAsia" w:ascii="宋体" w:hAnsi="宋体"/>
          <w:color w:val="auto"/>
          <w:sz w:val="24"/>
          <w:szCs w:val="24"/>
          <w:highlight w:val="none"/>
        </w:rPr>
        <w:tab/>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3.采购方式：公开招标</w:t>
      </w:r>
      <w:r/>
    </w:p>
    <w:p>
      <w:pPr>
        <w:pStyle w:val="70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520.00万元（采购包1:260.00万元；采购包2:260.00万元）</w:t>
      </w:r>
      <w:r/>
    </w:p>
    <w:p>
      <w:pPr>
        <w:pStyle w:val="70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520.00万元（采购包1:260.00万元；采购包2:260.00万元）</w:t>
      </w:r>
      <w:r/>
    </w:p>
    <w:p>
      <w:pPr>
        <w:pStyle w:val="708"/>
        <w:numPr>
          <w:ilvl w:val="0"/>
          <w:numId w:val="4"/>
        </w:numPr>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采购需求（简介）：盐城市阜宁生态环境局16个乡镇（街道）空气质量监测站运维服务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主要内容</w:t>
      </w:r>
      <w:r>
        <w:rPr>
          <w:rFonts w:hint="eastAsia" w:ascii="宋体" w:hAnsi="宋体" w:eastAsia="宋体" w:cs="宋体"/>
          <w:color w:val="000000"/>
          <w:sz w:val="24"/>
          <w:szCs w:val="24"/>
          <w:highlight w:val="none"/>
        </w:rPr>
        <w:t xml:space="preserve">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w:t>
      </w:r>
      <w:r>
        <w:rPr>
          <w:rFonts w:hint="eastAsia" w:ascii="宋体" w:hAnsi="宋体" w:eastAsia="宋体" w:cs="宋体"/>
          <w:color w:val="000000"/>
          <w:sz w:val="24"/>
          <w:szCs w:val="24"/>
          <w:highlight w:val="none"/>
          <w:lang w:eastAsia="zh-CN"/>
        </w:rPr>
        <w:t xml:space="preserve">至</w:t>
      </w:r>
      <w:r>
        <w:rPr>
          <w:rFonts w:hint="eastAsia" w:ascii="宋体" w:hAnsi="宋体" w:eastAsia="宋体" w:cs="宋体"/>
          <w:color w:val="000000"/>
          <w:sz w:val="24"/>
          <w:szCs w:val="24"/>
          <w:highlight w:val="none"/>
        </w:rPr>
        <w:t xml:space="preserve">阜宁县环境空气质量联网管理平台（中标方提供环境空气质量联网管理平台</w:t>
      </w:r>
      <w:r>
        <w:rPr>
          <w:rFonts w:hint="eastAsia" w:ascii="宋体" w:hAnsi="宋体" w:eastAsia="宋体" w:cs="宋体"/>
          <w:color w:val="000000"/>
          <w:sz w:val="24"/>
          <w:szCs w:val="24"/>
          <w:highlight w:val="none"/>
          <w:lang w:eastAsia="zh-CN"/>
        </w:rPr>
        <w:t xml:space="preserve">，如</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方需要</w:t>
      </w:r>
      <w:r>
        <w:rPr>
          <w:rFonts w:hint="eastAsia" w:ascii="宋体" w:hAnsi="宋体" w:eastAsia="宋体" w:cs="宋体"/>
          <w:color w:val="000000"/>
          <w:sz w:val="24"/>
          <w:szCs w:val="24"/>
          <w:highlight w:val="none"/>
        </w:rPr>
        <w:t xml:space="preserve">接入其他站点中标方无条件</w:t>
      </w:r>
      <w:r>
        <w:rPr>
          <w:rFonts w:hint="eastAsia" w:ascii="宋体" w:hAnsi="宋体" w:eastAsia="宋体" w:cs="宋体"/>
          <w:color w:val="000000"/>
          <w:sz w:val="24"/>
          <w:szCs w:val="24"/>
          <w:highlight w:val="none"/>
          <w:lang w:eastAsia="zh-CN"/>
        </w:rPr>
        <w:t xml:space="preserve">允许</w:t>
      </w:r>
      <w:r>
        <w:rPr>
          <w:rFonts w:hint="eastAsia" w:ascii="宋体" w:hAnsi="宋体" w:eastAsia="宋体" w:cs="宋体"/>
          <w:color w:val="000000"/>
          <w:sz w:val="24"/>
          <w:szCs w:val="24"/>
          <w:highlight w:val="none"/>
        </w:rPr>
        <w:t xml:space="preserve">接入其他站点</w:t>
      </w:r>
      <w:r>
        <w:rPr>
          <w:rFonts w:hint="eastAsia" w:ascii="宋体" w:hAnsi="宋体" w:eastAsia="宋体" w:cs="宋体"/>
          <w:color w:val="000000"/>
          <w:sz w:val="24"/>
          <w:szCs w:val="24"/>
          <w:highlight w:val="none"/>
          <w:lang w:eastAsia="zh-CN"/>
        </w:rPr>
        <w:t xml:space="preserve">信息</w:t>
      </w:r>
      <w:r>
        <w:rPr>
          <w:rFonts w:hint="eastAsia" w:ascii="宋体" w:hAnsi="宋体" w:eastAsia="宋体" w:cs="宋体"/>
          <w:color w:val="000000"/>
          <w:sz w:val="24"/>
          <w:szCs w:val="24"/>
          <w:highlight w:val="none"/>
        </w:rPr>
        <w:t xml:space="preserve">）等工作</w:t>
      </w:r>
      <w:r>
        <w:rPr>
          <w:rFonts w:hint="eastAsia" w:ascii="宋体" w:hAnsi="宋体"/>
          <w:color w:val="auto"/>
          <w:sz w:val="24"/>
          <w:szCs w:val="24"/>
          <w:highlight w:val="none"/>
          <w:lang w:eastAsia="zh-CN"/>
        </w:rPr>
        <w:t xml:space="preserve">（详细内容见本招标文件第四章）</w:t>
      </w:r>
      <w:r>
        <w:rPr>
          <w:rFonts w:hint="eastAsia" w:ascii="宋体" w:hAnsi="宋体" w:eastAsia="宋体" w:cs="宋体"/>
          <w:color w:val="000000"/>
          <w:sz w:val="24"/>
          <w:szCs w:val="24"/>
          <w:highlight w:val="none"/>
        </w:rPr>
        <w:t xml:space="preserve">。</w:t>
      </w:r>
      <w:r/>
    </w:p>
    <w:p>
      <w:pPr>
        <w:pStyle w:val="70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本次招标项目划分为2个包，采用兼投不兼中原则，同一供应商同时参与2个采购包投标，若该供应商经评审后成为采购包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成交候选供应商排名的第一名时，则不再推荐该供应商为采购包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的成交候选供应商,开标、评标、定标顺序按采购包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至采购包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顺序依次进行。不因前面开标、评标确认的第一中标候选供应商因质疑、投诉、复议被取消第一中标候选供应商（或中标人）资格，而改变后面开标、评标确定的中标候选人结果。</w:t>
      </w:r>
      <w:r/>
    </w:p>
    <w:p>
      <w:pPr>
        <w:pStyle w:val="708"/>
        <w:ind w:firstLine="480"/>
        <w:jc w:val="both"/>
        <w:spacing w:beforeAutospacing="0" w:afterAutospacing="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★中标单位不得转包（如发现转包甲方有权终止合同并扣除运维期间所有费用）</w:t>
      </w:r>
      <w:r/>
    </w:p>
    <w:p>
      <w:pPr>
        <w:pStyle w:val="708"/>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.合同履行期限：本项目服务期限为36个月</w:t>
      </w:r>
      <w:r>
        <w:rPr>
          <w:rFonts w:hint="eastAsia" w:ascii="宋体" w:hAnsi="宋体" w:eastAsia="宋体" w:cs="宋体"/>
          <w:color w:val="000000"/>
          <w:sz w:val="24"/>
          <w:szCs w:val="24"/>
          <w:highlight w:val="none"/>
          <w:lang w:eastAsia="zh-CN"/>
        </w:rPr>
        <w:t xml:space="preserve">。</w:t>
      </w:r>
      <w:r/>
    </w:p>
    <w:p>
      <w:pPr>
        <w:pStyle w:val="708"/>
        <w:ind w:firstLine="498"/>
        <w:jc w:val="both"/>
        <w:keepLines/>
        <w:keepNext/>
        <w:spacing w:before="145" w:beforeAutospacing="0" w:after="145" w:afterAutospacing="0" w:line="360" w:lineRule="auto"/>
        <w:rPr>
          <w:rFonts w:hint="eastAsia" w:ascii="宋体" w:hAnsi="宋体"/>
          <w:color w:val="auto"/>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color w:val="auto"/>
          <w:sz w:val="24"/>
          <w:szCs w:val="24"/>
          <w:highlight w:val="none"/>
        </w:rPr>
        <w:t xml:space="preserve">本项目（是/否）接受联合体：否。</w:t>
      </w:r>
      <w:r/>
    </w:p>
    <w:p>
      <w:pPr>
        <w:pStyle w:val="708"/>
        <w:ind w:firstLine="498"/>
        <w:jc w:val="both"/>
        <w:keepLines/>
        <w:keepNext/>
        <w:spacing w:before="145" w:beforeAutospacing="0" w:after="145" w:afterAutospacing="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二、申请人的资格要求：</w:t>
      </w:r>
      <w:bookmarkEnd w:id="6"/>
      <w:r/>
      <w:bookmarkEnd w:id="7"/>
      <w:r/>
      <w:bookmarkEnd w:id="8"/>
      <w:r/>
      <w:bookmarkEnd w:id="9"/>
      <w:r/>
      <w:bookmarkEnd w:id="10"/>
      <w:r/>
      <w:r/>
    </w:p>
    <w:p>
      <w:pPr>
        <w:pStyle w:val="708"/>
        <w:ind w:firstLine="480"/>
        <w:jc w:val="both"/>
        <w:spacing w:beforeAutospacing="0" w:afterAutospacing="0" w:line="436" w:lineRule="exact"/>
        <w:rPr>
          <w:rFonts w:hint="eastAsia"/>
          <w:b/>
          <w:color w:val="auto"/>
          <w:highlight w:val="none"/>
        </w:rPr>
      </w:pPr>
      <w:r/>
      <w:bookmarkStart w:id="11" w:name="_Toc35393623"/>
      <w:r/>
      <w:bookmarkStart w:id="12" w:name="_Toc35393792"/>
      <w:r/>
      <w:bookmarkStart w:id="13" w:name="_Toc28359081"/>
      <w:r/>
      <w:bookmarkStart w:id="14" w:name="_Toc38985265"/>
      <w:r/>
      <w:bookmarkStart w:id="15" w:name="_Toc28359004"/>
      <w:r>
        <w:rPr>
          <w:rFonts w:hint="eastAsia"/>
          <w:b/>
          <w:color w:val="auto"/>
          <w:highlight w:val="none"/>
        </w:rPr>
        <w:t xml:space="preserve">（一）满足《中华人民共和国政府采购法》第二十二条规定：</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5"/>
      <w:r/>
      <w:bookmarkStart w:id="17" w:name="OLE_LINK4"/>
      <w:r>
        <w:rPr>
          <w:rFonts w:hint="eastAsia" w:ascii="宋体" w:hAnsi="宋体"/>
          <w:color w:val="auto"/>
          <w:sz w:val="24"/>
          <w:szCs w:val="24"/>
          <w:highlight w:val="none"/>
        </w:rPr>
        <w:t xml:space="preserve">法人或者其他组织</w:t>
      </w:r>
      <w:r>
        <w:rPr>
          <w:rFonts w:hint="eastAsia" w:ascii="宋体" w:hAnsi="宋体" w:eastAsia="宋体" w:cs="Times New Roman"/>
          <w:color w:val="auto"/>
          <w:sz w:val="24"/>
          <w:szCs w:val="24"/>
          <w:highlight w:val="none"/>
        </w:rPr>
        <w:t xml:space="preserve">的营业执照等证明文件，自然人的身份证明</w:t>
      </w:r>
      <w:bookmarkEnd w:id="16"/>
      <w:r/>
      <w:bookmarkEnd w:id="17"/>
      <w:r>
        <w:rPr>
          <w:rFonts w:hint="eastAsia" w:ascii="宋体" w:hAnsi="宋体" w:eastAsia="宋体" w:cs="Times New Roman"/>
          <w:color w:val="auto"/>
          <w:sz w:val="24"/>
          <w:szCs w:val="24"/>
          <w:highlight w:val="none"/>
        </w:rPr>
        <w:t xml:space="preserve">；</w:t>
      </w:r>
      <w:r/>
    </w:p>
    <w:p>
      <w:pPr>
        <w:ind w:firstLine="480"/>
        <w:spacing w:line="45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bookmarkStart w:id="18" w:name="OLE_LINK6"/>
      <w:r/>
      <w:bookmarkStart w:id="19" w:name="OLE_LINK9"/>
      <w:r/>
      <w:bookmarkStart w:id="20" w:name="OLE_LINK7"/>
      <w:r/>
      <w:bookmarkStart w:id="21" w:name="OLE_LINK8"/>
      <w:r>
        <w:rPr>
          <w:rFonts w:hint="eastAsia" w:ascii="宋体" w:hAnsi="宋体" w:cs="Times New Roman"/>
          <w:color w:val="auto"/>
          <w:sz w:val="24"/>
          <w:szCs w:val="24"/>
          <w:highlight w:val="none"/>
          <w:lang w:eastAsia="zh-CN"/>
        </w:rPr>
        <w:t xml:space="preserve">上一年度（2024年度或2025年度）的财务状况报告</w:t>
      </w:r>
      <w:r>
        <w:rPr>
          <w:rFonts w:hint="eastAsia" w:ascii="宋体" w:hAnsi="宋体" w:eastAsia="宋体" w:cs="Times New Roman"/>
          <w:color w:val="auto"/>
          <w:sz w:val="24"/>
          <w:szCs w:val="24"/>
          <w:highlight w:val="none"/>
        </w:rPr>
        <w:t xml:space="preserve">（财务报告至少应包括资产负债表、利润表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距投标截止之日止，成立不满一年的</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无需提供）；</w:t>
      </w:r>
      <w:bookmarkEnd w:id="18"/>
      <w:r/>
      <w:bookmarkEnd w:id="19"/>
      <w:r/>
      <w:bookmarkEnd w:id="20"/>
      <w:r/>
      <w:bookmarkEnd w:id="21"/>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w:t>
      </w:r>
      <w:bookmarkStart w:id="22" w:name="OLE_LINK10"/>
      <w:r/>
      <w:bookmarkStart w:id="23" w:name="OLE_LINK11"/>
      <w:r>
        <w:rPr>
          <w:rFonts w:hint="eastAsia" w:ascii="宋体" w:hAnsi="宋体"/>
          <w:color w:val="auto"/>
          <w:sz w:val="24"/>
          <w:szCs w:val="24"/>
          <w:highlight w:val="none"/>
        </w:rPr>
        <w:t xml:space="preserve">具备履行合同所必需的设备和专业技术能力的书面声明</w:t>
      </w:r>
      <w:bookmarkEnd w:id="22"/>
      <w:r/>
      <w:bookmarkEnd w:id="23"/>
      <w:r>
        <w:rPr>
          <w:rFonts w:hint="eastAsia" w:ascii="宋体" w:hAnsi="宋体"/>
          <w:color w:val="auto"/>
          <w:sz w:val="24"/>
          <w:szCs w:val="24"/>
          <w:highlight w:val="none"/>
        </w:rPr>
        <w:t xml:space="preserve">；</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bookmarkStart w:id="24" w:name="OLE_LINK12"/>
      <w:r/>
      <w:bookmarkStart w:id="25" w:name="OLE_LINK13"/>
      <w:r>
        <w:rPr>
          <w:rFonts w:hint="eastAsia" w:ascii="宋体" w:hAnsi="宋体"/>
          <w:color w:val="auto"/>
          <w:sz w:val="24"/>
          <w:szCs w:val="24"/>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依法享受缓缴、免缴税收、社会保障资金的提供证明材料。）；</w:t>
      </w:r>
      <w:bookmarkEnd w:id="24"/>
      <w:r/>
      <w:bookmarkEnd w:id="25"/>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1.8单位负责人为同一人或者存在直接控股、管理关系的不同</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，不得参加同一合同项下的政府采购活动。</w:t>
      </w:r>
      <w:bookmarkEnd w:id="11"/>
      <w:bookmarkEnd w:id="12"/>
      <w:bookmarkEnd w:id="13"/>
      <w:bookmarkEnd w:id="14"/>
      <w:bookmarkEnd w:id="15"/>
      <w:r/>
    </w:p>
    <w:p>
      <w:pPr>
        <w:ind w:firstLine="480"/>
        <w:spacing w:line="450" w:lineRule="exact"/>
        <w:rPr>
          <w:rFonts w:hint="eastAsia" w:ascii="宋体" w:hAnsi="宋体" w:eastAsia="宋体"/>
          <w:color w:val="auto"/>
          <w:sz w:val="24"/>
          <w:szCs w:val="24"/>
          <w:highlight w:val="none"/>
          <w:lang w:eastAsia="zh-CN"/>
        </w:rPr>
      </w:pPr>
      <w:r/>
      <w:bookmarkStart w:id="26" w:name="_Toc28359082"/>
      <w:r/>
      <w:bookmarkStart w:id="27" w:name="_Toc28359005"/>
      <w:r/>
      <w:bookmarkStart w:id="28" w:name="_Toc38985266"/>
      <w:r/>
      <w:bookmarkStart w:id="29" w:name="_Toc35393793"/>
      <w:r/>
      <w:bookmarkStart w:id="30" w:name="_Toc35393624"/>
      <w:r>
        <w:rPr>
          <w:rFonts w:hint="eastAsia" w:ascii="宋体" w:hAnsi="宋体" w:eastAsia="宋体"/>
          <w:color w:val="auto"/>
          <w:sz w:val="24"/>
          <w:szCs w:val="24"/>
          <w:highlight w:val="none"/>
        </w:rPr>
        <w:t xml:space="preserve">2.落实政府采购政策需满足的资格要求：详见招标文件要求</w:t>
      </w:r>
      <w:r>
        <w:rPr>
          <w:rFonts w:hint="eastAsia" w:ascii="宋体" w:hAnsi="宋体" w:eastAsia="宋体"/>
          <w:color w:val="auto"/>
          <w:sz w:val="24"/>
          <w:szCs w:val="24"/>
          <w:highlight w:val="none"/>
          <w:lang w:eastAsia="zh-CN"/>
        </w:rPr>
        <w:t xml:space="preserve">。</w:t>
      </w:r>
      <w:r/>
    </w:p>
    <w:p>
      <w:pPr>
        <w:ind w:firstLine="480"/>
        <w:spacing w:line="45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3.本项目的特定资格要求：无</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1.时间：自招标文件公告发布之日起5个工作日 。</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2.地点：</w:t>
      </w:r>
      <w:r>
        <w:rPr>
          <w:rFonts w:hint="eastAsia" w:ascii="宋体" w:hAnsi="宋体"/>
          <w:bCs/>
          <w:color w:val="auto"/>
          <w:sz w:val="24"/>
          <w:szCs w:val="24"/>
          <w:highlight w:val="none"/>
          <w:lang w:val="en-US" w:eastAsia="zh-CN"/>
        </w:rPr>
        <w:t xml:space="preserve">在</w:t>
      </w:r>
      <w:r>
        <w:rPr>
          <w:rFonts w:hint="eastAsia" w:ascii="宋体" w:hAnsi="宋体"/>
          <w:bCs/>
          <w:color w:val="auto"/>
          <w:sz w:val="24"/>
          <w:szCs w:val="24"/>
          <w:highlight w:val="none"/>
        </w:rPr>
        <w:t xml:space="preserve">“苏采云”系统内免费下载(投标人必须在苏采云系统中获取采购文件，方能参与政府采购项目)</w:t>
      </w:r>
      <w:r>
        <w:rPr>
          <w:rFonts w:hint="eastAsia" w:ascii="宋体" w:hAnsi="宋体"/>
          <w:bCs/>
          <w:color w:val="auto"/>
          <w:sz w:val="24"/>
          <w:szCs w:val="24"/>
          <w:highlight w:val="none"/>
          <w:lang w:eastAsia="zh-CN"/>
        </w:rPr>
        <w:t xml:space="preserve">。</w:t>
      </w:r>
      <w:r/>
    </w:p>
    <w:p>
      <w:pPr>
        <w:pStyle w:val="708"/>
        <w:ind w:firstLine="480"/>
        <w:jc w:val="both"/>
        <w:spacing w:beforeAutospacing="0" w:afterAutospacing="0" w:line="440" w:lineRule="exact"/>
        <w:rPr>
          <w:rFonts w:hint="eastAsia"/>
          <w:color w:val="auto"/>
          <w:highlight w:val="none"/>
        </w:rPr>
      </w:pPr>
      <w:r>
        <w:rPr>
          <w:rFonts w:hint="eastAsia"/>
          <w:bCs/>
          <w:color w:val="auto"/>
          <w:highlight w:val="none"/>
        </w:rPr>
        <w:t xml:space="preserve">3.方式：</w:t>
      </w:r>
      <w:r>
        <w:rPr>
          <w:rFonts w:hint="eastAsia"/>
          <w:bCs/>
          <w:color w:val="auto"/>
          <w:highlight w:val="none"/>
          <w:lang w:val="en-US" w:eastAsia="zh-CN"/>
        </w:rPr>
        <w:t xml:space="preserve">本项目采用网上注册登记方式。</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4.售价：0元</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四、提交投标文件</w:t>
      </w:r>
      <w:bookmarkEnd w:id="26"/>
      <w:r/>
      <w:bookmarkEnd w:id="27"/>
      <w:r>
        <w:rPr>
          <w:rFonts w:hint="eastAsia" w:ascii="宋体" w:hAnsi="宋体"/>
          <w:b/>
          <w:color w:val="auto"/>
          <w:sz w:val="24"/>
          <w:szCs w:val="24"/>
          <w:highlight w:val="none"/>
        </w:rPr>
        <w:t xml:space="preserve">截止时间、开标时间和地点</w:t>
      </w:r>
      <w:bookmarkEnd w:id="28"/>
      <w:r/>
      <w:bookmarkEnd w:id="29"/>
      <w:r/>
      <w:bookmarkEnd w:id="30"/>
      <w:r/>
      <w:r/>
    </w:p>
    <w:p>
      <w:pPr>
        <w:ind w:firstLine="480"/>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1、时间：</w:t>
      </w:r>
      <w:r>
        <w:rPr>
          <w:rFonts w:hint="eastAsia" w:ascii="宋体" w:hAnsi="宋体"/>
          <w:color w:val="auto"/>
          <w:sz w:val="24"/>
          <w:szCs w:val="24"/>
          <w:highlight w:val="none"/>
          <w:lang w:eastAsia="zh-CN"/>
        </w:rPr>
        <w:t xml:space="preserve">2026年0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点00分</w:t>
      </w:r>
      <w:r>
        <w:rPr>
          <w:rFonts w:hint="eastAsia" w:ascii="宋体" w:hAnsi="宋体"/>
          <w:color w:val="auto"/>
          <w:sz w:val="24"/>
          <w:szCs w:val="24"/>
          <w:highlight w:val="none"/>
        </w:rPr>
        <w:t xml:space="preserve">（北京时间）</w:t>
      </w:r>
      <w:r/>
    </w:p>
    <w:p>
      <w:pPr>
        <w:ind w:firstLine="480"/>
        <w:spacing w:line="45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2、地点：“苏采云”政府采购交易系统网上开标大厅。</w:t>
      </w:r>
      <w:r/>
    </w:p>
    <w:p>
      <w:pPr>
        <w:ind w:firstLine="480"/>
        <w:spacing w:line="450" w:lineRule="exact"/>
        <w:rPr>
          <w:rFonts w:hint="eastAsia" w:ascii="宋体" w:hAnsi="宋体"/>
          <w:b/>
          <w:color w:val="auto"/>
          <w:sz w:val="24"/>
          <w:szCs w:val="24"/>
          <w:highlight w:val="none"/>
        </w:rPr>
      </w:pPr>
      <w:r/>
      <w:bookmarkStart w:id="31" w:name="_Toc35393625"/>
      <w:r/>
      <w:bookmarkStart w:id="32" w:name="_Toc38985267"/>
      <w:r/>
      <w:bookmarkStart w:id="33" w:name="_Toc28359007"/>
      <w:r/>
      <w:bookmarkStart w:id="34" w:name="_Toc35393794"/>
      <w:r/>
      <w:bookmarkStart w:id="35" w:name="_Toc28359084"/>
      <w:r>
        <w:rPr>
          <w:rFonts w:hint="eastAsia" w:ascii="宋体" w:hAnsi="宋体"/>
          <w:b/>
          <w:color w:val="auto"/>
          <w:sz w:val="24"/>
          <w:szCs w:val="24"/>
          <w:highlight w:val="none"/>
        </w:rPr>
        <w:t xml:space="preserve">五、公告期限</w:t>
      </w:r>
      <w:bookmarkEnd w:id="31"/>
      <w:r/>
      <w:bookmarkEnd w:id="32"/>
      <w:r/>
      <w:bookmarkEnd w:id="33"/>
      <w:r/>
      <w:bookmarkEnd w:id="34"/>
      <w:r/>
      <w:bookmarkEnd w:id="35"/>
      <w:r/>
      <w:r/>
    </w:p>
    <w:p>
      <w:pPr>
        <w:ind w:firstLine="480"/>
        <w:spacing w:line="450" w:lineRule="exact"/>
        <w:rPr>
          <w:rFonts w:hint="eastAsia" w:ascii="宋体" w:hAnsi="宋体"/>
          <w:color w:val="auto"/>
          <w:sz w:val="24"/>
          <w:szCs w:val="24"/>
          <w:highlight w:val="none"/>
        </w:rPr>
      </w:pPr>
      <w:r/>
      <w:bookmarkStart w:id="36" w:name="_Toc35393795"/>
      <w:r/>
      <w:bookmarkStart w:id="37" w:name="_Toc38985268"/>
      <w:r/>
      <w:bookmarkStart w:id="38" w:name="_Toc35393626"/>
      <w:r>
        <w:rPr>
          <w:rFonts w:hint="eastAsia" w:ascii="宋体" w:hAnsi="宋体"/>
          <w:color w:val="auto"/>
          <w:sz w:val="24"/>
          <w:szCs w:val="24"/>
          <w:highlight w:val="none"/>
        </w:rPr>
        <w:t xml:space="preserve">自本公告发布之日起5个工作日。</w:t>
      </w:r>
      <w:r/>
    </w:p>
    <w:p>
      <w:pPr>
        <w:ind w:firstLine="480"/>
        <w:spacing w:line="45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bookmarkEnd w:id="36"/>
      <w:r/>
      <w:bookmarkEnd w:id="37"/>
      <w:r/>
      <w:bookmarkEnd w:id="38"/>
      <w:r/>
      <w:r/>
    </w:p>
    <w:p>
      <w:pPr>
        <w:ind w:firstLine="480"/>
        <w:spacing w:line="450" w:lineRule="exact"/>
        <w:rPr>
          <w:rFonts w:hint="eastAsia" w:ascii="宋体" w:hAnsi="宋体"/>
          <w:bCs/>
          <w:color w:val="auto"/>
          <w:sz w:val="24"/>
          <w:szCs w:val="24"/>
          <w:highlight w:val="none"/>
        </w:rPr>
      </w:pPr>
      <w:r/>
      <w:bookmarkStart w:id="39" w:name="_Toc35393627"/>
      <w:r/>
      <w:bookmarkStart w:id="40" w:name="_Toc28359008"/>
      <w:r/>
      <w:bookmarkStart w:id="41" w:name="_Toc38985269"/>
      <w:r/>
      <w:bookmarkStart w:id="42" w:name="_Toc28359085"/>
      <w:r/>
      <w:bookmarkStart w:id="43" w:name="_Toc35393796"/>
      <w:r>
        <w:rPr>
          <w:rFonts w:hint="eastAsia" w:ascii="宋体" w:hAnsi="宋体"/>
          <w:bCs/>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盐城市盐都区府西路1号四楼盐城市公共资源交易中心</w:t>
      </w:r>
      <w:r>
        <w:rPr>
          <w:rFonts w:hint="eastAsia" w:ascii="宋体" w:hAnsi="宋体"/>
          <w:bCs/>
          <w:color w:val="auto"/>
          <w:sz w:val="24"/>
          <w:szCs w:val="24"/>
          <w:highlight w:val="none"/>
        </w:rPr>
        <w:t xml:space="preserve">办理，联系电话：15051556883，办理邮箱：yancheng@ideabank.net.cn，具体联系方式见《苏采云系统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操作手册》（以下简称《操作手册》））、进行注册并按《操作手册》要求制作、上传电子投标文件,《苏采云系统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投标人在使用系统进行投标的过程中如遇到涉及“苏采云”系统使用的任何问题，应在工作日期间致电技术支持热线咨询，联系电话：0519-86722805、0519-86722801。</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3.本次招标不收取投标保证金，不收取质量保证金</w:t>
      </w:r>
      <w:r>
        <w:rPr>
          <w:rFonts w:hint="eastAsia" w:ascii="宋体" w:hAnsi="宋体"/>
          <w:bCs/>
          <w:color w:val="auto"/>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不收履约保证金</w:t>
      </w:r>
      <w:r>
        <w:rPr>
          <w:rFonts w:hint="eastAsia" w:ascii="宋体" w:hAnsi="宋体"/>
          <w:bCs/>
          <w:color w:val="auto"/>
          <w:sz w:val="24"/>
          <w:szCs w:val="24"/>
          <w:highlight w:val="none"/>
        </w:rPr>
        <w:t xml:space="preserve">。</w:t>
      </w:r>
      <w:r/>
    </w:p>
    <w:p>
      <w:pPr>
        <w:ind w:firstLine="480"/>
        <w:spacing w:line="45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4.因</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的系统环境、操作等原因导致报名、开评标过程中出现问题由</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自行承担负责。</w:t>
      </w:r>
      <w:r/>
    </w:p>
    <w:p>
      <w:pPr>
        <w:ind w:firstLine="480"/>
        <w:spacing w:line="450" w:lineRule="exact"/>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 xml:space="preserve">七、本次招标联系方式</w:t>
      </w:r>
      <w:bookmarkEnd w:id="39"/>
      <w:r/>
      <w:bookmarkEnd w:id="40"/>
      <w:r/>
      <w:bookmarkEnd w:id="41"/>
      <w:r/>
      <w:bookmarkEnd w:id="42"/>
      <w:r/>
      <w:bookmarkEnd w:id="43"/>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称：盐城市阜宁生态环境局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址：阜宁县城南大厦C座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cs="宋体"/>
          <w:i w:val="0"/>
          <w:iCs w:val="0"/>
          <w:caps w:val="0"/>
          <w:color w:val="333333"/>
          <w:spacing w:val="0"/>
          <w:sz w:val="24"/>
          <w:szCs w:val="24"/>
          <w:highlight w:val="none"/>
          <w:shd w:val="clear" w:color="auto" w:fill="ffffff"/>
          <w:lang w:val="en-US" w:eastAsia="zh-CN"/>
        </w:rPr>
        <w:t xml:space="preserve">黄源</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cs="宋体"/>
          <w:i w:val="0"/>
          <w:iCs w:val="0"/>
          <w:caps w:val="0"/>
          <w:color w:val="333333"/>
          <w:spacing w:val="0"/>
          <w:sz w:val="24"/>
          <w:szCs w:val="24"/>
          <w:highlight w:val="none"/>
          <w:shd w:val="clear" w:color="auto" w:fill="ffffff"/>
          <w:lang w:val="en-US" w:eastAsia="zh-CN"/>
        </w:rPr>
        <w:t xml:space="preserve">18361170088</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Style w:val="999"/>
          <w:rFonts w:hint="eastAsia" w:ascii="宋体" w:hAnsi="宋体"/>
          <w:color w:val="auto"/>
          <w:sz w:val="24"/>
          <w:highlight w:val="none"/>
        </w:rPr>
        <w:t xml:space="preserve">江苏苏维工程管理有限公司</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址：阜宁县城南大厦A座10层</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联系人：陈婷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44" w:name="_Toc28359087"/>
      <w:r/>
      <w:bookmarkStart w:id="45"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15251035050  </w:t>
      </w:r>
      <w:bookmarkEnd w:id="44"/>
      <w:r/>
      <w:bookmarkEnd w:id="4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4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4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70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cs="宋体"/>
          <w:i w:val="0"/>
          <w:iCs w:val="0"/>
          <w:caps w:val="0"/>
          <w:color w:val="333333"/>
          <w:spacing w:val="0"/>
          <w:sz w:val="24"/>
          <w:szCs w:val="24"/>
          <w:highlight w:val="none"/>
          <w:shd w:val="clear" w:color="auto" w:fill="ffffff"/>
          <w:lang w:val="en-US" w:eastAsia="zh-CN"/>
        </w:rPr>
        <w:t xml:space="preserve">黄源</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、陈婷</w:t>
      </w:r>
      <w:r/>
    </w:p>
    <w:p>
      <w:pPr>
        <w:pStyle w:val="708"/>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cs="宋体"/>
          <w:i w:val="0"/>
          <w:iCs w:val="0"/>
          <w:caps w:val="0"/>
          <w:color w:val="333333"/>
          <w:spacing w:val="0"/>
          <w:sz w:val="24"/>
          <w:szCs w:val="24"/>
          <w:highlight w:val="none"/>
          <w:shd w:val="clear" w:color="auto" w:fill="ffffff"/>
          <w:lang w:val="en-US" w:eastAsia="zh-CN"/>
        </w:rPr>
        <w:t xml:space="preserve">18361170088</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、15251035050</w:t>
      </w:r>
      <w:r/>
    </w:p>
    <w:p>
      <w:pPr>
        <w:ind w:firstLine="480"/>
        <w:jc w:val="right"/>
        <w:spacing w:line="45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45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2026年0</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17</w:t>
      </w:r>
      <w:r>
        <w:rPr>
          <w:rFonts w:hint="eastAsia" w:ascii="宋体" w:hAnsi="宋体"/>
          <w:color w:val="auto"/>
          <w:sz w:val="24"/>
          <w:szCs w:val="24"/>
          <w:highlight w:val="none"/>
          <w:lang w:eastAsia="zh-CN"/>
        </w:rPr>
        <w:t xml:space="preserve">日</w:t>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jc w:val="center"/>
        <w:spacing w:line="450" w:lineRule="exact"/>
        <w:rPr>
          <w:rFonts w:hint="eastAsia" w:ascii="黑体" w:hAnsi="Arial" w:eastAsia="黑体" w:cs="Arial"/>
          <w:b/>
          <w:bCs/>
          <w:color w:val="auto"/>
          <w:sz w:val="44"/>
          <w:szCs w:val="44"/>
          <w:highlight w:val="none"/>
        </w:rPr>
      </w:pPr>
      <w:r/>
      <w:bookmarkStart w:id="47" w:name="_Toc120614211"/>
      <w:r/>
      <w:r/>
    </w:p>
    <w:p>
      <w:pPr>
        <w:jc w:val="center"/>
        <w:spacing w:line="450" w:lineRule="exact"/>
        <w:rPr>
          <w:rFonts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47"/>
      <w:r/>
      <w:bookmarkStart w:id="48" w:name="_Toc20823274"/>
      <w:r/>
      <w:bookmarkStart w:id="49" w:name="_Toc513029202"/>
      <w:r/>
      <w:bookmarkStart w:id="50" w:name="_Toc120614213"/>
      <w:r/>
      <w:bookmarkStart w:id="51" w:name="_Toc16938518"/>
      <w:r>
        <w:rPr>
          <w:rFonts w:hint="eastAsia" w:ascii="黑体" w:hAnsi="Arial" w:eastAsia="黑体" w:cs="Arial"/>
          <w:b/>
          <w:bCs/>
          <w:color w:val="auto"/>
          <w:sz w:val="44"/>
          <w:szCs w:val="44"/>
          <w:highlight w:val="none"/>
        </w:rPr>
        <w:t xml:space="preserve">投标人须知</w:t>
      </w:r>
      <w:bookmarkEnd w:id="48"/>
      <w:r/>
      <w:bookmarkEnd w:id="49"/>
      <w:r/>
      <w:bookmarkEnd w:id="50"/>
      <w:r/>
      <w:bookmarkEnd w:id="51"/>
      <w:r/>
      <w:r/>
    </w:p>
    <w:p>
      <w:pPr>
        <w:ind w:firstLine="480"/>
        <w:spacing w:line="460" w:lineRule="exact"/>
        <w:rPr>
          <w:rFonts w:hint="eastAsia" w:ascii="宋体" w:hAnsi="宋体"/>
          <w:b/>
          <w:color w:val="auto"/>
          <w:sz w:val="24"/>
          <w:szCs w:val="24"/>
          <w:highlight w:val="none"/>
        </w:rPr>
      </w:pPr>
      <w:r/>
      <w:bookmarkStart w:id="52" w:name="_Toc120614214"/>
      <w:r/>
      <w:bookmarkStart w:id="53" w:name="_Toc513029203"/>
      <w:r/>
      <w:bookmarkStart w:id="54" w:name="_Toc16938519"/>
      <w:r/>
      <w:bookmarkStart w:id="55" w:name="_Toc20823275"/>
      <w:r>
        <w:rPr>
          <w:rFonts w:hint="eastAsia" w:ascii="宋体" w:hAnsi="宋体"/>
          <w:b/>
          <w:color w:val="auto"/>
          <w:sz w:val="24"/>
          <w:szCs w:val="24"/>
          <w:highlight w:val="none"/>
        </w:rPr>
        <w:t xml:space="preserve">一、总则</w:t>
      </w:r>
      <w:bookmarkEnd w:id="52"/>
      <w:r/>
      <w:bookmarkEnd w:id="53"/>
      <w:r/>
      <w:bookmarkEnd w:id="54"/>
      <w:r/>
      <w:bookmarkEnd w:id="55"/>
      <w:r/>
      <w:r/>
    </w:p>
    <w:p>
      <w:pPr>
        <w:ind w:firstLine="480"/>
        <w:spacing w:line="460" w:lineRule="exact"/>
        <w:rPr>
          <w:rFonts w:hint="eastAsia" w:ascii="宋体" w:hAnsi="宋体"/>
          <w:b/>
          <w:color w:val="auto"/>
          <w:sz w:val="24"/>
          <w:szCs w:val="24"/>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宋体" w:hAnsi="宋体"/>
          <w:b/>
          <w:color w:val="auto"/>
          <w:sz w:val="24"/>
          <w:szCs w:val="24"/>
          <w:highlight w:val="none"/>
        </w:rPr>
        <w:t xml:space="preserve">1</w:t>
      </w:r>
      <w:bookmarkEnd w:id="57"/>
      <w:r>
        <w:rPr>
          <w:rFonts w:hint="eastAsia" w:ascii="宋体" w:hAnsi="宋体"/>
          <w:b/>
          <w:color w:val="auto"/>
          <w:sz w:val="24"/>
          <w:szCs w:val="24"/>
          <w:highlight w:val="none"/>
        </w:rPr>
        <w:t xml:space="preserve">、招标方式</w:t>
      </w:r>
      <w:bookmarkEnd w:id="58"/>
      <w:r/>
      <w:bookmarkEnd w:id="59"/>
      <w:r/>
      <w:bookmarkEnd w:id="6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0"/>
        <w:spacing w:line="460" w:lineRule="exact"/>
        <w:rPr>
          <w:rFonts w:hint="eastAsia" w:ascii="宋体" w:hAnsi="宋体"/>
          <w:b/>
          <w:color w:val="auto"/>
          <w:sz w:val="24"/>
          <w:szCs w:val="24"/>
          <w:highlight w:val="none"/>
        </w:rPr>
      </w:pPr>
      <w:r/>
      <w:bookmarkStart w:id="61" w:name="_Toc513029205"/>
      <w:r/>
      <w:bookmarkStart w:id="62" w:name="_Toc20823277"/>
      <w:r/>
      <w:bookmarkStart w:id="63" w:name="_Toc16938521"/>
      <w:r>
        <w:rPr>
          <w:rFonts w:hint="eastAsia" w:ascii="宋体" w:hAnsi="宋体"/>
          <w:b/>
          <w:color w:val="auto"/>
          <w:sz w:val="24"/>
          <w:szCs w:val="24"/>
          <w:highlight w:val="none"/>
        </w:rPr>
        <w:t xml:space="preserve">2、合格的投标人</w:t>
      </w:r>
      <w:bookmarkEnd w:id="61"/>
      <w:r/>
      <w:bookmarkEnd w:id="62"/>
      <w:r/>
      <w:bookmarkEnd w:id="63"/>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的资格要求的规定。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80"/>
        <w:spacing w:line="460" w:lineRule="exact"/>
        <w:rPr>
          <w:rFonts w:hint="eastAsia" w:ascii="宋体" w:hAnsi="宋体"/>
          <w:b/>
          <w:color w:val="auto"/>
          <w:sz w:val="24"/>
          <w:szCs w:val="24"/>
          <w:highlight w:val="none"/>
        </w:rPr>
      </w:pPr>
      <w:r/>
      <w:bookmarkStart w:id="64" w:name="_Toc16938522"/>
      <w:r/>
      <w:bookmarkStart w:id="65" w:name="_Toc513029206"/>
      <w:r/>
      <w:bookmarkStart w:id="66" w:name="_Toc20823278"/>
      <w:r>
        <w:rPr>
          <w:rFonts w:hint="eastAsia" w:ascii="宋体" w:hAnsi="宋体"/>
          <w:b/>
          <w:color w:val="auto"/>
          <w:sz w:val="24"/>
          <w:szCs w:val="24"/>
          <w:highlight w:val="none"/>
        </w:rPr>
        <w:t xml:space="preserve">3、适用法律</w:t>
      </w:r>
      <w:bookmarkEnd w:id="64"/>
      <w:r/>
      <w:bookmarkEnd w:id="65"/>
      <w:r/>
      <w:bookmarkEnd w:id="66"/>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在本项目政府采购活动过程中，如果所执行的标准有更新的，按照最新标准执行。</w:t>
      </w:r>
      <w:r/>
    </w:p>
    <w:p>
      <w:pPr>
        <w:ind w:firstLine="480"/>
        <w:spacing w:line="460" w:lineRule="exact"/>
        <w:rPr>
          <w:rFonts w:hint="eastAsia" w:ascii="宋体" w:hAnsi="宋体"/>
          <w:b/>
          <w:color w:val="auto"/>
          <w:sz w:val="24"/>
          <w:szCs w:val="24"/>
          <w:highlight w:val="none"/>
        </w:rPr>
      </w:pPr>
      <w:r/>
      <w:bookmarkStart w:id="67" w:name="_Toc20823279"/>
      <w:r/>
      <w:bookmarkStart w:id="68" w:name="_Toc462564067"/>
      <w:r/>
      <w:bookmarkStart w:id="69" w:name="_Toc513029207"/>
      <w:r/>
      <w:bookmarkStart w:id="70" w:name="_Toc16938523"/>
      <w:r>
        <w:rPr>
          <w:rFonts w:hint="eastAsia" w:ascii="宋体" w:hAnsi="宋体"/>
          <w:b/>
          <w:color w:val="auto"/>
          <w:sz w:val="24"/>
          <w:szCs w:val="24"/>
          <w:highlight w:val="none"/>
        </w:rPr>
        <w:t xml:space="preserve">4、投标费用</w:t>
      </w:r>
      <w:bookmarkEnd w:id="67"/>
      <w:r/>
      <w:bookmarkEnd w:id="68"/>
      <w:r/>
      <w:bookmarkEnd w:id="69"/>
      <w:r/>
      <w:bookmarkEnd w:id="7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4.2代理机构将</w:t>
      </w:r>
      <w:r>
        <w:rPr>
          <w:rFonts w:hint="eastAsia" w:asciiTheme="minorEastAsia" w:hAnsiTheme="minorEastAsia" w:eastAsiaTheme="minorEastAsia" w:cstheme="minorEastAsia"/>
          <w:color w:val="auto"/>
          <w:sz w:val="24"/>
          <w:szCs w:val="24"/>
          <w:highlight w:val="none"/>
        </w:rPr>
        <w:t xml:space="preserve">根据计价格【2002】1980号文件，</w:t>
      </w:r>
      <w:r>
        <w:rPr>
          <w:rFonts w:hint="eastAsia" w:asciiTheme="minorEastAsia" w:hAnsiTheme="minorEastAsia" w:eastAsiaTheme="minorEastAsia" w:cstheme="minorEastAsia"/>
          <w:color w:val="auto"/>
          <w:sz w:val="24"/>
          <w:szCs w:val="24"/>
          <w:highlight w:val="none"/>
          <w:lang w:val="en-US" w:eastAsia="zh-CN"/>
        </w:rPr>
        <w:t xml:space="preserve">按</w:t>
      </w:r>
      <w:r>
        <w:rPr>
          <w:rFonts w:hint="eastAsia" w:asciiTheme="minorEastAsia" w:hAnsiTheme="minorEastAsia" w:eastAsiaTheme="minorEastAsia" w:cstheme="minorEastAsia"/>
          <w:color w:val="auto"/>
          <w:sz w:val="24"/>
          <w:szCs w:val="24"/>
          <w:highlight w:val="none"/>
        </w:rPr>
        <w:t xml:space="preserve">中标价</w:t>
      </w: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向中标人收取服务费用，由中标人在领取中标通知书前一次性支付</w:t>
      </w:r>
      <w:r>
        <w:rPr>
          <w:rFonts w:hint="eastAsia" w:ascii="宋体" w:hAnsi="宋体"/>
          <w:color w:val="auto"/>
          <w:sz w:val="24"/>
          <w:szCs w:val="24"/>
          <w:highlight w:val="none"/>
        </w:rPr>
        <w:t xml:space="preserve">。</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5、招标文件的约束力</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ind w:firstLine="480"/>
        <w:spacing w:line="460" w:lineRule="exact"/>
        <w:rPr>
          <w:rFonts w:hint="eastAsia" w:ascii="宋体" w:hAnsi="宋体"/>
          <w:b/>
          <w:color w:val="auto"/>
          <w:sz w:val="24"/>
          <w:szCs w:val="24"/>
          <w:highlight w:val="none"/>
        </w:rPr>
      </w:pPr>
      <w:r/>
      <w:bookmarkStart w:id="71" w:name="_Toc120614215"/>
      <w:r/>
      <w:bookmarkStart w:id="72" w:name="_Toc513029209"/>
      <w:r/>
      <w:bookmarkStart w:id="73" w:name="_Toc20823281"/>
      <w:r/>
      <w:bookmarkStart w:id="74" w:name="_Toc16938525"/>
      <w:r>
        <w:rPr>
          <w:rFonts w:hint="eastAsia" w:ascii="宋体" w:hAnsi="宋体"/>
          <w:b/>
          <w:color w:val="auto"/>
          <w:sz w:val="24"/>
          <w:szCs w:val="24"/>
          <w:highlight w:val="none"/>
        </w:rPr>
        <w:t xml:space="preserve">二、招标文件</w:t>
      </w:r>
      <w:bookmarkEnd w:id="71"/>
      <w:r/>
      <w:bookmarkEnd w:id="72"/>
      <w:r/>
      <w:bookmarkEnd w:id="73"/>
      <w:r/>
      <w:bookmarkEnd w:id="74"/>
      <w:r/>
      <w:r/>
    </w:p>
    <w:p>
      <w:pPr>
        <w:ind w:firstLine="480"/>
        <w:spacing w:line="460" w:lineRule="exact"/>
        <w:rPr>
          <w:rFonts w:hint="eastAsia" w:ascii="宋体" w:hAnsi="宋体"/>
          <w:b/>
          <w:color w:val="auto"/>
          <w:sz w:val="24"/>
          <w:szCs w:val="24"/>
          <w:highlight w:val="none"/>
        </w:rPr>
      </w:pPr>
      <w:r/>
      <w:bookmarkStart w:id="75" w:name="_Toc20823282"/>
      <w:r/>
      <w:bookmarkStart w:id="76" w:name="_Toc16938526"/>
      <w:r/>
      <w:bookmarkStart w:id="77" w:name="_Toc513029210"/>
      <w:r>
        <w:rPr>
          <w:rFonts w:hint="eastAsia" w:ascii="宋体" w:hAnsi="宋体"/>
          <w:b/>
          <w:color w:val="auto"/>
          <w:sz w:val="24"/>
          <w:szCs w:val="24"/>
          <w:highlight w:val="none"/>
        </w:rPr>
        <w:t xml:space="preserve">6、招标文件构成</w:t>
      </w:r>
      <w:bookmarkEnd w:id="75"/>
      <w:r/>
      <w:bookmarkEnd w:id="76"/>
      <w:r/>
      <w:bookmarkEnd w:id="7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招标文件由以下部分组成：</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请仔细检查招标文</w:t>
      </w:r>
      <w:r>
        <w:rPr>
          <w:rFonts w:hint="eastAsia" w:ascii="宋体" w:hAnsi="宋体"/>
          <w:color w:val="auto"/>
          <w:sz w:val="24"/>
          <w:szCs w:val="21"/>
          <w:highlight w:val="none"/>
        </w:rPr>
        <w:t xml:space="preserve">件是否齐全，如有缺漏请立即与采购人或采购代理机构联系解决。</w:t>
      </w:r>
      <w:r/>
    </w:p>
    <w:p>
      <w:pPr>
        <w:ind w:firstLine="480"/>
        <w:spacing w:line="46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color w:val="auto"/>
          <w:sz w:val="24"/>
          <w:szCs w:val="24"/>
          <w:highlight w:val="none"/>
        </w:rPr>
      </w:pPr>
      <w:r/>
      <w:bookmarkStart w:id="78" w:name="_Toc462564070"/>
      <w:r/>
      <w:bookmarkStart w:id="79" w:name="_Toc20823283"/>
      <w:r/>
      <w:bookmarkStart w:id="80" w:name="_Toc16938527"/>
      <w:r/>
      <w:bookmarkStart w:id="81" w:name="_Toc513029211"/>
      <w:r>
        <w:rPr>
          <w:rFonts w:hint="eastAsia" w:ascii="宋体" w:hAnsi="宋体"/>
          <w:b/>
          <w:bCs/>
          <w:color w:val="auto"/>
          <w:sz w:val="24"/>
          <w:szCs w:val="24"/>
          <w:highlight w:val="none"/>
        </w:rPr>
        <w:t xml:space="preserve">7、招标文件的澄清</w:t>
      </w:r>
      <w:bookmarkEnd w:id="78"/>
      <w:r/>
      <w:bookmarkEnd w:id="79"/>
      <w:r/>
      <w:bookmarkEnd w:id="80"/>
      <w:r/>
      <w:bookmarkEnd w:id="81"/>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color w:val="auto"/>
          <w:sz w:val="24"/>
          <w:szCs w:val="24"/>
          <w:highlight w:val="none"/>
        </w:rPr>
      </w:pPr>
      <w:r/>
      <w:bookmarkStart w:id="82" w:name="_Toc462564071"/>
      <w:r/>
      <w:bookmarkStart w:id="83" w:name="_Toc20823284"/>
      <w:r/>
      <w:bookmarkStart w:id="84" w:name="_Toc16938528"/>
      <w:r/>
      <w:bookmarkStart w:id="85" w:name="_Toc513029212"/>
      <w:r>
        <w:rPr>
          <w:rFonts w:hint="eastAsia" w:ascii="宋体" w:hAnsi="宋体"/>
          <w:b/>
          <w:bCs/>
          <w:color w:val="auto"/>
          <w:sz w:val="24"/>
          <w:szCs w:val="24"/>
          <w:highlight w:val="none"/>
        </w:rPr>
        <w:t xml:space="preserve">8、招标文件的修改</w:t>
      </w:r>
      <w:bookmarkEnd w:id="82"/>
      <w:r/>
      <w:bookmarkEnd w:id="83"/>
      <w:r/>
      <w:bookmarkEnd w:id="84"/>
      <w:r/>
      <w:bookmarkEnd w:id="85"/>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 在投标截止时间前，采购人或采购代理机构可以对招标文件进行修改。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采购人或采购代理机构有权按照法定的要求推迟投标截止日期和开标日期。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color w:val="auto"/>
          <w:sz w:val="24"/>
          <w:szCs w:val="24"/>
          <w:highlight w:val="none"/>
        </w:rPr>
      </w:pPr>
      <w:r/>
      <w:bookmarkStart w:id="86" w:name="_Toc120614216"/>
      <w:r/>
      <w:bookmarkStart w:id="87" w:name="_Toc513029213"/>
      <w:r/>
      <w:bookmarkStart w:id="88" w:name="_Toc462564072"/>
      <w:r/>
      <w:bookmarkStart w:id="89" w:name="_Toc16938529"/>
      <w:r/>
      <w:bookmarkStart w:id="90" w:name="_Toc20823285"/>
      <w:r>
        <w:rPr>
          <w:rFonts w:hint="eastAsia" w:ascii="宋体" w:hAnsi="宋体"/>
          <w:b/>
          <w:bCs/>
          <w:color w:val="auto"/>
          <w:sz w:val="24"/>
          <w:szCs w:val="24"/>
          <w:highlight w:val="none"/>
        </w:rPr>
        <w:t xml:space="preserve">三、投标文件的编制</w:t>
      </w:r>
      <w:bookmarkEnd w:id="86"/>
      <w:r/>
      <w:bookmarkEnd w:id="87"/>
      <w:r/>
      <w:bookmarkEnd w:id="88"/>
      <w:r/>
      <w:bookmarkEnd w:id="89"/>
      <w:r/>
      <w:bookmarkEnd w:id="90"/>
      <w:r/>
      <w:r/>
    </w:p>
    <w:p>
      <w:pPr>
        <w:ind w:firstLine="480"/>
        <w:spacing w:line="460" w:lineRule="exact"/>
        <w:rPr>
          <w:rFonts w:hint="eastAsia" w:ascii="宋体" w:hAnsi="宋体"/>
          <w:color w:val="auto"/>
          <w:sz w:val="24"/>
          <w:szCs w:val="24"/>
          <w:highlight w:val="none"/>
        </w:rPr>
      </w:pPr>
      <w:r/>
      <w:bookmarkStart w:id="91" w:name="_Toc20823286"/>
      <w:r/>
      <w:bookmarkStart w:id="92" w:name="_Toc513029214"/>
      <w:r/>
      <w:bookmarkStart w:id="93" w:name="_Toc16938530"/>
      <w:r/>
      <w:bookmarkStart w:id="94" w:name="_Toc462564073"/>
      <w:r>
        <w:rPr>
          <w:rFonts w:hint="eastAsia" w:ascii="宋体" w:hAnsi="宋体"/>
          <w:color w:val="auto"/>
          <w:sz w:val="24"/>
          <w:szCs w:val="24"/>
          <w:highlight w:val="none"/>
        </w:rPr>
        <w:t xml:space="preserve">9、投标文件的语言及度量衡单位</w:t>
      </w:r>
      <w:bookmarkEnd w:id="91"/>
      <w:r/>
      <w:bookmarkEnd w:id="92"/>
      <w:r/>
      <w:bookmarkEnd w:id="93"/>
      <w:r/>
      <w:bookmarkEnd w:id="94"/>
      <w:r>
        <w:rPr>
          <w:rFonts w:hint="eastAsia" w:ascii="宋体" w:hAnsi="宋体"/>
          <w:color w:val="auto"/>
          <w:sz w:val="24"/>
          <w:szCs w:val="24"/>
          <w:highlight w:val="none"/>
        </w:rPr>
        <w:tab/>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 xml:space="preserve">简体中文。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除技术性能另有规定外，投标文件所使用的度量衡单位，均须采用国家法定计量单位。</w:t>
      </w:r>
      <w:r/>
    </w:p>
    <w:p>
      <w:pPr>
        <w:ind w:firstLine="480"/>
        <w:spacing w:line="460" w:lineRule="exact"/>
        <w:rPr>
          <w:rFonts w:hint="eastAsia" w:ascii="宋体" w:hAnsi="宋体"/>
          <w:b/>
          <w:bCs/>
          <w:color w:val="auto"/>
          <w:sz w:val="24"/>
          <w:szCs w:val="24"/>
          <w:highlight w:val="none"/>
        </w:rPr>
      </w:pPr>
      <w:r/>
      <w:bookmarkStart w:id="95" w:name="_Toc16938531"/>
      <w:r/>
      <w:bookmarkStart w:id="96" w:name="_Toc513029215"/>
      <w:r/>
      <w:bookmarkStart w:id="97" w:name="_Toc20823287"/>
      <w:r/>
      <w:bookmarkStart w:id="98" w:name="_Toc462564074"/>
      <w:r>
        <w:rPr>
          <w:rFonts w:hint="eastAsia" w:ascii="宋体" w:hAnsi="宋体"/>
          <w:b/>
          <w:bCs/>
          <w:color w:val="auto"/>
          <w:sz w:val="24"/>
          <w:szCs w:val="24"/>
          <w:highlight w:val="none"/>
        </w:rPr>
        <w:t xml:space="preserve">10、投标文件构成</w:t>
      </w:r>
      <w:bookmarkEnd w:id="95"/>
      <w:r/>
      <w:bookmarkEnd w:id="96"/>
      <w:r/>
      <w:bookmarkEnd w:id="97"/>
      <w:r/>
      <w:bookmarkEnd w:id="98"/>
      <w:r/>
      <w:r/>
    </w:p>
    <w:p>
      <w:pPr>
        <w:ind w:firstLine="480"/>
        <w:spacing w:line="460" w:lineRule="exact"/>
        <w:rPr>
          <w:rFonts w:hint="eastAsia" w:ascii="宋体" w:hAnsi="宋体"/>
          <w:color w:val="auto"/>
          <w:sz w:val="24"/>
          <w:szCs w:val="24"/>
          <w:highlight w:val="none"/>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513029216"/>
      <w:r/>
      <w:bookmarkStart w:id="104" w:name="_Toc49090507"/>
      <w:r/>
      <w:bookmarkStart w:id="105" w:name="_Toc49090509"/>
      <w:r/>
      <w:bookmarkStart w:id="106" w:name="_Toc513029219"/>
      <w:r/>
      <w:bookmarkStart w:id="107" w:name="_Toc14577354"/>
      <w:r/>
      <w:bookmarkStart w:id="108" w:name="_Toc14577355"/>
      <w:r/>
      <w:bookmarkStart w:id="109" w:name="_Toc49090508"/>
      <w:r>
        <w:rPr>
          <w:rFonts w:hint="eastAsia" w:ascii="宋体" w:hAnsi="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投标人应按照招标文件要求提交证明文件，证明其及投标标的符合招标文件规定。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8"/>
      <w:r/>
      <w:bookmarkEnd w:id="109"/>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12、投标分项报价表（如有）</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投标人应按照招标文件规定格式填报投标分项报价表。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color w:val="auto"/>
          <w:sz w:val="24"/>
          <w:szCs w:val="24"/>
          <w:highlight w:val="none"/>
        </w:rPr>
      </w:pPr>
      <w:r/>
      <w:bookmarkStart w:id="110" w:name="_Hlt26670486"/>
      <w:r/>
      <w:bookmarkEnd w:id="110"/>
      <w:r/>
      <w:bookmarkStart w:id="111" w:name="_Hlt26954846"/>
      <w:r/>
      <w:bookmarkEnd w:id="111"/>
      <w:r/>
      <w:bookmarkStart w:id="112" w:name="_Hlt26954848"/>
      <w:r/>
      <w:bookmarkEnd w:id="112"/>
      <w:r/>
      <w:bookmarkStart w:id="113" w:name="_Hlt26954731"/>
      <w:r/>
      <w:bookmarkEnd w:id="113"/>
      <w:r/>
      <w:bookmarkStart w:id="114" w:name="_Hlt26670482"/>
      <w:r/>
      <w:bookmarkEnd w:id="114"/>
      <w:r>
        <w:rPr>
          <w:rFonts w:hint="eastAsia" w:ascii="宋体" w:hAnsi="宋体"/>
          <w:b/>
          <w:color w:val="auto"/>
          <w:sz w:val="24"/>
          <w:szCs w:val="24"/>
          <w:highlight w:val="none"/>
        </w:rPr>
        <w:t xml:space="preserve">13、技术要求响应及偏离表、商务要求响应及偏离表</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投标人需对招标文件中的技术要求与商务要求逐项作出响应或偏离，并说明原因。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投标人可在投标文件中提供认为需要的其他技术文件或说明。</w:t>
      </w:r>
      <w:r/>
    </w:p>
    <w:p>
      <w:pPr>
        <w:ind w:firstLine="480"/>
        <w:spacing w:line="460" w:lineRule="exact"/>
        <w:rPr>
          <w:rFonts w:hint="eastAsia" w:ascii="宋体" w:hAnsi="宋体"/>
          <w:b/>
          <w:color w:val="auto"/>
          <w:sz w:val="24"/>
          <w:szCs w:val="24"/>
          <w:highlight w:val="none"/>
        </w:rPr>
      </w:pPr>
      <w:r/>
      <w:bookmarkStart w:id="115" w:name="_Toc14577359"/>
      <w:r/>
      <w:bookmarkStart w:id="116" w:name="_Toc49090510"/>
      <w:r>
        <w:rPr>
          <w:rFonts w:hint="eastAsia" w:ascii="宋体" w:hAnsi="宋体"/>
          <w:b/>
          <w:color w:val="auto"/>
          <w:sz w:val="24"/>
          <w:szCs w:val="24"/>
          <w:highlight w:val="none"/>
        </w:rPr>
        <w:t xml:space="preserve">14、投标函和开标一览表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投标人应按照招标文件中提供的格式完整、正确填写投标函、开标一览表。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80"/>
        <w:spacing w:line="460" w:lineRule="exact"/>
        <w:rPr>
          <w:rFonts w:hint="eastAsia" w:ascii="宋体" w:hAnsi="宋体"/>
          <w:b/>
          <w:color w:val="auto"/>
          <w:sz w:val="24"/>
          <w:szCs w:val="24"/>
          <w:highlight w:val="none"/>
        </w:rPr>
      </w:pPr>
      <w:r/>
      <w:bookmarkStart w:id="117" w:name="_Toc14577360"/>
      <w:r/>
      <w:bookmarkStart w:id="118" w:name="_Toc49090511"/>
      <w:r>
        <w:rPr>
          <w:rFonts w:hint="eastAsia" w:ascii="宋体" w:hAnsi="宋体"/>
          <w:b/>
          <w:color w:val="auto"/>
          <w:sz w:val="24"/>
          <w:szCs w:val="24"/>
          <w:highlight w:val="none"/>
        </w:rPr>
        <w:t xml:space="preserve">15、投标有效期</w:t>
      </w:r>
      <w:bookmarkEnd w:id="117"/>
      <w:r/>
      <w:bookmarkEnd w:id="118"/>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六十（60）</w:t>
      </w:r>
      <w:r>
        <w:rPr>
          <w:rFonts w:hint="eastAsia" w:ascii="宋体" w:hAnsi="宋体"/>
          <w:b/>
          <w:bCs/>
          <w:color w:val="auto"/>
          <w:sz w:val="24"/>
          <w:szCs w:val="24"/>
          <w:highlight w:val="none"/>
        </w:rPr>
        <w:t xml:space="preserve">天</w:t>
      </w:r>
      <w:r>
        <w:rPr>
          <w:rFonts w:hint="eastAsia" w:ascii="宋体" w:hAnsi="宋体"/>
          <w:color w:val="auto"/>
          <w:sz w:val="24"/>
          <w:szCs w:val="24"/>
          <w:highlight w:val="none"/>
        </w:rPr>
        <w:t xml:space="preserve">。投标有效期比规定短的将被视为未实质性响应招标文件而予以拒绝。</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16、投标有效期的延长</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color w:val="auto"/>
          <w:sz w:val="24"/>
          <w:szCs w:val="24"/>
          <w:highlight w:val="none"/>
        </w:rPr>
      </w:pPr>
      <w:r/>
      <w:bookmarkStart w:id="119" w:name="_Hlt26954852"/>
      <w:r/>
      <w:bookmarkEnd w:id="119"/>
      <w:r/>
      <w:bookmarkStart w:id="120" w:name="_Hlt26954739"/>
      <w:r/>
      <w:bookmarkEnd w:id="120"/>
      <w:r/>
      <w:bookmarkStart w:id="121" w:name="_Toc20823296"/>
      <w:r/>
      <w:bookmarkStart w:id="122" w:name="_Toc120614217"/>
      <w:r/>
      <w:bookmarkStart w:id="123" w:name="_Toc513029224"/>
      <w:r/>
      <w:bookmarkStart w:id="124" w:name="_Toc16938540"/>
      <w:r>
        <w:rPr>
          <w:rFonts w:hint="eastAsia" w:ascii="宋体" w:hAnsi="宋体"/>
          <w:b/>
          <w:color w:val="auto"/>
          <w:sz w:val="24"/>
          <w:szCs w:val="24"/>
          <w:highlight w:val="none"/>
        </w:rPr>
        <w:t xml:space="preserve">四、投标文件的递交</w:t>
      </w:r>
      <w:bookmarkEnd w:id="121"/>
      <w:r/>
      <w:bookmarkEnd w:id="122"/>
      <w:r/>
      <w:bookmarkEnd w:id="123"/>
      <w:r/>
      <w:bookmarkEnd w:id="124"/>
      <w:r/>
      <w:r/>
    </w:p>
    <w:p>
      <w:pPr>
        <w:ind w:firstLine="480"/>
        <w:spacing w:line="460" w:lineRule="exact"/>
        <w:rPr>
          <w:rFonts w:hint="eastAsia" w:ascii="宋体" w:hAnsi="宋体"/>
          <w:b/>
          <w:color w:val="auto"/>
          <w:sz w:val="24"/>
          <w:szCs w:val="24"/>
          <w:highlight w:val="none"/>
        </w:rPr>
      </w:pPr>
      <w:r/>
      <w:bookmarkStart w:id="125" w:name="_Toc20823297"/>
      <w:r/>
      <w:bookmarkStart w:id="126" w:name="_Toc16938541"/>
      <w:r/>
      <w:bookmarkStart w:id="127" w:name="_Toc462564084"/>
      <w:r/>
      <w:bookmarkStart w:id="128" w:name="_Toc513029225"/>
      <w:r>
        <w:rPr>
          <w:rFonts w:hint="eastAsia" w:ascii="宋体" w:hAnsi="宋体"/>
          <w:b/>
          <w:color w:val="auto"/>
          <w:sz w:val="24"/>
          <w:szCs w:val="24"/>
          <w:highlight w:val="none"/>
        </w:rPr>
        <w:t xml:space="preserve">17、电子投标文件</w:t>
      </w:r>
      <w:bookmarkEnd w:id="125"/>
      <w:r/>
      <w:bookmarkEnd w:id="126"/>
      <w:r/>
      <w:bookmarkEnd w:id="127"/>
      <w:r/>
      <w:bookmarkEnd w:id="128"/>
      <w:r>
        <w:rPr>
          <w:rFonts w:hint="eastAsia" w:ascii="宋体" w:hAnsi="宋体"/>
          <w:b/>
          <w:color w:val="auto"/>
          <w:sz w:val="24"/>
          <w:szCs w:val="24"/>
          <w:highlight w:val="none"/>
        </w:rPr>
        <w:t xml:space="preserve">的递交</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17.1投标人应当按照《操作手册》规定，在投标截止时间前</w:t>
      </w:r>
      <w:r>
        <w:rPr>
          <w:rFonts w:ascii="宋体" w:hAnsi="宋体"/>
          <w:color w:val="auto"/>
          <w:sz w:val="24"/>
          <w:szCs w:val="24"/>
          <w:highlight w:val="none"/>
        </w:rPr>
        <w:t xml:space="preserve">制作</w:t>
      </w:r>
      <w:r>
        <w:rPr>
          <w:rFonts w:hint="eastAsia" w:ascii="宋体" w:hAnsi="宋体"/>
          <w:color w:val="auto"/>
          <w:sz w:val="24"/>
          <w:szCs w:val="24"/>
          <w:highlight w:val="none"/>
        </w:rPr>
        <w:t xml:space="preserve">并上传电子投标文件。</w:t>
      </w:r>
      <w:bookmarkStart w:id="129" w:name="_Toc16938542"/>
      <w:r/>
      <w:bookmarkStart w:id="130" w:name="_Toc20823298"/>
      <w:r/>
      <w:bookmarkStart w:id="131" w:name="_Toc513029226"/>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w:t>
      </w:r>
      <w:r>
        <w:rPr>
          <w:rFonts w:hint="eastAsia" w:ascii="宋体" w:hAnsi="宋体"/>
          <w:b/>
          <w:color w:val="auto"/>
          <w:sz w:val="24"/>
          <w:szCs w:val="24"/>
          <w:highlight w:val="none"/>
        </w:rPr>
        <w:t xml:space="preserve">中标人在领取中标通知书之前，必须提供</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份与电子投标文件一致的纸质打印投标文件并且加盖投标人公章。</w:t>
      </w:r>
      <w:r/>
    </w:p>
    <w:p>
      <w:pPr>
        <w:ind w:firstLine="480"/>
        <w:spacing w:line="460" w:lineRule="exact"/>
        <w:rPr>
          <w:rFonts w:hint="eastAsia" w:ascii="宋体" w:hAnsi="宋体"/>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8、投标截止日期</w:t>
      </w:r>
      <w:bookmarkEnd w:id="129"/>
      <w:r/>
      <w:bookmarkEnd w:id="130"/>
      <w:r/>
      <w:bookmarkEnd w:id="131"/>
      <w:r/>
      <w:r/>
    </w:p>
    <w:p>
      <w:pPr>
        <w:ind w:firstLine="480"/>
        <w:spacing w:line="460" w:lineRule="exact"/>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 xml:space="preserve">1</w:t>
      </w:r>
      <w:r>
        <w:rPr>
          <w:rFonts w:hint="eastAsia" w:ascii="宋体" w:hAnsi="宋体"/>
          <w:b/>
          <w:i/>
          <w:iCs/>
          <w:color w:val="auto"/>
          <w:sz w:val="24"/>
          <w:szCs w:val="24"/>
          <w:highlight w:val="none"/>
          <w:u w:val="single"/>
        </w:rPr>
        <w:t xml:space="preserve">8.1 投标人上传电子投标文件的时间不得迟于招标公告中规定的投标截止时间。</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.1.2条规定做无效投标处理。</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color w:val="auto"/>
          <w:sz w:val="24"/>
          <w:szCs w:val="24"/>
          <w:highlight w:val="none"/>
        </w:rPr>
      </w:pPr>
      <w:r/>
      <w:bookmarkStart w:id="132" w:name="_Toc16938543"/>
      <w:r/>
      <w:bookmarkStart w:id="133" w:name="_Toc513029227"/>
      <w:r/>
      <w:bookmarkStart w:id="134" w:name="_Toc20823299"/>
      <w:r>
        <w:rPr>
          <w:rFonts w:hint="eastAsia" w:ascii="宋体" w:hAnsi="宋体"/>
          <w:b/>
          <w:color w:val="auto"/>
          <w:sz w:val="24"/>
          <w:szCs w:val="24"/>
          <w:highlight w:val="none"/>
        </w:rPr>
        <w:t xml:space="preserve">19、投标文件</w:t>
      </w:r>
      <w:bookmarkEnd w:id="132"/>
      <w:r/>
      <w:bookmarkEnd w:id="133"/>
      <w:r/>
      <w:bookmarkEnd w:id="134"/>
      <w:r>
        <w:rPr>
          <w:rFonts w:hint="eastAsia" w:ascii="宋体" w:hAnsi="宋体"/>
          <w:b/>
          <w:color w:val="auto"/>
          <w:sz w:val="24"/>
          <w:szCs w:val="24"/>
          <w:highlight w:val="none"/>
        </w:rPr>
        <w:t xml:space="preserve">的拒收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 采购人及采购代理机构拒绝接收在其规定的投标截止时间后上传的任何投标文件。</w:t>
      </w:r>
      <w:r/>
    </w:p>
    <w:p>
      <w:pPr>
        <w:ind w:firstLine="480"/>
        <w:spacing w:line="460" w:lineRule="exact"/>
        <w:rPr>
          <w:rFonts w:hint="eastAsia" w:ascii="宋体" w:hAnsi="宋体"/>
          <w:b/>
          <w:color w:val="auto"/>
          <w:sz w:val="24"/>
          <w:szCs w:val="24"/>
          <w:highlight w:val="none"/>
        </w:rPr>
      </w:pPr>
      <w:r/>
      <w:bookmarkStart w:id="135" w:name="_Toc513029228"/>
      <w:r/>
      <w:bookmarkStart w:id="136" w:name="_Toc20823300"/>
      <w:r/>
      <w:bookmarkStart w:id="137" w:name="_Toc16938544"/>
      <w:r>
        <w:rPr>
          <w:rFonts w:hint="eastAsia" w:ascii="宋体" w:hAnsi="宋体"/>
          <w:b/>
          <w:color w:val="auto"/>
          <w:sz w:val="24"/>
          <w:szCs w:val="24"/>
          <w:highlight w:val="none"/>
        </w:rPr>
        <w:t xml:space="preserve">20、投标文件的撤回和修改</w:t>
      </w:r>
      <w:bookmarkEnd w:id="135"/>
      <w:r/>
      <w:bookmarkEnd w:id="136"/>
      <w:r/>
      <w:bookmarkEnd w:id="13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20.1.1 电子投标文件的撤回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2.2</w:t>
      </w:r>
      <w:r>
        <w:rPr>
          <w:rFonts w:hint="eastAsia" w:ascii="宋体" w:hAnsi="宋体"/>
          <w:color w:val="auto"/>
          <w:sz w:val="24"/>
          <w:szCs w:val="24"/>
          <w:highlight w:val="none"/>
        </w:rPr>
        <w:t xml:space="preserve"> 在投标截止时间之后，投标人不得对其电子投标文件作任何修改。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20.3 在投标截止时间至招标文件中规定的投标有效期满之间的这段时间内，投标人不得撤回其投标。</w:t>
      </w:r>
      <w:r/>
    </w:p>
    <w:p>
      <w:pPr>
        <w:ind w:firstLine="480"/>
        <w:spacing w:line="460" w:lineRule="exact"/>
        <w:rPr>
          <w:rFonts w:hint="eastAsia" w:ascii="宋体" w:hAnsi="宋体"/>
          <w:b/>
          <w:color w:val="auto"/>
          <w:sz w:val="24"/>
          <w:szCs w:val="24"/>
          <w:highlight w:val="none"/>
        </w:rPr>
      </w:pPr>
      <w:r/>
      <w:bookmarkStart w:id="138" w:name="_Toc20823301"/>
      <w:r/>
      <w:bookmarkStart w:id="139" w:name="_Toc513029229"/>
      <w:r/>
      <w:bookmarkStart w:id="140" w:name="_Toc120614218"/>
      <w:r/>
      <w:bookmarkStart w:id="141" w:name="_Toc16938545"/>
      <w:r>
        <w:rPr>
          <w:rFonts w:hint="eastAsia" w:ascii="宋体" w:hAnsi="宋体"/>
          <w:b/>
          <w:color w:val="auto"/>
          <w:sz w:val="24"/>
          <w:szCs w:val="24"/>
          <w:highlight w:val="none"/>
        </w:rPr>
        <w:t xml:space="preserve">五、开标与评标</w:t>
      </w:r>
      <w:bookmarkEnd w:id="138"/>
      <w:r/>
      <w:bookmarkEnd w:id="139"/>
      <w:r/>
      <w:bookmarkEnd w:id="140"/>
      <w:r/>
      <w:bookmarkEnd w:id="141"/>
      <w:r/>
      <w:r/>
    </w:p>
    <w:p>
      <w:pPr>
        <w:ind w:firstLine="480"/>
        <w:spacing w:line="460" w:lineRule="exact"/>
        <w:rPr>
          <w:rFonts w:hint="eastAsia" w:ascii="宋体" w:hAnsi="宋体"/>
          <w:b/>
          <w:color w:val="auto"/>
          <w:sz w:val="24"/>
          <w:szCs w:val="24"/>
          <w:highlight w:val="none"/>
        </w:rPr>
      </w:pPr>
      <w:r/>
      <w:bookmarkStart w:id="142" w:name="_Toc16938546"/>
      <w:r/>
      <w:bookmarkStart w:id="143" w:name="_Toc513029230"/>
      <w:r/>
      <w:bookmarkStart w:id="144" w:name="_Toc20823302"/>
      <w:r>
        <w:rPr>
          <w:rFonts w:hint="eastAsia" w:ascii="宋体" w:hAnsi="宋体"/>
          <w:b/>
          <w:color w:val="auto"/>
          <w:sz w:val="24"/>
          <w:szCs w:val="24"/>
          <w:highlight w:val="none"/>
        </w:rPr>
        <w:t xml:space="preserve">21、开标</w:t>
      </w:r>
      <w:bookmarkEnd w:id="142"/>
      <w:r/>
      <w:bookmarkEnd w:id="143"/>
      <w:r/>
      <w:bookmarkEnd w:id="14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 采购人或采购代理机构将在招标公告中规定的时间和地点组织公开开标。投标人应当按照《操作手册》规定，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21.3投标人在开标过程中涉及到的投标文件解密、开标结果确认等工作，应按照《操作手册》规定执行。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color w:val="auto"/>
          <w:sz w:val="24"/>
          <w:szCs w:val="24"/>
          <w:highlight w:val="none"/>
        </w:rPr>
      </w:pPr>
      <w:r/>
      <w:bookmarkStart w:id="145" w:name="_Toc513029231"/>
      <w:r/>
      <w:bookmarkStart w:id="146" w:name="_Toc20823303"/>
      <w:r/>
      <w:bookmarkStart w:id="147" w:name="_Toc16938547"/>
      <w:r>
        <w:rPr>
          <w:rFonts w:hint="eastAsia" w:ascii="宋体" w:hAnsi="宋体"/>
          <w:b/>
          <w:color w:val="auto"/>
          <w:sz w:val="24"/>
          <w:szCs w:val="24"/>
          <w:highlight w:val="none"/>
        </w:rPr>
        <w:t xml:space="preserve">22、评标委员会</w:t>
      </w:r>
      <w:r/>
    </w:p>
    <w:p>
      <w:pPr>
        <w:ind w:firstLine="480"/>
        <w:spacing w:line="4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 开标后，采购人将立即组织评标委员会（以下简称评委会）进行评标。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 评委会由采购人代表和有关技术、经济等方面的专家组成，且人员构成符合政府采购有关规定。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23、评标过程的保密与公正</w:t>
      </w:r>
      <w:bookmarkEnd w:id="145"/>
      <w:r/>
      <w:bookmarkEnd w:id="146"/>
      <w:r/>
      <w:bookmarkEnd w:id="14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color w:val="auto"/>
          <w:sz w:val="24"/>
          <w:szCs w:val="24"/>
          <w:highlight w:val="none"/>
        </w:rPr>
      </w:pPr>
      <w:r/>
      <w:bookmarkStart w:id="148" w:name="_Toc20823304"/>
      <w:r/>
      <w:bookmarkStart w:id="149" w:name="_Toc513029232"/>
      <w:r/>
      <w:bookmarkStart w:id="150" w:name="_Toc16938548"/>
      <w:r>
        <w:rPr>
          <w:rFonts w:hint="eastAsia" w:ascii="宋体" w:hAnsi="宋体"/>
          <w:b/>
          <w:color w:val="auto"/>
          <w:sz w:val="24"/>
          <w:szCs w:val="24"/>
          <w:highlight w:val="none"/>
        </w:rPr>
        <w:t xml:space="preserve">24、投标文件的澄清</w:t>
      </w:r>
      <w:bookmarkEnd w:id="148"/>
      <w:r/>
      <w:bookmarkEnd w:id="149"/>
      <w:r/>
      <w:bookmarkEnd w:id="150"/>
      <w:r/>
      <w:r/>
    </w:p>
    <w:p>
      <w:pPr>
        <w:ind w:firstLine="480"/>
        <w:spacing w:line="460" w:lineRule="exact"/>
        <w:rPr>
          <w:rFonts w:hint="eastAsia" w:ascii="宋体" w:hAnsi="宋体"/>
          <w:color w:val="auto"/>
          <w:sz w:val="24"/>
          <w:szCs w:val="24"/>
          <w:highlight w:val="none"/>
        </w:rPr>
      </w:pPr>
      <w:r/>
      <w:bookmarkStart w:id="151" w:name="_Toc20823305"/>
      <w:r/>
      <w:bookmarkStart w:id="152" w:name="_Toc513029233"/>
      <w:r/>
      <w:bookmarkStart w:id="153" w:name="_Toc16938549"/>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25、对投标文件的初审</w:t>
      </w:r>
      <w:bookmarkEnd w:id="151"/>
      <w:r/>
      <w:bookmarkEnd w:id="152"/>
      <w:r/>
      <w:bookmarkEnd w:id="153"/>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25.1投标文件初审分为资格审查和符合性审查。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的身份共同参加政府采购活动的,联合体成员中任何一方存在不良信用记录的，视同联合体存在不良应用记录。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25.5评委会将按上述修正错误的方法调整投标文件中的投标报价，并</w:t>
      </w:r>
      <w:r>
        <w:rPr>
          <w:rFonts w:ascii="宋体" w:hAnsi="宋体"/>
          <w:color w:val="auto"/>
          <w:sz w:val="24"/>
          <w:szCs w:val="24"/>
          <w:highlight w:val="none"/>
        </w:rPr>
        <w:t xml:space="preserve">通过</w:t>
      </w:r>
      <w:r>
        <w:rPr>
          <w:rFonts w:hint="eastAsia" w:ascii="宋体" w:hAnsi="宋体"/>
          <w:color w:val="auto"/>
          <w:sz w:val="24"/>
          <w:szCs w:val="24"/>
          <w:highlight w:val="none"/>
        </w:rPr>
        <w:t xml:space="preserve">苏采云系统告知</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color w:val="auto"/>
          <w:sz w:val="24"/>
          <w:szCs w:val="24"/>
          <w:highlight w:val="none"/>
        </w:rPr>
      </w:pPr>
      <w:r/>
      <w:bookmarkStart w:id="154" w:name="_Toc16938550"/>
      <w:r/>
      <w:bookmarkStart w:id="155" w:name="_Toc20823306"/>
      <w:r/>
      <w:bookmarkStart w:id="156" w:name="_Toc513029234"/>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并安排专人与采购代理机构及评标委员会联系。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26、</w:t>
      </w:r>
      <w:bookmarkEnd w:id="154"/>
      <w:r/>
      <w:bookmarkEnd w:id="155"/>
      <w:r/>
      <w:bookmarkEnd w:id="156"/>
      <w:r>
        <w:rPr>
          <w:rFonts w:hint="eastAsia" w:ascii="宋体" w:hAnsi="宋体"/>
          <w:b/>
          <w:color w:val="auto"/>
          <w:sz w:val="24"/>
          <w:szCs w:val="24"/>
          <w:highlight w:val="none"/>
        </w:rPr>
        <w:t xml:space="preserve">无效投标条款和废标条款</w:t>
      </w:r>
      <w:r/>
    </w:p>
    <w:p>
      <w:pPr>
        <w:ind w:firstLine="480"/>
        <w:spacing w:line="460" w:lineRule="exact"/>
        <w:rPr>
          <w:rFonts w:hint="eastAsia" w:ascii="宋体" w:hAnsi="宋体"/>
          <w:color w:val="auto"/>
          <w:sz w:val="24"/>
          <w:szCs w:val="24"/>
          <w:highlight w:val="none"/>
        </w:rPr>
      </w:pPr>
      <w:r/>
      <w:bookmarkStart w:id="157" w:name="_Toc513029235"/>
      <w:r/>
      <w:bookmarkStart w:id="158" w:name="_Toc16938551"/>
      <w:r/>
      <w:bookmarkStart w:id="159" w:name="_Toc20823307"/>
      <w:r>
        <w:rPr>
          <w:rFonts w:hint="eastAsia" w:ascii="宋体" w:hAnsi="宋体"/>
          <w:color w:val="auto"/>
          <w:sz w:val="24"/>
          <w:szCs w:val="24"/>
          <w:highlight w:val="none"/>
        </w:rPr>
        <w:t xml:space="preserve">26.1无效投标条款</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 投标人在苏采云系统规定的时间内未成功解密电子投标文件的。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投标人未按照招标文件要求上传电子投标文件的。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同一投标人提交两个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含</w:t>
      </w:r>
      <w:r>
        <w:rPr>
          <w:rFonts w:ascii="宋体" w:hAnsi="宋体"/>
          <w:color w:val="auto"/>
          <w:sz w:val="24"/>
          <w:szCs w:val="24"/>
          <w:highlight w:val="none"/>
        </w:rPr>
        <w:t xml:space="preserve">两个）</w:t>
      </w:r>
      <w:r>
        <w:rPr>
          <w:rFonts w:hint="eastAsia" w:ascii="宋体" w:hAnsi="宋体"/>
          <w:color w:val="auto"/>
          <w:sz w:val="24"/>
          <w:szCs w:val="24"/>
          <w:highlight w:val="none"/>
        </w:rPr>
        <w:t xml:space="preserve">以上不同的</w:t>
      </w:r>
      <w:r>
        <w:rPr>
          <w:rFonts w:ascii="宋体" w:hAnsi="宋体"/>
          <w:color w:val="auto"/>
          <w:sz w:val="24"/>
          <w:szCs w:val="24"/>
          <w:highlight w:val="none"/>
        </w:rPr>
        <w:t xml:space="preserve">投标报价的。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投标人不具备招标文件中规定资格要求的。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投标人的报价超过了采购预算或最高限价的。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未通过符合性审查的。</w:t>
      </w:r>
      <w:r/>
    </w:p>
    <w:p>
      <w:pPr>
        <w:ind w:firstLine="480"/>
        <w:spacing w:line="460" w:lineRule="exact"/>
        <w:rPr>
          <w:rFonts w:hint="eastAsia" w:ascii="宋体" w:hAnsi="宋体"/>
          <w:i/>
          <w:iCs/>
          <w:color w:val="auto"/>
          <w:sz w:val="24"/>
          <w:szCs w:val="24"/>
          <w:highlight w:val="none"/>
          <w:u w:val="singl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不符合招标文件中规定的实质性要求和条件的</w:t>
      </w:r>
      <w:r>
        <w:rPr>
          <w:rFonts w:hint="eastAsia" w:ascii="宋体" w:hAnsi="宋体"/>
          <w:i/>
          <w:iCs/>
          <w:color w:val="auto"/>
          <w:sz w:val="24"/>
          <w:szCs w:val="24"/>
          <w:highlight w:val="none"/>
          <w:u w:val="single"/>
        </w:rPr>
        <w:t xml:space="preserve">（本招标文件中斜体且有下划线部分为实质性要求和条件）。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9</w:t>
      </w:r>
      <w:r>
        <w:rPr>
          <w:rFonts w:hint="eastAsia" w:ascii="宋体" w:hAnsi="宋体"/>
          <w:color w:val="auto"/>
          <w:sz w:val="24"/>
          <w:szCs w:val="24"/>
          <w:highlight w:val="none"/>
        </w:rPr>
        <w:t xml:space="preserve">  投标文件含有采购人不能接受的附加条件的。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26.1.10.1评审过程中出现下列情形之一的，评审委员会应当启动异常低价投标（响应）审查程序：</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26.1.10.1.1投标（响应）报价低于采购项目预算 50% 的，即投标（响应）报价&lt;采购项目预算×50%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26.1.10.1.2投标（响应）报价低于采购项目最高限价 45% 的，即投标（响应）报价&lt;采购项目最高限价×45%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26.1.10.1.3评审委员会认定的</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报价过低、有可能影响产品质量或者不能诚信履约的其他情形。</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26.1.10.2启动异常低价投标（响应）审查后，评审委员会应当要求相关</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报价合理性进行判断。投标（响应）</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26.1.11 投标文件未按照招标文件要求加盖CA电子公章的。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26.1.12其他法律、法规及本招标文件规定的属无效投标的情形。</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26.2废标条款</w:t>
      </w:r>
      <w:r/>
    </w:p>
    <w:p>
      <w:pPr>
        <w:ind w:left="479"/>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26.2.1符合专业条件的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或者对招标文件作实质响应的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不足三家的。26.2.2出现影响采购公正的违法、违规行为的。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26.2.3因重大变故，采购任务取消的。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26.2.4评标委员会认定招标文件存在歧义、重大缺陷导致评审工作无法进行。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26.2.5 因苏采云系统</w:t>
      </w:r>
      <w:r>
        <w:rPr>
          <w:rFonts w:ascii="宋体" w:hAnsi="宋体"/>
          <w:color w:val="auto"/>
          <w:sz w:val="24"/>
          <w:szCs w:val="24"/>
          <w:highlight w:val="none"/>
        </w:rPr>
        <w:t xml:space="preserve">系统故障原因造成开标不成功</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 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不足三家的处理：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26.3.1如出现投标截止时间结束后参加投标的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或者在评标期间对招标文件做出实质响应的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不足三家情况，按政府采购相关规定执行。</w:t>
      </w:r>
      <w:r/>
    </w:p>
    <w:p>
      <w:pPr>
        <w:ind w:firstLine="480"/>
        <w:spacing w:line="460" w:lineRule="exact"/>
        <w:rPr>
          <w:rFonts w:hint="eastAsia" w:ascii="宋体" w:hAnsi="宋体"/>
          <w:b/>
          <w:color w:val="auto"/>
          <w:sz w:val="24"/>
          <w:szCs w:val="24"/>
          <w:highlight w:val="none"/>
        </w:rPr>
      </w:pPr>
      <w:r/>
      <w:bookmarkStart w:id="160" w:name="_Toc120614219"/>
      <w:r>
        <w:rPr>
          <w:rFonts w:hint="eastAsia" w:ascii="宋体" w:hAnsi="宋体"/>
          <w:b/>
          <w:color w:val="auto"/>
          <w:sz w:val="24"/>
          <w:szCs w:val="24"/>
          <w:highlight w:val="none"/>
        </w:rPr>
        <w:t xml:space="preserve">六、</w:t>
      </w:r>
      <w:bookmarkEnd w:id="157"/>
      <w:r/>
      <w:bookmarkEnd w:id="158"/>
      <w:r/>
      <w:bookmarkEnd w:id="159"/>
      <w:r>
        <w:rPr>
          <w:rFonts w:hint="eastAsia" w:ascii="宋体" w:hAnsi="宋体"/>
          <w:b/>
          <w:color w:val="auto"/>
          <w:sz w:val="24"/>
          <w:szCs w:val="24"/>
          <w:highlight w:val="none"/>
        </w:rPr>
        <w:t xml:space="preserve">定标</w:t>
      </w:r>
      <w:bookmarkEnd w:id="160"/>
      <w:r/>
      <w:r/>
    </w:p>
    <w:p>
      <w:pPr>
        <w:ind w:firstLine="480"/>
        <w:spacing w:line="460" w:lineRule="exact"/>
        <w:rPr>
          <w:rFonts w:hint="eastAsia" w:ascii="宋体" w:hAnsi="宋体"/>
          <w:b/>
          <w:color w:val="auto"/>
          <w:sz w:val="24"/>
          <w:szCs w:val="24"/>
          <w:highlight w:val="none"/>
        </w:rPr>
      </w:pPr>
      <w:r/>
      <w:bookmarkStart w:id="161" w:name="_Toc513029238"/>
      <w:r/>
      <w:bookmarkStart w:id="162" w:name="_Toc20823310"/>
      <w:r/>
      <w:bookmarkStart w:id="163" w:name="_Toc16938554"/>
      <w:r>
        <w:rPr>
          <w:rFonts w:hint="eastAsia" w:ascii="宋体" w:hAnsi="宋体"/>
          <w:b/>
          <w:color w:val="auto"/>
          <w:sz w:val="24"/>
          <w:szCs w:val="24"/>
          <w:highlight w:val="none"/>
        </w:rPr>
        <w:t xml:space="preserve">27、</w:t>
      </w:r>
      <w:bookmarkEnd w:id="161"/>
      <w:r>
        <w:rPr>
          <w:rFonts w:hint="eastAsia" w:ascii="宋体" w:hAnsi="宋体"/>
          <w:b/>
          <w:color w:val="auto"/>
          <w:sz w:val="24"/>
          <w:szCs w:val="24"/>
          <w:highlight w:val="none"/>
        </w:rPr>
        <w:t xml:space="preserve">确定</w:t>
      </w:r>
      <w:bookmarkEnd w:id="162"/>
      <w:r/>
      <w:bookmarkEnd w:id="163"/>
      <w:r>
        <w:rPr>
          <w:rFonts w:hint="eastAsia" w:ascii="宋体" w:hAnsi="宋体"/>
          <w:b/>
          <w:color w:val="auto"/>
          <w:sz w:val="24"/>
          <w:szCs w:val="24"/>
          <w:highlight w:val="none"/>
        </w:rPr>
        <w:t xml:space="preserve">中标单位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采购人应根据评委会推荐的中标候选人确定中标人。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 采购代理机构将在中国政府采购网”、“江苏政府采购网”、“盐城市政府采购网”、“阜宁县公共资源电子化服务平台“发布中标公告，公告期限为1个工作日。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27.4.2向采购人、采购中心行贿或者提供其他不正当利益的。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恶意串通的。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w:t>
      </w:r>
      <w:r/>
    </w:p>
    <w:p>
      <w:pPr>
        <w:ind w:firstLine="480"/>
        <w:spacing w:line="460" w:lineRule="exact"/>
        <w:rPr>
          <w:rFonts w:hint="eastAsia" w:ascii="宋体" w:hAnsi="宋体"/>
          <w:color w:val="auto"/>
          <w:sz w:val="24"/>
          <w:szCs w:val="24"/>
          <w:highlight w:val="none"/>
        </w:rPr>
      </w:pPr>
      <w:r/>
      <w:bookmarkStart w:id="164" w:name="_Toc200451960"/>
      <w:r>
        <w:rPr>
          <w:rFonts w:hint="eastAsia" w:ascii="宋体" w:hAnsi="宋体"/>
          <w:color w:val="auto"/>
          <w:sz w:val="24"/>
          <w:szCs w:val="24"/>
          <w:highlight w:val="none"/>
        </w:rPr>
        <w:t xml:space="preserve">27.5. </w:t>
      </w:r>
      <w:r>
        <w:rPr>
          <w:rFonts w:ascii="宋体" w:hAnsi="宋体"/>
          <w:color w:val="auto"/>
          <w:sz w:val="24"/>
          <w:szCs w:val="24"/>
          <w:highlight w:val="none"/>
        </w:rPr>
        <w:t xml:space="preserve">有下列情形之一的，</w:t>
      </w:r>
      <w:r>
        <w:rPr>
          <w:rFonts w:hint="eastAsia" w:ascii="宋体" w:hAnsi="宋体"/>
          <w:color w:val="auto"/>
          <w:sz w:val="24"/>
          <w:szCs w:val="24"/>
          <w:highlight w:val="none"/>
        </w:rPr>
        <w:t xml:space="preserve">视为投标人</w:t>
      </w:r>
      <w:r>
        <w:rPr>
          <w:rFonts w:ascii="宋体" w:hAnsi="宋体"/>
          <w:color w:val="auto"/>
          <w:sz w:val="24"/>
          <w:szCs w:val="24"/>
          <w:highlight w:val="none"/>
        </w:rPr>
        <w:t xml:space="preserve">串通</w:t>
      </w:r>
      <w:r>
        <w:rPr>
          <w:rFonts w:hint="eastAsia" w:ascii="宋体" w:hAnsi="宋体"/>
          <w:color w:val="auto"/>
          <w:sz w:val="24"/>
          <w:szCs w:val="24"/>
          <w:highlight w:val="none"/>
        </w:rPr>
        <w:t xml:space="preserve">投标，投标无效：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60" w:lineRule="exact"/>
        <w:rPr>
          <w:rFonts w:hint="eastAsia"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8、质疑处理</w:t>
      </w:r>
      <w:bookmarkEnd w:id="164"/>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8.1 提出质疑的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依法获取其可质疑的采购文件的，可以对采购文件提出质疑。</w:t>
      </w:r>
      <w:r/>
    </w:p>
    <w:p>
      <w:pPr>
        <w:ind w:firstLine="480"/>
        <w:spacing w:line="46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8.2参加投标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 xml:space="preserve">内，以书面形式根据下述29.4条款的规定向采购代理机构或采购人提出质疑。上述应知其权益受到损害之日，是指：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文件提出质疑的，为收到</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文件之日或者</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对中标结果提出质疑的，为中标结果公告期限届满之日。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应当在法定质疑期内一次性提出针对同一采购程序环节的质疑。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如在法定期限内对同一采购程序环节提出多次质疑的，采购代理机构、采购人将只对</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第一次质疑作出答复。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）对采购方式、招标文件中采购需求、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对其他事项的询问、质疑请向采购代理机构提出，由采购代理机构负责答复。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 以下情形的质疑不予受理</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28.5.1 内容不符合《政府采购质疑和投诉办法》第十二条规定的质疑。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28.5.2 超出政府采购法定期限的质疑。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28.5.3 以传真、电子邮件等方式递交的非原件形式的质疑。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28.5.4 未参加投标活动的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或在投标活动中自身权益未受到损害的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所提出的质疑。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28.5.5</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组成联合体参加投标，联合体中任何一方或多方未按要求签字、盖章、加盖公章的质疑。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28.6</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进行相应的行政处罚和记录该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的失信信息。</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29、中标通知书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放弃中标项目的，应当依法承担法律责任。</w:t>
      </w:r>
      <w:r/>
    </w:p>
    <w:p>
      <w:pPr>
        <w:ind w:firstLine="480"/>
        <w:spacing w:line="460" w:lineRule="exact"/>
        <w:rPr>
          <w:rFonts w:hint="eastAsia" w:ascii="宋体" w:hAnsi="宋体"/>
          <w:b/>
          <w:color w:val="auto"/>
          <w:sz w:val="24"/>
          <w:szCs w:val="24"/>
          <w:highlight w:val="none"/>
        </w:rPr>
      </w:pPr>
      <w:r/>
      <w:bookmarkStart w:id="165" w:name="_Toc513029236"/>
      <w:r/>
      <w:bookmarkStart w:id="166" w:name="_Toc16938552"/>
      <w:r/>
      <w:bookmarkStart w:id="167" w:name="_Toc20823308"/>
      <w:r/>
      <w:bookmarkStart w:id="168" w:name="_Toc120614220"/>
      <w:r>
        <w:rPr>
          <w:rFonts w:hint="eastAsia" w:ascii="宋体" w:hAnsi="宋体"/>
          <w:b/>
          <w:color w:val="auto"/>
          <w:sz w:val="24"/>
          <w:szCs w:val="24"/>
          <w:highlight w:val="none"/>
        </w:rPr>
        <w:t xml:space="preserve">七、授予合同</w:t>
      </w:r>
      <w:bookmarkEnd w:id="165"/>
      <w:r/>
      <w:bookmarkEnd w:id="166"/>
      <w:r/>
      <w:bookmarkEnd w:id="167"/>
      <w:r/>
      <w:bookmarkEnd w:id="168"/>
      <w:r/>
      <w:r/>
    </w:p>
    <w:p>
      <w:pPr>
        <w:ind w:firstLine="480"/>
        <w:spacing w:line="460" w:lineRule="exact"/>
        <w:rPr>
          <w:rFonts w:hint="eastAsia" w:ascii="宋体" w:hAnsi="宋体"/>
          <w:b/>
          <w:color w:val="auto"/>
          <w:sz w:val="24"/>
          <w:szCs w:val="24"/>
          <w:highlight w:val="none"/>
        </w:rPr>
      </w:pPr>
      <w:r/>
      <w:bookmarkStart w:id="169" w:name="_Toc513029237"/>
      <w:r/>
      <w:bookmarkStart w:id="170" w:name="_Toc16938553"/>
      <w:r/>
      <w:bookmarkStart w:id="171" w:name="_Toc20823309"/>
      <w:r>
        <w:rPr>
          <w:rFonts w:hint="eastAsia" w:ascii="宋体" w:hAnsi="宋体"/>
          <w:b/>
          <w:color w:val="auto"/>
          <w:sz w:val="24"/>
          <w:szCs w:val="24"/>
          <w:highlight w:val="none"/>
        </w:rPr>
        <w:t xml:space="preserve">30、签订合同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30.l中标人应当在中标通知书发出之日起30日内，按照招标文件确定的事项与采购人签订政府采购合同。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招标文件、中标人的投标文件及招标过程中有关澄清、承诺文件均应作为合同附件。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31、服务（包含与服务相关的货物）的追加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w:t>
      </w:r>
      <w:bookmarkEnd w:id="169"/>
      <w:r/>
      <w:bookmarkEnd w:id="170"/>
      <w:r/>
      <w:bookmarkEnd w:id="171"/>
      <w:r>
        <w:rPr>
          <w:rFonts w:hint="eastAsia" w:ascii="宋体" w:hAnsi="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32.政府采购政策功能落实</w:t>
      </w:r>
      <w:r/>
    </w:p>
    <w:p>
      <w:pPr>
        <w:pStyle w:val="708"/>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33、履约保证金政策</w:t>
      </w:r>
      <w:r/>
    </w:p>
    <w:p>
      <w:pPr>
        <w:pStyle w:val="988"/>
        <w:ind w:left="0" w:firstLine="560"/>
        <w:spacing w:after="0" w:line="360" w:lineRule="auto"/>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34、 预付款制度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%。在签订合同时，中标、成交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明确书面表示无需预付款或者主动要求降低预付款比例的，采购人可就预付款比例作相应调整。</w:t>
      </w:r>
      <w:r/>
    </w:p>
    <w:p>
      <w:pPr>
        <w:jc w:val="center"/>
        <w:keepLines/>
        <w:keepNext/>
        <w:pageBreakBefore w:val="0"/>
        <w:spacing w:after="156"/>
        <w:widowControl/>
        <w:rPr>
          <w:rFonts w:ascii="黑体" w:eastAsia="黑体"/>
          <w:bCs/>
          <w:color w:val="auto"/>
          <w:sz w:val="44"/>
          <w:szCs w:val="28"/>
          <w:highlight w:val="none"/>
        </w:rPr>
        <w:outlineLvl w:val="0"/>
      </w:pPr>
      <w:r/>
      <w:bookmarkStart w:id="172" w:name="_Hlt16619350"/>
      <w:r/>
      <w:bookmarkStart w:id="173" w:name="_Toc16938590"/>
      <w:r/>
      <w:bookmarkStart w:id="174" w:name="_Toc120614244"/>
      <w:r/>
      <w:bookmarkStart w:id="175" w:name="_Toc20823346"/>
      <w:r>
        <w:rPr>
          <w:rFonts w:hint="eastAsia" w:ascii="黑体" w:eastAsia="黑体"/>
          <w:bCs/>
          <w:color w:val="auto"/>
          <w:sz w:val="44"/>
          <w:szCs w:val="28"/>
          <w:highlight w:val="none"/>
        </w:rPr>
        <w:t xml:space="preserve">第三章 合同文本</w:t>
      </w:r>
      <w:r/>
    </w:p>
    <w:p>
      <w:pPr>
        <w:pStyle w:val="994"/>
        <w:ind w:firstLine="480"/>
        <w:jc w:val="both"/>
        <w:keepLines/>
        <w:keepNext/>
        <w:pageBreakBefore w:val="0"/>
        <w:spacing w:beforeAutospacing="0" w:afterAutospacing="0" w:line="0" w:lineRule="atLeast"/>
        <w:widowControl/>
        <w:rPr>
          <w:color w:val="auto"/>
          <w:highlight w:val="none"/>
        </w:rPr>
      </w:pPr>
      <w:r/>
      <w:bookmarkStart w:id="176" w:name="_Toc20823315"/>
      <w:r/>
      <w:bookmarkStart w:id="177" w:name="_Toc16938559"/>
      <w:r/>
      <w:bookmarkStart w:id="178" w:name="_Toc513029243"/>
      <w:r>
        <w:rPr>
          <w:rFonts w:hint="eastAsia" w:ascii="宋体" w:hAnsi="宋体" w:eastAsia="宋体" w:cs="宋体"/>
          <w:color w:val="auto"/>
          <w:highlight w:val="none"/>
        </w:rPr>
        <w:t xml:space="preserve">以下为中标后签定本项目合同的通用条款，中标人不得提出实质性的修改。</w:t>
      </w:r>
      <w:bookmarkEnd w:id="176"/>
      <w:r/>
      <w:bookmarkEnd w:id="177"/>
      <w:r/>
      <w:bookmarkEnd w:id="178"/>
      <w:r/>
      <w:r/>
    </w:p>
    <w:p>
      <w:pPr>
        <w:jc w:val="center"/>
        <w:keepLines/>
        <w:keepNext/>
        <w:pageBreakBefore w:val="0"/>
        <w:spacing w:after="156"/>
        <w:widowControl/>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keepLines/>
        <w:keepNext/>
        <w:pageBreakBefore w:val="0"/>
        <w:spacing w:after="156"/>
        <w:widowControl/>
        <w:rPr>
          <w:rFonts w:ascii="黑体" w:eastAsia="黑体"/>
          <w:bCs/>
          <w:color w:val="auto"/>
          <w:sz w:val="44"/>
          <w:szCs w:val="28"/>
          <w:highlight w:val="none"/>
        </w:rPr>
        <w:outlineLvl w:val="0"/>
      </w:pPr>
      <w:r>
        <w:rPr>
          <w:rFonts w:hint="eastAsia" w:ascii="宋体" w:hAnsi="宋体" w:cs="宋体"/>
          <w:b/>
          <w:color w:val="auto"/>
          <w:sz w:val="30"/>
          <w:szCs w:val="30"/>
          <w:highlight w:val="none"/>
        </w:rPr>
        <w:t xml:space="preserve">盐城市政府采购合同（服务）</w:t>
      </w:r>
      <w:r/>
    </w:p>
    <w:p>
      <w:pPr>
        <w:pStyle w:val="708"/>
        <w:jc w:val="both"/>
        <w:keepLines/>
        <w:keepNext/>
        <w:pageBreakBefore w:val="0"/>
        <w:spacing w:before="120" w:beforeAutospacing="0" w:after="120" w:afterAutospacing="0" w:line="460" w:lineRule="exact"/>
        <w:widowControl/>
        <w:rPr>
          <w:rFonts w:hint="eastAsia" w:eastAsia="宋体"/>
          <w:color w:val="auto"/>
          <w:highlight w:val="none"/>
          <w:lang w:eastAsia="zh-CN"/>
        </w:rPr>
      </w:pPr>
      <w:r>
        <w:rPr>
          <w:rFonts w:hint="eastAsia"/>
          <w:color w:val="auto"/>
          <w:highlight w:val="none"/>
        </w:rPr>
        <w:t xml:space="preserve">项目名称：</w:t>
      </w:r>
      <w:r>
        <w:rPr>
          <w:rFonts w:hint="eastAsia"/>
          <w:color w:val="auto"/>
          <w:sz w:val="24"/>
          <w:highlight w:val="none"/>
          <w:lang w:eastAsia="zh-CN"/>
        </w:rPr>
        <w:t xml:space="preserve">盐城市阜宁生态环境局16个乡镇（街道）空气质量监测站运维服务</w:t>
      </w:r>
      <w:r/>
    </w:p>
    <w:p>
      <w:pPr>
        <w:pStyle w:val="708"/>
        <w:jc w:val="both"/>
        <w:keepLines/>
        <w:keepNext/>
        <w:pageBreakBefore w:val="0"/>
        <w:spacing w:before="120" w:beforeAutospacing="0" w:after="120" w:afterAutospacing="0" w:line="460" w:lineRule="exact"/>
        <w:widowControl/>
        <w:rPr>
          <w:rFonts w:hint="eastAsia" w:eastAsia="宋体"/>
          <w:color w:val="auto"/>
          <w:highlight w:val="white"/>
        </w:rPr>
      </w:pPr>
      <w:r>
        <w:rPr>
          <w:rFonts w:hint="eastAsia"/>
          <w:color w:val="auto"/>
          <w:highlight w:val="none"/>
        </w:rPr>
        <w:t xml:space="preserve">项目编号</w:t>
      </w:r>
      <w:r>
        <w:rPr>
          <w:rFonts w:hint="eastAsia"/>
          <w:color w:val="auto"/>
          <w:highlight w:val="white"/>
        </w:rPr>
        <w:t xml:space="preserve">：</w:t>
      </w:r>
      <w:r>
        <w:rPr>
          <w:rFonts w:hint="eastAsia"/>
          <w:color w:val="auto"/>
          <w:highlight w:val="white"/>
          <w:lang w:eastAsia="zh-CN"/>
        </w:rPr>
        <w:t xml:space="preserve">JSZC-320923-SWGC-G2026-0043</w:t>
      </w:r>
      <w:r/>
    </w:p>
    <w:p>
      <w:pPr>
        <w:jc w:val="both"/>
        <w:keepLines/>
        <w:keepNext/>
        <w:pageBreakBefore w:val="0"/>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bCs/>
          <w:color w:val="auto"/>
          <w:sz w:val="24"/>
          <w:szCs w:val="24"/>
          <w:highlight w:val="none"/>
          <w:u w:val="single"/>
          <w:lang w:eastAsia="zh-CN"/>
        </w:rPr>
        <w:t xml:space="preserve">盐城市阜宁生态环境局</w:t>
      </w:r>
      <w:r>
        <w:rPr>
          <w:rFonts w:hint="eastAsia" w:ascii="宋体" w:hAnsi="宋体" w:cs="宋体"/>
          <w:bCs/>
          <w:color w:val="auto"/>
          <w:sz w:val="24"/>
          <w:szCs w:val="24"/>
          <w:highlight w:val="none"/>
          <w:u w:val="single"/>
        </w:rPr>
        <w:t xml:space="preserve"> </w:t>
      </w:r>
      <w:r/>
    </w:p>
    <w:p>
      <w:pPr>
        <w:pStyle w:val="708"/>
        <w:jc w:val="both"/>
        <w:keepLines/>
        <w:keepNext/>
        <w:pageBreakBefore w:val="0"/>
        <w:spacing w:before="120" w:beforeAutospacing="0" w:after="120" w:afterAutospacing="0" w:line="460" w:lineRule="exact"/>
        <w:widowControl/>
        <w:rPr>
          <w:rFonts w:hint="eastAsia"/>
          <w:color w:val="auto"/>
          <w:highlight w:val="none"/>
        </w:rPr>
      </w:pPr>
      <w:r>
        <w:rPr>
          <w:rFonts w:hint="eastAsia"/>
          <w:color w:val="auto"/>
          <w:highlight w:val="none"/>
        </w:rPr>
        <w:t xml:space="preserve">乙方（</w:t>
      </w:r>
      <w:r>
        <w:rPr>
          <w:rFonts w:hint="eastAsia"/>
          <w:color w:val="auto"/>
          <w:highlight w:val="none"/>
          <w:lang w:eastAsia="zh-CN"/>
        </w:rPr>
        <w:t xml:space="preserve">投标人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（本次采购招标活动的成交</w:t>
      </w:r>
      <w:r>
        <w:rPr>
          <w:rFonts w:hint="eastAsia"/>
          <w:color w:val="auto"/>
          <w:highlight w:val="none"/>
          <w:lang w:eastAsia="zh-CN"/>
        </w:rPr>
        <w:t xml:space="preserve">投标人</w:t>
      </w:r>
      <w:r>
        <w:rPr>
          <w:rFonts w:hint="eastAsia"/>
          <w:color w:val="auto"/>
          <w:highlight w:val="none"/>
        </w:rPr>
        <w:t xml:space="preserve">）</w:t>
      </w:r>
      <w:r/>
    </w:p>
    <w:p>
      <w:pPr>
        <w:pStyle w:val="708"/>
        <w:jc w:val="both"/>
        <w:keepLines/>
        <w:keepNext/>
        <w:pageBreakBefore w:val="0"/>
        <w:spacing w:before="120" w:beforeAutospacing="0" w:after="120" w:afterAutospacing="0" w:line="460" w:lineRule="exact"/>
        <w:widowControl/>
        <w:rPr>
          <w:rFonts w:hint="eastAsia"/>
          <w:color w:val="auto"/>
          <w:highlight w:val="none"/>
        </w:rPr>
      </w:pPr>
      <w:r>
        <w:rPr>
          <w:rFonts w:hint="eastAsia"/>
          <w:b/>
          <w:color w:val="auto"/>
          <w:highlight w:val="none"/>
        </w:rPr>
        <w:t xml:space="preserve">   </w:t>
      </w:r>
      <w:r>
        <w:rPr>
          <w:rFonts w:hint="eastAsia"/>
          <w:bCs/>
          <w:color w:val="auto"/>
          <w:highlight w:val="none"/>
        </w:rPr>
        <w:t xml:space="preserve">根据《中华人民共和国政府采购法》、《中华人民共和国民法典》等法律法规的规定，甲、乙双方根据</w:t>
      </w:r>
      <w:r>
        <w:rPr>
          <w:rFonts w:hint="eastAsia"/>
          <w:bCs/>
          <w:color w:val="auto"/>
          <w:highlight w:val="none"/>
          <w:u w:val="single"/>
          <w:lang w:eastAsia="zh-CN"/>
        </w:rPr>
        <w:t xml:space="preserve">盐城市阜宁生态环境局16个乡镇（街道）空气质量监测站运维服务</w:t>
      </w:r>
      <w:r>
        <w:rPr>
          <w:rFonts w:hint="eastAsia"/>
          <w:bCs/>
          <w:color w:val="auto"/>
          <w:highlight w:val="none"/>
        </w:rPr>
        <w:t xml:space="preserve">公开招标的结果，签署本合同。</w:t>
      </w:r>
      <w:r/>
    </w:p>
    <w:p>
      <w:pPr>
        <w:pStyle w:val="689"/>
        <w:ind w:firstLine="482"/>
        <w:jc w:val="both"/>
        <w:keepLines/>
        <w:keepNext/>
        <w:pageBreakBefore w:val="0"/>
        <w:spacing w:line="460" w:lineRule="exact"/>
        <w:widowControl/>
        <w:rPr>
          <w:rFonts w:hint="eastAsia" w:hAnsi="宋体" w:cs="宋体"/>
          <w:color w:val="auto"/>
          <w:sz w:val="24"/>
          <w:szCs w:val="24"/>
          <w:highlight w:val="none"/>
        </w:rPr>
      </w:pPr>
      <w:r>
        <w:rPr>
          <w:rFonts w:hint="eastAsia" w:hAnsi="宋体" w:cs="宋体"/>
          <w:b/>
          <w:color w:val="auto"/>
          <w:sz w:val="24"/>
          <w:szCs w:val="24"/>
          <w:highlight w:val="none"/>
        </w:rPr>
        <w:t xml:space="preserve">一、合同内容</w:t>
      </w:r>
      <w:r/>
    </w:p>
    <w:p>
      <w:pPr>
        <w:pStyle w:val="689"/>
        <w:ind w:firstLine="480"/>
        <w:jc w:val="both"/>
        <w:keepLines/>
        <w:keepNext/>
        <w:pageBreakBefore w:val="0"/>
        <w:spacing w:line="460" w:lineRule="exact"/>
        <w:widowControl/>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1.1 标的名称：</w:t>
      </w:r>
      <w:r>
        <w:rPr>
          <w:rFonts w:hint="eastAsia" w:hAnsi="宋体" w:cs="宋体"/>
          <w:b w:val="0"/>
          <w:bCs w:val="0"/>
          <w:color w:val="auto"/>
          <w:sz w:val="24"/>
          <w:szCs w:val="24"/>
          <w:highlight w:val="none"/>
          <w:lang w:eastAsia="zh-CN"/>
        </w:rPr>
        <w:t xml:space="preserve">盐城市阜宁生态环境局16个乡镇（街道）空气质量监测站运维服务</w:t>
      </w:r>
      <w:r/>
    </w:p>
    <w:p>
      <w:pPr>
        <w:pStyle w:val="689"/>
        <w:ind w:firstLine="480"/>
        <w:jc w:val="both"/>
        <w:keepLines/>
        <w:keepNext/>
        <w:pageBreakBefore w:val="0"/>
        <w:spacing w:line="460" w:lineRule="exact"/>
        <w:widowControl/>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1.2 质量</w:t>
      </w:r>
      <w:r>
        <w:rPr>
          <w:rFonts w:hint="eastAsia" w:hAnsi="宋体" w:cs="宋体"/>
          <w:b w:val="0"/>
          <w:bCs w:val="0"/>
          <w:color w:val="auto"/>
          <w:sz w:val="24"/>
          <w:szCs w:val="24"/>
          <w:highlight w:val="none"/>
          <w:lang w:val="en-US" w:eastAsia="zh-CN"/>
        </w:rPr>
        <w:t xml:space="preserve">要求</w:t>
      </w:r>
      <w:r>
        <w:rPr>
          <w:rFonts w:hint="eastAsia" w:hAnsi="宋体" w:cs="宋体"/>
          <w:b w:val="0"/>
          <w:bCs w:val="0"/>
          <w:color w:val="auto"/>
          <w:sz w:val="24"/>
          <w:szCs w:val="24"/>
          <w:highlight w:val="none"/>
        </w:rPr>
        <w:t xml:space="preserve">：</w:t>
      </w:r>
      <w:r>
        <w:rPr>
          <w:rFonts w:hint="eastAsia" w:hAnsi="宋体" w:cs="宋体"/>
          <w:b w:val="0"/>
          <w:bCs w:val="0"/>
          <w:color w:val="auto"/>
          <w:sz w:val="24"/>
          <w:szCs w:val="24"/>
          <w:highlight w:val="none"/>
          <w:lang w:eastAsia="zh-CN"/>
        </w:rPr>
        <w:t xml:space="preserve">合格标准，符合相关国家标准及招标文件的要求</w:t>
      </w:r>
      <w:r>
        <w:rPr>
          <w:rFonts w:hint="eastAsia" w:hAnsi="宋体" w:cs="宋体"/>
          <w:b w:val="0"/>
          <w:bCs w:val="0"/>
          <w:color w:val="auto"/>
          <w:sz w:val="24"/>
          <w:szCs w:val="24"/>
          <w:highlight w:val="none"/>
          <w:lang w:val="en-US" w:eastAsia="zh-CN"/>
        </w:rPr>
        <w:t xml:space="preserve">。</w:t>
      </w:r>
      <w:r/>
    </w:p>
    <w:p>
      <w:pPr>
        <w:pStyle w:val="708"/>
        <w:ind w:firstLine="480"/>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标的数量（规模）：本次招标项目划分为2个包:</w:t>
      </w:r>
      <w:r/>
    </w:p>
    <w:p>
      <w:pPr>
        <w:pStyle w:val="708"/>
        <w:ind w:firstLine="480"/>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rPr>
          <w:rFonts w:ascii="Times New Roman" w:hAnsi="Times New Roman" w:eastAsia="宋体"/>
        </w:rPr>
        <w:t xml:space="preserve">本项目服务期限为36个月</w:t>
      </w:r>
      <w:r/>
    </w:p>
    <w:p>
      <w:pPr>
        <w:pStyle w:val="708"/>
        <w:ind w:firstLine="480"/>
        <w:jc w:val="both"/>
        <w:keepLines w:val="0"/>
        <w:keepNext w:val="0"/>
        <w:pageBreakBefore w:val="0"/>
        <w:spacing w:before="120" w:beforeAutospacing="0" w:after="120" w:afterAutospacing="0" w:line="4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阜宁县境内。</w:t>
      </w:r>
      <w:r/>
    </w:p>
    <w:p>
      <w:pPr>
        <w:pStyle w:val="708"/>
        <w:ind w:firstLine="480"/>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rPr>
          <w:rFonts w:hint="eastAsia" w:hAnsi="宋体" w:cs="宋体"/>
          <w:b w:val="0"/>
          <w:bCs w:val="0"/>
          <w:color w:val="auto"/>
          <w:sz w:val="24"/>
          <w:szCs w:val="24"/>
          <w:highlight w:val="none"/>
        </w:rPr>
        <w:t xml:space="preserve">符合</w:t>
      </w:r>
      <w:r>
        <w:rPr>
          <w:rFonts w:hint="eastAsia" w:hAnsi="宋体" w:cs="宋体"/>
          <w:b w:val="0"/>
          <w:bCs w:val="0"/>
          <w:color w:val="auto"/>
          <w:sz w:val="24"/>
          <w:szCs w:val="24"/>
          <w:highlight w:val="none"/>
          <w:lang w:eastAsia="zh-CN"/>
        </w:rPr>
        <w:t xml:space="preserve">招标文件</w:t>
      </w:r>
      <w:r>
        <w:rPr>
          <w:rFonts w:hint="eastAsia" w:hAnsi="宋体" w:cs="宋体"/>
          <w:b w:val="0"/>
          <w:bCs w:val="0"/>
          <w:color w:val="auto"/>
          <w:sz w:val="24"/>
          <w:szCs w:val="24"/>
          <w:highlight w:val="none"/>
        </w:rPr>
        <w:t xml:space="preserve">文件相关要求。</w:t>
      </w:r>
      <w:r/>
    </w:p>
    <w:p>
      <w:pPr>
        <w:pStyle w:val="689"/>
        <w:ind w:firstLine="482"/>
        <w:jc w:val="both"/>
        <w:keepLines/>
        <w:keepNext w:val="0"/>
        <w:pageBreakBefore w:val="0"/>
        <w:spacing w:line="460" w:lineRule="exact"/>
        <w:rPr>
          <w:rFonts w:hint="eastAsia" w:hAnsi="宋体" w:cs="宋体"/>
          <w:color w:val="auto"/>
          <w:sz w:val="24"/>
          <w:szCs w:val="24"/>
          <w:highlight w:val="none"/>
        </w:rPr>
      </w:pPr>
      <w:r>
        <w:rPr>
          <w:rFonts w:hint="eastAsia" w:hAnsi="宋体" w:cs="宋体"/>
          <w:b/>
          <w:bCs/>
          <w:color w:val="auto"/>
          <w:sz w:val="24"/>
          <w:szCs w:val="24"/>
          <w:highlight w:val="none"/>
        </w:rPr>
        <w:t xml:space="preserve">二、合同金额</w:t>
      </w:r>
      <w:r/>
    </w:p>
    <w:p>
      <w:pPr>
        <w:pStyle w:val="689"/>
        <w:ind w:left="479" w:firstLine="64"/>
        <w:jc w:val="both"/>
        <w:keepLines/>
        <w:keepNext w:val="0"/>
        <w:pageBreakBefore w:val="0"/>
        <w:spacing w:line="460" w:lineRule="exact"/>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 xml:space="preserve">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w:t>
      </w:r>
      <w:r/>
    </w:p>
    <w:p>
      <w:pPr>
        <w:pStyle w:val="689"/>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 xml:space="preserve">2、上述金额是乙方对本次采</w:t>
      </w:r>
      <w:r>
        <w:rPr>
          <w:rFonts w:hint="eastAsia" w:ascii="宋体" w:hAnsi="宋体" w:eastAsia="宋体" w:cs="宋体"/>
          <w:color w:val="auto"/>
          <w:sz w:val="24"/>
          <w:szCs w:val="24"/>
          <w:highlight w:val="none"/>
        </w:rPr>
        <w:t xml:space="preserve">购及其伴随服务各项支付金额的总和。合同总金额</w:t>
      </w:r>
      <w:r>
        <w:rPr>
          <w:rFonts w:hint="eastAsia" w:hAnsi="宋体" w:cs="宋体"/>
          <w:color w:val="auto"/>
          <w:sz w:val="24"/>
          <w:szCs w:val="24"/>
          <w:highlight w:val="none"/>
          <w:lang w:eastAsia="zh-CN"/>
        </w:rPr>
        <w:t xml:space="preserve">包括采购人需求的服务（包含与服务相关的货物）价格、质量保证费用、</w:t>
      </w:r>
      <w:r>
        <w:rPr>
          <w:rFonts w:hint="eastAsia" w:hAnsi="宋体" w:cs="宋体"/>
          <w:color w:val="auto"/>
          <w:sz w:val="24"/>
          <w:szCs w:val="24"/>
          <w:highlight w:val="none"/>
          <w:lang w:val="en-US" w:eastAsia="zh-CN"/>
        </w:rPr>
        <w:t xml:space="preserve">招标代理费、</w:t>
      </w:r>
      <w:r>
        <w:rPr>
          <w:rFonts w:hint="eastAsia" w:hAnsi="宋体" w:cs="宋体"/>
          <w:color w:val="auto"/>
          <w:sz w:val="24"/>
          <w:szCs w:val="24"/>
          <w:highlight w:val="none"/>
          <w:lang w:eastAsia="zh-CN"/>
        </w:rPr>
        <w:t xml:space="preserve">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 xml:space="preserve">。采购人不再支付其他款项。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报价已充分考虑项目完成的政策性调整、各种市场价格的浮动等因素造成的价格变动，项目完成期内的合同价格不作调整。</w:t>
      </w:r>
      <w:r/>
    </w:p>
    <w:p>
      <w:pPr>
        <w:pStyle w:val="689"/>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3、乙方在履行合同过程中,所发生的全部生产、生活、安全等费用均由乙方负责。</w:t>
      </w:r>
      <w:r/>
    </w:p>
    <w:p>
      <w:pPr>
        <w:ind w:firstLine="562"/>
        <w:jc w:val="both"/>
        <w:keepLines/>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三、税费</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3.1中国政府根据现行税法规定对乙方征收的、与本合同有关的一切税费，均由乙方负担。</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3.2在中国境外发生的与本合同执行过程的一切税费由乙方负担。</w:t>
      </w:r>
      <w:r/>
    </w:p>
    <w:p>
      <w:pPr>
        <w:ind w:firstLine="562"/>
        <w:jc w:val="both"/>
        <w:keepLines/>
        <w:keepNext w:val="0"/>
        <w:pageBreakBefore w:val="0"/>
        <w:spacing w:line="46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合同履行期限：本项目服务期限为36个月</w:t>
      </w:r>
      <w:r>
        <w:rPr>
          <w:rFonts w:hint="eastAsia" w:cs="宋体"/>
          <w:color w:val="auto"/>
          <w:sz w:val="24"/>
          <w:szCs w:val="24"/>
          <w:lang w:eastAsia="zh-CN"/>
        </w:rPr>
        <w:t xml:space="preserve">。</w:t>
      </w:r>
      <w:r/>
    </w:p>
    <w:p>
      <w:pPr>
        <w:pStyle w:val="708"/>
        <w:ind w:firstLine="482"/>
        <w:jc w:val="both"/>
        <w:keepLines/>
        <w:keepNext w:val="0"/>
        <w:pageBreakBefore w:val="0"/>
        <w:spacing w:before="120" w:beforeAutospacing="0" w:after="120" w:afterAutospacing="0" w:line="4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五、质量要求</w:t>
      </w:r>
      <w:r>
        <w:rPr>
          <w:rFonts w:hint="eastAsia" w:ascii="宋体" w:hAnsi="宋体" w:eastAsia="宋体" w:cs="宋体"/>
          <w:b/>
          <w:bCs/>
          <w:color w:val="auto"/>
          <w:sz w:val="24"/>
          <w:szCs w:val="24"/>
          <w:lang w:eastAsia="zh-CN"/>
        </w:rPr>
        <w:t xml:space="preserve">：</w:t>
      </w:r>
      <w:r>
        <w:rPr>
          <w:rFonts w:hint="eastAsia" w:cs="宋体"/>
          <w:color w:val="auto"/>
          <w:sz w:val="24"/>
          <w:szCs w:val="24"/>
          <w:lang w:eastAsia="zh-CN"/>
        </w:rPr>
        <w:t xml:space="preserve">合格标准，符合相关国家标准及招标文件的要求</w:t>
      </w:r>
      <w:r>
        <w:rPr>
          <w:rFonts w:hint="eastAsia" w:ascii="宋体" w:hAnsi="宋体" w:eastAsia="宋体" w:cs="宋体"/>
          <w:color w:val="auto"/>
          <w:sz w:val="24"/>
          <w:szCs w:val="24"/>
        </w:rPr>
        <w:t xml:space="preserve">。</w:t>
      </w:r>
      <w:r/>
    </w:p>
    <w:p>
      <w:pPr>
        <w:ind w:firstLine="562"/>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六、付款</w:t>
      </w:r>
      <w:r/>
    </w:p>
    <w:p>
      <w:pPr>
        <w:pStyle w:val="708"/>
        <w:ind w:firstLine="240"/>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.1合同款项的支付方式及进度安排</w:t>
      </w:r>
      <w:r/>
    </w:p>
    <w:p>
      <w:pPr>
        <w:pStyle w:val="708"/>
        <w:ind w:firstLine="240"/>
        <w:keepLines w:val="0"/>
        <w:keepNext w:val="0"/>
        <w:pageBreakBefore w:val="0"/>
        <w:spacing w:line="360" w:lineRule="exact"/>
        <w:rPr>
          <w:rFonts w:ascii="Times New Roman" w:hAnsi="Times New Roman" w:eastAsia="宋体"/>
        </w:rPr>
      </w:pPr>
      <w:r>
        <w:rPr>
          <w:rFonts w:hint="eastAsia" w:ascii="Times New Roman" w:hAnsi="Times New Roman" w:eastAsia="宋体"/>
          <w:lang w:val="en-US" w:eastAsia="zh-CN"/>
        </w:rPr>
        <w:t xml:space="preserve">6</w:t>
      </w:r>
      <w:r>
        <w:rPr>
          <w:rFonts w:ascii="Times New Roman" w:hAnsi="Times New Roman" w:eastAsia="宋体"/>
        </w:rPr>
        <w:t xml:space="preserve">.1</w:t>
      </w:r>
      <w:r>
        <w:rPr>
          <w:rFonts w:hint="eastAsia" w:ascii="Times New Roman" w:hAnsi="Times New Roman" w:eastAsia="宋体"/>
          <w:lang w:val="en-US" w:eastAsia="zh-CN"/>
        </w:rPr>
        <w:t xml:space="preserve">.1</w:t>
      </w:r>
      <w:r>
        <w:rPr>
          <w:rFonts w:ascii="Times New Roman" w:hAnsi="Times New Roman" w:eastAsia="宋体"/>
        </w:rPr>
        <w:t xml:space="preserve">合同签订后，甲方向乙方支付合同价的30%为预付款。（签订合同时，如乙方明确表示无需预付款或者主动要求降低预付款比例的，甲方可不适用前述规定）。</w:t>
      </w:r>
      <w:r/>
    </w:p>
    <w:p>
      <w:pPr>
        <w:pStyle w:val="708"/>
        <w:ind w:firstLine="240"/>
        <w:keepLines w:val="0"/>
        <w:keepNext w:val="0"/>
        <w:pageBreakBefore w:val="0"/>
        <w:spacing w:line="360" w:lineRule="exact"/>
        <w:rPr>
          <w:rFonts w:ascii="Times New Roman" w:hAnsi="Times New Roman" w:eastAsia="宋体"/>
        </w:rPr>
      </w:pPr>
      <w:r>
        <w:rPr>
          <w:rFonts w:hint="eastAsia" w:ascii="Times New Roman" w:hAnsi="Times New Roman" w:eastAsia="宋体"/>
          <w:lang w:val="en-US" w:eastAsia="zh-CN"/>
        </w:rPr>
        <w:t xml:space="preserve">6</w:t>
      </w:r>
      <w:r>
        <w:rPr>
          <w:rFonts w:ascii="Times New Roman" w:hAnsi="Times New Roman" w:eastAsia="宋体"/>
        </w:rPr>
        <w:t xml:space="preserve">.2</w:t>
      </w:r>
      <w:r>
        <w:rPr>
          <w:rFonts w:hint="eastAsia" w:ascii="Times New Roman" w:hAnsi="Times New Roman" w:eastAsia="宋体"/>
          <w:lang w:val="en-US" w:eastAsia="zh-CN"/>
        </w:rPr>
        <w:t xml:space="preserve">.2</w:t>
      </w:r>
      <w:r>
        <w:rPr>
          <w:rFonts w:ascii="Times New Roman" w:hAnsi="Times New Roman" w:eastAsia="宋体"/>
        </w:rPr>
        <w:t xml:space="preserve">乙方按照采购要求服务期满</w:t>
      </w:r>
      <w:r>
        <w:rPr>
          <w:rFonts w:hint="eastAsia" w:ascii="Times New Roman" w:hAnsi="Times New Roman"/>
          <w:lang w:val="en-US" w:eastAsia="zh-CN"/>
        </w:rPr>
        <w:t xml:space="preserve">24</w:t>
      </w:r>
      <w:r>
        <w:rPr>
          <w:rFonts w:ascii="Times New Roman" w:hAnsi="Times New Roman" w:eastAsia="宋体"/>
        </w:rPr>
        <w:t xml:space="preserve">个月后，甲方根据对乙方的考核结果进行付款，</w:t>
      </w:r>
      <w:r>
        <w:rPr>
          <w:rFonts w:hint="eastAsia" w:ascii="Times New Roman" w:hAnsi="Times New Roman"/>
          <w:lang w:val="en-US" w:eastAsia="zh-CN"/>
          <w14:textFill>
            <w14:gradFill>
              <w14:gsLst>
                <w14:gs w14:pos="0">
                  <w14:srgbClr w14:val="DF0303"/>
                </w14:gs>
                <w14:gs w14:pos="51300">
                  <w14:srgbClr w14:val="FE5F4A"/>
                </w14:gs>
                <w14:gs w14:pos="100000">
                  <w14:srgbClr w14:val="FEA06E"/>
                </w14:gs>
              </w14:gsLst>
              <w14:lin w14:ang="5400000" w14:scaled="1"/>
            </w14:gradFill>
          </w14:textFill>
        </w:rPr>
        <w:t xml:space="preserve">收到发票后待财政资金到账后</w:t>
      </w:r>
      <w:r>
        <w:rPr>
          <w:rFonts w:ascii="Times New Roman" w:hAnsi="Times New Roman" w:eastAsia="宋体"/>
        </w:rPr>
        <w:t xml:space="preserve">付至合同金额的60％；服务期满</w:t>
      </w:r>
      <w:r>
        <w:rPr>
          <w:rFonts w:hint="eastAsia" w:ascii="Times New Roman" w:hAnsi="Times New Roman"/>
          <w:lang w:val="en-US" w:eastAsia="zh-CN"/>
        </w:rPr>
        <w:t xml:space="preserve">36</w:t>
      </w:r>
      <w:r>
        <w:rPr>
          <w:rFonts w:ascii="Times New Roman" w:hAnsi="Times New Roman" w:eastAsia="宋体"/>
        </w:rPr>
        <w:t xml:space="preserve">个月后，甲方根据对乙方的考核结果</w:t>
      </w:r>
      <w:r>
        <w:rPr>
          <w:rFonts w:hint="eastAsia" w:ascii="Times New Roman" w:hAnsi="Times New Roman"/>
          <w:lang w:eastAsia="zh-CN"/>
        </w:rPr>
        <w:t xml:space="preserve">，</w:t>
      </w:r>
      <w:r>
        <w:rPr>
          <w:rFonts w:hint="eastAsia" w:ascii="Times New Roman" w:hAnsi="Times New Roman"/>
          <w:lang w:val="en-US" w:eastAsia="zh-CN"/>
          <w14:textFill>
            <w14:gradFill>
              <w14:gsLst>
                <w14:gs w14:pos="0">
                  <w14:srgbClr w14:val="DF0303"/>
                </w14:gs>
                <w14:gs w14:pos="51300">
                  <w14:srgbClr w14:val="FE5F4A"/>
                </w14:gs>
                <w14:gs w14:pos="100000">
                  <w14:srgbClr w14:val="FEA06E"/>
                </w14:gs>
              </w14:gsLst>
              <w14:lin w14:ang="5400000" w14:scaled="1"/>
            </w14:gradFill>
          </w14:textFill>
        </w:rPr>
        <w:t xml:space="preserve">收到发票后待财政资金到账后</w:t>
      </w:r>
      <w:r>
        <w:rPr>
          <w:rFonts w:ascii="Times New Roman" w:hAnsi="Times New Roman" w:eastAsia="宋体"/>
        </w:rPr>
        <w:t xml:space="preserve">结算项目余款）。</w:t>
      </w:r>
      <w:r/>
    </w:p>
    <w:p>
      <w:pPr>
        <w:pStyle w:val="708"/>
        <w:ind w:firstLine="240"/>
        <w:keepLines w:val="0"/>
        <w:keepNext w:val="0"/>
        <w:pageBreakBefore w:val="0"/>
        <w:spacing w:line="360" w:lineRule="exact"/>
        <w:rPr>
          <w:rFonts w:ascii="Times New Roman" w:hAnsi="Times New Roman" w:eastAsia="宋体"/>
        </w:rPr>
      </w:pPr>
      <w:r>
        <w:rPr>
          <w:rFonts w:ascii="Times New Roman" w:hAnsi="Times New Roman" w:eastAsia="宋体"/>
        </w:rPr>
        <w:t xml:space="preserve">注:以上付款均不计任何利息和相关费用。由于合同款项的拨付需经财政部门审批实际支付时间可能滞后于合同约定的时限,中标人不能因费用拨付滞后而影响正常工作开展和服务质量。</w:t>
      </w:r>
      <w:r/>
    </w:p>
    <w:p>
      <w:pPr>
        <w:ind w:firstLine="562"/>
        <w:jc w:val="both"/>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7.1负责本项目的组织协调，配合乙方做好相关资料收集和准备工作。</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7.2对乙方成果进行检查，按时足额向乙方支付工作经费。</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八、乙方义务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严格按照甲方的委托要求独立开展工作并保证及时保质保量完成本委托业务，</w:t>
      </w:r>
      <w:r>
        <w:rPr>
          <w:rFonts w:hint="eastAsia" w:ascii="宋体" w:hAnsi="宋体" w:eastAsia="宋体" w:cs="宋体"/>
          <w:sz w:val="24"/>
          <w:szCs w:val="24"/>
        </w:rPr>
        <w:t xml:space="preserve">根据甲方要求提交的成果格式及文件交付时间，提交相关文字及电子数据成果资料。</w:t>
      </w:r>
      <w:r/>
    </w:p>
    <w:p>
      <w:pPr>
        <w:ind w:firstLine="562"/>
        <w:jc w:val="both"/>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九、双方权利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（一）甲方权利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9.1.1甲方有权要求乙方按合同规定提供咨询服务。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9.1.2乙方违反合同任何条款，甲方有权提前3天以书面形式通知乙方终止合同。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9.1.3非经甲方书面同意，乙方不得向任何第三方透露咨询项目的任何内容。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9.1.4乙方不得向任何第三方透露从甲方得到或研究发现的甲方内部信息。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9.1.5乙方人员在甲方活动时，需听从甲方有关人员安排和引导。</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9.1.6甲方提出收回向乙方提供的有关资料时，乙方应按照甲方要求将有关资料及其复制件返还甲方。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9.1.7甲方在项目结束后，有权要求乙方提供招标文件和合同要求中约定的全部资料。</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9.1.8甲方委托乙方研究形成的工作报告书及相应成果知识产权归甲方所有。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9.2.1乙方有权要求甲方遵守本合同规定及其附件。</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9.2.2未经乙方书面同意，甲方不得向任何第三方透露咨询项目合同、咨询费用等相关的信息。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十、双方责任</w:t>
      </w:r>
      <w:r/>
    </w:p>
    <w:p>
      <w:pPr>
        <w:ind w:firstLine="560"/>
        <w:jc w:val="both"/>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（一）甲方责任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10.1.1甲方必须遵守本合同之规定及相关法律规定。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10.1.2甲方向乙方提供可靠、详细的资料，并保证资料的真实性、准确性。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10.2.1乙方必须遵守本合同之规定及相关法律规定。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10.2.2乙方不得拒绝甲方委托乙方研究内容的相关咨询，对甲方的咨询乙方必须给予正式的书面答复，并应具有科学性和适用性。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10.2.3乙方按照本合同及附件为甲方提供服务工作，乙方需要对项目组主要成员进行调整时，须书面征得甲方同意。</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十一、违约</w:t>
      </w:r>
      <w:r/>
    </w:p>
    <w:p>
      <w:pPr>
        <w:pStyle w:val="70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w:t>
      </w:r>
      <w:r/>
    </w:p>
    <w:p>
      <w:pPr>
        <w:pStyle w:val="70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u w:val="single"/>
        </w:rPr>
        <w:t xml:space="preserve"> </w:t>
      </w:r>
      <w:r>
        <w:rPr>
          <w:rFonts w:hint="eastAsia" w:cs="宋体"/>
          <w:u w:val="single"/>
          <w:lang w:val="en-US" w:eastAsia="zh-CN"/>
        </w:rPr>
        <w:t xml:space="preserve">1</w:t>
      </w:r>
      <w:r>
        <w:rPr>
          <w:rFonts w:hint="eastAsia" w:cs="宋体"/>
          <w:u w:val="single"/>
          <w:lang w:eastAsia="zh-CN"/>
        </w:rPr>
        <w:t xml:space="preserve">‱</w:t>
      </w:r>
      <w:r>
        <w:rPr>
          <w:rFonts w:hint="eastAsia" w:ascii="宋体" w:hAnsi="宋体" w:eastAsia="宋体" w:cs="宋体"/>
          <w:u w:val="single"/>
        </w:rPr>
        <w:t xml:space="preserve">  </w:t>
      </w:r>
      <w:r>
        <w:rPr>
          <w:rFonts w:hint="eastAsia" w:ascii="宋体" w:hAnsi="宋体" w:eastAsia="宋体" w:cs="宋体"/>
          <w:color w:val="000000"/>
          <w:sz w:val="24"/>
          <w:szCs w:val="24"/>
          <w:highlight w:val="none"/>
        </w:rPr>
        <w:t xml:space="preserve">每日向乙方支付违约金。</w:t>
      </w:r>
      <w:r/>
    </w:p>
    <w:p>
      <w:pPr>
        <w:pStyle w:val="70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0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十二、转让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除甲方事先书面同意外，乙方不得转让任何其应履行的合同义务。</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十四、索赔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1、乙方可按以下规定向甲方索赔：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（2）索赔事件发生后20天内，向甲方发出要求索赔的通知，超出20天，作自动放弃索赔处理；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（3）甲方在接到索赔通知后10天内给予响应，或要求乙方进一步补充索赔理由和证据，甲方在10天内未予答复，应视为该项索赔已经认可。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2、甲方可按以下规定向乙方索赔：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（2）索赔事件发生后20天内，向乙方发出要求索赔的通知；</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（3）乙方在接到索赔通知后10天内给予响应，或要求甲方进一步补充索赔理由或证据，乙方在10天内未予答复，应视为该项索赔已经认可。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十五、知识产权：</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十六、产权担保：</w:t>
      </w:r>
      <w:r>
        <w:rPr>
          <w:rFonts w:hint="eastAsia" w:ascii="宋体" w:hAnsi="宋体" w:eastAsia="宋体" w:cs="宋体"/>
          <w:sz w:val="24"/>
          <w:szCs w:val="24"/>
        </w:rPr>
        <w:t xml:space="preserve">乙方保证所交付的服务的所有权完全属于乙方且无任何抵押、查封等产权瑕疵。</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十七、违约责任：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按照标书的规定和国家的有关规定处理。</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十八、不可抗力事件处理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18.2本条所述的“不可抗力”系指那些双方不能预见、不能克服并无法避免的事件，但不包括任何一方的违约或疏忽。不可预见的事件包括战争、严重火灾、洪水、台风、地震及其他双方同意的情况。</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十九、争议的解决：</w:t>
      </w:r>
      <w:r>
        <w:rPr>
          <w:rFonts w:hint="eastAsia" w:ascii="宋体" w:hAnsi="宋体" w:eastAsia="宋体" w:cs="宋体"/>
          <w:sz w:val="24"/>
          <w:szCs w:val="24"/>
        </w:rPr>
        <w:t xml:space="preserve">本合同在履行过程中发生争议，由当事人双方协商解决，协商不成，双方同意将争议提交甲方所在地有管辖权的人民法院解决。</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二十、其他</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20.1合同双方可以就本合同主要内容以外的事项进行协商。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 本合同自双方签字盖章之日起生效。合同生效后如需变更合同条款，须经双方协商同意。</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 本合同任何条款不能认定为任何一方提供的格式条款。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20.4本合同若有未尽事宜，双方可协商解决。</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20.5本合同一式捌份，甲、乙双方各执叁份，财政监管部门执贰份。</w:t>
      </w:r>
      <w:r/>
    </w:p>
    <w:p>
      <w:pPr>
        <w:ind w:firstLine="560"/>
        <w:jc w:val="both"/>
        <w:keepLines w:val="0"/>
        <w:keepNext w:val="0"/>
        <w:pageBreakBefore w:val="0"/>
        <w:spacing w:line="460" w:lineRule="exact"/>
        <w:rPr>
          <w:rFonts w:hint="eastAsia"/>
          <w:color w:val="auto"/>
          <w:highlight w:val="none"/>
        </w:rPr>
      </w:pPr>
      <w:r>
        <w:rPr>
          <w:rFonts w:hint="eastAsia" w:ascii="宋体" w:hAnsi="宋体" w:eastAsia="宋体" w:cs="宋体"/>
          <w:sz w:val="24"/>
          <w:szCs w:val="24"/>
        </w:rPr>
        <w:t xml:space="preserve">20.6本合同未注明事项</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文件中有规定的，按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文件中的规定处理，没有规定的，按照国家有关规定处理。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帐    号：</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numPr>
          <w:ilvl w:val="0"/>
          <w:numId w:val="5"/>
        </w:num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72"/>
      <w:r>
        <w:rPr>
          <w:rFonts w:hint="eastAsia" w:ascii="黑体" w:hAnsi="Courier New" w:eastAsia="黑体" w:cs="Courier New"/>
          <w:bCs/>
          <w:color w:val="auto"/>
          <w:sz w:val="44"/>
          <w:szCs w:val="21"/>
          <w:highlight w:val="none"/>
        </w:rPr>
        <w:t xml:space="preserve">采购需求</w:t>
      </w:r>
      <w:bookmarkEnd w:id="173"/>
      <w:r/>
      <w:bookmarkEnd w:id="174"/>
      <w:r/>
      <w:bookmarkEnd w:id="175"/>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08"/>
        <w:ind w:firstLine="482"/>
        <w:jc w:val="both"/>
        <w:spacing w:beforeAutospacing="0" w:afterAutospacing="0" w:line="360" w:lineRule="auto"/>
        <w:rPr>
          <w:b/>
          <w:bCs/>
        </w:rPr>
      </w:pPr>
      <w:r/>
      <w:bookmarkStart w:id="179" w:name="_Toc26554093"/>
      <w:r/>
      <w:bookmarkStart w:id="180" w:name="_Toc49090575"/>
      <w:r>
        <w:rPr>
          <w:rFonts w:hint="eastAsia" w:ascii="宋体" w:hAnsi="宋体" w:eastAsia="宋体" w:cs="宋体"/>
          <w:b/>
          <w:bCs/>
          <w:color w:val="000000"/>
        </w:rPr>
        <w:t xml:space="preserve">项目属性:服务类项目</w:t>
      </w:r>
      <w:bookmarkEnd w:id="179"/>
      <w:r/>
      <w:bookmarkEnd w:id="180"/>
      <w:r/>
      <w:r/>
    </w:p>
    <w:p>
      <w:pPr>
        <w:pStyle w:val="664"/>
        <w:jc w:val="both"/>
        <w:keepLines w:val="0"/>
        <w:keepNext w:val="0"/>
        <w:pageBreakBefore w:val="0"/>
        <w:spacing w:line="400" w:lineRule="exact"/>
        <w:rPr>
          <w:rFonts w:eastAsia="宋体"/>
          <w:sz w:val="32"/>
          <w:szCs w:val="32"/>
        </w:rPr>
      </w:pPr>
      <w:r>
        <w:rPr>
          <w:rFonts w:eastAsia="宋体"/>
          <w:sz w:val="32"/>
          <w:szCs w:val="32"/>
        </w:rPr>
        <w:t xml:space="preserve">一、项目概况</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及阜宁县环境空气质量联网管理平台运维等工作，项目服务期为36个月。</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本次招标项目划分为2个包:</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采购包1：最高限价为2</w:t>
      </w:r>
      <w:r>
        <w:rPr>
          <w:rFonts w:hint="eastAsia" w:ascii="Times New Roman" w:hAnsi="Times New Roman" w:eastAsia="宋体" w:cs="Times New Roman"/>
          <w:sz w:val="24"/>
        </w:rPr>
        <w:t xml:space="preserve">6</w:t>
      </w:r>
      <w:r>
        <w:rPr>
          <w:rFonts w:ascii="Times New Roman" w:hAnsi="Times New Roman" w:eastAsia="宋体" w:cs="Times New Roman"/>
          <w:sz w:val="24"/>
        </w:rPr>
        <w:t xml:space="preserve">0万元；服务站点：</w:t>
      </w:r>
      <w:r>
        <w:rPr>
          <w:rFonts w:ascii="Times New Roman" w:hAnsi="Times New Roman" w:eastAsia="宋体" w:cs="Times New Roman"/>
          <w:b/>
          <w:sz w:val="24"/>
        </w:rPr>
        <w:t xml:space="preserve">表1-1</w:t>
      </w:r>
      <w:r>
        <w:rPr>
          <w:rFonts w:ascii="Times New Roman" w:hAnsi="Times New Roman" w:eastAsia="宋体" w:cs="Times New Roman"/>
          <w:sz w:val="24"/>
        </w:rPr>
        <w:t xml:space="preserve">，本标段共计对8个空气站提供运维服务。</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采购包2：最高限价为2</w:t>
      </w:r>
      <w:r>
        <w:rPr>
          <w:rFonts w:hint="eastAsia" w:ascii="Times New Roman" w:hAnsi="Times New Roman" w:eastAsia="宋体" w:cs="Times New Roman"/>
          <w:sz w:val="24"/>
        </w:rPr>
        <w:t xml:space="preserve">6</w:t>
      </w:r>
      <w:r>
        <w:rPr>
          <w:rFonts w:ascii="Times New Roman" w:hAnsi="Times New Roman" w:eastAsia="宋体" w:cs="Times New Roman"/>
          <w:sz w:val="24"/>
        </w:rPr>
        <w:t xml:space="preserve">0万元；服务站点：</w:t>
      </w:r>
      <w:r>
        <w:rPr>
          <w:rFonts w:ascii="Times New Roman" w:hAnsi="Times New Roman" w:eastAsia="宋体" w:cs="Times New Roman"/>
          <w:b/>
          <w:sz w:val="24"/>
        </w:rPr>
        <w:t xml:space="preserve">表1-2</w:t>
      </w:r>
      <w:r>
        <w:rPr>
          <w:rFonts w:ascii="Times New Roman" w:hAnsi="Times New Roman" w:eastAsia="宋体" w:cs="Times New Roman"/>
          <w:sz w:val="24"/>
        </w:rPr>
        <w:t xml:space="preserve">，本标段共计对8个空气站提供运维服务。</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具体运维子站名称及设施设备见表1和表2：</w:t>
      </w:r>
      <w:r/>
    </w:p>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表1-1采购包1站点情况</w:t>
      </w:r>
      <w:r/>
    </w:p>
    <w:tbl>
      <w:tblPr>
        <w:tblStyle w:val="6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731"/>
        <w:gridCol w:w="3836"/>
        <w:gridCol w:w="1965"/>
      </w:tblGrid>
      <w:tr>
        <w:trPr>
          <w:jc w:val="center"/>
          <w:trHeight w:val="90"/>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436"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站点名称</w:t>
            </w:r>
            <w:r/>
          </w:p>
        </w:tc>
        <w:tc>
          <w:tcPr>
            <w:tcW w:w="2017"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详细地址</w:t>
            </w:r>
            <w:r/>
          </w:p>
        </w:tc>
        <w:tc>
          <w:tcPr>
            <w:tcW w:w="103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备注</w:t>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1</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阜宁高新技术产业开发区</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郭墅镇镇政府</w:t>
            </w:r>
            <w:r/>
          </w:p>
        </w:tc>
        <w:tc>
          <w:tcPr>
            <w:tcW w:w="1033" w:type="pct"/>
            <w:vAlign w:val="center"/>
            <w:vMerge w:val="restart"/>
            <w:textDirection w:val="lrTb"/>
            <w:noWrap w:val="false"/>
          </w:tcPr>
          <w:p>
            <w:pP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羊寨镇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羊寨司法所</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3</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益林镇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益林镇政府食堂</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4</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东沟镇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东沟镇镇政府</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5</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板湖镇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板湖初级中学</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6</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古河镇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古河污水处理站</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7</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罗桥镇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罗桥派出所</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1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8</w:t>
            </w:r>
            <w:r/>
          </w:p>
        </w:tc>
        <w:tc>
          <w:tcPr>
            <w:tcW w:w="1436"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芦蒲镇</w:t>
            </w:r>
            <w:r/>
          </w:p>
        </w:tc>
        <w:tc>
          <w:tcPr>
            <w:tcW w:w="201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芦蒲左范村部二楼</w:t>
            </w:r>
            <w:r/>
          </w:p>
        </w:tc>
        <w:tc>
          <w:tcPr>
            <w:tcW w:w="1033"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bl>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表1-2采购包2站点情况</w:t>
      </w:r>
      <w:r/>
    </w:p>
    <w:tbl>
      <w:tblPr>
        <w:tblStyle w:val="6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2766"/>
        <w:gridCol w:w="3798"/>
        <w:gridCol w:w="1951"/>
      </w:tblGrid>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454"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站点名称</w:t>
            </w:r>
            <w:r/>
          </w:p>
        </w:tc>
        <w:tc>
          <w:tcPr>
            <w:tcW w:w="1997"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详细地址</w:t>
            </w:r>
            <w:r/>
          </w:p>
        </w:tc>
        <w:tc>
          <w:tcPr>
            <w:tcW w:w="1026"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备注</w:t>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1</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阜宁经济开发区</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经济开发区管委会</w:t>
            </w:r>
            <w:r/>
          </w:p>
        </w:tc>
        <w:tc>
          <w:tcPr>
            <w:tcW w:w="1026" w:type="pct"/>
            <w:vMerge w:val="restart"/>
            <w:textDirection w:val="lrTb"/>
            <w:noWrap w:val="false"/>
          </w:tcPr>
          <w:p>
            <w:pPr>
              <w:pStyle w:val="1000"/>
              <w:keepLines w:val="0"/>
              <w:keepNext w:val="0"/>
              <w:pageBreakBefore w:val="0"/>
              <w:spacing w:line="400" w:lineRule="exact"/>
              <w:rPr>
                <w:sz w:val="24"/>
                <w:szCs w:val="24"/>
              </w:rPr>
            </w:pPr>
            <w:r>
              <w:rPr>
                <w:sz w:val="24"/>
                <w:szCs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三灶镇</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三灶农村商业银行</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3</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陈集镇</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陈集镇政府</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4</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沟墩镇</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沟墩镇政府</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5</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吴滩街道</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合利镇政府院内</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6</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陈良镇</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陈良镇政府</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7</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新沟镇</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Cs/>
                <w:sz w:val="24"/>
              </w:rPr>
            </w:pPr>
            <w:r>
              <w:rPr>
                <w:rFonts w:hint="eastAsia" w:ascii="Times New Roman" w:hAnsi="Times New Roman" w:eastAsia="宋体" w:cs="Times New Roman"/>
                <w:bCs/>
                <w:sz w:val="24"/>
              </w:rPr>
              <w:t xml:space="preserve">新沟农村商业银行</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r>
        <w:trPr>
          <w:jc w:val="center"/>
          <w:trHeight w:val="454"/>
        </w:trPr>
        <w:tc>
          <w:tcPr>
            <w:tcW w:w="523" w:type="pct"/>
            <w:vAlign w:val="center"/>
            <w:textDirection w:val="lrTb"/>
            <w:noWrap w:val="false"/>
          </w:tcPr>
          <w:p>
            <w:pPr>
              <w:jc w:val="cente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t xml:space="preserve">8</w:t>
            </w:r>
            <w:r/>
          </w:p>
        </w:tc>
        <w:tc>
          <w:tcPr>
            <w:tcW w:w="1454"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hint="eastAsia" w:ascii="Times New Roman" w:hAnsi="Times New Roman" w:eastAsia="宋体" w:cs="Times New Roman"/>
                <w:sz w:val="24"/>
                <w:lang w:bidi="ar"/>
              </w:rPr>
              <w:t xml:space="preserve">金沙湖街道</w:t>
            </w:r>
            <w:r/>
          </w:p>
        </w:tc>
        <w:tc>
          <w:tcPr>
            <w:tcW w:w="1997" w:type="pct"/>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hint="eastAsia" w:ascii="Times New Roman" w:hAnsi="Times New Roman" w:eastAsia="宋体" w:cs="Times New Roman"/>
                <w:sz w:val="24"/>
                <w:lang w:bidi="ar"/>
              </w:rPr>
              <w:t xml:space="preserve">金沙湖盆摘园</w:t>
            </w:r>
            <w:r/>
          </w:p>
        </w:tc>
        <w:tc>
          <w:tcPr>
            <w:tcW w:w="1026" w:type="pct"/>
            <w:vMerge w:val="continue"/>
            <w:textDirection w:val="lrTb"/>
            <w:noWrap w:val="false"/>
          </w:tcPr>
          <w:p>
            <w:pPr>
              <w:keepLines w:val="0"/>
              <w:keepNext w:val="0"/>
              <w:pageBreakBefore w:val="0"/>
              <w:spacing w:line="400" w:lineRule="exact"/>
              <w:rPr>
                <w:rFonts w:ascii="Times New Roman" w:hAnsi="Times New Roman" w:eastAsia="宋体" w:cs="Times New Roman"/>
                <w:bCs/>
                <w:sz w:val="24"/>
              </w:rPr>
            </w:pPr>
            <w:r>
              <w:rPr>
                <w:rFonts w:ascii="Times New Roman" w:hAnsi="Times New Roman" w:eastAsia="宋体" w:cs="Times New Roman"/>
                <w:bCs/>
                <w:sz w:val="24"/>
              </w:rPr>
            </w:r>
            <w:r/>
          </w:p>
        </w:tc>
      </w:tr>
    </w:tbl>
    <w:p>
      <w:pPr>
        <w:jc w:val="center"/>
        <w:keepLines w:val="0"/>
        <w:keepNext w:val="0"/>
        <w:pageBreakBefore w:val="0"/>
        <w:spacing w:line="400" w:lineRule="exact"/>
        <w:rPr>
          <w:rFonts w:ascii="Times New Roman" w:hAnsi="Times New Roman" w:eastAsia="宋体" w:cs="Times New Roman"/>
          <w:b/>
          <w:sz w:val="24"/>
        </w:rPr>
      </w:pPr>
      <w:r>
        <w:rPr>
          <w:rFonts w:ascii="Times New Roman" w:hAnsi="Times New Roman" w:eastAsia="宋体" w:cs="Times New Roman"/>
          <w:b/>
          <w:sz w:val="24"/>
        </w:rPr>
        <w:t xml:space="preserve">表2主要设备情况</w:t>
      </w:r>
      <w:r/>
    </w:p>
    <w:tbl>
      <w:tblPr>
        <w:tblStyle w:val="673"/>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1662"/>
        <w:gridCol w:w="903"/>
        <w:gridCol w:w="1829"/>
        <w:gridCol w:w="1603"/>
        <w:gridCol w:w="1716"/>
      </w:tblGrid>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序号</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设备名称</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数量</w:t>
            </w:r>
            <w:r/>
          </w:p>
        </w:tc>
        <w:tc>
          <w:tcPr>
            <w:tcW w:w="1638"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品牌</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型号</w:t>
            </w:r>
            <w:r/>
          </w:p>
        </w:tc>
        <w:tc>
          <w:tcPr>
            <w:tcW w:w="1537"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b/>
                <w:bCs/>
                <w:sz w:val="24"/>
              </w:rPr>
            </w:pPr>
            <w:r>
              <w:rPr>
                <w:rFonts w:ascii="Times New Roman" w:hAnsi="Times New Roman" w:eastAsia="宋体" w:cs="Times New Roman"/>
                <w:b/>
                <w:bCs/>
                <w:sz w:val="24"/>
              </w:rPr>
              <w:t xml:space="preserve">备注</w:t>
            </w:r>
            <w:r/>
          </w:p>
        </w:tc>
      </w:tr>
      <w:tr>
        <w:trPr>
          <w:jc w:val="center"/>
          <w:trHeight w:val="556"/>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PM</w:t>
            </w:r>
            <w:r>
              <w:rPr>
                <w:rFonts w:ascii="Times New Roman" w:hAnsi="Times New Roman" w:eastAsia="宋体" w:cs="Times New Roman"/>
                <w:sz w:val="24"/>
                <w:vertAlign w:val="subscript"/>
                <w:lang w:bidi="ar"/>
              </w:rPr>
              <w:t xml:space="preserve">2.5</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5030i</w:t>
            </w:r>
            <w:r/>
          </w:p>
        </w:tc>
        <w:tc>
          <w:tcPr>
            <w:tcW w:w="1537" w:type="dxa"/>
            <w:vAlign w:val="center"/>
            <w:vMerge w:val="restart"/>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lang w:bidi="ar"/>
              </w:rPr>
              <w:t xml:space="preserve">所有站点设备</w:t>
            </w:r>
            <w:r>
              <w:rPr>
                <w:rFonts w:hint="eastAsia" w:ascii="Times New Roman" w:hAnsi="Times New Roman" w:eastAsia="宋体" w:cs="Times New Roman"/>
                <w:sz w:val="24"/>
                <w:lang w:eastAsia="zh-CN" w:bidi="ar"/>
              </w:rPr>
              <w:t xml:space="preserve">品牌、</w:t>
            </w:r>
            <w:r>
              <w:rPr>
                <w:rFonts w:ascii="Times New Roman" w:hAnsi="Times New Roman" w:eastAsia="宋体" w:cs="Times New Roman"/>
                <w:sz w:val="24"/>
                <w:lang w:bidi="ar"/>
              </w:rPr>
              <w:t xml:space="preserve">型号一致</w:t>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2</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PM</w:t>
            </w:r>
            <w:r>
              <w:rPr>
                <w:rFonts w:ascii="Times New Roman" w:hAnsi="Times New Roman" w:eastAsia="宋体" w:cs="Times New Roman"/>
                <w:sz w:val="24"/>
                <w:vertAlign w:val="subscript"/>
                <w:lang w:bidi="ar"/>
              </w:rPr>
              <w:t xml:space="preserve">10</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5030i</w:t>
            </w:r>
            <w:r/>
          </w:p>
        </w:tc>
        <w:tc>
          <w:tcPr>
            <w:tcW w:w="1537" w:type="dxa"/>
            <w:vAlign w:val="center"/>
            <w:vMerge w:val="continue"/>
            <w:textDirection w:val="lrTb"/>
            <w:noWrap/>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3</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NO</w:t>
            </w:r>
            <w:r>
              <w:rPr>
                <w:rFonts w:ascii="Times New Roman" w:hAnsi="Times New Roman" w:eastAsia="宋体" w:cs="Times New Roman"/>
                <w:sz w:val="24"/>
                <w:vertAlign w:val="subscript"/>
                <w:lang w:bidi="ar"/>
              </w:rPr>
              <w:t xml:space="preserve">x</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42i</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4</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SO</w:t>
            </w:r>
            <w:r>
              <w:rPr>
                <w:rFonts w:ascii="Times New Roman" w:hAnsi="Times New Roman" w:eastAsia="宋体" w:cs="Times New Roman"/>
                <w:sz w:val="24"/>
                <w:vertAlign w:val="subscript"/>
                <w:lang w:bidi="ar"/>
              </w:rPr>
              <w:t xml:space="preserve">2</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43i</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5</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CO</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赛默飞</w:t>
            </w:r>
            <w:r/>
          </w:p>
        </w:tc>
        <w:tc>
          <w:tcPr>
            <w:tcW w:w="1436"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48i</w:t>
            </w:r>
            <w:r/>
          </w:p>
        </w:tc>
        <w:tc>
          <w:tcPr>
            <w:tcW w:w="1537" w:type="dxa"/>
            <w:vAlign w:val="center"/>
            <w:vMerge w:val="continue"/>
            <w:textDirection w:val="lrTb"/>
            <w:noWrap/>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6</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O</w:t>
            </w:r>
            <w:r>
              <w:rPr>
                <w:rFonts w:ascii="Times New Roman" w:hAnsi="Times New Roman" w:eastAsia="宋体" w:cs="Times New Roman"/>
                <w:sz w:val="24"/>
                <w:vertAlign w:val="subscript"/>
                <w:lang w:bidi="ar"/>
              </w:rPr>
              <w:t xml:space="preserve">3</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49i</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7</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气象五参数</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智翔宇</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MULTI-5P</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8</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动态校准仪</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111</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r>
        <w:trPr>
          <w:jc w:val="center"/>
          <w:trHeight w:val="458"/>
        </w:trPr>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9</w:t>
            </w:r>
            <w:r/>
          </w:p>
        </w:tc>
        <w:tc>
          <w:tcPr>
            <w:tcW w:w="148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零气发生器</w:t>
            </w:r>
            <w:r/>
          </w:p>
        </w:tc>
        <w:tc>
          <w:tcPr>
            <w:tcW w:w="809"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w:t>
            </w:r>
            <w:r/>
          </w:p>
        </w:tc>
        <w:tc>
          <w:tcPr>
            <w:tcW w:w="1638" w:type="dxa"/>
            <w:vAlign w:val="center"/>
            <w:textDirection w:val="lrTb"/>
            <w:noWrap/>
          </w:tcPr>
          <w:p>
            <w:pPr>
              <w:jc w:val="center"/>
              <w:keepLines w:val="0"/>
              <w:keepNext w:val="0"/>
              <w:pageBreakBefore w:val="0"/>
              <w:spacing w:line="400" w:lineRule="exact"/>
              <w:widowControl/>
              <w:rPr>
                <w:rFonts w:ascii="Times New Roman" w:hAnsi="Times New Roman" w:eastAsia="宋体" w:cs="Times New Roman"/>
                <w:sz w:val="24"/>
                <w:lang w:eastAsia="en-US" w:bidi="ar"/>
              </w:rPr>
            </w:pPr>
            <w:r>
              <w:rPr>
                <w:rFonts w:ascii="Times New Roman" w:hAnsi="Times New Roman" w:eastAsia="宋体" w:cs="Times New Roman"/>
                <w:sz w:val="24"/>
                <w:lang w:bidi="ar"/>
              </w:rPr>
              <w:t xml:space="preserve">赛默飞</w:t>
            </w:r>
            <w:r/>
          </w:p>
        </w:tc>
        <w:tc>
          <w:tcPr>
            <w:tcW w:w="1436" w:type="dxa"/>
            <w:vAlign w:val="center"/>
            <w:textDirection w:val="lrTb"/>
            <w:noWrap w:val="false"/>
          </w:tcPr>
          <w:p>
            <w:pPr>
              <w:jc w:val="center"/>
              <w:keepLines w:val="0"/>
              <w:keepNext w:val="0"/>
              <w:pageBreakBefore w:val="0"/>
              <w:spacing w:line="400" w:lineRule="exact"/>
              <w:widowControl/>
              <w:rPr>
                <w:rFonts w:ascii="Times New Roman" w:hAnsi="Times New Roman" w:eastAsia="宋体" w:cs="Times New Roman"/>
                <w:sz w:val="24"/>
                <w:lang w:bidi="ar"/>
              </w:rPr>
            </w:pPr>
            <w:r>
              <w:rPr>
                <w:rFonts w:ascii="Times New Roman" w:hAnsi="Times New Roman" w:eastAsia="宋体" w:cs="Times New Roman"/>
                <w:sz w:val="24"/>
                <w:lang w:bidi="ar"/>
              </w:rPr>
              <w:t xml:space="preserve">146i</w:t>
            </w:r>
            <w:r/>
          </w:p>
        </w:tc>
        <w:tc>
          <w:tcPr>
            <w:tcW w:w="1537" w:type="dxa"/>
            <w:vAlign w:val="center"/>
            <w:vMerge w:val="continue"/>
            <w:textDirection w:val="lrTb"/>
            <w:noWrap w:val="false"/>
          </w:tcPr>
          <w:p>
            <w:pPr>
              <w:jc w:val="center"/>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r>
            <w:r/>
          </w:p>
        </w:tc>
      </w:tr>
    </w:tbl>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r>
      <w:r/>
    </w:p>
    <w:p>
      <w:pPr>
        <w:pStyle w:val="664"/>
        <w:jc w:val="both"/>
        <w:keepLines w:val="0"/>
        <w:keepNext w:val="0"/>
        <w:pageBreakBefore w:val="0"/>
        <w:spacing w:line="400" w:lineRule="exact"/>
        <w:rPr>
          <w:rFonts w:eastAsia="宋体"/>
          <w:sz w:val="32"/>
          <w:szCs w:val="32"/>
        </w:rPr>
      </w:pPr>
      <w:r>
        <w:rPr>
          <w:rFonts w:eastAsia="宋体"/>
          <w:sz w:val="32"/>
          <w:szCs w:val="32"/>
        </w:rPr>
        <w:t xml:space="preserve">二、项目内容</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1、设备设施</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投标人负责运维的设备主要包括监测设备、质控设备、气象设备、数据采集与传输设备和辅助设备设施五部分。其中，监测设备主要包括SO</w:t>
      </w:r>
      <w:r>
        <w:rPr>
          <w:rFonts w:ascii="Times New Roman" w:hAnsi="Times New Roman" w:eastAsia="宋体"/>
          <w:vertAlign w:val="subscript"/>
        </w:rPr>
        <w:t xml:space="preserve">2</w:t>
      </w:r>
      <w:r>
        <w:rPr>
          <w:rFonts w:ascii="Times New Roman" w:hAnsi="Times New Roman" w:eastAsia="宋体"/>
        </w:rPr>
        <w:t xml:space="preserve">、NO</w:t>
      </w:r>
      <w:r>
        <w:rPr>
          <w:rFonts w:ascii="Times New Roman" w:hAnsi="Times New Roman" w:eastAsia="宋体"/>
          <w:vertAlign w:val="subscript"/>
        </w:rPr>
        <w:t xml:space="preserve">x</w:t>
      </w:r>
      <w:r>
        <w:rPr>
          <w:rFonts w:ascii="Times New Roman" w:hAnsi="Times New Roman" w:eastAsia="宋体"/>
        </w:rPr>
        <w:t xml:space="preserve">、CO、O</w:t>
      </w:r>
      <w:r>
        <w:rPr>
          <w:rFonts w:ascii="Times New Roman" w:hAnsi="Times New Roman" w:eastAsia="宋体"/>
          <w:vertAlign w:val="subscript"/>
        </w:rPr>
        <w:t xml:space="preserve">3</w:t>
      </w:r>
      <w:r>
        <w:rPr>
          <w:rFonts w:ascii="Times New Roman" w:hAnsi="Times New Roman" w:eastAsia="宋体"/>
        </w:rPr>
        <w:t xml:space="preserve">、PM</w:t>
      </w:r>
      <w:r>
        <w:rPr>
          <w:rFonts w:ascii="Times New Roman" w:hAnsi="Times New Roman" w:eastAsia="宋体"/>
          <w:vertAlign w:val="subscript"/>
        </w:rPr>
        <w:t xml:space="preserve">10</w:t>
      </w:r>
      <w:r>
        <w:rPr>
          <w:rFonts w:ascii="Times New Roman" w:hAnsi="Times New Roman" w:eastAsia="宋体"/>
        </w:rPr>
        <w:t xml:space="preserve">、PM</w:t>
      </w:r>
      <w:r>
        <w:rPr>
          <w:rFonts w:ascii="Times New Roman" w:hAnsi="Times New Roman" w:eastAsia="宋体"/>
          <w:vertAlign w:val="subscript"/>
        </w:rPr>
        <w:t xml:space="preserve">2.5</w:t>
      </w:r>
      <w:r>
        <w:rPr>
          <w:rFonts w:ascii="Times New Roman" w:hAnsi="Times New Roman" w:eastAsia="宋体"/>
        </w:rPr>
        <w:t xml:space="preserve">六项指标监测仪。质控设备主要包括零气发生器、动态校准仪。气象设备主要包括风速、风向、温度、湿度、气压等气象五参数监测设备。数据采集与传输设备主要包括工控机及其配备的软件系统（含阜宁县环境空气质量联网管理平台）。辅助设备设施主要包括UPS、空调、供电系统、消防系统、通讯系统、防雷系统、视频监控系统、子站站房主体、安防设施等。</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2、监测项目</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各站点均监测O</w:t>
      </w:r>
      <w:r>
        <w:rPr>
          <w:rFonts w:ascii="Times New Roman" w:hAnsi="Times New Roman" w:eastAsia="宋体"/>
          <w:vertAlign w:val="subscript"/>
        </w:rPr>
        <w:t xml:space="preserve">2</w:t>
      </w:r>
      <w:r>
        <w:rPr>
          <w:rFonts w:ascii="Times New Roman" w:hAnsi="Times New Roman" w:eastAsia="宋体"/>
        </w:rPr>
        <w:t xml:space="preserve">、NO</w:t>
      </w:r>
      <w:r>
        <w:rPr>
          <w:rFonts w:ascii="Times New Roman" w:hAnsi="Times New Roman" w:eastAsia="宋体"/>
          <w:vertAlign w:val="subscript"/>
        </w:rPr>
        <w:t xml:space="preserve">x</w:t>
      </w:r>
      <w:r>
        <w:rPr>
          <w:rFonts w:ascii="Times New Roman" w:hAnsi="Times New Roman" w:eastAsia="宋体"/>
        </w:rPr>
        <w:t xml:space="preserve">、CO、O</w:t>
      </w:r>
      <w:r>
        <w:rPr>
          <w:rFonts w:ascii="Times New Roman" w:hAnsi="Times New Roman" w:eastAsia="宋体"/>
          <w:vertAlign w:val="subscript"/>
        </w:rPr>
        <w:t xml:space="preserve">3</w:t>
      </w:r>
      <w:r>
        <w:rPr>
          <w:rFonts w:ascii="Times New Roman" w:hAnsi="Times New Roman" w:eastAsia="宋体"/>
        </w:rPr>
        <w:t xml:space="preserve">、PM</w:t>
      </w:r>
      <w:r>
        <w:rPr>
          <w:rFonts w:ascii="Times New Roman" w:hAnsi="Times New Roman" w:eastAsia="宋体"/>
          <w:vertAlign w:val="subscript"/>
        </w:rPr>
        <w:t xml:space="preserve">10</w:t>
      </w:r>
      <w:r>
        <w:rPr>
          <w:rFonts w:ascii="Times New Roman" w:hAnsi="Times New Roman" w:eastAsia="宋体"/>
        </w:rPr>
        <w:t xml:space="preserve">、PM</w:t>
      </w:r>
      <w:r>
        <w:rPr>
          <w:rFonts w:ascii="Times New Roman" w:hAnsi="Times New Roman" w:eastAsia="宋体"/>
          <w:vertAlign w:val="subscript"/>
        </w:rPr>
        <w:t xml:space="preserve">2.5</w:t>
      </w:r>
      <w:r>
        <w:rPr>
          <w:rFonts w:ascii="Times New Roman" w:hAnsi="Times New Roman" w:eastAsia="宋体"/>
        </w:rPr>
        <w:t xml:space="preserve">六项指标，以及气象五参数（风速、风向、温度、湿度、气压）。</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3、监测频次及数据传输</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各站点监测工作方式为24小时不间断连续自动监测，通过网络向省、市、县各平台实时上传监测数据，上传数据包括站点各监测设备的实时监测分钟值、小时值。</w:t>
      </w:r>
      <w:r/>
    </w:p>
    <w:p>
      <w:pPr>
        <w:pStyle w:val="664"/>
        <w:ind w:firstLine="200"/>
        <w:jc w:val="both"/>
        <w:keepLines w:val="0"/>
        <w:keepNext w:val="0"/>
        <w:pageBreakBefore w:val="0"/>
        <w:spacing w:line="400" w:lineRule="exact"/>
        <w:rPr>
          <w:rFonts w:eastAsia="宋体"/>
          <w:sz w:val="32"/>
          <w:szCs w:val="32"/>
        </w:rPr>
      </w:pPr>
      <w:r>
        <w:rPr>
          <w:rFonts w:eastAsia="宋体"/>
          <w:sz w:val="32"/>
          <w:szCs w:val="32"/>
        </w:rPr>
        <w:t xml:space="preserve">三、技术要求</w:t>
      </w:r>
      <w:r/>
    </w:p>
    <w:p>
      <w:pPr>
        <w:pStyle w:val="665"/>
        <w:keepLines w:val="0"/>
        <w:keepNext w:val="0"/>
        <w:pageBreakBefore w:val="0"/>
        <w:spacing w:line="400" w:lineRule="exact"/>
        <w:rPr>
          <w:rFonts w:eastAsia="宋体"/>
        </w:rPr>
      </w:pPr>
      <w:r>
        <w:rPr>
          <w:rFonts w:eastAsia="宋体"/>
        </w:rPr>
        <w:t xml:space="preserve">1、总体要求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需根据环境空气自动监测站运维工作实际，制定项目实施方案，方案内容包括但不限于日常维护方案、质控方案、数据管理方案、应急预案、售后服务方案、安全保障方案、站点交接方案的等，需针对项目需求搭建高效的组织机构，建立完善的管理规章制度，提供有力的保障措施，对空气站点运维服务各过程环节进行有效的组织实施和管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1.1投标人中标后，在合同签订后15个自然日内，按照采购方要求完成相关站点运维交接工作并接手相关站点的运维工作，当站点监测设备无法满足性能指标要求或检测不合格时，投标人应提供备用设备。在服务周期结束时或合同终止执行时，按照采购方要求与新运维单位完成交接工作。</w:t>
      </w:r>
      <w:r/>
    </w:p>
    <w:p>
      <w:pPr>
        <w:pStyle w:val="708"/>
        <w:ind w:firstLine="482"/>
        <w:keepLines w:val="0"/>
        <w:keepNext w:val="0"/>
        <w:pageBreakBefore w:val="0"/>
        <w:spacing w:line="400" w:lineRule="exact"/>
        <w:rPr>
          <w:rFonts w:ascii="Times New Roman" w:hAnsi="Times New Roman" w:eastAsia="宋体"/>
        </w:rPr>
      </w:pPr>
      <w:r>
        <w:rPr>
          <w:rFonts w:ascii="Segoe UI Symbol" w:hAnsi="Segoe UI Symbol" w:eastAsia="宋体" w:cs="Segoe UI Symbol"/>
          <w:b/>
          <w:bCs/>
        </w:rPr>
        <w:t xml:space="preserve">★</w:t>
      </w:r>
      <w:r>
        <w:rPr>
          <w:rFonts w:ascii="Times New Roman" w:hAnsi="Times New Roman" w:eastAsia="宋体"/>
        </w:rPr>
        <w:t xml:space="preserve">1.2投标人中标后1个月内，须在盐城市范围内设立1个运维办事处及备机备件库，以满足项目实施需求。</w:t>
      </w:r>
      <w:r/>
    </w:p>
    <w:p>
      <w:pPr>
        <w:pStyle w:val="708"/>
        <w:keepLines w:val="0"/>
        <w:keepNext w:val="0"/>
        <w:pageBreakBefore w:val="0"/>
        <w:spacing w:line="400" w:lineRule="exact"/>
        <w:rPr>
          <w:rFonts w:ascii="Times New Roman" w:hAnsi="Times New Roman" w:eastAsia="宋体"/>
          <w:color w:val="auto"/>
        </w:rPr>
      </w:pPr>
      <w:r>
        <w:rPr>
          <w:rFonts w:ascii="Times New Roman" w:hAnsi="Times New Roman" w:eastAsia="宋体"/>
          <w:color w:val="auto"/>
        </w:rPr>
        <w:t xml:space="preserve">1.3相关站点的场地租赁费、站房租赁费、电费、通讯费，阜宁县环境空气质量联网管理平台运维费，以及站房基础设施、电力设施、通讯设施和防雷设施</w:t>
      </w:r>
      <w:r>
        <w:rPr>
          <w:rFonts w:hint="eastAsia" w:ascii="Times New Roman" w:hAnsi="Times New Roman" w:eastAsia="宋体"/>
          <w:color w:val="auto"/>
          <w:lang w:eastAsia="zh-CN"/>
        </w:rPr>
        <w:t xml:space="preserve">（检测报告</w:t>
      </w:r>
      <w:r>
        <w:rPr>
          <w:rFonts w:hint="eastAsia" w:ascii="Times New Roman" w:hAnsi="Times New Roman" w:eastAsia="宋体"/>
          <w:color w:val="auto"/>
          <w:lang w:val="en-US" w:eastAsia="zh-CN"/>
        </w:rPr>
        <w:t xml:space="preserve">/年</w:t>
      </w:r>
      <w:r>
        <w:rPr>
          <w:rFonts w:hint="eastAsia" w:ascii="Times New Roman" w:hAnsi="Times New Roman" w:eastAsia="宋体"/>
          <w:color w:val="auto"/>
          <w:lang w:eastAsia="zh-CN"/>
        </w:rPr>
        <w:t xml:space="preserve">）</w:t>
      </w:r>
      <w:r>
        <w:rPr>
          <w:rFonts w:ascii="Times New Roman" w:hAnsi="Times New Roman" w:eastAsia="宋体"/>
          <w:color w:val="auto"/>
        </w:rPr>
        <w:t xml:space="preserve">的日常维护费全部由投标人承担，并包含在本项目投标报价中。</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1.4投标人应保证本项目各类国有资产安全，配合采购人开展资产清点和管理工作。投标人蓄意破坏或私自外借、出租、抵押国有资产的，将交由相关机构处理，出现国有资产损失或流失的，相关责任人要按原价赔偿，并追究法律责任。</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1.5投标人应遵守国家、省关于环境空气自动监测站点运行管理的各项技术规范和相关规定，如运维期间出台新的技术规范和运行管理规定，则运维工作按最新技术规范和规定执行。</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1.6</w:t>
      </w:r>
      <w:r>
        <w:rPr>
          <w:rFonts w:ascii="Times New Roman" w:hAnsi="Times New Roman" w:eastAsia="宋体"/>
        </w:rPr>
        <w:t xml:space="preserve">在空气自动监测系统运维及管理期间，投标人应严格按照相关技术规范要求，对所管理的系统及仪器设备进行规范操作和精心维护及必要维修，保证系统及仪器设备的正常运行。同时投标人必须接受业主和第三方质控核查单位的定期、不定期检查和考核。</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1.7</w:t>
      </w:r>
      <w:r>
        <w:rPr>
          <w:rFonts w:ascii="Times New Roman" w:hAnsi="Times New Roman" w:eastAsia="宋体"/>
        </w:rPr>
        <w:t xml:space="preserve">本项目所形成各类数据信息及相关文档资料归采购人所有，未经采购人授权，任何人无权使用、公开或泄漏给第三方。</w:t>
      </w:r>
      <w:r/>
    </w:p>
    <w:p>
      <w:pPr>
        <w:pStyle w:val="665"/>
        <w:keepLines w:val="0"/>
        <w:keepNext w:val="0"/>
        <w:pageBreakBefore w:val="0"/>
        <w:spacing w:line="400" w:lineRule="exact"/>
        <w:rPr>
          <w:rFonts w:eastAsia="宋体"/>
        </w:rPr>
      </w:pPr>
      <w:r>
        <w:rPr>
          <w:rFonts w:ascii="Segoe UI Symbol" w:hAnsi="Segoe UI Symbol" w:eastAsia="宋体" w:cs="Segoe UI Symbol"/>
        </w:rPr>
        <w:t xml:space="preserve">★</w:t>
      </w:r>
      <w:r>
        <w:rPr>
          <w:rFonts w:eastAsia="宋体"/>
        </w:rPr>
        <w:t xml:space="preserve">2、人员要求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2.1项目负责人</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负责投标人实施本项目的日常管理和协调工作，统筹配置充足的人员、车辆、设备及耗材备件等资源以满足项目需求。投标人为本项目派遣的项目负责人须具备环保类中级及以上技术职称证书和</w:t>
      </w:r>
      <w:r>
        <w:rPr>
          <w:rFonts w:hint="eastAsia" w:ascii="Times New Roman" w:hAnsi="Times New Roman" w:eastAsia="宋体" w:cs="Times New Roman"/>
          <w:sz w:val="24"/>
        </w:rPr>
        <w:t xml:space="preserve">中国环境监测总站</w:t>
      </w:r>
      <w:r>
        <w:rPr>
          <w:rFonts w:ascii="Times New Roman" w:hAnsi="Times New Roman" w:eastAsia="宋体" w:cs="Times New Roman"/>
          <w:sz w:val="24"/>
        </w:rPr>
        <w:t xml:space="preserve">的环境空气自动监测运维</w:t>
      </w:r>
      <w:r>
        <w:rPr>
          <w:rFonts w:hint="eastAsia" w:ascii="Times New Roman" w:hAnsi="Times New Roman" w:eastAsia="宋体" w:cs="Times New Roman"/>
          <w:sz w:val="24"/>
        </w:rPr>
        <w:t xml:space="preserve">与质控</w:t>
      </w:r>
      <w:r>
        <w:rPr>
          <w:rFonts w:ascii="Times New Roman" w:hAnsi="Times New Roman" w:eastAsia="宋体" w:cs="Times New Roman"/>
          <w:sz w:val="24"/>
        </w:rPr>
        <w:t xml:space="preserve">技术培训</w:t>
      </w:r>
      <w:r>
        <w:rPr>
          <w:rFonts w:hint="eastAsia" w:ascii="Times New Roman" w:hAnsi="Times New Roman" w:eastAsia="宋体" w:cs="Times New Roman"/>
          <w:sz w:val="24"/>
        </w:rPr>
        <w:t xml:space="preserve">班</w:t>
      </w:r>
      <w:r>
        <w:rPr>
          <w:rFonts w:ascii="Times New Roman" w:hAnsi="Times New Roman" w:eastAsia="宋体" w:cs="Times New Roman"/>
          <w:sz w:val="24"/>
        </w:rPr>
        <w:t xml:space="preserve">合格证书，在项目期限内需专职投入本项目，在履约期间未经采购人许可不得更换。</w:t>
      </w:r>
      <w:r/>
    </w:p>
    <w:p>
      <w:pPr>
        <w:ind w:firstLine="200"/>
        <w:keepLines w:val="0"/>
        <w:keepNext w:val="0"/>
        <w:pageBreakBefore w:val="0"/>
        <w:spacing w:line="400" w:lineRule="exact"/>
        <w:rPr>
          <w:rFonts w:ascii="Times New Roman" w:hAnsi="Times New Roman" w:eastAsia="宋体" w:cs="Times New Roman"/>
          <w:b/>
          <w:bCs/>
          <w:sz w:val="24"/>
        </w:rPr>
      </w:pPr>
      <w:r>
        <w:rPr>
          <w:rFonts w:ascii="Times New Roman" w:hAnsi="Times New Roman" w:eastAsia="宋体" w:cs="Times New Roman"/>
          <w:b/>
          <w:bCs/>
          <w:sz w:val="24"/>
        </w:rPr>
        <w:t xml:space="preserve">2.2技术人员</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投标人应保证配备足够的专业技术人员，包括现场运维人员、运维质控人员、运维技术支持人员、数据审核及分析人员。投标人为本项目派遣的现场运维人员</w:t>
      </w:r>
      <w:r>
        <w:rPr>
          <w:rFonts w:hint="eastAsia" w:ascii="Times New Roman" w:hAnsi="Times New Roman" w:eastAsia="宋体" w:cs="Times New Roman"/>
          <w:sz w:val="24"/>
          <w:lang w:eastAsia="zh-CN"/>
        </w:rPr>
        <w:t xml:space="preserve">每标断</w:t>
      </w:r>
      <w:r>
        <w:rPr>
          <w:rFonts w:ascii="Times New Roman" w:hAnsi="Times New Roman" w:eastAsia="宋体" w:cs="Times New Roman"/>
          <w:sz w:val="24"/>
        </w:rPr>
        <w:t xml:space="preserve">不少于</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人</w:t>
      </w:r>
      <w:r>
        <w:rPr>
          <w:rFonts w:hint="eastAsia" w:ascii="Times New Roman" w:hAnsi="Times New Roman" w:eastAsia="宋体" w:cs="Times New Roman"/>
          <w:color w:val="auto"/>
          <w:sz w:val="24"/>
        </w:rPr>
        <w:t xml:space="preserve">，</w:t>
      </w:r>
      <w:r>
        <w:rPr>
          <w:rFonts w:hint="eastAsia" w:cs="Times New Roman"/>
          <w:color w:val="auto"/>
          <w:sz w:val="24"/>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现场巡查及数据审核人员</w:t>
      </w:r>
      <w:r>
        <w:rPr>
          <w:rFonts w:hint="eastAsia" w:ascii="Times New Roman" w:hAnsi="Times New Roman" w:eastAsia="宋体" w:cs="Times New Roman"/>
          <w:color w:val="auto"/>
          <w:sz w:val="24"/>
        </w:rPr>
        <w:t xml:space="preserve">不少于1人（运维人员须同</w:t>
      </w:r>
      <w:r>
        <w:rPr>
          <w:rFonts w:hint="eastAsia" w:ascii="Times New Roman" w:hAnsi="Times New Roman" w:eastAsia="宋体" w:cs="Times New Roman"/>
          <w:color w:val="auto"/>
          <w:sz w:val="24"/>
          <w:lang w:eastAsia="zh-CN"/>
        </w:rPr>
        <w:t xml:space="preserve">投</w:t>
      </w:r>
      <w:r>
        <w:rPr>
          <w:rFonts w:hint="eastAsia" w:ascii="Times New Roman" w:hAnsi="Times New Roman" w:eastAsia="宋体" w:cs="Times New Roman"/>
          <w:color w:val="auto"/>
          <w:sz w:val="24"/>
        </w:rPr>
        <w:t xml:space="preserve">标</w:t>
      </w:r>
      <w:r>
        <w:rPr>
          <w:rFonts w:hint="eastAsia" w:ascii="Times New Roman" w:hAnsi="Times New Roman" w:eastAsia="宋体" w:cs="Times New Roman"/>
          <w:color w:val="auto"/>
          <w:sz w:val="24"/>
          <w:lang w:eastAsia="zh-CN"/>
        </w:rPr>
        <w:t xml:space="preserve">文件</w:t>
      </w:r>
      <w:r>
        <w:rPr>
          <w:rFonts w:hint="eastAsia" w:ascii="Times New Roman" w:hAnsi="Times New Roman" w:eastAsia="宋体" w:cs="Times New Roman"/>
          <w:color w:val="auto"/>
          <w:sz w:val="24"/>
        </w:rPr>
        <w:t xml:space="preserve">一致</w:t>
      </w:r>
      <w:r>
        <w:rPr>
          <w:rFonts w:hint="eastAsia" w:ascii="Times New Roman" w:hAnsi="Times New Roman" w:eastAsia="宋体" w:cs="Times New Roman"/>
          <w:color w:val="auto"/>
          <w:sz w:val="24"/>
          <w:lang w:eastAsia="zh-CN"/>
        </w:rPr>
        <w:t xml:space="preserve">，如中标方人员调整必须符合相关条件并取得相应证书人员调换</w:t>
      </w:r>
      <w:r>
        <w:rPr>
          <w:rFonts w:hint="eastAsia" w:ascii="Times New Roman" w:hAnsi="Times New Roman" w:eastAsia="宋体" w:cs="Times New Roman"/>
          <w:color w:val="auto"/>
          <w:sz w:val="24"/>
        </w:rPr>
        <w:t xml:space="preserve">）</w:t>
      </w:r>
      <w:r>
        <w:rPr>
          <w:rFonts w:ascii="Times New Roman" w:hAnsi="Times New Roman" w:eastAsia="宋体" w:cs="Times New Roman"/>
          <w:color w:val="auto"/>
          <w:sz w:val="24"/>
        </w:rPr>
        <w:t xml:space="preserve">，须取得</w:t>
      </w:r>
      <w:r>
        <w:rPr>
          <w:rFonts w:hint="eastAsia" w:ascii="Times New Roman" w:hAnsi="Times New Roman" w:eastAsia="宋体" w:cs="Times New Roman"/>
          <w:color w:val="auto"/>
          <w:sz w:val="24"/>
        </w:rPr>
        <w:t xml:space="preserve">中国环境监测总站</w:t>
      </w:r>
      <w:r>
        <w:rPr>
          <w:rFonts w:ascii="Times New Roman" w:hAnsi="Times New Roman" w:eastAsia="宋体" w:cs="Times New Roman"/>
          <w:color w:val="auto"/>
          <w:sz w:val="24"/>
        </w:rPr>
        <w:t xml:space="preserve">的环境空气自动监测运维</w:t>
      </w:r>
      <w:r>
        <w:rPr>
          <w:rFonts w:hint="eastAsia" w:ascii="Times New Roman" w:hAnsi="Times New Roman" w:eastAsia="宋体" w:cs="Times New Roman"/>
          <w:color w:val="auto"/>
          <w:sz w:val="24"/>
        </w:rPr>
        <w:t xml:space="preserve">与质控</w:t>
      </w:r>
      <w:r>
        <w:rPr>
          <w:rFonts w:ascii="Times New Roman" w:hAnsi="Times New Roman" w:eastAsia="宋体" w:cs="Times New Roman"/>
          <w:color w:val="auto"/>
          <w:sz w:val="24"/>
        </w:rPr>
        <w:t xml:space="preserve">技术培训</w:t>
      </w:r>
      <w:r>
        <w:rPr>
          <w:rFonts w:hint="eastAsia" w:ascii="Times New Roman" w:hAnsi="Times New Roman" w:eastAsia="宋体" w:cs="Times New Roman"/>
          <w:color w:val="auto"/>
          <w:sz w:val="24"/>
        </w:rPr>
        <w:t xml:space="preserve">班</w:t>
      </w:r>
      <w:r>
        <w:rPr>
          <w:rFonts w:ascii="Times New Roman" w:hAnsi="Times New Roman" w:eastAsia="宋体" w:cs="Times New Roman"/>
          <w:color w:val="auto"/>
          <w:sz w:val="24"/>
        </w:rPr>
        <w:t xml:space="preserve">合格证书，在项目期</w:t>
      </w:r>
      <w:r>
        <w:rPr>
          <w:rFonts w:ascii="Times New Roman" w:hAnsi="Times New Roman" w:eastAsia="宋体" w:cs="Times New Roman"/>
          <w:sz w:val="24"/>
        </w:rPr>
        <w:t xml:space="preserve">限内需专职投入本项目，在履约期间未经采购人许可不得更换；其他专业技术人员须取得</w:t>
      </w:r>
      <w:r>
        <w:rPr>
          <w:rFonts w:hint="eastAsia" w:ascii="Times New Roman" w:hAnsi="Times New Roman" w:eastAsia="宋体" w:cs="Times New Roman"/>
          <w:sz w:val="24"/>
        </w:rPr>
        <w:t xml:space="preserve">中国环境监测总站</w:t>
      </w:r>
      <w:r>
        <w:rPr>
          <w:rFonts w:ascii="Times New Roman" w:hAnsi="Times New Roman" w:eastAsia="宋体" w:cs="Times New Roman"/>
          <w:sz w:val="24"/>
        </w:rPr>
        <w:t xml:space="preserve">的环境空气自动监测运维</w:t>
      </w:r>
      <w:r>
        <w:rPr>
          <w:rFonts w:hint="eastAsia" w:ascii="Times New Roman" w:hAnsi="Times New Roman" w:eastAsia="宋体" w:cs="Times New Roman"/>
          <w:sz w:val="24"/>
        </w:rPr>
        <w:t xml:space="preserve">与质控</w:t>
      </w:r>
      <w:r>
        <w:rPr>
          <w:rFonts w:ascii="Times New Roman" w:hAnsi="Times New Roman" w:eastAsia="宋体" w:cs="Times New Roman"/>
          <w:sz w:val="24"/>
        </w:rPr>
        <w:t xml:space="preserve">技术培训</w:t>
      </w:r>
      <w:r>
        <w:rPr>
          <w:rFonts w:hint="eastAsia" w:ascii="Times New Roman" w:hAnsi="Times New Roman" w:eastAsia="宋体" w:cs="Times New Roman"/>
          <w:sz w:val="24"/>
        </w:rPr>
        <w:t xml:space="preserve">班</w:t>
      </w:r>
      <w:r>
        <w:rPr>
          <w:rFonts w:ascii="Times New Roman" w:hAnsi="Times New Roman" w:eastAsia="宋体" w:cs="Times New Roman"/>
          <w:sz w:val="24"/>
        </w:rPr>
        <w:t xml:space="preserve">合格证书。</w:t>
      </w:r>
      <w:r/>
    </w:p>
    <w:p>
      <w:pPr>
        <w:pStyle w:val="665"/>
        <w:keepLines w:val="0"/>
        <w:keepNext w:val="0"/>
        <w:pageBreakBefore w:val="0"/>
        <w:spacing w:line="400" w:lineRule="exact"/>
        <w:rPr>
          <w:rFonts w:eastAsia="宋体"/>
        </w:rPr>
      </w:pPr>
      <w:r>
        <w:rPr>
          <w:rFonts w:eastAsia="宋体"/>
        </w:rPr>
        <w:t xml:space="preserve">3、设备、耗材配件及车辆</w:t>
      </w:r>
      <w:r/>
    </w:p>
    <w:p>
      <w:pPr>
        <w:pStyle w:val="708"/>
        <w:keepLines w:val="0"/>
        <w:keepNext w:val="0"/>
        <w:pageBreakBefore w:val="0"/>
        <w:spacing w:line="400" w:lineRule="exact"/>
        <w:rPr>
          <w:rFonts w:ascii="Times New Roman" w:hAnsi="Times New Roman" w:eastAsia="宋体"/>
        </w:rPr>
      </w:pPr>
      <w:r>
        <w:rPr>
          <w:rFonts w:ascii="Segoe UI Symbol" w:hAnsi="Segoe UI Symbol" w:eastAsia="宋体" w:cs="Segoe UI Symbol"/>
        </w:rPr>
        <w:t xml:space="preserve">★</w:t>
      </w:r>
      <w:r>
        <w:rPr>
          <w:rFonts w:ascii="Times New Roman" w:hAnsi="Times New Roman" w:eastAsia="宋体"/>
        </w:rPr>
        <w:t xml:space="preserve">3.1备机</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投标人须为本项目配备SO</w:t>
      </w:r>
      <w:r>
        <w:rPr>
          <w:rFonts w:ascii="Times New Roman" w:hAnsi="Times New Roman" w:eastAsia="宋体"/>
          <w:vertAlign w:val="subscript"/>
        </w:rPr>
        <w:t xml:space="preserve">2</w:t>
      </w:r>
      <w:r>
        <w:rPr>
          <w:rFonts w:ascii="Times New Roman" w:hAnsi="Times New Roman" w:eastAsia="宋体"/>
        </w:rPr>
        <w:t xml:space="preserve">、NOx、CO、O</w:t>
      </w:r>
      <w:r>
        <w:rPr>
          <w:rFonts w:ascii="Times New Roman" w:hAnsi="Times New Roman" w:eastAsia="宋体"/>
          <w:vertAlign w:val="subscript"/>
        </w:rPr>
        <w:t xml:space="preserve">3</w:t>
      </w:r>
      <w:r>
        <w:rPr>
          <w:rFonts w:ascii="Times New Roman" w:hAnsi="Times New Roman" w:eastAsia="宋体"/>
        </w:rPr>
        <w:t xml:space="preserve">、PM</w:t>
      </w:r>
      <w:r>
        <w:rPr>
          <w:rFonts w:ascii="Times New Roman" w:hAnsi="Times New Roman" w:eastAsia="宋体"/>
          <w:vertAlign w:val="subscript"/>
        </w:rPr>
        <w:t xml:space="preserve">2.5</w:t>
      </w:r>
      <w:r>
        <w:rPr>
          <w:rFonts w:ascii="Times New Roman" w:hAnsi="Times New Roman" w:eastAsia="宋体"/>
        </w:rPr>
        <w:t xml:space="preserve">、PM</w:t>
      </w:r>
      <w:r>
        <w:rPr>
          <w:rFonts w:ascii="Times New Roman" w:hAnsi="Times New Roman" w:eastAsia="宋体"/>
          <w:vertAlign w:val="subscript"/>
        </w:rPr>
        <w:t xml:space="preserve">10</w:t>
      </w:r>
      <w:r>
        <w:rPr>
          <w:rFonts w:ascii="Times New Roman" w:hAnsi="Times New Roman" w:eastAsia="宋体"/>
        </w:rPr>
        <w:t xml:space="preserve">六项指标自动监测仪器各1套用作备机，</w:t>
      </w:r>
      <w:r>
        <w:rPr>
          <w:rFonts w:ascii="Times New Roman" w:hAnsi="Times New Roman" w:eastAsia="宋体"/>
        </w:rPr>
        <w:t xml:space="preserve">原则上备机应与站点原设备同品牌，若非同品牌的，备机监测原理须与原机匹配，性能及功能应满足相关国家标准和技术要求。投标人提供承诺函，承诺中标后1个月内配备到位。</w:t>
      </w:r>
      <w:r/>
    </w:p>
    <w:p>
      <w:pPr>
        <w:pStyle w:val="708"/>
        <w:keepLines w:val="0"/>
        <w:keepNext w:val="0"/>
        <w:pageBreakBefore w:val="0"/>
        <w:spacing w:line="400" w:lineRule="exact"/>
        <w:rPr>
          <w:rFonts w:ascii="Times New Roman" w:hAnsi="Times New Roman" w:eastAsia="宋体"/>
        </w:rPr>
      </w:pPr>
      <w:r>
        <w:rPr>
          <w:rFonts w:ascii="Segoe UI Symbol" w:hAnsi="Segoe UI Symbol" w:eastAsia="宋体" w:cs="Segoe UI Symbol"/>
        </w:rPr>
        <w:t xml:space="preserve">★</w:t>
      </w:r>
      <w:r>
        <w:rPr>
          <w:rFonts w:ascii="Times New Roman" w:hAnsi="Times New Roman" w:eastAsia="宋体"/>
        </w:rPr>
        <w:t xml:space="preserve">3.2质控设备（物资）</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须为本项目配备必要的质量控制设备和标准气体：流量计（高、低流量各1套）、标准气压计、标准温湿度计至少各配备1套；每个站点配备标准气体，标准气体须为国家一级标准物质或国家标准样品。投标人提供承诺函，承诺中标后1个月内配备到位。</w:t>
      </w:r>
      <w:r/>
    </w:p>
    <w:p>
      <w:pPr>
        <w:pStyle w:val="708"/>
        <w:keepLines w:val="0"/>
        <w:keepNext w:val="0"/>
        <w:pageBreakBefore w:val="0"/>
        <w:spacing w:line="400" w:lineRule="exact"/>
        <w:rPr>
          <w:rFonts w:ascii="Times New Roman" w:hAnsi="Times New Roman" w:eastAsia="宋体"/>
        </w:rPr>
      </w:pPr>
      <w:r>
        <w:rPr>
          <w:rFonts w:ascii="Segoe UI Symbol" w:hAnsi="Segoe UI Symbol" w:eastAsia="宋体" w:cs="Segoe UI Symbol"/>
        </w:rPr>
        <w:t xml:space="preserve">★</w:t>
      </w:r>
      <w:r>
        <w:rPr>
          <w:rFonts w:ascii="Times New Roman" w:hAnsi="Times New Roman" w:eastAsia="宋体"/>
        </w:rPr>
        <w:t xml:space="preserve">3.3耗材备件</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须配齐本项目需求中所涉及设备的耗材和备件。耗材按照不少于半年的消耗量配置，备件按照1年使用量配置。严禁使用劣质备品备件，必须使用原厂生产的备品备件，使用非原厂备品备件须提供达到或高于原厂备品备件的性能测试报告。投标人提供承诺函，承诺中标后2个月内配备到位。</w:t>
      </w:r>
      <w:r/>
    </w:p>
    <w:p>
      <w:pPr>
        <w:pStyle w:val="708"/>
        <w:keepLines w:val="0"/>
        <w:keepNext w:val="0"/>
        <w:pageBreakBefore w:val="0"/>
        <w:spacing w:line="400" w:lineRule="exact"/>
        <w:rPr>
          <w:rFonts w:ascii="Times New Roman" w:hAnsi="Times New Roman" w:eastAsia="宋体"/>
        </w:rPr>
      </w:pPr>
      <w:r>
        <w:rPr>
          <w:rFonts w:ascii="Segoe UI Symbol" w:hAnsi="Segoe UI Symbol" w:eastAsia="宋体" w:cs="Segoe UI Symbol"/>
        </w:rPr>
        <w:t xml:space="preserve">★</w:t>
      </w:r>
      <w:r>
        <w:rPr>
          <w:rFonts w:ascii="Times New Roman" w:hAnsi="Times New Roman" w:eastAsia="宋体"/>
        </w:rPr>
        <w:t xml:space="preserve">3.4车辆</w:t>
      </w:r>
      <w:r/>
    </w:p>
    <w:p>
      <w:pPr>
        <w:pStyle w:val="708"/>
        <w:keepLines w:val="0"/>
        <w:keepNext w:val="0"/>
        <w:pageBreakBefore w:val="0"/>
        <w:spacing w:line="400" w:lineRule="exact"/>
        <w:rPr>
          <w:rFonts w:hint="eastAsia" w:ascii="Times New Roman" w:hAnsi="Times New Roman" w:eastAsia="宋体"/>
          <w:color w:val="auto"/>
          <w:lang w:eastAsia="zh-CN"/>
        </w:rPr>
      </w:pPr>
      <w:r>
        <w:rPr>
          <w:rFonts w:ascii="Times New Roman" w:hAnsi="Times New Roman" w:eastAsia="宋体"/>
          <w:color w:val="auto"/>
        </w:rPr>
        <w:t xml:space="preserve">投标人应保证配备足够的</w:t>
      </w:r>
      <w:r>
        <w:rPr>
          <w:rFonts w:ascii="Times New Roman" w:hAnsi="Times New Roman" w:eastAsia="宋体"/>
          <w:color w:val="auto"/>
        </w:rPr>
        <w:t xml:space="preserve">自有</w:t>
      </w:r>
      <w:r>
        <w:rPr>
          <w:rFonts w:ascii="Times New Roman" w:hAnsi="Times New Roman" w:eastAsia="宋体"/>
          <w:color w:val="auto"/>
        </w:rPr>
        <w:t xml:space="preserve">专用运维车辆，</w:t>
      </w:r>
      <w:r>
        <w:rPr>
          <w:rFonts w:ascii="Times New Roman" w:hAnsi="Times New Roman" w:eastAsia="宋体"/>
          <w:color w:val="auto"/>
        </w:rPr>
        <w:t xml:space="preserve">数量不少于</w:t>
      </w:r>
      <w:r>
        <w:rPr>
          <w:rFonts w:hint="eastAsia" w:ascii="Times New Roman" w:hAnsi="Times New Roman" w:eastAsia="宋体"/>
          <w:color w:val="auto"/>
        </w:rPr>
        <w:t xml:space="preserve">3</w:t>
      </w:r>
      <w:r>
        <w:rPr>
          <w:rFonts w:ascii="Times New Roman" w:hAnsi="Times New Roman" w:eastAsia="宋体"/>
          <w:color w:val="auto"/>
        </w:rPr>
        <w:t xml:space="preserve">台。</w:t>
      </w:r>
      <w:r>
        <w:rPr>
          <w:rFonts w:hint="eastAsia" w:ascii="Times New Roman" w:hAnsi="Times New Roman" w:eastAsia="宋体"/>
          <w:color w:val="auto"/>
          <w:lang w:eastAsia="zh-CN"/>
        </w:rPr>
        <w:t xml:space="preserve">（其中</w:t>
      </w:r>
      <w:r>
        <w:rPr>
          <w:rFonts w:hint="eastAsia" w:ascii="Times New Roman" w:hAnsi="Times New Roman"/>
          <w:color w:val="auto"/>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现场巡查及数据审核人员</w:t>
      </w:r>
      <w:r>
        <w:rPr>
          <w:rFonts w:hint="eastAsia" w:ascii="Times New Roman" w:hAnsi="Times New Roman" w:eastAsia="宋体"/>
          <w:color w:val="auto"/>
          <w:lang w:eastAsia="zh-CN"/>
        </w:rPr>
        <w:t xml:space="preserve">配备专用车辆</w:t>
      </w:r>
      <w:r>
        <w:rPr>
          <w:rFonts w:hint="eastAsia" w:ascii="Times New Roman" w:hAnsi="Times New Roman" w:eastAsia="宋体"/>
          <w:color w:val="auto"/>
          <w:lang w:val="en-US" w:eastAsia="zh-CN"/>
        </w:rPr>
        <w:t xml:space="preserve">1台</w:t>
      </w:r>
      <w:r>
        <w:rPr>
          <w:rFonts w:hint="eastAsia" w:ascii="Times New Roman" w:hAnsi="Times New Roman" w:eastAsia="宋体"/>
          <w:color w:val="auto"/>
          <w:lang w:eastAsia="zh-CN"/>
        </w:rPr>
        <w:t xml:space="preserve">）</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3.5其他</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投标人应</w:t>
      </w:r>
      <w:r>
        <w:rPr>
          <w:rFonts w:ascii="Times New Roman" w:hAnsi="Times New Roman" w:eastAsia="宋体"/>
        </w:rPr>
        <w:t xml:space="preserve">至少配备1套专用仪器维护维修工具。</w:t>
      </w:r>
      <w:r/>
    </w:p>
    <w:p>
      <w:pPr>
        <w:pStyle w:val="665"/>
        <w:keepLines w:val="0"/>
        <w:keepNext w:val="0"/>
        <w:pageBreakBefore w:val="0"/>
        <w:spacing w:line="400" w:lineRule="exact"/>
        <w:rPr>
          <w:rFonts w:eastAsia="宋体"/>
        </w:rPr>
      </w:pPr>
      <w:r>
        <w:rPr>
          <w:rFonts w:eastAsia="宋体"/>
        </w:rPr>
        <w:t xml:space="preserve">4.运维工作内容</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运维过程中主要完成以下工作：</w:t>
      </w:r>
      <w:r/>
    </w:p>
    <w:p>
      <w:pPr>
        <w:ind w:firstLine="20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4.1空气自动监测站的日常运行维护；</w:t>
      </w:r>
      <w:r/>
    </w:p>
    <w:p>
      <w:pPr>
        <w:ind w:firstLine="20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4.2空气自动监测站的日常质量管理；</w:t>
      </w:r>
      <w:r/>
    </w:p>
    <w:p>
      <w:pPr>
        <w:ind w:firstLine="20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4.3空气自动监测站的日常安全管理；</w:t>
      </w:r>
      <w:r/>
    </w:p>
    <w:p>
      <w:pPr>
        <w:ind w:firstLine="20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4.4空气自动监测站监测数据的日常审核、上报；</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4.5空气自动监测站的仪器设备及其他相关辅助设备设施的维护保养及故障维修；</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4.6根据工作需要开展空气自动监测站PM10与PM2.5自动监测的手工比对；</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4.7当仪器出现故障不能及时修复时，应在24小时之内使用备机开展监测；</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4.8仪器报废后（包括因洪水、地震、台风、站房外部火灾、爆炸、恐怖袭击、武装冲突、蓄意破坏等不可抗力导致），投标人须先行及时使用备机开展监测，同时报告业主；</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4.9当点位需要新增、撤销、变更时，由业主按照点位管理程序向上级生态环境厅报批。涉及站点迁移的，投标人应做好迁移前后监测仪器设备检查工作并做好相关记录。</w:t>
      </w:r>
      <w:r/>
    </w:p>
    <w:p>
      <w:pPr>
        <w:ind w:firstLine="480"/>
        <w:keepLines w:val="0"/>
        <w:keepNext w:val="0"/>
        <w:pageBreakBefore w:val="0"/>
        <w:spacing w:line="400" w:lineRule="exact"/>
        <w:widowControl/>
        <w:rPr>
          <w:rFonts w:ascii="Times New Roman" w:hAnsi="Times New Roman" w:eastAsia="宋体" w:cs="Times New Roman"/>
          <w:color w:val="000000" w:themeColor="text1"/>
          <w:sz w:val="24"/>
          <w:shd w:val="clear" w:color="auto" w:fill="auto"/>
          <w14:textFill>
            <w14:solidFill>
              <w14:schemeClr w14:val="tx1"/>
            </w14:solidFill>
          </w14:textFill>
        </w:rPr>
      </w:pPr>
      <w:r>
        <w:rPr>
          <w:rFonts w:ascii="Times New Roman" w:hAnsi="Times New Roman" w:eastAsia="宋体" w:cs="Times New Roman"/>
          <w:color w:val="000000" w:themeColor="text1"/>
          <w:sz w:val="24"/>
          <w:shd w:val="clear" w:color="auto" w:fill="auto"/>
          <w14:textFill>
            <w14:solidFill>
              <w14:schemeClr w14:val="tx1"/>
            </w14:solidFill>
          </w14:textFill>
        </w:rPr>
        <w:t xml:space="preserve">4.10阜宁县环境空气质量联网管理平台的日常运行维护及安全管理，当系统平台出现安全风险或需要迁移时，由投标人负责与系统平台开发商对接，按要求完成相关工作并承担相应费用。</w:t>
      </w:r>
      <w:r/>
    </w:p>
    <w:p>
      <w:pPr>
        <w:pStyle w:val="665"/>
        <w:keepLines w:val="0"/>
        <w:keepNext w:val="0"/>
        <w:pageBreakBefore w:val="0"/>
        <w:spacing w:line="400" w:lineRule="exact"/>
        <w:rPr>
          <w:rFonts w:eastAsia="宋体"/>
        </w:rPr>
      </w:pPr>
      <w:r>
        <w:rPr>
          <w:rFonts w:eastAsia="宋体"/>
        </w:rPr>
        <w:t xml:space="preserve">5.运维工作目标</w:t>
      </w:r>
      <w:r/>
    </w:p>
    <w:p>
      <w:pPr>
        <w:ind w:firstLine="480"/>
        <w:keepLines w:val="0"/>
        <w:keepNext w:val="0"/>
        <w:pageBreakBefore w:val="0"/>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投标人必须建立完善的运行维护工作规范与质量管理体系，确保提供及时、准确、有效的监测数据，子站的运行质量应达到以下指标：每日9:00前，将各乡镇环境空气质量监测站审核数据上传省、市、县各级数据管理平台，每月数据联网率≥98%，确保联网后每月实时数据和审核后有效数据入库率≥95%。</w:t>
      </w:r>
      <w:r/>
    </w:p>
    <w:p>
      <w:pPr>
        <w:pStyle w:val="665"/>
        <w:keepLines w:val="0"/>
        <w:keepNext w:val="0"/>
        <w:pageBreakBefore w:val="0"/>
        <w:spacing w:line="400" w:lineRule="exact"/>
        <w:rPr>
          <w:rFonts w:eastAsia="宋体"/>
        </w:rPr>
      </w:pPr>
      <w:r>
        <w:rPr>
          <w:rFonts w:eastAsia="宋体"/>
        </w:rPr>
        <w:t xml:space="preserve">6.运维工作要求</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6.1运维工作一般要求如下：</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(1)保持站房内部环境清洁，布置整齐，各仪器设备干净清洁，设备标识清楚；</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(2)保持站房外20m</w:t>
      </w:r>
      <w:r>
        <w:rPr>
          <w:rFonts w:hint="eastAsia" w:ascii="Times New Roman" w:hAnsi="Times New Roman" w:eastAsia="宋体" w:cs="Times New Roman"/>
          <w:color w:val="000000" w:themeColor="text1"/>
          <w:sz w:val="24"/>
          <w14:textFill>
            <w14:solidFill>
              <w14:schemeClr w14:val="tx1"/>
            </w14:solidFill>
          </w14:textFill>
        </w:rPr>
        <w:t xml:space="preserve">范围</w:t>
      </w:r>
      <w:r>
        <w:rPr>
          <w:rFonts w:ascii="Times New Roman" w:hAnsi="Times New Roman" w:eastAsia="宋体" w:cs="Times New Roman"/>
          <w:color w:val="000000" w:themeColor="text1"/>
          <w:sz w:val="24"/>
          <w14:textFill>
            <w14:solidFill>
              <w14:schemeClr w14:val="tx1"/>
            </w14:solidFill>
          </w14:textFill>
        </w:rPr>
        <w:t xml:space="preserve">以</w:t>
      </w:r>
      <w:r>
        <w:rPr>
          <w:rFonts w:ascii="Times New Roman" w:hAnsi="Times New Roman" w:eastAsia="宋体" w:cs="Times New Roman"/>
          <w:sz w:val="24"/>
        </w:rPr>
        <w:t xml:space="preserve">内的环境清洁；</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(3)检查供电和网络通讯情况，保证系统的正常运行;</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(4)保证空调正常工作，站房内温度25±5℃，相对湿度保持在80%RH以下；</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(5)指派专人维护，设备固定牢固，门窗关闭良好，人走关门，非工作人员未经许可不得入内；</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(6)定期检查消防和安全设施；</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(7)每次维护后做好系统运行维护记录；</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(8)进行维护时，应规范操作，注意安全，防止意外发生。</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6.2每日工作内容如下：</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每天上午和下午两次远程查看空气自动监测站数据并形成记录，分析监测数据，对站点运行情况进行远程诊断和运行管理，内容包括：</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(1)判断系统数据采集与传输情况；</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(2)根据电源电压、站房温度、湿度数据判断站房内部情况；</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(3)发现监测数据异常，应立即通知业主，在每日6时～23时出现的异常，应在4小时内解决（通信线路、电力线路故障除外，但应及时与相关部门联系积极解决），每日0—6时出现的异常，应在次日上午10时前解决；</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(4)发生重污染天气等特殊情况后，应在4小时内开展相应的运维工作；</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(5)根据数据分析结果、设备状态参数和仪器故障报警信号，判断仪器运行情况和现场状况；</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(6)每日检查数据是否及时审核上传并正常发布，发现数据断网及时恢复。</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6.3每周工作内容如下：</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每周至少巡检空气自动监测站1次（最大间隔期不得超过8天，且14天内必须完成2次维护），并做好巡查记录，巡检时需要完成的工作包括：</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(1)查看空气自动监测站设备是否齐备，无丢失和损坏；检查接地线路是否可靠，排风排气装置工作是否正常，标准气钢瓶阀门是否漏气，标准气的消耗情况；</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(2)检查采样和排气管路是否有漏气或堵塞现象，各监测仪器采样流量是否正常；</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(3)检查各监测仪器的运行状况和工作参数，判断是否正常，如有异常情况及时处理，保证仪器运行正常；</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(4)检查PM10和PM2.5监测仪动态加热装置及采样总管加热装置是否正常工作；</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(5)对二氧化硫、一氧化碳、臭氧、氮氧化物监测仪进行零点、跨度检查，如果漂移超过国家相关规范要求，需要进行校准或维修；</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(6)按照仪器说明书要求，对零气发生器进行维护；</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(7)检查外部环境是否正常，有没有对测定结果或运行环境存在明显影响的污染源；</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(8)检查电路系统和通讯系统，保证系统供电正常，电压稳定；</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(9)检查空气自动监测站的通讯系统，保证空气自动监测站与相关数据监控平台的连接正常，数据传输正常；确保无远程控制软件；</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(10)对仪器显示数据、时间与数据采集仪之间的一致性进行检查和校准；</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(11)检查监测仪器的采样入口与采样支路管线结合部之间安装的过滤膜的污染情况，每周更换滤膜并检查监测仪器散热风扇污染情况，及时清洗；</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(12)在冬、夏季节应注意空气自动监测站站房室内外温差，若温差较大，应及时改变站房温度或对采样总管采取适当的控制措施，防止冷凝现象；</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(13)应及时清除空气自动监测站站房周围的杂草和积水，当周围树木生长超过规范规定的控制限时，应及时剪除对采样或监测光束有影响的树枝；</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(15)检查站房的安全设施，做好防火防盗工作；</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(16)每周对气象仪器的运行情况进行检查；</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(17)每周对颗粒物的采样纸带或滤膜进行检查，如纸带即将用尽或滤膜负载超过规定要求，及时进行更换；</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(18)每周检查视频监控系统，并做好视频系统的日常维护。若发现人为干扰干预环境空气质量监测的行为，及时向业主汇报；</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（19）每周对站房内外环境卫生进行检查，及时保洁。</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6.4每月工作内容如下：</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（1）每月更换尘过滤膜2-3次，清洗防尘罩1-2次，及时更换干燥剂。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（2）光电法监测仪器每月进行一次精密度测试。测尘仪每月进行流量校准。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（3）清洗PM10及PM2.5切割器，检查β法颗粒物分析仪仪器喷嘴、压环等部件；</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（4）检查PM10及PM2.5监测仪、气态分析仪、动态气体校准仪流量，超过国家相关规范要求，及时进行校准。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（5）对仪器显示数据和数据采集仪之间的一致性进行检查。</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（6）每月对数据进行备份。</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7）每两个月清洗PM10、PM2.5切割头。检查各气体分析仪器采样流量。更换PM10、颗粒物（PM2.5）分析仪滤纸带（必要时），进行系统自检；校准和检查PM10及颗粒物（PM2.5）分析仪的温度、气压和时钟；用标准气压计、温度计、湿度计、手持式风速风向仪，校准相关的自动仪器。</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6.5每季度工作内容如下：</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（1）光电法监测仪器每季度进行一次多点校准。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（2）测尘仪每季度标准膜校准和气密性检查。</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（3）采样总管及采样风机每季度至少清洗一次。</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（4）每季度对PM10和PM2.5监测仪器进行标准膜校准或K0值检查，超过国家相关规范要求时，及时进行校准。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（5）每季度进行校准器光度计及臭氧发生器校准传递。</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6.6每半年工作内容如下：</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（1）清洗采样总管。清洗或更换采样支管。</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（2）更换零气源活性炭。更换NOX仪辅助进气口活性炭和氧化剂。更换NOX仪泵前吸臭氧活性炭。</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（3）检查PM2.5、PM10分析仪相对湿度、温度传感器和动态加热装置是否正常工作。</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（4）对气态污染物监测仪进行多点校准，绘制校准曲线，检验相关系数、斜率和截距。</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（5）动态气体校准仪流量进行20点检查，必要时校准。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（6）采用臭氧传递标准对空气站臭氧工作标准进行标准传递。</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（7）更换零气源净化剂和氧化剂，对零气性能进行检查。</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（8）对氮氧化物分析仪钼炉转化率进行检查。</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6.7每年工作内容如下：</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(1)按照仪器说明书对动态校准仪流量进行多点检查；</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(2)对所有的仪器（包括采样泵）进行预防性维护，按说明书的要求更换备件。</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6.8日常运维其他相关要求如下：</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(1)每周更换的气态污染物监测仪器所用滤膜，必须为聚四氟乙烯材质；</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(2)应及时制定每月工作计划并将进出空气自动监测站的具体日期上报业主备案，并严格按计划执行，若有变更或临时突发情况处理等应及时上报业主备案；</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(3)运维单位保证满足生态环境部门对空气自动监测站仪器设备故障的响应时间要求，当仪器设备每日6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(4)当仪器损坏不能修复时，应在24小时之内使用备机开展监测，并同时报告业主，由业主组织确认仪器损坏情况及原因，酌情处理；</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(5)仪器报废后（包括使用超过8年导致，或因洪水、地震、台风、站房外部火灾、爆炸、恐怖袭击、武装冲突、蓄意破坏等不可抗力导致），运维单位须先行及时使用备机开展监测，同时报告业主；</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(6)严禁擅自改变采样管路连接方式和更改仪器参数设置。</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6.9质量控制要求</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运维单位需认真落实质量管理制度，建立完善的运行维护工作质量管理体系，安排专职质量控制管理人员。</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（2）日常质量控制要求</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监测仪在以下情况下需进行校准：</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①</w:t>
      </w:r>
      <w:r>
        <w:rPr>
          <w:rFonts w:ascii="Times New Roman" w:hAnsi="Times New Roman" w:eastAsia="宋体" w:cs="Times New Roman"/>
          <w:sz w:val="24"/>
        </w:rPr>
        <w:t xml:space="preserve">安装时</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②</w:t>
      </w:r>
      <w:r>
        <w:rPr>
          <w:rFonts w:ascii="Times New Roman" w:hAnsi="Times New Roman" w:eastAsia="宋体" w:cs="Times New Roman"/>
          <w:sz w:val="24"/>
        </w:rPr>
        <w:t xml:space="preserve">移动位置时</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③</w:t>
      </w:r>
      <w:r>
        <w:rPr>
          <w:rFonts w:ascii="Times New Roman" w:hAnsi="Times New Roman" w:eastAsia="宋体" w:cs="Times New Roman"/>
          <w:sz w:val="24"/>
        </w:rPr>
        <w:t xml:space="preserve">进行可能影响校准结果的维修或维护后</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④</w:t>
      </w:r>
      <w:r>
        <w:rPr>
          <w:rFonts w:ascii="Times New Roman" w:hAnsi="Times New Roman" w:eastAsia="宋体" w:cs="Times New Roman"/>
          <w:sz w:val="24"/>
        </w:rPr>
        <w:t xml:space="preserve">监测仪暂停工作一段时间后</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⑤</w:t>
      </w:r>
      <w:r>
        <w:rPr>
          <w:rFonts w:ascii="Times New Roman" w:hAnsi="Times New Roman" w:eastAsia="宋体" w:cs="Times New Roman"/>
          <w:sz w:val="24"/>
        </w:rPr>
        <w:t xml:space="preserve">有迹象表明监测仪工作不正常或校准结果出现变化</w:t>
      </w:r>
      <w:r/>
    </w:p>
    <w:p>
      <w:pPr>
        <w:ind w:firstLine="200"/>
        <w:keepLines w:val="0"/>
        <w:keepNext w:val="0"/>
        <w:pageBreakBefore w:val="0"/>
        <w:spacing w:line="400" w:lineRule="exact"/>
        <w:rPr>
          <w:rFonts w:ascii="Times New Roman" w:hAnsi="Times New Roman" w:eastAsia="宋体" w:cs="Times New Roman"/>
          <w:sz w:val="24"/>
        </w:rPr>
      </w:pPr>
      <w:r>
        <w:rPr>
          <w:rFonts w:ascii="Cambria Math" w:hAnsi="Cambria Math" w:eastAsia="宋体" w:cs="Cambria Math"/>
          <w:sz w:val="24"/>
        </w:rPr>
        <w:t xml:space="preserve">⑥</w:t>
      </w:r>
      <w:r>
        <w:rPr>
          <w:rFonts w:ascii="Times New Roman" w:hAnsi="Times New Roman" w:eastAsia="宋体" w:cs="Times New Roman"/>
          <w:sz w:val="24"/>
        </w:rPr>
        <w:t xml:space="preserve">超过国家规范或本招标文件要求的校准周期或校准要求的。</w:t>
      </w:r>
      <w:r/>
    </w:p>
    <w:p>
      <w:pPr>
        <w:ind w:firstLine="200"/>
        <w:keepLines w:val="0"/>
        <w:keepNext w:val="0"/>
        <w:pageBreakBefore w:val="0"/>
        <w:spacing w:line="400" w:lineRule="exact"/>
        <w:rPr>
          <w:rFonts w:ascii="Times New Roman" w:hAnsi="Times New Roman" w:eastAsia="宋体" w:cs="Times New Roman"/>
          <w:sz w:val="24"/>
        </w:rPr>
        <w:outlineLvl w:val="4"/>
      </w:pPr>
      <w:r>
        <w:rPr>
          <w:rFonts w:ascii="Times New Roman" w:hAnsi="Times New Roman" w:eastAsia="宋体" w:cs="Times New Roman"/>
          <w:sz w:val="24"/>
        </w:rPr>
        <w:t xml:space="preserve">（3）质量检查</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运维单位必须安排专人严格按照国家相关技术规范要求开展内部质控自查，同时接受业主及其委托单位和人员的质量检查。</w:t>
      </w:r>
      <w:r/>
    </w:p>
    <w:p>
      <w:pPr>
        <w:ind w:firstLine="200"/>
        <w:keepLines w:val="0"/>
        <w:keepNext w:val="0"/>
        <w:pageBreakBefore w:val="0"/>
        <w:spacing w:line="400" w:lineRule="exact"/>
        <w:rPr>
          <w:rFonts w:ascii="Times New Roman" w:hAnsi="Times New Roman" w:eastAsia="宋体" w:cs="Times New Roman"/>
          <w:sz w:val="24"/>
        </w:rPr>
        <w:outlineLvl w:val="3"/>
      </w:pPr>
      <w:r>
        <w:rPr>
          <w:rFonts w:ascii="Times New Roman" w:hAnsi="Times New Roman" w:eastAsia="宋体" w:cs="Times New Roman"/>
          <w:sz w:val="24"/>
        </w:rPr>
        <w:t xml:space="preserve">6.10系统设备维修要求</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1）维修更换工作要求运维单位负责系统所有设备和仪器的维护、维修和部件更换（包括空调设备等附属设施），并将维修费用计算在运维报价中。本服务内容同样包括由于外部原因意外丢失和损坏设备的更换或维修。</w:t>
      </w:r>
      <w:r/>
    </w:p>
    <w:p>
      <w:pPr>
        <w:ind w:firstLine="20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（2）设备维修质量控制要求监测仪器修复后，当其监测性能受到影响时，采用关键参数检查、标气测定、颗粒物流量测定、标准膜测试、标准样品测试或手工比对等方法进行测试。仪器大修后，</w:t>
      </w:r>
      <w:r>
        <w:rPr>
          <w:rFonts w:ascii="Times New Roman" w:hAnsi="Times New Roman" w:eastAsia="宋体" w:cs="Times New Roman"/>
          <w:sz w:val="24"/>
        </w:rPr>
        <w:t xml:space="preserve">气态污染监测设备应按顺序开展零点漂移和量程漂移测试、精密度及准确度测试、多点线性测试；颗粒物监测设备应开展手工比对测试，测试应严格按照《环境空气颗粒物（PM10和PM2.5）连续自动监测系统运行和质控技术规范》(HJ817-2018）中准确度审核要求实施，并遵守《环境空气颗粒物(PM2.5)手工监测方法(重量法)技术规范》（HJ656-2013）、《环境空气中PM10和PM2.5的测定重量法》（HJ618-2011）和《环境空气质量手工监测技术规范》（HJ194-2017）等相关规范要求，同时提交相应报告。</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6.11数据管理要求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（1）数据要求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运维单位应采取措施保证监测数据的准确性、连续性和完整性，确保得到全面、客观的监测结果，及时</w:t>
      </w:r>
      <w:r>
        <w:rPr>
          <w:rFonts w:ascii="Times New Roman" w:hAnsi="Times New Roman" w:eastAsia="宋体"/>
        </w:rPr>
        <w:t xml:space="preserve">审核监测数据，</w:t>
      </w:r>
      <w:r>
        <w:rPr>
          <w:rFonts w:ascii="Times New Roman" w:hAnsi="Times New Roman" w:eastAsia="宋体"/>
        </w:rPr>
        <w:t xml:space="preserve">不得选择性地舍弃数据以及人为干预监测和评价结果。</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监测仪器应全年连续运行。在监测仪器校准、停电和设备故障，以及其他不可抗拒的因素导致不能获得连续监测数据时，应采取有效措施及时恢复。</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自动监测数据异常值的判定参照国家或省级相关技术规定要求。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监测仪器应保证24小时连续运行，每天因校准、仪器故障等原因导致数据无效或缺失数据时间不超过3小时，夜间或特殊情况下导致数据无效或缺失数据时间不超过12小时。</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监测仪器受临时停电、断电或其他不可抗力影响，从出现状况时起到恢复正常时止，此期间数据不参与统计。</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（2）空气质量报告要求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重点针对PM2.5、O3_8h、优良率三个指标进行分析，并提供相应统计报表。</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每日10时前，提供前一天空气质量日报表，包含每天PM2.5、O3_8h浓度值及达标情况；</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每月5日前，提供上一月空气质量月报表，包含每月PM2.5、O3_8h浓度值及优良率；</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每年1月15日前，提供上一年度空气质量年度报表，年报需包含每个月空气质量SO2、NO2、CO、PM2.5、PM10和O3的浓度变化，优良天数情况及同比变化。</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（3）数据管理平台要求</w:t>
      </w:r>
      <w:r/>
    </w:p>
    <w:p>
      <w:pPr>
        <w:pStyle w:val="708"/>
        <w:keepLines w:val="0"/>
        <w:keepNext w:val="0"/>
        <w:pageBreakBefore w:val="0"/>
        <w:spacing w:line="400" w:lineRule="exact"/>
        <w:rPr>
          <w:rFonts w:ascii="Times New Roman" w:hAnsi="Times New Roman" w:eastAsia="宋体"/>
          <w:shd w:val="clear" w:color="auto" w:fill="ffffff"/>
        </w:rPr>
      </w:pPr>
      <w:r>
        <w:rPr>
          <w:rFonts w:ascii="Cambria Math" w:hAnsi="Cambria Math" w:eastAsia="宋体" w:cs="Cambria Math"/>
        </w:rPr>
        <w:t xml:space="preserve">①</w:t>
      </w:r>
      <w:r>
        <w:rPr>
          <w:rFonts w:ascii="Times New Roman" w:hAnsi="Times New Roman" w:eastAsia="宋体"/>
        </w:rPr>
        <w:t xml:space="preserve">与系统平台开发商对接，定期对阜宁县环境空气质量联网管理平台运行情况进行分析，同时进行系统漏洞扫描与修复，确保平台的安全稳定运行</w:t>
      </w:r>
      <w:r>
        <w:rPr>
          <w:rFonts w:ascii="Times New Roman" w:hAnsi="Times New Roman" w:eastAsia="宋体"/>
          <w:shd w:val="clear" w:color="auto" w:fill="ffffff"/>
        </w:rPr>
        <w:t xml:space="preserve">。</w:t>
      </w:r>
      <w:r/>
    </w:p>
    <w:p>
      <w:pPr>
        <w:pStyle w:val="708"/>
        <w:keepLines w:val="0"/>
        <w:keepNext w:val="0"/>
        <w:pageBreakBefore w:val="0"/>
        <w:spacing w:line="400" w:lineRule="exact"/>
        <w:rPr>
          <w:rFonts w:ascii="Times New Roman" w:hAnsi="Times New Roman" w:eastAsia="宋体"/>
        </w:rPr>
      </w:pPr>
      <w:r>
        <w:rPr>
          <w:rFonts w:ascii="Cambria Math" w:hAnsi="Cambria Math" w:eastAsia="宋体" w:cs="Cambria Math"/>
        </w:rPr>
        <w:t xml:space="preserve">②</w:t>
      </w:r>
      <w:r>
        <w:rPr>
          <w:rFonts w:ascii="Times New Roman" w:hAnsi="Times New Roman" w:eastAsia="宋体"/>
        </w:rPr>
        <w:t xml:space="preserve">与系统平台开发商对接，及时针对网信办、数据局、财政局等部门提出的关于阜宁县环境空气质量联网管理平台整改问题进行整改。</w:t>
      </w:r>
      <w:r/>
    </w:p>
    <w:p>
      <w:pPr>
        <w:pStyle w:val="708"/>
        <w:keepLines w:val="0"/>
        <w:keepNext w:val="0"/>
        <w:pageBreakBefore w:val="0"/>
        <w:spacing w:line="400" w:lineRule="exact"/>
        <w:rPr>
          <w:rFonts w:ascii="Times New Roman" w:hAnsi="Times New Roman" w:eastAsia="宋体"/>
        </w:rPr>
      </w:pPr>
      <w:r>
        <w:rPr>
          <w:rFonts w:ascii="Cambria Math" w:hAnsi="Cambria Math" w:eastAsia="宋体" w:cs="Cambria Math"/>
        </w:rPr>
        <w:t xml:space="preserve">③</w:t>
      </w:r>
      <w:r>
        <w:rPr>
          <w:rFonts w:ascii="Times New Roman" w:hAnsi="Times New Roman" w:eastAsia="宋体"/>
        </w:rPr>
        <w:t xml:space="preserve">与系统平台开发商对接，积极配合第三方单位开展信息系统数据安全风险评估、等保测评等工作。</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7、交接要求</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7.1投标人需根据运维站点情况制定交接实施方案，内容包括但不限于人员安排、职责分工、时间安排、交接内容、交接流程等，经采购人审核确认后，开展运维交接工作。</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（1）对需要交接的相关的文档、资料、系统、设备等形成清单；</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（2）设备性能开展测试，对基础设施具体情况进行确认；</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（3）需要更换备机的，相关备机性能测试和功能检查均须合格，需征得采购人同意后才能更换备机：</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（4）确认交接工作全部完成后，向采购人提交完整交接记录。</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7.2在合同签订后15个自然日内完成站点交接工作，因投标人原因导致交接工作未能按时完成的，应由投标人承担站点运行产生的相关费用。</w:t>
      </w:r>
      <w:r/>
    </w:p>
    <w:p>
      <w:pPr>
        <w:pStyle w:val="664"/>
        <w:jc w:val="both"/>
        <w:keepLines w:val="0"/>
        <w:keepNext w:val="0"/>
        <w:pageBreakBefore w:val="0"/>
        <w:spacing w:line="400" w:lineRule="exact"/>
        <w:rPr>
          <w:rFonts w:eastAsia="宋体"/>
          <w:sz w:val="32"/>
          <w:szCs w:val="32"/>
        </w:rPr>
      </w:pPr>
      <w:r>
        <w:rPr>
          <w:rFonts w:hint="eastAsia" w:eastAsia="宋体"/>
          <w:sz w:val="32"/>
          <w:szCs w:val="32"/>
          <w:lang w:val="en-US" w:eastAsia="zh-CN"/>
        </w:rPr>
        <w:t xml:space="preserve">四</w:t>
      </w:r>
      <w:r>
        <w:rPr>
          <w:rFonts w:eastAsia="宋体"/>
          <w:sz w:val="32"/>
          <w:szCs w:val="32"/>
        </w:rPr>
        <w:t xml:space="preserve">、监督考核</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设备运行率是指已上传数据量与应上传数据量之比，数据有效率是指有效数据量与应上传数据量之比。</w:t>
      </w:r>
      <w:r/>
    </w:p>
    <w:p>
      <w:pPr>
        <w:ind w:firstLine="480"/>
        <w:keepLines w:val="0"/>
        <w:keepNext w:val="0"/>
        <w:pageBreakBefore w:val="0"/>
        <w:spacing w:line="400" w:lineRule="exact"/>
        <w:rPr>
          <w:rFonts w:ascii="Times New Roman" w:hAnsi="Times New Roman" w:eastAsia="宋体" w:cs="Times New Roman"/>
          <w:sz w:val="24"/>
        </w:rPr>
      </w:pPr>
      <w:r>
        <w:rPr>
          <w:rFonts w:ascii="Times New Roman" w:hAnsi="Times New Roman" w:eastAsia="宋体" w:cs="Times New Roman"/>
          <w:sz w:val="24"/>
        </w:rPr>
        <w:t xml:space="preserve">每日各项目应获得小时值数据量均按24个计，考核时段天数按考核时段内日历天数计。计算应获得小时值数据量时，应扣除因不可抗力造成的停止监测的小时数。</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1.数据有效性</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考核时段内单个站点任一监测项目有效数据量应满足《环境空气质量标准》（GB3095-2012）中规定的污染物浓度数据有效性的最低要求，否则考核总分为0分。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单站设备运行率必须≥90%，否则考核总分以0分计，不予支付运维费用。单站设备数据有效率必须≥85%，否则考核总分以0分计，不予支付运维费用。</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2.两率及运行维护</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符合数据有效性要求后，参照本部分执行。</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（1）两率部分(50分)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考核时段内，单站设备运行率≥98%且数据有效率≥95%的，得50分；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考核时段内，95%≤单站设备运行率＜98%且数据有效率≥95%的，两率得分=0.95×50分；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考核时段内，90%≤单站设备运行率＜95%且90%≤数据有效率＜95%的，两率得分=0.95×实际有效率×50分；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考核时段内，90%≤单站设备运行率＜95%且85%≤数据有效率＜90%的，两率得分=0.90×实际有效率×50分；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（2）运行维护部分(50分)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运行维护部分每季度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3.考核总分（100分）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考核总分=两率得分+运维得分</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4.运维费核算方法</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1）考核总分低于80分的，不予支付该站点当期运维费；绩效考核总分95（含）分以上的，支付该站点当期全额运维费；绩效考核总分在80（含）-95分的，该站点当期运维费=(实际考核总分/100)×单站点当期全额运维费。</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（2）其他规定</w:t>
      </w:r>
      <w:r/>
    </w:p>
    <w:p>
      <w:pPr>
        <w:pStyle w:val="708"/>
        <w:keepLines w:val="0"/>
        <w:keepNext w:val="0"/>
        <w:pageBreakBefore w:val="0"/>
        <w:spacing w:line="400" w:lineRule="exact"/>
        <w:rPr>
          <w:rFonts w:ascii="Times New Roman" w:hAnsi="Times New Roman" w:eastAsia="宋体"/>
        </w:rPr>
      </w:pPr>
      <w:r>
        <w:rPr>
          <w:rFonts w:ascii="Cambria Math" w:hAnsi="Cambria Math" w:eastAsia="宋体" w:cs="Cambria Math"/>
        </w:rPr>
        <w:t xml:space="preserve">①</w:t>
      </w:r>
      <w:r>
        <w:rPr>
          <w:rFonts w:ascii="Times New Roman" w:hAnsi="Times New Roman" w:eastAsia="宋体"/>
        </w:rPr>
        <w:t xml:space="preserve">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r/>
    </w:p>
    <w:p>
      <w:pPr>
        <w:pStyle w:val="708"/>
        <w:keepLines w:val="0"/>
        <w:keepNext w:val="0"/>
        <w:pageBreakBefore w:val="0"/>
        <w:spacing w:line="400" w:lineRule="exact"/>
        <w:rPr>
          <w:rFonts w:ascii="Times New Roman" w:hAnsi="Times New Roman" w:eastAsia="宋体"/>
        </w:rPr>
      </w:pPr>
      <w:r>
        <w:rPr>
          <w:rFonts w:ascii="Cambria Math" w:hAnsi="Cambria Math" w:eastAsia="宋体" w:cs="Cambria Math"/>
        </w:rPr>
        <w:t xml:space="preserve">②</w:t>
      </w:r>
      <w:r>
        <w:rPr>
          <w:rFonts w:ascii="Times New Roman" w:hAnsi="Times New Roman" w:eastAsia="宋体"/>
        </w:rPr>
        <w:t xml:space="preserve">在质量检查中，发现运维单位未达到运维质控要求时，根据对数据质量造成的影响程度，扣减相应站点当季度10%～100%运维经费；如未及时整改，加倍扣款。</w:t>
      </w:r>
      <w:bookmarkStart w:id="181" w:name="_Toc514309948"/>
      <w:r/>
      <w:r/>
    </w:p>
    <w:p>
      <w:pPr>
        <w:pStyle w:val="664"/>
        <w:jc w:val="both"/>
        <w:keepLines w:val="0"/>
        <w:keepNext w:val="0"/>
        <w:pageBreakBefore w:val="0"/>
        <w:spacing w:line="400" w:lineRule="exact"/>
        <w:rPr>
          <w:rFonts w:eastAsia="宋体"/>
          <w:sz w:val="32"/>
          <w:szCs w:val="32"/>
        </w:rPr>
      </w:pPr>
      <w:r>
        <w:rPr>
          <w:rFonts w:hint="eastAsia" w:eastAsia="宋体"/>
          <w:sz w:val="32"/>
          <w:szCs w:val="32"/>
          <w:lang w:val="en-US" w:eastAsia="zh-CN"/>
        </w:rPr>
        <w:t xml:space="preserve">五</w:t>
      </w:r>
      <w:r>
        <w:rPr>
          <w:rFonts w:eastAsia="宋体"/>
          <w:sz w:val="32"/>
          <w:szCs w:val="32"/>
        </w:rPr>
        <w:t xml:space="preserve">、</w:t>
      </w:r>
      <w:bookmarkEnd w:id="181"/>
      <w:r>
        <w:rPr>
          <w:rFonts w:eastAsia="宋体"/>
          <w:sz w:val="32"/>
          <w:szCs w:val="32"/>
        </w:rPr>
        <w:t xml:space="preserve">现场勘查</w:t>
      </w:r>
      <w:r/>
    </w:p>
    <w:p>
      <w:pPr>
        <w:pStyle w:val="708"/>
        <w:keepLines w:val="0"/>
        <w:keepNext w:val="0"/>
        <w:pageBreakBefore w:val="0"/>
        <w:spacing w:line="400" w:lineRule="exact"/>
        <w:rPr>
          <w:rFonts w:ascii="Times New Roman" w:hAnsi="Times New Roman" w:eastAsia="宋体"/>
        </w:rPr>
      </w:pPr>
      <w:r>
        <w:rPr>
          <w:rFonts w:ascii="Times New Roman" w:hAnsi="Times New Roman" w:eastAsia="宋体"/>
        </w:rPr>
        <w:t xml:space="preserve">投标人需自行协调项目现场勘查，现场勘查联系电话详见招标公告采购人联系方式。</w:t>
      </w:r>
      <w:r/>
    </w:p>
    <w:p>
      <w:pPr>
        <w:pStyle w:val="664"/>
        <w:jc w:val="both"/>
        <w:keepLines w:val="0"/>
        <w:keepNext w:val="0"/>
        <w:pageBreakBefore w:val="0"/>
        <w:spacing w:line="400" w:lineRule="exact"/>
        <w:rPr>
          <w:rFonts w:eastAsia="宋体"/>
          <w:sz w:val="32"/>
          <w:szCs w:val="32"/>
        </w:rPr>
      </w:pPr>
      <w:r>
        <w:rPr>
          <w:rFonts w:hint="eastAsia" w:eastAsia="宋体"/>
          <w:sz w:val="32"/>
          <w:szCs w:val="32"/>
          <w:lang w:val="en-US" w:eastAsia="zh-CN"/>
        </w:rPr>
        <w:t xml:space="preserve">六</w:t>
      </w:r>
      <w:r>
        <w:rPr>
          <w:rFonts w:eastAsia="宋体"/>
          <w:sz w:val="32"/>
          <w:szCs w:val="32"/>
        </w:rPr>
        <w:t xml:space="preserve">、安全责任</w:t>
      </w:r>
      <w:r/>
    </w:p>
    <w:p>
      <w:pPr>
        <w:pStyle w:val="708"/>
        <w:rPr>
          <w:rFonts w:ascii="Times New Roman" w:hAnsi="Times New Roman" w:eastAsia="宋体"/>
        </w:rPr>
      </w:pPr>
      <w:r>
        <w:rPr>
          <w:rFonts w:ascii="Times New Roman" w:hAnsi="Times New Roman" w:eastAsia="宋体"/>
        </w:rPr>
        <w:t xml:space="preserve">投标人应对项目组成员做好安全培训，在项目实施过程中应注意人员和财产安全，如造成相关人员安全和财产损失问题的，一律由投标人全权承担负责，采购人不承担任何责任。</w:t>
      </w:r>
      <w:r/>
    </w:p>
    <w:p>
      <w:pPr>
        <w:spacing w:line="360" w:lineRule="auto"/>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t xml:space="preserve">七、付款方式</w:t>
      </w:r>
      <w:r/>
    </w:p>
    <w:p>
      <w:pPr>
        <w:ind w:firstLine="480"/>
        <w:spacing w:line="360" w:lineRule="auto"/>
        <w:rPr>
          <w:rFonts w:ascii="宋体" w:hAnsi="宋体"/>
          <w:sz w:val="24"/>
        </w:rPr>
      </w:pPr>
      <w:r>
        <w:rPr>
          <w:rFonts w:hint="eastAsia" w:ascii="宋体" w:hAnsi="宋体"/>
          <w:sz w:val="24"/>
        </w:rPr>
        <w:t xml:space="preserve">按本文件第三章合同条款中的相关条款执行。</w:t>
      </w:r>
      <w:r/>
    </w:p>
    <w:p>
      <w:pPr>
        <w:spacing w:line="360" w:lineRule="auto"/>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t xml:space="preserve">八、应充分响应的技术规范和商务条款</w:t>
      </w:r>
      <w:r/>
    </w:p>
    <w:p>
      <w:pPr>
        <w:pStyle w:val="743"/>
        <w:ind w:firstLine="480"/>
        <w:spacing w:line="360" w:lineRule="auto"/>
        <w:rPr>
          <w:rFonts w:ascii="Times New Roman" w:hAnsi="Times New Roman" w:eastAsia="宋体"/>
        </w:rPr>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所提出的各项要求、付款方式、合同履行期限、服务内容、服务要求等重要商务要求，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应充分响应，否则</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有权酌情认定为实质性或重大负偏离。</w:t>
      </w:r>
      <w:r>
        <w:t xml:space="preserve"> </w:t>
      </w:r>
      <w:r/>
    </w:p>
    <w:p>
      <w:pPr>
        <w:pStyle w:val="708"/>
        <w:jc w:val="both"/>
        <w:spacing w:beforeAutospacing="0" w:afterAutospacing="0" w:line="500" w:lineRule="exact"/>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t xml:space="preserve">九、服务期限</w:t>
      </w:r>
      <w:r/>
    </w:p>
    <w:p>
      <w:pPr>
        <w:pStyle w:val="7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sz w:val="24"/>
          <w:szCs w:val="24"/>
          <w:highlight w:val="none"/>
        </w:rPr>
        <w:t xml:space="preserve">本项目服务期限为36个月</w:t>
      </w:r>
      <w:r>
        <w:rPr>
          <w:rFonts w:hint="eastAsia" w:ascii="宋体" w:hAnsi="宋体" w:eastAsia="宋体" w:cs="宋体"/>
        </w:rPr>
        <w:t xml:space="preserve">。</w:t>
      </w:r>
      <w:r/>
    </w:p>
    <w:p>
      <w:pPr>
        <w:pStyle w:val="665"/>
        <w:ind w:left="0" w:firstLine="0"/>
        <w:spacing w:before="0" w:after="0" w:line="360" w:lineRule="auto"/>
        <w:rPr>
          <w:rFonts w:hint="eastAsia" w:ascii="宋体" w:hAnsi="宋体" w:eastAsia="宋体" w:cs="宋体"/>
          <w:b/>
          <w:bCs/>
          <w:sz w:val="32"/>
          <w:szCs w:val="32"/>
          <w:lang w:val="en-US" w:eastAsia="zh-CN" w:bidi="ar"/>
        </w:rPr>
      </w:pPr>
      <w:r/>
      <w:bookmarkStart w:id="182" w:name="_Toc187054180"/>
      <w:r>
        <w:rPr>
          <w:rFonts w:hint="eastAsia" w:ascii="宋体" w:hAnsi="宋体" w:eastAsia="宋体" w:cs="宋体"/>
          <w:b/>
          <w:bCs/>
          <w:sz w:val="32"/>
          <w:szCs w:val="32"/>
          <w:lang w:val="en-US" w:eastAsia="zh-CN" w:bidi="ar"/>
        </w:rPr>
        <w:t xml:space="preserve">十、履约能力要求</w:t>
      </w:r>
      <w:bookmarkEnd w:id="182"/>
      <w:r/>
      <w:r/>
    </w:p>
    <w:p>
      <w:pPr>
        <w:pStyle w:val="1001"/>
        <w:numPr>
          <w:ilvl w:val="0"/>
          <w:numId w:val="0"/>
        </w:numPr>
        <w:ind w:firstLine="480"/>
        <w:spacing w:line="360" w:lineRule="auto"/>
        <w:tabs>
          <w:tab w:val="left" w:pos="1440" w:leader="none"/>
        </w:tabs>
        <w:rPr>
          <w:rFonts w:hint="eastAsia"/>
          <w:b w:val="0"/>
          <w:bCs w:val="0"/>
          <w:sz w:val="24"/>
          <w:szCs w:val="24"/>
        </w:rPr>
      </w:pPr>
      <w:r>
        <w:rPr>
          <w:rFonts w:hint="eastAsia"/>
          <w:b w:val="0"/>
          <w:bCs w:val="0"/>
          <w:sz w:val="24"/>
          <w:szCs w:val="24"/>
        </w:rPr>
        <w:t xml:space="preserve">1、投标人从2023年1月1日至本项目投标截止日期（以合同签订时间为准）承担的环境空气自动监测站运维服务类似业绩；</w:t>
      </w:r>
      <w:r/>
    </w:p>
    <w:p>
      <w:pPr>
        <w:pStyle w:val="1001"/>
        <w:numPr>
          <w:ilvl w:val="0"/>
          <w:numId w:val="6"/>
        </w:numPr>
        <w:ind w:firstLine="480"/>
        <w:spacing w:line="360" w:lineRule="auto"/>
        <w:tabs>
          <w:tab w:val="left" w:pos="1440" w:leader="none"/>
        </w:tabs>
        <w:rPr>
          <w:rFonts w:hint="eastAsia"/>
          <w:b w:val="0"/>
          <w:bCs w:val="0"/>
          <w:sz w:val="24"/>
          <w:szCs w:val="24"/>
        </w:rPr>
      </w:pPr>
      <w:r>
        <w:rPr>
          <w:rFonts w:hint="eastAsia"/>
          <w:b w:val="0"/>
          <w:bCs w:val="0"/>
          <w:sz w:val="24"/>
          <w:szCs w:val="24"/>
        </w:rPr>
        <w:t xml:space="preserve">服务项目团队要求：项目负责人具备环保类中级及以上技术职称证书，具备中国环境监测总站的环境空气自动监测运维与质控技术培训班合格证书，组建的团队人员中国环境监测总站的环境空气自动监测运维与质控技术培训班合格证书；</w:t>
      </w:r>
      <w:r/>
    </w:p>
    <w:p>
      <w:pPr>
        <w:pStyle w:val="1001"/>
        <w:numPr>
          <w:ilvl w:val="0"/>
          <w:numId w:val="6"/>
        </w:numPr>
        <w:ind w:firstLine="480"/>
        <w:spacing w:line="360" w:lineRule="auto"/>
        <w:tabs>
          <w:tab w:val="left" w:pos="1440" w:leader="none"/>
        </w:tabs>
        <w:rPr>
          <w:rFonts w:hint="eastAsia"/>
          <w:b w:val="0"/>
          <w:bCs w:val="0"/>
          <w:sz w:val="24"/>
          <w:szCs w:val="24"/>
        </w:rPr>
      </w:pPr>
      <w:r>
        <w:rPr>
          <w:rFonts w:hint="eastAsia"/>
          <w:b w:val="0"/>
          <w:bCs w:val="0"/>
          <w:sz w:val="24"/>
          <w:szCs w:val="24"/>
          <w:lang w:val="en-US" w:eastAsia="zh-CN"/>
        </w:rPr>
        <w:t xml:space="preserve">具有履约车辆；</w:t>
      </w:r>
      <w:r/>
    </w:p>
    <w:p>
      <w:pPr>
        <w:pStyle w:val="1001"/>
        <w:numPr>
          <w:ilvl w:val="0"/>
          <w:numId w:val="6"/>
        </w:numPr>
        <w:ind w:firstLine="480"/>
        <w:spacing w:line="360" w:lineRule="auto"/>
        <w:tabs>
          <w:tab w:val="left" w:pos="1440" w:leader="none"/>
        </w:tabs>
        <w:rPr>
          <w:rFonts w:hint="eastAsia"/>
          <w:b w:val="0"/>
          <w:bCs w:val="0"/>
          <w:sz w:val="24"/>
          <w:szCs w:val="24"/>
        </w:rPr>
      </w:pPr>
      <w:r>
        <w:rPr>
          <w:rFonts w:hint="eastAsia"/>
          <w:b w:val="0"/>
          <w:bCs w:val="0"/>
          <w:sz w:val="24"/>
          <w:szCs w:val="24"/>
          <w:lang w:val="en-US" w:eastAsia="zh-CN"/>
        </w:rPr>
        <w:t xml:space="preserve">公司实力具有完善的认证体系及自有平台或系统。</w:t>
      </w:r>
      <w:r/>
    </w:p>
    <w:p>
      <w:pPr>
        <w:pStyle w:val="1001"/>
        <w:ind w:firstLine="321"/>
        <w:spacing w:line="360" w:lineRule="auto"/>
        <w:tabs>
          <w:tab w:val="left" w:pos="1440" w:leader="none"/>
        </w:tabs>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t xml:space="preserve">十一、报价要求</w:t>
      </w:r>
      <w:r/>
    </w:p>
    <w:p>
      <w:pPr>
        <w:ind w:firstLine="482"/>
        <w:spacing w:line="480" w:lineRule="exact"/>
        <w:rPr>
          <w:rFonts w:ascii="宋体" w:hAnsi="宋体" w:cs="宋体"/>
          <w:sz w:val="24"/>
        </w:rPr>
      </w:pPr>
      <w:r>
        <w:rPr>
          <w:rFonts w:hint="eastAsia" w:ascii="宋体" w:hAnsi="宋体" w:cs="宋体"/>
          <w:b/>
          <w:sz w:val="24"/>
        </w:rPr>
        <w:t xml:space="preserve">1、本项目采购人设定的投标报价最高限价为</w:t>
      </w:r>
      <w:r>
        <w:rPr>
          <w:rFonts w:hint="eastAsia" w:ascii="宋体" w:hAnsi="宋体" w:cs="宋体"/>
          <w:b/>
          <w:sz w:val="24"/>
          <w:lang w:val="en-US" w:eastAsia="zh-CN"/>
        </w:rPr>
        <w:t xml:space="preserve">采购包1：260</w:t>
      </w:r>
      <w:r>
        <w:rPr>
          <w:rFonts w:hint="eastAsia" w:ascii="宋体" w:hAnsi="宋体" w:cs="宋体"/>
          <w:b/>
          <w:sz w:val="24"/>
        </w:rPr>
        <w:t xml:space="preserve">万元</w:t>
      </w:r>
      <w:r>
        <w:rPr>
          <w:rFonts w:hint="eastAsia" w:ascii="宋体" w:hAnsi="宋体" w:cs="宋体"/>
          <w:b/>
          <w:sz w:val="24"/>
          <w:lang w:eastAsia="zh-CN"/>
        </w:rPr>
        <w:t xml:space="preserve">，</w:t>
      </w:r>
      <w:r>
        <w:rPr>
          <w:rFonts w:hint="eastAsia" w:ascii="宋体" w:hAnsi="宋体" w:cs="宋体"/>
          <w:b/>
          <w:sz w:val="24"/>
          <w:lang w:val="en-US" w:eastAsia="zh-CN"/>
        </w:rPr>
        <w:t xml:space="preserve">采购包2：260万元</w:t>
      </w:r>
      <w:r>
        <w:rPr>
          <w:rFonts w:hint="eastAsia" w:ascii="宋体" w:hAnsi="宋体" w:cs="宋体"/>
          <w:b/>
          <w:bCs/>
          <w:sz w:val="24"/>
        </w:rPr>
        <w:t xml:space="preserve">，</w:t>
      </w:r>
      <w:r>
        <w:rPr>
          <w:rFonts w:hint="eastAsia" w:ascii="宋体" w:hAnsi="宋体" w:cs="宋体"/>
          <w:b/>
          <w:bCs/>
          <w:sz w:val="24"/>
        </w:rPr>
        <w:t xml:space="preserve">投标人的投标分项报价</w:t>
      </w:r>
      <w:r>
        <w:rPr>
          <w:rFonts w:hint="eastAsia" w:ascii="宋体" w:hAnsi="宋体" w:cs="宋体"/>
          <w:sz w:val="24"/>
        </w:rPr>
        <w:t xml:space="preserve">不得超出采购设定的分项最高限价上限，否则，其投标文件按无效投标处理。</w:t>
      </w:r>
      <w:r/>
    </w:p>
    <w:p>
      <w:pPr>
        <w:ind w:firstLine="480"/>
        <w:spacing w:line="420" w:lineRule="exact"/>
        <w:rPr>
          <w:rFonts w:ascii="宋体" w:hAnsi="宋体" w:cs="宋体"/>
          <w:sz w:val="24"/>
        </w:rPr>
      </w:pPr>
      <w:r>
        <w:rPr>
          <w:rFonts w:hint="eastAsia" w:ascii="宋体" w:hAnsi="宋体" w:cs="宋体"/>
          <w:sz w:val="24"/>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ascii="Times New Roman" w:hAnsi="Times New Roman" w:eastAsia="宋体" w:cs="Times New Roman"/>
          <w:sz w:val="24"/>
        </w:rPr>
        <w:t xml:space="preserve">中标单位须承担专家评审费用和会务费用</w:t>
      </w:r>
      <w:r>
        <w:rPr>
          <w:rFonts w:hint="eastAsia" w:ascii="Times New Roman" w:hAnsi="Times New Roman" w:eastAsia="宋体" w:cs="Times New Roman"/>
          <w:sz w:val="24"/>
        </w:rPr>
        <w:t xml:space="preserve">，</w:t>
      </w:r>
      <w:r>
        <w:rPr>
          <w:rFonts w:hint="eastAsia" w:ascii="宋体" w:hAnsi="宋体" w:cs="宋体"/>
          <w:sz w:val="24"/>
        </w:rPr>
        <w:t xml:space="preserve">除中标价外，采购单位不再支付其他任何费用。</w:t>
      </w:r>
      <w:r/>
    </w:p>
    <w:p>
      <w:pPr>
        <w:ind w:left="-1" w:firstLine="480"/>
        <w:spacing w:line="420" w:lineRule="exact"/>
        <w:rPr>
          <w:rFonts w:ascii="宋体" w:hAnsi="宋体" w:cs="宋体"/>
          <w:sz w:val="24"/>
        </w:rPr>
      </w:pPr>
      <w:r>
        <w:rPr>
          <w:rFonts w:hint="eastAsia" w:ascii="宋体" w:hAnsi="宋体" w:cs="宋体"/>
          <w:sz w:val="24"/>
        </w:rPr>
        <w:t xml:space="preserve">3、供应商根据自己的经营状况和掌握的市场信息自主报价。决定供应商响应文件的响应性只根据响应文件本身的内容，而不寻求外部的证据。</w:t>
      </w:r>
      <w:r/>
    </w:p>
    <w:p>
      <w:pPr>
        <w:ind w:firstLine="480"/>
        <w:spacing w:line="400" w:lineRule="exact"/>
        <w:rPr>
          <w:rFonts w:ascii="宋体" w:hAnsi="宋体" w:cs="宋体"/>
          <w:sz w:val="24"/>
        </w:rPr>
      </w:pPr>
      <w:r>
        <w:rPr>
          <w:rFonts w:hint="eastAsia" w:ascii="宋体" w:hAnsi="宋体" w:cs="宋体"/>
          <w:sz w:val="24"/>
        </w:rPr>
        <w:t xml:space="preserve">4、要求报价单的每一页都必须盖投标供应商公章。</w:t>
      </w:r>
      <w:r/>
    </w:p>
    <w:p>
      <w:pPr>
        <w:ind w:firstLine="480"/>
        <w:spacing w:line="480" w:lineRule="exact"/>
        <w:rPr>
          <w:rFonts w:ascii="宋体" w:hAnsi="宋体" w:cs="宋体"/>
          <w:b/>
          <w:bCs/>
          <w:sz w:val="24"/>
        </w:rPr>
      </w:pPr>
      <w:r>
        <w:rPr>
          <w:rFonts w:hint="eastAsia" w:ascii="宋体" w:hAnsi="宋体" w:cs="宋体"/>
          <w:sz w:val="24"/>
        </w:rPr>
        <w:t xml:space="preserve">注：采购人保留对工作量进行变更或增减的权利。</w:t>
      </w:r>
      <w:r/>
    </w:p>
    <w:p>
      <w:pPr>
        <w:pStyle w:val="708"/>
        <w:ind w:firstLine="480"/>
        <w:jc w:val="both"/>
        <w:spacing w:beforeAutospacing="0" w:afterAutospacing="0" w:line="0" w:lineRule="atLeast"/>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r>
      <w:r/>
    </w:p>
    <w:p>
      <w:pPr>
        <w:pStyle w:val="708"/>
        <w:ind w:firstLine="480"/>
        <w:jc w:val="both"/>
        <w:spacing w:beforeAutospacing="0" w:afterAutospacing="0" w:line="0" w:lineRule="atLeast"/>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t xml:space="preserve">十二、采购标的对应的中小企业划分标准所属行业一览表</w:t>
      </w:r>
      <w:r/>
    </w:p>
    <w:tbl>
      <w:tblPr>
        <w:tblStyle w:val="673"/>
        <w:tblW w:w="796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6"/>
        <w:gridCol w:w="3823"/>
        <w:gridCol w:w="3673"/>
      </w:tblGrid>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70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盐城市阜宁生态环境局16个乡镇（街道）空气质量监测站运维服务</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b/>
                <w:bCs/>
                <w:lang w:val="en-US" w:eastAsia="zh-CN"/>
              </w:rPr>
              <w:t xml:space="preserve">其他未列明行业</w:t>
            </w:r>
            <w:r/>
          </w:p>
        </w:tc>
      </w:tr>
    </w:tbl>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0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spacing w:before="120" w:after="120" w:line="360" w:lineRule="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第五章  评标方法与评标标准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本项目采购包1、采购包2均</w:t>
      </w:r>
      <w:r>
        <w:rPr>
          <w:rFonts w:hint="eastAsia" w:ascii="宋体" w:hAnsi="宋体" w:eastAsia="宋体" w:cs="宋体"/>
          <w:bCs/>
          <w:color w:val="000000"/>
          <w:sz w:val="24"/>
          <w:szCs w:val="24"/>
          <w:highlight w:val="none"/>
        </w:rPr>
        <w:t xml:space="preserve">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注：同一供应商可同时参与上述2个采购包的投标，兼投不兼中，开、评定标顺序先采购包1→采购包2。</w:t>
      </w:r>
      <w:r/>
    </w:p>
    <w:p>
      <w:pPr>
        <w:pStyle w:val="708"/>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1、中小企业价格扣除</w:t>
      </w:r>
      <w:r/>
    </w:p>
    <w:p>
      <w:pPr>
        <w:pStyle w:val="942"/>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708"/>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08"/>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08"/>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08"/>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08"/>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08"/>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0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08"/>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08"/>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714"/>
        <w:tblpPr w:horzAnchor="page" w:tblpX="1734" w:vertAnchor="text" w:tblpY="455" w:leftFromText="180" w:topFromText="0" w:rightFromText="180" w:bottomFromText="0"/>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095"/>
        <w:gridCol w:w="774"/>
        <w:gridCol w:w="5901"/>
      </w:tblGrid>
      <w:tr>
        <w:trPr>
          <w:trHeight w:val="732"/>
        </w:trPr>
        <w:tc>
          <w:tcPr>
            <w:tcW w:w="743" w:type="dxa"/>
            <w:vAlign w:val="center"/>
            <w:textDirection w:val="lrTb"/>
            <w:noWrap w:val="false"/>
          </w:tcPr>
          <w:p>
            <w:pPr>
              <w:spacing w:line="320" w:lineRule="exact"/>
              <w:rPr>
                <w:rFonts w:ascii="Times New Roman" w:hAnsi="Times New Roman" w:eastAsia="宋体" w:cs="Times New Roman"/>
                <w:sz w:val="24"/>
              </w:rPr>
            </w:pPr>
            <w:r>
              <w:rPr>
                <w:rFonts w:ascii="Times New Roman" w:hAnsi="Times New Roman" w:eastAsia="宋体" w:cs="Times New Roman"/>
                <w:sz w:val="24"/>
              </w:rPr>
              <w:t xml:space="preserve">序号</w:t>
            </w:r>
            <w:r/>
          </w:p>
        </w:tc>
        <w:tc>
          <w:tcPr>
            <w:tcW w:w="1095" w:type="dxa"/>
            <w:vAlign w:val="center"/>
            <w:textDirection w:val="lrTb"/>
            <w:noWrap w:val="false"/>
          </w:tcPr>
          <w:p>
            <w:pPr>
              <w:spacing w:line="320" w:lineRule="exact"/>
              <w:rPr>
                <w:rFonts w:ascii="Times New Roman" w:hAnsi="Times New Roman" w:eastAsia="宋体" w:cs="Times New Roman"/>
                <w:sz w:val="24"/>
              </w:rPr>
            </w:pPr>
            <w:r>
              <w:rPr>
                <w:rFonts w:ascii="Times New Roman" w:hAnsi="Times New Roman" w:eastAsia="宋体" w:cs="Times New Roman"/>
                <w:sz w:val="24"/>
              </w:rPr>
              <w:t xml:space="preserve">评分项</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分值</w:t>
            </w:r>
            <w:r/>
          </w:p>
        </w:tc>
        <w:tc>
          <w:tcPr>
            <w:tcW w:w="5901"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评分细则</w:t>
            </w:r>
            <w:r/>
          </w:p>
        </w:tc>
      </w:tr>
      <w:tr>
        <w:trPr>
          <w:trHeight w:val="2107"/>
        </w:trPr>
        <w:tc>
          <w:tcPr>
            <w:tcW w:w="743"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1</w:t>
            </w:r>
            <w:r/>
          </w:p>
        </w:tc>
        <w:tc>
          <w:tcPr>
            <w:tcW w:w="1095"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价格</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0分</w:t>
            </w:r>
            <w:r/>
          </w:p>
        </w:tc>
        <w:tc>
          <w:tcPr>
            <w:tcW w:w="5901" w:type="dxa"/>
            <w:vAlign w:val="center"/>
            <w:textDirection w:val="lrTb"/>
            <w:noWrap w:val="false"/>
          </w:tcPr>
          <w:p>
            <w:pPr>
              <w:pStyle w:val="695"/>
              <w:ind w:firstLine="480"/>
              <w:spacing w:line="32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采用最低价优先法计算，即满足招标文件要求且响应价格最低的响应报价为评标基准价，其价格分为满分10分。</w:t>
            </w:r>
            <w:r/>
          </w:p>
          <w:p>
            <w:pPr>
              <w:pStyle w:val="695"/>
              <w:ind w:firstLine="480"/>
              <w:spacing w:line="3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其他供应商的价格分统一按照下列公式计算：响应报价得分=(评标基准价/响应报价)×10，（保留小数点后两位第三位四舍五入）。</w:t>
            </w:r>
            <w:r/>
          </w:p>
        </w:tc>
      </w:tr>
      <w:tr>
        <w:trPr>
          <w:trHeight w:val="742"/>
        </w:trPr>
        <w:tc>
          <w:tcPr>
            <w:shd w:val="clear" w:color="auto" w:fill="auto"/>
            <w:tcW w:w="743" w:type="dxa"/>
            <w:vAlign w:val="center"/>
            <w:textDirection w:val="lrTb"/>
            <w:noWrap w:val="false"/>
          </w:tcPr>
          <w:p>
            <w:pPr>
              <w:jc w:val="center"/>
              <w:spacing w:line="32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lang w:val="en-US" w:eastAsia="zh-CN"/>
              </w:rPr>
              <w:t xml:space="preserve">2</w:t>
            </w:r>
            <w:r/>
          </w:p>
        </w:tc>
        <w:tc>
          <w:tcPr>
            <w:shd w:val="clear" w:color="auto" w:fill="auto"/>
            <w:tcW w:w="1095" w:type="dxa"/>
            <w:vAlign w:val="center"/>
            <w:textDirection w:val="lrTb"/>
            <w:noWrap w:val="false"/>
          </w:tcPr>
          <w:p>
            <w:pPr>
              <w:jc w:val="both"/>
              <w:spacing w:line="320" w:lineRule="exact"/>
              <w:rPr>
                <w:rFonts w:hint="default" w:ascii="Times New Roman" w:hAnsi="Times New Roman" w:eastAsia="宋体" w:cs="Times New Roman"/>
                <w:sz w:val="24"/>
                <w:szCs w:val="24"/>
                <w:lang w:val="en-US" w:eastAsia="zh-CN" w:bidi="ar-SA"/>
              </w:rPr>
            </w:pPr>
            <w:r>
              <w:rPr>
                <w:rFonts w:hint="eastAsia" w:cs="Times New Roman"/>
                <w:sz w:val="24"/>
                <w:szCs w:val="24"/>
                <w:lang w:val="en-US" w:eastAsia="zh-CN" w:bidi="ar-SA"/>
              </w:rPr>
              <w:t xml:space="preserve">企业实力</w:t>
            </w:r>
            <w:r/>
          </w:p>
        </w:tc>
        <w:tc>
          <w:tcPr>
            <w:shd w:val="clear" w:color="auto" w:fill="auto"/>
            <w:tcW w:w="774" w:type="dxa"/>
            <w:vAlign w:val="center"/>
            <w:textDirection w:val="lrTb"/>
            <w:noWrap w:val="false"/>
          </w:tcPr>
          <w:p>
            <w:pPr>
              <w:jc w:val="center"/>
              <w:spacing w:line="320" w:lineRule="exact"/>
              <w:rPr>
                <w:rFonts w:hint="eastAsia"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lang w:val="en-US" w:eastAsia="zh-CN"/>
              </w:rPr>
              <w:t xml:space="preserve">8</w:t>
            </w:r>
            <w:r>
              <w:rPr>
                <w:rFonts w:hint="eastAsia" w:ascii="Times New Roman" w:hAnsi="Times New Roman" w:eastAsia="宋体" w:cs="Times New Roman"/>
                <w:bCs/>
                <w:sz w:val="24"/>
              </w:rPr>
              <w:t xml:space="preserve">分</w:t>
            </w:r>
            <w:r/>
          </w:p>
        </w:tc>
        <w:tc>
          <w:tcPr>
            <w:shd w:val="clear" w:color="auto" w:fill="auto"/>
            <w:tcW w:w="5901" w:type="dxa"/>
            <w:vAlign w:val="center"/>
            <w:textDirection w:val="lrTb"/>
            <w:noWrap w:val="false"/>
          </w:tcPr>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1.投标人提供有效的并可在全国认证认可信息公共服务平台官网查询的下列证书的：</w:t>
            </w:r>
            <w:r/>
          </w:p>
          <w:p>
            <w:pPr>
              <w:pStyle w:val="695"/>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（1）有效的质量管理体系认证证书，得1分；</w:t>
            </w:r>
            <w:r/>
          </w:p>
          <w:p>
            <w:pPr>
              <w:pStyle w:val="695"/>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（2）有效的环境管理体系认证证书，得1分；</w:t>
            </w:r>
            <w:r/>
          </w:p>
          <w:p>
            <w:pPr>
              <w:pStyle w:val="695"/>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（3）有效的职业健康安全管理体系认证证书，得1分；</w:t>
            </w:r>
            <w:r/>
          </w:p>
          <w:p>
            <w:pPr>
              <w:pStyle w:val="695"/>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（4）有效的售后服务认证证书，得1分；</w:t>
            </w:r>
            <w:r/>
          </w:p>
          <w:p>
            <w:pPr>
              <w:pStyle w:val="695"/>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（5）有效的信息安全管理体系认证证书，得1分。</w:t>
            </w:r>
            <w:r/>
          </w:p>
          <w:p>
            <w:pPr>
              <w:jc w:val="left"/>
              <w:rPr>
                <w:rFonts w:hint="eastAsia" w:cs="Times New Roman"/>
                <w:sz w:val="24"/>
                <w:lang w:val="en-US" w:eastAsia="zh-CN" w:bidi="ar"/>
              </w:rPr>
            </w:pPr>
            <w:r>
              <w:rPr>
                <w:rFonts w:hint="eastAsia" w:ascii="Times New Roman" w:hAnsi="Times New Roman" w:eastAsia="宋体" w:cs="Times New Roman"/>
                <w:sz w:val="24"/>
                <w:szCs w:val="24"/>
              </w:rPr>
              <w:t xml:space="preserve">注</w:t>
            </w:r>
            <w:r>
              <w:rPr>
                <w:rFonts w:hint="eastAsia" w:cs="Times New Roman"/>
                <w:sz w:val="24"/>
                <w:lang w:val="en-US" w:eastAsia="zh-CN" w:bidi="ar"/>
              </w:rPr>
              <w:t xml:space="preserve">：满分5分，以投标文件中提供的有效证书（认证范围须包含环保监测仪器等相关内容）及官网证书信息查询截图为评审依据。须同时提供相关认证证书的原件彩色扫描件和全国认证认可信息公共服务平台官网（网址：http://cx.cnca.cn/）查询截图，未按要求提供或提供不全的不得分。</w:t>
            </w:r>
            <w:r/>
          </w:p>
          <w:p>
            <w:pPr>
              <w:jc w:val="left"/>
              <w:rPr>
                <w:rFonts w:ascii="Times New Roman" w:hAnsi="Times New Roman" w:eastAsia="宋体" w:cs="Times New Roman"/>
                <w:sz w:val="24"/>
                <w:szCs w:val="24"/>
                <w:lang w:val="en-US" w:eastAsia="zh-CN" w:bidi="ar-SA"/>
              </w:rPr>
            </w:pPr>
            <w:r>
              <w:rPr>
                <w:rFonts w:hint="eastAsia" w:cs="Times New Roman"/>
                <w:sz w:val="24"/>
                <w:lang w:val="en-US" w:eastAsia="zh-CN" w:bidi="ar"/>
              </w:rPr>
              <w:t xml:space="preserve">2.投标人具有自主版权数据采集分析汇总平台或系统的，且提供中华人民共和国国家版权局计算机软件著作权登记证书得3分；投标人具有自建数据采集分析汇总平台或系统的，且提供承诺函得2分；未按要求提供或提供不全的不得分；本项最多得3分。（无条件按甲方需求接入其他站点到平台或系统），中标后未有此能力按废标处理，并追究虚假承诺责任。</w:t>
            </w:r>
            <w:bookmarkStart w:id="205" w:name="_GoBack"/>
            <w:r/>
            <w:bookmarkEnd w:id="205"/>
            <w:r/>
            <w:r/>
          </w:p>
        </w:tc>
      </w:tr>
      <w:tr>
        <w:trPr>
          <w:trHeight w:val="1455"/>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3</w:t>
            </w:r>
            <w:r/>
          </w:p>
        </w:tc>
        <w:tc>
          <w:tcPr>
            <w:tcW w:w="1095"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团队配置及保障能力</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hint="eastAsia" w:ascii="Times New Roman" w:hAnsi="Times New Roman" w:eastAsia="宋体" w:cs="Times New Roman"/>
                <w:sz w:val="24"/>
              </w:rPr>
              <w:t xml:space="preserve">26</w:t>
            </w:r>
            <w:r>
              <w:rPr>
                <w:rFonts w:ascii="Times New Roman" w:hAnsi="Times New Roman" w:eastAsia="宋体" w:cs="Times New Roman"/>
                <w:sz w:val="24"/>
              </w:rPr>
              <w:t xml:space="preserve">分</w:t>
            </w:r>
            <w:r/>
          </w:p>
        </w:tc>
        <w:tc>
          <w:tcPr>
            <w:tcW w:w="5901" w:type="dxa"/>
            <w:vAlign w:val="center"/>
            <w:textDirection w:val="lrTb"/>
            <w:noWrap w:val="false"/>
          </w:tcPr>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1、投标人为本项目派遣的项目负责人具备环保类中级及以上技术职称证书</w:t>
            </w:r>
            <w:r>
              <w:rPr>
                <w:rFonts w:hint="eastAsia" w:ascii="Times New Roman" w:hAnsi="Times New Roman" w:eastAsia="宋体" w:cs="Times New Roman"/>
                <w:sz w:val="24"/>
                <w:szCs w:val="24"/>
              </w:rPr>
              <w:t xml:space="preserve">得2分，同时具备中国环境监测总站</w:t>
            </w:r>
            <w:r>
              <w:rPr>
                <w:rFonts w:ascii="Times New Roman" w:hAnsi="Times New Roman" w:eastAsia="宋体" w:cs="Times New Roman"/>
                <w:sz w:val="24"/>
                <w:szCs w:val="24"/>
              </w:rPr>
              <w:t xml:space="preserve">的环境空气自动监测运维</w:t>
            </w:r>
            <w:r>
              <w:rPr>
                <w:rFonts w:hint="eastAsia" w:ascii="Times New Roman" w:hAnsi="Times New Roman" w:eastAsia="宋体" w:cs="Times New Roman"/>
                <w:sz w:val="24"/>
                <w:szCs w:val="24"/>
              </w:rPr>
              <w:t xml:space="preserve">与质控</w:t>
            </w:r>
            <w:r>
              <w:rPr>
                <w:rFonts w:ascii="Times New Roman" w:hAnsi="Times New Roman" w:eastAsia="宋体" w:cs="Times New Roman"/>
                <w:sz w:val="24"/>
                <w:szCs w:val="24"/>
              </w:rPr>
              <w:t xml:space="preserve">技术培训</w:t>
            </w:r>
            <w:r>
              <w:rPr>
                <w:rFonts w:hint="eastAsia" w:ascii="Times New Roman" w:hAnsi="Times New Roman" w:eastAsia="宋体" w:cs="Times New Roman"/>
                <w:sz w:val="24"/>
                <w:szCs w:val="24"/>
              </w:rPr>
              <w:t xml:space="preserve">班</w:t>
            </w:r>
            <w:r>
              <w:rPr>
                <w:rFonts w:ascii="Times New Roman" w:hAnsi="Times New Roman" w:eastAsia="宋体" w:cs="Times New Roman"/>
                <w:sz w:val="24"/>
                <w:szCs w:val="24"/>
              </w:rPr>
              <w:t xml:space="preserve">合格证书</w:t>
            </w:r>
            <w:r>
              <w:rPr>
                <w:rFonts w:hint="eastAsia" w:ascii="Times New Roman" w:hAnsi="Times New Roman" w:eastAsia="宋体" w:cs="Times New Roman"/>
                <w:sz w:val="24"/>
                <w:szCs w:val="24"/>
              </w:rPr>
              <w:t xml:space="preserve">（且证书须在有效期内）</w:t>
            </w:r>
            <w:r>
              <w:rPr>
                <w:rFonts w:ascii="Times New Roman" w:hAnsi="Times New Roman" w:eastAsia="宋体" w:cs="Times New Roman"/>
                <w:sz w:val="24"/>
                <w:szCs w:val="24"/>
              </w:rPr>
              <w:t xml:space="preserve">的，得</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w:t>
            </w:r>
            <w:r>
              <w:rPr>
                <w:rFonts w:hint="eastAsia" w:ascii="Times New Roman" w:hAnsi="Times New Roman" w:eastAsia="宋体" w:cs="Times New Roman"/>
                <w:sz w:val="24"/>
                <w:szCs w:val="24"/>
                <w:lang w:eastAsia="zh-CN"/>
              </w:rPr>
              <w:t xml:space="preserve">项</w:t>
            </w:r>
            <w:r>
              <w:rPr>
                <w:rFonts w:hint="eastAsia" w:ascii="Times New Roman" w:hAnsi="Times New Roman" w:eastAsia="宋体" w:cs="Times New Roman"/>
                <w:sz w:val="24"/>
                <w:szCs w:val="24"/>
              </w:rPr>
              <w:t xml:space="preserve">最高得5分，</w:t>
            </w:r>
            <w:r>
              <w:rPr>
                <w:rFonts w:ascii="Times New Roman" w:hAnsi="Times New Roman" w:eastAsia="宋体" w:cs="Times New Roman"/>
                <w:sz w:val="24"/>
                <w:szCs w:val="24"/>
              </w:rPr>
              <w:t xml:space="preserve">未提供的不得分。</w:t>
            </w:r>
            <w:r/>
          </w:p>
          <w:p>
            <w:pPr>
              <w:pStyle w:val="695"/>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 xml:space="preserve">注：</w:t>
            </w:r>
            <w:r>
              <w:rPr>
                <w:rFonts w:hint="eastAsia" w:ascii="Times New Roman" w:hAnsi="Times New Roman" w:eastAsia="宋体" w:cs="Times New Roman"/>
                <w:sz w:val="24"/>
                <w:szCs w:val="24"/>
              </w:rPr>
              <w:t xml:space="preserve">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 xml:space="preserve">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w:t>
            </w:r>
            <w:r/>
          </w:p>
          <w:p>
            <w:pPr>
              <w:pStyle w:val="695"/>
              <w:spacing w:line="320" w:lineRule="exact"/>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2、投标人为本项目派遣的现场运维人员不少于</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，驻场人员不少于1人</w:t>
            </w:r>
            <w:r>
              <w:rPr>
                <w:rFonts w:ascii="Times New Roman" w:hAnsi="Times New Roman" w:eastAsia="宋体" w:cs="Times New Roman"/>
                <w:sz w:val="24"/>
                <w:szCs w:val="24"/>
              </w:rPr>
              <w:t xml:space="preserve">，须取得</w:t>
            </w:r>
            <w:r>
              <w:rPr>
                <w:rFonts w:hint="eastAsia" w:ascii="Times New Roman" w:hAnsi="Times New Roman" w:eastAsia="宋体" w:cs="Times New Roman"/>
                <w:sz w:val="24"/>
                <w:szCs w:val="24"/>
              </w:rPr>
              <w:t xml:space="preserve">中国环境监测总站</w:t>
            </w:r>
            <w:r>
              <w:rPr>
                <w:rFonts w:ascii="Times New Roman" w:hAnsi="Times New Roman" w:eastAsia="宋体" w:cs="Times New Roman"/>
                <w:sz w:val="24"/>
                <w:szCs w:val="24"/>
              </w:rPr>
              <w:t xml:space="preserve">的环境空气自动监测运维</w:t>
            </w:r>
            <w:r>
              <w:rPr>
                <w:rFonts w:hint="eastAsia" w:ascii="Times New Roman" w:hAnsi="Times New Roman" w:eastAsia="宋体" w:cs="Times New Roman"/>
                <w:sz w:val="24"/>
                <w:szCs w:val="24"/>
              </w:rPr>
              <w:t xml:space="preserve">与质控</w:t>
            </w:r>
            <w:r>
              <w:rPr>
                <w:rFonts w:ascii="Times New Roman" w:hAnsi="Times New Roman" w:eastAsia="宋体" w:cs="Times New Roman"/>
                <w:sz w:val="24"/>
                <w:szCs w:val="24"/>
              </w:rPr>
              <w:t xml:space="preserve">技术培训</w:t>
            </w:r>
            <w:r>
              <w:rPr>
                <w:rFonts w:hint="eastAsia" w:ascii="Times New Roman" w:hAnsi="Times New Roman" w:eastAsia="宋体" w:cs="Times New Roman"/>
                <w:sz w:val="24"/>
                <w:szCs w:val="24"/>
              </w:rPr>
              <w:t xml:space="preserve">班</w:t>
            </w:r>
            <w:r>
              <w:rPr>
                <w:rFonts w:ascii="Times New Roman" w:hAnsi="Times New Roman" w:eastAsia="宋体" w:cs="Times New Roman"/>
                <w:sz w:val="24"/>
                <w:szCs w:val="24"/>
              </w:rPr>
              <w:t xml:space="preserve">合格证书</w:t>
            </w:r>
            <w:r>
              <w:rPr>
                <w:rFonts w:hint="eastAsia" w:ascii="Times New Roman" w:hAnsi="Times New Roman" w:eastAsia="宋体" w:cs="Times New Roman"/>
                <w:sz w:val="24"/>
                <w:szCs w:val="24"/>
              </w:rPr>
              <w:t xml:space="preserve">（且证书须在有效期内）</w:t>
            </w:r>
            <w:r>
              <w:rPr>
                <w:rFonts w:ascii="Times New Roman" w:hAnsi="Times New Roman" w:eastAsia="宋体" w:cs="Times New Roman"/>
                <w:sz w:val="24"/>
                <w:szCs w:val="24"/>
              </w:rPr>
              <w:t xml:space="preserve">，每提供1人得</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分，本项最高得</w:t>
            </w: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分；未提供的不得分。</w:t>
            </w:r>
            <w:r>
              <w:rPr>
                <w:rFonts w:hint="eastAsia" w:ascii="Times New Roman" w:hAnsi="Times New Roman" w:eastAsia="宋体" w:cs="Times New Roman"/>
                <w:sz w:val="24"/>
                <w:szCs w:val="24"/>
                <w:lang w:eastAsia="zh-CN"/>
              </w:rPr>
              <w:t xml:space="preserve">少于</w:t>
            </w:r>
            <w:r>
              <w:rPr>
                <w:rFonts w:hint="eastAsia" w:ascii="Times New Roman" w:hAnsi="Times New Roman" w:eastAsia="宋体" w:cs="Times New Roman"/>
                <w:sz w:val="24"/>
                <w:szCs w:val="24"/>
                <w:lang w:val="en-US" w:eastAsia="zh-CN"/>
              </w:rPr>
              <w:t xml:space="preserve">3人不得分。</w:t>
            </w:r>
            <w:r/>
          </w:p>
          <w:p>
            <w:pPr>
              <w:pStyle w:val="695"/>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 xml:space="preserve">注：</w:t>
            </w:r>
            <w:r>
              <w:rPr>
                <w:rFonts w:hint="eastAsia" w:ascii="Times New Roman" w:hAnsi="Times New Roman" w:eastAsia="宋体" w:cs="Times New Roman"/>
                <w:sz w:val="24"/>
                <w:szCs w:val="24"/>
              </w:rPr>
              <w:t xml:space="preserve">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 xml:space="preserve">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w:t>
            </w:r>
            <w:r/>
          </w:p>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3、投标人应为本项目提供不少于</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辆运维车辆，每提供1辆得</w:t>
            </w:r>
            <w:r>
              <w:rPr>
                <w:rFonts w:hint="eastAsia" w:cs="Times New Roman"/>
                <w:sz w:val="24"/>
                <w:szCs w:val="24"/>
                <w:lang w:val="en-US" w:eastAsia="zh-CN"/>
              </w:rPr>
              <w:t xml:space="preserve">1</w:t>
            </w:r>
            <w:r>
              <w:rPr>
                <w:rFonts w:ascii="Times New Roman" w:hAnsi="Times New Roman" w:eastAsia="宋体" w:cs="Times New Roman"/>
                <w:sz w:val="24"/>
                <w:szCs w:val="24"/>
              </w:rPr>
              <w:t xml:space="preserve">分，本项最高得</w:t>
            </w:r>
            <w:r>
              <w:rPr>
                <w:rFonts w:hint="eastAsia" w:cs="Times New Roman"/>
                <w:sz w:val="24"/>
                <w:szCs w:val="24"/>
                <w:lang w:val="en-US" w:eastAsia="zh-CN"/>
              </w:rPr>
              <w:t xml:space="preserve">5</w:t>
            </w:r>
            <w:r>
              <w:rPr>
                <w:rFonts w:ascii="Times New Roman" w:hAnsi="Times New Roman" w:eastAsia="宋体" w:cs="Times New Roman"/>
                <w:sz w:val="24"/>
                <w:szCs w:val="24"/>
              </w:rPr>
              <w:t xml:space="preserve">分，未提供的不得分</w:t>
            </w:r>
            <w:r>
              <w:rPr>
                <w:rFonts w:hint="eastAsia" w:ascii="Times New Roman" w:hAnsi="Times New Roman" w:eastAsia="宋体" w:cs="Times New Roman"/>
                <w:sz w:val="24"/>
                <w:szCs w:val="24"/>
                <w:lang w:eastAsia="zh-CN"/>
              </w:rPr>
              <w:t xml:space="preserve">，少于</w:t>
            </w:r>
            <w:r>
              <w:rPr>
                <w:rFonts w:hint="eastAsia" w:ascii="Times New Roman" w:hAnsi="Times New Roman" w:eastAsia="宋体" w:cs="Times New Roman"/>
                <w:sz w:val="24"/>
                <w:szCs w:val="24"/>
                <w:lang w:val="en-US" w:eastAsia="zh-CN"/>
              </w:rPr>
              <w:t xml:space="preserve">3辆不得分。</w:t>
            </w:r>
            <w:r/>
          </w:p>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w:t>
            </w:r>
            <w:r>
              <w:rPr>
                <w:rFonts w:ascii="Times New Roman" w:hAnsi="Times New Roman" w:eastAsia="宋体" w:cs="Times New Roman"/>
                <w:sz w:val="24"/>
                <w:szCs w:val="24"/>
              </w:rPr>
              <w:t xml:space="preserve">投标时须提供投标人自有车辆行驶证原件彩色扫描</w:t>
            </w:r>
            <w:r>
              <w:rPr>
                <w:rFonts w:ascii="Times New Roman" w:hAnsi="Times New Roman" w:eastAsia="宋体" w:cs="Times New Roman"/>
                <w:color w:val="000000" w:themeColor="text1"/>
                <w:sz w:val="24"/>
                <w:szCs w:val="24"/>
                <w14:textFill>
                  <w14:solidFill>
                    <w14:schemeClr w14:val="tx1"/>
                  </w14:solidFill>
                </w14:textFill>
              </w:rPr>
              <w:t xml:space="preserve">件并加盖投标人公章</w:t>
            </w:r>
            <w:r>
              <w:rPr>
                <w:rFonts w:hint="eastAsia" w:cs="Times New Roman"/>
                <w:color w:val="000000" w:themeColor="text1"/>
                <w:sz w:val="24"/>
                <w:szCs w:val="24"/>
                <w:lang w:val="en-US" w:eastAsia="zh-CN"/>
                <w14:textFill>
                  <w14:solidFill>
                    <w14:schemeClr w14:val="tx1"/>
                  </w14:solidFill>
                </w14:textFill>
              </w:rPr>
              <w:t xml:space="preserve">或租赁车辆合同及</w:t>
            </w:r>
            <w:r>
              <w:rPr>
                <w:rFonts w:ascii="Times New Roman" w:hAnsi="Times New Roman" w:eastAsia="宋体" w:cs="Times New Roman"/>
                <w:sz w:val="24"/>
                <w:szCs w:val="24"/>
              </w:rPr>
              <w:t xml:space="preserve">车辆行驶证原件彩色扫描</w:t>
            </w:r>
            <w:r>
              <w:rPr>
                <w:rFonts w:ascii="Times New Roman" w:hAnsi="Times New Roman" w:eastAsia="宋体" w:cs="Times New Roman"/>
                <w:color w:val="000000" w:themeColor="text1"/>
                <w:sz w:val="24"/>
                <w:szCs w:val="24"/>
                <w14:textFill>
                  <w14:solidFill>
                    <w14:schemeClr w14:val="tx1"/>
                  </w14:solidFill>
                </w14:textFill>
              </w:rPr>
              <w:t xml:space="preserve">件并加盖投标人公章，</w:t>
            </w:r>
            <w:r>
              <w:rPr>
                <w:rFonts w:ascii="Times New Roman" w:hAnsi="Times New Roman" w:eastAsia="宋体" w:cs="Times New Roman"/>
                <w:sz w:val="24"/>
                <w:szCs w:val="24"/>
              </w:rPr>
              <w:t xml:space="preserve">否则不得分。</w:t>
            </w:r>
            <w:r/>
          </w:p>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投标人针对本项目能够提供PM2.5、PM10、O3、CO、SO2、NO2六项指标自动监测仪器备机的（原则上备机应与站点原设备同品牌，若非同品牌的，备机监测原理须与原机匹配，性能及功能应满足相关国家标准和技术要求），本项得</w:t>
            </w:r>
            <w:r>
              <w:rPr>
                <w:rFonts w:hint="eastAsia" w:cs="Times New Roman"/>
                <w:sz w:val="24"/>
                <w:szCs w:val="24"/>
                <w:lang w:val="en-US" w:eastAsia="zh-CN"/>
              </w:rPr>
              <w:t xml:space="preserve">6</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上述</w:t>
            </w:r>
            <w:r>
              <w:rPr>
                <w:rFonts w:hint="eastAsia" w:ascii="Times New Roman" w:hAnsi="Times New Roman" w:eastAsia="宋体" w:cs="Times New Roman"/>
                <w:sz w:val="24"/>
                <w:szCs w:val="24"/>
                <w:lang w:val="en-US" w:eastAsia="zh-CN"/>
              </w:rPr>
              <w:t xml:space="preserve">6项指标</w:t>
            </w:r>
            <w:r>
              <w:rPr>
                <w:rFonts w:hint="eastAsia" w:ascii="Times New Roman" w:hAnsi="Times New Roman" w:eastAsia="宋体" w:cs="Times New Roman"/>
                <w:sz w:val="24"/>
                <w:szCs w:val="24"/>
                <w:lang w:eastAsia="zh-CN"/>
              </w:rPr>
              <w:t xml:space="preserve">要求的</w:t>
            </w:r>
            <w:r>
              <w:rPr>
                <w:rFonts w:hint="eastAsia" w:ascii="Times New Roman" w:hAnsi="Times New Roman" w:eastAsia="宋体" w:cs="Times New Roman"/>
                <w:sz w:val="24"/>
                <w:szCs w:val="24"/>
                <w:lang w:val="en-US" w:eastAsia="zh-CN"/>
              </w:rPr>
              <w:t xml:space="preserve">备机数量不足</w:t>
            </w:r>
            <w:r>
              <w:rPr>
                <w:rFonts w:ascii="Times New Roman" w:hAnsi="Times New Roman" w:eastAsia="宋体" w:cs="Times New Roman"/>
                <w:sz w:val="24"/>
                <w:szCs w:val="24"/>
              </w:rPr>
              <w:t xml:space="preserve">或</w:t>
            </w:r>
            <w:r>
              <w:rPr>
                <w:rFonts w:hint="eastAsia" w:ascii="Times New Roman" w:hAnsi="Times New Roman" w:eastAsia="宋体" w:cs="Times New Roman"/>
                <w:sz w:val="24"/>
                <w:szCs w:val="24"/>
                <w:lang w:eastAsia="zh-CN"/>
              </w:rPr>
              <w:t xml:space="preserve">提供</w:t>
            </w:r>
            <w:r>
              <w:rPr>
                <w:rFonts w:ascii="Times New Roman" w:hAnsi="Times New Roman" w:eastAsia="宋体" w:cs="Times New Roman"/>
                <w:sz w:val="24"/>
                <w:szCs w:val="24"/>
              </w:rPr>
              <w:t xml:space="preserve">不符合要求的</w:t>
            </w:r>
            <w:r>
              <w:rPr>
                <w:rFonts w:hint="eastAsia" w:ascii="Times New Roman" w:hAnsi="Times New Roman" w:eastAsia="宋体" w:cs="Times New Roman"/>
                <w:sz w:val="24"/>
                <w:szCs w:val="24"/>
                <w:lang w:eastAsia="zh-CN"/>
              </w:rPr>
              <w:t xml:space="preserve">备机</w:t>
            </w:r>
            <w:r>
              <w:rPr>
                <w:rFonts w:ascii="Times New Roman" w:hAnsi="Times New Roman" w:eastAsia="宋体" w:cs="Times New Roman"/>
                <w:sz w:val="24"/>
                <w:szCs w:val="24"/>
              </w:rPr>
              <w:t xml:space="preserve">均不得分。</w:t>
            </w:r>
            <w:r/>
          </w:p>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w:t>
            </w:r>
            <w:r>
              <w:rPr>
                <w:rFonts w:ascii="Times New Roman" w:hAnsi="Times New Roman" w:eastAsia="宋体" w:cs="Times New Roman"/>
                <w:sz w:val="24"/>
                <w:szCs w:val="24"/>
              </w:rPr>
              <w:t xml:space="preserve">投标人提供拟作为本项目备机的仪器设备清单：包括但不限于备机种类、数量、品牌、型号、原理、购置合同、发票（合同、发票名称须与投标人名称一致）及设备图片等原件彩色扫描件并加盖投标人公章，若非同品牌的，须额外提供该仪器设备有效期内的生态环境部环境监测仪器质量监督检验中心适用性检测证书原件彩色扫描件并加盖投标人公章，否则不得分。</w:t>
            </w:r>
            <w:r/>
          </w:p>
        </w:tc>
      </w:tr>
      <w:tr>
        <w:trPr>
          <w:trHeight w:val="1455"/>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4</w:t>
            </w:r>
            <w:r/>
          </w:p>
        </w:tc>
        <w:tc>
          <w:tcPr>
            <w:tcW w:w="1095"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运维服务方案</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hint="eastAsia" w:ascii="Times New Roman" w:hAnsi="Times New Roman" w:eastAsia="宋体" w:cs="Times New Roman"/>
                <w:sz w:val="24"/>
              </w:rPr>
              <w:t xml:space="preserve">28</w:t>
            </w:r>
            <w:r>
              <w:rPr>
                <w:rFonts w:ascii="Times New Roman" w:hAnsi="Times New Roman" w:eastAsia="宋体" w:cs="Times New Roman"/>
                <w:sz w:val="24"/>
              </w:rPr>
              <w:t xml:space="preserve">分</w:t>
            </w:r>
            <w:r/>
          </w:p>
        </w:tc>
        <w:tc>
          <w:tcPr>
            <w:tcW w:w="5901" w:type="dxa"/>
            <w:vAlign w:val="center"/>
            <w:textDirection w:val="lrTb"/>
            <w:noWrap w:val="false"/>
          </w:tcPr>
          <w:p>
            <w:pPr>
              <w:spacing w:line="320" w:lineRule="exact"/>
              <w:rPr>
                <w:rFonts w:ascii="Times New Roman" w:hAnsi="Times New Roman" w:eastAsia="宋体" w:cs="Times New Roman"/>
                <w:sz w:val="24"/>
              </w:rPr>
            </w:pPr>
            <w:r>
              <w:rPr>
                <w:rFonts w:ascii="Times New Roman" w:hAnsi="Times New Roman" w:eastAsia="宋体" w:cs="Times New Roman"/>
                <w:sz w:val="24"/>
              </w:rPr>
              <w:t xml:space="preserve">1、日常维护方案。内容包括但不限于制定监测设备操作规程、制定规章制度、日常维护、定期巡检、故障维修及运维台账管理等。由评委根据投标人提供方案的完整性、针对性、可操作性等情况进行综合评分：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8</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cs="Times New Roman"/>
                <w:sz w:val="24"/>
                <w:lang w:val="en-US" w:eastAsia="zh-CN"/>
              </w:rPr>
              <w:t xml:space="preserve">6</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cs="Times New Roman"/>
                <w:sz w:val="24"/>
                <w:lang w:val="en-US" w:eastAsia="zh-CN" w:bidi="ar"/>
              </w:rPr>
              <w:t xml:space="preserve">4</w:t>
            </w:r>
            <w:r>
              <w:rPr>
                <w:rFonts w:hint="eastAsia" w:ascii="Times New Roman" w:hAnsi="Times New Roman" w:eastAsia="宋体" w:cs="Times New Roman"/>
                <w:sz w:val="24"/>
                <w:lang w:bidi="ar"/>
              </w:rPr>
              <w:t xml:space="preserve">分；</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（4）方案未提供或提供不符合要求的不得分。</w:t>
            </w:r>
            <w:r/>
          </w:p>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2、数据管理方案。内容包括但不限于数据审核、异常数据识别、相应处理</w:t>
            </w:r>
            <w:r>
              <w:rPr>
                <w:rFonts w:ascii="Times New Roman" w:hAnsi="Times New Roman" w:eastAsia="宋体" w:cs="Times New Roman"/>
                <w:sz w:val="24"/>
              </w:rPr>
              <w:t xml:space="preserve">措施及</w:t>
            </w:r>
            <w:r>
              <w:rPr>
                <w:rFonts w:ascii="Times New Roman" w:hAnsi="Times New Roman" w:eastAsia="宋体" w:cs="Times New Roman"/>
                <w:sz w:val="24"/>
                <w:lang w:bidi="ar"/>
              </w:rPr>
              <w:t xml:space="preserve">数据统计分析等。由评委根据投标人提供方案的</w:t>
            </w:r>
            <w:r>
              <w:rPr>
                <w:rFonts w:ascii="Times New Roman" w:hAnsi="Times New Roman" w:eastAsia="宋体" w:cs="Times New Roman"/>
                <w:sz w:val="24"/>
              </w:rPr>
              <w:t xml:space="preserve">完整性、针对性、可操作性</w:t>
            </w:r>
            <w:r>
              <w:rPr>
                <w:rFonts w:ascii="Times New Roman" w:hAnsi="Times New Roman" w:eastAsia="宋体" w:cs="Times New Roman"/>
                <w:sz w:val="24"/>
                <w:lang w:bidi="ar"/>
              </w:rPr>
              <w:t xml:space="preserve">等情况进行综合评分：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8</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cs="Times New Roman"/>
                <w:sz w:val="24"/>
                <w:lang w:val="en-US" w:eastAsia="zh-CN"/>
              </w:rPr>
              <w:t xml:space="preserve">6</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cs="Times New Roman"/>
                <w:sz w:val="24"/>
                <w:lang w:val="en-US" w:eastAsia="zh-CN" w:bidi="ar"/>
              </w:rPr>
              <w:t xml:space="preserve">4</w:t>
            </w:r>
            <w:r>
              <w:rPr>
                <w:rFonts w:hint="eastAsia" w:ascii="Times New Roman" w:hAnsi="Times New Roman" w:eastAsia="宋体" w:cs="Times New Roman"/>
                <w:sz w:val="24"/>
                <w:lang w:bidi="ar"/>
              </w:rPr>
              <w:t xml:space="preserve">分；</w:t>
            </w:r>
            <w:r/>
          </w:p>
          <w:p>
            <w:pPr>
              <w:spacing w:line="320" w:lineRule="exact"/>
              <w:rPr>
                <w:rFonts w:ascii="Times New Roman" w:hAnsi="Times New Roman" w:eastAsia="宋体" w:cs="Times New Roman"/>
                <w:sz w:val="24"/>
              </w:rPr>
            </w:pPr>
            <w:r>
              <w:rPr>
                <w:rFonts w:hint="eastAsia" w:ascii="Times New Roman" w:hAnsi="Times New Roman" w:eastAsia="宋体" w:cs="Times New Roman"/>
                <w:sz w:val="24"/>
                <w:lang w:bidi="ar"/>
              </w:rPr>
              <w:t xml:space="preserve">（4）方案未提供或提供不符合要求的不得分。</w:t>
            </w:r>
            <w:r/>
          </w:p>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3、站点交接方案。内容包括但不限于人员安排、职责分工、时间安排、交接内容、交接流程等。由评委根据投标人提供方案的</w:t>
            </w:r>
            <w:r>
              <w:rPr>
                <w:rFonts w:ascii="Times New Roman" w:hAnsi="Times New Roman" w:eastAsia="宋体" w:cs="Times New Roman"/>
                <w:sz w:val="24"/>
              </w:rPr>
              <w:t xml:space="preserve">完整性、针对性、可操作性</w:t>
            </w:r>
            <w:r>
              <w:rPr>
                <w:rFonts w:ascii="Times New Roman" w:hAnsi="Times New Roman" w:eastAsia="宋体" w:cs="Times New Roman"/>
                <w:sz w:val="24"/>
                <w:lang w:bidi="ar"/>
              </w:rPr>
              <w:t xml:space="preserve">等情况进行综合评分：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8</w:t>
            </w:r>
            <w:r>
              <w:rPr>
                <w:rFonts w:ascii="Times New Roman" w:hAnsi="Times New Roman" w:eastAsia="宋体" w:cs="Times New Roman"/>
                <w:sz w:val="24"/>
              </w:rPr>
              <w:t xml:space="preserve">分</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cs="Times New Roman"/>
                <w:sz w:val="24"/>
                <w:lang w:val="en-US" w:eastAsia="zh-CN"/>
              </w:rPr>
              <w:t xml:space="preserve">6</w:t>
            </w:r>
            <w:r>
              <w:rPr>
                <w:rFonts w:ascii="Times New Roman" w:hAnsi="Times New Roman" w:eastAsia="宋体" w:cs="Times New Roman"/>
                <w:sz w:val="24"/>
              </w:rPr>
              <w:t xml:space="preserve">分</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cs="Times New Roman"/>
                <w:sz w:val="24"/>
                <w:lang w:val="en-US" w:eastAsia="zh-CN" w:bidi="ar"/>
              </w:rPr>
              <w:t xml:space="preserve">4</w:t>
            </w:r>
            <w:r>
              <w:rPr>
                <w:rFonts w:hint="eastAsia" w:ascii="Times New Roman" w:hAnsi="Times New Roman" w:eastAsia="宋体" w:cs="Times New Roman"/>
                <w:sz w:val="24"/>
                <w:lang w:bidi="ar"/>
              </w:rPr>
              <w:t xml:space="preserve">分；</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（4）方案未提供或提供不符合要求的不得分。</w:t>
            </w:r>
            <w:r/>
          </w:p>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4、售后服务方案。内容包括但不限于提供</w:t>
            </w:r>
            <w:r>
              <w:rPr>
                <w:rFonts w:ascii="Times New Roman" w:hAnsi="Times New Roman" w:eastAsia="宋体" w:cs="Times New Roman"/>
                <w:sz w:val="24"/>
              </w:rPr>
              <w:t xml:space="preserve">专业咨询、人员培训、备品备件及耗材配置等其他伴随性服务。</w:t>
            </w:r>
            <w:r>
              <w:rPr>
                <w:rFonts w:ascii="Times New Roman" w:hAnsi="Times New Roman" w:eastAsia="宋体" w:cs="Times New Roman"/>
                <w:sz w:val="24"/>
                <w:lang w:bidi="ar"/>
              </w:rPr>
              <w:t xml:space="preserve">由评委根据投标人提供后续服务的响应程度、服务质量、备品备件及耗材的全面性等方面进行综合评分：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ascii="Times New Roman" w:hAnsi="Times New Roman" w:eastAsia="宋体" w:cs="Times New Roman"/>
                <w:sz w:val="24"/>
                <w:lang w:val="en-US" w:eastAsia="zh-CN" w:bidi="ar"/>
              </w:rPr>
              <w:t xml:space="preserve">2</w:t>
            </w:r>
            <w:r>
              <w:rPr>
                <w:rFonts w:hint="eastAsia" w:ascii="Times New Roman" w:hAnsi="Times New Roman" w:eastAsia="宋体" w:cs="Times New Roman"/>
                <w:sz w:val="24"/>
                <w:lang w:bidi="ar"/>
              </w:rPr>
              <w:t xml:space="preserve">分；</w:t>
            </w:r>
            <w:r/>
          </w:p>
          <w:p>
            <w:pPr>
              <w:spacing w:line="320" w:lineRule="exact"/>
              <w:rPr>
                <w:rFonts w:ascii="Times New Roman" w:hAnsi="Times New Roman" w:eastAsia="宋体" w:cs="Times New Roman"/>
                <w:sz w:val="24"/>
                <w:szCs w:val="24"/>
                <w:lang w:bidi="ar"/>
              </w:rPr>
            </w:pPr>
            <w:r>
              <w:rPr>
                <w:rFonts w:hint="eastAsia" w:ascii="Times New Roman" w:hAnsi="Times New Roman" w:eastAsia="宋体" w:cs="Times New Roman"/>
                <w:sz w:val="24"/>
                <w:lang w:bidi="ar"/>
              </w:rPr>
              <w:t xml:space="preserve">（4）方案未提供或提供不符合要求的不得分。</w:t>
            </w:r>
            <w:r/>
          </w:p>
        </w:tc>
      </w:tr>
      <w:tr>
        <w:trPr>
          <w:trHeight w:val="992"/>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5</w:t>
            </w:r>
            <w:r/>
          </w:p>
        </w:tc>
        <w:tc>
          <w:tcPr>
            <w:tcW w:w="1095" w:type="dxa"/>
            <w:vAlign w:val="center"/>
            <w:textDirection w:val="lrTb"/>
            <w:noWrap w:val="false"/>
          </w:tcPr>
          <w:p>
            <w:pPr>
              <w:jc w:val="cente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质控体</w:t>
            </w:r>
            <w:r/>
          </w:p>
          <w:p>
            <w:pPr>
              <w:jc w:val="center"/>
              <w:spacing w:line="320" w:lineRule="exact"/>
              <w:rPr>
                <w:rFonts w:ascii="Times New Roman" w:hAnsi="Times New Roman" w:eastAsia="宋体" w:cs="Times New Roman"/>
                <w:sz w:val="24"/>
              </w:rPr>
            </w:pPr>
            <w:r>
              <w:rPr>
                <w:rFonts w:ascii="Times New Roman" w:hAnsi="Times New Roman" w:eastAsia="宋体" w:cs="Times New Roman"/>
                <w:sz w:val="24"/>
                <w:lang w:bidi="ar"/>
              </w:rPr>
              <w:t xml:space="preserve">系建设</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hint="eastAsia" w:ascii="Times New Roman" w:hAnsi="Times New Roman" w:eastAsia="宋体" w:cs="Times New Roman"/>
                <w:sz w:val="24"/>
              </w:rPr>
              <w:t xml:space="preserve">8</w:t>
            </w:r>
            <w:r/>
          </w:p>
        </w:tc>
        <w:tc>
          <w:tcPr>
            <w:tcW w:w="5901" w:type="dxa"/>
            <w:vAlign w:val="center"/>
            <w:textDirection w:val="lrTb"/>
            <w:noWrap w:val="false"/>
          </w:tcPr>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内容包括但不限于质控目标的制定，质量保证和质量控制体系的建立，从质量监督、仪器设备等方面描述如何实现质控目标。由评委根据投标人提供质控措施的</w:t>
            </w:r>
            <w:r>
              <w:rPr>
                <w:rFonts w:ascii="Times New Roman" w:hAnsi="Times New Roman" w:eastAsia="宋体" w:cs="Times New Roman"/>
                <w:sz w:val="24"/>
              </w:rPr>
              <w:t xml:space="preserve">完整性、针对性、可操作性</w:t>
            </w:r>
            <w:r>
              <w:rPr>
                <w:rFonts w:ascii="Times New Roman" w:hAnsi="Times New Roman" w:eastAsia="宋体" w:cs="Times New Roman"/>
                <w:sz w:val="24"/>
                <w:lang w:bidi="ar"/>
              </w:rPr>
              <w:t xml:space="preserve">等情况进行综合评分：</w:t>
            </w:r>
            <w:r/>
          </w:p>
          <w:p>
            <w:pPr>
              <w:numPr>
                <w:ilvl w:val="0"/>
                <w:numId w:val="0"/>
              </w:numP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8</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cs="Times New Roman"/>
                <w:sz w:val="24"/>
                <w:lang w:val="en-US" w:eastAsia="zh-CN"/>
              </w:rPr>
              <w:t xml:space="preserve">6</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cs="Times New Roman"/>
                <w:sz w:val="24"/>
                <w:lang w:val="en-US" w:eastAsia="zh-CN" w:bidi="ar"/>
              </w:rPr>
              <w:t xml:space="preserve">4</w:t>
            </w:r>
            <w:r>
              <w:rPr>
                <w:rFonts w:hint="eastAsia" w:ascii="Times New Roman" w:hAnsi="Times New Roman" w:eastAsia="宋体" w:cs="Times New Roman"/>
                <w:sz w:val="24"/>
                <w:lang w:bidi="ar"/>
              </w:rPr>
              <w:t xml:space="preserve">分；</w:t>
            </w:r>
            <w:r/>
          </w:p>
          <w:p>
            <w:pPr>
              <w:spacing w:line="320" w:lineRule="exact"/>
              <w:rPr>
                <w:rFonts w:ascii="Times New Roman" w:hAnsi="Times New Roman" w:eastAsia="宋体" w:cs="Times New Roman"/>
                <w:b/>
                <w:bCs/>
                <w:sz w:val="24"/>
                <w:szCs w:val="24"/>
              </w:rPr>
            </w:pPr>
            <w:r>
              <w:rPr>
                <w:rFonts w:hint="eastAsia" w:ascii="Times New Roman" w:hAnsi="Times New Roman" w:eastAsia="宋体" w:cs="Times New Roman"/>
                <w:sz w:val="24"/>
                <w:lang w:bidi="ar"/>
              </w:rPr>
              <w:t xml:space="preserve">（4）方案未提供或提供不符合要求的不得分。</w:t>
            </w:r>
            <w:r/>
          </w:p>
        </w:tc>
      </w:tr>
      <w:tr>
        <w:trPr>
          <w:trHeight w:val="1455"/>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p>
        </w:tc>
        <w:tc>
          <w:tcPr>
            <w:tcW w:w="1095"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安全及</w:t>
            </w:r>
            <w:r/>
          </w:p>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应急保障</w:t>
            </w:r>
            <w:r/>
          </w:p>
        </w:tc>
        <w:tc>
          <w:tcPr>
            <w:tcW w:w="774" w:type="dxa"/>
            <w:vAlign w:val="center"/>
            <w:textDirection w:val="lrTb"/>
            <w:noWrap w:val="false"/>
          </w:tcPr>
          <w:p>
            <w:pPr>
              <w:jc w:val="center"/>
              <w:spacing w:line="320" w:lineRule="exact"/>
              <w:rPr>
                <w:rFonts w:ascii="Times New Roman" w:hAnsi="Times New Roman" w:eastAsia="宋体" w:cs="Times New Roman"/>
                <w:sz w:val="24"/>
              </w:rPr>
            </w:pPr>
            <w:r>
              <w:rPr>
                <w:rFonts w:hint="eastAsia" w:ascii="Times New Roman" w:hAnsi="Times New Roman" w:eastAsia="宋体" w:cs="Times New Roman"/>
                <w:sz w:val="24"/>
              </w:rPr>
              <w:t xml:space="preserve">8</w:t>
            </w:r>
            <w:r>
              <w:rPr>
                <w:rFonts w:ascii="Times New Roman" w:hAnsi="Times New Roman" w:eastAsia="宋体" w:cs="Times New Roman"/>
                <w:sz w:val="24"/>
              </w:rPr>
              <w:t xml:space="preserve">分</w:t>
            </w:r>
            <w:r/>
          </w:p>
        </w:tc>
        <w:tc>
          <w:tcPr>
            <w:tcW w:w="5901" w:type="dxa"/>
            <w:vAlign w:val="center"/>
            <w:textDirection w:val="lrTb"/>
            <w:noWrap w:val="false"/>
          </w:tcPr>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1、安全保障方案。内容包括但不限于人员、设备、设施、数据管理平台等安全保障措施。由评委根据投标人提供方案的</w:t>
            </w:r>
            <w:r>
              <w:rPr>
                <w:rFonts w:ascii="Times New Roman" w:hAnsi="Times New Roman" w:eastAsia="宋体" w:cs="Times New Roman"/>
                <w:sz w:val="24"/>
              </w:rPr>
              <w:t xml:space="preserve">完整性、针对性、可操作性</w:t>
            </w:r>
            <w:r>
              <w:rPr>
                <w:rFonts w:ascii="Times New Roman" w:hAnsi="Times New Roman" w:eastAsia="宋体" w:cs="Times New Roman"/>
                <w:sz w:val="24"/>
                <w:lang w:bidi="ar"/>
              </w:rPr>
              <w:t xml:space="preserve">等情况进行综合评分：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ascii="Times New Roman" w:hAnsi="Times New Roman" w:eastAsia="宋体" w:cs="Times New Roman"/>
                <w:sz w:val="24"/>
                <w:lang w:val="en-US" w:eastAsia="zh-CN" w:bidi="ar"/>
              </w:rPr>
              <w:t xml:space="preserve">2</w:t>
            </w:r>
            <w:r>
              <w:rPr>
                <w:rFonts w:hint="eastAsia" w:ascii="Times New Roman" w:hAnsi="Times New Roman" w:eastAsia="宋体" w:cs="Times New Roman"/>
                <w:sz w:val="24"/>
                <w:lang w:bidi="ar"/>
              </w:rPr>
              <w:t xml:space="preserve">分；</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（4）方案未提供或提供不符合要求的不得分。</w:t>
            </w:r>
            <w:r/>
          </w:p>
          <w:p>
            <w:pPr>
              <w:spacing w:line="320" w:lineRule="exact"/>
              <w:rPr>
                <w:rFonts w:ascii="Times New Roman" w:hAnsi="Times New Roman" w:eastAsia="宋体" w:cs="Times New Roman"/>
                <w:sz w:val="24"/>
                <w:lang w:bidi="ar"/>
              </w:rPr>
            </w:pPr>
            <w:r>
              <w:rPr>
                <w:rFonts w:ascii="Times New Roman" w:hAnsi="Times New Roman" w:eastAsia="宋体" w:cs="Times New Roman"/>
                <w:sz w:val="24"/>
                <w:lang w:bidi="ar"/>
              </w:rPr>
              <w:t xml:space="preserve">2、应急预案。内容包括但不限于详细列举污染天气、突发环境事件、自然灾害、重大活动等可能出现的多种突发情况，提出相应的响应流程、应对措施。由评委根据投标人提供方案的</w:t>
            </w:r>
            <w:r>
              <w:rPr>
                <w:rFonts w:ascii="Times New Roman" w:hAnsi="Times New Roman" w:eastAsia="宋体" w:cs="Times New Roman"/>
                <w:sz w:val="24"/>
              </w:rPr>
              <w:t xml:space="preserve">完整性、针对性、可操作性</w:t>
            </w:r>
            <w:r>
              <w:rPr>
                <w:rFonts w:ascii="Times New Roman" w:hAnsi="Times New Roman" w:eastAsia="宋体" w:cs="Times New Roman"/>
                <w:sz w:val="24"/>
                <w:lang w:bidi="ar"/>
              </w:rPr>
              <w:t xml:space="preserve">等情况进行综合评分：</w:t>
            </w:r>
            <w:r/>
          </w:p>
          <w:p>
            <w:pPr>
              <w:numPr>
                <w:ilvl w:val="0"/>
                <w:numId w:val="0"/>
              </w:numPr>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方案内容全面，切合实际，可操作性强，能够完全满足项目需求的得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numPr>
                <w:ilvl w:val="0"/>
                <w:numId w:val="0"/>
              </w:num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（2）</w:t>
            </w:r>
            <w:r>
              <w:rPr>
                <w:rFonts w:ascii="Times New Roman" w:hAnsi="Times New Roman" w:eastAsia="宋体" w:cs="Times New Roman"/>
                <w:sz w:val="24"/>
              </w:rPr>
              <w:t xml:space="preserve">方案内容</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全面，可操作性</w:t>
            </w:r>
            <w:r>
              <w:rPr>
                <w:rFonts w:hint="eastAsia" w:ascii="Times New Roman" w:hAnsi="Times New Roman" w:eastAsia="宋体" w:cs="Times New Roman"/>
                <w:sz w:val="24"/>
                <w:lang w:val="en-US" w:eastAsia="zh-CN"/>
              </w:rPr>
              <w:t xml:space="preserve">较</w:t>
            </w:r>
            <w:r>
              <w:rPr>
                <w:rFonts w:ascii="Times New Roman" w:hAnsi="Times New Roman" w:eastAsia="宋体" w:cs="Times New Roman"/>
                <w:sz w:val="24"/>
              </w:rPr>
              <w:t xml:space="preserve">强，能够满足项目需求的得</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分</w:t>
            </w:r>
            <w:r>
              <w:rPr>
                <w:rFonts w:hint="eastAsia" w:ascii="Times New Roman" w:hAnsi="Times New Roman" w:eastAsia="宋体" w:cs="Times New Roman"/>
                <w:sz w:val="24"/>
                <w:lang w:bidi="ar"/>
              </w:rPr>
              <w:t xml:space="preserve">；</w:t>
            </w:r>
            <w:r/>
          </w:p>
          <w:p>
            <w:pPr>
              <w:spacing w:line="320" w:lineRule="exac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 xml:space="preserve">（3）方案</w:t>
            </w:r>
            <w:r>
              <w:rPr>
                <w:rFonts w:ascii="Times New Roman" w:hAnsi="Times New Roman" w:eastAsia="宋体" w:cs="Times New Roman"/>
                <w:sz w:val="24"/>
              </w:rPr>
              <w:t xml:space="preserve">内容</w:t>
            </w:r>
            <w:r>
              <w:rPr>
                <w:rFonts w:hint="eastAsia" w:ascii="Times New Roman" w:hAnsi="Times New Roman" w:eastAsia="宋体" w:cs="Times New Roman"/>
                <w:sz w:val="24"/>
                <w:lang w:bidi="ar"/>
              </w:rPr>
              <w:t xml:space="preserve">基本</w:t>
            </w:r>
            <w:r>
              <w:rPr>
                <w:rFonts w:hint="eastAsia" w:ascii="Times New Roman" w:hAnsi="Times New Roman" w:eastAsia="宋体" w:cs="Times New Roman"/>
                <w:sz w:val="24"/>
                <w:lang w:val="en-US" w:eastAsia="zh-CN" w:bidi="ar"/>
              </w:rPr>
              <w:t xml:space="preserve">全面</w:t>
            </w:r>
            <w:r>
              <w:rPr>
                <w:rFonts w:hint="eastAsia" w:ascii="Times New Roman" w:hAnsi="Times New Roman" w:eastAsia="宋体" w:cs="Times New Roman"/>
                <w:sz w:val="24"/>
                <w:lang w:bidi="ar"/>
              </w:rPr>
              <w:t xml:space="preserve">、</w:t>
            </w:r>
            <w:r>
              <w:rPr>
                <w:rFonts w:ascii="Times New Roman" w:hAnsi="Times New Roman" w:eastAsia="宋体" w:cs="Times New Roman"/>
                <w:sz w:val="24"/>
              </w:rPr>
              <w:t xml:space="preserve">能够满足项目需求</w:t>
            </w:r>
            <w:r>
              <w:rPr>
                <w:rFonts w:hint="eastAsia" w:ascii="Times New Roman" w:hAnsi="Times New Roman" w:eastAsia="宋体" w:cs="Times New Roman"/>
                <w:sz w:val="24"/>
                <w:lang w:bidi="ar"/>
              </w:rPr>
              <w:t xml:space="preserve">的得</w:t>
            </w:r>
            <w:r>
              <w:rPr>
                <w:rFonts w:hint="eastAsia" w:ascii="Times New Roman" w:hAnsi="Times New Roman" w:eastAsia="宋体" w:cs="Times New Roman"/>
                <w:sz w:val="24"/>
                <w:lang w:val="en-US" w:eastAsia="zh-CN" w:bidi="ar"/>
              </w:rPr>
              <w:t xml:space="preserve">2</w:t>
            </w:r>
            <w:r>
              <w:rPr>
                <w:rFonts w:hint="eastAsia" w:ascii="Times New Roman" w:hAnsi="Times New Roman" w:eastAsia="宋体" w:cs="Times New Roman"/>
                <w:sz w:val="24"/>
                <w:lang w:bidi="ar"/>
              </w:rPr>
              <w:t xml:space="preserve">分；</w:t>
            </w:r>
            <w:r/>
          </w:p>
          <w:p>
            <w:pPr>
              <w:spacing w:line="320" w:lineRule="exact"/>
              <w:rPr>
                <w:rFonts w:ascii="Times New Roman" w:hAnsi="Times New Roman" w:eastAsia="宋体" w:cs="Times New Roman"/>
                <w:sz w:val="24"/>
              </w:rPr>
            </w:pPr>
            <w:r>
              <w:rPr>
                <w:rFonts w:hint="eastAsia" w:ascii="Times New Roman" w:hAnsi="Times New Roman" w:eastAsia="宋体" w:cs="Times New Roman"/>
                <w:sz w:val="24"/>
                <w:lang w:bidi="ar"/>
              </w:rPr>
              <w:t xml:space="preserve">（4）方案未提供或提供不符合要求的不得分。</w:t>
            </w:r>
            <w:r/>
          </w:p>
        </w:tc>
      </w:tr>
      <w:tr>
        <w:trPr>
          <w:trHeight w:val="461"/>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7</w:t>
            </w:r>
            <w:r/>
          </w:p>
        </w:tc>
        <w:tc>
          <w:tcPr>
            <w:tcW w:w="1095" w:type="dxa"/>
            <w:vAlign w:val="center"/>
            <w:textDirection w:val="lrTb"/>
            <w:noWrap w:val="false"/>
          </w:tcPr>
          <w:p>
            <w:pPr>
              <w:jc w:val="center"/>
              <w:spacing w:line="320" w:lineRule="exact"/>
              <w:rPr>
                <w:rFonts w:ascii="Times New Roman" w:hAnsi="Times New Roman" w:eastAsia="宋体" w:cs="Times New Roman"/>
                <w:bCs/>
                <w:sz w:val="24"/>
              </w:rPr>
            </w:pPr>
            <w:r>
              <w:rPr>
                <w:rFonts w:ascii="Times New Roman" w:hAnsi="Times New Roman" w:eastAsia="宋体" w:cs="Times New Roman"/>
                <w:sz w:val="24"/>
              </w:rPr>
              <w:t xml:space="preserve">业绩</w:t>
            </w:r>
            <w:r/>
          </w:p>
        </w:tc>
        <w:tc>
          <w:tcPr>
            <w:tcW w:w="774" w:type="dxa"/>
            <w:vAlign w:val="center"/>
            <w:textDirection w:val="lrTb"/>
            <w:noWrap w:val="false"/>
          </w:tcPr>
          <w:p>
            <w:pPr>
              <w:jc w:val="center"/>
              <w:spacing w:line="320" w:lineRule="exact"/>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9</w:t>
            </w:r>
            <w:r>
              <w:rPr>
                <w:rFonts w:ascii="Times New Roman" w:hAnsi="Times New Roman" w:eastAsia="宋体" w:cs="Times New Roman"/>
                <w:bCs/>
                <w:sz w:val="24"/>
              </w:rPr>
              <w:t xml:space="preserve">分</w:t>
            </w:r>
            <w:r/>
          </w:p>
        </w:tc>
        <w:tc>
          <w:tcPr>
            <w:tcW w:w="5901" w:type="dxa"/>
            <w:vAlign w:val="center"/>
            <w:textDirection w:val="lrTb"/>
            <w:noWrap w:val="false"/>
          </w:tcPr>
          <w:p>
            <w:pPr>
              <w:pStyle w:val="695"/>
              <w:spacing w:line="320" w:lineRule="exact"/>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（1）投标人从2023年1月1日至本项目投标截止日期（以合同签订时间为准）承担的环境空气自动监测站运维服务业绩，每提供1个业绩得1分，最多得3分。</w:t>
            </w:r>
            <w:r/>
          </w:p>
          <w:p>
            <w:pPr>
              <w:pStyle w:val="695"/>
              <w:spacing w:line="320" w:lineRule="exact"/>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（2）投标人从2023年1月1日至本项目投标截止日期（以合同签订时间为准）承担的环境空气自动监测站六参数站第三方运维质控核查项目业绩，每提供</w:t>
            </w:r>
            <w:r>
              <w:rPr>
                <w:rFonts w:hint="eastAsia" w:cs="Times New Roman"/>
                <w:bCs/>
                <w:sz w:val="24"/>
                <w:szCs w:val="24"/>
                <w:lang w:val="en-US" w:eastAsia="zh-CN"/>
              </w:rPr>
              <w:t xml:space="preserve">1</w:t>
            </w:r>
            <w:r>
              <w:rPr>
                <w:rFonts w:hint="eastAsia" w:ascii="Times New Roman" w:hAnsi="Times New Roman" w:eastAsia="宋体" w:cs="Times New Roman"/>
                <w:bCs/>
                <w:sz w:val="24"/>
                <w:szCs w:val="24"/>
                <w:lang w:val="en-US" w:eastAsia="zh-CN"/>
              </w:rPr>
              <w:t xml:space="preserve">个业绩得1分，最多得3分；</w:t>
            </w:r>
            <w:r/>
          </w:p>
          <w:p>
            <w:pPr>
              <w:pStyle w:val="695"/>
              <w:spacing w:line="320" w:lineRule="exact"/>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（3）投标人从2023年1月1日至本项目投标截止日期（以合同签订时间为准）承担的PM2.5和PM10监测仪手工比对项目业绩的，每提供</w:t>
            </w:r>
            <w:r>
              <w:rPr>
                <w:rFonts w:hint="eastAsia" w:cs="Times New Roman"/>
                <w:bCs/>
                <w:sz w:val="24"/>
                <w:szCs w:val="24"/>
                <w:lang w:val="en-US" w:eastAsia="zh-CN"/>
              </w:rPr>
              <w:t xml:space="preserve">1</w:t>
            </w:r>
            <w:r>
              <w:rPr>
                <w:rFonts w:hint="eastAsia" w:ascii="Times New Roman" w:hAnsi="Times New Roman" w:eastAsia="宋体" w:cs="Times New Roman"/>
                <w:bCs/>
                <w:sz w:val="24"/>
                <w:szCs w:val="24"/>
                <w:lang w:val="en-US" w:eastAsia="zh-CN"/>
              </w:rPr>
              <w:t xml:space="preserve">个业绩得1分，最多得3分。</w:t>
            </w:r>
            <w:r/>
          </w:p>
          <w:p>
            <w:pPr>
              <w:pStyle w:val="695"/>
              <w:spacing w:line="32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注：请列表汇总，并同时提供合同（合同须能体现甲、乙双方名称、签订合同时间、合同服务内容、甲乙双方章印齐全）和相应中标通知书原件彩色扫描件加盖投标人公章，未提供或不符合要求的不得分。”</w:t>
            </w:r>
            <w:r/>
          </w:p>
        </w:tc>
      </w:tr>
      <w:tr>
        <w:trPr>
          <w:trHeight w:val="1464"/>
        </w:trPr>
        <w:tc>
          <w:tcPr>
            <w:tcW w:w="743" w:type="dxa"/>
            <w:vAlign w:val="center"/>
            <w:textDirection w:val="lrTb"/>
            <w:noWrap w:val="false"/>
          </w:tcPr>
          <w:p>
            <w:pPr>
              <w:jc w:val="center"/>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8</w:t>
            </w:r>
            <w:r/>
          </w:p>
        </w:tc>
        <w:tc>
          <w:tcPr>
            <w:tcW w:w="1095" w:type="dxa"/>
            <w:vAlign w:val="center"/>
            <w:textDirection w:val="lrTb"/>
            <w:noWrap w:val="false"/>
          </w:tcPr>
          <w:p>
            <w:pPr>
              <w:jc w:val="center"/>
              <w:spacing w:line="320" w:lineRule="exact"/>
              <w:rPr>
                <w:rFonts w:ascii="Times New Roman" w:hAnsi="Times New Roman" w:eastAsia="宋体" w:cs="Times New Roman"/>
                <w:sz w:val="24"/>
              </w:rPr>
            </w:pPr>
            <w:r>
              <w:rPr>
                <w:rFonts w:ascii="Times New Roman" w:hAnsi="Times New Roman" w:eastAsia="宋体" w:cs="Times New Roman"/>
                <w:sz w:val="24"/>
              </w:rPr>
              <w:t xml:space="preserve">服务承诺</w:t>
            </w:r>
            <w:r/>
          </w:p>
        </w:tc>
        <w:tc>
          <w:tcPr>
            <w:tcW w:w="774" w:type="dxa"/>
            <w:vAlign w:val="center"/>
            <w:textDirection w:val="lrTb"/>
            <w:noWrap w:val="false"/>
          </w:tcPr>
          <w:p>
            <w:pPr>
              <w:jc w:val="center"/>
              <w:spacing w:line="320" w:lineRule="exact"/>
              <w:rPr>
                <w:rFonts w:ascii="Times New Roman" w:hAnsi="Times New Roman" w:eastAsia="宋体" w:cs="Times New Roman"/>
                <w:bCs/>
                <w:sz w:val="24"/>
              </w:rPr>
            </w:pPr>
            <w:r>
              <w:rPr>
                <w:rFonts w:hint="eastAsia" w:ascii="Times New Roman" w:hAnsi="Times New Roman" w:eastAsia="宋体" w:cs="Times New Roman"/>
                <w:bCs/>
                <w:sz w:val="24"/>
              </w:rPr>
              <w:t xml:space="preserve">3</w:t>
            </w:r>
            <w:r>
              <w:rPr>
                <w:rFonts w:ascii="Times New Roman" w:hAnsi="Times New Roman" w:eastAsia="宋体" w:cs="Times New Roman"/>
                <w:bCs/>
                <w:sz w:val="24"/>
              </w:rPr>
              <w:t xml:space="preserve">分</w:t>
            </w:r>
            <w:r/>
          </w:p>
        </w:tc>
        <w:tc>
          <w:tcPr>
            <w:tcW w:w="5901" w:type="dxa"/>
            <w:vAlign w:val="center"/>
            <w:textDirection w:val="lrTb"/>
            <w:noWrap w:val="false"/>
          </w:tcPr>
          <w:p>
            <w:pPr>
              <w:jc w:val="left"/>
              <w:rPr>
                <w:rFonts w:hint="default" w:ascii="Times New Roman" w:hAnsi="Times New Roman" w:eastAsia="宋体" w:cs="Times New Roman"/>
                <w:sz w:val="24"/>
                <w:lang w:val="en-US" w:eastAsia="zh-CN"/>
              </w:rPr>
            </w:pPr>
            <w:r>
              <w:rPr>
                <w:rFonts w:ascii="Times New Roman" w:hAnsi="Times New Roman" w:eastAsia="宋体" w:cs="Times New Roman"/>
                <w:sz w:val="24"/>
              </w:rPr>
              <w:t xml:space="preserve">投标人提供承诺函，承诺在中标后按时保质保量完成承诺内容，若不能按序时完成或完成质量达不到要求的，扣除项目总价的10%。承诺</w:t>
            </w:r>
            <w:r>
              <w:rPr>
                <w:rFonts w:hint="eastAsia" w:cs="Times New Roman"/>
                <w:sz w:val="24"/>
                <w:lang w:val="en-US" w:eastAsia="zh-CN"/>
              </w:rPr>
              <w:t xml:space="preserve">交接完好的设备给甲方，如不能自主完成甲方有权从项目款扣除修理费用。</w:t>
            </w:r>
            <w:r/>
          </w:p>
          <w:p>
            <w:pPr>
              <w:pStyle w:val="695"/>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注：须提供符合要求并加盖投标人公章的承诺函，否则不得分。</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183" w:name="_Hlt26955039"/>
      <w:r/>
      <w:bookmarkEnd w:id="183"/>
      <w:r/>
      <w:bookmarkStart w:id="184" w:name="_Hlt26671244"/>
      <w:r/>
      <w:bookmarkEnd w:id="184"/>
      <w:r/>
      <w:bookmarkStart w:id="185" w:name="_Toc49090576"/>
      <w:r/>
      <w:bookmarkStart w:id="186" w:name="_Toc26554094"/>
      <w:r/>
      <w:bookmarkStart w:id="187"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48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keepLines w:val="0"/>
        <w:keepNext w:val="0"/>
        <w:pageBreakBefore w:val="0"/>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7"/>
        </w:num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二、</w:t>
      </w:r>
      <w:r>
        <w:rPr>
          <w:rFonts w:hint="eastAsia" w:ascii="宋体" w:hAnsi="宋体" w:cs="宋体"/>
          <w:i/>
          <w:iCs/>
          <w:color w:val="auto"/>
          <w:sz w:val="24"/>
          <w:szCs w:val="24"/>
          <w:highlight w:val="none"/>
          <w:u w:val="single"/>
          <w:lang w:eastAsia="zh-CN"/>
        </w:rPr>
        <w:t xml:space="preserve">上一年度（2024年度或2025年度）的财务状况报告</w:t>
      </w:r>
      <w:r>
        <w:rPr>
          <w:rFonts w:hint="eastAsia" w:ascii="宋体" w:hAnsi="宋体" w:cs="宋体"/>
          <w:i/>
          <w:iCs/>
          <w:color w:val="auto"/>
          <w:sz w:val="24"/>
          <w:szCs w:val="24"/>
          <w:highlight w:val="none"/>
          <w:u w:val="single"/>
        </w:rPr>
        <w:t xml:space="preserve">（财务报告至少应包括资产负债表、利润表</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距投标截止之日止，成立不满一年的</w:t>
      </w:r>
      <w:r>
        <w:rPr>
          <w:rFonts w:hint="eastAsia" w:ascii="宋体" w:hAnsi="宋体" w:cs="宋体"/>
          <w:i/>
          <w:iCs/>
          <w:color w:val="auto"/>
          <w:sz w:val="24"/>
          <w:szCs w:val="24"/>
          <w:highlight w:val="none"/>
          <w:u w:val="single"/>
          <w:lang w:eastAsia="zh-CN"/>
        </w:rPr>
        <w:t xml:space="preserve">投标人</w:t>
      </w:r>
      <w:r>
        <w:rPr>
          <w:rFonts w:hint="eastAsia" w:ascii="宋体" w:hAnsi="宋体" w:cs="宋体"/>
          <w:i/>
          <w:iCs/>
          <w:color w:val="auto"/>
          <w:sz w:val="24"/>
          <w:szCs w:val="24"/>
          <w:highlight w:val="none"/>
          <w:u w:val="single"/>
        </w:rPr>
        <w:t xml:space="preserve">无需提供）；</w:t>
      </w:r>
      <w:r/>
    </w:p>
    <w:p>
      <w:pPr>
        <w:ind w:firstLine="480"/>
        <w:keepLines w:val="0"/>
        <w:keepNext w:val="0"/>
        <w:pageBreakBefore w:val="0"/>
        <w:spacing w:line="460" w:lineRule="exact"/>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 xml:space="preserve">三、具备履行合同所必需的设备和专业技术能力的书面声明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五、参加政府采购活动前 3 年内在经营活动中没有重大违法记录的书面声明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、单位负责人为同一人或者存在直接控股、管理关系的不同投标人，不得参加同一合同项下的政府采购活动</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七</w:t>
      </w:r>
      <w:r>
        <w:rPr>
          <w:rFonts w:hint="eastAsia" w:ascii="宋体" w:hAnsi="宋体" w:cs="宋体"/>
          <w:i/>
          <w:iCs/>
          <w:color w:val="auto"/>
          <w:sz w:val="24"/>
          <w:szCs w:val="24"/>
          <w:highlight w:val="none"/>
          <w:u w:val="single"/>
        </w:rPr>
        <w:t xml:space="preserve">、特定资格要求的证明文件（如果本项目设置特定资格要求，则需要提供）</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八</w:t>
      </w:r>
      <w:r>
        <w:rPr>
          <w:rFonts w:hint="eastAsia" w:ascii="宋体" w:hAnsi="宋体" w:cs="宋体"/>
          <w:i/>
          <w:iCs/>
          <w:color w:val="auto"/>
          <w:sz w:val="24"/>
          <w:szCs w:val="24"/>
          <w:highlight w:val="none"/>
          <w:u w:val="single"/>
        </w:rPr>
        <w:t xml:space="preserve">、法人授权书</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九</w:t>
      </w:r>
      <w:r>
        <w:rPr>
          <w:rFonts w:hint="eastAsia" w:ascii="宋体" w:hAnsi="宋体" w:cs="宋体"/>
          <w:i/>
          <w:iCs/>
          <w:color w:val="auto"/>
          <w:sz w:val="24"/>
          <w:szCs w:val="24"/>
          <w:highlight w:val="none"/>
          <w:u w:val="single"/>
        </w:rPr>
        <w:t xml:space="preserve">、投标函</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十</w:t>
      </w:r>
      <w:r>
        <w:rPr>
          <w:rFonts w:hint="eastAsia" w:ascii="宋体" w:hAnsi="宋体" w:cs="宋体"/>
          <w:i/>
          <w:iCs/>
          <w:color w:val="auto"/>
          <w:sz w:val="24"/>
          <w:szCs w:val="24"/>
          <w:highlight w:val="none"/>
          <w:u w:val="single"/>
        </w:rPr>
        <w:t xml:space="preserve">、中小企业声明函（残疾人福利性单位声明函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监狱企业证明函）</w:t>
      </w:r>
      <w:r/>
    </w:p>
    <w:p>
      <w:pPr>
        <w:pStyle w:val="70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十一、投标分项报价表</w:t>
      </w:r>
      <w:r/>
    </w:p>
    <w:p>
      <w:pPr>
        <w:pStyle w:val="70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十二、技术要求响应及偏离表</w:t>
      </w:r>
      <w:r/>
    </w:p>
    <w:p>
      <w:pPr>
        <w:pStyle w:val="70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十三、商务要求响应及偏离表</w:t>
      </w:r>
      <w:r/>
    </w:p>
    <w:p>
      <w:pPr>
        <w:pStyle w:val="708"/>
        <w:ind w:left="480"/>
        <w:jc w:val="both"/>
        <w:spacing w:beforeAutospacing="0" w:afterAutospacing="0"/>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十四、开标一览表</w:t>
      </w:r>
      <w:r/>
    </w:p>
    <w:p>
      <w:pPr>
        <w:ind w:firstLine="480"/>
        <w:spacing w:before="50" w:after="50"/>
        <w:widowControl/>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十五、技术方案、服务承诺、培训承诺等</w:t>
      </w:r>
      <w:r/>
    </w:p>
    <w:p>
      <w:pPr>
        <w:pStyle w:val="708"/>
        <w:ind w:firstLine="480"/>
        <w:jc w:val="both"/>
        <w:spacing w:beforeAutospacing="0" w:afterAutospacing="0" w:line="360" w:lineRule="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十六、盐城市政府采购事前信用承诺书</w:t>
      </w:r>
      <w:r/>
    </w:p>
    <w:p>
      <w:pPr>
        <w:pStyle w:val="742"/>
        <w:rPr>
          <w:color w:val="auto"/>
          <w:highlight w:val="none"/>
        </w:rPr>
      </w:pPr>
      <w:r>
        <w:rPr>
          <w:color w:val="auto"/>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713"/>
        <w:ind w:left="0" w:firstLine="0"/>
        <w:rPr>
          <w:rFonts w:hint="eastAsia"/>
          <w:color w:val="auto"/>
          <w:sz w:val="24"/>
          <w:szCs w:val="21"/>
          <w:highlight w:val="none"/>
        </w:rPr>
      </w:pPr>
      <w:r>
        <w:rPr>
          <w:rFonts w:hint="eastAsia"/>
          <w:color w:val="auto"/>
          <w:sz w:val="24"/>
          <w:szCs w:val="21"/>
          <w:highlight w:val="none"/>
        </w:rPr>
      </w:r>
      <w:r/>
    </w:p>
    <w:p>
      <w:pPr>
        <w:rPr>
          <w:color w:val="auto"/>
          <w:highlight w:val="none"/>
        </w:rPr>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hAnsi="宋体" w:eastAsia="宋体"/>
          <w:b/>
          <w:bCs/>
          <w:lang w:val="zh-CN" w:eastAsia="zh-CN"/>
        </w:rPr>
      </w:pPr>
      <w:r>
        <w:rPr>
          <w:rFonts w:hint="eastAsia" w:ascii="宋体" w:hAnsi="宋体" w:cs="宋体"/>
          <w:b/>
          <w:color w:val="auto"/>
          <w:sz w:val="32"/>
          <w:szCs w:val="32"/>
          <w:highlight w:val="none"/>
        </w:rPr>
        <w:t xml:space="preserve">一、</w:t>
      </w:r>
      <w:r>
        <w:rPr>
          <w:rFonts w:hint="eastAsia" w:ascii="宋体" w:hAnsi="宋体" w:cs="宋体"/>
          <w:b/>
          <w:color w:val="auto"/>
          <w:sz w:val="30"/>
          <w:szCs w:val="30"/>
          <w:highlight w:val="none"/>
        </w:rPr>
        <w:t xml:space="preserve">法人或者其他组织的营业执照等证明文件，自然人的身份证明</w:t>
      </w:r>
      <w:r>
        <w:rPr>
          <w:rFonts w:hint="eastAsia" w:ascii="宋体" w:hAnsi="宋体" w:cs="宋体"/>
          <w:b/>
          <w:color w:val="auto"/>
          <w:sz w:val="30"/>
          <w:szCs w:val="30"/>
          <w:highlight w:val="none"/>
          <w:lang w:eastAsia="zh-CN"/>
        </w:rPr>
        <w:t xml:space="preserve">；</w:t>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14"/>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反面</w:t>
            </w:r>
            <w:r/>
          </w:p>
        </w:tc>
      </w:tr>
    </w:tbl>
    <w:p>
      <w:pPr>
        <w:pStyle w:val="713"/>
        <w:rPr>
          <w:rFonts w:hint="eastAsia" w:cs="宋体"/>
          <w:bCs/>
          <w:iCs/>
          <w:color w:val="auto"/>
          <w:sz w:val="28"/>
          <w:szCs w:val="21"/>
          <w:highlight w:val="none"/>
        </w:rPr>
      </w:pPr>
      <w:r>
        <w:rPr>
          <w:rFonts w:hint="eastAsia" w:cs="宋体"/>
          <w:bCs/>
          <w:iCs/>
          <w:color w:val="auto"/>
          <w:sz w:val="28"/>
          <w:szCs w:val="21"/>
          <w:highlight w:val="none"/>
        </w:rPr>
      </w:r>
      <w:r/>
    </w:p>
    <w:p>
      <w:pPr>
        <w:pStyle w:val="746"/>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pStyle w:val="746"/>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二、</w:t>
      </w:r>
      <w:r>
        <w:rPr>
          <w:rFonts w:hint="eastAsia" w:ascii="宋体" w:hAnsi="宋体" w:cs="宋体"/>
          <w:b/>
          <w:color w:val="auto"/>
          <w:sz w:val="32"/>
          <w:szCs w:val="32"/>
          <w:highlight w:val="none"/>
          <w:lang w:eastAsia="zh-CN"/>
        </w:rPr>
        <w:t xml:space="preserve">上一年度（2024年度或2025年度）的财务状况报告</w:t>
      </w:r>
      <w:r/>
    </w:p>
    <w:p>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财务报告至少应包括资产负债表、利润表</w:t>
      </w:r>
      <w:r>
        <w:rPr>
          <w:rFonts w:hint="eastAsia" w:ascii="宋体" w:hAnsi="宋体" w:cs="宋体"/>
          <w:iCs/>
          <w:color w:val="auto"/>
          <w:sz w:val="32"/>
          <w:szCs w:val="32"/>
          <w:highlight w:val="none"/>
          <w:lang w:eastAsia="zh-CN"/>
        </w:rPr>
        <w:t xml:space="preserve">，</w:t>
      </w:r>
      <w:r>
        <w:rPr>
          <w:rFonts w:hint="eastAsia" w:ascii="宋体" w:hAnsi="宋体" w:cs="宋体"/>
          <w:iCs/>
          <w:color w:val="auto"/>
          <w:sz w:val="32"/>
          <w:szCs w:val="32"/>
          <w:highlight w:val="none"/>
        </w:rPr>
        <w:t xml:space="preserve">距投标截止之日止，成立不满一年的</w:t>
      </w:r>
      <w:r>
        <w:rPr>
          <w:rFonts w:hint="eastAsia" w:ascii="宋体" w:hAnsi="宋体" w:cs="宋体"/>
          <w:iCs/>
          <w:color w:val="auto"/>
          <w:sz w:val="32"/>
          <w:szCs w:val="32"/>
          <w:highlight w:val="none"/>
          <w:lang w:eastAsia="zh-CN"/>
        </w:rPr>
        <w:t xml:space="preserve">投标人</w:t>
      </w:r>
      <w:r>
        <w:rPr>
          <w:rFonts w:hint="eastAsia" w:ascii="宋体" w:hAnsi="宋体" w:cs="宋体"/>
          <w:iCs/>
          <w:color w:val="auto"/>
          <w:sz w:val="32"/>
          <w:szCs w:val="32"/>
          <w:highlight w:val="none"/>
        </w:rPr>
        <w:t xml:space="preserve">无需提供；</w:t>
      </w:r>
      <w:r/>
    </w:p>
    <w:p>
      <w:pPr>
        <w:rPr>
          <w:rFonts w:hint="eastAsia" w:ascii="宋体" w:hAnsi="宋体" w:cs="宋体"/>
          <w:iCs/>
          <w:color w:val="auto"/>
          <w:sz w:val="32"/>
          <w:szCs w:val="32"/>
          <w:highlight w:val="none"/>
        </w:rPr>
      </w:pPr>
      <w:r>
        <w:rPr>
          <w:rFonts w:hint="eastAsia" w:ascii="宋体" w:hAnsi="宋体" w:cs="宋体"/>
          <w:iCs/>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42"/>
        <w:rPr>
          <w:color w:val="auto"/>
          <w:highlight w:val="none"/>
        </w:rPr>
      </w:pPr>
      <w:r>
        <w:rPr>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三、具备履行合同所必需的设备和专业技术能力的书面声明</w:t>
      </w:r>
      <w:r/>
    </w:p>
    <w:p>
      <w:pPr>
        <w:ind w:firstLine="48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声明</w:t>
      </w:r>
      <w:r/>
    </w:p>
    <w:p>
      <w:pPr>
        <w:ind w:firstLine="480"/>
        <w:spacing w:line="360" w:lineRule="auto"/>
        <w:rPr>
          <w:rFonts w:hint="eastAsia" w:ascii="宋体" w:hAnsi="宋体" w:cs="宋体"/>
          <w:color w:val="auto"/>
          <w:sz w:val="28"/>
          <w:szCs w:val="24"/>
          <w:highlight w:val="none"/>
        </w:rPr>
      </w:pPr>
      <w:r>
        <w:rPr>
          <w:rFonts w:hint="eastAsia" w:ascii="宋体" w:hAnsi="宋体" w:cs="宋体"/>
          <w:bCs/>
          <w:iCs/>
          <w:color w:val="auto"/>
          <w:sz w:val="28"/>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r/>
    </w:p>
    <w:p>
      <w:pPr>
        <w:jc w:val="right"/>
        <w:spacing w:line="360" w:lineRule="auto"/>
        <w:rPr>
          <w:rFonts w:hint="eastAsia" w:ascii="宋体" w:hAnsi="宋体"/>
          <w:color w:val="auto"/>
          <w:sz w:val="28"/>
          <w:szCs w:val="24"/>
          <w:highlight w:val="none"/>
          <w:u w:val="single"/>
        </w:rPr>
      </w:pPr>
      <w:r>
        <w:rPr>
          <w:rFonts w:hint="eastAsia" w:ascii="宋体" w:hAnsi="宋体"/>
          <w:color w:val="auto"/>
          <w:sz w:val="28"/>
          <w:szCs w:val="24"/>
          <w:highlight w:val="none"/>
        </w:rPr>
        <w:t xml:space="preserve">投标人全称：</w:t>
      </w:r>
      <w:r>
        <w:rPr>
          <w:rFonts w:hint="eastAsia" w:ascii="宋体" w:hAnsi="宋体"/>
          <w:color w:val="auto"/>
          <w:sz w:val="28"/>
          <w:szCs w:val="24"/>
          <w:highlight w:val="none"/>
          <w:u w:val="single"/>
        </w:rPr>
        <w:t xml:space="preserve">  （加盖CA电子签章或盖公章 ）</w:t>
      </w:r>
      <w:r/>
    </w:p>
    <w:p>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r/>
    </w:p>
    <w:p>
      <w:pPr>
        <w:pStyle w:val="742"/>
        <w:rPr>
          <w:color w:val="auto"/>
          <w:sz w:val="28"/>
          <w:highlight w:val="none"/>
          <w:u w:val="single"/>
        </w:rPr>
      </w:pPr>
      <w:r>
        <w:rPr>
          <w:color w:val="auto"/>
          <w:sz w:val="28"/>
          <w:highlight w:val="none"/>
          <w:u w:val="single"/>
        </w:rPr>
      </w:r>
      <w:r/>
    </w:p>
    <w:p>
      <w:pPr>
        <w:pStyle w:val="742"/>
        <w:rPr>
          <w:color w:val="auto"/>
          <w:sz w:val="28"/>
          <w:szCs w:val="28"/>
          <w:highlight w:val="none"/>
          <w:u w:val="single"/>
        </w:rPr>
      </w:pPr>
      <w:r>
        <w:rPr>
          <w:color w:val="auto"/>
          <w:sz w:val="28"/>
          <w:szCs w:val="28"/>
          <w:highlight w:val="none"/>
          <w:u w:val="single"/>
        </w:rPr>
      </w:r>
      <w:r/>
    </w:p>
    <w:p>
      <w:pPr>
        <w:pStyle w:val="742"/>
        <w:rPr>
          <w:color w:val="auto"/>
          <w:sz w:val="28"/>
          <w:szCs w:val="28"/>
          <w:highlight w:val="none"/>
          <w:u w:val="single"/>
        </w:rPr>
      </w:pPr>
      <w:r>
        <w:rPr>
          <w:color w:val="auto"/>
          <w:sz w:val="28"/>
          <w:szCs w:val="28"/>
          <w:highlight w:val="none"/>
          <w:u w:val="single"/>
        </w:rPr>
      </w:r>
      <w:r/>
    </w:p>
    <w:p>
      <w:pPr>
        <w:pStyle w:val="742"/>
        <w:rPr>
          <w:color w:val="auto"/>
          <w:sz w:val="28"/>
          <w:szCs w:val="28"/>
          <w:highlight w:val="none"/>
          <w:u w:val="single"/>
        </w:rPr>
      </w:pPr>
      <w:r>
        <w:rPr>
          <w:color w:val="auto"/>
          <w:sz w:val="28"/>
          <w:szCs w:val="28"/>
          <w:highlight w:val="none"/>
          <w:u w:val="single"/>
        </w:rPr>
      </w:r>
      <w:r/>
    </w:p>
    <w:p>
      <w:pPr>
        <w:pStyle w:val="742"/>
        <w:rPr>
          <w:color w:val="auto"/>
          <w:sz w:val="28"/>
          <w:szCs w:val="28"/>
          <w:highlight w:val="none"/>
          <w:u w:val="single"/>
        </w:rPr>
      </w:pPr>
      <w:r>
        <w:rPr>
          <w:color w:val="auto"/>
          <w:sz w:val="28"/>
          <w:szCs w:val="28"/>
          <w:highlight w:val="none"/>
          <w:u w:val="single"/>
        </w:rPr>
      </w:r>
      <w:r/>
    </w:p>
    <w:p>
      <w:pPr>
        <w:pStyle w:val="742"/>
        <w:rPr>
          <w:color w:val="auto"/>
          <w:sz w:val="28"/>
          <w:szCs w:val="28"/>
          <w:highlight w:val="none"/>
          <w:u w:val="single"/>
        </w:rPr>
      </w:pPr>
      <w:r>
        <w:rPr>
          <w:color w:val="auto"/>
          <w:sz w:val="28"/>
          <w:szCs w:val="28"/>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iCs/>
          <w:color w:val="auto"/>
          <w:sz w:val="32"/>
          <w:szCs w:val="32"/>
          <w:highlight w:val="none"/>
        </w:rPr>
      </w:pPr>
      <w:r>
        <w:rPr>
          <w:rFonts w:hint="eastAsia" w:ascii="宋体" w:hAnsi="宋体" w:cs="宋体"/>
          <w:b/>
          <w:color w:val="auto"/>
          <w:sz w:val="32"/>
          <w:szCs w:val="32"/>
          <w:highlight w:val="none"/>
        </w:rPr>
        <w:t xml:space="preserve">四、依法缴纳税收和社会保障资金的相关材料</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color w:val="auto"/>
          <w:sz w:val="28"/>
          <w:szCs w:val="36"/>
          <w:highlight w:val="none"/>
        </w:rPr>
      </w:pPr>
      <w:r>
        <w:rPr>
          <w:rFonts w:hint="eastAsia" w:ascii="宋体" w:hAnsi="宋体" w:cs="宋体"/>
          <w:b/>
          <w:iCs/>
          <w:color w:val="auto"/>
          <w:sz w:val="28"/>
          <w:szCs w:val="36"/>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8"/>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w:t>
      </w:r>
      <w:r/>
    </w:p>
    <w:p>
      <w:pPr>
        <w:numPr>
          <w:ilvl w:val="0"/>
          <w:numId w:val="0"/>
        </w:numPr>
        <w:ind w:firstLine="964"/>
        <w:jc w:val="both"/>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3 年内在经营活动中没有重大违法记录的书面声明</w:t>
      </w:r>
      <w:r/>
    </w:p>
    <w:p>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 xml:space="preserve">声  明</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r>
      <w:r/>
    </w:p>
    <w:p>
      <w:pPr>
        <w:ind w:firstLine="480"/>
        <w:jc w:val="center"/>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r/>
    </w:p>
    <w:p>
      <w:pPr>
        <w:ind w:firstLine="480"/>
        <w:jc w:val="center"/>
        <w:spacing w:line="360" w:lineRule="auto"/>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r/>
    </w:p>
    <w:p>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r/>
    </w:p>
    <w:p>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5"/>
      <w:r/>
      <w:bookmarkEnd w:id="186"/>
      <w:r/>
      <w:bookmarkEnd w:id="187"/>
      <w:r/>
      <w:r/>
    </w:p>
    <w:p>
      <w:pPr>
        <w:pStyle w:val="708"/>
        <w:jc w:val="center"/>
        <w:spacing w:beforeAutospacing="0" w:afterAutospacing="0"/>
        <w:rPr>
          <w:rFonts w:ascii="宋体" w:hAnsi="宋体" w:eastAsia="宋体" w:cs="宋体"/>
          <w:b/>
          <w:bCs/>
          <w:i/>
          <w:iCs/>
          <w:sz w:val="28"/>
          <w:szCs w:val="28"/>
        </w:rPr>
      </w:pPr>
      <w:r>
        <w:rPr>
          <w:rFonts w:hint="eastAsia" w:ascii="宋体" w:hAnsi="宋体" w:eastAsia="宋体" w:cs="宋体"/>
          <w:b/>
          <w:bCs/>
          <w:i/>
          <w:iCs/>
          <w:sz w:val="28"/>
          <w:szCs w:val="28"/>
          <w:u w:val="single"/>
          <w:lang w:val="en-US" w:eastAsia="zh-CN"/>
        </w:rPr>
        <w:t xml:space="preserve">六</w:t>
      </w:r>
      <w:r>
        <w:rPr>
          <w:rFonts w:hint="eastAsia" w:ascii="宋体" w:hAnsi="宋体" w:eastAsia="宋体" w:cs="宋体"/>
          <w:b/>
          <w:bCs/>
          <w:i/>
          <w:iCs/>
          <w:sz w:val="28"/>
          <w:szCs w:val="28"/>
          <w:u w:val="single"/>
        </w:rPr>
        <w:t xml:space="preserve">、单位负责人为同一人或者存在直接控股、管理关系的不同投标人，不得参加同一合同项下的政府采购活动。（格式自拟）</w:t>
      </w:r>
      <w:r/>
    </w:p>
    <w:p>
      <w:pPr>
        <w:pStyle w:val="708"/>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08"/>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jc w:val="center"/>
        <w:rPr>
          <w:rFonts w:hint="eastAsia" w:ascii="宋体" w:hAnsi="宋体" w:cs="宋体"/>
          <w:bCs/>
          <w:iCs/>
          <w:color w:val="auto"/>
          <w:sz w:val="28"/>
          <w:szCs w:val="21"/>
          <w:highlight w:val="none"/>
          <w:lang w:eastAsia="zh-CN"/>
        </w:rPr>
      </w:pPr>
      <w:r>
        <w:rPr>
          <w:rFonts w:hint="eastAsia" w:ascii="宋体" w:hAnsi="宋体" w:eastAsia="宋体" w:cs="宋体"/>
          <w:b/>
          <w:bCs/>
          <w:i/>
          <w:iCs/>
          <w:sz w:val="28"/>
          <w:szCs w:val="28"/>
          <w:lang w:val="en-US" w:eastAsia="zh-CN"/>
        </w:rPr>
        <w:t xml:space="preserve">七</w:t>
      </w:r>
      <w:r>
        <w:rPr>
          <w:rFonts w:hint="eastAsia" w:ascii="宋体" w:hAnsi="宋体" w:eastAsia="宋体" w:cs="宋体"/>
          <w:b/>
          <w:bCs/>
          <w:i/>
          <w:iCs/>
          <w:sz w:val="28"/>
          <w:szCs w:val="28"/>
        </w:rPr>
        <w:t xml:space="preserve">、</w:t>
      </w:r>
      <w:r>
        <w:rPr>
          <w:rFonts w:hint="eastAsia" w:ascii="宋体" w:hAnsi="宋体" w:cs="宋体"/>
          <w:b/>
          <w:i/>
          <w:iCs/>
          <w:color w:val="auto"/>
          <w:sz w:val="32"/>
          <w:szCs w:val="32"/>
          <w:highlight w:val="none"/>
          <w:u w:val="single"/>
        </w:rPr>
        <w:t xml:space="preserve">特定资格要求的证明文件</w:t>
      </w:r>
      <w:r>
        <w:rPr>
          <w:rFonts w:hint="eastAsia" w:ascii="宋体" w:hAnsi="宋体" w:cs="宋体"/>
          <w:i/>
          <w:iCs/>
          <w:color w:val="auto"/>
          <w:sz w:val="24"/>
          <w:szCs w:val="24"/>
          <w:highlight w:val="none"/>
          <w:u w:val="single"/>
        </w:rPr>
        <w:t xml:space="preserve">（如果本项目设置特定资格要求，则需要提供）</w:t>
      </w:r>
      <w:r/>
    </w:p>
    <w:p>
      <w:pPr>
        <w:pStyle w:val="708"/>
        <w:jc w:val="center"/>
        <w:spacing w:beforeAutospacing="0" w:afterAutospacing="0"/>
        <w:rPr>
          <w:rFonts w:ascii="黑体" w:hAnsi="黑体" w:eastAsia="黑体" w:cs="宋体"/>
          <w:iCs/>
          <w:sz w:val="36"/>
          <w:szCs w:val="32"/>
        </w:rPr>
      </w:pPr>
      <w:r>
        <w:rPr>
          <w:rFonts w:ascii="黑体" w:hAnsi="黑体" w:eastAsia="黑体" w:cs="宋体"/>
          <w:iCs/>
          <w:sz w:val="36"/>
          <w:szCs w:val="32"/>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r/>
    </w:p>
    <w:p>
      <w:pPr>
        <w:jc w:val="center"/>
        <w:spacing w:line="48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八</w:t>
      </w:r>
      <w:r>
        <w:rPr>
          <w:rFonts w:hint="eastAsia" w:ascii="宋体" w:hAnsi="宋体" w:cs="新宋体"/>
          <w:b/>
          <w:i/>
          <w:iCs w:val="0"/>
          <w:color w:val="auto"/>
          <w:sz w:val="36"/>
          <w:szCs w:val="36"/>
          <w:highlight w:val="none"/>
          <w:u w:val="single"/>
        </w:rPr>
        <w:t xml:space="preserve">、法人授权书</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本授权书声明：__________（投标人名称）授权___________（被授权人的姓名）为我方就</w:t>
      </w:r>
      <w:r>
        <w:rPr>
          <w:rFonts w:hint="eastAsia" w:ascii="宋体" w:hAnsi="宋体"/>
          <w:color w:val="auto"/>
          <w:sz w:val="28"/>
          <w:szCs w:val="28"/>
          <w:highlight w:val="none"/>
          <w:lang w:eastAsia="zh-CN"/>
        </w:rPr>
        <w:t xml:space="preserve">JSZC-320923-SWGC-G2026-0043</w:t>
      </w:r>
      <w:r>
        <w:rPr>
          <w:rFonts w:hint="eastAsia" w:ascii="宋体" w:hAnsi="宋体"/>
          <w:color w:val="auto"/>
          <w:sz w:val="28"/>
          <w:szCs w:val="28"/>
          <w:highlight w:val="none"/>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日起生效，特此声明。</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被授权人身份证号码：</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被授权人联系电话：（手机）</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授权单位名称：</w:t>
      </w:r>
      <w:r>
        <w:rPr>
          <w:rFonts w:hint="eastAsia" w:ascii="宋体" w:hAnsi="宋体"/>
          <w:color w:val="auto"/>
          <w:sz w:val="28"/>
          <w:szCs w:val="28"/>
          <w:highlight w:val="none"/>
          <w:u w:val="single"/>
        </w:rPr>
        <w:t xml:space="preserve">（加盖CA电子签章或盖公章）</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ind w:firstLine="1195"/>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日期：</w:t>
      </w:r>
      <w:bookmarkStart w:id="188" w:name="_Hlt26671380"/>
      <w:r/>
      <w:bookmarkEnd w:id="188"/>
      <w:r/>
      <w:bookmarkStart w:id="189" w:name="_格式3__银行出具的资信证明"/>
      <w:r/>
      <w:bookmarkEnd w:id="189"/>
      <w:r/>
      <w:bookmarkStart w:id="190" w:name="_Hlt26955070"/>
      <w:r/>
      <w:bookmarkEnd w:id="190"/>
      <w:r>
        <w:rPr>
          <w:rFonts w:hint="eastAsia" w:ascii="宋体" w:hAnsi="宋体"/>
          <w:color w:val="auto"/>
          <w:sz w:val="28"/>
          <w:szCs w:val="28"/>
          <w:highlight w:val="none"/>
          <w:u w:val="single"/>
        </w:rPr>
        <w:t xml:space="preserve">                                  </w:t>
      </w:r>
      <w:r/>
    </w:p>
    <w:p>
      <w:pPr>
        <w:pStyle w:val="708"/>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w:t>
      </w:r>
      <w:r>
        <w:rPr>
          <w:rFonts w:hint="eastAsia" w:asciiTheme="minorEastAsia" w:hAnsiTheme="minorEastAsia"/>
          <w:b/>
          <w:bCs/>
          <w:sz w:val="28"/>
          <w:szCs w:val="28"/>
          <w:lang w:val="en-US" w:eastAsia="zh-CN"/>
        </w:rPr>
        <w:t xml:space="preserve">复印件</w:t>
      </w:r>
      <w:r>
        <w:rPr>
          <w:rFonts w:hint="eastAsia" w:asciiTheme="minorEastAsia" w:hAnsiTheme="minorEastAsia"/>
          <w:b/>
          <w:bCs/>
          <w:sz w:val="28"/>
          <w:szCs w:val="28"/>
        </w:rPr>
        <w:t xml:space="preserve">）</w:t>
      </w:r>
      <w:r/>
    </w:p>
    <w:tbl>
      <w:tblPr>
        <w:tblStyle w:val="71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08"/>
              <w:jc w:val="center"/>
              <w:rPr>
                <w:rFonts w:ascii="宋体" w:hAnsi="宋体" w:eastAsia="宋体" w:cs="宋体"/>
                <w:b/>
                <w:iCs/>
                <w:szCs w:val="32"/>
              </w:rPr>
            </w:pPr>
            <w:r>
              <w:rPr>
                <w:rFonts w:ascii="宋体" w:hAnsi="宋体" w:eastAsia="宋体" w:cs="宋体"/>
                <w:b/>
                <w:iCs/>
                <w:szCs w:val="32"/>
              </w:rPr>
            </w:r>
            <w:r/>
          </w:p>
          <w:p>
            <w:pPr>
              <w:pStyle w:val="708"/>
              <w:jc w:val="center"/>
              <w:rPr>
                <w:rFonts w:ascii="宋体" w:hAnsi="宋体" w:eastAsia="宋体" w:cs="宋体"/>
                <w:b/>
                <w:iCs/>
                <w:szCs w:val="32"/>
              </w:rPr>
            </w:pPr>
            <w:r>
              <w:rPr>
                <w:rFonts w:ascii="宋体" w:hAnsi="宋体" w:eastAsia="宋体" w:cs="宋体"/>
                <w:b/>
                <w:iCs/>
                <w:szCs w:val="32"/>
              </w:rPr>
            </w:r>
            <w:r/>
          </w:p>
          <w:p>
            <w:pPr>
              <w:pStyle w:val="708"/>
              <w:jc w:val="center"/>
              <w:rPr>
                <w:rFonts w:ascii="宋体" w:hAnsi="宋体" w:eastAsia="宋体" w:cs="宋体"/>
                <w:b/>
                <w:iCs/>
                <w:szCs w:val="32"/>
              </w:rPr>
            </w:pPr>
            <w:r>
              <w:rPr>
                <w:rFonts w:hint="eastAsia" w:ascii="宋体" w:hAnsi="宋体" w:eastAsia="宋体" w:cs="宋体"/>
                <w:b/>
                <w:iCs/>
                <w:szCs w:val="32"/>
              </w:rPr>
              <w:t xml:space="preserve">正面</w:t>
            </w:r>
            <w:r/>
          </w:p>
        </w:tc>
        <w:tc>
          <w:tcPr>
            <w:tcW w:w="4111" w:type="dxa"/>
            <w:textDirection w:val="lrTb"/>
            <w:noWrap/>
          </w:tcPr>
          <w:p>
            <w:pPr>
              <w:pStyle w:val="708"/>
              <w:jc w:val="center"/>
              <w:rPr>
                <w:rFonts w:ascii="宋体" w:hAnsi="宋体" w:eastAsia="宋体" w:cs="宋体"/>
                <w:b/>
                <w:iCs/>
                <w:szCs w:val="32"/>
              </w:rPr>
            </w:pPr>
            <w:r>
              <w:rPr>
                <w:rFonts w:ascii="宋体" w:hAnsi="宋体" w:eastAsia="宋体" w:cs="宋体"/>
                <w:b/>
                <w:iCs/>
                <w:szCs w:val="32"/>
              </w:rPr>
            </w:r>
            <w:r/>
          </w:p>
          <w:p>
            <w:pPr>
              <w:pStyle w:val="708"/>
              <w:jc w:val="center"/>
              <w:rPr>
                <w:rFonts w:ascii="宋体" w:hAnsi="宋体" w:eastAsia="宋体" w:cs="宋体"/>
                <w:b/>
                <w:iCs/>
                <w:szCs w:val="32"/>
              </w:rPr>
            </w:pPr>
            <w:r>
              <w:rPr>
                <w:rFonts w:ascii="宋体" w:hAnsi="宋体" w:eastAsia="宋体" w:cs="宋体"/>
                <w:b/>
                <w:iCs/>
                <w:szCs w:val="32"/>
              </w:rPr>
            </w:r>
            <w:r/>
          </w:p>
          <w:p>
            <w:pPr>
              <w:pStyle w:val="708"/>
              <w:jc w:val="center"/>
              <w:rPr>
                <w:rFonts w:ascii="宋体" w:hAnsi="宋体" w:eastAsia="宋体" w:cs="宋体"/>
                <w:b/>
                <w:iCs/>
                <w:szCs w:val="32"/>
              </w:rPr>
            </w:pPr>
            <w:r>
              <w:rPr>
                <w:rFonts w:hint="eastAsia" w:ascii="宋体" w:hAnsi="宋体" w:eastAsia="宋体" w:cs="宋体"/>
                <w:b/>
                <w:iCs/>
                <w:szCs w:val="32"/>
              </w:rPr>
              <w:t xml:space="preserve">反面</w:t>
            </w:r>
            <w:r/>
          </w:p>
        </w:tc>
      </w:tr>
    </w:tbl>
    <w:p>
      <w:pPr>
        <w:ind w:firstLine="420"/>
        <w:spacing w:line="480" w:lineRule="auto"/>
        <w:rPr>
          <w:i/>
          <w:color w:val="auto"/>
          <w:sz w:val="24"/>
          <w:szCs w:val="24"/>
          <w:highlight w:val="none"/>
          <w:u w:val="single"/>
        </w:rPr>
      </w:pPr>
      <w:r>
        <w:rPr>
          <w:i/>
          <w:color w:val="auto"/>
          <w:sz w:val="24"/>
          <w:szCs w:val="24"/>
          <w:highlight w:val="none"/>
          <w:u w:val="singl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713"/>
        <w:rPr>
          <w:rFonts w:hint="eastAsia"/>
          <w:color w:val="auto"/>
          <w:highlight w:val="none"/>
        </w:rPr>
      </w:pPr>
      <w:r>
        <w:rPr>
          <w:rFonts w:hint="eastAsia"/>
          <w:color w:val="auto"/>
          <w:highlight w:val="none"/>
        </w:rPr>
      </w:r>
      <w:r/>
    </w:p>
    <w:p>
      <w:pPr>
        <w:numPr>
          <w:ilvl w:val="0"/>
          <w:numId w:val="0"/>
        </w:numPr>
        <w:jc w:val="center"/>
        <w:spacing w:line="480" w:lineRule="auto"/>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lang w:val="en-US" w:eastAsia="zh-CN"/>
        </w:rPr>
        <w:t xml:space="preserve">九</w:t>
      </w:r>
      <w:r>
        <w:rPr>
          <w:rFonts w:hint="eastAsia" w:ascii="宋体" w:hAnsi="宋体" w:cs="新宋体"/>
          <w:b/>
          <w:i/>
          <w:iCs w:val="0"/>
          <w:color w:val="auto"/>
          <w:sz w:val="36"/>
          <w:szCs w:val="36"/>
          <w:highlight w:val="none"/>
          <w:u w:val="single"/>
        </w:rPr>
        <w:t xml:space="preserve">、投标函</w:t>
      </w:r>
      <w:r/>
    </w:p>
    <w:p>
      <w:pPr>
        <w:jc w:val="left"/>
        <w:spacing w:line="360" w:lineRule="auto"/>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 xml:space="preserve">盐城市阜宁生态环境局</w:t>
      </w:r>
      <w:r/>
    </w:p>
    <w:p>
      <w:pPr>
        <w:ind w:firstLine="480"/>
        <w:jc w:val="left"/>
        <w:spacing w:line="360" w:lineRule="auto"/>
        <w:rPr>
          <w:rFonts w:hint="eastAsia" w:ascii="宋体" w:hAnsi="宋体"/>
          <w:color w:val="auto"/>
          <w:sz w:val="28"/>
          <w:highlight w:val="none"/>
        </w:rPr>
      </w:pPr>
      <w:r>
        <w:rPr>
          <w:rFonts w:hint="eastAsia" w:ascii="宋体" w:hAnsi="宋体" w:eastAsia="宋体" w:cs="Times New Roman"/>
          <w:color w:val="auto"/>
          <w:sz w:val="28"/>
          <w:highlight w:val="none"/>
        </w:rPr>
        <w:t xml:space="preserve">根据贵方的</w:t>
      </w:r>
      <w:r>
        <w:rPr>
          <w:rFonts w:hint="eastAsia" w:ascii="宋体" w:hAnsi="宋体" w:cs="Times New Roman"/>
          <w:color w:val="auto"/>
          <w:sz w:val="28"/>
          <w:highlight w:val="none"/>
          <w:lang w:eastAsia="zh-CN"/>
        </w:rPr>
        <w:t xml:space="preserve">JSZC-320923-SWGC-G2026-0043</w:t>
      </w:r>
      <w:r>
        <w:rPr>
          <w:rFonts w:hint="eastAsia" w:ascii="宋体" w:hAnsi="宋体" w:eastAsia="宋体" w:cs="Times New Roman"/>
          <w:color w:val="auto"/>
          <w:sz w:val="28"/>
          <w:highlight w:val="none"/>
        </w:rPr>
        <w:t xml:space="preserve">号招标文件，正式授权下</w:t>
      </w:r>
      <w:r>
        <w:rPr>
          <w:rFonts w:hint="eastAsia" w:ascii="宋体" w:hAnsi="宋体"/>
          <w:color w:val="auto"/>
          <w:sz w:val="28"/>
          <w:highlight w:val="none"/>
        </w:rPr>
        <w:t xml:space="preserve">述签字人_________________(姓名)代表我方______________（投标人的名称），全权处理本次项目投标的有关事宜。</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据此函，签字人兹宣布同意如下：</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1.按招标文件规定的各项要求，向买方提供所需货物（包含与货物相关的服务）。</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2.我们完全理解贵方不一定将合同授予最低报价的投标人。</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5</w:t>
      </w:r>
      <w:r>
        <w:rPr>
          <w:rFonts w:hint="eastAsia" w:ascii="宋体" w:hAnsi="宋体"/>
          <w:color w:val="auto"/>
          <w:sz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6</w:t>
      </w:r>
      <w:r>
        <w:rPr>
          <w:rFonts w:hint="eastAsia" w:ascii="宋体" w:hAnsi="宋体"/>
          <w:color w:val="auto"/>
          <w:sz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color w:val="auto"/>
          <w:sz w:val="28"/>
          <w:highlight w:val="none"/>
        </w:rPr>
      </w:pPr>
      <w:r>
        <w:rPr>
          <w:rFonts w:ascii="宋体" w:hAnsi="宋体"/>
          <w:color w:val="auto"/>
          <w:sz w:val="28"/>
          <w:highlight w:val="none"/>
        </w:rPr>
        <w:t xml:space="preserve">7</w:t>
      </w:r>
      <w:r>
        <w:rPr>
          <w:rFonts w:hint="eastAsia" w:ascii="宋体" w:hAnsi="宋体"/>
          <w:color w:val="auto"/>
          <w:sz w:val="28"/>
          <w:highlight w:val="none"/>
        </w:rPr>
        <w:t xml:space="preserve">.与本投标有关的正式通讯地址为：</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地      址：</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电      话：</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传      真：</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投标人开户行：</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账      号： </w:t>
      </w:r>
      <w:r/>
    </w:p>
    <w:p>
      <w:pPr>
        <w:pStyle w:val="708"/>
        <w:ind w:left="420" w:firstLine="480"/>
        <w:spacing w:beforeAutospacing="0" w:afterAutospacing="0" w:line="500" w:lineRule="exact"/>
        <w:rPr>
          <w:rFonts w:hAnsi="宋体" w:eastAsia="宋体" w:cs="宋体"/>
          <w:b/>
        </w:rPr>
      </w:pPr>
      <w:r>
        <w:rPr>
          <w:rFonts w:hint="eastAsia" w:cs="宋体" w:asciiTheme="minorEastAsia" w:hAnsiTheme="minorEastAsia"/>
          <w:b/>
          <w:bCs/>
          <w:sz w:val="28"/>
          <w:szCs w:val="28"/>
        </w:rPr>
        <w:t xml:space="preserve">投标人授权代表姓名（签字）：</w:t>
      </w:r>
      <w:r/>
    </w:p>
    <w:p>
      <w:pPr>
        <w:ind w:left="420" w:firstLine="480"/>
        <w:spacing w:line="360" w:lineRule="auto"/>
        <w:rPr>
          <w:rFonts w:hint="eastAsia" w:ascii="宋体" w:hAnsi="宋体"/>
          <w:color w:val="auto"/>
          <w:sz w:val="28"/>
          <w:highlight w:val="none"/>
        </w:rPr>
      </w:pPr>
      <w:r>
        <w:rPr>
          <w:rFonts w:hint="eastAsia" w:ascii="宋体" w:hAnsi="宋体"/>
          <w:color w:val="auto"/>
          <w:sz w:val="28"/>
          <w:highlight w:val="none"/>
        </w:rPr>
        <w:t xml:space="preserve">日      期：________年____月____日</w:t>
      </w:r>
      <w:r/>
    </w:p>
    <w:p>
      <w:pPr>
        <w:jc w:val="center"/>
        <w:spacing w:line="360" w:lineRule="auto"/>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 xml:space="preserve">十</w:t>
      </w:r>
      <w:r>
        <w:rPr>
          <w:rFonts w:hint="eastAsia" w:ascii="宋体" w:hAnsi="宋体" w:cs="新宋体"/>
          <w:b/>
          <w:i/>
          <w:iCs w:val="0"/>
          <w:color w:val="auto"/>
          <w:sz w:val="36"/>
          <w:szCs w:val="36"/>
          <w:highlight w:val="none"/>
          <w:u w:val="single"/>
        </w:rPr>
        <w:t xml:space="preserve">、中小企业声明函</w:t>
      </w:r>
      <w:r>
        <w:rPr>
          <w:rFonts w:hint="eastAsia" w:ascii="宋体" w:hAnsi="宋体" w:cs="新宋体"/>
          <w:b/>
          <w:i/>
          <w:iCs w:val="0"/>
          <w:color w:val="auto"/>
          <w:sz w:val="36"/>
          <w:szCs w:val="36"/>
          <w:highlight w:val="none"/>
          <w:u w:val="single"/>
          <w:lang w:eastAsia="zh-CN"/>
        </w:rPr>
        <w:t xml:space="preserve">（</w:t>
      </w:r>
      <w:r>
        <w:rPr>
          <w:rFonts w:hint="eastAsia" w:ascii="宋体" w:hAnsi="宋体" w:cs="新宋体"/>
          <w:b/>
          <w:i/>
          <w:iCs w:val="0"/>
          <w:color w:val="auto"/>
          <w:sz w:val="36"/>
          <w:szCs w:val="36"/>
          <w:highlight w:val="none"/>
          <w:u w:val="single"/>
          <w:lang w:val="en-US" w:eastAsia="zh-CN"/>
        </w:rPr>
        <w:t xml:space="preserve">服务）</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盐城市阜宁生态环境局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组织的采购编号为</w:t>
      </w:r>
      <w:r>
        <w:rPr>
          <w:rFonts w:hint="eastAsia" w:ascii="宋体" w:hAnsi="宋体"/>
          <w:color w:val="auto"/>
          <w:sz w:val="24"/>
          <w:szCs w:val="24"/>
          <w:highlight w:val="none"/>
          <w:u w:val="none"/>
          <w:lang w:eastAsia="zh-CN"/>
        </w:rPr>
        <w:t xml:space="preserve">JSZC-320923-SWGC-G2026-0043</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single"/>
          <w:lang w:eastAsia="zh-CN"/>
        </w:rPr>
        <w:t xml:space="preserve">盐城市阜宁生态环境局16个乡镇（街道）空气质量监测站运维服务</w:t>
      </w:r>
      <w:r>
        <w:rPr>
          <w:rFonts w:hint="eastAsia" w:ascii="宋体" w:hAnsi="宋体"/>
          <w:color w:val="auto"/>
          <w:sz w:val="24"/>
          <w:szCs w:val="24"/>
          <w:highlight w:val="none"/>
        </w:rPr>
        <w:t xml:space="preserve">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9"/>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 xml:space="preserve">盐城市阜宁生态环境局16个乡镇（街道）空气质量监测站运维服务</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numPr>
          <w:ilvl w:val="0"/>
          <w:numId w:val="9"/>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ind w:firstLine="360"/>
        <w:spacing w:line="4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企业名称（加盖CA电子签章或盖公章）：</w:t>
      </w:r>
      <w:r/>
    </w:p>
    <w:p>
      <w:pPr>
        <w:ind w:right="480" w:firstLine="540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如不提供此声明函，价格将不做相应扣除。</w:t>
      </w:r>
      <w:r/>
    </w:p>
    <w:p>
      <w:pPr>
        <w:pStyle w:val="70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08"/>
        <w:jc w:val="center"/>
        <w:spacing w:beforeAutospacing="0" w:afterAutospacing="0" w:line="0" w:lineRule="atLeast"/>
        <w:rPr>
          <w:rFonts w:hint="eastAsia" w:eastAsia="黑体"/>
          <w:i/>
          <w:iCs/>
          <w:color w:val="auto"/>
          <w:highlight w:val="none"/>
          <w:u w:val="single"/>
        </w:rPr>
      </w:pPr>
      <w:r>
        <w:rPr>
          <w:rFonts w:hint="eastAsia" w:ascii="黑体" w:eastAsia="黑体" w:cs="黑体"/>
          <w:b/>
          <w:i/>
          <w:iCs/>
          <w:color w:val="auto"/>
          <w:sz w:val="32"/>
          <w:szCs w:val="32"/>
          <w:highlight w:val="none"/>
          <w:u w:val="single"/>
        </w:rPr>
        <w:t xml:space="preserve">残疾人福利性单位声明函（如</w:t>
      </w:r>
      <w:r>
        <w:rPr>
          <w:rFonts w:hint="eastAsia" w:ascii="黑体" w:eastAsia="黑体" w:cs="黑体"/>
          <w:b/>
          <w:i/>
          <w:iCs/>
          <w:color w:val="auto"/>
          <w:sz w:val="32"/>
          <w:szCs w:val="32"/>
          <w:highlight w:val="none"/>
          <w:u w:val="single"/>
          <w:lang w:val="en-US" w:eastAsia="zh-CN"/>
        </w:rPr>
        <w:t xml:space="preserve">是</w:t>
      </w:r>
      <w:r>
        <w:rPr>
          <w:rFonts w:hint="eastAsia" w:ascii="黑体" w:eastAsia="黑体" w:cs="黑体"/>
          <w:b/>
          <w:i/>
          <w:iCs/>
          <w:color w:val="auto"/>
          <w:sz w:val="32"/>
          <w:szCs w:val="32"/>
          <w:highlight w:val="none"/>
          <w:u w:val="single"/>
        </w:rPr>
        <w:t xml:space="preserve">）</w:t>
      </w:r>
      <w:r/>
    </w:p>
    <w:p>
      <w:pPr>
        <w:pStyle w:val="70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70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 xml:space="preserve">盐城市阜宁生态环境局</w:t>
      </w:r>
      <w:r>
        <w:rPr>
          <w:rFonts w:hint="eastAsia" w:cs="Times New Roman"/>
          <w:color w:val="auto"/>
          <w:highlight w:val="none"/>
          <w:u w:val="single"/>
        </w:rPr>
        <w:t xml:space="preserve"> </w:t>
      </w:r>
      <w:r>
        <w:rPr>
          <w:rFonts w:hint="eastAsia" w:cs="Times New Roman"/>
          <w:color w:val="auto"/>
          <w:highlight w:val="none"/>
        </w:rPr>
        <w:t xml:space="preserve">单位的采购文件编号为______的</w:t>
      </w:r>
      <w:r>
        <w:rPr>
          <w:rFonts w:hint="eastAsia" w:cs="Times New Roman"/>
          <w:color w:val="auto"/>
          <w:highlight w:val="none"/>
          <w:u w:val="single"/>
        </w:rPr>
        <w:t xml:space="preserve">       </w:t>
      </w:r>
      <w:r>
        <w:rPr>
          <w:rFonts w:hint="eastAsia" w:cs="Times New Roman"/>
          <w:color w:val="auto"/>
          <w:highlight w:val="none"/>
        </w:rPr>
        <w:t xml:space="preserve">项目采购活动提供本单位制造的货物，或者提供其他残疾人福利性单位制造的货物（不包括使用非残疾人福利性单位注册商标的货物）。</w:t>
      </w:r>
      <w:r/>
    </w:p>
    <w:p>
      <w:pPr>
        <w:pStyle w:val="708"/>
        <w:ind w:firstLine="480"/>
        <w:jc w:val="both"/>
        <w:spacing w:beforeAutospacing="0" w:afterAutospacing="0" w:line="360" w:lineRule="auto"/>
        <w:rPr>
          <w:rFonts w:hint="eastAsia"/>
          <w:color w:val="auto"/>
          <w:highlight w:val="none"/>
        </w:rPr>
      </w:pPr>
      <w:r>
        <w:rPr>
          <w:rFonts w:hint="eastAsia" w:cs="Times New Roman"/>
          <w:color w:val="auto"/>
          <w:highlight w:val="none"/>
        </w:rPr>
        <w:t xml:space="preserve">本单位对上述声明的真实性负责。如有虚假，将依法承担相应责任。</w:t>
      </w:r>
      <w:r/>
    </w:p>
    <w:p>
      <w:pPr>
        <w:pStyle w:val="708"/>
        <w:ind w:firstLine="480"/>
        <w:jc w:val="both"/>
        <w:spacing w:beforeAutospacing="0" w:afterAutospacing="0" w:line="360" w:lineRule="auto"/>
        <w:rPr>
          <w:rFonts w:hint="eastAsia"/>
          <w:color w:val="auto"/>
          <w:highlight w:val="none"/>
        </w:rPr>
      </w:pPr>
      <w:r>
        <w:rPr>
          <w:color w:val="auto"/>
          <w:highlight w:val="none"/>
        </w:rPr>
        <w:t xml:space="preserve"> </w:t>
      </w:r>
      <w:r/>
    </w:p>
    <w:p>
      <w:pPr>
        <w:pStyle w:val="708"/>
        <w:ind w:firstLine="480"/>
        <w:jc w:val="both"/>
        <w:spacing w:beforeAutospacing="0" w:afterAutospacing="0" w:line="360" w:lineRule="auto"/>
        <w:rPr>
          <w:rFonts w:hint="eastAsia"/>
          <w:color w:val="auto"/>
          <w:highlight w:val="none"/>
        </w:rPr>
      </w:pPr>
      <w:r>
        <w:rPr>
          <w:rFonts w:hint="eastAsia"/>
          <w:color w:val="auto"/>
          <w:highlight w:val="none"/>
        </w:rPr>
        <w:t xml:space="preserve">备注：1、</w:t>
      </w:r>
      <w:r>
        <w:rPr>
          <w:rFonts w:hint="eastAsia"/>
          <w:color w:val="auto"/>
          <w:highlight w:val="none"/>
          <w:lang w:eastAsia="zh-CN"/>
        </w:rPr>
        <w:t xml:space="preserve">投标人</w:t>
      </w:r>
      <w:r>
        <w:rPr>
          <w:rFonts w:hint="eastAsia"/>
          <w:color w:val="auto"/>
          <w:highlight w:val="none"/>
        </w:rPr>
        <w:t xml:space="preserve">如不提供此声明函，价格将不做相应扣除（如项目全面面向中小企业，则资格审查不通过）。2、中标</w:t>
      </w:r>
      <w:r>
        <w:rPr>
          <w:rFonts w:hint="eastAsia"/>
          <w:color w:val="auto"/>
          <w:highlight w:val="none"/>
          <w:lang w:eastAsia="zh-CN"/>
        </w:rPr>
        <w:t xml:space="preserve">投标人</w:t>
      </w:r>
      <w:r>
        <w:rPr>
          <w:rFonts w:hint="eastAsia"/>
          <w:color w:val="auto"/>
          <w:highlight w:val="none"/>
        </w:rPr>
        <w:t xml:space="preserve">为残疾人福利单位的，此声明函将随中标结果同时公告，接受社会监督</w:t>
      </w:r>
      <w:r/>
    </w:p>
    <w:p>
      <w:pPr>
        <w:pStyle w:val="708"/>
        <w:ind w:firstLine="624"/>
        <w:jc w:val="both"/>
        <w:spacing w:beforeAutospacing="0" w:afterAutospacing="0" w:line="0" w:lineRule="atLeast"/>
        <w:rPr>
          <w:rFonts w:hint="eastAsia"/>
          <w:color w:val="auto"/>
          <w:highlight w:val="none"/>
        </w:rPr>
      </w:pPr>
      <w:r>
        <w:rPr>
          <w:color w:val="auto"/>
          <w:highlight w:val="none"/>
        </w:rPr>
        <w:t xml:space="preserve"> </w:t>
      </w:r>
      <w:r/>
    </w:p>
    <w:p>
      <w:pPr>
        <w:pStyle w:val="708"/>
        <w:ind w:firstLine="480"/>
        <w:jc w:val="both"/>
        <w:spacing w:beforeAutospacing="0" w:afterAutospacing="0" w:line="360" w:lineRule="auto"/>
        <w:rPr>
          <w:rFonts w:hint="eastAsia" w:cs="Times New Roman"/>
          <w:color w:val="auto"/>
          <w:highlight w:val="none"/>
        </w:rPr>
      </w:pPr>
      <w:r>
        <w:rPr>
          <w:rFonts w:ascii="仿宋_GB2312" w:eastAsia="仿宋_GB2312" w:cs="仿宋_GB2312"/>
          <w:color w:val="auto"/>
          <w:sz w:val="30"/>
          <w:szCs w:val="30"/>
          <w:highlight w:val="none"/>
        </w:rPr>
        <w:t xml:space="preserve">  </w:t>
      </w:r>
      <w:r>
        <w:rPr>
          <w:rFonts w:hint="eastAsia" w:cs="Times New Roman"/>
          <w:color w:val="auto"/>
          <w:highlight w:val="none"/>
        </w:rPr>
        <w:t xml:space="preserve">         </w:t>
      </w:r>
      <w:r/>
    </w:p>
    <w:p>
      <w:pPr>
        <w:pStyle w:val="70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投标人全称：（加盖CA电子签章或盖公章）</w:t>
      </w:r>
      <w:r/>
    </w:p>
    <w:p>
      <w:pPr>
        <w:pStyle w:val="70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日  期：</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8"/>
        <w:spacing w:line="360" w:lineRule="auto"/>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属于监狱企业的证明文件（如是）</w:t>
      </w:r>
      <w:r/>
    </w:p>
    <w:p>
      <w:pPr>
        <w:ind w:firstLine="560"/>
        <w:jc w:val="left"/>
        <w:spacing w:line="500" w:lineRule="exact"/>
        <w:widowControl/>
        <w:rPr>
          <w:rFonts w:hint="eastAsia" w:ascii="宋体" w:hAnsi="宋体" w:cs="Arial"/>
          <w:color w:val="auto"/>
          <w:sz w:val="28"/>
          <w:szCs w:val="28"/>
          <w:highlight w:val="none"/>
        </w:rPr>
      </w:pPr>
      <w:r>
        <w:rPr>
          <w:rFonts w:ascii="宋体" w:hAnsi="宋体" w:cs="Arial"/>
          <w:color w:val="auto"/>
          <w:sz w:val="28"/>
          <w:szCs w:val="28"/>
          <w:highlight w:val="none"/>
        </w:rPr>
        <w:t xml:space="preserve">提供由省级以上监狱管理局、戒毒管理局(含新疆生产建设兵团)出具的属于监狱企业的证明文件</w:t>
      </w:r>
      <w:r/>
    </w:p>
    <w:p>
      <w:pPr>
        <w:pStyle w:val="70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976"/>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ascii="黑体" w:hAnsi="黑体" w:eastAsia="黑体"/>
          <w:b/>
          <w:color w:val="auto"/>
          <w:sz w:val="32"/>
          <w:szCs w:val="32"/>
          <w:highlight w:val="none"/>
        </w:rPr>
        <w:br w:type="page" w:clear="all"/>
      </w:r>
      <w:bookmarkStart w:id="191" w:name="_Hlt26955054"/>
      <w:r/>
      <w:bookmarkEnd w:id="191"/>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、投标分项报价表（分包号：**）</w:t>
      </w:r>
      <w:r/>
    </w:p>
    <w:tbl>
      <w:tblPr>
        <w:tblStyle w:val="67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08"/>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both"/>
              <w:spacing w:beforeAutospacing="0" w:afterAutospacing="0" w:line="0" w:lineRule="atLeast"/>
              <w:rPr>
                <w:highlight w:val="none"/>
              </w:rPr>
            </w:pPr>
            <w:r>
              <w:rPr>
                <w:highlight w:val="none"/>
              </w:rPr>
              <w:t xml:space="preserve"> </w:t>
            </w:r>
            <w:r/>
          </w:p>
        </w:tc>
      </w:tr>
    </w:tbl>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708"/>
        <w:jc w:val="center"/>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rFonts w:hint="eastAsia" w:ascii="黑体" w:hAnsi="宋体" w:eastAsia="黑体" w:cs="黑体"/>
          <w:b/>
          <w:color w:val="000000"/>
          <w:sz w:val="32"/>
          <w:szCs w:val="32"/>
          <w:highlight w:val="none"/>
        </w:rPr>
      </w:pPr>
      <w:r>
        <w:rPr>
          <w:highlight w:val="none"/>
        </w:rPr>
        <w:t xml:space="preserve">  </w:t>
      </w:r>
      <w:r>
        <w:rPr>
          <w:rFonts w:hint="eastAsia" w:ascii="黑体" w:hAnsi="宋体" w:eastAsia="黑体" w:cs="黑体"/>
          <w:b/>
          <w:color w:val="000000"/>
          <w:sz w:val="32"/>
          <w:szCs w:val="32"/>
          <w:highlight w:val="none"/>
        </w:rPr>
        <w:br w:type="page" w:clear="all"/>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highlight w:val="none"/>
              </w:rPr>
            </w:pPr>
            <w:r>
              <w:rPr>
                <w:highlight w:val="none"/>
              </w:rPr>
              <w:t xml:space="preserve"> </w:t>
            </w:r>
            <w:r/>
          </w:p>
        </w:tc>
      </w:tr>
    </w:tbl>
    <w:p>
      <w:pPr>
        <w:pStyle w:val="70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center"/>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center"/>
        <w:spacing w:beforeAutospacing="0" w:afterAutospacing="0"/>
        <w:rPr>
          <w:highlight w:val="none"/>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bookmarkStart w:id="192" w:name="_Hlt26671343"/>
            <w:r/>
            <w:bookmarkStart w:id="193" w:name="_Hlt26671372"/>
            <w:r/>
            <w:bookmarkStart w:id="194" w:name="_Hlt26955056"/>
            <w:r/>
            <w:bookmarkStart w:id="195" w:name="_Hlt26955064"/>
            <w:r/>
            <w:bookmarkStart w:id="196" w:name="_Hlt26782999"/>
            <w:r/>
            <w:bookmarkStart w:id="197" w:name="_Hlt26580838"/>
            <w:r/>
            <w:bookmarkStart w:id="198" w:name="_Hlt24879081"/>
            <w:r/>
            <w:bookmarkStart w:id="199" w:name="_Hlt26609391"/>
            <w:r>
              <w:rPr>
                <w:rFonts w:hint="eastAsia" w:ascii="宋体" w:hAnsi="宋体" w:eastAsia="宋体" w:cs="宋体"/>
                <w:color w:val="000000"/>
                <w:highlight w:val="none"/>
              </w:rPr>
              <w:t xml:space="preserve">序号</w:t>
            </w:r>
            <w:bookmarkEnd w:id="192"/>
            <w:bookmarkEnd w:id="193"/>
            <w:bookmarkEnd w:id="194"/>
            <w:bookmarkEnd w:id="195"/>
            <w:bookmarkEnd w:id="196"/>
            <w:bookmarkEnd w:id="197"/>
            <w:bookmarkEnd w:id="198"/>
            <w:bookmarkEnd w:id="199"/>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0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highlight w:val="none"/>
              </w:rPr>
            </w:pPr>
            <w:r>
              <w:rPr>
                <w:highlight w:val="none"/>
              </w:rPr>
              <w:t xml:space="preserve"> </w:t>
            </w:r>
            <w:r/>
          </w:p>
        </w:tc>
      </w:tr>
    </w:tbl>
    <w:p>
      <w:pPr>
        <w:pStyle w:val="70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08"/>
        <w:jc w:val="both"/>
        <w:spacing w:beforeAutospacing="0" w:afterAutospacing="0" w:line="480" w:lineRule="auto"/>
        <w:rPr>
          <w:highlight w:val="none"/>
        </w:rPr>
      </w:pPr>
      <w:r>
        <w:rPr>
          <w:highlight w:val="none"/>
        </w:rPr>
        <w:t xml:space="preserve"> </w:t>
      </w:r>
      <w:r/>
    </w:p>
    <w:p>
      <w:pPr>
        <w:pStyle w:val="708"/>
        <w:jc w:val="both"/>
        <w:spacing w:beforeAutospacing="0" w:afterAutospacing="0" w:line="480" w:lineRule="auto"/>
        <w:rPr>
          <w:highlight w:val="none"/>
        </w:rPr>
      </w:pPr>
      <w:r>
        <w:rPr>
          <w:highlight w:val="none"/>
        </w:rPr>
        <w:t xml:space="preserve"> </w:t>
      </w:r>
      <w:r/>
    </w:p>
    <w:p>
      <w:pPr>
        <w:pStyle w:val="708"/>
        <w:jc w:val="center"/>
        <w:spacing w:beforeAutospacing="0" w:afterAutospacing="0"/>
        <w:rPr>
          <w:highlight w:val="none"/>
        </w:rPr>
      </w:pPr>
      <w:r/>
      <w:bookmarkStart w:id="200" w:name="_格式2__法定代表人授权书"/>
      <w:r/>
      <w:bookmarkStart w:id="201" w:name="_Hlt26955066"/>
      <w:r/>
      <w:bookmarkStart w:id="202" w:name="_Hlt26609389"/>
      <w:r/>
      <w:bookmarkStart w:id="203" w:name="_Hlt26671374"/>
      <w:r/>
      <w:bookmarkStart w:id="204" w:name="_Toc462564146"/>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t xml:space="preserve"> </w:t>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highlight w:val="none"/>
        </w:rPr>
      </w:pPr>
      <w:r>
        <w:rPr>
          <w:highlight w:val="none"/>
        </w:rPr>
      </w:r>
      <w:r/>
    </w:p>
    <w:p>
      <w:pPr>
        <w:pStyle w:val="70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70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0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0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08"/>
        <w:jc w:val="both"/>
        <w:spacing w:beforeAutospacing="0" w:afterAutospacing="0"/>
        <w:rPr>
          <w:color w:val="auto"/>
          <w:highlight w:val="none"/>
        </w:rPr>
      </w:pPr>
      <w:r>
        <w:rPr>
          <w:color w:val="auto"/>
          <w:highlight w:val="none"/>
        </w:rPr>
        <w:t xml:space="preserve"> </w:t>
      </w:r>
      <w:r/>
    </w:p>
    <w:p>
      <w:pPr>
        <w:pStyle w:val="70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8"/>
        <w:ind w:firstLine="480"/>
        <w:jc w:val="both"/>
        <w:spacing w:beforeAutospacing="0" w:afterAutospacing="0"/>
        <w:rPr>
          <w:highlight w:val="none"/>
        </w:rPr>
      </w:pPr>
      <w:r>
        <w:rPr>
          <w:highlight w:val="none"/>
        </w:rPr>
        <w:t xml:space="preserve"> </w:t>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0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pStyle w:val="742"/>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、技术方案、服务承诺、培训承诺等</w:t>
      </w:r>
      <w:r/>
    </w:p>
    <w:p>
      <w:pPr>
        <w:pStyle w:val="708"/>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color w:val="000000"/>
          <w:sz w:val="24"/>
          <w:highlight w:val="none"/>
          <w:lang w:val="en-US" w:eastAsia="zh-CN"/>
        </w:rPr>
        <w:t xml:space="preserve">或盖章</w:t>
      </w:r>
      <w:r>
        <w:rPr>
          <w:rFonts w:hint="eastAsia" w:ascii="宋体" w:hAnsi="宋体" w:eastAsia="宋体" w:cs="宋体"/>
          <w:color w:val="000000"/>
          <w:sz w:val="24"/>
          <w:highlight w:val="none"/>
        </w:rPr>
        <w:t xml:space="preserve">：</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708"/>
        <w:jc w:val="center"/>
        <w:spacing w:beforeAutospacing="0" w:afterAutospacing="0"/>
        <w:rPr>
          <w:highlight w:val="none"/>
        </w:rPr>
      </w:pPr>
      <w:r>
        <w:rPr>
          <w:highlight w:val="none"/>
        </w:rPr>
      </w:r>
      <w:r/>
    </w:p>
    <w:p>
      <w:pPr>
        <w:pStyle w:val="708"/>
        <w:jc w:val="center"/>
        <w:spacing w:beforeAutospacing="0" w:afterAutospacing="0"/>
        <w:rPr>
          <w:highlight w:val="none"/>
        </w:rPr>
      </w:pPr>
      <w:r>
        <w:rPr>
          <w:highlight w:val="none"/>
        </w:rPr>
      </w:r>
      <w:bookmarkEnd w:id="200"/>
      <w:bookmarkEnd w:id="201"/>
      <w:bookmarkEnd w:id="202"/>
      <w:bookmarkEnd w:id="203"/>
      <w:bookmarkEnd w:id="204"/>
      <w:r/>
    </w:p>
    <w:p>
      <w:pPr>
        <w:rPr>
          <w:highlight w:val="none"/>
        </w:rPr>
      </w:pPr>
      <w:r>
        <w:rPr>
          <w:highlight w:val="none"/>
        </w:rPr>
      </w:r>
      <w:r/>
    </w:p>
    <w:p>
      <w:pPr>
        <w:pStyle w:val="70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0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0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0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0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0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0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spacing w:line="500" w:lineRule="exact"/>
        <w:rPr>
          <w:rStyle w:val="969"/>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7"/>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6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7"/>
      </w:rPr>
      <w:framePr w:wrap="around" w:vAnchor="text" w:hAnchor="margin" w:xAlign="center" w:y="1"/>
    </w:pPr>
    <w:r>
      <w:fldChar w:fldCharType="begin"/>
    </w:r>
    <w:r>
      <w:rPr>
        <w:rStyle w:val="717"/>
      </w:rPr>
      <w:instrText xml:space="preserve">PAGE  </w:instrText>
    </w:r>
    <w:r>
      <w:fldChar w:fldCharType="separate"/>
    </w:r>
    <w:r>
      <w:rPr>
        <w:rStyle w:val="717"/>
      </w:rPr>
      <w:t xml:space="preserve">1</w:t>
    </w:r>
    <w: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4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8"/>
      <w:isLgl w:val="false"/>
      <w:suff w:val="nothing"/>
      <w:lvlText w:val=""/>
      <w:lvlJc w:val="left"/>
      <w:pPr>
        <w:ind w:left="0" w:firstLine="0"/>
      </w:pPr>
      <w:rPr>
        <w:rFonts w:hint="eastAsia"/>
      </w:rPr>
    </w:lvl>
    <w:lvl w:ilvl="6">
      <w:start w:val="1"/>
      <w:numFmt w:val="decimal"/>
      <w:pStyle w:val="669"/>
      <w:isLgl w:val="false"/>
      <w:suff w:val="nothing"/>
      <w:lvlText w:val=""/>
      <w:lvlJc w:val="left"/>
      <w:pPr>
        <w:ind w:left="0" w:firstLine="0"/>
      </w:pPr>
      <w:rPr>
        <w:rFonts w:hint="eastAsia"/>
      </w:rPr>
    </w:lvl>
    <w:lvl w:ilvl="7">
      <w:start w:val="1"/>
      <w:numFmt w:val="decimal"/>
      <w:pStyle w:val="670"/>
      <w:isLgl w:val="false"/>
      <w:suff w:val="nothing"/>
      <w:lvlText w:val=""/>
      <w:lvlJc w:val="left"/>
      <w:pPr>
        <w:ind w:left="0" w:firstLine="0"/>
      </w:pPr>
      <w:rPr>
        <w:rFonts w:hint="eastAsia"/>
      </w:rPr>
    </w:lvl>
    <w:lvl w:ilvl="8">
      <w:start w:val="1"/>
      <w:numFmt w:val="decimal"/>
      <w:pStyle w:val="671"/>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8"/>
  </w:num>
  <w:num w:numId="4">
    <w:abstractNumId w:val="2"/>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3">
    <w:name w:val="Heading 1"/>
    <w:basedOn w:val="662"/>
    <w:next w:val="662"/>
    <w:link w:val="905"/>
    <w:uiPriority w:val="0"/>
    <w:qFormat/>
    <w:pPr>
      <w:jc w:val="center"/>
      <w:keepNext/>
      <w:outlineLvl w:val="0"/>
    </w:pPr>
    <w:rPr>
      <w:rFonts w:ascii="楷体_GB2312" w:eastAsia="楷体_GB2312"/>
      <w:sz w:val="28"/>
      <w:szCs w:val="28"/>
    </w:rPr>
  </w:style>
  <w:style w:type="paragraph" w:styleId="664">
    <w:name w:val="Heading 2"/>
    <w:basedOn w:val="662"/>
    <w:next w:val="662"/>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5">
    <w:name w:val="Heading 3"/>
    <w:basedOn w:val="662"/>
    <w:next w:val="674"/>
    <w:link w:val="908"/>
    <w:uiPriority w:val="0"/>
    <w:qFormat/>
    <w:pPr>
      <w:keepLines/>
      <w:keepNext/>
      <w:spacing w:before="260" w:after="260" w:line="416" w:lineRule="auto"/>
      <w:outlineLvl w:val="2"/>
    </w:pPr>
    <w:rPr>
      <w:b/>
      <w:bCs/>
      <w:sz w:val="32"/>
      <w:szCs w:val="32"/>
    </w:rPr>
  </w:style>
  <w:style w:type="paragraph" w:styleId="666">
    <w:name w:val="Heading 4"/>
    <w:basedOn w:val="662"/>
    <w:next w:val="674"/>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667">
    <w:name w:val="Heading 5"/>
    <w:basedOn w:val="662"/>
    <w:next w:val="674"/>
    <w:link w:val="910"/>
    <w:uiPriority w:val="0"/>
    <w:qFormat/>
    <w:pPr>
      <w:keepNext/>
      <w:outlineLvl w:val="4"/>
    </w:pPr>
    <w:rPr>
      <w:rFonts w:ascii="宋体"/>
      <w:color w:val="000000"/>
      <w:sz w:val="28"/>
      <w:szCs w:val="28"/>
    </w:rPr>
  </w:style>
  <w:style w:type="paragraph" w:styleId="668">
    <w:name w:val="Heading 6"/>
    <w:basedOn w:val="662"/>
    <w:next w:val="662"/>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Heading 7"/>
    <w:basedOn w:val="662"/>
    <w:next w:val="662"/>
    <w:link w:val="912"/>
    <w:uiPriority w:val="0"/>
    <w:qFormat/>
    <w:pPr>
      <w:numPr>
        <w:ilvl w:val="6"/>
        <w:numId w:val="1"/>
      </w:numPr>
      <w:keepLines/>
      <w:keepNext/>
      <w:spacing w:before="240" w:after="64" w:line="320" w:lineRule="auto"/>
      <w:outlineLvl w:val="6"/>
    </w:pPr>
    <w:rPr>
      <w:b/>
      <w:bCs/>
      <w:sz w:val="24"/>
      <w:szCs w:val="24"/>
    </w:rPr>
  </w:style>
  <w:style w:type="paragraph" w:styleId="670">
    <w:name w:val="Heading 8"/>
    <w:basedOn w:val="662"/>
    <w:next w:val="662"/>
    <w:link w:val="9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Heading 9"/>
    <w:basedOn w:val="662"/>
    <w:next w:val="662"/>
    <w:link w:val="914"/>
    <w:uiPriority w:val="0"/>
    <w:qFormat/>
    <w:pPr>
      <w:numPr>
        <w:ilvl w:val="8"/>
        <w:numId w:val="1"/>
      </w:numPr>
      <w:keepLines/>
      <w:keepNext/>
      <w:spacing w:before="240" w:after="64" w:line="320" w:lineRule="auto"/>
      <w:outlineLvl w:val="8"/>
    </w:pPr>
    <w:rPr>
      <w:rFonts w:ascii="Arial" w:hAnsi="Arial" w:eastAsia="黑体"/>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62"/>
    <w:link w:val="907"/>
    <w:uiPriority w:val="0"/>
    <w:qFormat/>
    <w:pPr>
      <w:ind w:firstLine="420"/>
    </w:pPr>
    <w:rPr>
      <w:szCs w:val="21"/>
    </w:rPr>
  </w:style>
  <w:style w:type="paragraph" w:styleId="675">
    <w:name w:val="List 3"/>
    <w:basedOn w:val="662"/>
    <w:uiPriority w:val="0"/>
    <w:qFormat/>
    <w:pPr>
      <w:ind w:left="100" w:hanging="200"/>
    </w:pPr>
    <w:rPr>
      <w:szCs w:val="21"/>
    </w:rPr>
  </w:style>
  <w:style w:type="paragraph" w:styleId="676">
    <w:name w:val="toc 7"/>
    <w:basedOn w:val="662"/>
    <w:next w:val="662"/>
    <w:uiPriority w:val="0"/>
    <w:semiHidden/>
    <w:qFormat/>
    <w:pPr>
      <w:ind w:left="1260"/>
      <w:jc w:val="left"/>
    </w:pPr>
    <w:rPr>
      <w:szCs w:val="21"/>
    </w:rPr>
  </w:style>
  <w:style w:type="paragraph" w:styleId="677">
    <w:name w:val="Caption"/>
    <w:basedOn w:val="662"/>
    <w:next w:val="662"/>
    <w:uiPriority w:val="35"/>
    <w:semiHidden/>
    <w:unhideWhenUsed/>
    <w:qFormat/>
    <w:pPr>
      <w:spacing w:line="276" w:lineRule="auto"/>
    </w:pPr>
    <w:rPr>
      <w:b/>
      <w:bCs/>
      <w:color w:val="4f81bd"/>
      <w:sz w:val="18"/>
      <w:szCs w:val="18"/>
    </w:rPr>
  </w:style>
  <w:style w:type="paragraph" w:styleId="678">
    <w:name w:val="Document Map"/>
    <w:basedOn w:val="662"/>
    <w:link w:val="915"/>
    <w:uiPriority w:val="0"/>
    <w:semiHidden/>
    <w:qFormat/>
    <w:pPr>
      <w:shd w:val="clear" w:color="auto" w:fill="000080"/>
    </w:pPr>
    <w:rPr>
      <w:szCs w:val="21"/>
    </w:rPr>
  </w:style>
  <w:style w:type="paragraph" w:styleId="679">
    <w:name w:val="annotation text"/>
    <w:basedOn w:val="662"/>
    <w:link w:val="916"/>
    <w:uiPriority w:val="0"/>
    <w:unhideWhenUsed/>
    <w:qFormat/>
    <w:pPr>
      <w:jc w:val="left"/>
    </w:pPr>
  </w:style>
  <w:style w:type="paragraph" w:styleId="680">
    <w:name w:val="Body Text 3"/>
    <w:basedOn w:val="662"/>
    <w:link w:val="917"/>
    <w:uiPriority w:val="0"/>
    <w:qFormat/>
    <w:rPr>
      <w:rFonts w:ascii="仿宋_GB2312" w:hAnsi="Arial" w:eastAsia="仿宋_GB2312"/>
      <w:sz w:val="32"/>
      <w:szCs w:val="32"/>
    </w:rPr>
  </w:style>
  <w:style w:type="paragraph" w:styleId="681">
    <w:name w:val="Body Text"/>
    <w:basedOn w:val="662"/>
    <w:link w:val="918"/>
    <w:uiPriority w:val="0"/>
    <w:qFormat/>
    <w:rPr>
      <w:rFonts w:ascii="楷体_GB2312" w:hAnsi="Arial" w:eastAsia="楷体_GB2312"/>
      <w:sz w:val="28"/>
      <w:szCs w:val="28"/>
    </w:rPr>
  </w:style>
  <w:style w:type="paragraph" w:styleId="682">
    <w:name w:val="Body Text Indent"/>
    <w:basedOn w:val="662"/>
    <w:next w:val="683"/>
    <w:link w:val="919"/>
    <w:uiPriority w:val="0"/>
    <w:unhideWhenUsed/>
    <w:qFormat/>
    <w:pPr>
      <w:ind w:left="420"/>
      <w:spacing w:after="120"/>
    </w:pPr>
  </w:style>
  <w:style w:type="paragraph" w:styleId="683">
    <w:name w:val="envelope return"/>
    <w:basedOn w:val="662"/>
    <w:uiPriority w:val="0"/>
    <w:qFormat/>
    <w:rPr>
      <w:rFonts w:ascii="Arial" w:hAnsi="Arial"/>
    </w:rPr>
  </w:style>
  <w:style w:type="paragraph" w:styleId="684">
    <w:name w:val="List 2"/>
    <w:basedOn w:val="662"/>
    <w:uiPriority w:val="0"/>
    <w:qFormat/>
    <w:pPr>
      <w:ind w:left="100" w:hanging="200"/>
    </w:pPr>
    <w:rPr>
      <w:szCs w:val="21"/>
    </w:rPr>
  </w:style>
  <w:style w:type="paragraph" w:styleId="685">
    <w:name w:val="Block Text"/>
    <w:basedOn w:val="662"/>
    <w:uiPriority w:val="0"/>
    <w:unhideWhenUsed/>
    <w:qFormat/>
    <w:pPr>
      <w:ind w:left="1440"/>
      <w:spacing w:after="120"/>
    </w:pPr>
    <w:rPr>
      <w:rFonts w:hint="eastAsia"/>
    </w:rPr>
  </w:style>
  <w:style w:type="paragraph" w:styleId="686">
    <w:name w:val="index 4"/>
    <w:basedOn w:val="662"/>
    <w:next w:val="662"/>
    <w:uiPriority w:val="99"/>
    <w:qFormat/>
    <w:pPr>
      <w:ind w:left="1260"/>
      <w:jc w:val="left"/>
      <w:spacing w:before="160" w:after="160" w:line="240" w:lineRule="atLeast"/>
      <w:widowControl/>
    </w:pPr>
    <w:rPr>
      <w:rFonts w:cs="Arial"/>
      <w:szCs w:val="21"/>
    </w:rPr>
  </w:style>
  <w:style w:type="paragraph" w:styleId="687">
    <w:name w:val="toc 5"/>
    <w:basedOn w:val="662"/>
    <w:next w:val="662"/>
    <w:uiPriority w:val="0"/>
    <w:semiHidden/>
    <w:qFormat/>
    <w:pPr>
      <w:ind w:left="840"/>
      <w:jc w:val="left"/>
    </w:pPr>
    <w:rPr>
      <w:szCs w:val="21"/>
    </w:rPr>
  </w:style>
  <w:style w:type="paragraph" w:styleId="688">
    <w:name w:val="toc 3"/>
    <w:basedOn w:val="662"/>
    <w:next w:val="662"/>
    <w:uiPriority w:val="0"/>
    <w:semiHidden/>
    <w:qFormat/>
    <w:pPr>
      <w:ind w:left="420"/>
      <w:jc w:val="left"/>
    </w:pPr>
    <w:rPr>
      <w:i/>
      <w:iCs/>
      <w:szCs w:val="24"/>
    </w:rPr>
  </w:style>
  <w:style w:type="paragraph" w:styleId="689">
    <w:name w:val="Plain Text"/>
    <w:basedOn w:val="662"/>
    <w:link w:val="920"/>
    <w:uiPriority w:val="0"/>
    <w:qFormat/>
    <w:rPr>
      <w:rFonts w:ascii="宋体" w:hAnsi="Courier New" w:cs="Courier New"/>
      <w:szCs w:val="21"/>
    </w:rPr>
  </w:style>
  <w:style w:type="paragraph" w:styleId="690">
    <w:name w:val="toc 8"/>
    <w:basedOn w:val="662"/>
    <w:next w:val="662"/>
    <w:uiPriority w:val="0"/>
    <w:semiHidden/>
    <w:qFormat/>
    <w:pPr>
      <w:ind w:left="1470"/>
      <w:jc w:val="left"/>
    </w:pPr>
    <w:rPr>
      <w:szCs w:val="21"/>
    </w:rPr>
  </w:style>
  <w:style w:type="paragraph" w:styleId="691">
    <w:name w:val="Date"/>
    <w:basedOn w:val="662"/>
    <w:next w:val="662"/>
    <w:link w:val="921"/>
    <w:uiPriority w:val="0"/>
    <w:qFormat/>
    <w:rPr>
      <w:sz w:val="24"/>
      <w:szCs w:val="24"/>
    </w:rPr>
  </w:style>
  <w:style w:type="paragraph" w:styleId="692">
    <w:name w:val="Body Text Indent 2"/>
    <w:basedOn w:val="662"/>
    <w:link w:val="922"/>
    <w:uiPriority w:val="0"/>
    <w:qFormat/>
    <w:pPr>
      <w:ind w:left="630" w:firstLine="645"/>
    </w:pPr>
    <w:rPr>
      <w:rFonts w:ascii="Arial" w:hAnsi="Arial" w:eastAsia="仿宋_GB2312" w:cs="Arial"/>
      <w:sz w:val="32"/>
      <w:szCs w:val="32"/>
    </w:rPr>
  </w:style>
  <w:style w:type="paragraph" w:styleId="693">
    <w:name w:val="endnote text"/>
    <w:basedOn w:val="662"/>
    <w:link w:val="903"/>
    <w:uiPriority w:val="99"/>
    <w:semiHidden/>
    <w:unhideWhenUsed/>
    <w:qFormat/>
    <w:rPr>
      <w:sz w:val="20"/>
    </w:rPr>
  </w:style>
  <w:style w:type="paragraph" w:styleId="694">
    <w:name w:val="Balloon Text"/>
    <w:basedOn w:val="662"/>
    <w:link w:val="923"/>
    <w:uiPriority w:val="0"/>
    <w:semiHidden/>
    <w:qFormat/>
    <w:rPr>
      <w:sz w:val="18"/>
      <w:szCs w:val="18"/>
    </w:rPr>
  </w:style>
  <w:style w:type="paragraph" w:styleId="695">
    <w:name w:val="Footer"/>
    <w:basedOn w:val="662"/>
    <w:link w:val="924"/>
    <w:uiPriority w:val="0"/>
    <w:qFormat/>
    <w:pPr>
      <w:jc w:val="left"/>
      <w:tabs>
        <w:tab w:val="center" w:pos="4153" w:leader="none"/>
        <w:tab w:val="right" w:pos="8306" w:leader="none"/>
      </w:tabs>
    </w:pPr>
    <w:rPr>
      <w:sz w:val="18"/>
      <w:szCs w:val="18"/>
    </w:rPr>
  </w:style>
  <w:style w:type="paragraph" w:styleId="696">
    <w:name w:val="Header"/>
    <w:basedOn w:val="662"/>
    <w:link w:val="925"/>
    <w:uiPriority w:val="0"/>
    <w:qFormat/>
    <w:pPr>
      <w:jc w:val="center"/>
      <w:tabs>
        <w:tab w:val="center" w:pos="4153" w:leader="none"/>
        <w:tab w:val="right" w:pos="8306" w:leader="none"/>
      </w:tabs>
      <w:pBdr>
        <w:bottom w:val="single" w:color="000000" w:sz="6" w:space="1"/>
      </w:pBdr>
    </w:pPr>
    <w:rPr>
      <w:sz w:val="18"/>
      <w:szCs w:val="18"/>
    </w:rPr>
  </w:style>
  <w:style w:type="paragraph" w:styleId="697">
    <w:name w:val="toc 1"/>
    <w:basedOn w:val="662"/>
    <w:next w:val="662"/>
    <w:uiPriority w:val="0"/>
    <w:semiHidden/>
    <w:qFormat/>
    <w:pPr>
      <w:jc w:val="left"/>
      <w:spacing w:before="120" w:after="120" w:line="400" w:lineRule="exact"/>
      <w:tabs>
        <w:tab w:val="right" w:pos="8720" w:leader="dot"/>
      </w:tabs>
    </w:pPr>
    <w:rPr>
      <w:rFonts w:ascii="宋体" w:hAnsi="宋体"/>
      <w:caps/>
      <w:sz w:val="24"/>
      <w:szCs w:val="24"/>
    </w:rPr>
  </w:style>
  <w:style w:type="paragraph" w:styleId="698">
    <w:name w:val="toc 4"/>
    <w:basedOn w:val="662"/>
    <w:next w:val="662"/>
    <w:uiPriority w:val="0"/>
    <w:semiHidden/>
    <w:qFormat/>
    <w:pPr>
      <w:ind w:left="630"/>
      <w:jc w:val="left"/>
    </w:pPr>
    <w:rPr>
      <w:szCs w:val="21"/>
    </w:rPr>
  </w:style>
  <w:style w:type="paragraph" w:styleId="699">
    <w:name w:val="Subtitle"/>
    <w:basedOn w:val="662"/>
    <w:next w:val="662"/>
    <w:link w:val="769"/>
    <w:uiPriority w:val="11"/>
    <w:qFormat/>
    <w:pPr>
      <w:spacing w:before="200" w:after="200"/>
    </w:pPr>
    <w:rPr>
      <w:sz w:val="24"/>
      <w:szCs w:val="24"/>
    </w:rPr>
  </w:style>
  <w:style w:type="paragraph" w:styleId="700">
    <w:name w:val="List"/>
    <w:basedOn w:val="662"/>
    <w:uiPriority w:val="0"/>
    <w:qFormat/>
    <w:pPr>
      <w:ind w:left="200" w:hanging="200"/>
    </w:pPr>
    <w:rPr>
      <w:szCs w:val="21"/>
    </w:rPr>
  </w:style>
  <w:style w:type="paragraph" w:styleId="701">
    <w:name w:val="footnote text"/>
    <w:basedOn w:val="662"/>
    <w:link w:val="902"/>
    <w:uiPriority w:val="99"/>
    <w:semiHidden/>
    <w:unhideWhenUsed/>
    <w:qFormat/>
    <w:pPr>
      <w:spacing w:after="40"/>
    </w:pPr>
    <w:rPr>
      <w:sz w:val="18"/>
    </w:rPr>
  </w:style>
  <w:style w:type="paragraph" w:styleId="702">
    <w:name w:val="toc 6"/>
    <w:basedOn w:val="662"/>
    <w:next w:val="662"/>
    <w:uiPriority w:val="0"/>
    <w:semiHidden/>
    <w:qFormat/>
    <w:pPr>
      <w:ind w:left="1050"/>
      <w:jc w:val="left"/>
    </w:pPr>
    <w:rPr>
      <w:szCs w:val="21"/>
    </w:rPr>
  </w:style>
  <w:style w:type="paragraph" w:styleId="703">
    <w:name w:val="Body Text Indent 3"/>
    <w:basedOn w:val="662"/>
    <w:link w:val="926"/>
    <w:uiPriority w:val="0"/>
    <w:qFormat/>
    <w:pPr>
      <w:ind w:left="645" w:firstLine="645"/>
    </w:pPr>
    <w:rPr>
      <w:rFonts w:ascii="Arial" w:hAnsi="Arial" w:eastAsia="仿宋_GB2312" w:cs="Arial"/>
      <w:color w:val="ffff00"/>
      <w:sz w:val="32"/>
      <w:szCs w:val="32"/>
    </w:rPr>
  </w:style>
  <w:style w:type="paragraph" w:styleId="704">
    <w:name w:val="table of figures"/>
    <w:basedOn w:val="662"/>
    <w:next w:val="662"/>
    <w:uiPriority w:val="0"/>
    <w:semiHidden/>
    <w:qFormat/>
    <w:pPr>
      <w:ind w:left="840" w:hanging="420"/>
    </w:pPr>
    <w:rPr>
      <w:szCs w:val="21"/>
    </w:rPr>
  </w:style>
  <w:style w:type="paragraph" w:styleId="705">
    <w:name w:val="toc 2"/>
    <w:basedOn w:val="662"/>
    <w:next w:val="662"/>
    <w:uiPriority w:val="0"/>
    <w:semiHidden/>
    <w:qFormat/>
    <w:pPr>
      <w:ind w:left="210"/>
      <w:jc w:val="left"/>
    </w:pPr>
    <w:rPr>
      <w:smallCaps/>
      <w:szCs w:val="24"/>
    </w:rPr>
  </w:style>
  <w:style w:type="paragraph" w:styleId="706">
    <w:name w:val="toc 9"/>
    <w:basedOn w:val="662"/>
    <w:next w:val="662"/>
    <w:uiPriority w:val="0"/>
    <w:semiHidden/>
    <w:qFormat/>
    <w:pPr>
      <w:ind w:left="1680"/>
      <w:jc w:val="left"/>
    </w:pPr>
    <w:rPr>
      <w:szCs w:val="21"/>
    </w:rPr>
  </w:style>
  <w:style w:type="paragraph" w:styleId="707">
    <w:name w:val="Body Text 2"/>
    <w:basedOn w:val="662"/>
    <w:link w:val="927"/>
    <w:uiPriority w:val="0"/>
    <w:qFormat/>
    <w:pPr>
      <w:jc w:val="center"/>
      <w:widowControl/>
    </w:pPr>
    <w:rPr>
      <w:rFonts w:ascii="楷体_GB2312" w:eastAsia="楷体_GB2312"/>
      <w:sz w:val="28"/>
      <w:szCs w:val="28"/>
    </w:rPr>
  </w:style>
  <w:style w:type="paragraph" w:styleId="708">
    <w:name w:val="Normal (Web)"/>
    <w:basedOn w:val="662"/>
    <w:uiPriority w:val="99"/>
    <w:qFormat/>
    <w:pPr>
      <w:jc w:val="left"/>
      <w:spacing w:before="100" w:beforeAutospacing="1" w:after="100" w:afterAutospacing="1"/>
      <w:widowControl/>
    </w:pPr>
    <w:rPr>
      <w:rFonts w:ascii="宋体" w:hAnsi="宋体" w:cs="宋体"/>
      <w:sz w:val="24"/>
      <w:szCs w:val="24"/>
    </w:rPr>
  </w:style>
  <w:style w:type="paragraph" w:styleId="709">
    <w:name w:val="index 1"/>
    <w:basedOn w:val="662"/>
    <w:next w:val="662"/>
    <w:uiPriority w:val="0"/>
    <w:semiHidden/>
    <w:qFormat/>
    <w:pPr>
      <w:spacing w:line="240" w:lineRule="atLeast"/>
    </w:pPr>
    <w:rPr>
      <w:b/>
      <w:bCs/>
      <w:szCs w:val="21"/>
    </w:rPr>
  </w:style>
  <w:style w:type="paragraph" w:styleId="710">
    <w:name w:val="Title"/>
    <w:basedOn w:val="662"/>
    <w:next w:val="662"/>
    <w:link w:val="768"/>
    <w:uiPriority w:val="10"/>
    <w:qFormat/>
    <w:pPr>
      <w:contextualSpacing/>
      <w:spacing w:before="300" w:after="200"/>
    </w:pPr>
    <w:rPr>
      <w:sz w:val="48"/>
      <w:szCs w:val="48"/>
    </w:rPr>
  </w:style>
  <w:style w:type="paragraph" w:styleId="711">
    <w:name w:val="annotation subject"/>
    <w:basedOn w:val="679"/>
    <w:next w:val="679"/>
    <w:link w:val="928"/>
    <w:uiPriority w:val="0"/>
    <w:semiHidden/>
    <w:qFormat/>
    <w:rPr>
      <w:b/>
      <w:bCs/>
      <w:szCs w:val="21"/>
    </w:rPr>
  </w:style>
  <w:style w:type="paragraph" w:styleId="712">
    <w:name w:val="Body Text First Indent"/>
    <w:basedOn w:val="662"/>
    <w:link w:val="929"/>
    <w:uiPriority w:val="0"/>
    <w:qFormat/>
    <w:pPr>
      <w:ind w:firstLine="200"/>
      <w:spacing w:line="360" w:lineRule="auto"/>
    </w:pPr>
    <w:rPr>
      <w:rFonts w:ascii="仿宋_GB2312" w:eastAsia="仿宋_GB2312"/>
      <w:sz w:val="30"/>
      <w:szCs w:val="30"/>
    </w:rPr>
  </w:style>
  <w:style w:type="paragraph" w:styleId="713">
    <w:name w:val="Body Text First Indent 2"/>
    <w:basedOn w:val="682"/>
    <w:link w:val="930"/>
    <w:uiPriority w:val="0"/>
    <w:qFormat/>
    <w:pPr>
      <w:ind w:left="0" w:firstLine="420"/>
      <w:spacing w:after="0" w:line="360" w:lineRule="auto"/>
    </w:pPr>
    <w:rPr>
      <w:rFonts w:ascii="宋体" w:hAnsi="宋体"/>
      <w:szCs w:val="20"/>
    </w:rPr>
  </w:style>
  <w:style w:type="table" w:styleId="714">
    <w:name w:val="Table Grid"/>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uiPriority w:val="0"/>
    <w:qFormat/>
    <w:rPr>
      <w:b/>
      <w:bCs/>
    </w:rPr>
  </w:style>
  <w:style w:type="character" w:styleId="716">
    <w:name w:val="endnote reference"/>
    <w:uiPriority w:val="99"/>
    <w:semiHidden/>
    <w:unhideWhenUsed/>
    <w:qFormat/>
    <w:rPr>
      <w:vertAlign w:val="superscript"/>
    </w:rPr>
  </w:style>
  <w:style w:type="character" w:styleId="717">
    <w:name w:val="page number"/>
    <w:uiPriority w:val="0"/>
    <w:qFormat/>
  </w:style>
  <w:style w:type="character" w:styleId="718">
    <w:name w:val="Hyperlink"/>
    <w:uiPriority w:val="0"/>
    <w:qFormat/>
    <w:rPr>
      <w:color w:val="0000ff"/>
      <w:u w:val="single"/>
    </w:rPr>
  </w:style>
  <w:style w:type="character" w:styleId="719">
    <w:name w:val="annotation reference"/>
    <w:uiPriority w:val="0"/>
    <w:semiHidden/>
    <w:qFormat/>
    <w:rPr>
      <w:sz w:val="21"/>
      <w:szCs w:val="21"/>
    </w:rPr>
  </w:style>
  <w:style w:type="character" w:styleId="720">
    <w:name w:val="footnote reference"/>
    <w:uiPriority w:val="99"/>
    <w:unhideWhenUsed/>
    <w:qFormat/>
    <w:rPr>
      <w:vertAlign w:val="superscript"/>
    </w:rPr>
  </w:style>
  <w:style w:type="table" w:styleId="721"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3"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5"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8"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9"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0" w:customStyle="1">
    <w:name w:val="TOC Heading"/>
    <w:uiPriority w:val="39"/>
    <w:unhideWhenUsed/>
    <w:qFormat/>
    <w:rPr>
      <w:rFonts w:hint="default" w:ascii="Times New Roman" w:hAnsi="Times New Roman" w:eastAsia="宋体" w:cs="Times New Roman"/>
    </w:rPr>
  </w:style>
  <w:style w:type="paragraph" w:styleId="741" w:customStyle="1">
    <w:name w:val="Heading 3"/>
    <w:basedOn w:val="662"/>
    <w:next w:val="662"/>
    <w:uiPriority w:val="0"/>
    <w:qFormat/>
    <w:pPr>
      <w:numPr>
        <w:ilvl w:val="2"/>
        <w:numId w:val="1"/>
      </w:numPr>
      <w:keepLines/>
      <w:keepNext/>
      <w:spacing w:before="260" w:after="260" w:line="416" w:lineRule="atLeast"/>
      <w:outlineLvl w:val="2"/>
    </w:pPr>
    <w:rPr>
      <w:b/>
      <w:bCs/>
      <w:sz w:val="32"/>
      <w:szCs w:val="32"/>
    </w:rPr>
  </w:style>
  <w:style w:type="paragraph" w:styleId="742"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743" w:customStyle="1">
    <w:name w:val="正文1"/>
    <w:basedOn w:val="744"/>
    <w:uiPriority w:val="0"/>
    <w:qFormat/>
    <w:pPr>
      <w:ind w:firstLine="420"/>
      <w:spacing w:line="400" w:lineRule="exact"/>
    </w:pPr>
    <w:rPr>
      <w:rFonts w:ascii="宋体" w:hAnsi="宋体"/>
      <w:szCs w:val="21"/>
    </w:rPr>
  </w:style>
  <w:style w:type="paragraph" w:styleId="744" w:customStyle="1">
    <w:name w:val="正文11"/>
    <w:next w:val="745"/>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45" w:customStyle="1">
    <w:name w:val="文本块1"/>
    <w:basedOn w:val="744"/>
    <w:uiPriority w:val="0"/>
    <w:qFormat/>
    <w:pPr>
      <w:ind w:left="256" w:right="6" w:firstLine="624"/>
    </w:pPr>
    <w:rPr>
      <w:rFonts w:eastAsia="仿宋"/>
      <w:sz w:val="28"/>
    </w:rPr>
  </w:style>
  <w:style w:type="paragraph" w:styleId="746" w:customStyle="1">
    <w:name w:val="样式 标题 3 + (中文) 黑体 小四 非加粗 段前: 7.8 磅 段后: 0 磅 行距: 固定值 20 磅_0"/>
    <w:basedOn w:val="747"/>
    <w:uiPriority w:val="0"/>
    <w:qFormat/>
    <w:pPr>
      <w:spacing w:before="0" w:after="0" w:line="400" w:lineRule="exact"/>
    </w:pPr>
    <w:rPr>
      <w:rFonts w:ascii="Times New Roman" w:hAnsi="Times New Roman" w:eastAsia="黑体" w:cs="宋体"/>
      <w:b w:val="0"/>
      <w:bCs w:val="0"/>
      <w:sz w:val="21"/>
      <w:szCs w:val="20"/>
    </w:rPr>
  </w:style>
  <w:style w:type="paragraph" w:styleId="747" w:customStyle="1">
    <w:name w:val="标题 3_0"/>
    <w:basedOn w:val="748"/>
    <w:next w:val="749"/>
    <w:uiPriority w:val="0"/>
    <w:qFormat/>
    <w:pPr>
      <w:keepLines/>
      <w:keepNext/>
      <w:spacing w:before="260" w:after="260" w:line="416" w:lineRule="auto"/>
      <w:outlineLvl w:val="2"/>
    </w:pPr>
    <w:rPr>
      <w:rFonts w:eastAsia="宋体"/>
      <w:b/>
      <w:bCs/>
      <w:sz w:val="32"/>
      <w:szCs w:val="32"/>
    </w:rPr>
  </w:style>
  <w:style w:type="paragraph" w:styleId="748" w:customStyle="1">
    <w:name w:val="正文_0"/>
    <w:next w:val="713"/>
    <w:uiPriority w:val="0"/>
    <w:qFormat/>
    <w:pPr>
      <w:jc w:val="both"/>
      <w:widowControl w:val="off"/>
    </w:pPr>
    <w:rPr>
      <w:rFonts w:hint="default" w:ascii="Calibri" w:hAnsi="Calibri" w:eastAsia="仿宋_GB2312" w:cs="Times New Roman"/>
      <w:sz w:val="21"/>
      <w:szCs w:val="22"/>
      <w:lang w:val="en-US" w:eastAsia="zh-CN" w:bidi="ar-SA"/>
    </w:rPr>
  </w:style>
  <w:style w:type="paragraph" w:styleId="749" w:customStyle="1">
    <w:name w:val="正文_1"/>
    <w:next w:val="713"/>
    <w:uiPriority w:val="0"/>
    <w:qFormat/>
    <w:pPr>
      <w:jc w:val="both"/>
      <w:widowControl w:val="off"/>
    </w:pPr>
    <w:rPr>
      <w:rFonts w:hint="default" w:ascii="Calibri" w:hAnsi="Calibri" w:eastAsia="仿宋_GB2312" w:cs="Times New Roman"/>
      <w:sz w:val="21"/>
      <w:szCs w:val="22"/>
      <w:lang w:val="en-US" w:eastAsia="zh-CN" w:bidi="ar-SA"/>
    </w:rPr>
  </w:style>
  <w:style w:type="character" w:styleId="750" w:customStyle="1">
    <w:name w:val="Title Char"/>
    <w:basedOn w:val="672"/>
    <w:uiPriority w:val="10"/>
    <w:qFormat/>
    <w:rPr>
      <w:sz w:val="48"/>
      <w:szCs w:val="48"/>
    </w:rPr>
  </w:style>
  <w:style w:type="character" w:styleId="751" w:customStyle="1">
    <w:name w:val="Subtitle Char"/>
    <w:basedOn w:val="672"/>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标题1"/>
    <w:uiPriority w:val="39"/>
    <w:unhideWhenUsed/>
    <w:qFormat/>
    <w:rPr>
      <w:rFonts w:hint="default" w:ascii="Times New Roman" w:hAnsi="Times New Roman" w:eastAsia="宋体" w:cs="Times New Roman"/>
      <w:lang w:val="en-US" w:eastAsia="zh-CN" w:bidi="ar-SA"/>
    </w:rPr>
  </w:style>
  <w:style w:type="character" w:styleId="757" w:customStyle="1">
    <w:name w:val="Heading 1 Char"/>
    <w:uiPriority w:val="9"/>
    <w:qFormat/>
    <w:rPr>
      <w:rFonts w:ascii="Arial" w:hAnsi="Arial" w:eastAsia="Arial" w:cs="Arial"/>
      <w:sz w:val="40"/>
      <w:szCs w:val="40"/>
    </w:rPr>
  </w:style>
  <w:style w:type="character" w:styleId="758" w:customStyle="1">
    <w:name w:val="Heading 2 Char"/>
    <w:uiPriority w:val="9"/>
    <w:qFormat/>
    <w:rPr>
      <w:rFonts w:ascii="Arial" w:hAnsi="Arial" w:eastAsia="Arial" w:cs="Arial"/>
      <w:sz w:val="34"/>
    </w:rPr>
  </w:style>
  <w:style w:type="character" w:styleId="759" w:customStyle="1">
    <w:name w:val="Heading 3 Char"/>
    <w:uiPriority w:val="9"/>
    <w:qFormat/>
    <w:rPr>
      <w:rFonts w:ascii="Arial" w:hAnsi="Arial" w:eastAsia="Arial" w:cs="Arial"/>
      <w:sz w:val="30"/>
      <w:szCs w:val="30"/>
    </w:rPr>
  </w:style>
  <w:style w:type="character" w:styleId="760" w:customStyle="1">
    <w:name w:val="Heading 4 Char"/>
    <w:uiPriority w:val="9"/>
    <w:qFormat/>
    <w:rPr>
      <w:rFonts w:ascii="Arial" w:hAnsi="Arial" w:eastAsia="Arial" w:cs="Arial"/>
      <w:b/>
      <w:bCs/>
      <w:sz w:val="26"/>
      <w:szCs w:val="26"/>
    </w:rPr>
  </w:style>
  <w:style w:type="character" w:styleId="761" w:customStyle="1">
    <w:name w:val="Heading 5 Char"/>
    <w:uiPriority w:val="9"/>
    <w:qFormat/>
    <w:rPr>
      <w:rFonts w:ascii="Arial" w:hAnsi="Arial" w:eastAsia="Arial" w:cs="Arial"/>
      <w:b/>
      <w:bCs/>
      <w:sz w:val="24"/>
      <w:szCs w:val="24"/>
    </w:rPr>
  </w:style>
  <w:style w:type="character" w:styleId="762" w:customStyle="1">
    <w:name w:val="Heading 6 Char"/>
    <w:uiPriority w:val="9"/>
    <w:qFormat/>
    <w:rPr>
      <w:rFonts w:ascii="Arial" w:hAnsi="Arial" w:eastAsia="Arial" w:cs="Arial"/>
      <w:b/>
      <w:bCs/>
      <w:sz w:val="22"/>
      <w:szCs w:val="22"/>
    </w:rPr>
  </w:style>
  <w:style w:type="character" w:styleId="763" w:customStyle="1">
    <w:name w:val="Heading 7 Char"/>
    <w:uiPriority w:val="9"/>
    <w:qFormat/>
    <w:rPr>
      <w:rFonts w:ascii="Arial" w:hAnsi="Arial" w:eastAsia="Arial" w:cs="Arial"/>
      <w:b/>
      <w:bCs/>
      <w:i/>
      <w:iCs/>
      <w:sz w:val="22"/>
      <w:szCs w:val="22"/>
    </w:rPr>
  </w:style>
  <w:style w:type="character" w:styleId="764" w:customStyle="1">
    <w:name w:val="Heading 8 Char"/>
    <w:uiPriority w:val="9"/>
    <w:qFormat/>
    <w:rPr>
      <w:rFonts w:ascii="Arial" w:hAnsi="Arial" w:eastAsia="Arial" w:cs="Arial"/>
      <w:i/>
      <w:iCs/>
      <w:sz w:val="22"/>
      <w:szCs w:val="22"/>
    </w:rPr>
  </w:style>
  <w:style w:type="character" w:styleId="765" w:customStyle="1">
    <w:name w:val="Heading 9 Char"/>
    <w:uiPriority w:val="9"/>
    <w:qFormat/>
    <w:rPr>
      <w:rFonts w:ascii="Arial" w:hAnsi="Arial" w:eastAsia="Arial" w:cs="Arial"/>
      <w:i/>
      <w:iCs/>
      <w:sz w:val="21"/>
      <w:szCs w:val="21"/>
    </w:rPr>
  </w:style>
  <w:style w:type="paragraph" w:styleId="766">
    <w:name w:val="List Paragraph"/>
    <w:basedOn w:val="662"/>
    <w:uiPriority w:val="0"/>
    <w:qFormat/>
    <w:pPr>
      <w:contextualSpacing/>
      <w:ind w:left="720"/>
      <w:jc w:val="left"/>
      <w:widowControl/>
    </w:pPr>
    <w:rPr>
      <w:rFonts w:ascii="Calibri" w:hAnsi="Calibri"/>
      <w:sz w:val="24"/>
      <w:szCs w:val="24"/>
      <w:lang w:eastAsia="en-US" w:bidi="en-US"/>
    </w:rPr>
  </w:style>
  <w:style w:type="paragraph" w:styleId="76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68" w:customStyle="1">
    <w:name w:val="标题 字符"/>
    <w:link w:val="710"/>
    <w:uiPriority w:val="10"/>
    <w:qFormat/>
    <w:rPr>
      <w:sz w:val="48"/>
      <w:szCs w:val="48"/>
    </w:rPr>
  </w:style>
  <w:style w:type="character" w:styleId="769" w:customStyle="1">
    <w:name w:val="副标题 字符"/>
    <w:link w:val="699"/>
    <w:uiPriority w:val="11"/>
    <w:qFormat/>
    <w:rPr>
      <w:sz w:val="24"/>
      <w:szCs w:val="24"/>
    </w:rPr>
  </w:style>
  <w:style w:type="paragraph" w:styleId="770">
    <w:name w:val="Quote"/>
    <w:basedOn w:val="662"/>
    <w:next w:val="662"/>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662"/>
    <w:next w:val="662"/>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Header Char"/>
    <w:uiPriority w:val="99"/>
    <w:qFormat/>
  </w:style>
  <w:style w:type="character" w:styleId="775" w:customStyle="1">
    <w:name w:val="Footer Char"/>
    <w:uiPriority w:val="99"/>
    <w:qFormat/>
  </w:style>
  <w:style w:type="character" w:styleId="776" w:customStyle="1">
    <w:name w:val="Caption Char"/>
    <w:uiPriority w:val="99"/>
    <w:qFormat/>
  </w:style>
  <w:style w:type="table" w:styleId="7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0" w:customStyle="1">
    <w:name w:val="无格式表格 31"/>
    <w:uiPriority w:val="99"/>
    <w:qFormat/>
    <w:tblPr>
      <w:tblCellMar>
        <w:left w:w="0" w:type="dxa"/>
        <w:top w:w="0" w:type="dxa"/>
        <w:right w:w="0" w:type="dxa"/>
        <w:bottom w:w="0" w:type="dxa"/>
      </w:tblCellMar>
    </w:tblPr>
  </w:style>
  <w:style w:type="table" w:styleId="781" w:customStyle="1">
    <w:name w:val="无格式表格 41"/>
    <w:uiPriority w:val="99"/>
    <w:qFormat/>
    <w:tblPr>
      <w:tblCellMar>
        <w:left w:w="0" w:type="dxa"/>
        <w:top w:w="0" w:type="dxa"/>
        <w:right w:w="0" w:type="dxa"/>
        <w:bottom w:w="0" w:type="dxa"/>
      </w:tblCellMar>
    </w:tblPr>
  </w:style>
  <w:style w:type="table" w:styleId="782" w:customStyle="1">
    <w:name w:val="无格式表格 51"/>
    <w:uiPriority w:val="99"/>
    <w:qFormat/>
    <w:tblPr>
      <w:tblCellMar>
        <w:left w:w="0" w:type="dxa"/>
        <w:top w:w="0" w:type="dxa"/>
        <w:right w:w="0" w:type="dxa"/>
        <w:bottom w:w="0" w:type="dxa"/>
      </w:tblCellMar>
    </w:tblPr>
  </w:style>
  <w:style w:type="table" w:styleId="78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清单表 1 浅色1"/>
    <w:uiPriority w:val="99"/>
    <w:qFormat/>
    <w:tblPr>
      <w:tblCellMar>
        <w:left w:w="0" w:type="dxa"/>
        <w:top w:w="0" w:type="dxa"/>
        <w:right w:w="0" w:type="dxa"/>
        <w:bottom w:w="0" w:type="dxa"/>
      </w:tblCellMar>
    </w:tblPr>
  </w:style>
  <w:style w:type="table" w:styleId="833" w:customStyle="1">
    <w:name w:val="List Table 1 Light - Accent 1"/>
    <w:uiPriority w:val="99"/>
    <w:qFormat/>
    <w:tblPr>
      <w:tblCellMar>
        <w:left w:w="0" w:type="dxa"/>
        <w:top w:w="0" w:type="dxa"/>
        <w:right w:w="0" w:type="dxa"/>
        <w:bottom w:w="0" w:type="dxa"/>
      </w:tblCellMar>
    </w:tblPr>
  </w:style>
  <w:style w:type="table" w:styleId="834" w:customStyle="1">
    <w:name w:val="List Table 1 Light - Accent 2"/>
    <w:uiPriority w:val="99"/>
    <w:qFormat/>
    <w:tblPr>
      <w:tblCellMar>
        <w:left w:w="0" w:type="dxa"/>
        <w:top w:w="0" w:type="dxa"/>
        <w:right w:w="0" w:type="dxa"/>
        <w:bottom w:w="0" w:type="dxa"/>
      </w:tblCellMar>
    </w:tbl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1 Light - Accent 4"/>
    <w:uiPriority w:val="99"/>
    <w:qFormat/>
    <w:tblPr>
      <w:tblCellMar>
        <w:left w:w="0" w:type="dxa"/>
        <w:top w:w="0" w:type="dxa"/>
        <w:right w:w="0" w:type="dxa"/>
        <w:bottom w:w="0" w:type="dxa"/>
      </w:tblCellMar>
    </w:tblPr>
  </w:style>
  <w:style w:type="table" w:styleId="837" w:customStyle="1">
    <w:name w:val="List Table 1 Light - Accent 5"/>
    <w:uiPriority w:val="99"/>
    <w:qFormat/>
    <w:tblPr>
      <w:tblCellMar>
        <w:left w:w="0" w:type="dxa"/>
        <w:top w:w="0" w:type="dxa"/>
        <w:right w:w="0" w:type="dxa"/>
        <w:bottom w:w="0" w:type="dxa"/>
      </w:tblCellMar>
    </w:tblPr>
  </w:style>
  <w:style w:type="table" w:styleId="838" w:customStyle="1">
    <w:name w:val="List Table 1 Light - Accent 6"/>
    <w:uiPriority w:val="99"/>
    <w:qFormat/>
    <w:tblPr>
      <w:tblCellMar>
        <w:left w:w="0" w:type="dxa"/>
        <w:top w:w="0" w:type="dxa"/>
        <w:right w:w="0" w:type="dxa"/>
        <w:bottom w:w="0" w:type="dxa"/>
      </w:tblCellMar>
    </w:tblPr>
  </w:style>
  <w:style w:type="table" w:styleId="83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1" w:customStyle="1">
    <w:name w:val="Lined - Accent"/>
    <w:uiPriority w:val="99"/>
    <w:qFormat/>
    <w:rPr>
      <w:color w:val="404040"/>
    </w:rPr>
    <w:tblPr>
      <w:tblCellMar>
        <w:left w:w="0" w:type="dxa"/>
        <w:top w:w="0" w:type="dxa"/>
        <w:right w:w="0" w:type="dxa"/>
        <w:bottom w:w="0" w:type="dxa"/>
      </w:tblCellMar>
    </w:tblPr>
  </w:style>
  <w:style w:type="table" w:styleId="882" w:customStyle="1">
    <w:name w:val="Lined - Accent 1"/>
    <w:uiPriority w:val="99"/>
    <w:qFormat/>
    <w:rPr>
      <w:color w:val="404040"/>
    </w:rPr>
    <w:tblPr>
      <w:tblCellMar>
        <w:left w:w="0" w:type="dxa"/>
        <w:top w:w="0" w:type="dxa"/>
        <w:right w:w="0" w:type="dxa"/>
        <w:bottom w:w="0" w:type="dxa"/>
      </w:tblCellMar>
    </w:tblPr>
  </w:style>
  <w:style w:type="table" w:styleId="883" w:customStyle="1">
    <w:name w:val="Lined - Accent 2"/>
    <w:uiPriority w:val="99"/>
    <w:qFormat/>
    <w:rPr>
      <w:color w:val="404040"/>
    </w:rPr>
    <w:tblPr>
      <w:tblCellMar>
        <w:left w:w="0" w:type="dxa"/>
        <w:top w:w="0" w:type="dxa"/>
        <w:right w:w="0" w:type="dxa"/>
        <w:bottom w:w="0" w:type="dxa"/>
      </w:tblCellMar>
    </w:tblPr>
  </w:style>
  <w:style w:type="table" w:styleId="884" w:customStyle="1">
    <w:name w:val="Lined - Accent 3"/>
    <w:uiPriority w:val="99"/>
    <w:qFormat/>
    <w:rPr>
      <w:color w:val="404040"/>
    </w:rPr>
    <w:tblPr>
      <w:tblCellMar>
        <w:left w:w="0" w:type="dxa"/>
        <w:top w:w="0" w:type="dxa"/>
        <w:right w:w="0" w:type="dxa"/>
        <w:bottom w:w="0" w:type="dxa"/>
      </w:tblCellMar>
    </w:tblPr>
  </w:style>
  <w:style w:type="table" w:styleId="885" w:customStyle="1">
    <w:name w:val="Lined - Accent 4"/>
    <w:uiPriority w:val="99"/>
    <w:qFormat/>
    <w:rPr>
      <w:color w:val="404040"/>
    </w:rPr>
    <w:tblPr>
      <w:tblCellMar>
        <w:left w:w="0" w:type="dxa"/>
        <w:top w:w="0" w:type="dxa"/>
        <w:right w:w="0" w:type="dxa"/>
        <w:bottom w:w="0" w:type="dxa"/>
      </w:tblCellMar>
    </w:tblPr>
  </w:style>
  <w:style w:type="table" w:styleId="886" w:customStyle="1">
    <w:name w:val="Lined - Accent 5"/>
    <w:uiPriority w:val="99"/>
    <w:qFormat/>
    <w:rPr>
      <w:color w:val="404040"/>
    </w:rPr>
    <w:tblPr>
      <w:tblCellMar>
        <w:left w:w="0" w:type="dxa"/>
        <w:top w:w="0" w:type="dxa"/>
        <w:right w:w="0" w:type="dxa"/>
        <w:bottom w:w="0" w:type="dxa"/>
      </w:tblCellMar>
    </w:tblPr>
  </w:style>
  <w:style w:type="table" w:styleId="887" w:customStyle="1">
    <w:name w:val="Lined - Accent 6"/>
    <w:uiPriority w:val="99"/>
    <w:qFormat/>
    <w:rPr>
      <w:color w:val="404040"/>
    </w:rPr>
    <w:tblPr>
      <w:tblCellMar>
        <w:left w:w="0" w:type="dxa"/>
        <w:top w:w="0" w:type="dxa"/>
        <w:right w:w="0" w:type="dxa"/>
        <w:bottom w:w="0" w:type="dxa"/>
      </w:tblCellMar>
    </w:tblPr>
  </w:style>
  <w:style w:type="table" w:styleId="8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2" w:customStyle="1">
    <w:name w:val="脚注文本 字符"/>
    <w:link w:val="701"/>
    <w:uiPriority w:val="99"/>
    <w:qFormat/>
    <w:rPr>
      <w:sz w:val="18"/>
    </w:rPr>
  </w:style>
  <w:style w:type="character" w:styleId="903" w:customStyle="1">
    <w:name w:val="尾注文本 字符"/>
    <w:link w:val="693"/>
    <w:uiPriority w:val="99"/>
    <w:qFormat/>
    <w:rPr>
      <w:sz w:val="20"/>
    </w:rPr>
  </w:style>
  <w:style w:type="paragraph" w:styleId="904" w:customStyle="1">
    <w:name w:val="TOC 标题11"/>
    <w:uiPriority w:val="39"/>
    <w:unhideWhenUsed/>
    <w:qFormat/>
    <w:rPr>
      <w:rFonts w:hint="default" w:ascii="Times New Roman" w:hAnsi="Times New Roman" w:eastAsia="宋体" w:cs="Times New Roman"/>
      <w:lang w:val="en-US" w:eastAsia="zh-CN" w:bidi="ar-SA"/>
    </w:rPr>
  </w:style>
  <w:style w:type="character" w:styleId="905" w:customStyle="1">
    <w:name w:val="标题 1 字符"/>
    <w:link w:val="663"/>
    <w:uiPriority w:val="0"/>
    <w:qFormat/>
    <w:rPr>
      <w:rFonts w:ascii="楷体_GB2312" w:hAnsi="Times New Roman" w:eastAsia="楷体_GB2312" w:cs="Times New Roman"/>
      <w:sz w:val="28"/>
      <w:szCs w:val="28"/>
    </w:rPr>
  </w:style>
  <w:style w:type="character" w:styleId="906" w:customStyle="1">
    <w:name w:val="标题 2 字符"/>
    <w:link w:val="664"/>
    <w:uiPriority w:val="0"/>
    <w:qFormat/>
    <w:rPr>
      <w:rFonts w:ascii="Arial" w:hAnsi="Arial" w:eastAsia="幼圆" w:cs="Arial"/>
      <w:b/>
      <w:bCs/>
      <w:sz w:val="44"/>
      <w:szCs w:val="44"/>
    </w:rPr>
  </w:style>
  <w:style w:type="character" w:styleId="907" w:customStyle="1">
    <w:name w:val="正文缩进 字符"/>
    <w:link w:val="674"/>
    <w:uiPriority w:val="0"/>
    <w:qFormat/>
    <w:rPr>
      <w:szCs w:val="21"/>
    </w:rPr>
  </w:style>
  <w:style w:type="character" w:styleId="908" w:customStyle="1">
    <w:name w:val="标题 3 字符"/>
    <w:link w:val="665"/>
    <w:uiPriority w:val="0"/>
    <w:qFormat/>
    <w:rPr>
      <w:rFonts w:ascii="Times New Roman" w:hAnsi="Times New Roman" w:eastAsia="宋体" w:cs="Times New Roman"/>
      <w:b/>
      <w:bCs/>
      <w:sz w:val="32"/>
      <w:szCs w:val="32"/>
    </w:rPr>
  </w:style>
  <w:style w:type="character" w:styleId="909" w:customStyle="1">
    <w:name w:val="标题 4 字符"/>
    <w:link w:val="666"/>
    <w:uiPriority w:val="0"/>
    <w:qFormat/>
    <w:rPr>
      <w:rFonts w:ascii="Arial" w:hAnsi="Arial" w:eastAsia="黑体" w:cs="Arial"/>
      <w:b/>
      <w:bCs/>
      <w:sz w:val="28"/>
      <w:szCs w:val="28"/>
    </w:rPr>
  </w:style>
  <w:style w:type="character" w:styleId="910" w:customStyle="1">
    <w:name w:val="标题 5 字符"/>
    <w:link w:val="667"/>
    <w:uiPriority w:val="0"/>
    <w:qFormat/>
    <w:rPr>
      <w:rFonts w:ascii="宋体" w:hAnsi="Times New Roman" w:eastAsia="宋体" w:cs="Times New Roman"/>
      <w:color w:val="000000"/>
      <w:sz w:val="28"/>
      <w:szCs w:val="28"/>
    </w:rPr>
  </w:style>
  <w:style w:type="character" w:styleId="911" w:customStyle="1">
    <w:name w:val="标题 6 字符"/>
    <w:link w:val="668"/>
    <w:uiPriority w:val="0"/>
    <w:qFormat/>
    <w:rPr>
      <w:rFonts w:ascii="Arial" w:hAnsi="Arial" w:eastAsia="黑体" w:cs="Times New Roman"/>
      <w:b/>
      <w:bCs/>
      <w:sz w:val="24"/>
      <w:szCs w:val="24"/>
    </w:rPr>
  </w:style>
  <w:style w:type="character" w:styleId="912" w:customStyle="1">
    <w:name w:val="标题 7 字符"/>
    <w:link w:val="669"/>
    <w:uiPriority w:val="0"/>
    <w:qFormat/>
    <w:rPr>
      <w:rFonts w:ascii="Times New Roman" w:hAnsi="Times New Roman" w:eastAsia="宋体" w:cs="Times New Roman"/>
      <w:b/>
      <w:bCs/>
      <w:sz w:val="24"/>
      <w:szCs w:val="24"/>
    </w:rPr>
  </w:style>
  <w:style w:type="character" w:styleId="913" w:customStyle="1">
    <w:name w:val="标题 8 字符"/>
    <w:link w:val="670"/>
    <w:uiPriority w:val="0"/>
    <w:qFormat/>
    <w:rPr>
      <w:rFonts w:ascii="Arial" w:hAnsi="Arial" w:eastAsia="黑体" w:cs="Times New Roman"/>
      <w:sz w:val="24"/>
      <w:szCs w:val="24"/>
    </w:rPr>
  </w:style>
  <w:style w:type="character" w:styleId="914" w:customStyle="1">
    <w:name w:val="标题 9 字符"/>
    <w:link w:val="671"/>
    <w:uiPriority w:val="0"/>
    <w:qFormat/>
    <w:rPr>
      <w:rFonts w:ascii="Arial" w:hAnsi="Arial" w:eastAsia="黑体" w:cs="Times New Roman"/>
      <w:szCs w:val="21"/>
    </w:rPr>
  </w:style>
  <w:style w:type="character" w:styleId="915" w:customStyle="1">
    <w:name w:val="文档结构图 字符"/>
    <w:link w:val="678"/>
    <w:uiPriority w:val="0"/>
    <w:semiHidden/>
    <w:qFormat/>
    <w:rPr>
      <w:rFonts w:ascii="Times New Roman" w:hAnsi="Times New Roman" w:eastAsia="宋体" w:cs="Times New Roman"/>
      <w:szCs w:val="21"/>
      <w:shd w:val="clear" w:color="auto" w:fill="000080"/>
    </w:rPr>
  </w:style>
  <w:style w:type="character" w:styleId="916" w:customStyle="1">
    <w:name w:val="批注文字 字符"/>
    <w:basedOn w:val="672"/>
    <w:link w:val="679"/>
    <w:uiPriority w:val="99"/>
    <w:semiHidden/>
    <w:qFormat/>
  </w:style>
  <w:style w:type="character" w:styleId="917" w:customStyle="1">
    <w:name w:val="正文文本 3 字符"/>
    <w:link w:val="680"/>
    <w:uiPriority w:val="0"/>
    <w:qFormat/>
    <w:rPr>
      <w:rFonts w:ascii="仿宋_GB2312" w:hAnsi="Arial" w:eastAsia="仿宋_GB2312" w:cs="Times New Roman"/>
      <w:sz w:val="32"/>
      <w:szCs w:val="32"/>
    </w:rPr>
  </w:style>
  <w:style w:type="character" w:styleId="918" w:customStyle="1">
    <w:name w:val="正文文本 字符"/>
    <w:link w:val="681"/>
    <w:uiPriority w:val="0"/>
    <w:qFormat/>
    <w:rPr>
      <w:rFonts w:ascii="楷体_GB2312" w:hAnsi="Arial" w:eastAsia="楷体_GB2312" w:cs="Times New Roman"/>
      <w:sz w:val="28"/>
      <w:szCs w:val="28"/>
    </w:rPr>
  </w:style>
  <w:style w:type="character" w:styleId="919" w:customStyle="1">
    <w:name w:val="正文文本缩进 字符"/>
    <w:basedOn w:val="672"/>
    <w:link w:val="682"/>
    <w:uiPriority w:val="99"/>
    <w:semiHidden/>
    <w:qFormat/>
  </w:style>
  <w:style w:type="character" w:styleId="920" w:customStyle="1">
    <w:name w:val="纯文本 字符"/>
    <w:link w:val="689"/>
    <w:uiPriority w:val="0"/>
    <w:qFormat/>
    <w:rPr>
      <w:rFonts w:ascii="宋体" w:hAnsi="Courier New" w:eastAsia="宋体" w:cs="Courier New"/>
      <w:szCs w:val="21"/>
    </w:rPr>
  </w:style>
  <w:style w:type="character" w:styleId="921" w:customStyle="1">
    <w:name w:val="日期 字符"/>
    <w:link w:val="691"/>
    <w:uiPriority w:val="0"/>
    <w:qFormat/>
    <w:rPr>
      <w:rFonts w:ascii="Times New Roman" w:hAnsi="Times New Roman" w:eastAsia="宋体" w:cs="Times New Roman"/>
      <w:sz w:val="24"/>
      <w:szCs w:val="24"/>
    </w:rPr>
  </w:style>
  <w:style w:type="character" w:styleId="922" w:customStyle="1">
    <w:name w:val="正文文本缩进 2 字符"/>
    <w:link w:val="692"/>
    <w:uiPriority w:val="0"/>
    <w:qFormat/>
    <w:rPr>
      <w:rFonts w:ascii="Arial" w:hAnsi="Arial" w:eastAsia="仿宋_GB2312" w:cs="Arial"/>
      <w:sz w:val="32"/>
      <w:szCs w:val="32"/>
    </w:rPr>
  </w:style>
  <w:style w:type="character" w:styleId="923" w:customStyle="1">
    <w:name w:val="批注框文本 字符"/>
    <w:link w:val="694"/>
    <w:uiPriority w:val="0"/>
    <w:semiHidden/>
    <w:qFormat/>
    <w:rPr>
      <w:rFonts w:ascii="Times New Roman" w:hAnsi="Times New Roman" w:eastAsia="宋体" w:cs="Times New Roman"/>
      <w:sz w:val="18"/>
      <w:szCs w:val="18"/>
    </w:rPr>
  </w:style>
  <w:style w:type="character" w:styleId="924" w:customStyle="1">
    <w:name w:val="页脚 字符"/>
    <w:link w:val="695"/>
    <w:uiPriority w:val="0"/>
    <w:qFormat/>
    <w:rPr>
      <w:rFonts w:ascii="Times New Roman" w:hAnsi="Times New Roman" w:eastAsia="宋体" w:cs="Times New Roman"/>
      <w:sz w:val="18"/>
      <w:szCs w:val="18"/>
    </w:rPr>
  </w:style>
  <w:style w:type="character" w:styleId="925" w:customStyle="1">
    <w:name w:val="页眉 字符"/>
    <w:link w:val="696"/>
    <w:uiPriority w:val="0"/>
    <w:qFormat/>
    <w:rPr>
      <w:rFonts w:ascii="Times New Roman" w:hAnsi="Times New Roman" w:eastAsia="宋体" w:cs="Times New Roman"/>
      <w:sz w:val="18"/>
      <w:szCs w:val="18"/>
    </w:rPr>
  </w:style>
  <w:style w:type="character" w:styleId="926" w:customStyle="1">
    <w:name w:val="正文文本缩进 3 字符"/>
    <w:link w:val="703"/>
    <w:uiPriority w:val="0"/>
    <w:qFormat/>
    <w:rPr>
      <w:rFonts w:ascii="Arial" w:hAnsi="Arial" w:eastAsia="仿宋_GB2312" w:cs="Arial"/>
      <w:color w:val="ffff00"/>
      <w:sz w:val="32"/>
      <w:szCs w:val="32"/>
    </w:rPr>
  </w:style>
  <w:style w:type="character" w:styleId="927" w:customStyle="1">
    <w:name w:val="正文文本 2 字符"/>
    <w:link w:val="707"/>
    <w:uiPriority w:val="0"/>
    <w:qFormat/>
    <w:rPr>
      <w:rFonts w:ascii="楷体_GB2312" w:hAnsi="Times New Roman" w:eastAsia="楷体_GB2312" w:cs="Times New Roman"/>
      <w:sz w:val="28"/>
      <w:szCs w:val="28"/>
    </w:rPr>
  </w:style>
  <w:style w:type="character" w:styleId="928" w:customStyle="1">
    <w:name w:val="批注主题 字符"/>
    <w:link w:val="711"/>
    <w:uiPriority w:val="0"/>
    <w:semiHidden/>
    <w:qFormat/>
    <w:rPr>
      <w:rFonts w:ascii="Times New Roman" w:hAnsi="Times New Roman" w:eastAsia="宋体" w:cs="Times New Roman"/>
      <w:b/>
      <w:bCs/>
      <w:szCs w:val="21"/>
    </w:rPr>
  </w:style>
  <w:style w:type="character" w:styleId="929" w:customStyle="1">
    <w:name w:val="正文文本首行缩进 字符"/>
    <w:link w:val="712"/>
    <w:uiPriority w:val="0"/>
    <w:qFormat/>
    <w:rPr>
      <w:rFonts w:ascii="仿宋_GB2312" w:hAnsi="Times New Roman" w:eastAsia="仿宋_GB2312" w:cs="Times New Roman"/>
      <w:sz w:val="30"/>
      <w:szCs w:val="30"/>
    </w:rPr>
  </w:style>
  <w:style w:type="character" w:styleId="930" w:customStyle="1">
    <w:name w:val="正文文本首行缩进 2 字符"/>
    <w:link w:val="713"/>
    <w:uiPriority w:val="0"/>
    <w:qFormat/>
    <w:rPr>
      <w:rFonts w:ascii="宋体" w:hAnsi="宋体" w:eastAsia="宋体" w:cs="Times New Roman"/>
      <w:szCs w:val="20"/>
    </w:rPr>
  </w:style>
  <w:style w:type="character" w:styleId="931" w:customStyle="1">
    <w:name w:val="已访问的超链接1"/>
    <w:uiPriority w:val="0"/>
    <w:qFormat/>
    <w:rPr>
      <w:color w:val="800080"/>
      <w:u w:val="single"/>
    </w:rPr>
  </w:style>
  <w:style w:type="character" w:styleId="932" w:customStyle="1">
    <w:name w:val="font5 Char"/>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rPr>
  </w:style>
  <w:style w:type="paragraph" w:styleId="934" w:customStyle="1">
    <w:name w:val="二级目录"/>
    <w:next w:val="662"/>
    <w:link w:val="9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662"/>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662"/>
    <w:next w:val="681"/>
    <w:uiPriority w:val="0"/>
    <w:qFormat/>
    <w:pPr>
      <w:spacing w:after="120"/>
    </w:pPr>
    <w:rPr>
      <w:rFonts w:ascii="宋体" w:hAnsi="Arial"/>
      <w:bCs/>
      <w:iCs/>
      <w:szCs w:val="24"/>
    </w:rPr>
  </w:style>
  <w:style w:type="paragraph" w:styleId="938"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Char"/>
    <w:basedOn w:val="662"/>
    <w:uiPriority w:val="0"/>
    <w:qFormat/>
    <w:pPr>
      <w:ind w:firstLine="200"/>
      <w:tabs>
        <w:tab w:val="left" w:pos="360" w:leader="none"/>
      </w:tabs>
    </w:pPr>
    <w:rPr>
      <w:sz w:val="28"/>
      <w:szCs w:val="30"/>
    </w:rPr>
  </w:style>
  <w:style w:type="paragraph" w:styleId="941" w:customStyle="1">
    <w:name w:val="Char1"/>
    <w:basedOn w:val="678"/>
    <w:uiPriority w:val="0"/>
    <w:qFormat/>
    <w:rPr>
      <w:rFonts w:ascii="Tahoma" w:hAnsi="Tahoma"/>
      <w:sz w:val="24"/>
      <w:szCs w:val="24"/>
    </w:rPr>
  </w:style>
  <w:style w:type="paragraph" w:styleId="942"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43" w:customStyle="1">
    <w:name w:val="table_lines"/>
    <w:basedOn w:val="662"/>
    <w:uiPriority w:val="0"/>
    <w:qFormat/>
    <w:pPr>
      <w:jc w:val="left"/>
      <w:widowControl/>
    </w:pPr>
    <w:rPr>
      <w:sz w:val="20"/>
      <w:szCs w:val="20"/>
      <w:lang w:val="de-DE" w:eastAsia="de-DE"/>
    </w:rPr>
  </w:style>
  <w:style w:type="paragraph" w:styleId="94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45"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Char Char Char Char"/>
    <w:basedOn w:val="678"/>
    <w:uiPriority w:val="0"/>
    <w:qFormat/>
    <w:pPr>
      <w:spacing w:line="360" w:lineRule="auto"/>
    </w:pPr>
    <w:rPr>
      <w:rFonts w:ascii="Tahoma" w:hAnsi="Tahoma"/>
      <w:sz w:val="24"/>
      <w:szCs w:val="24"/>
    </w:rPr>
  </w:style>
  <w:style w:type="paragraph" w:styleId="947" w:customStyle="1">
    <w:name w:val="4"/>
    <w:basedOn w:val="662"/>
    <w:next w:val="703"/>
    <w:uiPriority w:val="0"/>
    <w:qFormat/>
    <w:pPr>
      <w:ind w:firstLine="420"/>
      <w:spacing w:line="360" w:lineRule="auto"/>
    </w:pPr>
    <w:rPr>
      <w:color w:val="ff0000"/>
      <w:sz w:val="24"/>
      <w:szCs w:val="24"/>
    </w:rPr>
  </w:style>
  <w:style w:type="paragraph" w:styleId="948"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49" w:customStyle="1">
    <w:name w:val="Char Char Char Char Char Char Char Char Char Char"/>
    <w:basedOn w:val="662"/>
    <w:uiPriority w:val="0"/>
    <w:qFormat/>
    <w:pPr>
      <w:spacing w:line="360" w:lineRule="auto"/>
    </w:pPr>
    <w:rPr>
      <w:sz w:val="24"/>
      <w:szCs w:val="20"/>
    </w:rPr>
  </w:style>
  <w:style w:type="paragraph" w:styleId="950" w:customStyle="1">
    <w:name w:val="样式1"/>
    <w:basedOn w:val="662"/>
    <w:uiPriority w:val="0"/>
    <w:qFormat/>
    <w:pPr>
      <w:numPr>
        <w:ilvl w:val="0"/>
        <w:numId w:val="3"/>
      </w:numPr>
    </w:pPr>
    <w:rPr>
      <w:rFonts w:ascii="宋体" w:hAnsi="宋体"/>
      <w:szCs w:val="21"/>
    </w:rPr>
  </w:style>
  <w:style w:type="paragraph" w:styleId="951"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952"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4"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955"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58"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9"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960"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961" w:customStyle="1">
    <w:name w:val="Char Char Char Char1"/>
    <w:basedOn w:val="678"/>
    <w:uiPriority w:val="0"/>
    <w:qFormat/>
    <w:pPr>
      <w:spacing w:line="360" w:lineRule="auto"/>
    </w:pPr>
    <w:rPr>
      <w:rFonts w:ascii="Tahoma" w:hAnsi="Tahoma"/>
      <w:sz w:val="24"/>
      <w:szCs w:val="24"/>
    </w:rPr>
  </w:style>
  <w:style w:type="paragraph" w:styleId="962" w:customStyle="1">
    <w:name w:val="table_1stline"/>
    <w:basedOn w:val="662"/>
    <w:uiPriority w:val="0"/>
    <w:qFormat/>
    <w:pPr>
      <w:jc w:val="left"/>
      <w:spacing w:before="120"/>
      <w:widowControl/>
    </w:pPr>
    <w:rPr>
      <w:bCs/>
      <w:sz w:val="20"/>
      <w:szCs w:val="20"/>
      <w:lang w:val="de-DE" w:eastAsia="de-DE"/>
    </w:rPr>
  </w:style>
  <w:style w:type="paragraph" w:styleId="963"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66" w:customStyle="1">
    <w:name w:val="正文文本1"/>
    <w:basedOn w:val="662"/>
    <w:next w:val="662"/>
    <w:uiPriority w:val="99"/>
    <w:unhideWhenUsed/>
    <w:qFormat/>
    <w:pPr>
      <w:spacing w:after="120"/>
    </w:pPr>
  </w:style>
  <w:style w:type="paragraph" w:styleId="967" w:customStyle="1">
    <w:name w:val="信息标题1"/>
    <w:basedOn w:val="662"/>
    <w:next w:val="66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968"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969" w:customStyle="1">
    <w:name w:val="NormalCharacter1"/>
    <w:uiPriority w:val="0"/>
    <w:semiHidden/>
    <w:qFormat/>
  </w:style>
  <w:style w:type="paragraph" w:styleId="970"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段"/>
    <w:next w:val="972"/>
    <w:uiPriority w:val="99"/>
    <w:qFormat/>
    <w:pPr>
      <w:ind w:firstLine="200"/>
      <w:jc w:val="both"/>
    </w:pPr>
    <w:rPr>
      <w:rFonts w:hint="default" w:ascii="宋体" w:hAnsi="Times New Roman" w:eastAsia="宋体" w:cs="Times New Roman"/>
      <w:sz w:val="22"/>
      <w:lang w:val="en-US" w:eastAsia="zh-CN" w:bidi="ar-SA"/>
    </w:rPr>
  </w:style>
  <w:style w:type="paragraph" w:styleId="972" w:customStyle="1">
    <w:name w:val="正文 A"/>
    <w:next w:val="971"/>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973" w:customStyle="1">
    <w:name w:val="font21"/>
    <w:uiPriority w:val="0"/>
    <w:qFormat/>
    <w:rPr>
      <w:rFonts w:ascii="宋体" w:hAnsi="宋体" w:eastAsia="宋体" w:cs="宋体"/>
      <w:b/>
      <w:bCs/>
      <w:color w:val="000000"/>
      <w:sz w:val="14"/>
      <w:szCs w:val="14"/>
      <w:u w:val="none"/>
    </w:rPr>
  </w:style>
  <w:style w:type="character" w:styleId="974" w:customStyle="1">
    <w:name w:val="font31"/>
    <w:uiPriority w:val="0"/>
    <w:qFormat/>
    <w:rPr>
      <w:rFonts w:ascii="宋体" w:hAnsi="宋体" w:eastAsia="宋体" w:cs="宋体"/>
      <w:color w:val="000000"/>
      <w:sz w:val="14"/>
      <w:szCs w:val="14"/>
      <w:u w:val="none"/>
    </w:rPr>
  </w:style>
  <w:style w:type="paragraph" w:styleId="975" w:customStyle="1">
    <w:name w:val="TOC Heading1"/>
    <w:next w:val="662"/>
    <w:uiPriority w:val="0"/>
    <w:qFormat/>
    <w:rPr>
      <w:rFonts w:hint="default" w:ascii="Calibri" w:hAnsi="Calibri" w:eastAsia="宋体" w:cs="Times New Roman"/>
      <w:sz w:val="32"/>
      <w:lang w:val="en-US" w:eastAsia="zh-CN" w:bidi="ar-SA"/>
    </w:rPr>
  </w:style>
  <w:style w:type="paragraph" w:styleId="976" w:customStyle="1">
    <w:name w:val="BodyText1I21"/>
    <w:basedOn w:val="977"/>
    <w:uiPriority w:val="0"/>
    <w:qFormat/>
    <w:pPr>
      <w:ind w:left="420" w:firstLine="420"/>
      <w:spacing w:after="120" w:line="240" w:lineRule="auto"/>
    </w:pPr>
    <w:rPr>
      <w:rFonts w:ascii="Calibri" w:hAnsi="Calibri"/>
      <w:szCs w:val="22"/>
    </w:rPr>
  </w:style>
  <w:style w:type="paragraph" w:styleId="977" w:customStyle="1">
    <w:name w:val="BodyTextIndent1"/>
    <w:basedOn w:val="662"/>
    <w:next w:val="978"/>
    <w:uiPriority w:val="0"/>
    <w:qFormat/>
    <w:pPr>
      <w:ind w:firstLine="412"/>
      <w:spacing w:line="280" w:lineRule="atLeast"/>
    </w:pPr>
    <w:rPr>
      <w:rFonts w:ascii="Courier New" w:hAnsi="Courier New"/>
      <w:szCs w:val="20"/>
    </w:rPr>
  </w:style>
  <w:style w:type="paragraph" w:styleId="978" w:customStyle="1">
    <w:name w:val="EnvelopeReturn1"/>
    <w:basedOn w:val="662"/>
    <w:uiPriority w:val="0"/>
    <w:qFormat/>
    <w:rPr>
      <w:rFonts w:ascii="Arial" w:hAnsi="Arial"/>
      <w:szCs w:val="24"/>
    </w:rPr>
  </w:style>
  <w:style w:type="paragraph" w:styleId="979" w:customStyle="1">
    <w:name w:val="PlainText1"/>
    <w:basedOn w:val="662"/>
    <w:uiPriority w:val="0"/>
    <w:qFormat/>
    <w:rPr>
      <w:rFonts w:ascii="宋体" w:hAnsi="Courier New"/>
      <w:szCs w:val="21"/>
    </w:rPr>
  </w:style>
  <w:style w:type="character" w:styleId="980" w:customStyle="1">
    <w:name w:val="UserStyle_6"/>
    <w:basedOn w:val="969"/>
    <w:uiPriority w:val="0"/>
    <w:qFormat/>
  </w:style>
  <w:style w:type="character" w:styleId="981" w:customStyle="1">
    <w:name w:val="font41"/>
    <w:uiPriority w:val="0"/>
    <w:qFormat/>
    <w:rPr>
      <w:rFonts w:hint="eastAsia" w:ascii="宋体" w:hAnsi="宋体" w:eastAsia="宋体" w:cs="宋体"/>
      <w:color w:val="000000"/>
      <w:sz w:val="24"/>
      <w:szCs w:val="24"/>
      <w:u w:val="none"/>
    </w:rPr>
  </w:style>
  <w:style w:type="paragraph" w:styleId="982" w:customStyle="1">
    <w:name w:val="UserStyle_29"/>
    <w:next w:val="983"/>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983" w:customStyle="1">
    <w:name w:val="UserStyle_30"/>
    <w:next w:val="982"/>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984" w:customStyle="1">
    <w:name w:val="NormalCharacter"/>
    <w:uiPriority w:val="0"/>
    <w:semiHidden/>
    <w:qFormat/>
  </w:style>
  <w:style w:type="paragraph" w:styleId="985" w:customStyle="1">
    <w:name w:val="列出段落3"/>
    <w:basedOn w:val="662"/>
    <w:uiPriority w:val="0"/>
    <w:qFormat/>
    <w:pPr>
      <w:ind w:firstLine="420"/>
      <w:widowControl/>
    </w:pPr>
    <w:rPr>
      <w:rFonts w:ascii="Calibri" w:hAnsi="Calibri"/>
      <w:szCs w:val="20"/>
    </w:rPr>
  </w:style>
  <w:style w:type="paragraph" w:styleId="986" w:customStyle="1">
    <w:name w:val="foot-second"/>
    <w:basedOn w:val="662"/>
    <w:uiPriority w:val="0"/>
    <w:qFormat/>
    <w:pPr>
      <w:jc w:val="left"/>
      <w:spacing w:before="100" w:beforeAutospacing="1" w:after="100" w:afterAutospacing="1"/>
      <w:widowControl/>
    </w:pPr>
    <w:rPr>
      <w:rFonts w:ascii="宋体" w:hAnsi="宋体" w:cs="宋体"/>
      <w:sz w:val="24"/>
      <w:szCs w:val="24"/>
    </w:rPr>
  </w:style>
  <w:style w:type="character" w:styleId="987" w:customStyle="1">
    <w:name w:val="foot-second-space"/>
    <w:uiPriority w:val="0"/>
    <w:qFormat/>
  </w:style>
  <w:style w:type="paragraph" w:styleId="988" w:customStyle="1">
    <w:name w:val="正文首行缩进 21"/>
    <w:basedOn w:val="989"/>
    <w:uiPriority w:val="0"/>
    <w:qFormat/>
    <w:pPr>
      <w:ind w:firstLine="420"/>
    </w:pPr>
  </w:style>
  <w:style w:type="paragraph" w:styleId="989" w:customStyle="1">
    <w:name w:val="正文文本缩进1"/>
    <w:basedOn w:val="662"/>
    <w:uiPriority w:val="0"/>
    <w:qFormat/>
    <w:pPr>
      <w:ind w:left="420"/>
      <w:spacing w:after="120"/>
    </w:pPr>
  </w:style>
  <w:style w:type="paragraph" w:styleId="9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1" w:customStyle="1">
    <w:name w:val="页脚1"/>
    <w:basedOn w:val="662"/>
    <w:uiPriority w:val="99"/>
    <w:unhideWhenUsed/>
    <w:qFormat/>
    <w:pPr>
      <w:jc w:val="left"/>
      <w:tabs>
        <w:tab w:val="center" w:pos="4153" w:leader="none"/>
        <w:tab w:val="right" w:pos="8306" w:leader="none"/>
      </w:tabs>
    </w:pPr>
    <w:rPr>
      <w:sz w:val="18"/>
      <w:szCs w:val="18"/>
    </w:rPr>
  </w:style>
  <w:style w:type="paragraph" w:styleId="992"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993" w:customStyle="1">
    <w:name w:val="标题 31"/>
    <w:basedOn w:val="662"/>
    <w:next w:val="662"/>
    <w:uiPriority w:val="0"/>
    <w:qFormat/>
    <w:pPr>
      <w:numPr>
        <w:ilvl w:val="2"/>
        <w:numId w:val="1"/>
      </w:numPr>
      <w:keepLines/>
      <w:keepNext/>
      <w:spacing w:before="260" w:after="260" w:line="416" w:lineRule="atLeast"/>
      <w:outlineLvl w:val="2"/>
    </w:pPr>
    <w:rPr>
      <w:b/>
      <w:bCs/>
      <w:sz w:val="32"/>
      <w:szCs w:val="32"/>
    </w:rPr>
  </w:style>
  <w:style w:type="paragraph" w:styleId="994" w:customStyle="1">
    <w:name w:val="普通(网站)12"/>
    <w:basedOn w:val="662"/>
    <w:uiPriority w:val="0"/>
    <w:unhideWhenUsed/>
    <w:qFormat/>
    <w:pPr>
      <w:jc w:val="left"/>
      <w:spacing w:before="100" w:beforeAutospacing="1" w:after="100" w:afterAutospacing="1"/>
      <w:widowControl/>
    </w:pPr>
    <w:rPr>
      <w:rFonts w:eastAsia="Times New Roman"/>
      <w:sz w:val="24"/>
    </w:rPr>
  </w:style>
  <w:style w:type="paragraph" w:styleId="995" w:customStyle="1">
    <w:name w:val="Normal_0_2"/>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6" w:customStyle="1">
    <w:name w:val="Normal_21"/>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7" w:customStyle="1">
    <w:name w:val="Normal_18"/>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998" w:customStyle="1">
    <w:name w:val="彩色列表1"/>
    <w:basedOn w:val="662"/>
    <w:uiPriority w:val="0"/>
    <w:qFormat/>
    <w:pPr>
      <w:ind w:firstLine="420"/>
    </w:pPr>
    <w:rPr>
      <w:szCs w:val="24"/>
    </w:rPr>
  </w:style>
  <w:style w:type="character" w:styleId="999" w:customStyle="1">
    <w:name w:val="UserStyle_28"/>
    <w:uiPriority w:val="0"/>
    <w:semiHidden/>
    <w:qFormat/>
  </w:style>
  <w:style w:type="paragraph" w:styleId="1000" w:customStyle="1">
    <w:name w:val="_Style 3"/>
    <w:next w:val="703"/>
    <w:uiPriority w:val="99"/>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p17"/>
    <w:basedOn w:val="662"/>
    <w:uiPriority w:val="0"/>
    <w:qFormat/>
    <w:pPr>
      <w:ind w:firstLine="420"/>
    </w:pPr>
    <w:rPr>
      <w:rFonts w:ascii="Times New Roman" w:hAnsi="Times New Roman" w:eastAsia="宋体" w:cs="Times New Roman"/>
      <w:b/>
      <w:bCs/>
      <w:sz w:val="28"/>
      <w:szCs w:val="28"/>
    </w:rPr>
  </w:style>
  <w:style w:type="numbering" w:styleId="10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陈婷</cp:lastModifiedBy>
  <cp:revision>67</cp:revision>
  <dcterms:created xsi:type="dcterms:W3CDTF">2023-03-16T18:13:00Z</dcterms:created>
  <dcterms:modified xsi:type="dcterms:W3CDTF">2026-04-21T08:30:42Z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7F30BAAAAA0A407DAC6BF712F4735F3F_13</vt:lpwstr>
  </property>
  <property fmtid="{D5CDD505-2E9C-101B-9397-08002B2CF9AE}" pid="4" name="KSOTemplateDocerSaveRecord">
    <vt:lpwstr>eyJoZGlkIjoiNDY4YTEyMGQ2MzE4MDk0ZWNhMjA3ZDQ5MGZlNjJlZjQiLCJ1c2VySWQiOiI4MDA4ODQ5NjEifQ==</vt:lpwstr>
  </property>
</Properties>
</file>