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spacing w:before="120" w:beforeAutospacing="0" w:after="120" w:afterAutospacing="0" w:line="360" w:lineRule="auto"/>
        <w:rPr>
          <w:color w:val="auto"/>
          <w:highlight w:val="none"/>
        </w:rPr>
      </w:pPr>
      <w:r>
        <w:rPr>
          <w:color w:val="auto"/>
          <w:highlight w:val="none"/>
        </w:rPr>
        <w:t xml:space="preserve"> </w:t>
      </w:r>
      <w:r/>
    </w:p>
    <w:p>
      <w:pPr>
        <w:pStyle w:val="71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16"/>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6"/>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6"/>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6"/>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6"/>
        <w:ind w:firstLine="964"/>
        <w:spacing w:before="120" w:beforeAutospacing="0" w:after="120" w:afterAutospacing="0" w:line="360" w:lineRule="auto"/>
        <w:rPr>
          <w:rFonts w:hint="eastAsia" w:eastAsiaTheme="minorEastAsia"/>
          <w:color w:val="auto"/>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东台市2026年度3</w:t>
      </w:r>
      <w:bookmarkStart w:id="201" w:name="_GoBack"/>
      <w:r/>
      <w:bookmarkEnd w:id="201"/>
      <w:r>
        <w:rPr>
          <w:rFonts w:hint="eastAsia" w:ascii="Arial" w:hAnsi="Arial" w:cs="Arial"/>
          <w:b/>
          <w:color w:val="auto"/>
          <w:sz w:val="32"/>
          <w:szCs w:val="32"/>
          <w:highlight w:val="none"/>
          <w:lang w:eastAsia="zh-CN"/>
        </w:rPr>
        <w:t xml:space="preserve">0座水质自动站运维项目</w:t>
      </w:r>
      <w:r/>
    </w:p>
    <w:p>
      <w:pPr>
        <w:pStyle w:val="716"/>
        <w:ind w:firstLine="964"/>
        <w:jc w:val="both"/>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JSZC-320981-JSRJ-G2026-0004</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r>
      <w:r/>
    </w:p>
    <w:p>
      <w:pPr>
        <w:pStyle w:val="716"/>
        <w:spacing w:beforeAutospacing="0" w:afterAutospacing="0" w:line="360" w:lineRule="auto"/>
        <w:rPr>
          <w:color w:val="auto"/>
          <w:highlight w:val="none"/>
        </w:rPr>
      </w:pPr>
      <w:r>
        <w:rPr>
          <w:color w:val="auto"/>
          <w:highlight w:val="none"/>
        </w:rPr>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盐城市东台生态环境局</w:t>
      </w:r>
      <w:r/>
    </w:p>
    <w:p>
      <w:pPr>
        <w:pStyle w:val="716"/>
        <w:jc w:val="center"/>
        <w:spacing w:before="120" w:beforeAutospacing="0" w:after="120" w:afterAutospacing="0" w:line="360" w:lineRule="auto"/>
        <w:rPr>
          <w:color w:val="auto"/>
          <w:highlight w:val="none"/>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4</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lang w:val="en-US" w:eastAsia="zh-CN"/>
        </w:rPr>
        <w:t xml:space="preserve">9</w:t>
      </w:r>
      <w:r>
        <w:rPr>
          <w:rFonts w:hint="eastAsia" w:ascii="宋体" w:hAnsi="宋体" w:eastAsia="宋体" w:cs="宋体"/>
          <w:b/>
          <w:color w:val="auto"/>
          <w:sz w:val="32"/>
          <w:szCs w:val="32"/>
          <w:highlight w:val="none"/>
        </w:rPr>
        <w:t xml:space="preserve">日</w:t>
      </w:r>
      <w:r/>
    </w:p>
    <w:p>
      <w:pPr>
        <w:pStyle w:val="71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bookmarkStart w:id="0" w:name="_Toc20823272"/>
      <w:r/>
      <w:bookmarkStart w:id="1" w:name="_Toc16938516"/>
      <w:r/>
      <w:bookmarkStart w:id="2" w:name="_Toc513029200"/>
      <w:r/>
      <w:bookmarkStart w:id="3" w:name="_Toc120614210"/>
      <w:r/>
      <w:bookmarkStart w:id="4" w:name="_Toc523127445"/>
      <w:r/>
      <w:bookmarkStart w:id="5" w:name="_Toc479757206"/>
      <w:r/>
      <w:r/>
    </w:p>
    <w:p>
      <w:pPr>
        <w:pStyle w:val="71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716"/>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16"/>
        <w:ind w:left="0" w:firstLine="108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r>
      <w:r/>
    </w:p>
    <w:p>
      <w:pPr>
        <w:pStyle w:val="716"/>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01</w:t>
      </w:r>
      <w:r/>
    </w:p>
    <w:p>
      <w:pPr>
        <w:pStyle w:val="716"/>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05</w:t>
      </w:r>
      <w:r/>
    </w:p>
    <w:p>
      <w:pPr>
        <w:pStyle w:val="716"/>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21</w:t>
      </w:r>
      <w:r/>
    </w:p>
    <w:p>
      <w:pPr>
        <w:pStyle w:val="716"/>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27</w:t>
      </w:r>
      <w:r/>
    </w:p>
    <w:p>
      <w:pPr>
        <w:pStyle w:val="716"/>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44</w:t>
      </w:r>
      <w:r/>
    </w:p>
    <w:p>
      <w:pPr>
        <w:pStyle w:val="716"/>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49</w:t>
      </w:r>
      <w:r/>
    </w:p>
    <w:p>
      <w:pPr>
        <w:pStyle w:val="716"/>
        <w:jc w:val="both"/>
        <w:spacing w:beforeAutospacing="0" w:afterAutospacing="0"/>
        <w:rPr>
          <w:color w:val="auto"/>
          <w:highlight w:val="none"/>
        </w:rPr>
        <w:sectPr>
          <w:footnotePr/>
          <w:endnotePr/>
          <w:type w:val="nextPage"/>
          <w:pgSz w:w="11906" w:h="16838" w:orient="portrait"/>
          <w:pgMar w:top="1440" w:right="1080" w:bottom="1440" w:left="1080" w:header="851" w:footer="992" w:gutter="0"/>
          <w:cols w:num="1" w:sep="0" w:space="0" w:equalWidth="1"/>
          <w:docGrid w:linePitch="360"/>
        </w:sectPr>
      </w:pPr>
      <w:r>
        <w:rPr>
          <w:color w:val="auto"/>
          <w:highlight w:val="none"/>
        </w:rPr>
      </w:r>
      <w:r/>
    </w:p>
    <w:p>
      <w:pPr>
        <w:pStyle w:val="716"/>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16"/>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东台市2026年度30座水质自动站运维项目</w:t>
      </w:r>
      <w:r>
        <w:rPr>
          <w:rFonts w:hint="eastAsia" w:ascii="宋体" w:hAnsi="宋体" w:eastAsia="宋体" w:cs="宋体"/>
          <w:color w:val="auto"/>
          <w:sz w:val="24"/>
          <w:szCs w:val="24"/>
          <w:highlight w:val="none"/>
          <w:u w:val="single"/>
          <w:lang w:val="en-US" w:eastAsia="zh-CN"/>
        </w:rPr>
        <w:t xml:space="preserve">JSZC-320981-JSRJ-G2026-0004</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lang w:eastAsia="zh-CN"/>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716"/>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 w:name="_Toc28359002"/>
      <w:r/>
      <w:bookmarkStart w:id="7" w:name="_Toc35393790"/>
      <w:r/>
      <w:bookmarkStart w:id="8" w:name="_Toc35393621"/>
      <w:r/>
      <w:bookmarkStart w:id="9" w:name="_Hlk24379207"/>
      <w:r/>
      <w:bookmarkStart w:id="10" w:name="_Toc28359079"/>
      <w:r/>
      <w:bookmarkStart w:id="11" w:name="_Toc38985263"/>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JSZC-320981-JSRJ-G2026-0004</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东台市2026年度30座水质自动站运维项目</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274.000000万元</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lang w:val="en-US" w:eastAsia="zh-CN"/>
        </w:rPr>
        <w:t xml:space="preserve">人民币274万元，投标报价高于最高限价的作无效投标处理</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为规范管理市控水质自动监测站的运维管理，提高监测数据的准确性、稳定性，为全市各类水质预警、溯源、管理和防治发挥作用。</w:t>
      </w:r>
      <w:r>
        <w:rPr>
          <w:rFonts w:hint="eastAsia" w:ascii="宋体" w:hAnsi="宋体" w:eastAsia="宋体" w:cs="宋体"/>
          <w:color w:val="auto"/>
          <w:sz w:val="24"/>
          <w:szCs w:val="24"/>
          <w:highlight w:val="none"/>
        </w:rPr>
        <w:t xml:space="preserve">（详细内容见本招标文件第四章）</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22座国省考断面上游小型水站运维服务期为（2026年8月6日至2027年8月5日），7座水质自动站服务期为（2026年8月20日至2027年8月5日），东台河提水站服务期为（2026年6月1日至2027年8月5日）</w:t>
      </w:r>
      <w:r/>
    </w:p>
    <w:p>
      <w:pPr>
        <w:pStyle w:val="716"/>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本项目（是/否）接受联合体投标：否</w:t>
      </w:r>
      <w:r/>
    </w:p>
    <w:p>
      <w:pPr>
        <w:pStyle w:val="716"/>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 w:name="_Toc35393791"/>
      <w:r/>
      <w:bookmarkStart w:id="13" w:name="_Toc38985264"/>
      <w:r/>
      <w:bookmarkStart w:id="14" w:name="_Toc35393622"/>
      <w:r/>
      <w:bookmarkStart w:id="15" w:name="_Toc28359080"/>
      <w:r/>
      <w:bookmarkStart w:id="16" w:name="_Toc28359003"/>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法人或者其他组织的营业执照等证明文件，自然人的身份证明</w:t>
      </w:r>
      <w:r>
        <w:rPr>
          <w:rFonts w:hint="eastAsia" w:ascii="宋体" w:hAnsi="宋体" w:eastAsia="宋体" w:cs="宋体"/>
          <w:color w:val="auto"/>
          <w:sz w:val="24"/>
          <w:szCs w:val="24"/>
          <w:highlight w:val="none"/>
        </w:rPr>
        <w:t xml:space="preserve">。</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auto"/>
          <w:sz w:val="24"/>
          <w:szCs w:val="24"/>
          <w:highlight w:val="none"/>
        </w:rPr>
        <w:t xml:space="preserve">。</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eastAsia="宋体" w:cs="宋体"/>
          <w:color w:val="auto"/>
          <w:sz w:val="24"/>
          <w:szCs w:val="24"/>
          <w:highlight w:val="none"/>
        </w:rPr>
        <w:t xml:space="preserve">。</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参加政府采购活动前3年内在经营活动中没有重大违法记录的书面声明</w:t>
      </w:r>
      <w:r>
        <w:rPr>
          <w:rFonts w:hint="eastAsia" w:ascii="宋体" w:hAnsi="宋体" w:eastAsia="宋体" w:cs="宋体"/>
          <w:color w:val="auto"/>
          <w:sz w:val="24"/>
          <w:szCs w:val="24"/>
          <w:highlight w:val="none"/>
        </w:rPr>
        <w:t xml:space="preserve">。</w:t>
      </w:r>
      <w:r/>
    </w:p>
    <w:p>
      <w:pPr>
        <w:pStyle w:val="71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本项目专门面向中小企业采购，投标人须为符合《关于印发中小企业划型标准规定的通知》（工信部联企业[2011]300号）文件的中小微企业，不接受大型企业参与本项目投标（投标时供应商应提供中小企业声明函、残疾人福利性单位声明函、监狱企业的证明文件）。</w:t>
      </w:r>
      <w:r/>
    </w:p>
    <w:p>
      <w:pPr>
        <w:pStyle w:val="716"/>
        <w:ind w:firstLine="480"/>
        <w:jc w:val="left"/>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716"/>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1.按照《生态环境监测条例》有关要求，技术服务机构应当按照规定向生态环境主管部门备案。（投标文件中须提供备案证明材料）</w:t>
      </w:r>
      <w:r/>
    </w:p>
    <w:p>
      <w:pPr>
        <w:pStyle w:val="716"/>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16"/>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3.单位负责人为同一人或者存在直接控股、管理关系的不同供应商，不得参加同一合同项下的政府采购活动。</w:t>
      </w:r>
      <w:r/>
    </w:p>
    <w:p>
      <w:pPr>
        <w:pStyle w:val="716"/>
        <w:ind w:firstLine="480"/>
        <w:jc w:val="left"/>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4.投标人如委托被授权人参与，则被授权人须为本单位正式职工并提供投标人为被授权人缴纳的社会养老保险证明。</w:t>
      </w:r>
      <w:r/>
    </w:p>
    <w:p>
      <w:pPr>
        <w:pStyle w:val="716"/>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5.法律、行政法规规定的其他条件。</w:t>
      </w:r>
      <w:r/>
    </w:p>
    <w:p>
      <w:pPr>
        <w:pStyle w:val="716"/>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bookmarkStart w:id="17" w:name="_Toc28359005"/>
      <w:r/>
      <w:bookmarkStart w:id="18" w:name="_Toc35393793"/>
      <w:r/>
      <w:bookmarkStart w:id="19" w:name="_Toc38985266"/>
      <w:r/>
      <w:bookmarkStart w:id="20" w:name="_Toc28359082"/>
      <w:r/>
      <w:bookmarkStart w:id="21" w:name="_Toc35393624"/>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地点：“苏采云”系统内免费下载（投标人必须在苏采云系统中获取采购文件，方能参与政府采购项目）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方式：本项目采用网上注册登记方式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售价：0.00元</w:t>
      </w:r>
      <w:r/>
    </w:p>
    <w:p>
      <w:pPr>
        <w:pStyle w:val="716"/>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2" w:name="_Toc28359084"/>
      <w:r/>
      <w:bookmarkStart w:id="23" w:name="_Toc35393625"/>
      <w:r/>
      <w:bookmarkStart w:id="24" w:name="_Toc35393794"/>
      <w:r/>
      <w:bookmarkStart w:id="25" w:name="_Toc28359007"/>
      <w:r/>
      <w:bookmarkStart w:id="26" w:name="_Toc38985267"/>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 （北京时间）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地点：苏采云“不见面”开标大厅</w:t>
      </w:r>
      <w:r>
        <w:rPr>
          <w:rFonts w:hint="eastAsia" w:ascii="宋体" w:hAnsi="宋体" w:eastAsia="宋体" w:cs="宋体"/>
          <w:color w:val="auto"/>
          <w:sz w:val="24"/>
          <w:szCs w:val="24"/>
          <w:highlight w:val="none"/>
          <w:lang w:eastAsia="zh-CN"/>
        </w:rPr>
        <w:t xml:space="preserve">。</w:t>
      </w:r>
      <w:r/>
    </w:p>
    <w:p>
      <w:pPr>
        <w:pStyle w:val="716"/>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716"/>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2.2潜在投标人访问“苏采云”系统方法：江苏省政府采购网首页-“苏采云”链接。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2.3采购文件（后缀名为“.kedt”）、供应商操作手册及政府采购客户端 工具可通过“苏采云”系统相应链接进行下载。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2.4采购代理机构将数据电文形式的采购文件加载至“苏采云”系统，供潜在供应商下载或者查阅。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3.有关本次招标的事项若存在变动或修改，敬请及时关注江苏瑞杰项目管理顾问有限公司在“中国政府采购网”“江苏政府采购网”“盐城市政府采购网”发布的更正公告。</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5.投标人不得提供虚假材料谋取中标成交的或采取不正当手段诋毁、排挤其他供应商。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7.因供应商的系统环境、操作等原因导致项目参与、开评标过程中出现问题由供应商自行承担负责。</w:t>
      </w:r>
      <w:r/>
    </w:p>
    <w:p>
      <w:pPr>
        <w:pStyle w:val="708"/>
        <w:ind w:left="0" w:right="0" w:firstLine="482"/>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0"/>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单位名称：盐城市东台生态环境局</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单位地址：东台市金海东路1号</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人：徐先生</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联系电话：18921831881</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2.采购代理机构信息（如有）</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87"/>
      <w:r/>
      <w:bookmarkStart w:id="33"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单位名称：江苏瑞杰项目管理顾问有限公司</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单位地址：盐城市金航财富大厦3AF</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人：朱先生</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联系电话：18932281510</w:t>
      </w:r>
      <w:bookmarkEnd w:id="32"/>
      <w:r/>
      <w:bookmarkEnd w:id="33"/>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项目联系人：朱先生</w:t>
      </w:r>
      <w:r/>
    </w:p>
    <w:p>
      <w:pPr>
        <w:pStyle w:val="716"/>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话：18932281510</w:t>
      </w:r>
      <w:r/>
    </w:p>
    <w:p>
      <w:pPr>
        <w:rPr>
          <w:rFonts w:hint="eastAsia" w:ascii="黑体" w:hAnsi="宋体" w:eastAsia="黑体" w:cs="黑体"/>
          <w:color w:val="auto"/>
          <w:sz w:val="44"/>
          <w:szCs w:val="44"/>
          <w:highlight w:val="none"/>
        </w:rPr>
      </w:pPr>
      <w:r/>
      <w:bookmarkStart w:id="35" w:name="_Toc120614211"/>
      <w:r>
        <w:rPr>
          <w:rFonts w:hint="eastAsia" w:ascii="黑体" w:hAnsi="宋体" w:eastAsia="黑体" w:cs="黑体"/>
          <w:color w:val="auto"/>
          <w:sz w:val="44"/>
          <w:szCs w:val="44"/>
          <w:highlight w:val="none"/>
        </w:rPr>
        <w:br w:type="page" w:clear="all"/>
      </w:r>
      <w:r/>
    </w:p>
    <w:p>
      <w:pPr>
        <w:pStyle w:val="716"/>
        <w:ind w:right="840"/>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 </w:t>
      </w:r>
      <w:bookmarkEnd w:id="35"/>
      <w:r/>
      <w:bookmarkStart w:id="36" w:name="_Toc20823274"/>
      <w:r/>
      <w:bookmarkStart w:id="37" w:name="_Toc16938518"/>
      <w:r/>
      <w:bookmarkStart w:id="38" w:name="_Toc513029202"/>
      <w:r/>
      <w:bookmarkStart w:id="39" w:name="_Toc120614213"/>
      <w:r>
        <w:rPr>
          <w:rFonts w:hint="eastAsia" w:ascii="黑体" w:hAnsi="宋体" w:eastAsia="黑体" w:cs="黑体"/>
          <w:color w:val="auto"/>
          <w:sz w:val="44"/>
          <w:szCs w:val="44"/>
          <w:highlight w:val="none"/>
        </w:rPr>
        <w:t xml:space="preserve">投标人须知</w:t>
      </w:r>
      <w:bookmarkEnd w:id="36"/>
      <w:r/>
      <w:bookmarkEnd w:id="37"/>
      <w:r/>
      <w:bookmarkEnd w:id="38"/>
      <w:r/>
      <w:bookmarkEnd w:id="39"/>
      <w:r/>
      <w:r/>
    </w:p>
    <w:p>
      <w:pPr>
        <w:pStyle w:val="716"/>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0" w:name="_Toc16938519"/>
      <w:r/>
      <w:bookmarkStart w:id="41" w:name="_Toc20823275"/>
      <w:r/>
      <w:bookmarkStart w:id="42" w:name="_Toc120614214"/>
      <w:r/>
      <w:bookmarkStart w:id="43" w:name="_Toc513029203"/>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4" w:name="_Toc16938520"/>
      <w:r/>
      <w:bookmarkStart w:id="45" w:name="_Toc20823276"/>
      <w:r/>
      <w:bookmarkStart w:id="46" w:name="_Toc458694821"/>
      <w:r/>
      <w:bookmarkStart w:id="47" w:name="_Toc513029204"/>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9" w:name="_Toc20823277"/>
      <w:r/>
      <w:bookmarkStart w:id="50" w:name="_Toc16938521"/>
      <w:r/>
      <w:bookmarkStart w:id="51" w:name="_Toc513029205"/>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2" w:name="_Toc20823278"/>
      <w:r/>
      <w:bookmarkStart w:id="53" w:name="_Toc16938522"/>
      <w:r/>
      <w:bookmarkStart w:id="54" w:name="_Toc513029206"/>
      <w:r/>
      <w:bookmarkStart w:id="55" w:name="_Toc20823279"/>
      <w:r/>
      <w:bookmarkStart w:id="56" w:name="_Toc513029207"/>
      <w:r/>
      <w:bookmarkStart w:id="57" w:name="_Toc462564067"/>
      <w:r/>
      <w:bookmarkStart w:id="58" w:name="_Toc16938523"/>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江苏瑞杰项目管理顾问有限公司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和采购人不收取标书工本费与中标服务费。</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716"/>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9" w:name="_Toc513029209"/>
      <w:r/>
      <w:bookmarkStart w:id="60" w:name="_Toc20823281"/>
      <w:r/>
      <w:bookmarkStart w:id="61" w:name="_Toc120614215"/>
      <w:r/>
      <w:bookmarkStart w:id="62" w:name="_Toc1693852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3" w:name="_Toc513029210"/>
      <w:r/>
      <w:bookmarkStart w:id="64" w:name="_Toc16938526"/>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6" w:name="_Toc20823283"/>
      <w:r/>
      <w:bookmarkStart w:id="67" w:name="_Toc462564070"/>
      <w:r/>
      <w:bookmarkStart w:id="68" w:name="_Toc513029211"/>
      <w:r/>
      <w:bookmarkStart w:id="69" w:name="_Toc16938527"/>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0" w:name="_Toc20823284"/>
      <w:r/>
      <w:bookmarkStart w:id="71" w:name="_Toc16938528"/>
      <w:r/>
      <w:bookmarkStart w:id="72" w:name="_Toc462564071"/>
      <w:r/>
      <w:bookmarkStart w:id="73" w:name="_Toc513029212"/>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可以对招标文件进行修改。</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采购人有权按照法定的要求推迟投标截止日期和开标日期。</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716"/>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4" w:name="_Toc16938529"/>
      <w:r/>
      <w:bookmarkStart w:id="75" w:name="_Toc513029213"/>
      <w:r/>
      <w:bookmarkStart w:id="76" w:name="_Toc120614216"/>
      <w:r/>
      <w:bookmarkStart w:id="77" w:name="_Toc462564072"/>
      <w:r/>
      <w:bookmarkStart w:id="78" w:name="_Toc20823285"/>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9" w:name="_Toc20823286"/>
      <w:r/>
      <w:bookmarkStart w:id="80" w:name="_Toc513029214"/>
      <w:r/>
      <w:bookmarkStart w:id="81" w:name="_Toc462564073"/>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3" w:name="_Toc513029215"/>
      <w:r/>
      <w:bookmarkStart w:id="84" w:name="_Toc16938531"/>
      <w:r/>
      <w:bookmarkStart w:id="85" w:name="_Toc20823287"/>
      <w:r/>
      <w:bookmarkStart w:id="86" w:name="_Toc462564074"/>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10.1开标一览表（系统固定格式）</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10.2资格审查资料</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10.2.1法人或者其他组织的营业执照等证明文件，自然人的身份证明；</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10.2.2上一年度的财务状况报告（成立不满一年无需提供）；</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10.2.4具备履行合同所必需的设备和专业技术能力的书面声明；</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10.2.5参加政府采购活动前 3 年内在经营活动中没有重大违法记录的书面声明；</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10.2.6按照《生态环境监测条例》有关要求，技术服务机构应当按照规定向生态环境主管部门备案。（投标文件中须提供备案证明材料）</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10.2.7投标人法定代表人身份证明和投标文件签署授权委托书（另附法定代表人和被授权人的身份证复印件或扫描件）；</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10.2.8投标人为被授权人缴纳的社会养老保险证明；</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10.2.9与资格审查有关的其他资料（如有）。</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10.3符合性资料</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10.3.1投标分项报价表</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10.3.2投标函</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10.3.3技术要求响应及偏离表</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10.3.4商务要求响应及偏离表</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10.3.5服务承诺</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10.3.6盐城市政府采购事前信用承诺书</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Times New Roman"/>
          <w:color w:val="auto"/>
          <w:sz w:val="24"/>
          <w:highlight w:val="none"/>
          <w:lang w:val="en-US" w:eastAsia="zh-CN"/>
        </w:rPr>
        <w:t xml:space="preserve">综合评审评分项相关资料</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10.5价格折扣文件（中小企业声明函、残疾人福利性单位声明函、监狱企业的证明文件）</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注：1）以上材料须按顺序进行排列。</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2）如为法定代表人参与公开招标的无须提供“投标文件签署授权委托书”和“被授权人缴纳的社会养老保险证明”。</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3）与本次公开招标无关的资料不要求提供。</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7" w:name="_Toc14577357"/>
      <w:r/>
      <w:bookmarkStart w:id="88" w:name="_Toc49090507"/>
      <w:r/>
      <w:bookmarkStart w:id="89" w:name="_Toc14577354"/>
      <w:r/>
      <w:bookmarkStart w:id="90" w:name="_Toc513029216"/>
      <w:r/>
      <w:bookmarkStart w:id="91" w:name="_Toc513029219"/>
      <w:r/>
      <w:bookmarkStart w:id="92" w:name="_Toc49090509"/>
      <w:r/>
      <w:bookmarkStart w:id="93" w:name="_Hlt26670360"/>
      <w:r/>
      <w:bookmarkStart w:id="94" w:name="_Hlt26668975"/>
      <w:r/>
      <w:bookmarkStart w:id="95" w:name="_Hlt26954838"/>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6" w:name="_Toc49090508"/>
      <w:r/>
      <w:bookmarkStart w:id="97" w:name="_Toc14577355"/>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bookmarkEnd w:id="96"/>
      <w:r/>
      <w:bookmarkEnd w:id="97"/>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11.3“上一年度的财务状况报告”，投标人应提供资产负债表、利润表、现金流量表，投标人成立不满一年无需提供。</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11.4“依法缴纳税收的相关材料”，投标人应提供近期缴纳税收的凭据。</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11.5“依法缴纳社会保障资金的相关材料”，投标人应提供近期缴纳社会保险的凭据。</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11.6依法免税或不需要缴纳社会保障资金的投标人，应提供相应文件证明其依法免税或不需要缴纳社会保障资金。</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11.7“申请人的资格要求”和“资格审查资料”中的“近期”是指近两年以来的任一时间段。</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11.8投标文件格式规定的法定代表人或被授权人签名（签字）的地方，手写签名（签字）、加盖（电子）印章、加盖电子手写签名（签字）均认可。</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01" w:name="_Hlt26954842"/>
      <w:r/>
      <w:bookmarkStart w:id="102" w:name="_Hlt26954731"/>
      <w:r/>
      <w:bookmarkStart w:id="103" w:name="_Hlt26954846"/>
      <w:r/>
      <w:bookmarkStart w:id="104" w:name="_Hlt26670486"/>
      <w:r/>
      <w:bookmarkStart w:id="105" w:name="_Hlt26670425"/>
      <w:r/>
      <w:bookmarkStart w:id="106" w:name="_Hlt26670482"/>
      <w:r/>
      <w:bookmarkStart w:id="107" w:name="_Hlt26668983"/>
      <w:r/>
      <w:bookmarkStart w:id="108" w:name="_Hlt26670403"/>
      <w:r/>
      <w:bookmarkStart w:id="109" w:name="_Hlt26954848"/>
      <w:r/>
      <w:bookmarkStart w:id="110" w:name="_Hlt26954844"/>
      <w:r>
        <w:rPr>
          <w:rFonts w:hint="eastAsia" w:ascii="宋体" w:hAnsi="宋体" w:eastAsia="宋体" w:cs="宋体"/>
          <w:color w:val="auto"/>
          <w:sz w:val="24"/>
          <w:szCs w:val="24"/>
          <w:highlight w:val="none"/>
          <w:lang w:val="en-US" w:eastAsia="zh-CN"/>
        </w:rPr>
        <w:t xml:space="preserve">12.3投标人应按照第六章投标文件格式完整地填写</w:t>
      </w:r>
      <w:r>
        <w:rPr>
          <w:rFonts w:hint="eastAsia" w:ascii="宋体" w:hAnsi="宋体" w:eastAsia="宋体" w:cs="宋体"/>
          <w:color w:val="auto"/>
          <w:sz w:val="24"/>
          <w:szCs w:val="24"/>
          <w:highlight w:val="none"/>
        </w:rPr>
        <w:t xml:space="preserve">投标分项报价表</w:t>
      </w:r>
      <w:r>
        <w:rPr>
          <w:rFonts w:hint="eastAsia" w:ascii="宋体" w:hAnsi="宋体" w:eastAsia="宋体" w:cs="宋体"/>
          <w:color w:val="auto"/>
          <w:sz w:val="24"/>
          <w:szCs w:val="24"/>
          <w:highlight w:val="none"/>
          <w:lang w:val="en-US" w:eastAsia="zh-CN"/>
        </w:rPr>
        <w:t xml:space="preserve">，说明其拟提供服务的名称、服务内容、数量、价格等，采购人要求投标人明确填写的相关内容的，也应填写。</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12.4每项服务内容只允许有一个报价，任何有选择的报价将不予接受。</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本项目的中标人在领取中标通知书前，须向采购代理机构江苏瑞杰项目管理顾问有限公司支付招标代理服务费，招标代理服务费为人民币</w:t>
      </w:r>
      <w:r>
        <w:rPr>
          <w:rFonts w:hint="eastAsia" w:ascii="宋体" w:hAnsi="宋体" w:eastAsia="宋体" w:cs="宋体"/>
          <w:color w:val="auto"/>
          <w:sz w:val="24"/>
          <w:szCs w:val="24"/>
          <w:highlight w:val="none"/>
          <w:u w:val="single"/>
          <w:lang w:val="en-US" w:eastAsia="zh-CN"/>
        </w:rPr>
        <w:t xml:space="preserve"> 43600.00 </w:t>
      </w:r>
      <w:r>
        <w:rPr>
          <w:rFonts w:hint="eastAsia" w:ascii="宋体" w:hAnsi="宋体" w:eastAsia="宋体" w:cs="宋体"/>
          <w:color w:val="auto"/>
          <w:sz w:val="24"/>
          <w:szCs w:val="24"/>
          <w:highlight w:val="none"/>
          <w:lang w:val="en-US" w:eastAsia="zh-CN"/>
        </w:rPr>
        <w:t xml:space="preserve">元，上述费用由各投标人在投标时自行综合考虑分摊含进投标报价中，且不得单列，采购人不承担此费用。</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716"/>
        <w:ind w:left="0" w:firstLine="480"/>
        <w:jc w:val="both"/>
        <w:keepLines w:val="0"/>
        <w:keepNext w:val="0"/>
        <w:pageBreakBefore w:val="0"/>
        <w:spacing w:beforeAutospacing="0" w:afterAutospacing="0" w:line="360" w:lineRule="auto"/>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1" w:name="_Toc14577359"/>
      <w:r/>
      <w:bookmarkStart w:id="112" w:name="_Toc49090510"/>
      <w:r>
        <w:rPr>
          <w:rFonts w:hint="eastAsia" w:ascii="宋体" w:hAnsi="宋体" w:eastAsia="宋体" w:cs="宋体"/>
          <w:color w:val="auto"/>
          <w:sz w:val="24"/>
          <w:szCs w:val="24"/>
          <w:highlight w:val="none"/>
        </w:rPr>
        <w:t xml:space="preserve">14、投标函和开标一览表</w:t>
      </w:r>
      <w:bookmarkEnd w:id="111"/>
      <w:r/>
      <w:bookmarkEnd w:id="112"/>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3" w:name="_Toc49090511"/>
      <w:r/>
      <w:bookmarkStart w:id="114" w:name="_Toc14577360"/>
      <w:r/>
      <w:bookmarkStart w:id="115" w:name="_Hlt26670489"/>
      <w:r/>
      <w:bookmarkStart w:id="116" w:name="_Hlt26954850"/>
      <w:r/>
      <w:bookmarkStart w:id="117" w:name="_Hlt26954734"/>
      <w:r>
        <w:rPr>
          <w:rFonts w:hint="eastAsia" w:ascii="宋体" w:hAnsi="宋体" w:eastAsia="宋体" w:cs="宋体"/>
          <w:color w:val="auto"/>
          <w:sz w:val="24"/>
          <w:szCs w:val="24"/>
          <w:highlight w:val="none"/>
        </w:rPr>
        <w:t xml:space="preserve">15、投标有效期</w:t>
      </w:r>
      <w:bookmarkEnd w:id="113"/>
      <w:r/>
      <w:bookmarkEnd w:id="114"/>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采购人的这一要求而放弃投标。同意延长投标有效期的投标人既不能要求也不允许修改其投标文件，同时受投标有效期约束的所有权利与义务均延长至新的有效期。</w:t>
      </w:r>
      <w:r/>
    </w:p>
    <w:p>
      <w:pPr>
        <w:pStyle w:val="716"/>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8" w:name="_Toc513029224"/>
      <w:r/>
      <w:bookmarkStart w:id="119" w:name="_Toc16938540"/>
      <w:r/>
      <w:bookmarkStart w:id="120" w:name="_Toc120614217"/>
      <w:r/>
      <w:bookmarkStart w:id="121" w:name="_Toc20823296"/>
      <w:r/>
      <w:bookmarkStart w:id="122" w:name="_Hlt26954739"/>
      <w:r/>
      <w:bookmarkStart w:id="123" w:name="_Hlt26954852"/>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4" w:name="_Toc20823297"/>
      <w:r/>
      <w:bookmarkStart w:id="125" w:name="_Toc513029225"/>
      <w:r/>
      <w:bookmarkStart w:id="126" w:name="_Toc16938541"/>
      <w:r/>
      <w:bookmarkStart w:id="127" w:name="_Toc462564084"/>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1" w:name="_Toc16938543"/>
      <w:r/>
      <w:bookmarkStart w:id="132" w:name="_Toc513029227"/>
      <w:r/>
      <w:bookmarkStart w:id="133" w:name="_Toc20823299"/>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4" w:name="_Toc513029228"/>
      <w:r/>
      <w:bookmarkStart w:id="135" w:name="_Toc20823300"/>
      <w:r/>
      <w:bookmarkStart w:id="136" w:name="_Toc16938544"/>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716"/>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7" w:name="_Toc120614218"/>
      <w:r/>
      <w:bookmarkStart w:id="138" w:name="_Toc513029229"/>
      <w:r/>
      <w:bookmarkStart w:id="139" w:name="_Toc20823301"/>
      <w:r/>
      <w:bookmarkStart w:id="140" w:name="_Toc16938545"/>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513029230"/>
      <w:r/>
      <w:bookmarkStart w:id="142" w:name="_Toc20823302"/>
      <w:r/>
      <w:bookmarkStart w:id="143" w:name="_Toc16938546"/>
      <w:r>
        <w:rPr>
          <w:rFonts w:hint="eastAsia" w:ascii="宋体" w:hAnsi="宋体" w:eastAsia="宋体" w:cs="宋体"/>
          <w:color w:val="auto"/>
          <w:sz w:val="24"/>
          <w:szCs w:val="24"/>
          <w:highlight w:val="none"/>
        </w:rPr>
        <w:t xml:space="preserve">21、开标</w:t>
      </w:r>
      <w:bookmarkEnd w:id="141"/>
      <w:r/>
      <w:bookmarkEnd w:id="142"/>
      <w:r/>
      <w:bookmarkEnd w:id="143"/>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4" w:name="_Toc20823303"/>
      <w:r/>
      <w:bookmarkStart w:id="145" w:name="_Toc513029231"/>
      <w:r/>
      <w:bookmarkStart w:id="146" w:name="_Toc16938547"/>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7" w:name="_Toc20823304"/>
      <w:r/>
      <w:bookmarkStart w:id="148" w:name="_Toc16938548"/>
      <w:r/>
      <w:bookmarkStart w:id="149" w:name="_Toc513029232"/>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20823305"/>
      <w:r/>
      <w:bookmarkStart w:id="151" w:name="_Toc16938549"/>
      <w:r/>
      <w:bookmarkStart w:id="152" w:name="_Toc513029233"/>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采购人将不再告知未通过资格审查和符合性审查的原因。</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513029234"/>
      <w:r/>
      <w:bookmarkStart w:id="154" w:name="_Toc16938550"/>
      <w:r/>
      <w:bookmarkStart w:id="155"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6" w:name="_Toc513029235"/>
      <w:r/>
      <w:bookmarkStart w:id="157" w:name="_Toc20823307"/>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716"/>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.6被授权人无法提供证明其为本单位正式职工的社会养老保险缴费证明的。</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26.1.7由被授权人参加，但未随投标文件一起提交合法、有效的“授权委托书”的。</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8投标文件内容不全或关键字迹模糊、无法辨认的。</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未通过符合性审查的。</w:t>
      </w:r>
      <w:r/>
    </w:p>
    <w:p>
      <w:pPr>
        <w:pStyle w:val="716"/>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26.1.10投标人不能证明其报价合理性的，评</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rPr>
        <w:t xml:space="preserve">委员会应当将其作为无效投标处理。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投标文件含有采购人不能接受的附加条件的。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投标文件未按照招标文件要求加盖CA电子公章的。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6以他人的名义投标、串通投标、以行贿手段谋取中标或者以其他弄虚作假方式投标的。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其他法律、法规及本招标文件规定的属无效投标的情形。</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26.3投标截止时间结束后参加投标的供应商不足三家的处理</w:t>
      </w:r>
      <w:r>
        <w:rPr>
          <w:rFonts w:hint="eastAsia" w:ascii="宋体" w:hAnsi="宋体" w:eastAsia="宋体" w:cs="宋体"/>
          <w:color w:val="auto"/>
          <w:sz w:val="24"/>
          <w:szCs w:val="24"/>
          <w:highlight w:val="none"/>
          <w:lang w:eastAsia="zh-CN"/>
        </w:rPr>
        <w:t xml:space="preserve">。</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16"/>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0" w:name="_Toc20823310"/>
      <w:r/>
      <w:bookmarkStart w:id="161" w:name="_Toc16938554"/>
      <w:r/>
      <w:bookmarkStart w:id="162" w:name="_Toc513029238"/>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27.5有下列情形之一的，视为投标人串通投标，投标无效：</w:t>
      </w:r>
      <w:bookmarkEnd w:id="163"/>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left="0" w:firstLine="480"/>
        <w:jc w:val="left"/>
        <w:keepLines w:val="0"/>
        <w:keepNext w:val="0"/>
        <w:pageBreakBefore w:val="0"/>
        <w:spacing w:line="360" w:lineRule="auto"/>
        <w:widowControl w:val="off"/>
        <w:tabs>
          <w:tab w:val="left" w:pos="13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color w:val="auto"/>
          <w:sz w:val="24"/>
          <w:szCs w:val="24"/>
          <w:highlight w:val="none"/>
          <w:lang w:val="en-US" w:eastAsia="zh-CN"/>
        </w:rPr>
        <w:t xml:space="preserve">质疑接收部门为盐城市东台生态环境局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东台市金海东路1号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18921831881</w:t>
      </w:r>
      <w:r>
        <w:rPr>
          <w:rFonts w:hint="eastAsia" w:ascii="宋体" w:hAnsi="宋体" w:eastAsia="宋体" w:cs="宋体"/>
          <w:color w:val="auto"/>
          <w:sz w:val="24"/>
          <w:szCs w:val="24"/>
          <w:highlight w:val="none"/>
          <w:lang w:val="en-US" w:eastAsia="zh-CN"/>
        </w:rPr>
        <w:t xml:space="preserve">。</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64" w:name="_Toc16938552"/>
      <w:r/>
      <w:bookmarkStart w:id="165" w:name="_Toc120614220"/>
      <w:r/>
      <w:bookmarkStart w:id="166" w:name="_Toc20823308"/>
      <w:r/>
      <w:bookmarkStart w:id="167" w:name="_Toc513029236"/>
      <w:r>
        <w:rPr>
          <w:rFonts w:hint="eastAsia" w:ascii="宋体" w:hAnsi="宋体" w:eastAsia="宋体" w:cs="宋体"/>
          <w:color w:val="auto"/>
          <w:sz w:val="24"/>
          <w:szCs w:val="24"/>
          <w:highlight w:val="none"/>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716"/>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8" w:name="_Toc16938553"/>
      <w:r/>
      <w:bookmarkStart w:id="169" w:name="_Toc513029237"/>
      <w:r/>
      <w:bookmarkStart w:id="170" w:name="_Toc20823309"/>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68"/>
      <w:r/>
      <w:bookmarkEnd w:id="169"/>
      <w:r/>
      <w:bookmarkEnd w:id="170"/>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w:t>
      </w:r>
      <w:r>
        <w:rPr>
          <w:rFonts w:hint="eastAsia" w:ascii="宋体" w:hAnsi="宋体" w:eastAsia="宋体" w:cs="宋体"/>
          <w:color w:val="auto"/>
          <w:sz w:val="24"/>
          <w:szCs w:val="24"/>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32.3.6.1安置的残疾人占本单位在职职工人数的比例不低于25%（含25%），并且安置的残疾人人数不少于10人（含10人）；</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716"/>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pStyle w:val="716"/>
        <w:ind w:firstLine="480"/>
        <w:jc w:val="both"/>
        <w:keepLines w:val="0"/>
        <w:keepNext w:val="0"/>
        <w:pageBreakBefore w:val="0"/>
        <w:spacing w:beforeAutospacing="0" w:afterAutospacing="0" w:line="500" w:lineRule="exact"/>
        <w:widowControl w:val="off"/>
        <w:rPr>
          <w:color w:val="auto"/>
          <w:sz w:val="24"/>
          <w:szCs w:val="24"/>
          <w:highlight w:val="none"/>
        </w:rPr>
      </w:pPr>
      <w:r/>
      <w:bookmarkStart w:id="171" w:name="_Toc16938559"/>
      <w:r/>
      <w:bookmarkStart w:id="172" w:name="_Toc20823315"/>
      <w:r/>
      <w:bookmarkStart w:id="173" w:name="_Toc513029243"/>
      <w:r/>
      <w:bookmarkStart w:id="174" w:name="_Toc479757211"/>
      <w:r/>
      <w:bookmarkStart w:id="175" w:name="_Toc462564139"/>
      <w:r/>
      <w:bookmarkStart w:id="176" w:name="_Toc16938590"/>
      <w:r/>
      <w:bookmarkStart w:id="177" w:name="_Toc20823346"/>
      <w:r/>
      <w:bookmarkStart w:id="178" w:name="_Toc120614244"/>
      <w:r/>
      <w:bookmarkStart w:id="179" w:name="_Hlt16619350"/>
      <w:r/>
      <w:bookmarkStart w:id="180" w:name="_Hlt1661936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71"/>
      <w:r/>
      <w:bookmarkEnd w:id="172"/>
      <w:r/>
      <w:bookmarkEnd w:id="173"/>
      <w:r/>
      <w:r/>
    </w:p>
    <w:p>
      <w:pPr>
        <w:pStyle w:val="716"/>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东台市2026年度30座水质自动站运维项目</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JSZC-320981-JSRJ-G2026-0004</w:t>
      </w:r>
      <w:r/>
    </w:p>
    <w:p>
      <w:pPr>
        <w:pStyle w:val="716"/>
        <w:jc w:val="both"/>
        <w:keepLines w:val="0"/>
        <w:keepNext w:val="0"/>
        <w:pageBreakBefore w:val="0"/>
        <w:spacing w:before="120" w:beforeAutospacing="0" w:after="120" w:afterAutospacing="0" w:line="500" w:lineRule="exact"/>
        <w:widowControl w:val="off"/>
        <w:rPr>
          <w:rFonts w:hint="default"/>
          <w:color w:val="auto"/>
          <w:sz w:val="24"/>
          <w:szCs w:val="24"/>
          <w:highlight w:val="none"/>
          <w:lang w:val="en-US"/>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盐城市东台生态环境局</w:t>
      </w:r>
      <w:r/>
    </w:p>
    <w:p>
      <w:pPr>
        <w:pStyle w:val="716"/>
        <w:jc w:val="both"/>
        <w:keepLines w:val="0"/>
        <w:keepNext w:val="0"/>
        <w:pageBreakBefore w:val="0"/>
        <w:spacing w:before="120" w:beforeAutospacing="0" w:after="120" w:afterAutospacing="0" w:line="500" w:lineRule="exact"/>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东台市2026年度30座水质自动站运维项目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东台市2026年度30座水质自动站运维项目</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符合国家、省、市相关标准、强制性标准，并通过相关部门审查，通过相关行政主管部门评审。</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lang w:val="en-US" w:eastAsia="zh-CN"/>
        </w:rPr>
        <w:t xml:space="preserve">为规范管理市控水质自动监测站的运维管理，提高监测数据的准确性、稳定性，为全市各类水质预警、溯源、管理和防治发挥作用。</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color w:val="auto"/>
          <w:sz w:val="24"/>
          <w:szCs w:val="24"/>
          <w:highlight w:val="none"/>
          <w:lang w:val="en-US" w:eastAsia="zh-CN"/>
        </w:rPr>
        <w:t xml:space="preserve">22座国省考断面上游小型水站运维服务期为（2026年8月6日至2027年8月5日），7座水质自动站服务期为（2026年8月20日至2027年8月5日），东台河提水站服务期为（2026年6月1日至2027年8月5日）。</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lang w:val="en-US" w:eastAsia="zh-CN"/>
        </w:rPr>
        <w:t xml:space="preserve">江苏省盐城市东台市境内。</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1.6履行方式：</w:t>
      </w:r>
      <w:r>
        <w:rPr>
          <w:rFonts w:hint="eastAsia" w:ascii="宋体" w:hAnsi="宋体" w:eastAsia="宋体" w:cs="宋体"/>
          <w:color w:val="auto"/>
          <w:sz w:val="24"/>
          <w:szCs w:val="24"/>
          <w:highlight w:val="none"/>
          <w:lang w:val="en-US" w:eastAsia="zh-CN"/>
        </w:rPr>
        <w:t xml:space="preserve">详见招标文件采购需求。</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16"/>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元）人民币。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本合同价款包含所有乙方提供合同约定的服务报酬及乙方提供合同中服务所支出的所有费用（含税费），甲方在上述合同价款之外不再向乙方支付其他任何费用。</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716"/>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716"/>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6"/>
        <w:ind w:left="412" w:hanging="412"/>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1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716"/>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716"/>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716"/>
        <w:jc w:val="both"/>
        <w:keepLines w:val="0"/>
        <w:keepNext w:val="0"/>
        <w:pageBreakBefore w:val="0"/>
        <w:spacing w:before="120" w:beforeAutospacing="0" w:after="120" w:afterAutospacing="0"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6.1乙方交纳人民币</w:t>
      </w:r>
      <w:r>
        <w:rPr>
          <w:rFonts w:hint="eastAsia" w:ascii="宋体" w:hAnsi="宋体" w:eastAsia="宋体" w:cs="宋体"/>
          <w:color w:val="auto"/>
          <w:sz w:val="24"/>
          <w:szCs w:val="24"/>
          <w:highlight w:val="none"/>
          <w:u w:val="single"/>
          <w:lang w:val="en-US" w:eastAsia="zh-CN"/>
        </w:rPr>
        <w:t xml:space="preserve"> 合同金额的10% </w:t>
      </w:r>
      <w:r>
        <w:rPr>
          <w:rFonts w:hint="eastAsia" w:ascii="宋体" w:hAnsi="宋体" w:eastAsia="宋体" w:cs="宋体"/>
          <w:color w:val="auto"/>
          <w:sz w:val="24"/>
          <w:szCs w:val="24"/>
          <w:highlight w:val="none"/>
        </w:rPr>
        <w:t xml:space="preserve">元作为本合同的履约保证金。</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highlight w:val="none"/>
          <w:u w:val="single"/>
          <w:lang w:val="en-US" w:eastAsia="zh-CN"/>
        </w:rPr>
        <w:t xml:space="preserve"> 否 </w:t>
      </w:r>
      <w:r>
        <w:rPr>
          <w:rFonts w:hint="eastAsia" w:ascii="宋体" w:hAnsi="宋体" w:eastAsia="宋体" w:cs="宋体"/>
          <w:color w:val="auto"/>
          <w:sz w:val="24"/>
          <w:szCs w:val="24"/>
          <w:highlight w:val="none"/>
        </w:rPr>
        <w:t xml:space="preserve">免收 ，降低履约保证金缴纳比例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16"/>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w:t>
      </w:r>
      <w:r>
        <w:rPr>
          <w:rFonts w:hint="eastAsia" w:ascii="宋体" w:hAnsi="宋体" w:eastAsia="宋体" w:cs="宋体"/>
          <w:color w:val="auto"/>
          <w:sz w:val="24"/>
          <w:szCs w:val="24"/>
          <w:highlight w:val="none"/>
          <w:lang w:eastAsia="zh-CN"/>
        </w:rPr>
        <w:t xml:space="preserve">考核验收结果确定后</w:t>
      </w:r>
      <w:r>
        <w:rPr>
          <w:rFonts w:hint="eastAsia" w:ascii="宋体" w:hAnsi="宋体" w:eastAsia="宋体" w:cs="宋体"/>
          <w:color w:val="auto"/>
          <w:sz w:val="24"/>
          <w:szCs w:val="24"/>
          <w:highlight w:val="none"/>
        </w:rPr>
        <w:t xml:space="preserve">且采购人收到发票后30日内。</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.3条件：按合同要求履约完成并经采购人验收</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，且采购人收到中标人出具的发票。</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（7）单次考核被扣除全部运维费的，认定为验收不合格，履约保证金按不合格站点及考核周期比例不予退还。</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6"/>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716"/>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716"/>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716"/>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val="zh-CN" w:eastAsia="zh-CN"/>
        </w:rPr>
      </w:pPr>
      <w:r>
        <w:rPr>
          <w:rFonts w:hint="eastAsia" w:ascii="宋体" w:hAnsi="宋体" w:eastAsia="宋体" w:cs="宋体"/>
          <w:color w:val="000000"/>
          <w:sz w:val="24"/>
          <w:szCs w:val="24"/>
          <w:highlight w:val="none"/>
          <w:u w:val="single"/>
        </w:rPr>
        <w:t xml:space="preserve">8.1.1 </w:t>
      </w:r>
      <w:r>
        <w:rPr>
          <w:rFonts w:hint="eastAsia" w:ascii="宋体" w:hAnsi="宋体" w:eastAsia="宋体" w:cs="宋体"/>
          <w:color w:val="000000"/>
          <w:sz w:val="24"/>
          <w:szCs w:val="24"/>
          <w:highlight w:val="none"/>
          <w:u w:val="single"/>
          <w:lang w:val="zh-CN" w:eastAsia="zh-CN"/>
        </w:rPr>
        <w:t xml:space="preserve">合同签订后10工作日内（自收到发票之日起），</w:t>
      </w:r>
      <w:r>
        <w:rPr>
          <w:rFonts w:hint="eastAsia" w:ascii="宋体" w:hAnsi="宋体" w:eastAsia="宋体" w:cs="宋体"/>
          <w:color w:val="000000"/>
          <w:sz w:val="24"/>
          <w:szCs w:val="24"/>
          <w:highlight w:val="none"/>
          <w:u w:val="single"/>
          <w:lang w:val="en-US" w:eastAsia="zh-CN"/>
        </w:rPr>
        <w:t xml:space="preserve">甲方</w:t>
      </w:r>
      <w:r>
        <w:rPr>
          <w:rFonts w:hint="eastAsia" w:ascii="宋体" w:hAnsi="宋体" w:eastAsia="宋体" w:cs="宋体"/>
          <w:color w:val="000000"/>
          <w:sz w:val="24"/>
          <w:szCs w:val="24"/>
          <w:highlight w:val="none"/>
          <w:u w:val="single"/>
          <w:lang w:val="zh-CN" w:eastAsia="zh-CN"/>
        </w:rPr>
        <w:t xml:space="preserve">支付</w:t>
      </w:r>
      <w:r>
        <w:rPr>
          <w:rFonts w:hint="eastAsia" w:ascii="宋体" w:hAnsi="宋体" w:eastAsia="宋体" w:cs="宋体"/>
          <w:color w:val="000000"/>
          <w:sz w:val="24"/>
          <w:szCs w:val="24"/>
          <w:highlight w:val="none"/>
          <w:u w:val="single"/>
          <w:lang w:val="en-US" w:eastAsia="zh-CN"/>
        </w:rPr>
        <w:t xml:space="preserve">乙方</w:t>
      </w:r>
      <w:r>
        <w:rPr>
          <w:rFonts w:hint="eastAsia" w:ascii="宋体" w:hAnsi="宋体" w:eastAsia="宋体" w:cs="宋体"/>
          <w:color w:val="000000"/>
          <w:sz w:val="24"/>
          <w:szCs w:val="24"/>
          <w:highlight w:val="none"/>
          <w:u w:val="single"/>
          <w:lang w:val="zh-CN" w:eastAsia="zh-CN"/>
        </w:rPr>
        <w:t xml:space="preserve">合同总价的30％作为预付款。</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val="zh-CN" w:eastAsia="zh-CN"/>
        </w:rPr>
      </w:pPr>
      <w:r>
        <w:rPr>
          <w:rFonts w:hint="eastAsia" w:ascii="宋体" w:hAnsi="宋体" w:eastAsia="宋体" w:cs="宋体"/>
          <w:color w:val="000000"/>
          <w:sz w:val="24"/>
          <w:szCs w:val="24"/>
          <w:highlight w:val="none"/>
          <w:u w:val="single"/>
        </w:rPr>
        <w:t xml:space="preserve">8.1.</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eastAsia="zh-CN"/>
        </w:rPr>
        <w:t xml:space="preserve">每季度对运维单位开展一次运营维护工作考核，以每个水质自动站为单位进行。逐站依据维护内容就维护质量和相关指</w:t>
      </w:r>
      <w:r>
        <w:rPr>
          <w:rFonts w:hint="eastAsia" w:ascii="宋体" w:hAnsi="宋体" w:eastAsia="宋体" w:cs="宋体"/>
          <w:color w:val="000000"/>
          <w:sz w:val="24"/>
          <w:szCs w:val="24"/>
          <w:highlight w:val="none"/>
          <w:u w:val="single"/>
          <w:lang w:val="zh-CN" w:eastAsia="zh-CN"/>
        </w:rPr>
        <w:t xml:space="preserve">标对照考核评分表对各站进行评分，满分为100分，评分小于80分为不合格，评分大于或等于80分为合格。单次考核结果在70分以上，80分以下，为初级警告，扣除该站点季度运维款的5%（该站点季度运维款以中标价/120计），并责令整改；单次考核结果在60分以上，70分以下，为二级警告，扣除该站点季度运维款的10%（该站点季度运维款以中标价/120计），并责令整改；单次考核结果在60分以下，扣减该站季度全部运维款（该站点季度运维款以中标价/120计）。合同到期时，综合全年考核评分情况后按照合同要求支付运维期的运行费。</w:t>
      </w:r>
      <w:r/>
    </w:p>
    <w:p>
      <w:pPr>
        <w:pStyle w:val="71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注：以上付款均无银行利息，一律通过银行结转；采购人在付款前，供应商应先向采购人提供等额有效的发票，否则采购人有权拒付款项，且不承担任何责任。</w:t>
      </w:r>
      <w:r/>
    </w:p>
    <w:p>
      <w:pPr>
        <w:pStyle w:val="716"/>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716"/>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716"/>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10.1甲方依法组织履约验收</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工作。</w:t>
      </w:r>
      <w:r/>
    </w:p>
    <w:p>
      <w:pPr>
        <w:pStyle w:val="716"/>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6"/>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716"/>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716"/>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甲方按照采购合同的约定对每一项技术、服务、安全标准的履约情况进行确认。验收结束后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验收小组出具验收</w:t>
      </w:r>
      <w:r>
        <w:rPr>
          <w:rFonts w:hint="eastAsia" w:ascii="宋体" w:hAnsi="宋体" w:eastAsia="宋体" w:cs="宋体"/>
          <w:color w:val="auto"/>
          <w:sz w:val="24"/>
          <w:szCs w:val="24"/>
          <w:highlight w:val="none"/>
          <w:lang w:eastAsia="zh-CN"/>
        </w:rPr>
        <w:t xml:space="preserve">考核证明，</w:t>
      </w:r>
      <w:r>
        <w:rPr>
          <w:rFonts w:hint="eastAsia" w:ascii="宋体" w:hAnsi="宋体" w:eastAsia="宋体" w:cs="宋体"/>
          <w:color w:val="auto"/>
          <w:sz w:val="24"/>
          <w:szCs w:val="24"/>
          <w:highlight w:val="none"/>
        </w:rPr>
        <w:t xml:space="preserve">列明各项标准的验收情况及项目总体评价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由验收双方共同签署。验收结果与采购合同约定的资金支付及履约保证金返还条件挂钩。履约验收的各项资料存档备查。</w:t>
      </w:r>
      <w:r/>
    </w:p>
    <w:p>
      <w:pPr>
        <w:pStyle w:val="716"/>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10.6</w:t>
      </w:r>
      <w:r>
        <w:rPr>
          <w:rFonts w:hint="eastAsia" w:ascii="宋体" w:hAnsi="宋体" w:eastAsia="宋体" w:cs="宋体"/>
          <w:color w:val="auto"/>
          <w:sz w:val="24"/>
          <w:szCs w:val="24"/>
          <w:highlight w:val="none"/>
          <w:lang w:val="en-US" w:eastAsia="zh-CN"/>
        </w:rPr>
        <w:t xml:space="preserve">项目考核情况汇总后，</w:t>
      </w:r>
      <w:r>
        <w:rPr>
          <w:rFonts w:hint="eastAsia" w:ascii="宋体" w:hAnsi="宋体" w:eastAsia="宋体" w:cs="宋体"/>
          <w:color w:val="auto"/>
          <w:sz w:val="24"/>
          <w:szCs w:val="24"/>
          <w:highlight w:val="none"/>
        </w:rPr>
        <w:t xml:space="preserve">甲方根据采购合同的约定及时向乙方支付合同款项、退还履约保证金。采购合同的履行、违约责任和解决争议的方式等适用《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716"/>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716"/>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11.2甲方无故逾期验收和办理合同款项支付手续的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pStyle w:val="716"/>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716"/>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11.4乙方所提供服务的标准不符合合同规定及招标文件规定标准</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，甲方有权拒绝接受服务，并可单方面解除合同</w:t>
      </w:r>
      <w:r>
        <w:rPr>
          <w:rFonts w:hint="eastAsia" w:ascii="宋体" w:hAnsi="宋体" w:eastAsia="宋体" w:cs="宋体"/>
          <w:color w:val="auto"/>
          <w:sz w:val="24"/>
          <w:szCs w:val="24"/>
          <w:highlight w:val="none"/>
          <w:lang w:eastAsia="zh-CN"/>
        </w:rPr>
        <w:t xml:space="preserve">，解除合同的，乙方应当及时退还已支付的预付款</w:t>
      </w:r>
      <w:r>
        <w:rPr>
          <w:rFonts w:hint="eastAsia" w:ascii="宋体" w:hAnsi="宋体" w:eastAsia="宋体" w:cs="宋体"/>
          <w:color w:val="auto"/>
          <w:sz w:val="24"/>
          <w:szCs w:val="24"/>
          <w:highlight w:val="none"/>
        </w:rPr>
        <w:t xml:space="preserve">。</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716"/>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 期相同。</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十三、安全责任划分</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乙方参与项目服务的人员人身安全及保障责任由乙方全权承担。</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、解决争议的方法</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14.1合同经双方法定代表人或授权委托代表人签字并加盖单位公章后生效。</w:t>
      </w:r>
      <w:r/>
    </w:p>
    <w:p>
      <w:pPr>
        <w:pStyle w:val="716"/>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pStyle w:val="716"/>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14.3 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叁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71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716"/>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16"/>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rPr>
          <w:color w:val="auto"/>
        </w:rPr>
      </w:pP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1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w:t>
      </w:r>
      <w:bookmarkEnd w:id="174"/>
      <w:r>
        <w:rPr>
          <w:rFonts w:hint="eastAsia" w:ascii="黑体" w:hAnsi="宋体" w:eastAsia="黑体" w:cs="黑体"/>
          <w:color w:val="auto"/>
          <w:sz w:val="44"/>
          <w:szCs w:val="44"/>
          <w:highlight w:val="none"/>
        </w:rPr>
        <w:t xml:space="preserve">四章 采购需求</w:t>
      </w:r>
      <w:bookmarkEnd w:id="175"/>
      <w:r/>
      <w:bookmarkEnd w:id="176"/>
      <w:r/>
      <w:bookmarkEnd w:id="177"/>
      <w:r/>
      <w:bookmarkEnd w:id="178"/>
      <w:r/>
      <w:bookmarkEnd w:id="179"/>
      <w:r/>
      <w:r/>
    </w:p>
    <w:p>
      <w:pPr>
        <w:pStyle w:val="716"/>
        <w:ind w:firstLine="480"/>
        <w:jc w:val="both"/>
        <w:keepLines w:val="0"/>
        <w:keepNext w:val="0"/>
        <w:pageBreakBefore w:val="0"/>
        <w:spacing w:beforeAutospacing="0" w:afterAutospacing="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181" w:name="_Toc49090575"/>
      <w:r/>
      <w:bookmarkStart w:id="182" w:name="_Toc26554093"/>
      <w:r/>
      <w:bookmarkStart w:id="183" w:name="_Toc120614281"/>
      <w:r>
        <w:rPr>
          <w:rFonts w:hint="eastAsia" w:ascii="宋体" w:hAnsi="宋体" w:eastAsia="宋体" w:cs="宋体"/>
          <w:color w:val="000000" w:themeColor="text1"/>
          <w:highlight w:val="none"/>
          <w:lang w:val="en-US" w:eastAsia="zh-CN"/>
          <w14:textFill>
            <w14:solidFill>
              <w14:schemeClr w14:val="tx1"/>
            </w14:solidFill>
          </w14:textFill>
        </w:rPr>
        <w:t xml:space="preserve">项目属性：服务类项目。</w:t>
      </w:r>
      <w:bookmarkEnd w:id="181"/>
      <w:r/>
      <w:bookmarkEnd w:id="182"/>
      <w:r/>
      <w:r/>
    </w:p>
    <w:p>
      <w:pPr>
        <w:pStyle w:val="719"/>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一、项目概述</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bookmarkStart w:id="184" w:name="_Toc97295831"/>
      <w:r>
        <w:rPr>
          <w:rFonts w:hint="eastAsia" w:ascii="宋体" w:hAnsi="宋体" w:eastAsia="宋体" w:cs="宋体"/>
          <w:color w:val="000000" w:themeColor="text1"/>
          <w:sz w:val="24"/>
          <w:highlight w:val="none"/>
          <w:lang w:val="en-US" w:eastAsia="zh-CN"/>
          <w14:textFill>
            <w14:solidFill>
              <w14:schemeClr w14:val="tx1"/>
            </w14:solidFill>
          </w14:textFill>
        </w:rPr>
        <w:t xml:space="preserve">1、项目名称</w:t>
      </w:r>
      <w:bookmarkEnd w:id="184"/>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hAnsi="宋体" w:eastAsia="宋体" w:cs="宋体"/>
          <w:color w:val="000000" w:themeColor="text1"/>
          <w:sz w:val="24"/>
          <w:highlight w:val="none"/>
          <w:lang w:val="en-US" w:eastAsia="zh-CN"/>
          <w14:textFill>
            <w14:solidFill>
              <w14:schemeClr w14:val="tx1"/>
            </w14:solidFill>
          </w14:textFill>
        </w:rPr>
        <w:t xml:space="preserve">东台市2026年度30座水质自动站运维项目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bookmarkStart w:id="185" w:name="_Toc97295832"/>
      <w:r>
        <w:rPr>
          <w:rFonts w:hint="eastAsia" w:ascii="宋体" w:hAnsi="宋体" w:eastAsia="宋体" w:cs="宋体"/>
          <w:color w:val="000000" w:themeColor="text1"/>
          <w:sz w:val="24"/>
          <w:highlight w:val="none"/>
          <w:lang w:val="en-US" w:eastAsia="zh-CN"/>
          <w14:textFill>
            <w14:solidFill>
              <w14:schemeClr w14:val="tx1"/>
            </w14:solidFill>
          </w14:textFill>
        </w:rPr>
        <w:t xml:space="preserve">2、项目背景：为规范管理市控水质自动监测站的运维管理，提高监测数据的准确性、稳定性，为全市各类水质预警、溯源、管理和防治发挥作用。</w:t>
      </w:r>
      <w:bookmarkEnd w:id="185"/>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bookmarkStart w:id="186" w:name="_Toc97295833"/>
      <w:r>
        <w:rPr>
          <w:rFonts w:hint="eastAsia"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、预算金额及最高限价：人民币</w:t>
      </w:r>
      <w:r>
        <w:rPr>
          <w:rFonts w:hint="eastAsia" w:hAnsi="宋体" w:eastAsia="宋体" w:cs="宋体"/>
          <w:color w:val="000000" w:themeColor="text1"/>
          <w:sz w:val="24"/>
          <w:highlight w:val="none"/>
          <w:lang w:val="en-US" w:eastAsia="zh-CN"/>
          <w14:textFill>
            <w14:solidFill>
              <w14:schemeClr w14:val="tx1"/>
            </w14:solidFill>
          </w14:textFill>
        </w:rPr>
        <w:t xml:space="preserve">274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万元。</w:t>
      </w:r>
      <w:bookmarkEnd w:id="186"/>
      <w:r/>
    </w:p>
    <w:p>
      <w:pPr>
        <w:pStyle w:val="719"/>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hAnsi="宋体" w:eastAsia="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、采购标的均所属</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 其他未列明行业 </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，根据《工业和信息化部、国家统计局、国家发展和改革委员会、财政部关于印发中小企业划型标准规定的通知》（工信部联企业[2011]300号）规定的划分标准填写。</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清单</w:t>
      </w:r>
      <w:r/>
    </w:p>
    <w:tbl>
      <w:tblPr>
        <w:tblStyle w:val="7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3782"/>
        <w:gridCol w:w="3178"/>
        <w:gridCol w:w="1069"/>
        <w:gridCol w:w="1090"/>
      </w:tblGrid>
      <w:tr>
        <w:trPr>
          <w:trHeight w:val="567"/>
        </w:trPr>
        <w:tc>
          <w:tcPr>
            <w:tcW w:w="423" w:type="pct"/>
            <w:vAlign w:val="center"/>
            <w:textDirection w:val="lrTb"/>
            <w:noWrap w:val="false"/>
          </w:tcPr>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序号</w:t>
            </w:r>
            <w:r/>
          </w:p>
        </w:tc>
        <w:tc>
          <w:tcPr>
            <w:tcW w:w="1897" w:type="pct"/>
            <w:vAlign w:val="center"/>
            <w:textDirection w:val="lrTb"/>
            <w:noWrap w:val="false"/>
          </w:tcPr>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标的名称</w:t>
            </w:r>
            <w:r/>
          </w:p>
        </w:tc>
        <w:tc>
          <w:tcPr>
            <w:tcW w:w="1594" w:type="pct"/>
            <w:vAlign w:val="center"/>
            <w:textDirection w:val="lrTb"/>
            <w:noWrap w:val="false"/>
          </w:tcPr>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品目</w:t>
            </w:r>
            <w:r/>
          </w:p>
        </w:tc>
        <w:tc>
          <w:tcPr>
            <w:tcW w:w="536" w:type="pct"/>
            <w:vAlign w:val="center"/>
            <w:textDirection w:val="lrTb"/>
            <w:noWrap w:val="false"/>
          </w:tcPr>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数量</w:t>
            </w:r>
            <w:r/>
          </w:p>
        </w:tc>
        <w:tc>
          <w:tcPr>
            <w:tcW w:w="547" w:type="pct"/>
            <w:vAlign w:val="center"/>
            <w:textDirection w:val="lrTb"/>
            <w:noWrap w:val="false"/>
          </w:tcPr>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单位</w:t>
            </w:r>
            <w:r/>
          </w:p>
        </w:tc>
      </w:tr>
      <w:tr>
        <w:trPr>
          <w:trHeight w:val="567"/>
        </w:trPr>
        <w:tc>
          <w:tcPr>
            <w:tcW w:w="423" w:type="pct"/>
            <w:vAlign w:val="center"/>
            <w:textDirection w:val="lrTb"/>
            <w:noWrap w:val="false"/>
          </w:tcPr>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W w:w="1897" w:type="pct"/>
            <w:vAlign w:val="center"/>
            <w:textDirection w:val="lrTb"/>
            <w:noWrap w:val="false"/>
          </w:tcPr>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hAnsi="宋体" w:eastAsia="宋体" w:cs="宋体"/>
                <w:color w:val="000000" w:themeColor="text1"/>
                <w:sz w:val="24"/>
                <w:highlight w:val="none"/>
                <w:lang w:val="zh-CN" w:eastAsia="zh-CN"/>
                <w14:textFill>
                  <w14:solidFill>
                    <w14:schemeClr w14:val="tx1"/>
                  </w14:solidFill>
                </w14:textFill>
              </w:rPr>
              <w:t xml:space="preserve">东台市2026年度30座水质自动站运维项目</w:t>
            </w:r>
            <w:r/>
          </w:p>
        </w:tc>
        <w:tc>
          <w:tcPr>
            <w:tcW w:w="1594" w:type="pct"/>
            <w:vAlign w:val="center"/>
            <w:textDirection w:val="lrTb"/>
            <w:noWrap w:val="false"/>
          </w:tcPr>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C0702900 </w:t>
            </w:r>
            <w:r/>
          </w:p>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其他生态环境治理服务</w:t>
            </w:r>
            <w:r/>
          </w:p>
        </w:tc>
        <w:tc>
          <w:tcPr>
            <w:tcW w:w="536" w:type="pct"/>
            <w:vAlign w:val="center"/>
            <w:textDirection w:val="lrTb"/>
            <w:noWrap w:val="false"/>
          </w:tcPr>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W w:w="547" w:type="pct"/>
            <w:vAlign w:val="center"/>
            <w:textDirection w:val="lrTb"/>
            <w:noWrap w:val="false"/>
          </w:tcPr>
          <w:p>
            <w:pPr>
              <w:pStyle w:val="719"/>
              <w:ind w:firstLine="0"/>
              <w:jc w:val="center"/>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w:t>
            </w:r>
            <w:r/>
          </w:p>
        </w:tc>
      </w:tr>
    </w:tbl>
    <w:p>
      <w:pPr>
        <w:pStyle w:val="719"/>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二、项目执行的相关标准</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符合国家、省、市相关标准、强制性标准，并通过相关部门审查，通过相关行政主管部门评审。</w:t>
      </w:r>
      <w:r/>
    </w:p>
    <w:p>
      <w:pPr>
        <w:pStyle w:val="719"/>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三、技术要求及服务工作要求</w:t>
      </w:r>
      <w:r/>
    </w:p>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水质自动监测站基本情况</w:t>
      </w:r>
      <w:r/>
    </w:p>
    <w:tbl>
      <w:tblPr>
        <w:tblStyle w:val="710"/>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2"/>
        <w:gridCol w:w="872"/>
        <w:gridCol w:w="2089"/>
        <w:gridCol w:w="1482"/>
        <w:gridCol w:w="1330"/>
        <w:gridCol w:w="2697"/>
      </w:tblGrid>
      <w:tr>
        <w:trPr>
          <w:jc w:val="center"/>
          <w:trHeight w:val="283"/>
        </w:trPr>
        <w:tc>
          <w:tcPr>
            <w:tcW w:w="744"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功能属性</w:t>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049"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自动站名称</w:t>
            </w:r>
            <w:r/>
          </w:p>
        </w:tc>
        <w:tc>
          <w:tcPr>
            <w:tcW w:w="744"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经度</w:t>
            </w:r>
            <w:r/>
          </w:p>
        </w:tc>
        <w:tc>
          <w:tcPr>
            <w:tcW w:w="66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纬度</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正式投入使用</w:t>
            </w:r>
            <w:r>
              <w:rPr>
                <w:rFonts w:hint="eastAsia" w:ascii="宋体" w:hAnsi="宋体" w:eastAsia="宋体" w:cs="宋体"/>
                <w:color w:val="000000" w:themeColor="text1"/>
                <w:sz w:val="24"/>
                <w:szCs w:val="24"/>
                <w:highlight w:val="none"/>
                <w14:textFill>
                  <w14:solidFill>
                    <w14:schemeClr w14:val="tx1"/>
                  </w14:solidFill>
                </w14:textFill>
              </w:rPr>
              <w:t xml:space="preserve">时间</w:t>
            </w:r>
            <w:r/>
          </w:p>
        </w:tc>
      </w:tr>
      <w:tr>
        <w:trPr>
          <w:jc w:val="center"/>
          <w:trHeight w:val="283"/>
        </w:trPr>
        <w:tc>
          <w:tcPr>
            <w:tcW w:w="744" w:type="pct"/>
            <w:vAlign w:val="center"/>
            <w:vMerge w:val="restart"/>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国省考断面上游小型水质自动站</w:t>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胶管厂站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120.6741</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32.8854</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联北桥站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120.7286</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32.8092</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蚌蜓河中桥站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120.2574</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32.8355</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李灶村站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120.5767</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32.7736</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徐墩村站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120.5736</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32.8078</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庙子口站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120.5175</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32.8379</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陈丿村站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120.5122</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32.8157</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元兴村站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120.4489</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32.8091</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陶灶大桥站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120.4132</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32.7890</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戴家墩站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120.3712</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32.8074</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新灶村站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120.4324</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32.7036</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安时河东站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120.4118</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32.7350</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红安桥站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120.4556</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32.7592</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联合二组站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120.3986</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32.7580</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串场河中桥站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120.3807</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32.7455</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梁北村站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120.3505</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32.7982</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蟒河渡口站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120.3087</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32.9165</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宁海大桥站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120.2872</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32.8643</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广山河口桥站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120.2589</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32.8144</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五星村站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120.2079</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32.7659</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前进砖瓦厂站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120.1535</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32.6932</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38"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p>
        </w:tc>
        <w:tc>
          <w:tcPr>
            <w:tcW w:w="1049"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富洋村站</w:t>
            </w:r>
            <w:r/>
          </w:p>
        </w:tc>
        <w:tc>
          <w:tcPr>
            <w:tcW w:w="744"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120.4122</w:t>
            </w:r>
            <w:r/>
          </w:p>
        </w:tc>
        <w:tc>
          <w:tcPr>
            <w:tcW w:w="668"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32.8300</w:t>
            </w:r>
            <w:r/>
          </w:p>
        </w:tc>
        <w:tc>
          <w:tcPr>
            <w:tcW w:w="1354" w:type="pct"/>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2021年5月</w:t>
            </w:r>
            <w:r/>
          </w:p>
        </w:tc>
      </w:tr>
      <w:tr>
        <w:trPr>
          <w:jc w:val="center"/>
          <w:trHeight w:val="283"/>
        </w:trPr>
        <w:tc>
          <w:tcPr>
            <w:tcW w:w="744" w:type="pct"/>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水站</w:t>
            </w:r>
            <w:r/>
          </w:p>
        </w:tc>
        <w:tc>
          <w:tcPr>
            <w:tcW w:w="438" w:type="pct"/>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p>
        </w:tc>
        <w:tc>
          <w:tcPr>
            <w:tcW w:w="104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东台河提水站</w:t>
            </w:r>
            <w:r/>
          </w:p>
        </w:tc>
        <w:tc>
          <w:tcPr>
            <w:tcW w:w="74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120.3449</w:t>
            </w:r>
            <w:r/>
          </w:p>
        </w:tc>
        <w:tc>
          <w:tcPr>
            <w:tcW w:w="66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32.8425</w:t>
            </w:r>
            <w:r/>
          </w:p>
        </w:tc>
        <w:tc>
          <w:tcPr>
            <w:tcW w:w="1354" w:type="pct"/>
            <w:vAlign w:val="top"/>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2020年12月</w:t>
            </w:r>
            <w:r/>
          </w:p>
        </w:tc>
      </w:tr>
      <w:tr>
        <w:trPr>
          <w:jc w:val="center"/>
          <w:trHeight w:val="283"/>
        </w:trPr>
        <w:tc>
          <w:tcPr>
            <w:shd w:val="clear" w:color="auto" w:fill="auto"/>
            <w:tcW w:w="744" w:type="pct"/>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7座</w:t>
            </w:r>
            <w:r>
              <w:rPr>
                <w:rFonts w:hint="eastAsia" w:ascii="宋体" w:hAnsi="宋体" w:eastAsia="宋体" w:cs="宋体"/>
                <w:color w:val="auto"/>
                <w:sz w:val="24"/>
                <w:szCs w:val="24"/>
                <w:highlight w:val="none"/>
                <w:lang w:eastAsia="zh-CN"/>
              </w:rPr>
              <w:t xml:space="preserve">水站</w:t>
            </w:r>
            <w:r/>
          </w:p>
        </w:tc>
        <w:tc>
          <w:tcPr>
            <w:shd w:val="clear" w:color="auto" w:fill="auto"/>
            <w:tcW w:w="43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24</w:t>
            </w:r>
            <w:r/>
          </w:p>
        </w:tc>
        <w:tc>
          <w:tcPr>
            <w:shd w:val="clear" w:color="auto" w:fill="auto"/>
            <w:tcW w:w="1049"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沙港站</w:t>
            </w:r>
            <w:r/>
          </w:p>
        </w:tc>
        <w:tc>
          <w:tcPr>
            <w:shd w:val="clear" w:color="auto" w:fill="auto"/>
            <w:tcW w:w="74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120.583702</w:t>
            </w:r>
            <w:r/>
          </w:p>
        </w:tc>
        <w:tc>
          <w:tcPr>
            <w:shd w:val="clear" w:color="auto" w:fill="auto"/>
            <w:tcW w:w="66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32.672902</w:t>
            </w:r>
            <w:r/>
          </w:p>
        </w:tc>
        <w:tc>
          <w:tcPr>
            <w:shd w:val="clear" w:color="auto" w:fill="auto"/>
            <w:tcW w:w="1354" w:type="pct"/>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2024年7月</w:t>
            </w:r>
            <w:r/>
          </w:p>
        </w:tc>
      </w:tr>
      <w:tr>
        <w:trPr>
          <w:jc w:val="center"/>
          <w:trHeight w:val="283"/>
        </w:trPr>
        <w:tc>
          <w:tcPr>
            <w:shd w:val="clear" w:color="auto" w:fill="auto"/>
            <w:tcW w:w="744"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43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25</w:t>
            </w:r>
            <w:r/>
          </w:p>
        </w:tc>
        <w:tc>
          <w:tcPr>
            <w:shd w:val="clear" w:color="auto" w:fill="auto"/>
            <w:tcW w:w="1049"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张灶站</w:t>
            </w:r>
            <w:r/>
          </w:p>
        </w:tc>
        <w:tc>
          <w:tcPr>
            <w:shd w:val="clear" w:color="auto" w:fill="auto"/>
            <w:tcW w:w="74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120.640018</w:t>
            </w:r>
            <w:r/>
          </w:p>
        </w:tc>
        <w:tc>
          <w:tcPr>
            <w:shd w:val="clear" w:color="auto" w:fill="auto"/>
            <w:tcW w:w="66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32.673538</w:t>
            </w:r>
            <w:r/>
          </w:p>
        </w:tc>
        <w:tc>
          <w:tcPr>
            <w:shd w:val="clear" w:color="auto" w:fill="auto"/>
            <w:tcW w:w="1354" w:type="pct"/>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2024年7月</w:t>
            </w:r>
            <w:r/>
          </w:p>
        </w:tc>
      </w:tr>
      <w:tr>
        <w:trPr>
          <w:jc w:val="center"/>
          <w:trHeight w:val="283"/>
        </w:trPr>
        <w:tc>
          <w:tcPr>
            <w:shd w:val="clear" w:color="auto" w:fill="auto"/>
            <w:tcW w:w="744"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43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26</w:t>
            </w:r>
            <w:r/>
          </w:p>
        </w:tc>
        <w:tc>
          <w:tcPr>
            <w:shd w:val="clear" w:color="auto" w:fill="auto"/>
            <w:tcW w:w="1049"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方塘桥站</w:t>
            </w:r>
            <w:r/>
          </w:p>
        </w:tc>
        <w:tc>
          <w:tcPr>
            <w:shd w:val="clear" w:color="auto" w:fill="auto"/>
            <w:tcW w:w="74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120.684114</w:t>
            </w:r>
            <w:r/>
          </w:p>
        </w:tc>
        <w:tc>
          <w:tcPr>
            <w:shd w:val="clear" w:color="auto" w:fill="auto"/>
            <w:tcW w:w="66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32.674474</w:t>
            </w:r>
            <w:r/>
          </w:p>
        </w:tc>
        <w:tc>
          <w:tcPr>
            <w:shd w:val="clear" w:color="auto" w:fill="auto"/>
            <w:tcW w:w="1354" w:type="pct"/>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2024年7月</w:t>
            </w:r>
            <w:r/>
          </w:p>
        </w:tc>
      </w:tr>
      <w:tr>
        <w:trPr>
          <w:jc w:val="center"/>
          <w:trHeight w:val="283"/>
        </w:trPr>
        <w:tc>
          <w:tcPr>
            <w:shd w:val="clear" w:color="auto" w:fill="auto"/>
            <w:tcW w:w="744"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43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27</w:t>
            </w:r>
            <w:r/>
          </w:p>
        </w:tc>
        <w:tc>
          <w:tcPr>
            <w:shd w:val="clear" w:color="auto" w:fill="auto"/>
            <w:tcW w:w="1049"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中苴站</w:t>
            </w:r>
            <w:r/>
          </w:p>
        </w:tc>
        <w:tc>
          <w:tcPr>
            <w:shd w:val="clear" w:color="auto" w:fill="auto"/>
            <w:tcW w:w="74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120.730162 </w:t>
            </w:r>
            <w:r/>
          </w:p>
        </w:tc>
        <w:tc>
          <w:tcPr>
            <w:shd w:val="clear" w:color="auto" w:fill="auto"/>
            <w:tcW w:w="66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32.674881</w:t>
            </w:r>
            <w:r/>
          </w:p>
        </w:tc>
        <w:tc>
          <w:tcPr>
            <w:shd w:val="clear" w:color="auto" w:fill="auto"/>
            <w:tcW w:w="1354" w:type="pct"/>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2024年7月</w:t>
            </w:r>
            <w:r/>
          </w:p>
        </w:tc>
      </w:tr>
      <w:tr>
        <w:trPr>
          <w:jc w:val="center"/>
          <w:trHeight w:val="283"/>
        </w:trPr>
        <w:tc>
          <w:tcPr>
            <w:shd w:val="clear" w:color="auto" w:fill="auto"/>
            <w:tcW w:w="744"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43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28</w:t>
            </w:r>
            <w:r/>
          </w:p>
        </w:tc>
        <w:tc>
          <w:tcPr>
            <w:shd w:val="clear" w:color="auto" w:fill="auto"/>
            <w:tcW w:w="1049"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陈文站</w:t>
            </w:r>
            <w:r/>
          </w:p>
        </w:tc>
        <w:tc>
          <w:tcPr>
            <w:shd w:val="clear" w:color="auto" w:fill="auto"/>
            <w:tcW w:w="74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120.785887</w:t>
            </w:r>
            <w:r/>
          </w:p>
        </w:tc>
        <w:tc>
          <w:tcPr>
            <w:shd w:val="clear" w:color="auto" w:fill="auto"/>
            <w:tcW w:w="66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32.728066</w:t>
            </w:r>
            <w:r/>
          </w:p>
        </w:tc>
        <w:tc>
          <w:tcPr>
            <w:shd w:val="clear" w:color="auto" w:fill="auto"/>
            <w:tcW w:w="1354" w:type="pct"/>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2024年7月</w:t>
            </w:r>
            <w:r/>
          </w:p>
        </w:tc>
      </w:tr>
      <w:tr>
        <w:trPr>
          <w:jc w:val="center"/>
          <w:trHeight w:val="283"/>
        </w:trPr>
        <w:tc>
          <w:tcPr>
            <w:shd w:val="clear" w:color="auto" w:fill="auto"/>
            <w:tcW w:w="744"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43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29</w:t>
            </w:r>
            <w:r/>
          </w:p>
        </w:tc>
        <w:tc>
          <w:tcPr>
            <w:shd w:val="clear" w:color="auto" w:fill="auto"/>
            <w:tcW w:w="1049"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总渠站</w:t>
            </w:r>
            <w:r/>
          </w:p>
        </w:tc>
        <w:tc>
          <w:tcPr>
            <w:shd w:val="clear" w:color="auto" w:fill="auto"/>
            <w:tcW w:w="74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120.785366</w:t>
            </w:r>
            <w:r/>
          </w:p>
        </w:tc>
        <w:tc>
          <w:tcPr>
            <w:shd w:val="clear" w:color="auto" w:fill="auto"/>
            <w:tcW w:w="66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32.809569</w:t>
            </w:r>
            <w:r/>
          </w:p>
        </w:tc>
        <w:tc>
          <w:tcPr>
            <w:shd w:val="clear" w:color="auto" w:fill="auto"/>
            <w:tcW w:w="1354" w:type="pct"/>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2024年7月</w:t>
            </w:r>
            <w:r/>
          </w:p>
        </w:tc>
      </w:tr>
      <w:tr>
        <w:trPr>
          <w:jc w:val="center"/>
          <w:trHeight w:val="283"/>
        </w:trPr>
        <w:tc>
          <w:tcPr>
            <w:shd w:val="clear" w:color="auto" w:fill="auto"/>
            <w:tcW w:w="744" w:type="pct"/>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43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30</w:t>
            </w:r>
            <w:r/>
          </w:p>
        </w:tc>
        <w:tc>
          <w:tcPr>
            <w:shd w:val="clear" w:color="auto" w:fill="auto"/>
            <w:tcW w:w="1049"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新港干河大桥站</w:t>
            </w:r>
            <w:r/>
          </w:p>
        </w:tc>
        <w:tc>
          <w:tcPr>
            <w:shd w:val="clear" w:color="auto" w:fill="auto"/>
            <w:tcW w:w="74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120.813861</w:t>
            </w:r>
            <w:r/>
          </w:p>
        </w:tc>
        <w:tc>
          <w:tcPr>
            <w:shd w:val="clear" w:color="auto" w:fill="auto"/>
            <w:tcW w:w="668"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rPr>
              <w:t xml:space="preserve">32.643024</w:t>
            </w:r>
            <w:r/>
          </w:p>
        </w:tc>
        <w:tc>
          <w:tcPr>
            <w:shd w:val="clear" w:color="auto" w:fill="auto"/>
            <w:tcW w:w="1354" w:type="pct"/>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2024年7月</w:t>
            </w:r>
            <w:r/>
          </w:p>
        </w:tc>
      </w:tr>
    </w:tbl>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主要仪器设备信息</w:t>
      </w:r>
      <w:r/>
    </w:p>
    <w:tbl>
      <w:tblPr>
        <w:tblStyle w:val="71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04"/>
        <w:gridCol w:w="2266"/>
        <w:gridCol w:w="3438"/>
        <w:gridCol w:w="2605"/>
        <w:gridCol w:w="849"/>
      </w:tblGrid>
      <w:tr>
        <w:trPr>
          <w:jc w:val="center"/>
          <w:trHeight w:val="283"/>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gridSpan w:val="3"/>
            <w:tcBorders>
              <w:top w:val="single" w:color="000000" w:sz="4" w:space="0"/>
              <w:left w:val="none" w:color="000000" w:sz="4" w:space="0"/>
              <w:bottom w:val="single" w:color="000000" w:sz="4" w:space="0"/>
              <w:right w:val="single" w:color="000000" w:sz="4" w:space="0"/>
            </w:tcBorders>
            <w:tcW w:w="4169"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设备名称</w:t>
            </w:r>
            <w:r/>
          </w:p>
        </w:tc>
        <w:tc>
          <w:tcPr>
            <w:tcBorders>
              <w:top w:val="singl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单位及数量</w:t>
            </w:r>
            <w:r/>
          </w:p>
        </w:tc>
      </w:tr>
      <w:tr>
        <w:trPr>
          <w:jc w:val="center"/>
          <w:trHeight w:val="283"/>
        </w:trPr>
        <w:tc>
          <w:tcPr>
            <w:tcBorders>
              <w:top w:val="single" w:color="000000" w:sz="4" w:space="0"/>
              <w:left w:val="single" w:color="000000" w:sz="4" w:space="0"/>
              <w:right w:val="single" w:color="000000" w:sz="4" w:space="0"/>
            </w:tcBorders>
            <w:tcW w:w="404" w:type="pct"/>
            <w:vAlign w:val="center"/>
            <w:vMerge w:val="restart"/>
            <w:textDirection w:val="lrTb"/>
            <w:noWrap w:val="false"/>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000000" w:sz="4" w:space="0"/>
              <w:left w:val="none" w:color="000000" w:sz="4" w:space="0"/>
              <w:right w:val="single" w:color="000000" w:sz="4" w:space="0"/>
            </w:tcBorders>
            <w:tcW w:w="1137" w:type="pct"/>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五参数分析仪、氨氮分析仪、总磷分析仪、总氮分析仪、高锰酸盐指数分析仪</w:t>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品名</w:t>
            </w:r>
            <w:r/>
          </w:p>
        </w:tc>
        <w:tc>
          <w:tcPr>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型号</w:t>
            </w:r>
            <w:r/>
          </w:p>
        </w:tc>
        <w:tc>
          <w:tcPr>
            <w:tcBorders>
              <w:top w:val="single" w:color="000000" w:sz="4" w:space="0"/>
              <w:left w:val="none" w:color="000000" w:sz="4" w:space="0"/>
              <w:right w:val="single" w:color="000000" w:sz="4" w:space="0"/>
            </w:tcBorders>
            <w:tcW w:w="426" w:type="pct"/>
            <w:vAlign w:val="center"/>
            <w:vMerge w:val="restart"/>
            <w:textDirection w:val="lrTb"/>
            <w:noWrap w:val="false"/>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29套</w:t>
            </w:r>
            <w:r/>
          </w:p>
        </w:tc>
      </w:tr>
      <w:tr>
        <w:trPr>
          <w:jc w:val="center"/>
          <w:trHeight w:val="283"/>
        </w:trPr>
        <w:tc>
          <w:tcPr>
            <w:tcBorders>
              <w:left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left w:val="none" w:color="000000" w:sz="4" w:space="0"/>
              <w:right w:val="single" w:color="000000" w:sz="4" w:space="0"/>
            </w:tcBorders>
            <w:tcW w:w="11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五参数自动分析仪（水温、pH、溶解氧、电导率、浊度）</w:t>
            </w:r>
            <w:r/>
          </w:p>
        </w:tc>
        <w:tc>
          <w:tcPr>
            <w:shd w:val="clear" w:color="auto" w:fill="auto"/>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绿洁科技 GR-6600</w:t>
            </w:r>
            <w:r/>
          </w:p>
        </w:tc>
        <w:tc>
          <w:tcPr>
            <w:tcBorders>
              <w:left w:val="none" w:color="000000" w:sz="4" w:space="0"/>
              <w:right w:val="single" w:color="000000" w:sz="4" w:space="0"/>
            </w:tcBorders>
            <w:tcW w:w="426"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3"/>
        </w:trPr>
        <w:tc>
          <w:tcPr>
            <w:tcBorders>
              <w:left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left w:val="none" w:color="000000" w:sz="4" w:space="0"/>
              <w:right w:val="single" w:color="000000" w:sz="4" w:space="0"/>
            </w:tcBorders>
            <w:tcW w:w="11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氨氮自动分析仪</w:t>
            </w:r>
            <w:r/>
          </w:p>
        </w:tc>
        <w:tc>
          <w:tcPr>
            <w:shd w:val="clear" w:color="auto" w:fill="auto"/>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绿洁科技 </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GR-</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3411</w:t>
            </w:r>
            <w:r/>
          </w:p>
        </w:tc>
        <w:tc>
          <w:tcPr>
            <w:tcBorders>
              <w:left w:val="none" w:color="000000" w:sz="4" w:space="0"/>
              <w:right w:val="single" w:color="000000" w:sz="4" w:space="0"/>
            </w:tcBorders>
            <w:tcW w:w="426"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3"/>
        </w:trPr>
        <w:tc>
          <w:tcPr>
            <w:tcBorders>
              <w:left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left w:val="none" w:color="000000" w:sz="4" w:space="0"/>
              <w:right w:val="single" w:color="000000" w:sz="4" w:space="0"/>
            </w:tcBorders>
            <w:tcW w:w="11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高锰酸盐指数自动分析仪</w:t>
            </w:r>
            <w:r/>
          </w:p>
        </w:tc>
        <w:tc>
          <w:tcPr>
            <w:shd w:val="clear" w:color="auto" w:fill="auto"/>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绿洁科技 </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GR-</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2110</w:t>
            </w:r>
            <w:r/>
          </w:p>
        </w:tc>
        <w:tc>
          <w:tcPr>
            <w:tcBorders>
              <w:left w:val="none" w:color="000000" w:sz="4" w:space="0"/>
              <w:right w:val="single" w:color="000000" w:sz="4" w:space="0"/>
            </w:tcBorders>
            <w:tcW w:w="426"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3"/>
        </w:trPr>
        <w:tc>
          <w:tcPr>
            <w:tcBorders>
              <w:left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left w:val="none" w:color="000000" w:sz="4" w:space="0"/>
              <w:right w:val="single" w:color="000000" w:sz="4" w:space="0"/>
            </w:tcBorders>
            <w:tcW w:w="11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总磷自动分析仪</w:t>
            </w:r>
            <w:r/>
          </w:p>
        </w:tc>
        <w:tc>
          <w:tcPr>
            <w:shd w:val="clear" w:color="auto" w:fill="auto"/>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绿洁科技 </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GR-</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3100</w:t>
            </w:r>
            <w:r/>
          </w:p>
        </w:tc>
        <w:tc>
          <w:tcPr>
            <w:tcBorders>
              <w:left w:val="none" w:color="000000" w:sz="4" w:space="0"/>
              <w:right w:val="single" w:color="000000" w:sz="4" w:space="0"/>
            </w:tcBorders>
            <w:tcW w:w="426"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3"/>
        </w:trPr>
        <w:tc>
          <w:tcPr>
            <w:tcBorders>
              <w:left w:val="single" w:color="000000" w:sz="4" w:space="0"/>
              <w:bottom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left w:val="none" w:color="000000" w:sz="4" w:space="0"/>
              <w:bottom w:val="single" w:color="000000" w:sz="4" w:space="0"/>
              <w:right w:val="single" w:color="000000" w:sz="4" w:space="0"/>
            </w:tcBorders>
            <w:tcW w:w="11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总氮自动分析仪</w:t>
            </w:r>
            <w:r/>
          </w:p>
        </w:tc>
        <w:tc>
          <w:tcPr>
            <w:shd w:val="clear" w:color="auto" w:fill="auto"/>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绿洁科技 </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GR-</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2140</w:t>
            </w:r>
            <w:r/>
          </w:p>
        </w:tc>
        <w:tc>
          <w:tcPr>
            <w:tcBorders>
              <w:left w:val="none" w:color="000000" w:sz="4" w:space="0"/>
              <w:bottom w:val="single" w:color="000000" w:sz="4" w:space="0"/>
              <w:right w:val="single" w:color="000000" w:sz="4" w:space="0"/>
            </w:tcBorders>
            <w:tcW w:w="426"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3"/>
        </w:trPr>
        <w:tc>
          <w:tcPr>
            <w:tcBorders>
              <w:left w:val="single" w:color="000000" w:sz="4" w:space="0"/>
              <w:right w:val="single" w:color="000000" w:sz="4" w:space="0"/>
            </w:tcBorders>
            <w:tcW w:w="404" w:type="pct"/>
            <w:vAlign w:val="center"/>
            <w:vMerge w:val="restart"/>
            <w:textDirection w:val="lrTb"/>
            <w:noWrap w:val="false"/>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shd w:val="clear" w:color="auto" w:fill="auto"/>
            <w:tcBorders>
              <w:left w:val="none" w:color="000000" w:sz="4" w:space="0"/>
              <w:right w:val="single" w:color="000000" w:sz="4" w:space="0"/>
            </w:tcBorders>
            <w:tcW w:w="1137" w:type="pct"/>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五参数分析仪、氨氮分析仪、总磷分析仪、总氮分析仪、高锰酸盐指数分析仪</w:t>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五参数自动分析仪（水温、pH、溶解氧、电导率、浊度）</w:t>
            </w:r>
            <w:r/>
          </w:p>
        </w:tc>
        <w:tc>
          <w:tcPr>
            <w:shd w:val="clear" w:color="auto" w:fill="auto"/>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宇星科技</w:t>
            </w:r>
            <w:r/>
          </w:p>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ascii="宋体" w:hAnsi="宋体" w:eastAsia="宋体" w:cs="宋体"/>
                <w:b w:val="0"/>
                <w:bCs w:val="0"/>
                <w:color w:val="000000" w:themeColor="text1"/>
                <w:sz w:val="21"/>
                <w:szCs w:val="21"/>
                <w:highlight w:val="none"/>
                <w14:textFill>
                  <w14:solidFill>
                    <w14:schemeClr w14:val="tx1"/>
                  </w14:solidFill>
                </w14:textFill>
              </w:rPr>
              <w:t xml:space="preserve">YX-五参数</w:t>
            </w:r>
            <w:r/>
          </w:p>
        </w:tc>
        <w:tc>
          <w:tcPr>
            <w:tcBorders>
              <w:left w:val="none" w:color="000000" w:sz="4" w:space="0"/>
              <w:right w:val="single" w:color="000000" w:sz="4" w:space="0"/>
            </w:tcBorders>
            <w:tcW w:w="426" w:type="pct"/>
            <w:vAlign w:val="center"/>
            <w:vMerge w:val="restart"/>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1套</w:t>
            </w:r>
            <w:r/>
          </w:p>
        </w:tc>
      </w:tr>
      <w:tr>
        <w:trPr>
          <w:jc w:val="center"/>
          <w:trHeight w:val="283"/>
        </w:trPr>
        <w:tc>
          <w:tcPr>
            <w:tcBorders>
              <w:left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left w:val="none" w:color="000000" w:sz="4" w:space="0"/>
              <w:right w:val="single" w:color="000000" w:sz="4" w:space="0"/>
            </w:tcBorders>
            <w:tcW w:w="11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氨氮自动分析仪</w:t>
            </w:r>
            <w:r/>
          </w:p>
        </w:tc>
        <w:tc>
          <w:tcPr>
            <w:shd w:val="clear" w:color="auto" w:fill="auto"/>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宇星科</w:t>
            </w:r>
            <w:r>
              <w:rPr>
                <w:rFonts w:ascii="宋体" w:hAnsi="宋体" w:eastAsia="宋体" w:cs="宋体"/>
                <w:b w:val="0"/>
                <w:bCs w:val="0"/>
                <w:color w:val="000000" w:themeColor="text1"/>
                <w:sz w:val="21"/>
                <w:szCs w:val="21"/>
                <w:highlight w:val="none"/>
                <w14:textFill>
                  <w14:solidFill>
                    <w14:schemeClr w14:val="tx1"/>
                  </w14:solidFill>
                </w14:textFill>
              </w:rPr>
              <w:t xml:space="preserve">YX-NH3-N-II</w:t>
            </w:r>
            <w:r/>
          </w:p>
        </w:tc>
        <w:tc>
          <w:tcPr>
            <w:tcBorders>
              <w:left w:val="none" w:color="000000" w:sz="4" w:space="0"/>
              <w:right w:val="single" w:color="000000" w:sz="4" w:space="0"/>
            </w:tcBorders>
            <w:tcW w:w="426"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3"/>
        </w:trPr>
        <w:tc>
          <w:tcPr>
            <w:tcBorders>
              <w:left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left w:val="none" w:color="000000" w:sz="4" w:space="0"/>
              <w:right w:val="single" w:color="000000" w:sz="4" w:space="0"/>
            </w:tcBorders>
            <w:tcW w:w="11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高锰酸盐指数自动分析仪</w:t>
            </w:r>
            <w:r/>
          </w:p>
        </w:tc>
        <w:tc>
          <w:tcPr>
            <w:shd w:val="clear" w:color="auto" w:fill="auto"/>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宇星科技</w:t>
            </w:r>
            <w:r>
              <w:rPr>
                <w:rFonts w:ascii="宋体" w:hAnsi="宋体" w:eastAsia="宋体" w:cs="宋体"/>
                <w:b w:val="0"/>
                <w:bCs w:val="0"/>
                <w:color w:val="000000" w:themeColor="text1"/>
                <w:sz w:val="21"/>
                <w:szCs w:val="21"/>
                <w:highlight w:val="none"/>
                <w14:textFill>
                  <w14:solidFill>
                    <w14:schemeClr w14:val="tx1"/>
                  </w14:solidFill>
                </w14:textFill>
              </w:rPr>
              <w:t xml:space="preserve">YX-CODmn</w:t>
            </w:r>
            <w:r/>
          </w:p>
        </w:tc>
        <w:tc>
          <w:tcPr>
            <w:tcBorders>
              <w:left w:val="none" w:color="000000" w:sz="4" w:space="0"/>
              <w:right w:val="single" w:color="000000" w:sz="4" w:space="0"/>
            </w:tcBorders>
            <w:tcW w:w="426"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3"/>
        </w:trPr>
        <w:tc>
          <w:tcPr>
            <w:tcBorders>
              <w:left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left w:val="none" w:color="000000" w:sz="4" w:space="0"/>
              <w:right w:val="single" w:color="000000" w:sz="4" w:space="0"/>
            </w:tcBorders>
            <w:tcW w:w="11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总磷自动分析仪</w:t>
            </w:r>
            <w:r/>
          </w:p>
        </w:tc>
        <w:tc>
          <w:tcPr>
            <w:shd w:val="clear" w:color="auto" w:fill="auto"/>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宇星科技</w:t>
            </w:r>
            <w:r>
              <w:rPr>
                <w:rFonts w:ascii="宋体" w:hAnsi="宋体" w:eastAsia="宋体" w:cs="宋体"/>
                <w:b w:val="0"/>
                <w:bCs w:val="0"/>
                <w:color w:val="000000" w:themeColor="text1"/>
                <w:sz w:val="21"/>
                <w:szCs w:val="21"/>
                <w:highlight w:val="none"/>
                <w14:textFill>
                  <w14:solidFill>
                    <w14:schemeClr w14:val="tx1"/>
                  </w14:solidFill>
                </w14:textFill>
              </w:rPr>
              <w:t xml:space="preserve">YX-TNP</w:t>
            </w:r>
            <w:r/>
          </w:p>
        </w:tc>
        <w:tc>
          <w:tcPr>
            <w:tcBorders>
              <w:left w:val="none" w:color="000000" w:sz="4" w:space="0"/>
              <w:right w:val="single" w:color="000000" w:sz="4" w:space="0"/>
            </w:tcBorders>
            <w:tcW w:w="426"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3"/>
        </w:trPr>
        <w:tc>
          <w:tcPr>
            <w:tcBorders>
              <w:left w:val="single" w:color="000000" w:sz="4" w:space="0"/>
              <w:bottom w:val="single" w:color="000000" w:sz="4" w:space="0"/>
              <w:right w:val="single" w:color="000000" w:sz="4" w:space="0"/>
            </w:tcBorders>
            <w:tcW w:w="404"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left w:val="none" w:color="000000" w:sz="4" w:space="0"/>
              <w:bottom w:val="single" w:color="000000" w:sz="4" w:space="0"/>
              <w:right w:val="single" w:color="000000" w:sz="4" w:space="0"/>
            </w:tcBorders>
            <w:tcW w:w="11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none" w:color="000000" w:sz="4" w:space="0"/>
              <w:bottom w:val="single" w:color="000000" w:sz="4" w:space="0"/>
              <w:right w:val="single" w:color="000000" w:sz="4" w:space="0"/>
            </w:tcBorders>
            <w:tcW w:w="1725"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总氮自动分析仪</w:t>
            </w:r>
            <w:r/>
          </w:p>
        </w:tc>
        <w:tc>
          <w:tcPr>
            <w:shd w:val="clear" w:color="auto" w:fill="auto"/>
            <w:tcBorders>
              <w:top w:val="single" w:color="000000" w:sz="4" w:space="0"/>
              <w:left w:val="non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宇星科技</w:t>
            </w:r>
            <w:r>
              <w:rPr>
                <w:rFonts w:ascii="宋体" w:hAnsi="宋体" w:eastAsia="宋体" w:cs="宋体"/>
                <w:b w:val="0"/>
                <w:bCs w:val="0"/>
                <w:color w:val="000000" w:themeColor="text1"/>
                <w:sz w:val="21"/>
                <w:szCs w:val="21"/>
                <w:highlight w:val="none"/>
                <w14:textFill>
                  <w14:solidFill>
                    <w14:schemeClr w14:val="tx1"/>
                  </w14:solidFill>
                </w14:textFill>
              </w:rPr>
              <w:t xml:space="preserve">YX-TNP</w:t>
            </w:r>
            <w:r/>
          </w:p>
        </w:tc>
        <w:tc>
          <w:tcPr>
            <w:tcBorders>
              <w:left w:val="none" w:color="000000" w:sz="4" w:space="0"/>
              <w:bottom w:val="single" w:color="000000" w:sz="4" w:space="0"/>
              <w:right w:val="single" w:color="000000" w:sz="4" w:space="0"/>
            </w:tcBorders>
            <w:tcW w:w="426"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gridSpan w:val="3"/>
            <w:tcBorders>
              <w:top w:val="single" w:color="000000" w:sz="4" w:space="0"/>
              <w:left w:val="none" w:color="000000" w:sz="4" w:space="0"/>
              <w:bottom w:val="single" w:color="000000" w:sz="4" w:space="0"/>
              <w:right w:val="single" w:color="000000" w:sz="4" w:space="0"/>
            </w:tcBorders>
            <w:tcW w:w="4169"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采水/配水/预处理/清洗单元</w:t>
            </w:r>
            <w:r/>
          </w:p>
        </w:tc>
        <w:tc>
          <w:tcPr>
            <w:tcBorders>
              <w:top w:val="singl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30套</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gridSpan w:val="3"/>
            <w:tcBorders>
              <w:top w:val="single" w:color="000000" w:sz="4" w:space="0"/>
              <w:left w:val="none" w:color="000000" w:sz="4" w:space="0"/>
              <w:bottom w:val="single" w:color="000000" w:sz="4" w:space="0"/>
              <w:right w:val="single" w:color="000000" w:sz="4" w:space="0"/>
            </w:tcBorders>
            <w:tcW w:w="4169"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控制单元、数据采集传输单元、辅助单元</w:t>
            </w:r>
            <w:r/>
          </w:p>
        </w:tc>
        <w:tc>
          <w:tcPr>
            <w:tcBorders>
              <w:top w:val="singl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30套</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gridSpan w:val="3"/>
            <w:tcBorders>
              <w:top w:val="single" w:color="000000" w:sz="4" w:space="0"/>
              <w:left w:val="none" w:color="000000" w:sz="4" w:space="0"/>
              <w:bottom w:val="single" w:color="000000" w:sz="4" w:space="0"/>
              <w:right w:val="single" w:color="000000" w:sz="4" w:space="0"/>
            </w:tcBorders>
            <w:tcW w:w="4169"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信息平台</w:t>
            </w:r>
            <w:r/>
          </w:p>
        </w:tc>
        <w:tc>
          <w:tcPr>
            <w:tcBorders>
              <w:top w:val="single" w:color="000000" w:sz="4" w:space="0"/>
              <w:left w:val="non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r>
    </w:tbl>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运维技术要求</w:t>
      </w:r>
      <w:r/>
    </w:p>
    <w:p>
      <w:pPr>
        <w:pStyle w:val="719"/>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为东台市2026年度30座水质自动站提供一年运维服务。</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投标人必须配置专业的运维人员，人员应具备大专以上学历。</w:t>
      </w:r>
      <w:r/>
    </w:p>
    <w:p>
      <w:pPr>
        <w:pStyle w:val="71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▲人员</w:t>
      </w:r>
      <w:r>
        <w:rPr>
          <w:rFonts w:hint="eastAsia" w:hAnsi="宋体" w:eastAsia="宋体" w:cs="宋体"/>
          <w:b/>
          <w:bCs/>
          <w:color w:val="000000" w:themeColor="text1"/>
          <w:sz w:val="24"/>
          <w:szCs w:val="24"/>
          <w:highlight w:val="none"/>
          <w:lang w:val="en-US" w:eastAsia="zh-CN"/>
          <w14:textFill>
            <w14:solidFill>
              <w14:schemeClr w14:val="tx1"/>
            </w14:solidFill>
          </w14:textFill>
        </w:rPr>
        <w:t xml:space="preserve">及车辆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要求：运维人员至少</w:t>
      </w:r>
      <w:r>
        <w:rPr>
          <w:rFonts w:hint="eastAsia" w:hAnsi="宋体" w:eastAsia="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人。其中站点运维人员至少</w:t>
      </w:r>
      <w:r>
        <w:rPr>
          <w:rFonts w:hint="eastAsia"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人，驻站2人，驻站人员应服从业主单位各项工作安排</w:t>
      </w:r>
      <w:r>
        <w:rPr>
          <w:rFonts w:hint="eastAsia" w:hAnsi="宋体" w:eastAsia="宋体" w:cs="宋体"/>
          <w:b/>
          <w:bCs/>
          <w:color w:val="000000" w:themeColor="text1"/>
          <w:sz w:val="24"/>
          <w:szCs w:val="24"/>
          <w:highlight w:val="none"/>
          <w:lang w:val="en-US" w:eastAsia="zh-CN"/>
          <w14:textFill>
            <w14:solidFill>
              <w14:schemeClr w14:val="tx1"/>
            </w14:solidFill>
          </w14:textFill>
        </w:rPr>
        <w:t xml:space="preserve">，车辆必须满足运维要求及东台市范围内人为干扰排查。</w:t>
      </w:r>
      <w:r/>
    </w:p>
    <w:p>
      <w:pPr>
        <w:pStyle w:val="71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1、水质自动监测系统的运维管理内容</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（1）对水质自动监测系统软件平台提供管理和维护，及时排除平台故障。</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（2）对站房及辅助、配套设施定期进行维护，有破损及时修缮，保障站房完好。</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（3）提供、配制并定期更换在线监测仪器所需试剂和标样。</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（4）根据仪器运行状况和类型，定期对电极耗材进行更换，其余根据江苏省有关水质自动站备品备件管理制度的要求，提供备品备件并按期更换。所有备品备件均由中标方提供。</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（5）须针对水站系统和仪表制定每年保养检修计划并按期进行。保养检修须包括系统的全面清洗和检修、仪器管路清洗、主要备件的更换、仪器的性能测试检查等内容。</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（6）按照相关要求，及时排除水站系统和仪表出现的故障，并对各种原因造成的仪器故障进行维修（由于地震、洪水和战争等不可预防和不可抗拒因素造成的自动站系统及仪器损坏除外）。</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（7）对水站仪表进行定期校准、核查、比对、性能测试。</w:t>
      </w:r>
      <w:r/>
    </w:p>
    <w:p>
      <w:pPr>
        <w:pStyle w:val="719"/>
        <w:ind w:firstLine="482"/>
        <w:keepLines w:val="0"/>
        <w:keepNext w:val="0"/>
        <w:pageBreakBefore w:val="0"/>
        <w:spacing w:line="360" w:lineRule="auto"/>
        <w:widowControl w:val="off"/>
        <w:rPr>
          <w:rFonts w:hAnsi="宋体" w:eastAsia="宋体"/>
          <w:color w:val="auto"/>
          <w:highlight w:val="none"/>
          <w:lang w:val="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auto"/>
          <w:highlight w:val="none"/>
          <w:lang w:val="zh-CN"/>
        </w:rPr>
        <w:t xml:space="preserve">数据审核</w:t>
      </w:r>
      <w:r/>
    </w:p>
    <w:p>
      <w:pPr>
        <w:pStyle w:val="719"/>
        <w:ind w:firstLine="480"/>
        <w:keepLines w:val="0"/>
        <w:keepNext w:val="0"/>
        <w:pageBreakBefore w:val="0"/>
        <w:spacing w:line="360" w:lineRule="auto"/>
        <w:widowControl w:val="off"/>
        <w:rPr>
          <w:rFonts w:hAnsi="宋体" w:eastAsia="宋体"/>
          <w:color w:val="auto"/>
          <w:highlight w:val="none"/>
          <w:lang w:val="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hAnsi="宋体" w:eastAsia="宋体"/>
          <w:color w:val="auto"/>
          <w:highlight w:val="none"/>
          <w:lang w:val="zh-CN"/>
        </w:rPr>
        <w:t xml:space="preserve">供应商应随时在监控平台上查看监测数据，对异常值进行分析，查明原因。</w:t>
      </w:r>
      <w:r/>
    </w:p>
    <w:p>
      <w:pPr>
        <w:pStyle w:val="719"/>
        <w:ind w:firstLine="480"/>
        <w:keepLines w:val="0"/>
        <w:keepNext w:val="0"/>
        <w:pageBreakBefore w:val="0"/>
        <w:spacing w:line="360" w:lineRule="auto"/>
        <w:widowControl w:val="off"/>
        <w:rPr>
          <w:rFonts w:hAnsi="宋体" w:eastAsia="宋体"/>
          <w:color w:val="auto"/>
          <w:highlight w:val="none"/>
          <w:lang w:val="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hAnsi="宋体" w:eastAsia="宋体"/>
          <w:color w:val="auto"/>
          <w:highlight w:val="none"/>
          <w:lang w:val="zh-CN"/>
        </w:rPr>
        <w:t xml:space="preserve">供应商每日检查数据是否及时上传至相关环境质量数据平台，发现数据掉线及时恢复。</w:t>
      </w:r>
      <w:r/>
    </w:p>
    <w:p>
      <w:pPr>
        <w:pStyle w:val="719"/>
        <w:ind w:firstLine="480"/>
        <w:keepLines w:val="0"/>
        <w:keepNext w:val="0"/>
        <w:pageBreakBefore w:val="0"/>
        <w:spacing w:line="360" w:lineRule="auto"/>
        <w:widowControl w:val="off"/>
        <w:rPr>
          <w:rFonts w:hAnsi="宋体" w:eastAsia="宋体"/>
          <w:color w:val="auto"/>
          <w:highlight w:val="none"/>
          <w:lang w:val="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hAnsi="宋体" w:eastAsia="宋体"/>
          <w:color w:val="auto"/>
          <w:highlight w:val="none"/>
          <w:lang w:val="zh-CN"/>
        </w:rPr>
        <w:t xml:space="preserve">供应商按要求完成数据二级审核，对数据的审核内容、审核流程、审核规则，内部数据审核制度和数据复核以及运行服务相关视频、日志、关键参数日常审核等内容进行有效实施和管理。</w:t>
      </w:r>
      <w:r/>
    </w:p>
    <w:p>
      <w:pPr>
        <w:pStyle w:val="719"/>
        <w:numPr>
          <w:ilvl w:val="0"/>
          <w:numId w:val="1"/>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配合业主方做好水站质量保证和质量质控工作，</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高锰酸盐指数、总磷、氨氮、总氮等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控等四大参数达不到质控要求时更换新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仪器，所需费用由中标单位承担。</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（10）认真、及时做好维护记录，汇总各水站每周维护记录，每季度以书面形式报招标人，书面报告作为运行维护考核依据之一，具体包括：</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①自动站每日运行数据报表统计</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②自动站现场维护记录</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③自动站仪器设备故障及排除情况登记表</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④自动站每月运行情况</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⑤自动站备品备件管理登记表</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在运营维护及管理期间，中标人必须遵守国家的有关法律、法规及其他规定，本着为业主方负责的精神，依照规范，科学管理，保障各监测监控系统运行达到国家及行业颁布的技术标准和业主方要求的考核指标要求；保障系统平台正常稳定运行；保障水质自动监测系统运行真正发挥其效能和作用。</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highlight w:val="none"/>
        </w:rPr>
        <w:t xml:space="preserve">投标人中标后</w:t>
      </w:r>
      <w:r>
        <w:rPr>
          <w:rFonts w:ascii="宋体" w:hAnsi="宋体" w:eastAsia="宋体" w:cs="宋体"/>
          <w:highlight w:val="none"/>
        </w:rPr>
        <w:t xml:space="preserve">1个月内，须在</w:t>
      </w:r>
      <w:r>
        <w:rPr>
          <w:rFonts w:hint="eastAsia" w:ascii="宋体" w:hAnsi="宋体" w:eastAsia="宋体" w:cs="宋体"/>
          <w:highlight w:val="none"/>
        </w:rPr>
        <w:t xml:space="preserve">东台市范围内设立</w:t>
      </w:r>
      <w:r>
        <w:rPr>
          <w:rFonts w:ascii="宋体" w:hAnsi="宋体" w:eastAsia="宋体" w:cs="宋体"/>
          <w:highlight w:val="none"/>
        </w:rPr>
        <w:t xml:space="preserve">1个运维办事处及备机备件库，以满足项目实施需求</w:t>
      </w:r>
      <w:r>
        <w:rPr>
          <w:rFonts w:hint="eastAsia" w:ascii="宋体" w:hAnsi="宋体" w:eastAsia="宋体" w:cs="宋体"/>
          <w:highlight w:val="none"/>
          <w:lang w:eastAsia="zh-CN"/>
        </w:rPr>
        <w:t xml:space="preserve">，至少有</w:t>
      </w:r>
      <w:r>
        <w:rPr>
          <w:rFonts w:hint="eastAsia" w:ascii="宋体" w:hAnsi="宋体" w:eastAsia="宋体" w:cs="宋体"/>
          <w:highlight w:val="none"/>
          <w:lang w:val="en-US" w:eastAsia="zh-CN"/>
        </w:rPr>
        <w:t xml:space="preserve">3套</w:t>
      </w:r>
      <w:r>
        <w:rPr>
          <w:rFonts w:hint="eastAsia" w:ascii="宋体" w:hAnsi="宋体" w:eastAsia="宋体" w:cs="宋体"/>
          <w:highlight w:val="none"/>
          <w:lang w:eastAsia="zh-CN"/>
        </w:rPr>
        <w:t xml:space="preserve">备机，</w:t>
      </w:r>
      <w:r>
        <w:rPr>
          <w:rFonts w:hint="eastAsia" w:hAnsi="宋体" w:eastAsia="宋体"/>
          <w:color w:val="000000"/>
          <w:highlight w:val="none"/>
        </w:rPr>
        <w:t xml:space="preserve">相关站点的场地租赁费、站房租赁费、电费、通讯费，环境</w:t>
      </w:r>
      <w:r>
        <w:rPr>
          <w:rFonts w:hint="eastAsia" w:hAnsi="宋体" w:eastAsia="宋体"/>
          <w:color w:val="000000"/>
          <w:highlight w:val="none"/>
          <w:lang w:eastAsia="zh-CN"/>
        </w:rPr>
        <w:t xml:space="preserve">水质</w:t>
      </w:r>
      <w:r>
        <w:rPr>
          <w:rFonts w:hint="eastAsia" w:hAnsi="宋体" w:eastAsia="宋体"/>
          <w:color w:val="000000"/>
          <w:highlight w:val="none"/>
        </w:rPr>
        <w:t xml:space="preserve">质量联网管理平台运维费</w:t>
      </w:r>
      <w:r>
        <w:rPr>
          <w:rFonts w:hint="eastAsia" w:asciiTheme="minorEastAsia" w:hAnsiTheme="minorEastAsia" w:cstheme="minorEastAsia"/>
          <w:sz w:val="24"/>
          <w:highlight w:val="none"/>
        </w:rPr>
        <w:t xml:space="preserve">及手机APP</w:t>
      </w:r>
      <w:r>
        <w:rPr>
          <w:rFonts w:hint="eastAsia" w:asciiTheme="minorEastAsia" w:hAnsiTheme="minorEastAsia" w:cstheme="minorEastAsia"/>
          <w:sz w:val="24"/>
          <w:highlight w:val="none"/>
          <w:lang w:eastAsia="zh-CN"/>
        </w:rPr>
        <w:t xml:space="preserve">费用</w:t>
      </w:r>
      <w:r>
        <w:rPr>
          <w:rFonts w:hint="eastAsia" w:hAnsi="宋体" w:eastAsia="宋体"/>
          <w:color w:val="000000"/>
          <w:highlight w:val="none"/>
        </w:rPr>
        <w:t xml:space="preserve">，以及站房基础设施、电力设施、通讯设施和防雷设施的日常维护费全部由投标人承担，并包含在本项目投标报价中。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p>
    <w:p>
      <w:pPr>
        <w:pStyle w:val="719"/>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（13）废液处置：在运营维护及服务期间，按照国家相关要求，规范化处置运维期间</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座水站产生的所有废液；此外在服务期内，需按甲方需求代为处置泰东大桥和富民桥两个站点的危废，以上所需费用均由中标方负责。</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（14）做好运营维护和管理期间，各站点防雷设施维护检查，并进行防雷设施检测，委托有资质单位出具的检测报告。</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（15）协助采购人和托管站做好水站固定资产的管理、备品配件的登记等工作。</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（16）积极组织和参加业主单位举办的技术培训班，加强业务学习，不断提高业务能力和水平；运维操作人员必须持有相关运维操作资格证书，定期接受业主单位、上级部门工作考核和质控考核。</w:t>
      </w:r>
      <w:r/>
    </w:p>
    <w:p>
      <w:pPr>
        <w:ind w:firstLine="480"/>
        <w:keepLines w:val="0"/>
        <w:keepNext w:val="0"/>
        <w:pageBreakBefore w:val="0"/>
        <w:spacing w:line="360" w:lineRule="auto"/>
        <w:widowControl w:val="off"/>
        <w:rPr>
          <w:rFonts w:asciiTheme="minorEastAsia" w:hAnsiTheme="minorEastAsia" w:cstheme="minorEastAsia"/>
          <w:sz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Theme="minorEastAsia" w:hAnsiTheme="minorEastAsia" w:cstheme="minorEastAsia"/>
          <w:sz w:val="24"/>
          <w:highlight w:val="none"/>
        </w:rPr>
        <w:t xml:space="preserve">数据传输平台及手机APP</w:t>
      </w:r>
      <w:r/>
    </w:p>
    <w:p>
      <w:pPr>
        <w:pStyle w:val="716"/>
        <w:ind w:firstLine="240"/>
        <w:jc w:val="both"/>
        <w:keepLines w:val="0"/>
        <w:keepNext w:val="0"/>
        <w:pageBreakBefore w:val="0"/>
        <w:spacing w:beforeAutospacing="0" w:afterAutospacing="0" w:line="360" w:lineRule="auto"/>
        <w:widowControl w:val="off"/>
        <w:rPr>
          <w:highlight w:val="none"/>
        </w:rPr>
      </w:pPr>
      <w:r>
        <w:rPr>
          <w:rFonts w:hint="eastAsia" w:asciiTheme="minorEastAsia" w:hAnsiTheme="minorEastAsia" w:cstheme="minorEastAsia"/>
          <w:highlight w:val="none"/>
        </w:rPr>
        <w:t xml:space="preserve">数据采集、传输无异常，保持正常接收、存储、发送各项数据，保持分析仪至数采仪数据传输正确，存储原始数据1年以上，确保</w:t>
      </w:r>
      <w:r>
        <w:rPr>
          <w:rFonts w:hint="eastAsia" w:asciiTheme="minorEastAsia" w:hAnsiTheme="minorEastAsia" w:cstheme="minorEastAsia"/>
          <w:highlight w:val="none"/>
          <w:lang w:val="en-US" w:eastAsia="zh-CN"/>
        </w:rPr>
        <w:t xml:space="preserve">30</w:t>
      </w:r>
      <w:r>
        <w:rPr>
          <w:rFonts w:hint="eastAsia" w:asciiTheme="minorEastAsia" w:hAnsiTheme="minorEastAsia" w:cstheme="minorEastAsia"/>
          <w:highlight w:val="none"/>
        </w:rPr>
        <w:t xml:space="preserve">个</w:t>
      </w:r>
      <w:r>
        <w:rPr>
          <w:rFonts w:hint="eastAsia" w:asciiTheme="minorEastAsia" w:hAnsiTheme="minorEastAsia" w:cstheme="minorEastAsia"/>
          <w:highlight w:val="none"/>
          <w:lang w:eastAsia="zh-CN"/>
        </w:rPr>
        <w:t xml:space="preserve">水</w:t>
      </w:r>
      <w:r>
        <w:rPr>
          <w:rFonts w:hint="eastAsia" w:asciiTheme="minorEastAsia" w:hAnsiTheme="minorEastAsia" w:cstheme="minorEastAsia"/>
          <w:highlight w:val="none"/>
        </w:rPr>
        <w:t xml:space="preserve">站数据传输平台及手机APP运转正常。</w:t>
      </w:r>
      <w:r/>
    </w:p>
    <w:p>
      <w:pPr>
        <w:pStyle w:val="716"/>
        <w:ind w:firstLine="480"/>
        <w:jc w:val="both"/>
        <w:keepLines w:val="0"/>
        <w:keepNext w:val="0"/>
        <w:pageBreakBefore w:val="0"/>
        <w:spacing w:beforeAutospacing="0" w:afterAutospacing="0" w:line="360" w:lineRule="auto"/>
        <w:widowControl w:val="off"/>
        <w:rPr>
          <w:rFonts w:cs="宋体"/>
          <w:sz w:val="28"/>
          <w:szCs w:val="28"/>
          <w:highlight w:val="none"/>
          <w:shd w:val="clear" w:color="auto" w:fill="ffffff"/>
        </w:rPr>
      </w:pPr>
      <w:r>
        <w:rPr>
          <w:rFonts w:hint="eastAsia"/>
          <w:highlight w:val="none"/>
        </w:rPr>
        <w:t xml:space="preserve">①与系统平台开发商对接，</w:t>
      </w:r>
      <w:r>
        <w:rPr>
          <w:rFonts w:hint="eastAsia" w:ascii="宋体" w:hAnsi="宋体" w:eastAsia="宋体" w:cs="宋体"/>
          <w:highlight w:val="none"/>
        </w:rPr>
        <w:t xml:space="preserve">定期对东台市</w:t>
      </w:r>
      <w:r>
        <w:rPr>
          <w:rFonts w:hint="eastAsia" w:ascii="宋体" w:hAnsi="宋体" w:eastAsia="宋体" w:cs="宋体"/>
          <w:highlight w:val="none"/>
          <w:lang w:eastAsia="zh-CN"/>
        </w:rPr>
        <w:t xml:space="preserve">水质</w:t>
      </w:r>
      <w:r>
        <w:rPr>
          <w:rFonts w:hint="eastAsia" w:ascii="宋体" w:hAnsi="宋体" w:eastAsia="宋体" w:cs="宋体"/>
          <w:highlight w:val="none"/>
        </w:rPr>
        <w:t xml:space="preserve">质量联网管理平台运行情况进行分析，同时进行系统漏洞扫描与修复，确保平台的安全稳定运行</w:t>
      </w:r>
      <w:r>
        <w:rPr>
          <w:rFonts w:hint="eastAsia" w:cs="宋体"/>
          <w:sz w:val="28"/>
          <w:szCs w:val="28"/>
          <w:highlight w:val="none"/>
          <w:shd w:val="clear" w:color="auto" w:fill="ffffff"/>
        </w:rPr>
        <w:t xml:space="preserve">。</w:t>
      </w:r>
      <w:r/>
    </w:p>
    <w:p>
      <w:pPr>
        <w:pStyle w:val="716"/>
        <w:ind w:firstLine="480"/>
        <w:jc w:val="both"/>
        <w:keepLines w:val="0"/>
        <w:keepNext w:val="0"/>
        <w:pageBreakBefore w:val="0"/>
        <w:spacing w:beforeAutospacing="0" w:afterAutospacing="0" w:line="360" w:lineRule="auto"/>
        <w:widowControl w:val="off"/>
        <w:rPr>
          <w:rFonts w:ascii="宋体" w:hAnsi="宋体" w:eastAsia="宋体" w:cs="宋体"/>
          <w:highlight w:val="none"/>
        </w:rPr>
      </w:pPr>
      <w:r>
        <w:rPr>
          <w:rFonts w:hint="eastAsia" w:ascii="宋体" w:hAnsi="宋体" w:eastAsia="宋体" w:cs="宋体"/>
          <w:highlight w:val="none"/>
        </w:rPr>
        <w:t xml:space="preserve">②</w:t>
      </w:r>
      <w:r>
        <w:rPr>
          <w:rFonts w:hint="eastAsia"/>
          <w:highlight w:val="none"/>
        </w:rPr>
        <w:t xml:space="preserve">与系统平台开发商对接，及时</w:t>
      </w:r>
      <w:r>
        <w:rPr>
          <w:rFonts w:hint="eastAsia" w:ascii="宋体" w:hAnsi="宋体" w:eastAsia="宋体" w:cs="宋体"/>
          <w:highlight w:val="none"/>
        </w:rPr>
        <w:t xml:space="preserve">针对网信办、数据局、财政局等部门提出的关于东台市环境</w:t>
      </w:r>
      <w:r>
        <w:rPr>
          <w:rFonts w:hint="eastAsia" w:ascii="宋体" w:hAnsi="宋体" w:eastAsia="宋体" w:cs="宋体"/>
          <w:highlight w:val="none"/>
          <w:lang w:eastAsia="zh-CN"/>
        </w:rPr>
        <w:t xml:space="preserve">水质</w:t>
      </w:r>
      <w:r>
        <w:rPr>
          <w:rFonts w:hint="eastAsia" w:ascii="宋体" w:hAnsi="宋体" w:eastAsia="宋体" w:cs="宋体"/>
          <w:highlight w:val="none"/>
        </w:rPr>
        <w:t xml:space="preserve">质量联网管理平台整改问题进行整改。</w:t>
      </w:r>
      <w:r/>
    </w:p>
    <w:p>
      <w:pPr>
        <w:pStyle w:val="716"/>
        <w:ind w:firstLine="480"/>
        <w:keepLines w:val="0"/>
        <w:keepNext w:val="0"/>
        <w:pageBreakBefore w:val="0"/>
        <w:spacing w:beforeAutospacing="0" w:afterAutospacing="0" w:line="360" w:lineRule="auto"/>
        <w:widowControl w:val="off"/>
        <w:rPr>
          <w:rFonts w:ascii="宋体" w:hAnsi="宋体" w:eastAsia="宋体" w:cs="宋体"/>
          <w:sz w:val="24"/>
          <w:highlight w:val="none"/>
        </w:rPr>
      </w:pPr>
      <w:r>
        <w:rPr>
          <w:rFonts w:hint="eastAsia" w:ascii="宋体" w:hAnsi="宋体" w:eastAsia="宋体" w:cs="宋体"/>
          <w:highlight w:val="none"/>
        </w:rPr>
        <w:t xml:space="preserve">③</w:t>
      </w:r>
      <w:r>
        <w:rPr>
          <w:rFonts w:hint="eastAsia"/>
          <w:highlight w:val="none"/>
        </w:rPr>
        <w:t xml:space="preserve">与系统平台开发商对接，积极配合第三方单位开展信息系统数据安全风险评估等保测评等工作。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sz w:val="24"/>
          <w:szCs w:val="24"/>
          <w:highlight w:val="none"/>
          <w:lang w:val="en-US" w:eastAsia="zh-CN" w:bidi="ar-SA"/>
        </w:rPr>
        <w:t xml:space="preserve">故障处置高效化：</w:t>
      </w:r>
      <w:r/>
    </w:p>
    <w:p>
      <w:pPr>
        <w:pStyle w:val="716"/>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cstheme="minorEastAsia"/>
          <w:highlight w:val="none"/>
        </w:rPr>
        <w:t xml:space="preserve">数据</w:t>
      </w:r>
      <w:r>
        <w:rPr>
          <w:rFonts w:hint="eastAsia" w:asciiTheme="minorEastAsia" w:hAnsiTheme="minorEastAsia" w:cstheme="minorEastAsia"/>
          <w:highlight w:val="none"/>
          <w:lang w:eastAsia="zh-CN"/>
        </w:rPr>
        <w:t xml:space="preserve">出现</w:t>
      </w:r>
      <w:r>
        <w:rPr>
          <w:rFonts w:hint="eastAsia" w:asciiTheme="minorEastAsia" w:hAnsiTheme="minorEastAsia" w:cstheme="minorEastAsia"/>
          <w:highlight w:val="none"/>
        </w:rPr>
        <w:t xml:space="preserve">异常情况，及时响应</w:t>
      </w:r>
      <w:r>
        <w:rPr>
          <w:rFonts w:hint="eastAsia" w:asciiTheme="minorEastAsia" w:hAnsiTheme="minorEastAsia" w:cstheme="minorEastAsia"/>
          <w:highlight w:val="none"/>
          <w:lang w:eastAsia="zh-CN"/>
        </w:rPr>
        <w:t xml:space="preserve">，</w:t>
      </w:r>
      <w:r>
        <w:rPr>
          <w:rFonts w:hint="eastAsia" w:asciiTheme="minorEastAsia" w:hAnsiTheme="minorEastAsia" w:cstheme="minorEastAsia"/>
          <w:highlight w:val="none"/>
          <w:lang w:val="en-US" w:eastAsia="zh-CN"/>
        </w:rPr>
        <w:t xml:space="preserve">若发现因水站设备故障或其它原因影响水站正常运行的，应在4小时内报告，8小时内到达现场解决（通信线路、电力线路故障除外）；若仪器故障无法排除，在48小时内提供并更换相应备机。</w:t>
      </w:r>
      <w:r/>
    </w:p>
    <w:p>
      <w:pPr>
        <w:pStyle w:val="71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2、总体要求</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（1）投标人应提供完整的水质自动监测系统运维实施方案（含应急事故处理方案），提出解决目前存在问题的措施，明确维护方法、周期、内容及技术保障。</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（2）投标人应针对本项目技术要求并结合实际情况，提供地表水水质自动监测站质控方案。</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（3）投标人应提供完整的交接方案，在运维合同到期后，应当协助业主做好各项移交工作，保障站房、仪器设备以及配套设施完好。</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（4）投标人应列明水质自动监测系统运营及管理期间的各项费用预算开支。</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（5）在水质自动监测系统运维及管理期间，在合同约束范围内中标人拥有管理自主权；不能以任何形式外包合同规定的运行维护任务。</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在水质自动监测系统运维及管理期间，中标人应严格按照业主制订的操作规范、规章制度、考核办法，对所管理的系统及仪器设备进行规范操作和精心维护及必要维修，保证系统及仪器设备的正常运行，达到业主提出的系统及仪器设备考核指标要求。中标人必须接受业主的定期或不定期检查和考核。</w:t>
      </w:r>
      <w:r/>
    </w:p>
    <w:p>
      <w:pPr>
        <w:pStyle w:val="71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3、水质自动站运行维护具体工作内容及要求</w:t>
      </w:r>
      <w:r/>
    </w:p>
    <w:p>
      <w:pPr>
        <w:pStyle w:val="719"/>
        <w:ind w:firstLine="480"/>
        <w:keepLines w:val="0"/>
        <w:keepNext w:val="0"/>
        <w:pageBreakBefore w:val="0"/>
        <w:spacing w:line="360" w:lineRule="auto"/>
        <w:widowControl w:val="off"/>
        <w:rPr>
          <w:rFonts w:hint="eastAsia"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Ⅰ.</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每日工作内容</w:t>
      </w:r>
      <w:r/>
    </w:p>
    <w:p>
      <w:pPr>
        <w:pStyle w:val="719"/>
        <w:ind w:firstLine="480"/>
        <w:keepLines w:val="0"/>
        <w:keepNext w:val="0"/>
        <w:pageBreakBefore w:val="0"/>
        <w:spacing w:line="360" w:lineRule="auto"/>
        <w:widowControl w:val="off"/>
        <w:rPr>
          <w:rFonts w:hint="eastAsia" w:hAnsi="宋体" w:eastAsia="宋体" w:cs="宋体"/>
          <w:color w:val="000000" w:themeColor="text1"/>
          <w:sz w:val="24"/>
          <w:szCs w:val="24"/>
          <w:highlight w:val="none"/>
          <w:lang w:val="en-US" w:eastAsia="zh-CN"/>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 xml:space="preserve">高锰酸盐指数、氨氮、总磷、总氮水质自动监测仪器每24h应开展一次期间自动标样核查，自动标样核查包括低、高2个浓度，每个浓度各测试一次，核查性能指标应满足相关标准规范的要求。应根据GB3838中监测项目水质类别限值选择合适的标准溶液浓度，设置自动标样核查的上限值，具体要求如下：</w:t>
      </w:r>
      <w:r/>
    </w:p>
    <w:p>
      <w:pPr>
        <w:pStyle w:val="719"/>
        <w:numPr>
          <w:ilvl w:val="0"/>
          <w:numId w:val="0"/>
        </w:numPr>
        <w:ind w:firstLine="480"/>
        <w:keepLines w:val="0"/>
        <w:keepNext w:val="0"/>
        <w:pageBreakBefore w:val="0"/>
        <w:spacing w:line="360" w:lineRule="auto"/>
        <w:widowControl w:val="off"/>
        <w:rPr>
          <w:rFonts w:hint="eastAsia" w:hAnsi="宋体" w:eastAsia="宋体" w:cs="宋体"/>
          <w:color w:val="000000" w:themeColor="text1"/>
          <w:sz w:val="24"/>
          <w:szCs w:val="24"/>
          <w:highlight w:val="none"/>
          <w:lang w:val="en-US" w:eastAsia="zh-CN"/>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 xml:space="preserve">a)监测项目对应的水质类别为I~II类时，通常设置为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Ⅱ</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类水质标准限值的2倍；</w:t>
      </w:r>
      <w:r/>
    </w:p>
    <w:p>
      <w:pPr>
        <w:pStyle w:val="719"/>
        <w:numPr>
          <w:ilvl w:val="0"/>
          <w:numId w:val="0"/>
        </w:numPr>
        <w:ind w:firstLine="480"/>
        <w:keepLines w:val="0"/>
        <w:keepNext w:val="0"/>
        <w:pageBreakBefore w:val="0"/>
        <w:spacing w:line="360" w:lineRule="auto"/>
        <w:widowControl w:val="off"/>
        <w:rPr>
          <w:rFonts w:hint="eastAsia" w:hAnsi="宋体" w:eastAsia="宋体" w:cs="宋体"/>
          <w:color w:val="000000" w:themeColor="text1"/>
          <w:sz w:val="24"/>
          <w:szCs w:val="24"/>
          <w:highlight w:val="none"/>
          <w:lang w:val="en-US" w:eastAsia="zh-CN"/>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 xml:space="preserve">b)监测项目对应的水质类别为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Ⅲ</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Ⅴ</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类时，通常设置为水质类别标准限值的2倍；</w:t>
      </w:r>
      <w:r/>
    </w:p>
    <w:p>
      <w:pPr>
        <w:pStyle w:val="719"/>
        <w:numPr>
          <w:ilvl w:val="0"/>
          <w:numId w:val="0"/>
        </w:numPr>
        <w:ind w:firstLine="480"/>
        <w:keepLines w:val="0"/>
        <w:keepNext w:val="0"/>
        <w:pageBreakBefore w:val="0"/>
        <w:spacing w:line="360" w:lineRule="auto"/>
        <w:widowControl w:val="off"/>
        <w:rPr>
          <w:rFonts w:hint="eastAsia" w:hAnsi="宋体" w:eastAsia="宋体" w:cs="宋体"/>
          <w:color w:val="000000" w:themeColor="text1"/>
          <w:sz w:val="24"/>
          <w:szCs w:val="24"/>
          <w:highlight w:val="none"/>
          <w:lang w:val="en-US" w:eastAsia="zh-CN"/>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 xml:space="preserve">c)总磷（湖、库）I~</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Ⅲ</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类时通常设置为0.2mg/L；</w:t>
      </w:r>
      <w:r/>
    </w:p>
    <w:p>
      <w:pPr>
        <w:pStyle w:val="719"/>
        <w:ind w:firstLine="480"/>
        <w:keepLines w:val="0"/>
        <w:keepNext w:val="0"/>
        <w:pageBreakBefore w:val="0"/>
        <w:spacing w:line="360" w:lineRule="auto"/>
        <w:widowControl w:val="off"/>
        <w:rPr>
          <w:rFonts w:hint="eastAsia" w:hAnsi="宋体" w:eastAsia="宋体" w:cs="宋体"/>
          <w:color w:val="000000" w:themeColor="text1"/>
          <w:sz w:val="24"/>
          <w:szCs w:val="24"/>
          <w:highlight w:val="none"/>
          <w:lang w:val="en-US" w:eastAsia="zh-CN"/>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 xml:space="preserve">d)监测项目无水质标准限值或对应的水质类别为劣V类水时，通常设置为该监测项目前7日水质测定均值的2倍。</w:t>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Ⅱ.每周工作内容</w:t>
      </w:r>
      <w:r/>
    </w:p>
    <w:tbl>
      <w:tblPr>
        <w:tblStyle w:val="7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966"/>
        <w:gridCol w:w="1464"/>
        <w:gridCol w:w="5781"/>
      </w:tblGrid>
      <w:tr>
        <w:trPr>
          <w:jc w:val="center"/>
          <w:trHeight w:val="283"/>
          <w:tblHeade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维护内容</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维护周期及目标</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维护要求</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通讯检查</w:t>
            </w:r>
            <w:r/>
          </w:p>
        </w:tc>
        <w:tc>
          <w:tcPr>
            <w:tcBorders>
              <w:top w:val="single" w:color="auto" w:sz="4" w:space="0"/>
              <w:left w:val="single" w:color="auto" w:sz="4" w:space="0"/>
              <w:bottom w:val="single" w:color="auto" w:sz="4" w:space="0"/>
              <w:right w:val="single" w:color="auto" w:sz="4" w:space="0"/>
            </w:tcBorders>
            <w:tcW w:w="73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1次/周，确保控制和数据上传通道畅通</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确保工控机各个串口和PLC、数采仪、分析仪器连接一一对应正确且牢固</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通过现场监控软件测试工控与PLC及各个仪器之间是否连接正确</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VPN网络设备检查，保证通讯畅通</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视频监控设备检查，监控视角位置</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PLC检查</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检查PLC状态数据传输和报警灯，确保无数据传输和报警</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确保取水过程中PLC上各个点输入输出状态正确</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测量并确保PLC时钟电池电压正常。必要的情况更换电池</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确保PLC串口模块连接牢固</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面板开关检查</w:t>
            </w:r>
            <w:r/>
          </w:p>
        </w:tc>
        <w:tc>
          <w:tcPr>
            <w:tcBorders>
              <w:top w:val="single" w:color="auto" w:sz="4" w:space="0"/>
              <w:left w:val="single" w:color="auto" w:sz="4" w:space="0"/>
              <w:bottom w:val="single" w:color="auto" w:sz="4" w:space="0"/>
              <w:right w:val="single" w:color="auto" w:sz="4" w:space="0"/>
            </w:tcBorders>
            <w:tcW w:w="73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1次/周，确保各开关功能正常</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检查控制柜前面板开关和指示灯确保其工作正常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配电板清扫</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清扫配电板上各个元件上的灰尘等</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配电板状态检查</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检查确保配电板上各个接线接头不松动，并清除锈蚀接头。确保各个接触器和继电器工作正常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接地检查</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确保各个机柜和用电器接地良好，尤其注意防雷保护器接地</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温湿度仪检查</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检查温、湿度仪是否显示合理，保证温度探头反应灵敏</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稳压电源清扫</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断电情况下清扫稳压电源内的灰尘</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检查碳刷是否正常，磨损较多情况必须更换</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上电测试，确保稳压源工作正常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UPS检查清扫</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断电情况下清扫UPS各个散热孔上的灰尘</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检查确保UPS充放电正常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UPS电池箱清扫</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做好绝缘措施情况下清扫UPS电池箱内的灰尘</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确保箱内各个电池联线接触良好牢固</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确保各个电池无漏液，外观正常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机柜台面清扫及检查</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检查机柜台面及玻璃是否清洁</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检查机柜各门是否关于完好</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高锰酸盐指数分析仪维护</w:t>
            </w:r>
            <w:r/>
          </w:p>
        </w:tc>
        <w:tc>
          <w:tcPr>
            <w:tcBorders>
              <w:top w:val="single" w:color="auto" w:sz="4" w:space="0"/>
              <w:left w:val="single" w:color="auto" w:sz="4" w:space="0"/>
              <w:bottom w:val="single" w:color="auto" w:sz="4" w:space="0"/>
              <w:right w:val="single" w:color="auto" w:sz="4" w:space="0"/>
            </w:tcBorders>
            <w:tcW w:w="73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1次/周，确保监测仪器所需试剂充足，管路、阀门处于正常状态，仪器电极无沾污，运行稳定，比对数据合格</w:t>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1）检查数据传输和报警模块是否正常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2）确保冷却水供应正常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3）清除水浴锅内水垢，疏通管道</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4）确保各个阀门正常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5）检查并更换老化的输送硫酸软管</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6）添加参比电极电解液</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7）清除ORP电极上污垢</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8）检查并更换老化的ORP电极</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氨氮分析仪维护</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1）检查氨氮分析仪加热模块是否正常，是否维持在40℃</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2）检查气敏膜，添加电解液</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3）检查并更换老化的氨氮管路系统</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4）检查并更换老化的氨氮蠕动泵管</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5）检查并更换老化的加热迂回管路</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6）检查并更换老化的电极</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7）修正液位压力传感器参数</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总磷分析仪维护</w:t>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1）检查数据传输和报警模块是否正常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2）更换试剂</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3）确保冷却水供应正常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4）清除水浴锅内水垢，疏通管道</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5）检查并更换老化的UV灯</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6）确保各个阀门正常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氮</w:t>
            </w:r>
            <w:r>
              <w:rPr>
                <w:rFonts w:hint="eastAsia" w:ascii="宋体" w:hAnsi="宋体" w:eastAsia="宋体" w:cs="宋体"/>
                <w:color w:val="000000" w:themeColor="text1"/>
                <w:sz w:val="24"/>
                <w:szCs w:val="24"/>
                <w:highlight w:val="none"/>
                <w14:textFill>
                  <w14:solidFill>
                    <w14:schemeClr w14:val="tx1"/>
                  </w14:solidFill>
                </w14:textFill>
              </w:rPr>
              <w:t xml:space="preserve">分析仪维护</w:t>
            </w:r>
            <w:r/>
          </w:p>
        </w:tc>
        <w:tc>
          <w:tcPr>
            <w:tcBorders>
              <w:top w:val="single" w:color="auto" w:sz="4" w:space="0"/>
              <w:left w:val="single" w:color="auto" w:sz="4" w:space="0"/>
              <w:bottom w:val="single" w:color="auto" w:sz="4" w:space="0"/>
              <w:right w:val="single" w:color="auto" w:sz="4" w:space="0"/>
            </w:tcBorders>
            <w:tcW w:w="73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1）检查数据传输和报警模块是否正常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2）更换试剂</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3）确保冷却水供应正常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4）清除水浴锅内水垢，疏通管道</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5）检查并更换老化的UV灯</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6）确保各个阀门正常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987"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五参数</w:t>
            </w:r>
            <w:r>
              <w:rPr>
                <w:rFonts w:hint="eastAsia" w:ascii="宋体" w:hAnsi="宋体" w:eastAsia="宋体" w:cs="宋体"/>
                <w:color w:val="000000" w:themeColor="text1"/>
                <w:sz w:val="24"/>
                <w:szCs w:val="24"/>
                <w:highlight w:val="none"/>
                <w14:textFill>
                  <w14:solidFill>
                    <w14:schemeClr w14:val="tx1"/>
                  </w14:solidFill>
                </w14:textFill>
              </w:rPr>
              <w:t xml:space="preserve">分析仪</w:t>
            </w:r>
            <w:r/>
          </w:p>
        </w:tc>
        <w:tc>
          <w:tcPr>
            <w:tcBorders>
              <w:top w:val="single" w:color="auto" w:sz="4" w:space="0"/>
              <w:left w:val="single" w:color="auto" w:sz="4" w:space="0"/>
              <w:bottom w:val="single" w:color="auto" w:sz="4" w:space="0"/>
              <w:right w:val="single" w:color="auto" w:sz="4" w:space="0"/>
            </w:tcBorders>
            <w:tcW w:w="73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1）检查数据传输和报警模块是否正常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2）检查电极是否被泥沙和藻类沾污</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3）清洗电极更换电极液</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4）检查并更换老化的电极</w:t>
            </w:r>
            <w:r/>
          </w:p>
        </w:tc>
      </w:tr>
      <w:tr>
        <w:trPr>
          <w:jc w:val="center"/>
          <w:trHeight w:val="283"/>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7"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5"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5）确保清洗水供应正常</w:t>
            </w:r>
            <w:r/>
          </w:p>
        </w:tc>
      </w:tr>
    </w:tbl>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Ⅲ.每月工作内容</w:t>
      </w:r>
      <w:r/>
    </w:p>
    <w:tbl>
      <w:tblPr>
        <w:tblStyle w:val="7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685"/>
        <w:gridCol w:w="1689"/>
        <w:gridCol w:w="5779"/>
      </w:tblGrid>
      <w:tr>
        <w:trPr>
          <w:jc w:val="center"/>
          <w:trHeight w:val="283"/>
          <w:tblHeader/>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维护内容</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维护周期及目标</w:t>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维护要求</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室外取水管路清洗清淤</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1次/月，确保管路无泥沙附着</w:t>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将室外取水管路淤泥吹出。至少三次空气吹洗，以便达到良好清淤效果。</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采用3%稀盐酸，对取水管路进行清洗。清洗完毕后15分钟手动运行一次采水流程，以便将管路中残余药剂清洗掉。</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恢复取水管路原状。</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室内管路清洗</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2次/月，确保管路透明，无泥沙藻类附着</w:t>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手动拆卸阀门、弯头、过滤网和样水杯等部件，用试管刷清洗，清洗后原样装回。</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检查蠕动泵进水塑胶软管脏污情况，必要的情况更换。</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清洗液位计</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1次/月，确保液位计工作正常</w:t>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将液位计拆下，用3%盐酸擦洗浮球和导杆，清除表面钙化物和污物。</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测量浮球导通电阻，导通电阻必须小于20欧姆，且反应灵敏。</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原样装回液位计。</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必要的情况更换新液位计。</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清洗样水杯喷头</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1次/月，确保喷头工作正常</w:t>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将样水杯清洗喷头拆下，检查是否有锈蚀状况，轻微锈蚀可采用3%稀盐酸浸泡方法清除锈蚀，严重锈蚀状况直接换新。</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将喷头原样装回后注意调节喷头配水强度。</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蠕动泵负载检查</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1次/月，确保蠕动泵无堵塞和渗漏，计量准确</w:t>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按蠕动泵说明书要求，检查输出扭矩。</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若不符合说明书规定要求，及时更换泵管</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液位观察管清洗</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1次/月，确保液位观察管清洗透明</w:t>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拆下透明管清除脏污，用试管刷清洗干净。</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拆卸部件原样装回。</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取水系统综合测试</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1次/1月，确保系统取水正常</w:t>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完成上述测试后复原所有阀门到正确位置。</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检查各个接头是否松动，各个电动球阀接线是否完好。</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检查无误情况下，系统复电，检查整个取水流程是否正常。</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高锰酸盐指数分析仪</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2次/月，更换试剂并校正，确保数据正常</w:t>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更换标准校对液和分析试剂，一般不超过15天，夏天视情况缩短更换周期。更换试剂时要将前一批的试剂全部更换干净，而不是补充试剂。</w:t>
            </w:r>
            <w:r/>
          </w:p>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试剂更换完毕须校正仪器，确保校正数据符合仪器要求。</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氨氮分析仪</w:t>
            </w:r>
            <w:r/>
          </w:p>
        </w:tc>
        <w:tc>
          <w:tcPr>
            <w:tcBorders>
              <w:top w:val="single" w:color="auto" w:sz="4" w:space="0"/>
              <w:left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1次/月，更换试剂并校正，确保数据正常</w:t>
            </w:r>
            <w:r/>
          </w:p>
        </w:tc>
        <w:tc>
          <w:tcPr>
            <w:tcBorders>
              <w:top w:val="single" w:color="auto" w:sz="4" w:space="0"/>
              <w:left w:val="single" w:color="auto" w:sz="4" w:space="0"/>
              <w:right w:val="single" w:color="auto" w:sz="4" w:space="0"/>
            </w:tcBorders>
            <w:tcW w:w="2901"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更换标准校对液和分析试剂，一般不超过30天，夏天视情况缩短更换周期。更换试剂时要将前一批的试剂全部更换干净，而不是补充试剂。</w:t>
            </w:r>
            <w:r/>
          </w:p>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试剂更换完毕须校正仪器，确保校正数据符合仪器要求。</w:t>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总磷分析仪</w:t>
            </w:r>
            <w:r/>
          </w:p>
        </w:tc>
        <w:tc>
          <w:tcPr>
            <w:tcBorders>
              <w:left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290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总氮分析仪</w:t>
            </w:r>
            <w:r/>
          </w:p>
        </w:tc>
        <w:tc>
          <w:tcPr>
            <w:tcBorders>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2901"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83"/>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五参数</w:t>
            </w:r>
            <w:r>
              <w:rPr>
                <w:rFonts w:hint="eastAsia" w:ascii="宋体" w:hAnsi="宋体" w:eastAsia="宋体" w:cs="宋体"/>
                <w:color w:val="000000" w:themeColor="text1"/>
                <w:sz w:val="24"/>
                <w:szCs w:val="24"/>
                <w:highlight w:val="none"/>
                <w14:textFill>
                  <w14:solidFill>
                    <w14:schemeClr w14:val="tx1"/>
                  </w14:solidFill>
                </w14:textFill>
              </w:rPr>
              <w:t xml:space="preserve">分析仪</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1次/月，校正电极，确保数据正常</w:t>
            </w:r>
            <w:r/>
          </w:p>
        </w:tc>
        <w:tc>
          <w:tcPr>
            <w:tcBorders>
              <w:top w:val="single" w:color="auto" w:sz="4" w:space="0"/>
              <w:left w:val="single" w:color="auto" w:sz="4" w:space="0"/>
              <w:bottom w:val="single" w:color="auto" w:sz="4" w:space="0"/>
              <w:right w:val="single" w:color="auto" w:sz="4" w:space="0"/>
            </w:tcBorders>
            <w:tcW w:w="2901"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校正</w:t>
            </w:r>
            <w:r>
              <w:rPr>
                <w:rFonts w:hint="eastAsia" w:ascii="宋体" w:hAnsi="宋体" w:eastAsia="宋体" w:cs="宋体"/>
                <w:color w:val="000000" w:themeColor="text1"/>
                <w:sz w:val="24"/>
                <w:szCs w:val="24"/>
                <w:highlight w:val="none"/>
                <w14:textFill>
                  <w14:solidFill>
                    <w14:schemeClr w14:val="tx1"/>
                  </w14:solidFill>
                </w14:textFill>
              </w:rPr>
              <w:t xml:space="preserve">电极</w:t>
            </w:r>
            <w:r>
              <w:rPr>
                <w:rFonts w:hint="eastAsia" w:ascii="宋体" w:hAnsi="宋体" w:eastAsia="宋体" w:cs="宋体"/>
                <w:color w:val="000000" w:themeColor="text1"/>
                <w:sz w:val="24"/>
                <w:szCs w:val="24"/>
                <w:highlight w:val="none"/>
                <w14:textFill>
                  <w14:solidFill>
                    <w14:schemeClr w14:val="tx1"/>
                  </w14:solidFill>
                </w14:textFill>
              </w:rPr>
              <w:t xml:space="preserve">，确保校正数据符合仪器要求。</w:t>
            </w:r>
            <w:r/>
          </w:p>
        </w:tc>
      </w:tr>
    </w:tbl>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.每2月一次</w:t>
      </w:r>
      <w:r/>
    </w:p>
    <w:tbl>
      <w:tblPr>
        <w:tblStyle w:val="7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686"/>
        <w:gridCol w:w="1690"/>
        <w:gridCol w:w="5776"/>
      </w:tblGrid>
      <w:tr>
        <w:trPr>
          <w:trHeight w:val="283"/>
          <w:tblHeader/>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维护内容</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维护周期及目标</w:t>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维护要求</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46"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采水系统维护</w:t>
            </w:r>
            <w:r/>
          </w:p>
        </w:tc>
        <w:tc>
          <w:tcPr>
            <w:tcBorders>
              <w:top w:val="single" w:color="auto" w:sz="4" w:space="0"/>
              <w:left w:val="single" w:color="auto" w:sz="4" w:space="0"/>
              <w:bottom w:val="single" w:color="auto" w:sz="4" w:space="0"/>
              <w:right w:val="single" w:color="auto" w:sz="4" w:space="0"/>
            </w:tcBorders>
            <w:tcW w:w="848"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根据不同水期，适当调整，保证采水系统正常运行</w:t>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对季节性断流、河道改变明显的断面水质自动站采水系统进行加固、调整采水泵。</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室内管路清洗</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2次/月，确保管路透明，无泥沙藻类附着</w:t>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手动拆卸阀门、弯头、过滤网和样水杯等部件，用试管刷清洗，清洗后原样装回。</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检查蠕动泵进水塑胶软管脏污情况，必要的情况更换。</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ind w:left="113" w:hanging="112"/>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电动球阀清洗检查</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1次/2月，确保清洗后电动球阀吸合自如，无堵塞和渗漏</w:t>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将电动球阀手动拆下，用试管刷清洗后，将电动球阀装回管路。</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开启组态单阀测试程序，单独控制阀门开关，检查阀门开关时间是否符合要求（10s以内）。</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必要的情况替换电动球阀。</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单向阀清洗</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1次/2月，确保清洗后电动球阀吸合自如，无堵塞和渗漏</w:t>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拆下单向阀，用试管刷清洗单向阀阀体及密封橡胶上附着的脏污物，检查密封性是否完好后，原样装回管路。</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必要情况更换单向阀。</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46"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压力表测试</w:t>
            </w:r>
            <w:r/>
          </w:p>
        </w:tc>
        <w:tc>
          <w:tcPr>
            <w:tcBorders>
              <w:top w:val="single" w:color="auto" w:sz="4" w:space="0"/>
              <w:left w:val="single" w:color="auto" w:sz="4" w:space="0"/>
              <w:bottom w:val="single" w:color="auto" w:sz="4" w:space="0"/>
              <w:right w:val="single" w:color="auto" w:sz="4" w:space="0"/>
            </w:tcBorders>
            <w:tcW w:w="848" w:type="pct"/>
            <w:vAlign w:val="center"/>
            <w:vMerge w:val="restart"/>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1次/2月，确保清洗后压力表读数正常</w:t>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拆下压力表表头，清洗清除压力导管内泥沙。</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压缩空气吹脱表头内残留脏污。</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调节空压机输出压力为0.6Mpa，输出气管连接到待测压力表，检查待测压力表显示是否和空压机一致，反应是否灵敏。</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原样装回压力表，注意气密性。</w:t>
            </w:r>
            <w:r/>
          </w:p>
        </w:tc>
      </w:tr>
      <w:tr>
        <w:trPr>
          <w:trHeight w:val="283"/>
        </w:trPr>
        <w:tc>
          <w:tcPr>
            <w:tcBorders>
              <w:top w:val="single" w:color="auto" w:sz="4" w:space="0"/>
              <w:left w:val="single" w:color="auto" w:sz="4" w:space="0"/>
              <w:bottom w:val="single" w:color="auto" w:sz="4" w:space="0"/>
              <w:right w:val="single" w:color="auto" w:sz="4" w:space="0"/>
            </w:tcBorders>
            <w:tcW w:w="40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6"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9" w:type="pct"/>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必要情况更换压力表。</w:t>
            </w:r>
            <w:r/>
          </w:p>
        </w:tc>
      </w:tr>
    </w:tbl>
    <w:p>
      <w:pPr>
        <w:pStyle w:val="719"/>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4.应急运维要求</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针对异常数据、系统故障和数据缺失等情况，中标单位必须建立一套完整的应急维护方案。</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（1）发生数据异常情况时应及时远程启动标样核查和留样复测，通过核查结果初步判定仪表当前的状态是否正常；确系污染过程应启动水站加密测试模式，同时记录并上报；</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（2）水站仪器发生故障时，中标单位应及时响应（响应时间不超过8小时），并在24小时内解决所有的故障，如故障不能排除，应在48小时内更换备机；</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当出现水站长时间停电和水位不足造成水站无法自动取样时需进行人工补测，并将实验室分析结果录入数据平台；补测频率为每周两次，两次采样间隔不低于两天；根据各站仪器配置补测相关监测项目，包括pH、溶解氧、氨氮、高锰酸盐指数、总磷和总氮等。</w:t>
      </w:r>
      <w:r/>
    </w:p>
    <w:p>
      <w:pPr>
        <w:pStyle w:val="719"/>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5.数据质量要求</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（1）要求中标人每周对水站仪器至少进行一次质控样核查，准确度相对误差：pH值≤±0.1pH，其他仪器≤±10％（溶解氧、浊度不作要求）。并将结果报业主方。</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（2）要求中标人按《江苏省环境水质（地表水）自动监测预警系统运行管理办法（试行）》对水站仪器进行校准，并将结果报业主方。</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（3）要求中标人每月按《江苏省环境水质（地表水）自动监测预警系统运行管理办法（试行）》要求送样比对，并将结果报业主方。</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（4）要求中标人每月一次接受业主方的标准样品考核，准确度相对误差：pH值≤±0.1pH，其他仪器≤±10％（溶解氧、浊度不作要求）。</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（5）要求中标人及时对校准、质控和异常等数据做出标识，并于每周一的12:00之前将上周原始数据（做出标识的）报业主方。</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（6）中标人应保证在运营维护管理期内，确保单个站点月平均数据有效率不小于90%。</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（7）要求中标人按HJ 915.3—2024《地表水水质自动监测站（常规五参数、COD、NH₃-N、TP、TN）运行维护技术规范》 、《环境水质（地表水）自动监测站运行维护技术规范》 DB32/T4536-2023</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要求加强水质自动站运维质量管理，并将结果报业主方。</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招标文件中未明确的质控管理要求，按照国家和江苏省已实施的相关规范性文件执行，若实施新的管理办法或技术规范时，按新要求执行。</w:t>
      </w:r>
      <w:r/>
    </w:p>
    <w:p>
      <w:pPr>
        <w:pStyle w:val="719"/>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6.水质自动站运维考核要求</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）考核办法</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每季度对运维单位开展一次运营维护工作考核，以每个水质自动站为单位进行。逐站依据维护内容就维护质量和相关指标对照考核评分表对各站进行评分，满分为100分，评分小于80分为不合格，评分大于或等于80分为合格。具体考核内容详见附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）惩罚办法</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单次考核结果在70分以上，80分以下，为初级警告，扣除该站点</w:t>
      </w:r>
      <w:r>
        <w:rPr>
          <w:rFonts w:hint="eastAsia" w:hAnsi="宋体" w:eastAsia="宋体" w:cs="宋体"/>
          <w:color w:val="000000" w:themeColor="text1"/>
          <w:sz w:val="24"/>
          <w:szCs w:val="24"/>
          <w:highlight w:val="none"/>
          <w:lang w:val="zh-CN"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度运维款的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%（该站点</w:t>
      </w:r>
      <w:r>
        <w:rPr>
          <w:rFonts w:hint="eastAsia" w:hAnsi="宋体" w:eastAsia="宋体" w:cs="宋体"/>
          <w:color w:val="000000" w:themeColor="text1"/>
          <w:sz w:val="24"/>
          <w:szCs w:val="24"/>
          <w:highlight w:val="none"/>
          <w:lang w:val="zh-CN"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度运维款以中标价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120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计</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），并责令整改；单次考核结果在60分以上，70分以下，为二级警告，扣除该站点</w:t>
      </w:r>
      <w:r>
        <w:rPr>
          <w:rFonts w:hint="eastAsia" w:hAnsi="宋体" w:eastAsia="宋体" w:cs="宋体"/>
          <w:color w:val="000000" w:themeColor="text1"/>
          <w:sz w:val="24"/>
          <w:szCs w:val="24"/>
          <w:highlight w:val="none"/>
          <w:lang w:val="zh-CN"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度运维款的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%（该站点</w:t>
      </w:r>
      <w:r>
        <w:rPr>
          <w:rFonts w:hint="eastAsia" w:hAnsi="宋体" w:eastAsia="宋体" w:cs="宋体"/>
          <w:color w:val="000000" w:themeColor="text1"/>
          <w:sz w:val="24"/>
          <w:szCs w:val="24"/>
          <w:highlight w:val="none"/>
          <w:lang w:val="zh-CN"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度运维款以中标价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120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计</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），并责令整改；单次考核结果在60分以下，扣减该站当</w:t>
      </w:r>
      <w:r>
        <w:rPr>
          <w:rFonts w:hint="eastAsia" w:hAnsi="宋体" w:eastAsia="宋体" w:cs="宋体"/>
          <w:color w:val="000000" w:themeColor="text1"/>
          <w:sz w:val="24"/>
          <w:szCs w:val="24"/>
          <w:highlight w:val="none"/>
          <w:lang w:val="zh-CN"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全部运维款（该站点</w:t>
      </w:r>
      <w:r>
        <w:rPr>
          <w:rFonts w:hint="eastAsia" w:hAnsi="宋体" w:eastAsia="宋体" w:cs="宋体"/>
          <w:color w:val="000000" w:themeColor="text1"/>
          <w:sz w:val="24"/>
          <w:szCs w:val="24"/>
          <w:highlight w:val="none"/>
          <w:lang w:val="zh-CN"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度运维款以中标价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120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计</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如果中标方运维人员或队伍发生重大变更，无法按质开展运维工作，或者发生重大责任事故的，业主有权提前取消运维合同。</w:t>
      </w:r>
      <w:r/>
    </w:p>
    <w:p>
      <w:pPr>
        <w:pStyle w:val="71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7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附表1：水质自动监测站运维情况考核表评分表</w:t>
      </w:r>
      <w:r/>
    </w:p>
    <w:p>
      <w:pPr>
        <w:pStyle w:val="719"/>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19"/>
        <w:ind w:firstLine="482"/>
        <w:keepLines w:val="0"/>
        <w:keepNext w:val="0"/>
        <w:pageBreakBefore w:val="0"/>
        <w:spacing w:line="440" w:lineRule="exact"/>
        <w:widowControl w:val="off"/>
        <w:rPr>
          <w:rFonts w:hint="eastAsia" w:ascii="宋体" w:hAnsi="宋体" w:eastAsia="宋体" w:cs="宋体"/>
          <w:b/>
          <w:bCs/>
          <w:color w:val="auto"/>
          <w:sz w:val="24"/>
          <w:highlight w:val="none"/>
          <w:lang w:val="zh-CN" w:eastAsia="zh-CN"/>
        </w:rPr>
        <w:sectPr>
          <w:footerReference w:type="default" r:id="rId9"/>
          <w:footnotePr/>
          <w:endnotePr/>
          <w:type w:val="nextPage"/>
          <w:pgSz w:w="11906" w:h="16838" w:orient="portrait"/>
          <w:pgMar w:top="1440" w:right="1080" w:bottom="1440" w:left="1080" w:header="851" w:footer="1417" w:gutter="0"/>
          <w:pgNumType w:start="1"/>
          <w:cols w:num="1" w:sep="0" w:space="0" w:equalWidth="1"/>
          <w:docGrid w:linePitch="360"/>
        </w:sectPr>
      </w:pPr>
      <w:r>
        <w:rPr>
          <w:rFonts w:hint="eastAsia" w:ascii="宋体" w:hAnsi="宋体" w:eastAsia="宋体" w:cs="宋体"/>
          <w:b/>
          <w:bCs/>
          <w:color w:val="auto"/>
          <w:sz w:val="24"/>
          <w:highlight w:val="none"/>
          <w:lang w:val="zh-CN" w:eastAsia="zh-CN"/>
        </w:rPr>
      </w:r>
      <w:r/>
    </w:p>
    <w:p>
      <w:pPr>
        <w:jc w:val="center"/>
        <w:spacing w:line="360" w:lineRule="auto"/>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eastAsia="zh-CN"/>
        </w:rPr>
        <w:t xml:space="preserve">附表</w:t>
      </w:r>
      <w:r>
        <w:rPr>
          <w:rFonts w:hint="eastAsia" w:ascii="仿宋" w:hAnsi="仿宋" w:eastAsia="仿宋" w:cs="仿宋"/>
          <w:b/>
          <w:sz w:val="28"/>
          <w:szCs w:val="28"/>
          <w:highlight w:val="none"/>
          <w:lang w:val="en-US" w:eastAsia="zh-CN"/>
        </w:rPr>
        <w:t xml:space="preserve">1.</w:t>
      </w:r>
      <w:r>
        <w:rPr>
          <w:rFonts w:hint="eastAsia" w:ascii="仿宋" w:hAnsi="仿宋" w:eastAsia="仿宋" w:cs="仿宋"/>
          <w:b/>
          <w:sz w:val="28"/>
          <w:szCs w:val="28"/>
          <w:highlight w:val="none"/>
        </w:rPr>
        <w:t xml:space="preserve">水质自动监测站运维情况考核</w:t>
      </w:r>
      <w:r>
        <w:rPr>
          <w:rFonts w:hint="eastAsia" w:ascii="仿宋" w:hAnsi="仿宋" w:eastAsia="仿宋" w:cs="仿宋"/>
          <w:b/>
          <w:sz w:val="28"/>
          <w:szCs w:val="28"/>
          <w:highlight w:val="none"/>
          <w:lang w:eastAsia="zh-CN"/>
        </w:rPr>
        <w:t xml:space="preserve">评分表</w:t>
      </w:r>
      <w:r/>
    </w:p>
    <w:tbl>
      <w:tblPr>
        <w:tblStyle w:val="71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1831"/>
        <w:gridCol w:w="1993"/>
        <w:gridCol w:w="6446"/>
        <w:gridCol w:w="955"/>
        <w:gridCol w:w="1656"/>
      </w:tblGrid>
      <w:tr>
        <w:trPr>
          <w:jc w:val="center"/>
          <w:trHeight w:val="0"/>
          <w:tblHeader/>
        </w:trPr>
        <w:tc>
          <w:tcPr>
            <w:gridSpan w:val="2"/>
            <w:tcW w:w="1101"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考核内容</w:t>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分值测算</w:t>
            </w:r>
            <w:r/>
          </w:p>
        </w:tc>
        <w:tc>
          <w:tcPr>
            <w:tcW w:w="227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评分细则</w:t>
            </w:r>
            <w:r/>
          </w:p>
        </w:tc>
        <w:tc>
          <w:tcPr>
            <w:tcW w:w="337"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得分</w:t>
            </w:r>
            <w:r/>
          </w:p>
        </w:tc>
        <w:tc>
          <w:tcPr>
            <w:tcW w:w="58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扣分原因</w:t>
            </w:r>
            <w:r/>
          </w:p>
        </w:tc>
      </w:tr>
      <w:tr>
        <w:trPr>
          <w:jc w:val="center"/>
          <w:trHeight w:val="0"/>
          <w:tblHeader/>
        </w:trPr>
        <w:tc>
          <w:tcPr>
            <w:tcW w:w="455" w:type="pct"/>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运维管理</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分）</w:t>
            </w:r>
            <w:r/>
          </w:p>
        </w:tc>
        <w:tc>
          <w:tcPr>
            <w:tcW w:w="645" w:type="pct"/>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日常维护（23分）</w:t>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站房</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（3分）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站房周边环境</w:t>
            </w:r>
            <w:r>
              <w:rPr>
                <w:rFonts w:hint="eastAsia" w:ascii="仿宋" w:hAnsi="仿宋" w:eastAsia="仿宋" w:cs="仿宋"/>
                <w:color w:val="auto"/>
                <w:sz w:val="21"/>
                <w:szCs w:val="21"/>
                <w:highlight w:val="none"/>
                <w:lang w:eastAsia="zh-CN"/>
              </w:rPr>
              <w:t xml:space="preserve">：保持</w:t>
            </w:r>
            <w:r>
              <w:rPr>
                <w:rFonts w:hint="eastAsia" w:ascii="仿宋" w:hAnsi="仿宋" w:eastAsia="仿宋" w:cs="仿宋"/>
                <w:color w:val="auto"/>
                <w:sz w:val="21"/>
                <w:szCs w:val="21"/>
                <w:highlight w:val="none"/>
              </w:rPr>
              <w:t xml:space="preserve">站房周边10米范围内环境整洁</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对区域内点位站房及周边进行巡查，巡查内容为站房及取水口等基础设施保障情况；水站取水口上下游1Km范围内是否有人为干扰等环境调查</w:t>
            </w:r>
            <w:r>
              <w:rPr>
                <w:rFonts w:hint="eastAsia" w:ascii="仿宋" w:hAnsi="仿宋" w:eastAsia="仿宋" w:cs="仿宋"/>
                <w:color w:val="auto"/>
                <w:sz w:val="21"/>
                <w:szCs w:val="21"/>
                <w:highlight w:val="none"/>
                <w:lang w:eastAsia="zh-CN"/>
              </w:rPr>
              <w:t xml:space="preserve">。</w:t>
            </w:r>
            <w:r/>
          </w:p>
          <w:p>
            <w:pPr>
              <w:keepLines w:val="0"/>
              <w:keepNext w:val="0"/>
              <w:pageBreakBefore w:val="0"/>
              <w:spacing w:line="240" w:lineRule="auto"/>
              <w:widowControl/>
              <w:rPr>
                <w:rFonts w:hint="eastAsia" w:ascii="仿宋" w:hAnsi="仿宋" w:eastAsia="仿宋" w:cs="仿宋"/>
                <w:color w:val="000000"/>
                <w:sz w:val="21"/>
                <w:szCs w:val="21"/>
                <w:highlight w:val="none"/>
                <w:lang w:eastAsia="zh-CN"/>
              </w:rPr>
              <w:outlineLvl w:val="9"/>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站房内部</w:t>
            </w:r>
            <w:r>
              <w:rPr>
                <w:rFonts w:hint="eastAsia" w:ascii="仿宋" w:hAnsi="仿宋" w:eastAsia="仿宋" w:cs="仿宋"/>
                <w:color w:val="auto"/>
                <w:sz w:val="21"/>
                <w:szCs w:val="21"/>
                <w:highlight w:val="none"/>
                <w:lang w:eastAsia="zh-CN"/>
              </w:rPr>
              <w:t xml:space="preserve">环境（</w:t>
            </w:r>
            <w:r>
              <w:rPr>
                <w:rFonts w:hint="eastAsia" w:ascii="仿宋" w:hAnsi="仿宋" w:eastAsia="仿宋" w:cs="仿宋"/>
                <w:color w:val="auto"/>
                <w:sz w:val="21"/>
                <w:szCs w:val="21"/>
                <w:highlight w:val="none"/>
              </w:rPr>
              <w:t xml:space="preserve">防水、防雷、</w:t>
            </w:r>
            <w:r>
              <w:rPr>
                <w:rFonts w:hint="eastAsia" w:ascii="仿宋" w:hAnsi="仿宋" w:eastAsia="仿宋" w:cs="仿宋"/>
                <w:color w:val="auto"/>
                <w:sz w:val="21"/>
                <w:szCs w:val="21"/>
                <w:highlight w:val="none"/>
                <w:lang w:val="en-US" w:eastAsia="zh-CN"/>
              </w:rPr>
              <w:t xml:space="preserve">消防等</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保持站房清洁，试剂、药品、玻璃器皿等放置整齐</w:t>
            </w:r>
            <w:r>
              <w:rPr>
                <w:rFonts w:hint="eastAsia" w:ascii="仿宋" w:hAnsi="仿宋" w:eastAsia="仿宋" w:cs="仿宋"/>
                <w:color w:val="auto"/>
                <w:sz w:val="21"/>
                <w:szCs w:val="21"/>
                <w:highlight w:val="none"/>
                <w:lang w:eastAsia="zh-CN"/>
              </w:rPr>
              <w:t xml:space="preserve">；按要求收集水站实验室废液，每年及时</w:t>
            </w:r>
            <w:r>
              <w:rPr>
                <w:rFonts w:hint="eastAsia" w:ascii="仿宋" w:hAnsi="仿宋" w:eastAsia="仿宋" w:cs="仿宋"/>
                <w:color w:val="auto"/>
                <w:sz w:val="21"/>
                <w:szCs w:val="21"/>
                <w:highlight w:val="none"/>
                <w:lang w:val="en-US" w:eastAsia="zh-CN"/>
              </w:rPr>
              <w:t xml:space="preserve">送有资质单位处理；</w:t>
            </w:r>
            <w:r>
              <w:rPr>
                <w:rFonts w:hint="eastAsia" w:ascii="仿宋" w:hAnsi="仿宋" w:eastAsia="仿宋" w:cs="仿宋"/>
                <w:color w:val="auto"/>
                <w:sz w:val="21"/>
                <w:szCs w:val="21"/>
                <w:highlight w:val="none"/>
                <w:lang w:eastAsia="zh-CN"/>
              </w:rPr>
              <w:t xml:space="preserve">配备消防灭火器材；</w:t>
            </w:r>
            <w:r>
              <w:rPr>
                <w:rFonts w:hint="eastAsia" w:ascii="仿宋" w:hAnsi="仿宋" w:eastAsia="仿宋" w:cs="仿宋"/>
                <w:color w:val="auto"/>
                <w:sz w:val="21"/>
                <w:szCs w:val="21"/>
                <w:highlight w:val="none"/>
                <w:lang w:val="en-US" w:eastAsia="zh-CN"/>
              </w:rPr>
              <w:t xml:space="preserve">对站点防雷设施维护检查，并进行防雷设施检测，委托有资质单位出具的检测报告。</w:t>
            </w:r>
            <w:r>
              <w:rPr>
                <w:rFonts w:hint="eastAsia" w:ascii="仿宋" w:hAnsi="仿宋" w:eastAsia="仿宋" w:cs="仿宋"/>
                <w:color w:val="000000"/>
                <w:sz w:val="21"/>
                <w:szCs w:val="21"/>
                <w:highlight w:val="none"/>
              </w:rPr>
              <w:t xml:space="preserve">全部合格得满分，有一个项不合格扣1分</w:t>
            </w:r>
            <w:r>
              <w:rPr>
                <w:rFonts w:hint="eastAsia" w:ascii="仿宋" w:hAnsi="仿宋" w:eastAsia="仿宋" w:cs="仿宋"/>
                <w:color w:val="000000"/>
                <w:sz w:val="21"/>
                <w:szCs w:val="21"/>
                <w:highlight w:val="none"/>
                <w:lang w:eastAsia="zh-CN"/>
              </w:rPr>
              <w:t xml:space="preserve">。</w:t>
            </w:r>
            <w:r/>
          </w:p>
        </w:tc>
        <w:tc>
          <w:tcPr>
            <w:tcW w:w="337" w:type="pct"/>
            <w:vAlign w:val="center"/>
            <w:textDirection w:val="lrTb"/>
            <w:noWrap w:val="false"/>
          </w:tcPr>
          <w:p>
            <w:pPr>
              <w:keepLines w:val="0"/>
              <w:keepNext w:val="0"/>
              <w:pageBreakBefore w:val="0"/>
              <w:spacing w:line="240" w:lineRule="auto"/>
              <w:widowControl/>
              <w:rPr>
                <w:rFonts w:hint="default" w:ascii="仿宋" w:hAnsi="仿宋" w:eastAsia="仿宋" w:cs="仿宋"/>
                <w:color w:val="000000"/>
                <w:sz w:val="21"/>
                <w:szCs w:val="21"/>
                <w:highlight w:val="none"/>
                <w:lang w:val="en-US" w:eastAsia="zh-CN"/>
              </w:rPr>
              <w:outlineLvl w:val="9"/>
            </w:pPr>
            <w:r>
              <w:rPr>
                <w:rFonts w:hint="default" w:ascii="仿宋" w:hAnsi="仿宋" w:eastAsia="仿宋" w:cs="仿宋"/>
                <w:color w:val="000000"/>
                <w:sz w:val="21"/>
                <w:szCs w:val="21"/>
                <w:highlight w:val="none"/>
                <w:lang w:val="en-US" w:eastAsia="zh-CN"/>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维护频次</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w:t>
            </w:r>
            <w:r/>
          </w:p>
        </w:tc>
        <w:tc>
          <w:tcPr>
            <w:tcW w:w="2273" w:type="pct"/>
            <w:vAlign w:val="center"/>
            <w:textDirection w:val="lrTb"/>
            <w:noWrap w:val="false"/>
          </w:tcPr>
          <w:p>
            <w:pPr>
              <w:numPr>
                <w:ilvl w:val="0"/>
                <w:numId w:val="0"/>
              </w:num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运维频次满足每周运维1次</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rPr>
              <w:t xml:space="preserve">6分，若有1周未运维，则扣0.5分；</w:t>
            </w:r>
            <w:r/>
          </w:p>
          <w:p>
            <w:pPr>
              <w:numPr>
                <w:ilvl w:val="0"/>
                <w:numId w:val="0"/>
              </w:num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定期进行电极、样杯、管路、预处理装置清洗的1分，有一项未清洗不得分。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自动监测仪器</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1.定期更换试剂、定期更换易耗品，标签填写规范；</w:t>
            </w:r>
            <w:r/>
          </w:p>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2.定期校准仪器（仪器更换试剂或关键部件等）；</w:t>
            </w:r>
            <w:r/>
          </w:p>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3.仪器故障及时报修，相应仪器及校正参数在正常范围内；</w:t>
            </w:r>
            <w:r/>
          </w:p>
          <w:p>
            <w:pPr>
              <w:keepLines w:val="0"/>
              <w:keepNext w:val="0"/>
              <w:pageBreakBefore w:val="0"/>
              <w:spacing w:line="240" w:lineRule="auto"/>
              <w:widowControl/>
              <w:rPr>
                <w:rFonts w:hint="eastAsia" w:ascii="仿宋" w:hAnsi="仿宋" w:eastAsia="仿宋" w:cs="仿宋"/>
                <w:color w:val="000000"/>
                <w:sz w:val="21"/>
                <w:szCs w:val="21"/>
                <w:highlight w:val="none"/>
                <w:lang w:eastAsia="zh-CN"/>
              </w:rPr>
              <w:outlineLvl w:val="9"/>
            </w:pPr>
            <w:r>
              <w:rPr>
                <w:rFonts w:hint="eastAsia" w:ascii="仿宋" w:hAnsi="仿宋" w:eastAsia="仿宋" w:cs="仿宋"/>
                <w:color w:val="000000"/>
                <w:sz w:val="21"/>
                <w:szCs w:val="21"/>
                <w:highlight w:val="none"/>
              </w:rPr>
              <w:t xml:space="preserve">全部合格得满分，有一个项不合格扣1分</w:t>
            </w:r>
            <w:r>
              <w:rPr>
                <w:rFonts w:hint="eastAsia" w:ascii="仿宋" w:hAnsi="仿宋" w:eastAsia="仿宋" w:cs="仿宋"/>
                <w:color w:val="000000"/>
                <w:sz w:val="21"/>
                <w:szCs w:val="21"/>
                <w:highlight w:val="none"/>
                <w:lang w:eastAsia="zh-CN"/>
              </w:rPr>
              <w:t xml:space="preserve">。</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数据传输及存储</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数据采集、传输无异常，保持正常接收、存储、发送各项数据；保持分析仪至数采仪数据传输正确</w:t>
            </w:r>
            <w:r>
              <w:rPr>
                <w:rFonts w:hint="eastAsia" w:ascii="仿宋" w:hAnsi="仿宋" w:eastAsia="仿宋" w:cs="仿宋"/>
                <w:color w:val="000000"/>
                <w:sz w:val="21"/>
                <w:szCs w:val="21"/>
                <w:highlight w:val="none"/>
                <w:lang w:eastAsia="zh-CN"/>
              </w:rPr>
              <w:t xml:space="preserve">，且平台上传质控数据，质控数据含日质控、周核查和月质控的质控数据。</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采配水系统的维护</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采水口定期清理，无大量水草、杂物堆积；</w:t>
            </w:r>
            <w:r/>
          </w:p>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采水浮筒正常、保温层正常；</w:t>
            </w:r>
            <w:r/>
          </w:p>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定期检查，防止管路堵塞或破裂，无漏液现象。</w:t>
            </w:r>
            <w:r/>
          </w:p>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全部合格得满分，否则有一个项不合格扣1分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运维记录</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（4分）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运维记录、质控记录、试剂或耗材更换，备品备件更换等记录完整、准确、整洁，得满分，否则酌情扣分。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通讯</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通讯线路的畅通，视频监控正常查看，可回看30天；</w:t>
            </w:r>
            <w:r/>
          </w:p>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摄像头朝向发生自动转动，一个周期内维护。</w:t>
            </w:r>
            <w:r/>
          </w:p>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全部合格得满分，有一个项不合格扣1分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897"/>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auto"/>
                <w:sz w:val="21"/>
                <w:szCs w:val="21"/>
                <w:highlight w:val="none"/>
                <w:lang w:eastAsia="zh-CN"/>
              </w:rPr>
              <w:t xml:space="preserve">按规范开展日质控、周核查和月质控，月质控含多点线性核查、集成干预检查和加标回收检查。</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0</w:t>
            </w:r>
            <w:r>
              <w:rPr>
                <w:rFonts w:hint="eastAsia" w:ascii="仿宋" w:hAnsi="仿宋" w:eastAsia="仿宋" w:cs="仿宋"/>
                <w:color w:val="000000"/>
                <w:sz w:val="21"/>
                <w:szCs w:val="21"/>
                <w:highlight w:val="none"/>
              </w:rPr>
              <w:t xml:space="preserve">分）</w:t>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标液核查</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（10分）</w:t>
            </w:r>
            <w:r/>
          </w:p>
        </w:tc>
        <w:tc>
          <w:tcPr>
            <w:tcW w:w="2273" w:type="pct"/>
            <w:vAlign w:val="center"/>
            <w:textDirection w:val="lrTb"/>
            <w:noWrap w:val="false"/>
          </w:tcPr>
          <w:p>
            <w:pPr>
              <w:jc w:val="both"/>
              <w:keepLines w:val="0"/>
              <w:keepNext w:val="0"/>
              <w:pageBreakBefore w:val="0"/>
              <w:spacing w:line="240" w:lineRule="auto"/>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auto"/>
                <w:sz w:val="21"/>
                <w:szCs w:val="21"/>
                <w:highlight w:val="none"/>
                <w:lang w:eastAsia="zh-CN"/>
              </w:rPr>
              <w:t xml:space="preserve">日质控含24小时零点漂移和24小时跨度漂移，零点核查和跨度核查，标液核查项目包括氨氮、高锰酸盐指数、总磷、总氮及常规五参数核查。核查</w:t>
            </w:r>
            <w:r>
              <w:rPr>
                <w:rFonts w:hint="eastAsia" w:ascii="仿宋" w:hAnsi="仿宋" w:eastAsia="仿宋" w:cs="仿宋"/>
                <w:color w:val="000000"/>
                <w:sz w:val="21"/>
                <w:szCs w:val="21"/>
                <w:highlight w:val="none"/>
                <w:lang w:eastAsia="zh-CN"/>
              </w:rPr>
              <w:t xml:space="preserve">每缺</w:t>
            </w:r>
            <w:r>
              <w:rPr>
                <w:rFonts w:hint="eastAsia" w:ascii="仿宋" w:hAnsi="仿宋" w:eastAsia="仿宋" w:cs="仿宋"/>
                <w:color w:val="000000"/>
                <w:sz w:val="21"/>
                <w:szCs w:val="21"/>
                <w:highlight w:val="none"/>
                <w:lang w:val="en-US" w:eastAsia="zh-CN"/>
              </w:rPr>
              <w:t xml:space="preserve">1项扣1分，</w:t>
            </w:r>
            <w:r>
              <w:rPr>
                <w:rFonts w:hint="eastAsia" w:ascii="仿宋" w:hAnsi="仿宋" w:eastAsia="仿宋" w:cs="仿宋"/>
                <w:color w:val="000000"/>
                <w:sz w:val="21"/>
                <w:szCs w:val="21"/>
                <w:highlight w:val="none"/>
              </w:rPr>
              <w:t xml:space="preserve">标液核查合格率100%为满分，90%～95%得5分，低于90%不得分。</w:t>
            </w:r>
            <w:r>
              <w:rPr>
                <w:rFonts w:hint="eastAsia" w:ascii="仿宋" w:hAnsi="仿宋" w:eastAsia="仿宋" w:cs="仿宋"/>
                <w:color w:val="000000"/>
                <w:sz w:val="21"/>
                <w:szCs w:val="21"/>
                <w:highlight w:val="none"/>
                <w:lang w:val="en-US" w:eastAsia="zh-CN"/>
              </w:rPr>
              <w:t xml:space="preserve">每缺1项扣1分。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1284"/>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auto"/>
                <w:sz w:val="21"/>
                <w:szCs w:val="21"/>
                <w:highlight w:val="none"/>
                <w:lang w:eastAsia="zh-CN"/>
              </w:rPr>
              <w:t xml:space="preserve">多点线性核查、集成干预检查和加标回收检查</w:t>
            </w:r>
            <w:r>
              <w:rPr>
                <w:rFonts w:hint="eastAsia" w:ascii="仿宋" w:hAnsi="仿宋" w:eastAsia="仿宋" w:cs="仿宋"/>
                <w:color w:val="000000"/>
                <w:sz w:val="21"/>
                <w:szCs w:val="21"/>
                <w:highlight w:val="none"/>
              </w:rPr>
              <w:t xml:space="preserve">（10分）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auto"/>
                <w:sz w:val="21"/>
                <w:szCs w:val="21"/>
                <w:highlight w:val="none"/>
                <w:lang w:eastAsia="zh-CN"/>
              </w:rPr>
              <w:t xml:space="preserve">月质控</w:t>
            </w:r>
            <w:r>
              <w:rPr>
                <w:rFonts w:hint="eastAsia" w:ascii="仿宋" w:hAnsi="仿宋" w:eastAsia="仿宋" w:cs="仿宋"/>
                <w:color w:val="000000"/>
                <w:sz w:val="21"/>
                <w:szCs w:val="21"/>
                <w:highlight w:val="none"/>
                <w:lang w:eastAsia="zh-CN"/>
              </w:rPr>
              <w:t xml:space="preserve">每缺</w:t>
            </w:r>
            <w:r>
              <w:rPr>
                <w:rFonts w:hint="eastAsia" w:ascii="仿宋" w:hAnsi="仿宋" w:eastAsia="仿宋" w:cs="仿宋"/>
                <w:color w:val="000000"/>
                <w:sz w:val="21"/>
                <w:szCs w:val="21"/>
                <w:highlight w:val="none"/>
                <w:lang w:val="en-US" w:eastAsia="zh-CN"/>
              </w:rPr>
              <w:t xml:space="preserve">1项扣3分，</w:t>
            </w:r>
            <w:r>
              <w:rPr>
                <w:rFonts w:hint="eastAsia" w:ascii="仿宋" w:hAnsi="仿宋" w:eastAsia="仿宋" w:cs="仿宋"/>
                <w:color w:val="auto"/>
                <w:sz w:val="21"/>
                <w:szCs w:val="21"/>
                <w:highlight w:val="none"/>
                <w:lang w:eastAsia="zh-CN"/>
              </w:rPr>
              <w:t xml:space="preserve">多点线性核查、集成干预检查按规范进行，不符要求每次扣</w:t>
            </w:r>
            <w:r>
              <w:rPr>
                <w:rFonts w:hint="eastAsia" w:ascii="仿宋" w:hAnsi="仿宋" w:eastAsia="仿宋" w:cs="仿宋"/>
                <w:color w:val="auto"/>
                <w:sz w:val="21"/>
                <w:szCs w:val="21"/>
                <w:highlight w:val="none"/>
                <w:lang w:val="en-US" w:eastAsia="zh-CN"/>
              </w:rPr>
              <w:t xml:space="preserve">1分，</w:t>
            </w:r>
            <w:r>
              <w:rPr>
                <w:rFonts w:hint="eastAsia" w:ascii="仿宋" w:hAnsi="仿宋" w:eastAsia="仿宋" w:cs="仿宋"/>
                <w:color w:val="000000"/>
                <w:sz w:val="21"/>
                <w:szCs w:val="21"/>
                <w:highlight w:val="none"/>
              </w:rPr>
              <w:t xml:space="preserve">加标回收合格率100%为满分，90%～95%得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分，低于90%不得分。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运维效果</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分）</w:t>
            </w:r>
            <w:r/>
          </w:p>
        </w:tc>
        <w:tc>
          <w:tcPr>
            <w:tcW w:w="645" w:type="pct"/>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有效率（12分）</w:t>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数据有效运行率（8分）　</w:t>
            </w:r>
            <w:r>
              <w:rPr>
                <w:rFonts w:hint="eastAsia" w:ascii="仿宋" w:hAnsi="仿宋" w:eastAsia="仿宋" w:cs="仿宋"/>
                <w:sz w:val="21"/>
                <w:szCs w:val="21"/>
                <w:highlight w:val="none"/>
              </w:rPr>
              <mc:AlternateContent>
                <mc:Choice Requires="wpg">
                  <w:drawing>
                    <wp:inline xmlns:wp="http://schemas.openxmlformats.org/drawingml/2006/wordprocessingDrawing" distT="0" distB="0" distL="0" distR="0">
                      <wp:extent cx="1010285" cy="179705"/>
                      <wp:effectExtent l="0" t="0" r="18415" b="11430"/>
                      <wp:docPr id="4" name="图片 1"/>
                      <wp:cNvGraphicFramePr/>
                      <a:graphic xmlns:a="http://schemas.openxmlformats.org/drawingml/2006/main">
                        <a:graphicData uri="http://schemas.openxmlformats.org/drawingml/2006/picture">
                          <pic:pic xmlns:pic="http://schemas.openxmlformats.org/drawingml/2006/picture">
                            <pic:nvPicPr>
                              <pic:cNvPr id="20" name="图片 1"/>
                              <pic:cNvPicPr/>
                              <pic:nvPr/>
                            </pic:nvPicPr>
                            <pic:blipFill>
                              <a:blip r:embed="rId14"/>
                              <a:stretch/>
                            </pic:blipFill>
                            <pic:spPr bwMode="auto">
                              <a:xfrm>
                                <a:off x="0" y="0"/>
                                <a:ext cx="1010285" cy="179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9.5pt;height:14.1pt;mso-wrap-distance-left:0.0pt;mso-wrap-distance-top:0.0pt;mso-wrap-distance-right:0.0pt;mso-wrap-distance-bottom:0.0pt;" stroked="f">
                      <v:path textboxrect="0,0,0,0"/>
                      <v:imagedata r:id="rId14" o:title=""/>
                    </v:shape>
                  </w:pict>
                </mc:Fallback>
              </mc:AlternateContent>
            </w:r>
            <w:r/>
          </w:p>
        </w:tc>
        <w:tc>
          <w:tcPr>
            <w:tcW w:w="2273"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水站数据有效率≥93%得满分；93%＞水站数据有效率≥90%得6分；90%＞水站数据有效率≥85%或现场存在故障仪器2天以上未修复的得4分；水站数据有效率＜85%或现场仪器1个月以上未修复的不得分。其中常规九参数单台仪器月运转率低于95%，每台扣0.5分，低于85%扣1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在线率（4分）　</w:t>
            </w:r>
            <w:r>
              <w:rPr>
                <w:rFonts w:hint="eastAsia" w:ascii="仿宋" w:hAnsi="仿宋" w:eastAsia="仿宋" w:cs="仿宋"/>
                <w:sz w:val="21"/>
                <w:szCs w:val="21"/>
                <w:highlight w:val="none"/>
              </w:rPr>
              <mc:AlternateContent>
                <mc:Choice Requires="wpg">
                  <w:drawing>
                    <wp:inline xmlns:wp="http://schemas.openxmlformats.org/drawingml/2006/wordprocessingDrawing" distT="0" distB="0" distL="0" distR="0">
                      <wp:extent cx="1007110" cy="210185"/>
                      <wp:effectExtent l="0" t="0" r="2540" b="18415"/>
                      <wp:docPr id="5" name="图片 2"/>
                      <wp:cNvGraphicFramePr/>
                      <a:graphic xmlns:a="http://schemas.openxmlformats.org/drawingml/2006/main">
                        <a:graphicData uri="http://schemas.openxmlformats.org/drawingml/2006/picture">
                          <pic:pic xmlns:pic="http://schemas.openxmlformats.org/drawingml/2006/picture">
                            <pic:nvPicPr>
                              <pic:cNvPr id="21" name="图片 2"/>
                              <pic:cNvPicPr/>
                              <pic:nvPr/>
                            </pic:nvPicPr>
                            <pic:blipFill>
                              <a:blip r:embed="rId15"/>
                              <a:stretch/>
                            </pic:blipFill>
                            <pic:spPr bwMode="auto">
                              <a:xfrm>
                                <a:off x="0" y="0"/>
                                <a:ext cx="1007110" cy="210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3pt;height:16.6pt;mso-wrap-distance-left:0.0pt;mso-wrap-distance-top:0.0pt;mso-wrap-distance-right:0.0pt;mso-wrap-distance-bottom:0.0pt;" stroked="f">
                      <v:path textboxrect="0,0,0,0"/>
                      <v:imagedata r:id="rId15" o:title=""/>
                    </v:shape>
                  </w:pict>
                </mc:Fallback>
              </mc:AlternateConten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在线率≥95%得满分；95%＞在线率≥90%得3分；90%＞在线率≥85%的得2分；在线率＜85%的不得分。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sz w:val="21"/>
                <w:szCs w:val="21"/>
                <w:highlight w:val="none"/>
              </w:rPr>
              <w:t xml:space="preserve">质控考核（2</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分）</w:t>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sz w:val="21"/>
                <w:szCs w:val="21"/>
                <w:highlight w:val="none"/>
              </w:rPr>
              <w:t xml:space="preserve">盲样考核（10分）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sz w:val="21"/>
                <w:szCs w:val="21"/>
                <w:highlight w:val="none"/>
              </w:rPr>
              <w:t xml:space="preserve">全部合格得满分；有一个项不合格扣2分，扣完为止。</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实样比对（1</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lang w:eastAsia="zh-CN"/>
              </w:rPr>
              <w:t xml:space="preserve">分）</w:t>
            </w:r>
            <w:r/>
          </w:p>
        </w:tc>
        <w:tc>
          <w:tcPr>
            <w:tcW w:w="227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根据质控核查结果，全部合格得满分；有一个项不合格扣</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lang w:eastAsia="zh-CN"/>
              </w:rPr>
              <w:t xml:space="preserve">分，扣完为止。</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运维保障</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14</w:t>
            </w:r>
            <w:r>
              <w:rPr>
                <w:rFonts w:hint="eastAsia" w:ascii="仿宋" w:hAnsi="仿宋" w:eastAsia="仿宋" w:cs="仿宋"/>
                <w:color w:val="000000"/>
                <w:sz w:val="21"/>
                <w:szCs w:val="21"/>
                <w:highlight w:val="none"/>
              </w:rPr>
              <w:t xml:space="preserve">分）</w:t>
            </w:r>
            <w:r/>
          </w:p>
        </w:tc>
        <w:tc>
          <w:tcPr>
            <w:tcW w:w="645" w:type="pct"/>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运维响应（</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w:t>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应急响应（</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分）</w:t>
            </w:r>
            <w:r/>
          </w:p>
        </w:tc>
        <w:tc>
          <w:tcPr>
            <w:tcW w:w="227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1"/>
                <w:szCs w:val="21"/>
                <w:highlight w:val="none"/>
                <w:lang w:eastAsia="zh-CN"/>
              </w:rPr>
              <w:outlineLvl w:val="9"/>
            </w:pPr>
            <w:r>
              <w:rPr>
                <w:rFonts w:hint="eastAsia" w:ascii="仿宋" w:hAnsi="仿宋" w:eastAsia="仿宋" w:cs="仿宋"/>
                <w:color w:val="auto"/>
                <w:sz w:val="21"/>
                <w:szCs w:val="21"/>
                <w:highlight w:val="none"/>
                <w:lang w:eastAsia="zh-CN"/>
              </w:rPr>
              <w:t xml:space="preserve">对水质异常响应及时，否则酌情扣分。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1339"/>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故障响应（</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w:t>
            </w:r>
            <w:r/>
          </w:p>
        </w:tc>
        <w:tc>
          <w:tcPr>
            <w:tcW w:w="2273"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000000"/>
                <w:sz w:val="21"/>
                <w:szCs w:val="21"/>
                <w:highlight w:val="none"/>
                <w:lang w:val="en-US" w:eastAsia="zh-CN"/>
              </w:rPr>
              <w:outlineLvl w:val="9"/>
            </w:pPr>
            <w:r>
              <w:rPr>
                <w:rFonts w:hint="eastAsia" w:ascii="仿宋" w:hAnsi="仿宋" w:eastAsia="仿宋" w:cs="仿宋"/>
                <w:color w:val="000000"/>
                <w:sz w:val="21"/>
                <w:szCs w:val="21"/>
                <w:highlight w:val="none"/>
              </w:rPr>
              <w:t xml:space="preserve">站点故障时响应迅速，解决及时得满分，</w:t>
            </w:r>
            <w:r>
              <w:rPr>
                <w:rFonts w:hint="eastAsia" w:ascii="仿宋" w:hAnsi="仿宋" w:eastAsia="仿宋" w:cs="仿宋"/>
                <w:color w:val="000000"/>
                <w:sz w:val="21"/>
                <w:szCs w:val="21"/>
                <w:highlight w:val="none"/>
                <w:lang w:val="en-US" w:eastAsia="zh-CN"/>
              </w:rPr>
              <w:t xml:space="preserve">若发现因水站设备故障或其它原因影响水站正常运行的，应在4小时内报告，未按时报告每次扣1分。8小时内不能到达现场解决（通信线路、电力线路故障除外）的，每次扣1.5分；若仪器故障无法排除，且无法在48小时内提供并更换相应备机的，每次扣2分。</w:t>
            </w:r>
            <w:r/>
          </w:p>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反馈信息（</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能够及时</w:t>
            </w:r>
            <w:r>
              <w:rPr>
                <w:rFonts w:hint="eastAsia" w:ascii="仿宋" w:hAnsi="仿宋" w:eastAsia="仿宋" w:cs="仿宋"/>
                <w:color w:val="000000"/>
                <w:sz w:val="21"/>
                <w:szCs w:val="21"/>
                <w:highlight w:val="none"/>
                <w:lang w:eastAsia="zh-CN"/>
              </w:rPr>
              <w:t xml:space="preserve">反映</w:t>
            </w:r>
            <w:r>
              <w:rPr>
                <w:rFonts w:hint="eastAsia" w:ascii="仿宋" w:hAnsi="仿宋" w:eastAsia="仿宋" w:cs="仿宋"/>
                <w:color w:val="000000"/>
                <w:sz w:val="21"/>
                <w:szCs w:val="21"/>
                <w:highlight w:val="none"/>
              </w:rPr>
              <w:t xml:space="preserve">水质、仪器故障信息得满分，较好地完成溯源排查</w:t>
            </w:r>
            <w:r>
              <w:rPr>
                <w:rFonts w:hint="eastAsia" w:ascii="仿宋" w:hAnsi="仿宋" w:eastAsia="仿宋" w:cs="仿宋"/>
                <w:color w:val="000000"/>
                <w:sz w:val="21"/>
                <w:szCs w:val="21"/>
                <w:highlight w:val="none"/>
                <w:lang w:val="en-US" w:eastAsia="zh-CN"/>
              </w:rPr>
              <w:t xml:space="preserve">得满分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否则酌情扣分。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运维保障（</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分）</w:t>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持证上岗（2分）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技术人员持证上岗得满分，否则不得分。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人员、车辆保障</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（2分）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满足合同要求得满分，否则不得分。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实验室、标准品保障</w:t>
            </w:r>
            <w:r/>
          </w:p>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在具有有资质的实验室配置试剂得1分，否则不得分；</w:t>
            </w:r>
            <w:r/>
          </w:p>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使用国家有证标准物质得2分，否则不得分。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645" w:type="pct"/>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备品备件（2分）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备品备件按合同及时提供得满分，否则酌情扣分。</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tcW w:w="455"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运维相关报表</w:t>
            </w:r>
            <w:r>
              <w:rPr>
                <w:rFonts w:hint="eastAsia" w:ascii="仿宋" w:hAnsi="仿宋" w:eastAsia="仿宋" w:cs="仿宋"/>
                <w:color w:val="auto"/>
                <w:sz w:val="21"/>
                <w:szCs w:val="21"/>
                <w:highlight w:val="none"/>
                <w:lang w:val="en-US" w:eastAsia="zh-CN"/>
              </w:rPr>
              <w:t xml:space="preserve">及出具各类水质报表</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w:t>
            </w:r>
            <w:r/>
          </w:p>
        </w:tc>
        <w:tc>
          <w:tcPr>
            <w:tcW w:w="645"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auto"/>
                <w:sz w:val="21"/>
                <w:szCs w:val="21"/>
                <w:highlight w:val="none"/>
              </w:rPr>
              <w:t xml:space="preserve">按委托方要求填报各类相关报告、报表等技术资料和数据统计资料等</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w:t>
            </w:r>
            <w:r/>
          </w:p>
        </w:tc>
        <w:tc>
          <w:tcPr>
            <w:tcW w:w="70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lang w:val="en-US" w:eastAsia="zh-CN"/>
              </w:rPr>
              <w:outlineLvl w:val="9"/>
            </w:pPr>
            <w:r>
              <w:rPr>
                <w:rFonts w:hint="eastAsia" w:ascii="仿宋" w:hAnsi="仿宋" w:eastAsia="仿宋" w:cs="仿宋"/>
                <w:color w:val="auto"/>
                <w:sz w:val="21"/>
                <w:szCs w:val="21"/>
                <w:highlight w:val="none"/>
              </w:rPr>
              <w:t xml:space="preserve">编制水质警报、日报、</w:t>
            </w:r>
            <w:r>
              <w:rPr>
                <w:rFonts w:hint="eastAsia" w:ascii="仿宋" w:hAnsi="仿宋" w:eastAsia="仿宋" w:cs="仿宋"/>
                <w:color w:val="auto"/>
                <w:sz w:val="21"/>
                <w:szCs w:val="21"/>
                <w:highlight w:val="none"/>
                <w:lang w:eastAsia="zh-CN"/>
              </w:rPr>
              <w:t xml:space="preserve">旬报、月报</w:t>
            </w:r>
            <w:r>
              <w:rPr>
                <w:rFonts w:hint="eastAsia" w:ascii="仿宋" w:hAnsi="仿宋" w:eastAsia="仿宋" w:cs="仿宋"/>
                <w:color w:val="auto"/>
                <w:sz w:val="21"/>
                <w:szCs w:val="21"/>
                <w:highlight w:val="none"/>
              </w:rPr>
              <w:t xml:space="preserve">、年报</w:t>
            </w:r>
            <w:r>
              <w:rPr>
                <w:rFonts w:hint="eastAsia" w:ascii="仿宋" w:hAnsi="仿宋" w:eastAsia="仿宋" w:cs="仿宋"/>
                <w:color w:val="auto"/>
                <w:sz w:val="21"/>
                <w:szCs w:val="21"/>
                <w:highlight w:val="none"/>
                <w:lang w:val="en-US" w:eastAsia="zh-CN"/>
              </w:rPr>
              <w:t xml:space="preserve">及</w:t>
            </w:r>
            <w:r>
              <w:rPr>
                <w:rFonts w:hint="eastAsia" w:ascii="仿宋" w:hAnsi="仿宋" w:eastAsia="仿宋" w:cs="仿宋"/>
                <w:color w:val="auto"/>
                <w:sz w:val="21"/>
                <w:szCs w:val="21"/>
                <w:highlight w:val="none"/>
              </w:rPr>
              <w:t xml:space="preserve">运维相关报表</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w:t>
            </w:r>
            <w:r/>
          </w:p>
        </w:tc>
        <w:tc>
          <w:tcPr>
            <w:tcW w:w="227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lang w:eastAsia="zh-CN"/>
              </w:rPr>
              <w:outlineLvl w:val="9"/>
            </w:pPr>
            <w:r>
              <w:rPr>
                <w:rFonts w:hint="eastAsia" w:ascii="仿宋" w:hAnsi="仿宋" w:eastAsia="仿宋" w:cs="仿宋"/>
                <w:color w:val="000000"/>
                <w:sz w:val="21"/>
                <w:szCs w:val="21"/>
                <w:highlight w:val="none"/>
              </w:rPr>
              <w:t xml:space="preserve">迟报、漏报或不报审核数据的</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auto"/>
                <w:sz w:val="21"/>
                <w:szCs w:val="21"/>
                <w:highlight w:val="none"/>
              </w:rPr>
              <w:t xml:space="preserve">每次扣0.3分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未积极配合填报相关运维相关报表</w:t>
            </w:r>
            <w:r>
              <w:rPr>
                <w:rFonts w:hint="eastAsia" w:ascii="仿宋" w:hAnsi="仿宋" w:eastAsia="仿宋" w:cs="仿宋"/>
                <w:color w:val="auto"/>
                <w:sz w:val="21"/>
                <w:szCs w:val="21"/>
                <w:highlight w:val="none"/>
                <w:lang w:val="en-US" w:eastAsia="zh-CN"/>
              </w:rPr>
              <w:t xml:space="preserve">出具</w:t>
            </w:r>
            <w:r>
              <w:rPr>
                <w:rFonts w:hint="eastAsia" w:ascii="仿宋" w:hAnsi="仿宋" w:eastAsia="仿宋" w:cs="仿宋"/>
                <w:color w:val="auto"/>
                <w:sz w:val="21"/>
                <w:szCs w:val="21"/>
                <w:highlight w:val="none"/>
              </w:rPr>
              <w:t xml:space="preserve">等</w:t>
            </w:r>
            <w:r>
              <w:rPr>
                <w:rFonts w:hint="eastAsia" w:ascii="仿宋" w:hAnsi="仿宋" w:eastAsia="仿宋" w:cs="仿宋"/>
                <w:color w:val="auto"/>
                <w:sz w:val="21"/>
                <w:szCs w:val="21"/>
                <w:highlight w:val="none"/>
                <w:lang w:val="en-US" w:eastAsia="zh-CN"/>
              </w:rPr>
              <w:t xml:space="preserve">各类水质报表</w:t>
            </w:r>
            <w:r>
              <w:rPr>
                <w:rFonts w:hint="eastAsia" w:ascii="仿宋" w:hAnsi="仿宋" w:eastAsia="仿宋" w:cs="仿宋"/>
                <w:color w:val="auto"/>
                <w:sz w:val="21"/>
                <w:szCs w:val="21"/>
                <w:highlight w:val="none"/>
              </w:rPr>
              <w:t xml:space="preserve">，每次扣0.3分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000000"/>
                <w:sz w:val="21"/>
                <w:szCs w:val="21"/>
                <w:highlight w:val="none"/>
                <w:lang w:eastAsia="zh-CN"/>
              </w:rPr>
              <w:t xml:space="preserve">运维季报，每漏报或缺报一次扣</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分</w:t>
            </w:r>
            <w:r>
              <w:rPr>
                <w:rFonts w:hint="eastAsia" w:ascii="仿宋" w:hAnsi="仿宋" w:eastAsia="仿宋" w:cs="仿宋"/>
                <w:color w:val="000000"/>
                <w:sz w:val="21"/>
                <w:szCs w:val="21"/>
                <w:highlight w:val="none"/>
              </w:rPr>
              <w:t xml:space="preserve">。</w:t>
            </w:r>
            <w:r/>
          </w:p>
        </w:tc>
        <w:tc>
          <w:tcPr>
            <w:tcW w:w="337"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c>
          <w:tcPr>
            <w:tcW w:w="583" w:type="pct"/>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r>
        <w:trPr>
          <w:jc w:val="center"/>
          <w:trHeight w:val="0"/>
          <w:tblHeader/>
        </w:trPr>
        <w:tc>
          <w:tcPr>
            <w:gridSpan w:val="4"/>
            <w:tcW w:w="4078"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t xml:space="preserve">合计</w:t>
            </w:r>
            <w:r/>
          </w:p>
        </w:tc>
        <w:tc>
          <w:tcPr>
            <w:gridSpan w:val="2"/>
            <w:tcW w:w="921"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c>
      </w:tr>
    </w:tbl>
    <w:p>
      <w:pPr>
        <w:widowControl/>
        <w:rPr>
          <w:rFonts w:hint="eastAsia" w:ascii="黑体" w:hAnsi="宋体" w:eastAsia="黑体" w:cs="宋体"/>
          <w:sz w:val="24"/>
          <w:szCs w:val="24"/>
          <w:highlight w:val="none"/>
        </w:rPr>
      </w:pPr>
      <w:r>
        <w:rPr>
          <w:rFonts w:hint="eastAsia" w:ascii="黑体" w:hAnsi="宋体" w:eastAsia="黑体" w:cs="宋体"/>
          <w:sz w:val="24"/>
          <w:szCs w:val="24"/>
          <w:highlight w:val="none"/>
        </w:rPr>
      </w:r>
      <w:r/>
    </w:p>
    <w:p>
      <w:pPr>
        <w:ind w:firstLine="560"/>
        <w:jc w:val="left"/>
        <w:spacing w:line="500" w:lineRule="exact"/>
        <w:rPr>
          <w:rFonts w:hint="eastAsia" w:ascii="宋体" w:hAnsi="宋体" w:eastAsia="宋体" w:cs="宋体"/>
          <w:color w:val="auto"/>
          <w:sz w:val="24"/>
          <w:szCs w:val="24"/>
          <w:highlight w:val="none"/>
          <w:lang w:val="en-US" w:eastAsia="zh-CN"/>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仿宋" w:hAnsi="仿宋" w:eastAsia="仿宋" w:cs="仿宋"/>
          <w:bCs/>
          <w:sz w:val="24"/>
          <w:szCs w:val="24"/>
          <w:highlight w:val="none"/>
        </w:rPr>
        <w:t xml:space="preserve">注：表中各项按分项进行扣分，分项分数扣完为止，不从总分中扣除。</w:t>
      </w:r>
      <w:r/>
    </w:p>
    <w:p>
      <w:pPr>
        <w:pStyle w:val="719"/>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lang w:val="en-US" w:eastAsia="zh-CN"/>
        </w:rPr>
        <w:t xml:space="preserve">、商务要求</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none"/>
          <w:lang w:val="en-US" w:eastAsia="zh-CN"/>
        </w:rPr>
        <w:t xml:space="preserve">1、服务期限（合同履行期限）：</w:t>
      </w:r>
      <w:r>
        <w:rPr>
          <w:rFonts w:hint="eastAsia" w:hAnsi="宋体" w:eastAsia="宋体" w:cs="宋体"/>
          <w:color w:val="auto"/>
          <w:sz w:val="24"/>
          <w:highlight w:val="none"/>
          <w:lang w:val="en-US" w:eastAsia="zh-CN"/>
        </w:rPr>
        <w:t xml:space="preserve">22座国省考断面上游小型水站运维服务期为（2026年8月6日至2027年8月5日），7座水质自动站服务期为（2026年8月20日至2027年8月5日），东台河提水站服务期为（2026年6月1日至2027年8月5日）</w:t>
      </w:r>
      <w:r>
        <w:rPr>
          <w:rFonts w:hint="eastAsia" w:ascii="宋体" w:hAnsi="宋体" w:eastAsia="宋体" w:cs="宋体"/>
          <w:color w:val="auto"/>
          <w:sz w:val="24"/>
          <w:highlight w:val="none"/>
          <w:lang w:val="en-US" w:eastAsia="zh-CN"/>
        </w:rPr>
        <w:t xml:space="preserve">。</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w:t>
      </w:r>
      <w:r>
        <w:rPr>
          <w:rFonts w:hint="eastAsia" w:ascii="宋体" w:hAnsi="宋体" w:eastAsia="宋体" w:cs="宋体"/>
          <w:color w:val="auto"/>
          <w:sz w:val="24"/>
          <w:highlight w:val="none"/>
          <w:lang w:val="zh-CN" w:eastAsia="zh-CN"/>
        </w:rPr>
        <w:t xml:space="preserve">地点：位于盐城市东台市境内</w:t>
      </w:r>
      <w:r>
        <w:rPr>
          <w:rFonts w:hint="eastAsia" w:ascii="宋体" w:hAnsi="宋体" w:eastAsia="宋体" w:cs="宋体"/>
          <w:color w:val="auto"/>
          <w:sz w:val="24"/>
          <w:highlight w:val="none"/>
          <w:lang w:val="en-US" w:eastAsia="zh-CN"/>
        </w:rPr>
        <w:t xml:space="preserve">。</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eastAsia="zh-CN"/>
        </w:rPr>
        <w:t xml:space="preserve">付款方式：</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（1）合同签订后10工作日内（自收到发票之日起），采购人支付供应商合同总价的30％作为预付款。</w:t>
      </w:r>
      <w:r/>
    </w:p>
    <w:p>
      <w:pPr>
        <w:pStyle w:val="719"/>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zh-CN"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000000" w:themeColor="text1"/>
          <w:sz w:val="24"/>
          <w:szCs w:val="24"/>
          <w:highlight w:val="none"/>
          <w:u w:val="none"/>
          <w:lang w:val="zh-CN" w:eastAsia="zh-CN"/>
          <w14:textFill>
            <w14:solidFill>
              <w14:schemeClr w14:val="tx1"/>
            </w14:solidFill>
          </w14:textFill>
        </w:rPr>
        <w:t xml:space="preserve">每季度对运维单位开展一次运营维护工作考核，以每个水质自动站为单位进行。逐站依据维护内容就维护质量和相关指标对照考核评分表对各站进行评分，满分为100分，评分小于80分</w:t>
      </w:r>
      <w:r>
        <w:rPr>
          <w:rFonts w:hint="eastAsia" w:ascii="宋体" w:hAnsi="宋体" w:eastAsia="宋体" w:cs="宋体"/>
          <w:color w:val="auto"/>
          <w:sz w:val="24"/>
          <w:szCs w:val="24"/>
          <w:highlight w:val="none"/>
          <w:u w:val="none"/>
          <w:lang w:val="zh-CN" w:eastAsia="zh-CN"/>
        </w:rPr>
        <w:t xml:space="preserve">为不合格，评分大于或等于80分为合格。单次考核结果在70分以上，80分以下，为初级警告，扣除该站点季度运维款的5%（该站点季度运维款以中标价/</w:t>
      </w:r>
      <w:r>
        <w:rPr>
          <w:rFonts w:hint="eastAsia" w:ascii="宋体" w:hAnsi="宋体" w:eastAsia="宋体" w:cs="宋体"/>
          <w:color w:val="auto"/>
          <w:sz w:val="24"/>
          <w:szCs w:val="24"/>
          <w:highlight w:val="none"/>
          <w:u w:val="none"/>
          <w:lang w:val="en-US" w:eastAsia="zh-CN"/>
        </w:rPr>
        <w:t xml:space="preserve">120</w:t>
      </w:r>
      <w:r>
        <w:rPr>
          <w:rFonts w:hint="eastAsia" w:ascii="宋体" w:hAnsi="宋体" w:eastAsia="宋体" w:cs="宋体"/>
          <w:color w:val="auto"/>
          <w:sz w:val="24"/>
          <w:szCs w:val="24"/>
          <w:highlight w:val="none"/>
          <w:u w:val="none"/>
          <w:lang w:val="zh-CN" w:eastAsia="zh-CN"/>
        </w:rPr>
        <w:t xml:space="preserve">计），并责令整改；单次考核结果在60分以上，70分以下，为二级警告，扣除该站点季度运维款的10%（该站点季度运维款以中标价/</w:t>
      </w:r>
      <w:r>
        <w:rPr>
          <w:rFonts w:hint="eastAsia" w:ascii="宋体" w:hAnsi="宋体" w:eastAsia="宋体" w:cs="宋体"/>
          <w:color w:val="auto"/>
          <w:sz w:val="24"/>
          <w:szCs w:val="24"/>
          <w:highlight w:val="none"/>
          <w:u w:val="none"/>
          <w:lang w:val="en-US" w:eastAsia="zh-CN"/>
        </w:rPr>
        <w:t xml:space="preserve">120</w:t>
      </w:r>
      <w:r>
        <w:rPr>
          <w:rFonts w:hint="eastAsia" w:ascii="宋体" w:hAnsi="宋体" w:eastAsia="宋体" w:cs="宋体"/>
          <w:color w:val="auto"/>
          <w:sz w:val="24"/>
          <w:szCs w:val="24"/>
          <w:highlight w:val="none"/>
          <w:u w:val="none"/>
          <w:lang w:val="zh-CN" w:eastAsia="zh-CN"/>
        </w:rPr>
        <w:t xml:space="preserve">计），并责令整改；单次考核结果在60分以下，扣减该站季度全部运维款（该站点季度运维款以中标价/</w:t>
      </w:r>
      <w:r>
        <w:rPr>
          <w:rFonts w:hint="eastAsia" w:ascii="宋体" w:hAnsi="宋体" w:eastAsia="宋体" w:cs="宋体"/>
          <w:color w:val="auto"/>
          <w:sz w:val="24"/>
          <w:szCs w:val="24"/>
          <w:highlight w:val="none"/>
          <w:u w:val="none"/>
          <w:lang w:val="en-US" w:eastAsia="zh-CN"/>
        </w:rPr>
        <w:t xml:space="preserve">120</w:t>
      </w:r>
      <w:r>
        <w:rPr>
          <w:rFonts w:hint="eastAsia" w:ascii="宋体" w:hAnsi="宋体" w:eastAsia="宋体" w:cs="宋体"/>
          <w:color w:val="auto"/>
          <w:sz w:val="24"/>
          <w:szCs w:val="24"/>
          <w:highlight w:val="none"/>
          <w:u w:val="none"/>
          <w:lang w:val="zh-CN" w:eastAsia="zh-CN"/>
        </w:rPr>
        <w:t xml:space="preserve">计）。合同到期时，综合全年考核评分情况后按照合同要求支付运维期的运行费。</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注：以上付款均无银行利息，一律通过银行结转；采购人在付款前，供应商应先向采购人提供等额有效的发票，否则采购人有权拒付款项，且不承担任何责任。</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4、售后服务内容、要求和期限</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有关部门、单位进行调查、查阅报告所需的信息，供应商须进行配合。</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eastAsia="zh-CN"/>
        </w:rPr>
        <w:t xml:space="preserve">结算方式：采购人应结算金额按中标供应商合同价结算。</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6、其他</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（1）</w:t>
      </w:r>
      <w:r>
        <w:rPr>
          <w:rFonts w:hint="eastAsia" w:ascii="宋体" w:hAnsi="宋体" w:eastAsia="宋体" w:cs="宋体"/>
          <w:color w:val="auto"/>
          <w:sz w:val="24"/>
          <w:highlight w:val="none"/>
          <w:lang w:val="en-US" w:eastAsia="zh-CN"/>
        </w:rPr>
        <w:t xml:space="preserve">成果要求：项目成果符合招标文件要求，并经采购人分期验收通过。</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验收方法：</w:t>
      </w:r>
      <w:r>
        <w:rPr>
          <w:rFonts w:hint="eastAsia" w:ascii="宋体" w:hAnsi="宋体" w:eastAsia="宋体" w:cs="宋体"/>
          <w:color w:val="auto"/>
          <w:sz w:val="24"/>
          <w:highlight w:val="none"/>
          <w:lang w:val="en-US" w:eastAsia="zh-CN"/>
        </w:rPr>
        <w:t xml:space="preserve">每月抽取不少于20%的水质自动站，于当月完成实际水样比对，盲样考核每季度全覆盖。每季度结束后，采用调阅相关资料（结合现场盲样考核结果及比对结果）和现场检查等方式，对运维单位进行考核，按百分制进行考核打分。</w:t>
      </w:r>
      <w:r/>
    </w:p>
    <w:p>
      <w:pPr>
        <w:pStyle w:val="719"/>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lang w:val="en-US" w:eastAsia="zh-CN"/>
        </w:rPr>
        <w:t xml:space="preserve">、评分需求</w:t>
      </w:r>
      <w:r/>
    </w:p>
    <w:p>
      <w:pPr>
        <w:pStyle w:val="719"/>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1、报价要求</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运维服务费用包括完成该项目工作所需的所有费用，包括运维费（含人工费、 食宿费、交通工具使用费、各部分工作费用等）、质量控制及质量考核工作产生的费用（含标准物质、质控设备等）、管理平台运维费、专利技术、成交服务费、项目利润、税费及政策性文件规定和合同所包含的所有风险、责任等各项应有费用。</w:t>
      </w:r>
      <w:r/>
    </w:p>
    <w:p>
      <w:pPr>
        <w:pStyle w:val="719"/>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2、人员及车辆部分</w:t>
      </w:r>
      <w:r/>
    </w:p>
    <w:p>
      <w:pPr>
        <w:pStyle w:val="719"/>
        <w:ind w:firstLine="480"/>
        <w:keepLines w:val="0"/>
        <w:keepNext w:val="0"/>
        <w:pageBreakBefore w:val="0"/>
        <w:spacing w:line="360" w:lineRule="auto"/>
        <w:widowControl w:val="off"/>
        <w:rPr>
          <w:rFonts w:hint="eastAsia" w:hAnsi="宋体" w:eastAsia="宋体" w:cs="宋体"/>
          <w:b w:val="0"/>
          <w:bCs w:val="0"/>
          <w:color w:val="auto"/>
          <w:sz w:val="24"/>
          <w:highlight w:val="none"/>
          <w:lang w:val="en-US" w:eastAsia="zh-CN"/>
        </w:rPr>
      </w:pPr>
      <w:r>
        <w:rPr>
          <w:rFonts w:hint="eastAsia" w:hAnsi="宋体" w:eastAsia="宋体" w:cs="宋体"/>
          <w:b w:val="0"/>
          <w:bCs w:val="0"/>
          <w:color w:val="auto"/>
          <w:sz w:val="24"/>
          <w:highlight w:val="none"/>
          <w:lang w:val="en-US" w:eastAsia="zh-CN"/>
        </w:rPr>
        <w:t xml:space="preserve">人员</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投标人应为本项目配备具有丰富</w:t>
      </w:r>
      <w:r>
        <w:rPr>
          <w:rFonts w:hint="eastAsia" w:ascii="宋体" w:hAnsi="宋体" w:eastAsia="宋体" w:cs="宋体"/>
          <w:color w:val="auto"/>
          <w:sz w:val="24"/>
          <w:highlight w:val="none"/>
          <w:lang w:val="en-US" w:eastAsia="zh-CN"/>
        </w:rPr>
        <w:t xml:space="preserve">环境</w:t>
      </w:r>
      <w:r>
        <w:rPr>
          <w:rFonts w:hint="default" w:ascii="宋体" w:hAnsi="宋体" w:eastAsia="宋体" w:cs="宋体"/>
          <w:color w:val="auto"/>
          <w:sz w:val="24"/>
          <w:highlight w:val="none"/>
          <w:lang w:val="en-US" w:eastAsia="zh-CN"/>
        </w:rPr>
        <w:t xml:space="preserve">管理经验的服务团队，人员未经采购人认可，不可随意更换：</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技术负责人具有环境类、自动化类或电子类高级及以上技术职称证书，并同时具有水站运维培训合格证的优先；</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项目组成员中（除技术负责人外）具有环境类中级职称，具有电子类中级职称，具有信息安全保障人员认证证书的优先；</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运维技术人员（除技术负责人外），持有中国环境监测总站或省级环境监测中心颁发的地表水环境质量自动监测技术与运维管理培训合格证书</w:t>
      </w:r>
      <w:r>
        <w:rPr>
          <w:rFonts w:hint="default" w:ascii="宋体" w:hAnsi="宋体" w:eastAsia="宋体" w:cs="宋体"/>
          <w:color w:val="auto"/>
          <w:sz w:val="24"/>
          <w:highlight w:val="none"/>
          <w:lang w:val="en-US" w:eastAsia="zh-CN"/>
        </w:rPr>
        <w:t xml:space="preserve">的优先</w:t>
      </w:r>
      <w:r>
        <w:rPr>
          <w:rFonts w:hint="eastAsia" w:ascii="宋体" w:hAnsi="宋体" w:eastAsia="宋体" w:cs="宋体"/>
          <w:color w:val="auto"/>
          <w:sz w:val="24"/>
          <w:highlight w:val="none"/>
          <w:lang w:val="en-US" w:eastAsia="zh-CN"/>
        </w:rPr>
        <w:t xml:space="preserve">。</w:t>
      </w:r>
      <w:r/>
    </w:p>
    <w:p>
      <w:pPr>
        <w:pStyle w:val="719"/>
        <w:ind w:firstLine="480"/>
        <w:keepLines w:val="0"/>
        <w:keepNext w:val="0"/>
        <w:pageBreakBefore w:val="0"/>
        <w:spacing w:line="360" w:lineRule="auto"/>
        <w:widowControl w:val="off"/>
        <w:rPr>
          <w:rFonts w:hint="eastAsia" w:hAnsi="宋体" w:eastAsia="宋体" w:cs="宋体"/>
          <w:b w:val="0"/>
          <w:bCs w:val="0"/>
          <w:color w:val="auto"/>
          <w:sz w:val="24"/>
          <w:highlight w:val="none"/>
          <w:lang w:val="en-US" w:eastAsia="zh-CN"/>
        </w:rPr>
      </w:pPr>
      <w:r>
        <w:rPr>
          <w:rFonts w:hint="eastAsia" w:hAnsi="宋体" w:eastAsia="宋体" w:cs="宋体"/>
          <w:b w:val="0"/>
          <w:bCs w:val="0"/>
          <w:color w:val="auto"/>
          <w:sz w:val="24"/>
          <w:highlight w:val="none"/>
          <w:lang w:val="en-US" w:eastAsia="zh-CN"/>
        </w:rPr>
        <w:t xml:space="preserve">车辆</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投标人需</w:t>
      </w:r>
      <w:r>
        <w:rPr>
          <w:rFonts w:hint="eastAsia" w:ascii="宋体" w:hAnsi="宋体" w:eastAsia="宋体" w:cs="宋体"/>
          <w:color w:val="000000" w:themeColor="text1"/>
          <w:szCs w:val="21"/>
          <w:lang w:val="en-US" w:eastAsia="zh-CN"/>
          <w14:textFill>
            <w14:solidFill>
              <w14:schemeClr w14:val="tx1"/>
            </w14:solidFill>
          </w14:textFill>
        </w:rPr>
        <w:t xml:space="preserve">为本项目配备1辆车辆配合甲方开展现场检查</w:t>
      </w:r>
      <w:r>
        <w:rPr>
          <w:rFonts w:hint="default" w:ascii="宋体" w:hAnsi="宋体" w:eastAsia="宋体" w:cs="宋体"/>
          <w:color w:val="auto"/>
          <w:sz w:val="24"/>
          <w:highlight w:val="none"/>
          <w:lang w:val="en-US" w:eastAsia="zh-CN"/>
        </w:rPr>
        <w:t xml:space="preserve">的优先</w:t>
      </w:r>
      <w:r>
        <w:rPr>
          <w:rFonts w:hint="eastAsia" w:ascii="宋体" w:hAnsi="宋体" w:eastAsia="宋体" w:cs="宋体"/>
          <w:color w:val="auto"/>
          <w:sz w:val="24"/>
          <w:highlight w:val="none"/>
          <w:lang w:val="en-US" w:eastAsia="zh-CN"/>
        </w:rPr>
        <w:t xml:space="preserve">。</w:t>
      </w:r>
      <w:r/>
    </w:p>
    <w:p>
      <w:pPr>
        <w:pStyle w:val="719"/>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3、综合实力</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服务能力</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投标人需要</w:t>
      </w:r>
      <w:r>
        <w:rPr>
          <w:rFonts w:hint="eastAsia" w:ascii="宋体" w:hAnsi="宋体" w:eastAsia="宋体" w:cs="宋体"/>
          <w:color w:val="auto"/>
          <w:sz w:val="24"/>
          <w:highlight w:val="none"/>
          <w:lang w:val="en-US" w:eastAsia="zh-CN"/>
        </w:rPr>
        <w:t xml:space="preserve">具备</w:t>
      </w:r>
      <w:r>
        <w:rPr>
          <w:rFonts w:hint="default" w:ascii="宋体" w:hAnsi="宋体" w:eastAsia="宋体" w:cs="宋体"/>
          <w:color w:val="auto"/>
          <w:sz w:val="24"/>
          <w:highlight w:val="none"/>
          <w:lang w:val="en-US" w:eastAsia="zh-CN"/>
        </w:rPr>
        <w:t xml:space="preserve">用于质量控制的CMA实验室（认证范围需包含pH、溶解氧、电导率、浊度、水温、氨氮、高锰酸盐指数、总磷、总氮），确保本项目的顺利实施，投标人拥有用于质量控制的CMA实验室（认证范围需包含pH、溶解氧、电导率、浊度、水温、氨氮、高锰酸盐指数、总磷、总氮）的优先。</w:t>
      </w:r>
      <w:r/>
    </w:p>
    <w:p>
      <w:pPr>
        <w:pStyle w:val="719"/>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.体系认证</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投标人需要具备良好的</w:t>
      </w:r>
      <w:r>
        <w:rPr>
          <w:rFonts w:hint="eastAsia" w:ascii="宋体" w:hAnsi="宋体" w:eastAsia="宋体" w:cs="宋体"/>
          <w:color w:val="auto"/>
          <w:sz w:val="24"/>
          <w:highlight w:val="none"/>
          <w:lang w:val="en-US" w:eastAsia="zh-CN"/>
        </w:rPr>
        <w:t xml:space="preserve">质量</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环境</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信息安全管理体系，</w:t>
      </w:r>
      <w:r>
        <w:rPr>
          <w:rFonts w:hint="default" w:ascii="宋体" w:hAnsi="宋体" w:eastAsia="宋体" w:cs="宋体"/>
          <w:color w:val="auto"/>
          <w:sz w:val="24"/>
          <w:highlight w:val="none"/>
          <w:lang w:val="en-US" w:eastAsia="zh-CN"/>
        </w:rPr>
        <w:t xml:space="preserve">以保障本项目的顺利实施，具有国家认监委认可的机构颁发的有效期内的质量管理体系认证证书</w:t>
      </w:r>
      <w:r>
        <w:rPr>
          <w:rFonts w:hint="eastAsia"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环境管理体系认证证书</w:t>
      </w:r>
      <w:r>
        <w:rPr>
          <w:rFonts w:hint="eastAsia"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信息安全管理体系认证证书的优先。</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备机保障</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投标人应为本项目配备各个站点仪器设备相匹配的备品备件及备机</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所投备机设备的种类包括但不限于常规五参数、氨氮、高锰酸盐指数、总氮、总磷监测指标，确保本项目的顺利实施，投标人备品备件及备机承诺具有</w:t>
      </w:r>
      <w:r>
        <w:rPr>
          <w:rFonts w:hint="eastAsia" w:ascii="宋体" w:hAnsi="宋体" w:eastAsia="宋体" w:cs="宋体"/>
          <w:color w:val="auto"/>
          <w:sz w:val="24"/>
          <w:highlight w:val="none"/>
          <w:lang w:val="en-US" w:eastAsia="zh-CN"/>
        </w:rPr>
        <w:t xml:space="preserve">并且</w:t>
      </w:r>
      <w:r>
        <w:rPr>
          <w:rFonts w:hint="default" w:ascii="宋体" w:hAnsi="宋体" w:eastAsia="宋体" w:cs="宋体"/>
          <w:color w:val="auto"/>
          <w:sz w:val="24"/>
          <w:highlight w:val="none"/>
          <w:lang w:val="en-US" w:eastAsia="zh-CN"/>
        </w:rPr>
        <w:t xml:space="preserve">种类</w:t>
      </w:r>
      <w:r>
        <w:rPr>
          <w:rFonts w:hint="eastAsia" w:ascii="宋体" w:hAnsi="宋体" w:eastAsia="宋体" w:cs="宋体"/>
          <w:color w:val="auto"/>
          <w:sz w:val="24"/>
          <w:highlight w:val="none"/>
          <w:lang w:val="en-US" w:eastAsia="zh-CN"/>
        </w:rPr>
        <w:t xml:space="preserve">满足要求</w:t>
      </w:r>
      <w:r>
        <w:rPr>
          <w:rFonts w:hint="default" w:ascii="宋体" w:hAnsi="宋体" w:eastAsia="宋体" w:cs="宋体"/>
          <w:color w:val="auto"/>
          <w:sz w:val="24"/>
          <w:highlight w:val="none"/>
          <w:lang w:val="en-US" w:eastAsia="zh-CN"/>
        </w:rPr>
        <w:t xml:space="preserve">的优先。</w:t>
      </w:r>
      <w:r/>
    </w:p>
    <w:p>
      <w:pPr>
        <w:pStyle w:val="719"/>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w:t>
      </w:r>
      <w:r>
        <w:rPr>
          <w:rFonts w:hint="default" w:ascii="宋体" w:hAnsi="宋体" w:eastAsia="宋体" w:cs="宋体"/>
          <w:b/>
          <w:bCs/>
          <w:color w:val="auto"/>
          <w:sz w:val="24"/>
          <w:highlight w:val="none"/>
          <w:lang w:val="en-US" w:eastAsia="zh-CN"/>
        </w:rPr>
        <w:t xml:space="preserve">技术部分要求</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投标人须根据自身实际情况与对本项目的理解，编制总体服务方案，至少包含项目理解、</w:t>
      </w:r>
      <w:r>
        <w:rPr>
          <w:rFonts w:hint="eastAsia" w:ascii="宋体" w:hAnsi="宋体" w:eastAsia="宋体" w:cs="宋体"/>
          <w:color w:val="auto"/>
          <w:sz w:val="24"/>
          <w:highlight w:val="none"/>
          <w:lang w:val="en-US" w:eastAsia="zh-CN"/>
        </w:rPr>
        <w:t xml:space="preserve">应急方案</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交接方案</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运维实施方案</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质控方案5</w:t>
      </w:r>
      <w:r>
        <w:rPr>
          <w:rFonts w:hint="default" w:ascii="宋体" w:hAnsi="宋体" w:eastAsia="宋体" w:cs="宋体"/>
          <w:color w:val="auto"/>
          <w:sz w:val="24"/>
          <w:highlight w:val="none"/>
          <w:lang w:val="en-US" w:eastAsia="zh-CN"/>
        </w:rPr>
        <w:t xml:space="preserve">大项。服务方案内容清晰、全面、合理、可靠、结构完整优于项目需求的优先。</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项目理解</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根据投标人针对本项目采购需求，进行现场勘查</w:t>
      </w:r>
      <w:r>
        <w:rPr>
          <w:rFonts w:hint="eastAsia"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包括现有水站的点位信息、周边道路情况、水站运行状态、水电等基础设施情况、系统软件、可能存在的问题</w:t>
      </w:r>
      <w:r>
        <w:rPr>
          <w:rFonts w:hint="eastAsia"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，提供全面的勘查报告。</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应急方案</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投标人针对技术要求提供水质自动监测站运维预警与应急预案。提供的应急方案内容包括突发性水质污染、特殊时期（丰水期、枯水期）、自然灾害、水电检修、临时停电或节假日、设备故障或被破坏情况，是否具备有效的预防和应急措施。</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交接方案</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在本项目合同期满后，投标人需保证水站内的所有仪器设备符合本标书中的技术要求，并将水站完整交接给下一家运维服务单位。投标人应在投标文件中对交接方案进行简单描述，包含交接责任人、交接进度安排、交接保障措施、交接承诺函。</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运维实施方案</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为保证项目运维服务质量，投标人按照技术规范并结合项目的地域、仪器设备和水文水质等情况，提供水质自动监测系统运行维护服务方案。 运维方案应包括运维服务流程、日常管理维护的内容与频次、零部件的清洁与更换、站房及配套设备维护、校准校验等）、质量控制要求、运维台账填写、水质报告编制等方面提供详细的运维计划。</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质控方案</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投标人针对技术要求并结合所投包件的仪器设备和水质等情况提供水质自动监测站质控方案。 质控方案包括但不限于质控工作频次、零点漂移和跨度漂移、标样核查、加标回收率测试、实际水样比对等。</w:t>
      </w:r>
      <w:r/>
    </w:p>
    <w:p>
      <w:pPr>
        <w:pStyle w:val="719"/>
        <w:ind w:firstLine="482"/>
        <w:keepLines w:val="0"/>
        <w:keepNext w:val="0"/>
        <w:pageBreakBefore w:val="0"/>
        <w:spacing w:line="360" w:lineRule="auto"/>
        <w:widowControl w:val="off"/>
        <w:rPr>
          <w:rFonts w:hint="default"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5</w:t>
      </w:r>
      <w:r>
        <w:rPr>
          <w:rFonts w:hint="default" w:hAnsi="宋体" w:eastAsia="宋体" w:cs="宋体"/>
          <w:b/>
          <w:bCs/>
          <w:color w:val="auto"/>
          <w:sz w:val="24"/>
          <w:highlight w:val="none"/>
          <w:lang w:val="en-US" w:eastAsia="zh-CN"/>
        </w:rPr>
        <w:t xml:space="preserve">、其他要求</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节能环保</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（1）响应产品属于财政部、国家发展改革委公布的“节能产品品目清单”范围内的，供应商提供国家确定的认证机构出具的、处于有效期之内的该节能产品认证证书复印件的优先。</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（2）响应产品属于财政部、生态环境部公布的“环境标志产品品目清单”范围内的，供应商提供国家确定的认证机构出具的、处于有效期内的该环保产品认证证书复印件的优先。</w:t>
      </w:r>
      <w:r/>
    </w:p>
    <w:p>
      <w:pPr>
        <w:pStyle w:val="719"/>
        <w:ind w:firstLine="480"/>
        <w:keepLines w:val="0"/>
        <w:keepNext w:val="0"/>
        <w:pageBreakBefore w:val="0"/>
        <w:spacing w:line="360" w:lineRule="auto"/>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注：以上响应产品仅针对为该项目提供的五参数分析仪、氨氮分析仪、总磷分析仪、总氮分析仪、高锰酸盐指数分析仪备机设备，提供其他辅助产品不得分。</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业绩要求</w:t>
      </w:r>
      <w:r/>
    </w:p>
    <w:p>
      <w:pPr>
        <w:pStyle w:val="719"/>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投标人自2023年1月1日起至今（以合同签署日期为准）具有类似水质自动监测站运维业绩的优先。</w:t>
      </w:r>
      <w:r/>
    </w:p>
    <w:p>
      <w:pPr>
        <w:pStyle w:val="719"/>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710"/>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74"/>
        <w:gridCol w:w="6140"/>
        <w:gridCol w:w="3167"/>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716"/>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716"/>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716"/>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eastAsia="宋体" w:cs="宋体"/>
                <w:i w:val="0"/>
                <w:iCs w:val="0"/>
                <w:color w:val="auto"/>
                <w:sz w:val="24"/>
                <w:szCs w:val="24"/>
                <w:highlight w:val="none"/>
                <w:u w:val="none"/>
                <w:lang w:val="zh-CN" w:eastAsia="zh-CN" w:bidi="ar"/>
              </w:rPr>
              <w:t xml:space="preserve">东台市2026年度30座水质自动站运维项目</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其他未列明行业</w:t>
            </w:r>
            <w:r/>
          </w:p>
        </w:tc>
      </w:tr>
    </w:tbl>
    <w:p>
      <w:pPr>
        <w:pStyle w:val="713"/>
        <w:ind w:left="6842"/>
        <w:spacing w:before="102" w:line="191" w:lineRule="auto"/>
        <w:rPr>
          <w:color w:val="auto"/>
        </w:rPr>
        <w:sectPr>
          <w:footerReference w:type="default" r:id="rId10"/>
          <w:footnotePr/>
          <w:endnotePr/>
          <w:type w:val="nextPage"/>
          <w:pgSz w:w="11905" w:h="16837" w:orient="portrait"/>
          <w:pgMar w:top="1440" w:right="1080" w:bottom="1440" w:left="1080" w:header="0" w:footer="444" w:gutter="0"/>
          <w:cols w:num="1" w:sep="0" w:space="720" w:equalWidth="1"/>
          <w:docGrid w:linePitch="360"/>
        </w:sectPr>
      </w:pPr>
      <w:r>
        <w:rPr>
          <w:rFonts w:hint="eastAsia" w:ascii="宋体" w:hAnsi="宋体" w:eastAsia="宋体" w:cs="宋体"/>
          <w:color w:val="auto"/>
        </w:rPr>
        <w:br w:type="page" w:clear="all"/>
      </w:r>
      <w:r/>
    </w:p>
    <w:p>
      <w:pPr>
        <w:pStyle w:val="716"/>
        <w:jc w:val="center"/>
        <w:keepLines w:val="0"/>
        <w:keepNext w:val="0"/>
        <w:pageBreakBefore w:val="0"/>
        <w:spacing w:before="120" w:beforeAutospacing="0" w:after="120" w:afterAutospacing="0" w:line="500" w:lineRule="exact"/>
        <w:widowControl w:val="off"/>
        <w:rPr>
          <w:color w:val="auto"/>
          <w:highlight w:val="none"/>
        </w:rPr>
      </w:pPr>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评标方法与评标标准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政府采购政策功能落实</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722"/>
        <w:ind w:left="0" w:firstLine="480"/>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7、采购本国产品的支持政策</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供应商需按照招标文件的要求提供《关于符合本国产品标准的声明函》（以下简称《声明函》），如不提供将不享受本国产品价格评审优惠。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供应商需在《声明函》中逐一、准确填写产品名称、厂名、生产厂址三项信息（《声明函》中用</w:t>
      </w:r>
      <w:r>
        <w:rPr>
          <w:rFonts w:hint="eastAsia" w:ascii="宋体" w:hAnsi="宋体" w:eastAsia="宋体" w:cs="宋体"/>
          <w:color w:val="auto"/>
          <w:sz w:val="24"/>
          <w:highlight w:val="none"/>
          <w:lang w:val="en-US" w:eastAsia="zh-CN"/>
        </w:rPr>
        <w:t xml:space="preserve">横</w:t>
      </w:r>
      <w:r>
        <w:rPr>
          <w:rFonts w:hint="eastAsia" w:ascii="宋体" w:hAnsi="宋体" w:eastAsia="宋体" w:cs="宋体"/>
          <w:color w:val="auto"/>
          <w:sz w:val="24"/>
          <w:highlight w:val="none"/>
        </w:rPr>
        <w:t xml:space="preserve">线划除的地方无需填写），三项信息中任意一项未填写的视为该项产品不符合本国产品标准，不享受本国产品价格评审优惠。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highlight w:val="none"/>
          <w:lang w:val="en-US" w:eastAsia="zh-CN"/>
        </w:rPr>
        <w:t xml:space="preserve">在苏采云系统</w:t>
      </w:r>
      <w:r>
        <w:rPr>
          <w:rFonts w:hint="eastAsia" w:ascii="宋体" w:hAnsi="宋体" w:eastAsia="宋体" w:cs="宋体"/>
          <w:color w:val="auto"/>
          <w:sz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16"/>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评标方法与评标标准</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本项目评分总分值为100分。</w:t>
      </w:r>
      <w:r/>
    </w:p>
    <w:tbl>
      <w:tblPr>
        <w:tblStyle w:val="710"/>
        <w:tblW w:w="9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296"/>
        <w:gridCol w:w="740"/>
        <w:gridCol w:w="876"/>
        <w:gridCol w:w="6142"/>
      </w:tblGrid>
      <w:tr>
        <w:trPr>
          <w:jc w:val="center"/>
          <w:trHeight w:val="567"/>
          <w:tblHeader/>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分部内容</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打分要求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价格部分（10分）</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投标报价</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10</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满足招标文件要求且投标价格最低的投标报价为基准价，其价格分为满分。报价得分=（评标基准价/投标报价）×10。</w:t>
            </w:r>
            <w:r/>
          </w:p>
          <w:p>
            <w:pPr>
              <w:ind w:firstLine="422"/>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b/>
                <w:bCs/>
                <w:color w:val="auto"/>
                <w:szCs w:val="21"/>
                <w:lang w:val="en-US" w:eastAsia="zh-CN"/>
              </w:rPr>
              <w:t xml:space="preserve">注：因本项目为专门面向中小企业采购的项目，不再执行价格评审优惠的扶持政策。</w:t>
            </w:r>
            <w:r/>
          </w:p>
        </w:tc>
      </w:tr>
      <w:tr>
        <w:trPr>
          <w:jc w:val="center"/>
          <w:trHeight w:val="567"/>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人员及车辆部分</w:t>
            </w:r>
            <w:r/>
          </w:p>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（15分）</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人员及车辆配置</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15</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1、为本项目配备的项目技术负责人具有环境类、自动化类或电子类高级及以上技术职称证书，并同时具有水站运维培训合格证的得3分；其他情况不得分。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2、为本项目配备的项目组成员中（除技术负责人外）具有环境类中级职称，具有电子类中级职称，具有信息安全保障人员认证证书的，满足一项得1分，最高得3分。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3、为本项目配置的运维技术人员（除技术负责人外），持有中国环境监测总站或省级环境监测中心颁发的地表水环境质量自动监测技术与运维管理培训合格证书，有1人得1分，最高得7分。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（上述条款需提供专职人员一览表，相应的证书原件彩色扫描件、投标单位为其缴纳的近三个月任意一个月（不含投标当月）的社保证明材料或退休返聘证明原件彩色扫描件）</w:t>
            </w:r>
            <w:r/>
          </w:p>
          <w:p>
            <w:pPr>
              <w:ind w:firstLine="420"/>
              <w:jc w:val="left"/>
              <w:keepLines w:val="0"/>
              <w:keepNext w:val="0"/>
              <w:pageBreakBefore w:val="0"/>
              <w:spacing w:line="260" w:lineRule="exact"/>
              <w:widowControl w:val="off"/>
              <w:rPr>
                <w:rFonts w:hint="eastAsia" w:ascii="宋体" w:hAnsi="宋体" w:eastAsia="宋体" w:cs="宋体"/>
                <w:b/>
                <w:bCs/>
                <w:color w:val="auto"/>
                <w:szCs w:val="21"/>
              </w:rPr>
            </w:pPr>
            <w:r>
              <w:rPr>
                <w:rFonts w:hint="eastAsia" w:ascii="宋体" w:hAnsi="宋体" w:eastAsia="宋体" w:cs="宋体"/>
                <w:color w:val="auto"/>
                <w:szCs w:val="21"/>
                <w:lang w:val="en-US" w:eastAsia="zh-CN"/>
              </w:rPr>
              <w:t xml:space="preserve">4、投标人需为本项目配备1辆车辆配合甲方开展现场检查的得2分。（需提供车辆行驶证证明文件原件彩色扫描件）</w:t>
            </w:r>
            <w:r/>
          </w:p>
        </w:tc>
      </w:tr>
      <w:tr>
        <w:trPr>
          <w:jc w:val="center"/>
          <w:trHeight w:val="567"/>
        </w:trPr>
        <w:tc>
          <w:tcPr>
            <w:tcBorders>
              <w:top w:val="single" w:color="auto" w:sz="4" w:space="0"/>
              <w:left w:val="single" w:color="auto" w:sz="4" w:space="0"/>
              <w:right w:val="single" w:color="auto" w:sz="4" w:space="0"/>
            </w:tcBorders>
            <w:tcW w:w="876" w:type="dxa"/>
            <w:vAlign w:val="center"/>
            <w:vMerge w:val="restart"/>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w:t>
            </w:r>
            <w:r/>
          </w:p>
        </w:tc>
        <w:tc>
          <w:tcPr>
            <w:tcBorders>
              <w:top w:val="single" w:color="auto" w:sz="4" w:space="0"/>
              <w:left w:val="single" w:color="auto" w:sz="4" w:space="0"/>
              <w:right w:val="single" w:color="auto" w:sz="4" w:space="0"/>
            </w:tcBorders>
            <w:tcW w:w="1296" w:type="dxa"/>
            <w:vAlign w:val="center"/>
            <w:vMerge w:val="restart"/>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综合实力（15分）</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服务能力</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投标人有自有CMA实验室得5分，有CMA实验室委托合作的得3分，没有实验室且无委托合作的不得分。实验室资质认定范围必须包含pH、溶解氧、电导率、浊度、水温、氨氮、高锰酸盐指数、总磷、总氮，缺项的不得分。（须提供实验室资质证书及涵盖本项目指标的计量认证，或者签署的委托合作协议，均需原件彩色扫描件，否则不予计分）</w:t>
            </w:r>
            <w:r/>
          </w:p>
        </w:tc>
      </w:tr>
      <w:tr>
        <w:trPr>
          <w:jc w:val="center"/>
          <w:trHeight w:val="567"/>
        </w:trPr>
        <w:tc>
          <w:tcPr>
            <w:tcBorders>
              <w:left w:val="single" w:color="auto" w:sz="4" w:space="0"/>
              <w:right w:val="single" w:color="auto" w:sz="4" w:space="0"/>
            </w:tcBorders>
            <w:tcW w:w="87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tcBorders>
              <w:left w:val="single" w:color="auto" w:sz="4" w:space="0"/>
              <w:right w:val="single" w:color="auto" w:sz="4" w:space="0"/>
            </w:tcBorders>
            <w:tcW w:w="129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体系认证</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lang w:val="en-US" w:eastAsia="zh-CN"/>
              </w:rPr>
              <w:t xml:space="preserve">投标人具有有效期内的</w:t>
            </w:r>
            <w:r>
              <w:rPr>
                <w:rFonts w:ascii="宋体" w:hAnsi="宋体" w:eastAsia="宋体" w:cs="宋体"/>
                <w:color w:val="auto"/>
                <w:szCs w:val="21"/>
                <w:highlight w:val="none"/>
              </w:rPr>
              <w:t xml:space="preserve">质量管理体系认证证书；环境管理体系认证证书；</w:t>
            </w:r>
            <w:r>
              <w:rPr>
                <w:rFonts w:hint="eastAsia" w:ascii="宋体" w:hAnsi="宋体" w:eastAsia="宋体" w:cs="宋体"/>
                <w:color w:val="auto"/>
                <w:szCs w:val="21"/>
                <w:highlight w:val="none"/>
                <w:lang w:val="en-US" w:eastAsia="zh-CN"/>
              </w:rPr>
              <w:t xml:space="preserve">信息安全管理体系认证证书，</w:t>
            </w:r>
            <w:r>
              <w:rPr>
                <w:rFonts w:hint="eastAsia" w:ascii="宋体" w:hAnsi="宋体" w:eastAsia="宋体" w:cs="宋体"/>
                <w:color w:val="auto"/>
                <w:szCs w:val="21"/>
                <w:lang w:val="en-US" w:eastAsia="zh-CN"/>
              </w:rPr>
              <w:t xml:space="preserve">同时提供全部3个证书的得满分3分，缺一项扣1分，扣完为止。（以提供证书原件彩色扫描件为准，未提供或提供材料不符合要求的不得分）</w:t>
            </w:r>
            <w:r/>
          </w:p>
        </w:tc>
      </w:tr>
      <w:tr>
        <w:trPr>
          <w:jc w:val="center"/>
          <w:trHeight w:val="567"/>
        </w:trPr>
        <w:tc>
          <w:tcPr>
            <w:tcBorders>
              <w:left w:val="single" w:color="auto" w:sz="4" w:space="0"/>
              <w:bottom w:val="single" w:color="auto" w:sz="4" w:space="0"/>
              <w:right w:val="single" w:color="auto" w:sz="4" w:space="0"/>
            </w:tcBorders>
            <w:tcW w:w="87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tcBorders>
              <w:left w:val="single" w:color="auto" w:sz="4" w:space="0"/>
              <w:bottom w:val="single" w:color="auto" w:sz="4" w:space="0"/>
              <w:right w:val="single" w:color="auto" w:sz="4" w:space="0"/>
            </w:tcBorders>
            <w:tcW w:w="129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备机保障</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1、投标供应商需承诺提供与各个站点仪器设备相匹配的备品备件及备机，其中备品备件的供应比例不低于</w:t>
            </w: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:1，备机</w:t>
            </w:r>
            <w:r>
              <w:rPr>
                <w:rFonts w:hint="eastAsia" w:ascii="宋体" w:hAnsi="宋体" w:eastAsia="宋体" w:cs="宋体"/>
                <w:color w:val="auto"/>
                <w:szCs w:val="21"/>
                <w:highlight w:val="none"/>
                <w:lang w:val="en-US" w:eastAsia="zh-CN"/>
              </w:rPr>
              <w:t xml:space="preserve">数量不低于3套（以含盖五参数、氨氮、高锰酸盐指数、总氮、总磷监测仪器计为1套）</w:t>
            </w:r>
            <w:r>
              <w:rPr>
                <w:rFonts w:hint="eastAsia" w:ascii="宋体" w:hAnsi="宋体" w:eastAsia="宋体" w:cs="宋体"/>
                <w:color w:val="auto"/>
                <w:szCs w:val="21"/>
                <w:highlight w:val="none"/>
              </w:rPr>
              <w:t xml:space="preserve">，此项满分为</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分，不提供不得分。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注：供应商需提供承诺函并加盖供应商公章，格式自拟。</w:t>
            </w:r>
            <w:r>
              <w:rPr>
                <w:rFonts w:hint="eastAsia" w:ascii="宋体" w:hAnsi="宋体" w:eastAsia="宋体" w:cs="宋体"/>
                <w:color w:val="auto"/>
                <w:szCs w:val="21"/>
                <w:highlight w:val="none"/>
                <w:lang w:eastAsia="zh-CN"/>
              </w:rPr>
              <w:t xml:space="preserve">（承诺函需写明备机存放在东台市境内，并进行定期维护保养，保证其性能，否则不得分。）</w:t>
            </w:r>
            <w:r/>
          </w:p>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2、投标人所投备机设备的种类包括但不限于常规五参数、氨氮、高锰酸盐指数、总氮、总磷监测指标。投标人提供上述监测指标的备机具备生态环境部（原环境保护部）环境监测仪器质量监督检验中心出具的在有效期内的适用性检测合格报告和中国环境保护产品认证证书，共计4分。（应提供备机相关报告、证书及相关证明材料，均需原件彩色扫描件，未提供或提供不全的不得分）</w:t>
            </w:r>
            <w:r/>
          </w:p>
        </w:tc>
      </w:tr>
      <w:tr>
        <w:trPr>
          <w:jc w:val="center"/>
          <w:trHeight w:val="567"/>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p>
        </w:tc>
        <w:tc>
          <w:tcPr>
            <w:tcBorders>
              <w:top w:val="single" w:color="auto" w:sz="4" w:space="0"/>
              <w:left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eastAsia="zh-CN"/>
              </w:rPr>
              <w:t xml:space="preserve">技术</w:t>
            </w:r>
            <w:r>
              <w:rPr>
                <w:rFonts w:hint="eastAsia" w:ascii="宋体" w:hAnsi="宋体" w:eastAsia="宋体" w:cs="宋体"/>
                <w:color w:val="auto"/>
                <w:szCs w:val="21"/>
              </w:rPr>
              <w:t xml:space="preserve">部分</w:t>
            </w:r>
            <w:r/>
          </w:p>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50分</w:t>
            </w:r>
            <w:r>
              <w:rPr>
                <w:rFonts w:hint="eastAsia" w:ascii="宋体" w:hAnsi="宋体" w:eastAsia="宋体" w:cs="宋体"/>
                <w:color w:val="auto"/>
                <w:szCs w:val="21"/>
                <w:lang w:eastAsia="zh-CN"/>
              </w:rPr>
              <w:t xml:space="preserve">）</w:t>
            </w:r>
            <w:r/>
          </w:p>
        </w:tc>
        <w:tc>
          <w:tcPr>
            <w:tcBorders>
              <w:top w:val="single" w:color="auto" w:sz="4" w:space="0"/>
              <w:left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技术方案</w:t>
            </w:r>
            <w:r/>
          </w:p>
        </w:tc>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rPr>
            </w:pPr>
            <w:r>
              <w:rPr>
                <w:rFonts w:hint="eastAsia" w:ascii="宋体" w:hAnsi="宋体" w:eastAsia="宋体" w:cs="宋体"/>
                <w:color w:val="auto"/>
                <w:szCs w:val="21"/>
                <w:lang w:val="en-US" w:eastAsia="zh-CN"/>
              </w:rPr>
              <w:t xml:space="preserve">50</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1、项目理解</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根据投标人针对本项目采购需求，进行现场勘查（包括现有水站的点位信息、周边道路情况、水站运行状态、水电等基础设施情况、系统软件、可能存在的问题），提供全面的勘查报告。针对以上六个要素，勘查报告内容全面、问题分析到位的得10分；勘查报告内容全面但问题分析有偏差的得6分；勘查报告内容不全面且分析有偏差的得2分；未提供的此项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2、应急方案</w:t>
            </w:r>
            <w:r/>
          </w:p>
          <w:p>
            <w:pPr>
              <w:ind w:firstLine="420"/>
              <w:jc w:val="left"/>
              <w:keepLines w:val="0"/>
              <w:keepNext w:val="0"/>
              <w:pageBreakBefore w:val="0"/>
              <w:spacing w:line="260" w:lineRule="exact"/>
              <w:widowControl w:val="off"/>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针对技术要求提供水质自动监测站运维预警与应急预案。提供的应急方案内容包括突发性水质污染、特殊时期（丰水期、枯水期）、自然灾害、水电检修、临时停电或节假日、设备故障或被破坏情况，是否具备有效的预防和应急措施。应急方案内容应当包含以上六个方面，方案全面、措施针对性强的得10分，每缺一方面扣2分，每个方面对应的应急措施针对性不强的扣1分。扣完为止。</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3、交接方案</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在本项目合同期满后，投标人需保证水站内的所有仪器设备符合本标书中的技术要求，并将水站完整交接给下一家运维服务单位。投标人应在投标文件中对交接方案进行简单描述，包含交接责任人、交接进度安排、交接保障措施、交接承诺函。交接方案包含内容全面、措施合理且提供承诺函的得10分，内容不全面的每缺一项扣2分，保障措施针对性不强的扣3分。（交接方案及承诺函，有一项未提供的此项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4、运维实施方案</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为保证项目运维服务质量，投标人按照技术规范并结合项目的地域、仪器设备和水文水质等情况，提供水质自动监测系统运行维护服务方案。 运维方案应包括运维服务流程、日常管理维护的内容与频次、零部件的清洁与更换、站房及配套设备维护、校准校验等）、质量控制要求、运维台账填写、水质报告编制等方面提供详细的运维计划。运维实施方案包含内容全面、措施针对性强的得10分，内容不全面的每缺一项扣2分，措施针对性不强的扣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5、质控方案</w:t>
            </w:r>
            <w:r/>
          </w:p>
          <w:p>
            <w:pPr>
              <w:ind w:firstLine="420"/>
              <w:jc w:val="left"/>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投标人针对技术要求并结合所投包件的仪器设备和水质等情况提供水质自动监测站质控方案。 质控方案包括但不限于质控工作频次、零点漂移和跨度漂移、标样核查、加标回收率测试、实际水样比对等。质控方案包含内容全面、措施针对性强的得10分，内容不全面的每缺一项扣2分，措施针对性不强的扣3分。</w:t>
            </w:r>
            <w:r/>
          </w:p>
        </w:tc>
      </w:tr>
      <w:tr>
        <w:trPr>
          <w:jc w:val="center"/>
          <w:trHeight w:val="283"/>
        </w:trPr>
        <w:tc>
          <w:tcPr>
            <w:tcBorders>
              <w:left w:val="single" w:color="auto" w:sz="4" w:space="0"/>
              <w:right w:val="single" w:color="auto" w:sz="4" w:space="0"/>
            </w:tcBorders>
            <w:tcW w:w="876" w:type="dxa"/>
            <w:vAlign w:val="center"/>
            <w:vMerge w:val="restart"/>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5</w:t>
            </w:r>
            <w:r/>
          </w:p>
        </w:tc>
        <w:tc>
          <w:tcPr>
            <w:tcBorders>
              <w:left w:val="single" w:color="auto" w:sz="4" w:space="0"/>
              <w:right w:val="single" w:color="auto" w:sz="4" w:space="0"/>
            </w:tcBorders>
            <w:tcW w:w="1296" w:type="dxa"/>
            <w:vAlign w:val="center"/>
            <w:vMerge w:val="restart"/>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其他</w:t>
            </w:r>
            <w:r/>
          </w:p>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10分</w:t>
            </w:r>
            <w:r>
              <w:rPr>
                <w:rFonts w:hint="eastAsia" w:ascii="宋体" w:hAnsi="宋体" w:eastAsia="宋体" w:cs="宋体"/>
                <w:color w:val="auto"/>
                <w:szCs w:val="21"/>
                <w:lang w:eastAsia="zh-CN"/>
              </w:rPr>
              <w:t xml:space="preserve">）</w:t>
            </w:r>
            <w:r/>
          </w:p>
        </w:tc>
        <w:tc>
          <w:tcPr>
            <w:tcBorders>
              <w:top w:val="single" w:color="auto" w:sz="4" w:space="0"/>
              <w:left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节能环保</w:t>
            </w:r>
            <w:r/>
          </w:p>
        </w:tc>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Borders>
              <w:top w:val="single" w:color="auto" w:sz="4" w:space="0"/>
              <w:left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响应产品属于财政部、国家发展改革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注：以上响应产品仅针对为该项目提供的五参数分析仪、氨氮分析仪、总磷分析仪、总氮分析仪、高锰酸盐指数分析仪备机设备，提供其他辅助产品不得分。</w:t>
            </w:r>
            <w:r/>
          </w:p>
        </w:tc>
      </w:tr>
      <w:tr>
        <w:trPr>
          <w:jc w:val="center"/>
          <w:trHeight w:val="567"/>
        </w:trPr>
        <w:tc>
          <w:tcPr>
            <w:tcBorders>
              <w:left w:val="single" w:color="auto" w:sz="4" w:space="0"/>
              <w:right w:val="single" w:color="auto" w:sz="4" w:space="0"/>
            </w:tcBorders>
            <w:tcW w:w="87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rPr>
            </w:r>
            <w:r/>
          </w:p>
        </w:tc>
        <w:tc>
          <w:tcPr>
            <w:tcBorders>
              <w:left w:val="single" w:color="auto" w:sz="4" w:space="0"/>
              <w:right w:val="single" w:color="auto" w:sz="4" w:space="0"/>
            </w:tcBorders>
            <w:tcW w:w="129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业绩</w:t>
            </w:r>
            <w:r/>
          </w:p>
        </w:tc>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rPr>
            </w:pPr>
            <w:r>
              <w:rPr>
                <w:rFonts w:hint="eastAsia" w:ascii="宋体" w:hAnsi="宋体" w:eastAsia="宋体" w:cs="宋体"/>
                <w:color w:val="auto"/>
                <w:szCs w:val="21"/>
                <w:lang w:val="en-US" w:eastAsia="zh-CN"/>
              </w:rPr>
              <w:t xml:space="preserve">8</w:t>
            </w:r>
            <w:r/>
          </w:p>
        </w:tc>
        <w:tc>
          <w:tcPr>
            <w:tcBorders>
              <w:top w:val="single" w:color="auto" w:sz="4" w:space="0"/>
              <w:left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投标人自2023年1月1日起至今（以合同签署日期为准）具有类似水质自动监测站运维业绩的，每提供一份得2分，满分8分。（提供合同即可。未提供不得分）</w:t>
            </w:r>
            <w:r/>
          </w:p>
        </w:tc>
      </w:tr>
    </w:tbl>
    <w:p>
      <w:pPr>
        <w:rPr>
          <w:rFonts w:hint="eastAsia"/>
          <w:color w:val="auto"/>
          <w:highlight w:val="none"/>
          <w:lang w:val="en-US" w:eastAsia="zh-CN"/>
        </w:rPr>
      </w:pPr>
      <w:r>
        <w:rPr>
          <w:rFonts w:hint="eastAsia"/>
          <w:color w:val="auto"/>
          <w:highlight w:val="none"/>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1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w:t>
      </w:r>
      <w:r/>
    </w:p>
    <w:p>
      <w:pPr>
        <w:pStyle w:val="716"/>
        <w:jc w:val="center"/>
        <w:spacing w:beforeAutospacing="0" w:afterAutospacing="0"/>
        <w:rPr>
          <w:rFonts w:hint="eastAsia" w:ascii="宋体" w:hAnsi="宋体" w:eastAsia="宋体" w:cs="宋体"/>
          <w:b/>
          <w:color w:val="auto"/>
          <w:sz w:val="72"/>
          <w:szCs w:val="72"/>
          <w:highlight w:val="none"/>
        </w:rPr>
      </w:pPr>
      <w:r/>
      <w:bookmarkStart w:id="187" w:name="_Hlt26955039"/>
      <w:r/>
      <w:bookmarkEnd w:id="187"/>
      <w:r/>
      <w:bookmarkStart w:id="188" w:name="_Toc26554094"/>
      <w:r/>
      <w:bookmarkEnd w:id="188"/>
      <w:r/>
      <w:bookmarkStart w:id="189" w:name="_Hlt26671244"/>
      <w:r/>
      <w:bookmarkEnd w:id="189"/>
      <w:r/>
      <w:bookmarkStart w:id="190" w:name="_Toc49090576"/>
      <w:r/>
      <w:bookmarkStart w:id="191" w:name="_Toc120614282"/>
      <w:r/>
      <w:r/>
    </w:p>
    <w:p>
      <w:pPr>
        <w:pStyle w:val="71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6"/>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1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1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1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716"/>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716"/>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pStyle w:val="716"/>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16"/>
        <w:jc w:val="center"/>
        <w:spacing w:beforeAutospacing="0" w:afterAutospacing="0" w:line="0" w:lineRule="atLeast"/>
        <w:rPr>
          <w:color w:val="auto"/>
          <w:highlight w:val="none"/>
        </w:rPr>
      </w:pPr>
      <w:r>
        <w:rPr>
          <w:color w:val="auto"/>
          <w:highlight w:val="none"/>
        </w:rPr>
        <w:t xml:space="preserve"> </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一、开标一览表（以系统固定格式为准）</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二、资格审查资料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（2）上一年度的财务状况报告（至少提供资产负债表、利润表、现金流量表，投标人成立不满一年无需提供）。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（5）参加政府采购活动前3年内在经营活动中没有重大违法记录的书面声明。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（6）按照《生态环境监测条例》有关要求，技术服务机构应当按照规定向生态环境主管部门备案。（投标文件中须提供备案证明材料）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（8）投标人为被授权人缴纳的社会养老保险证明。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（9）与资格审查有关的其他资料（如有）。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三、符合性资料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（1）投标分项报价表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（2）投标函</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（3）技术要求响应及偏离表</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（4）商务要求响应及偏离表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（5）服务承诺</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（6）盐城市政府采购事前信用承诺书</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四、综合评审评分项相关资料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五、价格折扣文件（</w:t>
      </w:r>
      <w:r>
        <w:rPr>
          <w:rFonts w:hint="eastAsia" w:ascii="宋体" w:hAnsi="宋体" w:eastAsia="宋体" w:cs="宋体"/>
          <w:color w:val="auto"/>
          <w:sz w:val="24"/>
          <w:szCs w:val="24"/>
          <w:highlight w:val="none"/>
          <w:lang w:val="en-US" w:eastAsia="zh-CN"/>
        </w:rPr>
        <w:t xml:space="preserve">中小企业声明函、残疾人福利性单位声明函、监狱企业的证明文件、关于符合本国产品标准的声明函）</w:t>
      </w:r>
      <w:r/>
    </w:p>
    <w:p>
      <w:pPr>
        <w:pStyle w:val="716"/>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6"/>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jc w:val="center"/>
        <w:rPr>
          <w:rFonts w:hint="eastAsia" w:ascii="黑体" w:eastAsia="黑体"/>
          <w:b/>
          <w:bCs/>
          <w:color w:val="auto"/>
          <w:sz w:val="32"/>
          <w:szCs w:val="32"/>
          <w:highlight w:val="none"/>
        </w:rPr>
      </w:pPr>
      <w:r/>
      <w:bookmarkStart w:id="192" w:name="_格式3__银行出具的资信证明"/>
      <w:r/>
      <w:bookmarkStart w:id="193" w:name="_Hlt26671380"/>
      <w:r/>
      <w:bookmarkStart w:id="194" w:name="_Hlt26955070"/>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jc w:val="right"/>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711"/>
        <w:ind w:firstLine="0"/>
        <w:rPr>
          <w:rFonts w:hint="eastAsia"/>
          <w:color w:val="auto"/>
          <w:highlight w:val="none"/>
        </w:rPr>
      </w:pPr>
      <w:r>
        <w:rPr>
          <w:rFonts w:hint="eastAsia"/>
          <w:color w:val="auto"/>
          <w:highlight w:val="none"/>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highlight w:val="none"/>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rPr>
        <w:t xml:space="preserve">________________（被授权人的姓名）为</w:t>
      </w:r>
      <w:r>
        <w:rPr>
          <w:rFonts w:hint="eastAsia" w:ascii="宋体" w:hAnsi="宋体" w:eastAsia="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highlight w:val="none"/>
        </w:rPr>
        <w:t xml:space="preserve">以本单位名义全权处理一切与该项目采购有关的事务。</w:t>
      </w:r>
      <w:r/>
    </w:p>
    <w:p>
      <w:pPr>
        <w:pStyle w:val="730"/>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730"/>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730"/>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730"/>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730"/>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730"/>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730"/>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711"/>
        <w:spacing w:line="48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716"/>
        <w:jc w:val="center"/>
        <w:spacing w:beforeAutospacing="0" w:afterAutospacing="0"/>
        <w:rPr>
          <w:rFonts w:hint="default"/>
          <w:color w:val="auto"/>
          <w:highlight w:val="none"/>
          <w:lang w:val="en-US"/>
        </w:rPr>
      </w:pPr>
      <w:r>
        <w:rPr>
          <w:rFonts w:hint="eastAsia" w:ascii="黑体" w:hAnsi="Times New Roman" w:eastAsia="黑体" w:cs="Times New Roman"/>
          <w:b/>
          <w:bCs/>
          <w:color w:val="auto"/>
          <w:sz w:val="32"/>
          <w:szCs w:val="32"/>
          <w:highlight w:val="none"/>
          <w:lang w:val="en-US" w:eastAsia="zh-CN" w:bidi="ar-SA"/>
        </w:rPr>
        <w:t xml:space="preserve">5.开标一览表（以系统固定格式为准）</w:t>
      </w:r>
      <w:r/>
    </w:p>
    <w:p>
      <w:pPr>
        <w:pStyle w:val="71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1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1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1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71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16"/>
        <w:jc w:val="both"/>
        <w:spacing w:beforeAutospacing="0" w:afterAutospacing="0"/>
        <w:rPr>
          <w:color w:val="auto"/>
          <w:highlight w:val="none"/>
        </w:rPr>
      </w:pPr>
      <w:r>
        <w:rPr>
          <w:color w:val="auto"/>
          <w:highlight w:val="none"/>
        </w:rPr>
        <w:t xml:space="preserve"> </w:t>
      </w:r>
      <w:r/>
    </w:p>
    <w:p>
      <w:pPr>
        <w:pStyle w:val="71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6"/>
        <w:ind w:firstLine="480"/>
        <w:jc w:val="both"/>
        <w:spacing w:beforeAutospacing="0" w:afterAutospacing="0"/>
        <w:rPr>
          <w:color w:val="auto"/>
          <w:highlight w:val="none"/>
        </w:rPr>
      </w:pPr>
      <w:r>
        <w:rPr>
          <w:color w:val="auto"/>
          <w:highlight w:val="none"/>
        </w:rPr>
        <w:t xml:space="preserve"> </w:t>
      </w:r>
      <w:r/>
    </w:p>
    <w:p>
      <w:pPr>
        <w:jc w:val="right"/>
        <w:rPr>
          <w:rFonts w:ascii="仿宋" w:eastAsia="仿宋"/>
          <w:color w:val="auto"/>
          <w:sz w:val="24"/>
          <w:highlight w:val="none"/>
        </w:rPr>
        <w:outlineLvl w:val="1"/>
      </w:pPr>
      <w:r>
        <w:rPr>
          <w:rFonts w:ascii="仿宋" w:eastAsia="仿宋"/>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color w:val="auto"/>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lang w:val="en-US" w:eastAsia="zh-CN"/>
        </w:rPr>
        <w:t xml:space="preserve">6.投标分项报价表（分包号：**）</w:t>
      </w:r>
      <w:r/>
    </w:p>
    <w:tbl>
      <w:tblPr>
        <w:tblStyle w:val="71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1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6"/>
              <w:jc w:val="both"/>
              <w:spacing w:beforeAutospacing="0" w:afterAutospacing="0" w:line="0" w:lineRule="atLeast"/>
              <w:rPr>
                <w:color w:val="auto"/>
                <w:highlight w:val="none"/>
              </w:rPr>
            </w:pPr>
            <w:r>
              <w:rPr>
                <w:color w:val="auto"/>
                <w:highlight w:val="none"/>
              </w:rPr>
              <w:t xml:space="preserve"> </w:t>
            </w:r>
            <w:r/>
          </w:p>
        </w:tc>
      </w:tr>
    </w:tbl>
    <w:p>
      <w:pPr>
        <w:pStyle w:val="71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 xml:space="preserve">的其它所有费用，招标文件另有规定的除外。2. “投标分项报价表”中“投标总报价”数额应当与“开标一览表”中“投标总报价”数额一致。</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722"/>
        <w:ind w:firstLine="0"/>
        <w:spacing w:before="0" w:after="0" w:line="42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p>
    <w:p>
      <w:pPr>
        <w:pStyle w:val="722"/>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72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根据贵方的JSZC-</w:t>
      </w:r>
      <w:r>
        <w:rPr>
          <w:rFonts w:ascii="宋体" w:hAnsi="宋体"/>
          <w:color w:val="auto"/>
          <w:szCs w:val="21"/>
          <w:highlight w:val="none"/>
        </w:rPr>
        <w:t xml:space="preserve">320000-***</w:t>
      </w:r>
      <w:r>
        <w:rPr>
          <w:rFonts w:hint="eastAsia" w:ascii="宋体" w:hAnsi="宋体"/>
          <w:color w:val="auto"/>
          <w:szCs w:val="21"/>
          <w:highlight w:val="none"/>
        </w:rPr>
        <w:t xml:space="preserve">号招标文件，正式授权下述签字人______</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姓名</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代表我方______________（投标人的名称），全权处理本次项目投标的有关事宜。</w:t>
      </w:r>
      <w:r/>
    </w:p>
    <w:p>
      <w:pPr>
        <w:pStyle w:val="72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72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72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72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72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72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72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我方将根据招标文件的规定，严格履行合同的责任和义务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并保证在招标文件规定的时间完成项目，交付买方验收、使用。</w:t>
      </w:r>
      <w:r/>
    </w:p>
    <w:p>
      <w:pPr>
        <w:pStyle w:val="72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80" w:lineRule="exact"/>
        <w:widowControl w:val="off"/>
        <w:rPr>
          <w:rFonts w:hint="eastAsia" w:ascii="仿宋" w:eastAsia="仿宋"/>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 w:eastAsia="仿宋"/>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716"/>
        <w:jc w:val="center"/>
        <w:spacing w:beforeAutospacing="0" w:afterAutospacing="0"/>
        <w:rPr>
          <w:color w:val="auto"/>
          <w:highlight w:val="none"/>
        </w:rPr>
      </w:pPr>
      <w:r>
        <w:rPr>
          <w:rFonts w:hint="eastAsia" w:ascii="黑体" w:hAnsi="Times New Roman" w:eastAsia="黑体" w:cs="Times New Roman"/>
          <w:b/>
          <w:bCs/>
          <w:color w:val="auto"/>
          <w:sz w:val="32"/>
          <w:szCs w:val="32"/>
          <w:highlight w:val="none"/>
          <w:lang w:val="en-US" w:eastAsia="zh-CN"/>
        </w:rPr>
        <w:t xml:space="preserve">8.</w:t>
      </w:r>
      <w:r>
        <w:rPr>
          <w:rFonts w:hint="eastAsia" w:ascii="黑体" w:hAnsi="宋体" w:eastAsia="黑体" w:cs="黑体"/>
          <w:b/>
          <w:color w:val="auto"/>
          <w:sz w:val="32"/>
          <w:szCs w:val="32"/>
          <w:highlight w:val="none"/>
        </w:rPr>
        <w:t xml:space="preserve">技术要求响应及偏离表（分包号：**）</w:t>
      </w:r>
      <w:r/>
    </w:p>
    <w:tbl>
      <w:tblPr>
        <w:tblStyle w:val="71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bl>
    <w:p>
      <w:pPr>
        <w:pStyle w:val="71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center"/>
        <w:spacing w:beforeAutospacing="0" w:afterAutospacing="0"/>
        <w:rPr>
          <w:color w:val="auto"/>
          <w:highlight w:val="none"/>
        </w:rPr>
      </w:pPr>
      <w:r>
        <w:rPr>
          <w:rFonts w:hint="eastAsia" w:ascii="黑体" w:hAnsi="宋体" w:eastAsia="黑体" w:cs="黑体"/>
          <w:b/>
          <w:color w:val="auto"/>
          <w:sz w:val="32"/>
          <w:szCs w:val="32"/>
          <w:highlight w:val="none"/>
        </w:rPr>
      </w:r>
      <w:r>
        <w:rPr>
          <w:rFonts w:hint="eastAsia" w:ascii="黑体" w:hAnsi="宋体" w:eastAsia="黑体" w:cs="黑体"/>
          <w:b/>
          <w:color w:val="auto"/>
          <w:sz w:val="32"/>
          <w:szCs w:val="32"/>
          <w:highlight w:val="none"/>
        </w:rPr>
      </w:r>
    </w:p>
    <w:p>
      <w:pPr>
        <w:pStyle w:val="716"/>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r>
      <w:r>
        <w:rPr>
          <w:rFonts w:hint="eastAsia" w:ascii="黑体" w:hAnsi="宋体" w:eastAsia="黑体" w:cs="黑体"/>
          <w:b/>
          <w:color w:val="auto"/>
          <w:sz w:val="32"/>
          <w:szCs w:val="32"/>
          <w:highlight w:val="none"/>
        </w:rPr>
      </w:r>
    </w:p>
    <w:p>
      <w:pPr>
        <w:pStyle w:val="716"/>
        <w:jc w:val="center"/>
        <w:spacing w:beforeAutospacing="0" w:afterAutospacing="0"/>
        <w:rPr>
          <w:rFonts w:hint="eastAsia" w:ascii="黑体" w:hAnsi="宋体" w:eastAsia="黑体" w:cs="黑体"/>
          <w:b/>
          <w:bCs/>
          <w:color w:val="auto"/>
          <w:sz w:val="32"/>
          <w:szCs w:val="32"/>
          <w:highlight w:val="none"/>
        </w:rPr>
      </w:pPr>
      <w:r>
        <w:rPr>
          <w:rFonts w:hint="eastAsia" w:ascii="黑体" w:hAnsi="Times New Roman" w:eastAsia="黑体" w:cs="Times New Roman"/>
          <w:b/>
          <w:bCs/>
          <w:color w:val="auto"/>
          <w:sz w:val="32"/>
          <w:szCs w:val="32"/>
          <w:highlight w:val="none"/>
          <w:lang w:val="en-US" w:eastAsia="zh-CN"/>
        </w:rPr>
        <w:t xml:space="preserve">9.</w:t>
      </w:r>
      <w:r>
        <w:rPr>
          <w:rFonts w:hint="eastAsia" w:ascii="黑体" w:hAnsi="宋体" w:eastAsia="黑体" w:cs="黑体"/>
          <w:b/>
          <w:color w:val="auto"/>
          <w:sz w:val="32"/>
          <w:szCs w:val="32"/>
          <w:highlight w:val="none"/>
        </w:rPr>
        <w:t xml:space="preserve">商务要求响应及偏离表（分包号：**）</w:t>
      </w:r>
      <w:r/>
    </w:p>
    <w:tbl>
      <w:tblPr>
        <w:tblStyle w:val="71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bl>
    <w:p>
      <w:pPr>
        <w:pStyle w:val="71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16"/>
        <w:jc w:val="both"/>
        <w:spacing w:beforeAutospacing="0" w:afterAutospacing="0" w:line="480" w:lineRule="auto"/>
        <w:rPr>
          <w:color w:val="auto"/>
          <w:highlight w:val="none"/>
        </w:rPr>
      </w:pPr>
      <w:r>
        <w:rPr>
          <w:color w:val="auto"/>
          <w:highlight w:val="none"/>
        </w:rPr>
      </w:r>
      <w:r/>
    </w:p>
    <w:p>
      <w:pPr>
        <w:pStyle w:val="716"/>
        <w:jc w:val="both"/>
        <w:spacing w:beforeAutospacing="0" w:afterAutospacing="0" w:line="480" w:lineRule="auto"/>
        <w:rPr>
          <w:color w:val="auto"/>
          <w:highlight w:val="none"/>
        </w:rPr>
      </w:pPr>
      <w:r>
        <w:rPr>
          <w:color w:val="auto"/>
          <w:highlight w:val="none"/>
        </w:rPr>
      </w:r>
      <w:r/>
    </w:p>
    <w:p>
      <w:pPr>
        <w:pStyle w:val="716"/>
        <w:jc w:val="both"/>
        <w:spacing w:beforeAutospacing="0" w:afterAutospacing="0" w:line="480" w:lineRule="auto"/>
        <w:rPr>
          <w:color w:val="auto"/>
          <w:highlight w:val="none"/>
        </w:rPr>
      </w:pPr>
      <w:r>
        <w:rPr>
          <w:color w:val="auto"/>
          <w:highlight w:val="none"/>
        </w:rPr>
      </w:r>
      <w:r/>
    </w:p>
    <w:p>
      <w:pPr>
        <w:pStyle w:val="716"/>
        <w:jc w:val="both"/>
        <w:spacing w:beforeAutospacing="0" w:afterAutospacing="0" w:line="480" w:lineRule="auto"/>
        <w:rPr>
          <w:color w:val="auto"/>
          <w:highlight w:val="none"/>
        </w:rPr>
      </w:pPr>
      <w:r>
        <w:rPr>
          <w:color w:val="auto"/>
          <w:highlight w:val="non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10.服  务  承  诺（分包号：**）</w:t>
      </w:r>
      <w:r/>
    </w:p>
    <w:p>
      <w:pPr>
        <w:rPr>
          <w:rFonts w:hint="eastAsia" w:ascii="仿宋" w:eastAsia="仿宋"/>
          <w:color w:val="auto"/>
          <w:sz w:val="24"/>
          <w:highlight w:val="none"/>
        </w:rPr>
      </w:pPr>
      <w:r>
        <w:rPr>
          <w:rFonts w:hint="eastAsia" w:ascii="仿宋" w:eastAsia="仿宋"/>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716"/>
        <w:jc w:val="center"/>
        <w:spacing w:beforeAutospacing="0" w:afterAutospacing="0" w:line="0" w:lineRule="atLeast"/>
        <w:rPr>
          <w:color w:val="auto"/>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江苏瑞杰项目管理顾问有限公司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6"/>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16"/>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716"/>
        <w:ind w:firstLine="240"/>
        <w:jc w:val="both"/>
        <w:spacing w:beforeAutospacing="0" w:afterAutospacing="0" w:line="0" w:lineRule="atLeast"/>
        <w:rPr>
          <w:color w:val="auto"/>
          <w:highlight w:val="none"/>
        </w:rPr>
      </w:pPr>
      <w:r>
        <w:rPr>
          <w:color w:val="auto"/>
          <w:highlight w:val="none"/>
        </w:rPr>
      </w:r>
      <w:r/>
    </w:p>
    <w:p>
      <w:pPr>
        <w:pStyle w:val="71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16"/>
        <w:ind w:firstLine="480"/>
        <w:jc w:val="both"/>
        <w:spacing w:before="0" w:beforeAutospacing="0" w:after="0" w:afterAutospacing="0" w:line="360" w:lineRule="auto"/>
        <w:widowControl w:val="off"/>
        <w:rPr>
          <w:color w:val="auto"/>
          <w:highlight w:val="none"/>
        </w:rPr>
      </w:pPr>
      <w:r>
        <w:rPr>
          <w:color w:val="auto"/>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jc w:val="center"/>
        <w:spacing w:beforeAutospacing="0" w:afterAutospacing="0" w:line="0" w:lineRule="atLeast"/>
        <w:rPr>
          <w:color w:val="auto"/>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12.</w:t>
      </w:r>
      <w:r>
        <w:rPr>
          <w:rFonts w:hint="eastAsia" w:ascii="黑体" w:hAnsi="宋体" w:eastAsia="黑体" w:cs="黑体"/>
          <w:b/>
          <w:color w:val="auto"/>
          <w:sz w:val="32"/>
          <w:szCs w:val="32"/>
          <w:highlight w:val="none"/>
        </w:rPr>
        <w:t xml:space="preserve">残疾人福利性单位声明函（分包号：**）</w:t>
      </w:r>
      <w:r/>
    </w:p>
    <w:p>
      <w:pPr>
        <w:pStyle w:val="71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71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1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71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716"/>
        <w:ind w:right="1560" w:firstLine="624"/>
        <w:jc w:val="center"/>
        <w:spacing w:beforeAutospacing="0" w:afterAutospacing="0" w:line="0" w:lineRule="atLeast"/>
        <w:tabs>
          <w:tab w:val="left" w:pos="4864" w:leader="none"/>
        </w:tabs>
        <w:rPr>
          <w:rFonts w:ascii="宋体" w:eastAsia="宋体" w:cs="宋体"/>
          <w:color w:val="auto"/>
          <w:sz w:val="30"/>
          <w:szCs w:val="30"/>
          <w:highlight w:val="none"/>
        </w:rPr>
      </w:pPr>
      <w:r>
        <w:rPr>
          <w:rFonts w:ascii="宋体" w:eastAsia="宋体" w:cs="宋体"/>
          <w:color w:val="auto"/>
          <w:sz w:val="30"/>
          <w:szCs w:val="30"/>
          <w:highlight w:val="none"/>
        </w:rPr>
      </w:r>
      <w:r/>
    </w:p>
    <w:p>
      <w:pPr>
        <w:pStyle w:val="716"/>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right="1560" w:firstLine="624"/>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供应商全称（加盖CA电子公章）：</w:t>
      </w:r>
      <w:r/>
    </w:p>
    <w:p>
      <w:pPr>
        <w:pStyle w:val="716"/>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16"/>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auto"/>
          <w:sz w:val="32"/>
          <w:szCs w:val="32"/>
          <w:lang w:val="en-US" w:eastAsia="zh-CN"/>
        </w:rPr>
        <w:t xml:space="preserve">13.</w:t>
      </w:r>
      <w:r>
        <w:rPr>
          <w:rFonts w:ascii="黑体" w:hAnsi="宋体" w:eastAsia="黑体" w:cs="黑体"/>
          <w:b/>
          <w:bCs/>
          <w:color w:val="auto"/>
          <w:sz w:val="32"/>
          <w:szCs w:val="32"/>
        </w:rPr>
        <w:t xml:space="preserve">关于符合本国产品标准的声明函（采购包号：**）</w:t>
      </w:r>
      <w:r/>
    </w:p>
    <w:p>
      <w:pPr>
        <w:pStyle w:val="716"/>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716"/>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6"/>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716"/>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716"/>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716"/>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716"/>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716"/>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716"/>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716"/>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716"/>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716"/>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716"/>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716"/>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716"/>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716"/>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pStyle w:val="716"/>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16"/>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r>
      <w:r/>
    </w:p>
    <w:p>
      <w:pPr>
        <w:pStyle w:val="716"/>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716"/>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ind w:right="1560" w:firstLine="480"/>
        <w:jc w:val="center"/>
        <w:spacing w:beforeAutospacing="0" w:afterAutospacing="0" w:line="0" w:lineRule="atLeast"/>
        <w:tabs>
          <w:tab w:val="left" w:pos="4864" w:leader="none"/>
        </w:tabs>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t xml:space="preserve"> </w:t>
      </w:r>
      <w:r/>
    </w:p>
    <w:p>
      <w:pPr>
        <w:jc w:val="center"/>
        <w:spacing w:line="499" w:lineRule="atLeast"/>
        <w:widowControl/>
        <w:rPr>
          <w:rFonts w:ascii="宋体" w:hAnsi="宋体" w:eastAsia="宋体" w:cs="宋体"/>
          <w:b/>
          <w:bCs/>
          <w:color w:val="auto"/>
          <w:sz w:val="24"/>
          <w:highlight w:val="none"/>
        </w:rPr>
      </w:pPr>
      <w:r>
        <w:rPr>
          <w:rFonts w:hint="eastAsia" w:ascii="宋体" w:hAnsi="宋体" w:eastAsia="宋体" w:cs="宋体"/>
          <w:b/>
          <w:color w:val="auto"/>
          <w:highlight w:val="none"/>
        </w:rPr>
        <w:br w:type="page" w:clear="all"/>
      </w:r>
      <w:bookmarkStart w:id="195" w:name="_Hlt26671374"/>
      <w:r/>
      <w:bookmarkStart w:id="196" w:name="_Toc462564146"/>
      <w:r/>
      <w:bookmarkStart w:id="197" w:name="_Hlt26609389"/>
      <w:r/>
      <w:bookmarkStart w:id="198" w:name="_格式2__法定代表人授权书"/>
      <w:r/>
      <w:bookmarkStart w:id="199" w:name="_Hlt26955066"/>
      <w:r/>
      <w:bookmarkStart w:id="200" w:name="_Hlt26955054"/>
      <w:r>
        <w:rPr>
          <w:rFonts w:hint="eastAsia" w:ascii="宋体" w:hAnsi="宋体" w:eastAsia="宋体" w:cs="宋体"/>
          <w:b/>
          <w:bCs/>
          <w:color w:val="auto"/>
          <w:sz w:val="32"/>
          <w:szCs w:val="32"/>
          <w:highlight w:val="none"/>
          <w:lang w:val="en-US" w:eastAsia="zh-CN"/>
        </w:rPr>
        <w:t xml:space="preserve">14.</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ind w:firstLine="576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firstLine="576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ind w:firstLine="576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716"/>
        <w:jc w:val="center"/>
        <w:spacing w:beforeAutospacing="0" w:afterAutospacing="0"/>
        <w:rPr>
          <w:color w:val="auto"/>
          <w:highlight w:val="none"/>
        </w:rPr>
      </w:pPr>
      <w:r>
        <w:rPr>
          <w:color w:val="auto"/>
          <w:highlight w:val="none"/>
        </w:rPr>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3"/>
      <w:bookmarkEnd w:id="190"/>
      <w:bookmarkEnd w:id="191"/>
      <w:bookmarkEnd w:id="192"/>
      <w:bookmarkEnd w:id="193"/>
      <w:bookmarkEnd w:id="194"/>
      <w:bookmarkEnd w:id="195"/>
      <w:bookmarkEnd w:id="196"/>
      <w:bookmarkEnd w:id="197"/>
      <w:bookmarkEnd w:id="198"/>
      <w:bookmarkEnd w:id="199"/>
      <w:bookmarkEnd w:id="200"/>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6"/>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16"/>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16"/>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footerReference w:type="default" r:id="rId11"/>
      <w:footnotePr/>
      <w:endnotePr/>
      <w:type w:val="nextPage"/>
      <w:pgSz w:w="11906" w:h="16838" w:orient="portrait"/>
      <w:pgMar w:top="1440" w:right="1080" w:bottom="1440" w:left="10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4"/>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w:t>
                          </w:r>
                          <w:r>
                            <w:rPr>
                              <w:sz w:val="22"/>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4"/>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w:t>
                    </w:r>
                    <w:r>
                      <w:rPr>
                        <w:sz w:val="22"/>
                        <w:szCs w:val="2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ind w:firstLine="10360"/>
      <w:spacing w:before="1" w:line="164" w:lineRule="auto"/>
      <w:rPr>
        <w:rFonts w:asciiTheme="majorEastAsia" w:hAnsiTheme="majorEastAsia" w:eastAsiaTheme="majorEastAsia" w:cstheme="majorEastAsia"/>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4"/>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7"/>
    <w:next w:val="70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09"/>
    <w:link w:val="12"/>
    <w:uiPriority w:val="9"/>
    <w:rPr>
      <w:rFonts w:ascii="Arial" w:hAnsi="Arial" w:eastAsia="Arial" w:cs="Arial"/>
      <w:sz w:val="40"/>
      <w:szCs w:val="40"/>
    </w:rPr>
  </w:style>
  <w:style w:type="character" w:styleId="15">
    <w:name w:val="Heading 2 Char"/>
    <w:basedOn w:val="709"/>
    <w:link w:val="708"/>
    <w:uiPriority w:val="9"/>
    <w:rPr>
      <w:rFonts w:ascii="Arial" w:hAnsi="Arial" w:eastAsia="Arial" w:cs="Arial"/>
      <w:sz w:val="34"/>
    </w:rPr>
  </w:style>
  <w:style w:type="paragraph" w:styleId="16">
    <w:name w:val="Heading 3"/>
    <w:basedOn w:val="707"/>
    <w:next w:val="70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09"/>
    <w:link w:val="16"/>
    <w:uiPriority w:val="9"/>
    <w:rPr>
      <w:rFonts w:ascii="Arial" w:hAnsi="Arial" w:eastAsia="Arial" w:cs="Arial"/>
      <w:sz w:val="30"/>
      <w:szCs w:val="30"/>
    </w:rPr>
  </w:style>
  <w:style w:type="paragraph" w:styleId="18">
    <w:name w:val="Heading 4"/>
    <w:basedOn w:val="707"/>
    <w:next w:val="7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9"/>
    <w:link w:val="18"/>
    <w:uiPriority w:val="9"/>
    <w:rPr>
      <w:rFonts w:ascii="Arial" w:hAnsi="Arial" w:eastAsia="Arial" w:cs="Arial"/>
      <w:b/>
      <w:bCs/>
      <w:sz w:val="26"/>
      <w:szCs w:val="26"/>
    </w:rPr>
  </w:style>
  <w:style w:type="paragraph" w:styleId="20">
    <w:name w:val="Heading 5"/>
    <w:basedOn w:val="707"/>
    <w:next w:val="7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9"/>
    <w:link w:val="20"/>
    <w:uiPriority w:val="9"/>
    <w:rPr>
      <w:rFonts w:ascii="Arial" w:hAnsi="Arial" w:eastAsia="Arial" w:cs="Arial"/>
      <w:b/>
      <w:bCs/>
      <w:sz w:val="24"/>
      <w:szCs w:val="24"/>
    </w:rPr>
  </w:style>
  <w:style w:type="paragraph" w:styleId="22">
    <w:name w:val="Heading 6"/>
    <w:basedOn w:val="707"/>
    <w:next w:val="7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9"/>
    <w:link w:val="22"/>
    <w:uiPriority w:val="9"/>
    <w:rPr>
      <w:rFonts w:ascii="Arial" w:hAnsi="Arial" w:eastAsia="Arial" w:cs="Arial"/>
      <w:b/>
      <w:bCs/>
      <w:sz w:val="22"/>
      <w:szCs w:val="22"/>
    </w:rPr>
  </w:style>
  <w:style w:type="paragraph" w:styleId="24">
    <w:name w:val="Heading 7"/>
    <w:basedOn w:val="707"/>
    <w:next w:val="7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9"/>
    <w:link w:val="24"/>
    <w:uiPriority w:val="9"/>
    <w:rPr>
      <w:rFonts w:ascii="Arial" w:hAnsi="Arial" w:eastAsia="Arial" w:cs="Arial"/>
      <w:b/>
      <w:bCs/>
      <w:i/>
      <w:iCs/>
      <w:sz w:val="22"/>
      <w:szCs w:val="22"/>
    </w:rPr>
  </w:style>
  <w:style w:type="paragraph" w:styleId="26">
    <w:name w:val="Heading 8"/>
    <w:basedOn w:val="707"/>
    <w:next w:val="7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9"/>
    <w:link w:val="26"/>
    <w:uiPriority w:val="9"/>
    <w:rPr>
      <w:rFonts w:ascii="Arial" w:hAnsi="Arial" w:eastAsia="Arial" w:cs="Arial"/>
      <w:i/>
      <w:iCs/>
      <w:sz w:val="22"/>
      <w:szCs w:val="22"/>
    </w:rPr>
  </w:style>
  <w:style w:type="paragraph" w:styleId="28">
    <w:name w:val="Heading 9"/>
    <w:basedOn w:val="707"/>
    <w:next w:val="7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7"/>
    <w:next w:val="707"/>
    <w:link w:val="34"/>
    <w:uiPriority w:val="10"/>
    <w:qFormat/>
    <w:pPr>
      <w:contextualSpacing/>
      <w:spacing w:before="300" w:after="200"/>
    </w:pPr>
    <w:rPr>
      <w:sz w:val="48"/>
      <w:szCs w:val="48"/>
    </w:rPr>
  </w:style>
  <w:style w:type="character" w:styleId="34">
    <w:name w:val="Title Char"/>
    <w:basedOn w:val="709"/>
    <w:link w:val="33"/>
    <w:uiPriority w:val="10"/>
    <w:rPr>
      <w:sz w:val="48"/>
      <w:szCs w:val="48"/>
    </w:rPr>
  </w:style>
  <w:style w:type="paragraph" w:styleId="35">
    <w:name w:val="Subtitle"/>
    <w:basedOn w:val="707"/>
    <w:next w:val="707"/>
    <w:link w:val="36"/>
    <w:uiPriority w:val="11"/>
    <w:qFormat/>
    <w:pPr>
      <w:spacing w:before="200" w:after="200"/>
    </w:pPr>
    <w:rPr>
      <w:sz w:val="24"/>
      <w:szCs w:val="24"/>
    </w:rPr>
  </w:style>
  <w:style w:type="character" w:styleId="36">
    <w:name w:val="Subtitle Char"/>
    <w:basedOn w:val="709"/>
    <w:link w:val="35"/>
    <w:uiPriority w:val="11"/>
    <w:rPr>
      <w:sz w:val="24"/>
      <w:szCs w:val="24"/>
    </w:rPr>
  </w:style>
  <w:style w:type="paragraph" w:styleId="37">
    <w:name w:val="Quote"/>
    <w:basedOn w:val="707"/>
    <w:next w:val="707"/>
    <w:link w:val="38"/>
    <w:uiPriority w:val="29"/>
    <w:qFormat/>
    <w:pPr>
      <w:ind w:left="720" w:right="720"/>
    </w:pPr>
    <w:rPr>
      <w:i/>
    </w:rPr>
  </w:style>
  <w:style w:type="character" w:styleId="38">
    <w:name w:val="Quote Char"/>
    <w:link w:val="37"/>
    <w:uiPriority w:val="29"/>
    <w:rPr>
      <w:i/>
    </w:rPr>
  </w:style>
  <w:style w:type="paragraph" w:styleId="39">
    <w:name w:val="Intense Quote"/>
    <w:basedOn w:val="707"/>
    <w:next w:val="7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9"/>
    <w:link w:val="715"/>
    <w:uiPriority w:val="99"/>
  </w:style>
  <w:style w:type="character" w:styleId="44">
    <w:name w:val="Footer Char"/>
    <w:basedOn w:val="709"/>
    <w:link w:val="714"/>
    <w:uiPriority w:val="99"/>
  </w:style>
  <w:style w:type="paragraph" w:styleId="45">
    <w:name w:val="Caption"/>
    <w:basedOn w:val="707"/>
    <w:next w:val="707"/>
    <w:uiPriority w:val="35"/>
    <w:semiHidden/>
    <w:unhideWhenUsed/>
    <w:qFormat/>
    <w:pPr>
      <w:spacing w:line="276" w:lineRule="auto"/>
    </w:pPr>
    <w:rPr>
      <w:b/>
      <w:bCs/>
      <w:color w:val="4f81bd" w:themeColor="accent1"/>
      <w:sz w:val="18"/>
      <w:szCs w:val="18"/>
    </w:rPr>
  </w:style>
  <w:style w:type="character" w:styleId="46">
    <w:name w:val="Caption Char"/>
    <w:basedOn w:val="45"/>
    <w:link w:val="714"/>
    <w:uiPriority w:val="99"/>
  </w:style>
  <w:style w:type="table" w:styleId="48">
    <w:name w:val="Table Grid Light"/>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9"/>
    <w:uiPriority w:val="99"/>
    <w:unhideWhenUsed/>
    <w:rPr>
      <w:vertAlign w:val="superscript"/>
    </w:rPr>
  </w:style>
  <w:style w:type="paragraph" w:styleId="177">
    <w:name w:val="endnote text"/>
    <w:basedOn w:val="7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9"/>
    <w:uiPriority w:val="99"/>
    <w:semiHidden/>
    <w:unhideWhenUsed/>
    <w:rPr>
      <w:vertAlign w:val="superscript"/>
    </w:rPr>
  </w:style>
  <w:style w:type="paragraph" w:styleId="180">
    <w:name w:val="toc 1"/>
    <w:basedOn w:val="707"/>
    <w:next w:val="707"/>
    <w:uiPriority w:val="39"/>
    <w:unhideWhenUsed/>
    <w:pPr>
      <w:ind w:left="0" w:right="0" w:firstLine="0"/>
      <w:spacing w:after="57"/>
    </w:pPr>
  </w:style>
  <w:style w:type="paragraph" w:styleId="181">
    <w:name w:val="toc 2"/>
    <w:basedOn w:val="707"/>
    <w:next w:val="707"/>
    <w:uiPriority w:val="39"/>
    <w:unhideWhenUsed/>
    <w:pPr>
      <w:ind w:left="283" w:right="0" w:firstLine="0"/>
      <w:spacing w:after="57"/>
    </w:pPr>
  </w:style>
  <w:style w:type="paragraph" w:styleId="182">
    <w:name w:val="toc 3"/>
    <w:basedOn w:val="707"/>
    <w:next w:val="707"/>
    <w:uiPriority w:val="39"/>
    <w:unhideWhenUsed/>
    <w:pPr>
      <w:ind w:left="567" w:right="0" w:firstLine="0"/>
      <w:spacing w:after="57"/>
    </w:pPr>
  </w:style>
  <w:style w:type="paragraph" w:styleId="183">
    <w:name w:val="toc 4"/>
    <w:basedOn w:val="707"/>
    <w:next w:val="707"/>
    <w:uiPriority w:val="39"/>
    <w:unhideWhenUsed/>
    <w:pPr>
      <w:ind w:left="850" w:right="0" w:firstLine="0"/>
      <w:spacing w:after="57"/>
    </w:pPr>
  </w:style>
  <w:style w:type="paragraph" w:styleId="184">
    <w:name w:val="toc 5"/>
    <w:basedOn w:val="707"/>
    <w:next w:val="707"/>
    <w:uiPriority w:val="39"/>
    <w:unhideWhenUsed/>
    <w:pPr>
      <w:ind w:left="1134" w:right="0" w:firstLine="0"/>
      <w:spacing w:after="57"/>
    </w:pPr>
  </w:style>
  <w:style w:type="paragraph" w:styleId="185">
    <w:name w:val="toc 6"/>
    <w:basedOn w:val="707"/>
    <w:next w:val="707"/>
    <w:uiPriority w:val="39"/>
    <w:unhideWhenUsed/>
    <w:pPr>
      <w:ind w:left="1417" w:right="0" w:firstLine="0"/>
      <w:spacing w:after="57"/>
    </w:pPr>
  </w:style>
  <w:style w:type="paragraph" w:styleId="186">
    <w:name w:val="toc 7"/>
    <w:basedOn w:val="707"/>
    <w:next w:val="707"/>
    <w:uiPriority w:val="39"/>
    <w:unhideWhenUsed/>
    <w:pPr>
      <w:ind w:left="1701" w:right="0" w:firstLine="0"/>
      <w:spacing w:after="57"/>
    </w:pPr>
  </w:style>
  <w:style w:type="paragraph" w:styleId="187">
    <w:name w:val="toc 8"/>
    <w:basedOn w:val="707"/>
    <w:next w:val="707"/>
    <w:uiPriority w:val="39"/>
    <w:unhideWhenUsed/>
    <w:pPr>
      <w:ind w:left="1984" w:right="0" w:firstLine="0"/>
      <w:spacing w:after="57"/>
    </w:pPr>
  </w:style>
  <w:style w:type="paragraph" w:styleId="188">
    <w:name w:val="toc 9"/>
    <w:basedOn w:val="707"/>
    <w:next w:val="7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7"/>
    <w:next w:val="707"/>
    <w:uiPriority w:val="99"/>
    <w:unhideWhenUsed/>
    <w:pPr>
      <w:spacing w:after="0" w:afterAutospacing="0"/>
    </w:pPr>
  </w:style>
  <w:style w:type="paragraph" w:styleId="707" w:default="1">
    <w:name w:val="Normal"/>
    <w:link w:val="72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8">
    <w:name w:val="Heading 2"/>
    <w:basedOn w:val="707"/>
    <w:next w:val="70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Normal Indent"/>
    <w:basedOn w:val="707"/>
    <w:uiPriority w:val="0"/>
    <w:qFormat/>
    <w:pPr>
      <w:ind w:firstLine="420"/>
    </w:pPr>
  </w:style>
  <w:style w:type="paragraph" w:styleId="712">
    <w:name w:val="annotation text"/>
    <w:basedOn w:val="707"/>
    <w:uiPriority w:val="0"/>
    <w:qFormat/>
    <w:pPr>
      <w:jc w:val="left"/>
    </w:pPr>
  </w:style>
  <w:style w:type="paragraph" w:styleId="713">
    <w:name w:val="Body Text"/>
    <w:basedOn w:val="707"/>
    <w:uiPriority w:val="0"/>
    <w:qFormat/>
    <w:rPr>
      <w:rFonts w:ascii="宋体" w:hAnsi="Arial" w:eastAsia="宋体"/>
      <w:sz w:val="28"/>
      <w:szCs w:val="20"/>
    </w:rPr>
  </w:style>
  <w:style w:type="paragraph" w:styleId="714">
    <w:name w:val="Footer"/>
    <w:basedOn w:val="707"/>
    <w:link w:val="721"/>
    <w:uiPriority w:val="0"/>
    <w:qFormat/>
    <w:pPr>
      <w:jc w:val="left"/>
      <w:tabs>
        <w:tab w:val="center" w:pos="4153" w:leader="none"/>
        <w:tab w:val="right" w:pos="8306" w:leader="none"/>
      </w:tabs>
    </w:pPr>
    <w:rPr>
      <w:sz w:val="18"/>
      <w:szCs w:val="18"/>
    </w:rPr>
  </w:style>
  <w:style w:type="paragraph" w:styleId="715">
    <w:name w:val="Header"/>
    <w:basedOn w:val="707"/>
    <w:link w:val="720"/>
    <w:uiPriority w:val="0"/>
    <w:qFormat/>
    <w:pPr>
      <w:jc w:val="center"/>
      <w:tabs>
        <w:tab w:val="center" w:pos="4153" w:leader="none"/>
        <w:tab w:val="right" w:pos="8306" w:leader="none"/>
      </w:tabs>
      <w:pBdr>
        <w:bottom w:val="single" w:color="auto" w:sz="6" w:space="1"/>
      </w:pBdr>
    </w:pPr>
    <w:rPr>
      <w:sz w:val="18"/>
      <w:szCs w:val="18"/>
    </w:rPr>
  </w:style>
  <w:style w:type="paragraph" w:styleId="716">
    <w:name w:val="Normal (Web)"/>
    <w:basedOn w:val="707"/>
    <w:uiPriority w:val="0"/>
    <w:qFormat/>
    <w:pPr>
      <w:jc w:val="left"/>
      <w:spacing w:beforeAutospacing="1" w:afterAutospacing="1"/>
    </w:pPr>
    <w:rPr>
      <w:rFonts w:cs="Times New Roman"/>
      <w:sz w:val="24"/>
    </w:rPr>
  </w:style>
  <w:style w:type="table" w:styleId="717">
    <w:name w:val="Table Grid"/>
    <w:basedOn w:val="71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basedOn w:val="709"/>
    <w:uiPriority w:val="0"/>
    <w:qFormat/>
    <w:rPr>
      <w:b/>
    </w:rPr>
  </w:style>
  <w:style w:type="paragraph" w:styleId="719" w:customStyle="1">
    <w:name w:val="Default"/>
    <w:basedOn w:val="707"/>
    <w:uiPriority w:val="0"/>
    <w:semiHidden/>
    <w:qFormat/>
    <w:pPr>
      <w:jc w:val="left"/>
    </w:pPr>
    <w:rPr>
      <w:rFonts w:ascii="宋体" w:hAnsi="Calibri" w:cs="宋体"/>
      <w:color w:val="000000"/>
      <w:sz w:val="24"/>
    </w:rPr>
  </w:style>
  <w:style w:type="character" w:styleId="720" w:customStyle="1">
    <w:name w:val="页眉 Char"/>
    <w:basedOn w:val="709"/>
    <w:link w:val="715"/>
    <w:uiPriority w:val="0"/>
    <w:qFormat/>
    <w:rPr>
      <w:rFonts w:asciiTheme="minorHAnsi" w:hAnsiTheme="minorHAnsi" w:eastAsiaTheme="minorEastAsia" w:cstheme="minorBidi"/>
      <w:sz w:val="18"/>
      <w:szCs w:val="18"/>
    </w:rPr>
  </w:style>
  <w:style w:type="character" w:styleId="721" w:customStyle="1">
    <w:name w:val="页脚 Char"/>
    <w:basedOn w:val="709"/>
    <w:link w:val="714"/>
    <w:uiPriority w:val="0"/>
    <w:qFormat/>
    <w:rPr>
      <w:rFonts w:asciiTheme="minorHAnsi" w:hAnsiTheme="minorHAnsi" w:eastAsiaTheme="minorEastAsia" w:cstheme="minorBidi"/>
      <w:sz w:val="18"/>
      <w:szCs w:val="18"/>
    </w:rPr>
  </w:style>
  <w:style w:type="paragraph" w:styleId="722" w:customStyle="1">
    <w:name w:val="普通正文"/>
    <w:basedOn w:val="707"/>
    <w:uiPriority w:val="0"/>
    <w:qFormat/>
    <w:pPr>
      <w:ind w:firstLine="480"/>
      <w:jc w:val="left"/>
      <w:spacing w:before="120" w:after="120" w:line="360" w:lineRule="auto"/>
    </w:pPr>
    <w:rPr>
      <w:rFonts w:ascii="Arial" w:hAnsi="Arial" w:eastAsia="等线" w:cs="Arial"/>
      <w:sz w:val="24"/>
      <w:szCs w:val="24"/>
    </w:rPr>
  </w:style>
  <w:style w:type="paragraph" w:styleId="723" w:customStyle="1">
    <w:name w:val="正文首行缩进 21"/>
    <w:basedOn w:val="724"/>
    <w:uiPriority w:val="0"/>
    <w:qFormat/>
    <w:pPr>
      <w:ind w:firstLine="420"/>
    </w:pPr>
  </w:style>
  <w:style w:type="paragraph" w:styleId="724" w:customStyle="1">
    <w:name w:val="正文文本缩进 New"/>
    <w:basedOn w:val="725"/>
    <w:next w:val="726"/>
    <w:uiPriority w:val="0"/>
    <w:qFormat/>
    <w:pPr>
      <w:ind w:left="420"/>
      <w:spacing w:after="120"/>
    </w:pPr>
    <w:rPr>
      <w:rFonts w:ascii="Times New Roman" w:hAnsi="Times New Roman" w:eastAsia="宋体" w:cs="Times New Roman"/>
    </w:rPr>
  </w:style>
  <w:style w:type="paragraph" w:styleId="725" w:customStyle="1">
    <w:name w:val="正文 New"/>
    <w:next w:val="723"/>
    <w:uiPriority w:val="0"/>
    <w:qFormat/>
    <w:pPr>
      <w:jc w:val="both"/>
      <w:widowControl w:val="off"/>
    </w:pPr>
    <w:rPr>
      <w:rFonts w:ascii="Times New Roman" w:hAnsi="Times New Roman" w:eastAsia="宋体" w:cs="Times New Roman"/>
      <w:sz w:val="21"/>
      <w:szCs w:val="22"/>
      <w:lang w:val="en-US" w:eastAsia="zh-CN" w:bidi="ar-SA"/>
    </w:rPr>
  </w:style>
  <w:style w:type="paragraph" w:styleId="726" w:customStyle="1">
    <w:name w:val="寄信人地址 New"/>
    <w:basedOn w:val="725"/>
    <w:uiPriority w:val="0"/>
    <w:qFormat/>
    <w:rPr>
      <w:rFonts w:ascii="Arial" w:hAnsi="Arial" w:eastAsia="宋体" w:cs="Times New Roman"/>
    </w:rPr>
  </w:style>
  <w:style w:type="paragraph" w:styleId="727" w:customStyle="1">
    <w:name w:val="正文文本缩进1"/>
    <w:basedOn w:val="707"/>
    <w:uiPriority w:val="0"/>
    <w:qFormat/>
    <w:pPr>
      <w:ind w:left="420"/>
      <w:spacing w:after="120"/>
    </w:pPr>
  </w:style>
  <w:style w:type="character" w:styleId="728" w:customStyle="1">
    <w:name w:val="NormalCharacter"/>
    <w:link w:val="707"/>
    <w:uiPriority w:val="0"/>
    <w:qFormat/>
    <w:rPr>
      <w:rFonts w:asciiTheme="minorHAnsi" w:hAnsiTheme="minorHAnsi" w:eastAsiaTheme="minorEastAsia" w:cstheme="minorBidi"/>
      <w:sz w:val="21"/>
      <w:szCs w:val="24"/>
      <w:lang w:val="en-US" w:eastAsia="zh-CN" w:bidi="ar-SA"/>
    </w:rPr>
  </w:style>
  <w:style w:type="paragraph" w:styleId="729">
    <w:name w:val="List Paragraph"/>
    <w:basedOn w:val="707"/>
    <w:uiPriority w:val="34"/>
    <w:qFormat/>
    <w:pPr>
      <w:ind w:firstLine="420"/>
    </w:pPr>
  </w:style>
  <w:style w:type="paragraph" w:styleId="730" w:customStyle="1">
    <w:name w:val="Char"/>
    <w:basedOn w:val="707"/>
    <w:uiPriority w:val="0"/>
    <w:qFormat/>
    <w:pPr>
      <w:ind w:firstLine="200"/>
      <w:tabs>
        <w:tab w:val="left" w:pos="360" w:leader="none"/>
      </w:tabs>
    </w:pPr>
    <w:rPr>
      <w:sz w:val="28"/>
      <w:szCs w:val="30"/>
    </w:rPr>
  </w:style>
  <w:style w:type="paragraph" w:styleId="731" w:customStyle="1">
    <w:name w:val="Table Text"/>
    <w:basedOn w:val="707"/>
    <w:uiPriority w:val="0"/>
    <w:semiHidden/>
    <w:qFormat/>
    <w:rPr>
      <w:rFonts w:ascii="微软雅黑" w:hAnsi="微软雅黑" w:eastAsia="微软雅黑" w:cs="微软雅黑"/>
      <w:sz w:val="13"/>
      <w:szCs w:val="13"/>
      <w:lang w:eastAsia="en-US"/>
    </w:rPr>
  </w:style>
  <w:style w:type="table" w:styleId="732" w:customStyle="1">
    <w:name w:val="Table Normal"/>
    <w:uiPriority w:val="0"/>
    <w:semiHidden/>
    <w:unhideWhenUsed/>
    <w:qFormat/>
    <w:tblPr>
      <w:tblCellMar>
        <w:left w:w="0" w:type="dxa"/>
        <w:top w:w="0" w:type="dxa"/>
        <w:right w:w="0" w:type="dxa"/>
        <w:bottom w:w="0" w:type="dxa"/>
      </w:tblCellMar>
    </w:tblPr>
  </w:style>
  <w:style w:type="numbering" w:styleId="16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27b0555f-a868-4549-b101-90beaac219a3</errorID>
      <errorWord>证</errorWord>
      <group>L1_Grammar</group>
      <groupName>语法问题</groupName>
      <ability>L2_Collocation</ability>
      <abilityName>搭配不当</abilityName>
      <candidateList>
        <item>（相关证</item>
      </candidateList>
      <explain>句子中可能存在主谓、动宾、定语中心语、状语中心语、补语中心语、关联词搭配不当等问题。</explain>
      <paraID>41E87348</paraID>
      <start>87</start>
      <end>88</end>
      <status>unmodified</status>
      <modifiedWord/>
      <trackRevisions>false</trackRevisions>
    </reviewItem>
    <reviewItem>
      <errorID>0e516a60-b5b2-4c88-8a05-70a04b101119</errorID>
      <errorWord>[2011]300号</errorWord>
      <group>L1_Knowledge</group>
      <groupName>知识性问题</groupName>
      <ability>L2_Knowledge</ability>
      <abilityName>其他知识</abilityName>
      <candidateList>
        <item>〔2011〕300号</item>
      </candidateList>
      <explain>发文字号格式错误。</explain>
      <paraID>40D1EC93</paraID>
      <start>67</start>
      <end>77</end>
      <status>unmodified</status>
      <modifiedWord/>
      <trackRevisions>false</trackRevisions>
    </reviewItem>
    <reviewItem>
      <errorID>635efb86-8381-46a4-8bc3-7e0edf4d4f53</errorID>
      <errorWord>（</errorWord>
      <group>L1_Word</group>
      <groupName>字词问题</groupName>
      <ability>L2_Typo</ability>
      <abilityName>字词错误</abilityName>
      <candidateList>
        <item>（在</item>
      </candidateList>
      <explain/>
      <paraID>2BEC3F4F</paraID>
      <start>43</start>
      <end>44</end>
      <status>unmodified</status>
      <modifiedWord/>
      <trackRevisions>false</trackRevisions>
    </reviewItem>
    <reviewItem>
      <errorID>3f238361-df6c-43b7-8f33-7ffbbe58d38f</errorID>
      <errorWord>（</errorWord>
      <group>L1_Punc</group>
      <groupName>标点问题</groupName>
      <ability>L2_Punc</ability>
      <abilityName>标点符号检查</abilityName>
      <candidateList/>
      <explain>同一形式括号套用。</explain>
      <paraID>61F37412</paraID>
      <start>117</start>
      <end>118</end>
      <status>unmodified</status>
      <modifiedWord/>
      <trackRevisions>false</trackRevisions>
    </reviewItem>
    <reviewItem>
      <errorID>f32404a3-5ca0-4aab-94c7-ecd541cf0e6b</errorID>
      <errorWord>,</errorWord>
      <group>L1_Format</group>
      <groupName>格式问题</groupName>
      <ability>L2_HalfPunc</ability>
      <abilityName>全半角检查</abilityName>
      <candidateList>
        <item>，</item>
      </candidateList>
      <explain>文本全半角错误。</explain>
      <paraID>61F37412</paraID>
      <start>156</start>
      <end>157</end>
      <status>modified</status>
      <modifiedWord>，</modifiedWord>
      <trackRevisions>false</trackRevisions>
    </reviewItem>
    <reviewItem>
      <errorID>68321dad-24d8-4b9d-a299-b08dc5d8eaef</errorID>
      <errorWord>-</errorWord>
      <group>L1_Format</group>
      <groupName>格式问题</groupName>
      <ability>L2_HalfPunc</ability>
      <abilityName>全半角检查</abilityName>
      <candidateList>
        <item>－</item>
      </candidateList>
      <explain>文本全半角错误。</explain>
      <paraID>32A21B87</paraID>
      <start>14</start>
      <end>15</end>
      <status>unmodified</status>
      <modifiedWord/>
      <trackRevisions>false</trackRevisions>
    </reviewItem>
    <reviewItem>
      <errorID>9f342fbb-e884-4078-b79c-ea1185793d09</errorID>
      <errorWord>-</errorWord>
      <group>L1_Format</group>
      <groupName>格式问题</groupName>
      <ability>L2_HalfPunc</ability>
      <abilityName>全半角检查</abilityName>
      <candidateList>
        <item>－</item>
      </candidateList>
      <explain>文本全半角错误。</explain>
      <paraID>32A21B87</paraID>
      <start>15</start>
      <end>16</end>
      <status>unmodified</status>
      <modifiedWord/>
      <trackRevisions>false</trackRevisions>
    </reviewItem>
    <reviewItem>
      <errorID>1a9da92f-e07e-4fa2-9330-4dcc066248cb</errorID>
      <errorWord>“.</errorWord>
      <group>L1_Punc</group>
      <groupName>标点问题</groupName>
      <ability>L2_Punc</ability>
      <abilityName>标点符号检查</abilityName>
      <candidateList>
        <item>“</item>
      </candidateList>
      <explain/>
      <paraID>32A21B87</paraID>
      <start>57</start>
      <end>59</end>
      <status>unmodified</status>
      <modifiedWord/>
      <trackRevisions>false</trackRevisions>
    </reviewItem>
    <reviewItem>
      <errorID>7ed26141-b07a-4617-8ae0-329986399e3d</errorID>
      <errorWord>“.</errorWord>
      <group>L1_Punc</group>
      <groupName>标点问题</groupName>
      <ability>L2_Punc</ability>
      <abilityName>标点符号检查</abilityName>
      <candidateList>
        <item>“</item>
      </candidateList>
      <explain/>
      <paraID>32A21B87</paraID>
      <start>72</start>
      <end>74</end>
      <status>unmodified</status>
      <modifiedWord/>
      <trackRevisions>false</trackRevisions>
    </reviewItem>
    <reviewItem>
      <errorID>e2006249-7521-4ac1-8a0c-4552a82b330f</errorID>
      <errorWord>-</errorWord>
      <group>L1_Format</group>
      <groupName>格式问题</groupName>
      <ability>L2_HalfPunc</ability>
      <abilityName>全半角检查</abilityName>
      <candidateList>
        <item>－</item>
      </candidateList>
      <explain>文本全半角错误。</explain>
      <paraID>32A21B87</paraID>
      <start>95</start>
      <end>96</end>
      <status>unmodified</status>
      <modifiedWord/>
      <trackRevisions>false</trackRevisions>
    </reviewItem>
    <reviewItem>
      <errorID>ad4faf60-5253-4dad-82cc-fdfc59defeac</errorID>
      <errorWord>-</errorWord>
      <group>L1_Format</group>
      <groupName>格式问题</groupName>
      <ability>L2_HalfPunc</ability>
      <abilityName>全半角检查</abilityName>
      <candidateList>
        <item>－</item>
      </candidateList>
      <explain>文本全半角错误。</explain>
      <paraID>32A21B87</paraID>
      <start>96</start>
      <end>97</end>
      <status>unmodified</status>
      <modifiedWord/>
      <trackRevisions>false</trackRevisions>
    </reviewItem>
    <reviewItem>
      <errorID>5046102a-cdaf-4ded-bbec-d690494925dc</errorID>
      <errorWord>-</errorWord>
      <group>L1_Format</group>
      <groupName>格式问题</groupName>
      <ability>L2_HalfPunc</ability>
      <abilityName>全半角检查</abilityName>
      <candidateList>
        <item>－</item>
      </candidateList>
      <explain>文本全半角错误。</explain>
      <paraID>32A21B87</paraID>
      <start>103</start>
      <end>104</end>
      <status>unmodified</status>
      <modifiedWord/>
      <trackRevisions>false</trackRevisions>
    </reviewItem>
    <reviewItem>
      <errorID>e2851747-a651-4d77-90b4-485fa22fbfc4</errorID>
      <errorWord>-</errorWord>
      <group>L1_Format</group>
      <groupName>格式问题</groupName>
      <ability>L2_HalfPunc</ability>
      <abilityName>全半角检查</abilityName>
      <candidateList>
        <item>－</item>
      </candidateList>
      <explain>文本全半角错误。</explain>
      <paraID>32A21B87</paraID>
      <start>104</start>
      <end>105</end>
      <status>unmodified</status>
      <modifiedWord/>
      <trackRevisions>false</trackRevisions>
    </reviewItem>
    <reviewItem>
      <errorID>710b33f0-58dc-4ec4-b114-4272a3cb95cb</errorID>
      <errorWord>-</errorWord>
      <group>L1_Format</group>
      <groupName>格式问题</groupName>
      <ability>L2_HalfPunc</ability>
      <abilityName>全半角检查</abilityName>
      <candidateList>
        <item>－</item>
      </candidateList>
      <explain>文本全半角错误。</explain>
      <paraID>32A21B87</paraID>
      <start>175</start>
      <end>176</end>
      <status>unmodified</status>
      <modifiedWord/>
      <trackRevisions>false</trackRevisions>
    </reviewItem>
    <reviewItem>
      <errorID>0e5b2632-d57e-431a-bbd0-7de947cd25aa</errorID>
      <errorWord>-</errorWord>
      <group>L1_Format</group>
      <groupName>格式问题</groupName>
      <ability>L2_HalfPunc</ability>
      <abilityName>全半角检查</abilityName>
      <candidateList>
        <item>－</item>
      </candidateList>
      <explain>文本全半角错误。</explain>
      <paraID>26A03879</paraID>
      <start>30</start>
      <end>31</end>
      <status>unmodified</status>
      <modifiedWord/>
      <trackRevisions>false</trackRevisions>
    </reviewItem>
    <reviewItem>
      <errorID>4ebd07cc-bf1f-4564-b6da-54933631f6fc</errorID>
      <errorWord>“.</errorWord>
      <group>L1_Punc</group>
      <groupName>标点问题</groupName>
      <ability>L2_Punc</ability>
      <abilityName>标点符号检查</abilityName>
      <candidateList>
        <item>“</item>
      </candidateList>
      <explain/>
      <paraID>5B5DA349</paraID>
      <start>12</start>
      <end>14</end>
      <status>unmodified</status>
      <modifiedWord/>
      <trackRevisions>false</trackRevisions>
    </reviewItem>
    <reviewItem>
      <errorID>6da50248-f5f1-481e-a02c-79f1643c5013</errorID>
      <errorWord>成交的</errorWord>
      <group>L1_Grammar</group>
      <groupName>语法问题</groupName>
      <ability>L2_Order</ability>
      <abilityName>语序不当</abilityName>
      <candidateList>
        <item>成交</item>
      </candidateList>
      <explain>句子可能没有遵循时空、逻辑顺序，或者介词、关联词等位置不当。</explain>
      <paraID>7731208E</paraID>
      <start>17</start>
      <end>20</end>
      <status>unmodified</status>
      <modifiedWord/>
      <trackRevisions>false</trackRevisions>
    </reviewItem>
    <reviewItem>
      <errorID>9e4596e9-6586-475c-9ab6-387458d720d0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1c8e55cc-1980-469b-9457-1c994eb2b528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2b739b98-1374-445b-a69f-593bd9795186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275E9489</paraID>
      <start>0</start>
      <end>2</end>
      <status>unmodified</status>
      <modifiedWord/>
      <trackRevisions>false</trackRevisions>
    </reviewItem>
    <reviewItem>
      <errorID>aa216458-74ef-4ca3-85f0-bca02b3b3339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e50ecfc2-743f-4231-ac40-c3ffb9394ed1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f3d0a8a7-2eb5-45a5-8a40-c0d6f093fcec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39e4a329-c616-4ef1-b4f1-d341f485952a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574b5df3-0f42-4b29-9b1a-fa062c4b7dd0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a1d00891-092a-467c-a078-461d4f97e90e</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975c78d0-3373-4faa-b889-5a01fe497bac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d542209d-aa52-480c-aaaf-c7a12cbfec41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a693f4cd-f7af-477d-8701-5836882512c7</errorID>
      <errorWord>（</errorWord>
      <group>L1_Word</group>
      <groupName>字词问题</groupName>
      <ability>L2_Typo</ability>
      <abilityName>字词错误</abilityName>
      <candidateList>
        <item>（在</item>
      </candidateList>
      <explain/>
      <paraID>3C0D5162</paraID>
      <start>47</start>
      <end>48</end>
      <status>unmodified</status>
      <modifiedWord/>
      <trackRevisions>false</trackRevisions>
    </reviewItem>
    <reviewItem>
      <errorID>deeb4ec2-e01c-431a-becb-d2683247f307</errorID>
      <errorWord>(</errorWord>
      <group>L1_Format</group>
      <groupName>格式问题</groupName>
      <ability>L2_HalfPunc</ability>
      <abilityName>全半角检查</abilityName>
      <candidateList>
        <item>（</item>
      </candidateList>
      <explain>文本全半角错误。</explain>
      <paraID>4A487A84</paraID>
      <start>10</start>
      <end>11</end>
      <status>modified</status>
      <modifiedWord>（</modifiedWord>
      <trackRevisions>false</trackRevisions>
    </reviewItem>
    <reviewItem>
      <errorID>db3e33bb-5259-4e67-bf5e-1a25adb5b6cb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73a60331-bcc4-49b2-a5b2-b589a235f213</errorID>
      <errorWord>法律、法规</errorWord>
      <group>L1_Word</group>
      <groupName>字词问题</groupName>
      <ability>L2_Typo</ability>
      <abilityName>字词错误</abilityName>
      <candidateList>
        <item>法律法规</item>
      </candidateList>
      <explain/>
      <paraID>7BCF26D9</paraID>
      <start>10</start>
      <end>15</end>
      <status>unmodified</status>
      <modifiedWord/>
      <trackRevisions>false</trackRevisions>
    </reviewItem>
    <reviewItem>
      <errorID>dd5759ca-1ec8-4efd-ab02-7992310527d4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3710551b-7fc8-4c37-9a1a-3f4e70df1efd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d5f3b30a-316b-4db4-a1fb-06ee1b5e768d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185892c8-4caa-4d45-b2de-17a0f96ccf41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6ec5c234-f3c8-45a4-9c4b-9af014d68114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c84dae9f-da5f-4e42-8e3a-c90963831d2f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05198266-4a3c-4773-b136-7349c44afeba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b1d4b1d8-4224-4424-9fb0-9422c2e2cf63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6cd8dc24-7527-4fda-9829-d6a9f998731c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fc9ca6df-0914-43c5-ad99-310096fe8366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d213a982-5c4d-4955-91bc-86760c3412b8</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25b5860a-85de-4e9b-8d6f-70e91f34f749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f197f6d6-5539-4cb3-9fd6-2eff6cc2f7dc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ed03337c-4447-4e64-a713-57e6d5b5cc9d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9f0a0311-79f5-424e-9196-f6d1f03cc14d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0f651740-2a45-4e7a-bc0f-adabda98d425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e0b069be-2156-490a-ad2b-8ca8454e200e</errorID>
      <errorWord>&lt;</errorWord>
      <group>L1_Format</group>
      <groupName>格式问题</groupName>
      <ability>L2_HalfPunc</ability>
      <abilityName>全半角检查</abilityName>
      <candidateList>
        <item>〈</item>
      </candidateList>
      <explain>文本全半角错误。</explain>
      <paraID>67889554</paraID>
      <start>49</start>
      <end>50</end>
      <status>unmodified</status>
      <modifiedWord/>
      <trackRevisions>false</trackRevisions>
    </reviewItem>
    <reviewItem>
      <errorID>76c7bc62-b6ab-4a2f-9775-581af3c9055c</errorID>
      <errorWord>&lt;</errorWord>
      <group>L1_Format</group>
      <groupName>格式问题</groupName>
      <ability>L2_HalfPunc</ability>
      <abilityName>全半角检查</abilityName>
      <candidateList>
        <item>〈</item>
      </candidateList>
      <explain>文本全半角错误。</explain>
      <paraID>3AB01E53</paraID>
      <start>49</start>
      <end>50</end>
      <status>unmodified</status>
      <modifiedWord/>
      <trackRevisions>false</trackRevisions>
    </reviewItem>
    <reviewItem>
      <errorID>45a9876f-ab97-45c6-b3ec-241de11670a6</errorID>
      <errorWord>&lt;</errorWord>
      <group>L1_Format</group>
      <groupName>格式问题</groupName>
      <ability>L2_HalfPunc</ability>
      <abilityName>全半角检查</abilityName>
      <candidateList>
        <item>〈</item>
      </candidateList>
      <explain>文本全半角错误。</explain>
      <paraID>320C83E5</paraID>
      <start>34</start>
      <end>35</end>
      <status>unmodified</status>
      <modifiedWord/>
      <trackRevisions>false</trackRevisions>
    </reviewItem>
    <reviewItem>
      <errorID>7b081161-794e-4a0f-988d-a382a33e95c6</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c4a0dbe3-ca12-4b83-868d-ac1ff0485191</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c1efb375-28a7-43ea-92b2-36ecf9f6dcc3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b4d8065d-b40a-43bc-a9ef-67804fb004a5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5c83c9d4-2559-466c-a5e7-b4b3e4b5e2dd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3587b6ec-1915-4a8b-8e7e-d9dbc04af878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6ACCED81</paraID>
      <start>0</start>
      <end>3</end>
      <status>unmodified</status>
      <modifiedWord/>
      <trackRevisions>false</trackRevisions>
    </reviewItem>
    <reviewItem>
      <errorID>def263d7-8f11-4bb7-96bf-035ebbca318c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814fd2c7-ca0e-43a0-8cf9-fd58aeb15c60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720EEBF9</paraID>
      <start>0</start>
      <end>3</end>
      <status>unmodified</status>
      <modifiedWord/>
      <trackRevisions>false</trackRevisions>
    </reviewItem>
    <reviewItem>
      <errorID>42fcd350-c34c-447c-8e2d-8f65c80e70cf</errorID>
      <errorWord>&lt;</errorWord>
      <group>L1_Format</group>
      <groupName>格式问题</groupName>
      <ability>L2_HalfPunc</ability>
      <abilityName>全半角检查</abilityName>
      <candidateList>
        <item>〈</item>
      </candidateList>
      <explain>文本全半角错误。</explain>
      <paraID>7831DEFD</paraID>
      <start>21</start>
      <end>22</end>
      <status>unmodified</status>
      <modifiedWord/>
      <trackRevisions>false</trackRevisions>
    </reviewItem>
    <reviewItem>
      <errorID>18c14651-9ecd-4031-a895-1c594d014993</errorID>
      <errorWord>&gt;的通知》</errorWord>
      <group>L1_Punc</group>
      <groupName>标点问题</groupName>
      <ability>L2_Punc</ability>
      <abilityName>标点符号检查</abilityName>
      <candidateList>
        <item>〉的通知》</item>
      </candidateList>
      <explain/>
      <paraID>7831DEFD</paraID>
      <start>45</start>
      <end>50</end>
      <status>unmodified</status>
      <modifiedWord/>
      <trackRevisions>false</trackRevisions>
    </reviewItem>
    <reviewItem>
      <errorID>de3fb16c-9872-422e-a8e2-65a6e7e7a9a7</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164</start>
      <end>167</end>
      <status>unmodified</status>
      <modifiedWord/>
      <trackRevisions>false</trackRevisions>
    </reviewItem>
    <reviewItem>
      <errorID>d9ac28eb-db20-462a-8bf4-456341c813a3</errorID>
      <errorWord>(</errorWord>
      <group>L1_Format</group>
      <groupName>格式问题</groupName>
      <ability>L2_HalfPunc</ability>
      <abilityName>全半角检查</abilityName>
      <candidateList>
        <item>（</item>
      </candidateList>
      <explain>文本全半角错误。</explain>
      <paraID>56196F77</paraID>
      <start>124</start>
      <end>125</end>
      <status>modified</status>
      <modifiedWord>（</modifiedWord>
      <trackRevisions>false</trackRevisions>
    </reviewItem>
    <reviewItem>
      <errorID>6cefedd9-8560-457f-b0df-adc032b9d1d2</errorID>
      <errorWord>)</errorWord>
      <group>L1_Format</group>
      <groupName>格式问题</groupName>
      <ability>L2_HalfPunc</ability>
      <abilityName>全半角检查</abilityName>
      <candidateList>
        <item>）</item>
      </candidateList>
      <explain>文本全半角错误。</explain>
      <paraID>56196F77</paraID>
      <start>162</start>
      <end>163</end>
      <status>modified</status>
      <modifiedWord>）</modifiedWord>
      <trackRevisions>false</trackRevisions>
    </reviewItem>
    <reviewItem>
      <errorID>b5b05e8c-d984-4f16-9ad2-2df4bd815fa8</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c6fad1df-7f2e-40f6-841d-9fba4bcc47f4</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3c864807-bce1-4273-a004-6eae9a464d03</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d8d70f0c-754b-4ba6-8576-948021602822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184C23EE</paraID>
      <start>0</start>
      <end>3</end>
      <status>unmodified</status>
      <modifiedWord/>
      <trackRevisions>false</trackRevisions>
    </reviewItem>
    <reviewItem>
      <errorID>26115828-7f99-490b-b103-5de9ae3c562c</errorID>
      <errorWord>元</errorWord>
      <group>L1_Word</group>
      <groupName>字词问题</groupName>
      <ability>L2_Typo</ability>
      <abilityName>字词错误</abilityName>
      <candidateList>
        <item/>
      </candidateList>
      <explain/>
      <paraID>6A7ACE77</paraID>
      <start>20</start>
      <end>21</end>
      <status>unmodified</status>
      <modifiedWord/>
      <trackRevisions>false</trackRevisions>
    </reviewItem>
    <reviewItem>
      <errorID>6e3de25b-35e3-49e5-95f8-6e331ef7ef4a</errorID>
      <errorWord>[2021]15号</errorWord>
      <group>L1_Knowledge</group>
      <groupName>知识性问题</groupName>
      <ability>L2_Knowledge</ability>
      <abilityName>其他知识</abilityName>
      <candidateList>
        <item>〔2021〕15号</item>
      </candidateList>
      <explain>发文字号格式错误。</explain>
      <paraID>59EA3F3F</paraID>
      <start>40</start>
      <end>49</end>
      <status>unmodified</status>
      <modifiedWord/>
      <trackRevisions>false</trackRevisions>
    </reviewItem>
    <reviewItem>
      <errorID>79657aaa-0a8f-4129-ab8f-50124f8b1dbe</errorID>
      <errorWord>其它</errorWord>
      <group>L1_Word</group>
      <groupName>字词问题</groupName>
      <ability>L2_Alias</ability>
      <abilityName>也作/曾用词</abilityName>
      <candidateList>
        <item>其他</item>
      </candidateList>
      <explain>词汇[其它]为不规范表述或旧称，其规范书面表述为[其他]。</explain>
      <paraID>384A56FD</paraID>
      <start>22</start>
      <end>24</end>
      <status>unmodified</status>
      <modifiedWord/>
      <trackRevisions>false</trackRevisions>
    </reviewItem>
    <reviewItem>
      <errorID>85efb8df-1b6d-468f-96c4-0983b2b3aa87</errorID>
      <errorWord>,</errorWord>
      <group>L1_Format</group>
      <groupName>格式问题</groupName>
      <ability>L2_HalfPunc</ability>
      <abilityName>全半角检查</abilityName>
      <candidateList>
        <item>，</item>
      </candidateList>
      <explain>文本全半角错误。</explain>
      <paraID>2887D8F6</paraID>
      <start>38</start>
      <end>39</end>
      <status>modified</status>
      <modifiedWord>，</modifiedWord>
      <trackRevisions>false</trackRevisions>
    </reviewItem>
    <reviewItem>
      <errorID>85296e13-db81-43e9-8827-ac20cf5e7732</errorID>
      <errorWord>,</errorWord>
      <group>L1_Format</group>
      <groupName>格式问题</groupName>
      <ability>L2_HalfPunc</ability>
      <abilityName>全半角检查</abilityName>
      <candidateList>
        <item>，</item>
      </candidateList>
      <explain>文本全半角错误。</explain>
      <paraID>2887D8F6</paraID>
      <start>79</start>
      <end>80</end>
      <status>modified</status>
      <modifiedWord>，</modifiedWord>
      <trackRevisions>false</trackRevisions>
    </reviewItem>
    <reviewItem>
      <errorID>3c31863b-d5b8-4001-a9d5-fec1c0752ea6</errorID>
      <errorWord>,</errorWord>
      <group>L1_Format</group>
      <groupName>格式问题</groupName>
      <ability>L2_HalfPunc</ability>
      <abilityName>全半角检查</abilityName>
      <candidateList>
        <item>，</item>
      </candidateList>
      <explain>文本全半角错误。</explain>
      <paraID>2887D8F6</paraID>
      <start>92</start>
      <end>93</end>
      <status>modified</status>
      <modifiedWord>，</modifiedWord>
      <trackRevisions>false</trackRevisions>
    </reviewItem>
    <reviewItem>
      <errorID>76a899e3-1e63-43fb-b6c1-92840bcdb58b</errorID>
      <errorWord>,</errorWord>
      <group>L1_Format</group>
      <groupName>格式问题</groupName>
      <ability>L2_HalfPunc</ability>
      <abilityName>全半角检查</abilityName>
      <candidateList>
        <item>，</item>
      </candidateList>
      <explain>文本全半角错误。</explain>
      <paraID>2887D8F6</paraID>
      <start>111</start>
      <end>112</end>
      <status>modified</status>
      <modifiedWord>，</modifiedWord>
      <trackRevisions>false</trackRevisions>
    </reviewItem>
    <reviewItem>
      <errorID>7038ce44-99f7-4317-8d72-5e61b347c62e</errorID>
      <errorWord>,</errorWord>
      <group>L1_Format</group>
      <groupName>格式问题</groupName>
      <ability>L2_HalfPunc</ability>
      <abilityName>全半角检查</abilityName>
      <candidateList>
        <item>，</item>
      </candidateList>
      <explain>文本全半角错误。</explain>
      <paraID>7010A841</paraID>
      <start>13</start>
      <end>14</end>
      <status>modified</status>
      <modifiedWord>，</modifiedWord>
      <trackRevisions>false</trackRevisions>
    </reviewItem>
    <reviewItem>
      <errorID>4caa0ed9-69ff-4ecb-8c2d-f3b0274840ad</errorID>
      <errorWord>,</errorWord>
      <group>L1_Format</group>
      <groupName>格式问题</groupName>
      <ability>L2_HalfPunc</ability>
      <abilityName>全半角检查</abilityName>
      <candidateList>
        <item>，</item>
      </candidateList>
      <explain>文本全半角错误。</explain>
      <paraID>7010A841</paraID>
      <start>108</start>
      <end>109</end>
      <status>modified</status>
      <modifiedWord>，</modifiedWord>
      <trackRevisions>false</trackRevisions>
    </reviewItem>
    <reviewItem>
      <errorID>09390eea-2209-40a4-9420-0dc7476a9b76</errorID>
      <errorWord>,</errorWord>
      <group>L1_Format</group>
      <groupName>格式问题</groupName>
      <ability>L2_HalfPunc</ability>
      <abilityName>全半角检查</abilityName>
      <candidateList>
        <item>，</item>
      </candidateList>
      <explain>文本全半角错误。</explain>
      <paraID>12E5EC80</paraID>
      <start>24</start>
      <end>25</end>
      <status>modified</status>
      <modifiedWord>，</modifiedWord>
      <trackRevisions>false</trackRevisions>
    </reviewItem>
    <reviewItem>
      <errorID>99ad769f-6e93-4001-8e41-3f7e2d172d0e</errorID>
      <errorWord>》</errorWord>
      <group>L1_Word</group>
      <groupName>字词问题</groupName>
      <ability>L2_Typo</ability>
      <abilityName>字词错误</abilityName>
      <candidateList>
        <item>》等</item>
      </candidateList>
      <explain/>
      <paraID>21BBBAF2</paraID>
      <start>40</start>
      <end>41</end>
      <status>unmodified</status>
      <modifiedWord/>
      <trackRevisions>false</trackRevisions>
    </reviewItem>
    <reviewItem>
      <errorID>65bc8c67-a5dd-4c47-aa54-c39b42610c40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526D7C50</paraID>
      <start>0</start>
      <end>2</end>
      <status>unmodified</status>
      <modifiedWord/>
      <trackRevisions>false</trackRevisions>
    </reviewItem>
    <reviewItem>
      <errorID>d311a9a7-d1ce-4dfc-b7f0-2f483c8b6cf2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4D5F2AC9</paraID>
      <start>0</start>
      <end>2</end>
      <status>unmodified</status>
      <modifiedWord/>
      <trackRevisions>false</trackRevisions>
    </reviewItem>
    <reviewItem>
      <errorID>9ac8492b-4188-4a4a-aa3d-0a0d9dfabead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71E27FA9</paraID>
      <start>0</start>
      <end>2</end>
      <status>unmodified</status>
      <modifiedWord/>
      <trackRevisions>false</trackRevisions>
    </reviewItem>
    <reviewItem>
      <errorID>c01f7387-47c6-4341-9b35-a428647b63f0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6448DCE</paraID>
      <start>0</start>
      <end>2</end>
      <status>unmodified</status>
      <modifiedWord/>
      <trackRevisions>false</trackRevisions>
    </reviewItem>
    <reviewItem>
      <errorID>fa895bff-3b41-4f64-8433-e1cf904d81d4</errorID>
      <errorWord>[2011]300号</errorWord>
      <group>L1_Knowledge</group>
      <groupName>知识性问题</groupName>
      <ability>L2_Knowledge</ability>
      <abilityName>其他知识</abilityName>
      <candidateList>
        <item>〔2011〕300号</item>
      </candidateList>
      <explain>发文字号格式错误。</explain>
      <paraID> 6448DCE</paraID>
      <start>75</start>
      <end>85</end>
      <status>unmodified</status>
      <modifiedWord/>
      <trackRevisions>false</trackRevisions>
    </reviewItem>
    <reviewItem>
      <errorID>2d5ee627-1789-4f8e-93fb-0144fb481b56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69403208</paraID>
      <start>0</start>
      <end>2</end>
      <status>unmodified</status>
      <modifiedWord/>
      <trackRevisions>false</trackRevisions>
    </reviewItem>
    <reviewItem>
      <errorID>8adea8d6-0976-4672-bdb6-4d4951c4e64b</errorID>
      <errorWord>法律、法规</errorWord>
      <group>L1_Word</group>
      <groupName>字词问题</groupName>
      <ability>L2_Typo</ability>
      <abilityName>字词错误</abilityName>
      <candidateList>
        <item>法律法规</item>
      </candidateList>
      <explain/>
      <paraID> 544D418</paraID>
      <start>27</start>
      <end>32</end>
      <status>unmodified</status>
      <modifiedWord/>
      <trackRevisions>false</trackRevisions>
    </reviewItem>
    <reviewItem>
      <errorID>aba18027-0297-4f75-8536-8fd0bdbaba9b</errorID>
      <errorWord>费</errorWord>
      <group>L1_Word</group>
      <groupName>字词问题</groupName>
      <ability>L2_Typo</ability>
      <abilityName>字词错误</abilityName>
      <candidateList>
        <item>费用</item>
      </candidateList>
      <explain/>
      <paraID>45832454</paraID>
      <start>133</start>
      <end>134</end>
      <status>unmodified</status>
      <modifiedWord/>
      <trackRevisions>false</trackRevisions>
    </reviewItem>
    <reviewItem>
      <errorID>39a78fb9-6fe2-4c53-94e7-f35c737f6d04</errorID>
      <errorWord>出具的</errorWord>
      <group>L1_Word</group>
      <groupName>字词问题</groupName>
      <ability>L2_Typo</ability>
      <abilityName>字词错误</abilityName>
      <candidateList>
        <item>出具</item>
      </candidateList>
      <explain>〈动〉开出；写出（证明、证件等）：～介绍信｜～健康证明。</explain>
      <paraID> CDD9B7E</paraID>
      <start>45</start>
      <end>48</end>
      <status>unmodified</status>
      <modifiedWord/>
      <trackRevisions>false</trackRevisions>
    </reviewItem>
    <reviewItem>
      <errorID>330fac6e-207a-4e7e-a720-a76107fdd2cb</errorID>
      <errorWord>其它</errorWord>
      <group>L1_Word</group>
      <groupName>字词问题</groupName>
      <ability>L2_Alias</ability>
      <abilityName>也作/曾用词</abilityName>
      <candidateList>
        <item>其他</item>
      </candidateList>
      <explain>词汇[其它]为不规范表述或旧称，其规范书面表述为[其他]。</explain>
      <paraID>6A932B3D</paraID>
      <start>25</start>
      <end>27</end>
      <status>unmodified</status>
      <modifiedWord/>
      <trackRevisions>false</trackRevisions>
    </reviewItem>
    <reviewItem>
      <errorID>ca691ae7-0913-4f8e-990a-89c0175b2769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8462B73</paraID>
      <start>0</start>
      <end>2</end>
      <status>unmodified</status>
      <modifiedWord/>
      <trackRevisions>false</trackRevisions>
    </reviewItem>
    <reviewItem>
      <errorID>233bf435-c9ef-447d-8b2f-88aa44da74a2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60354791</paraID>
      <start>0</start>
      <end>2</end>
      <status>unmodified</status>
      <modifiedWord/>
      <trackRevisions>false</trackRevisions>
    </reviewItem>
    <reviewItem>
      <errorID>91304e3b-671d-4c71-b522-ac4a159786c1</errorID>
      <errorWord>.</errorWord>
      <group>L1_Format</group>
      <groupName>格式问题</groupName>
      <ability>L2_HalfPunc</ability>
      <abilityName>全半角检查</abilityName>
      <candidateList>
        <item>。</item>
      </candidateList>
      <explain>文本全半角错误。</explain>
      <paraID>120C3B7D</paraID>
      <start>1</start>
      <end>2</end>
      <status>unmodified</status>
      <modifiedWord/>
      <trackRevisions>false</trackRevisions>
    </reviewItem>
    <reviewItem>
      <errorID>513b58fb-ccfe-431e-82d9-9eb59077b37b</errorID>
      <errorWord>:</errorWord>
      <group>L1_Format</group>
      <groupName>格式问题</groupName>
      <ability>L2_HalfPunc</ability>
      <abilityName>全半角检查</abilityName>
      <candidateList>
        <item>：</item>
      </candidateList>
      <explain>文本全半角错误。</explain>
      <paraID>13F20DCA</paraID>
      <start>137</start>
      <end>138</end>
      <status>modified</status>
      <modifiedWord>：</modifiedWord>
      <trackRevisions>false</trackRevisions>
    </reviewItem>
    <reviewItem>
      <errorID>41282694-e333-4096-9052-c0f53b1a9d50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648860A3</paraID>
      <start>0</start>
      <end>2</end>
      <status>unmodified</status>
      <modifiedWord/>
      <trackRevisions>false</trackRevisions>
    </reviewItem>
    <reviewItem>
      <errorID>1226d8c1-fc95-42ad-9d40-01bd65df0c51</errorID>
      <errorWord>II类</errorWord>
      <group>L1_Knowledge</group>
      <groupName>知识性问题</groupName>
      <ability>L2_Knowledge</ability>
      <abilityName>其他知识</abilityName>
      <candidateList>
        <item>Ⅱ类</item>
      </candidateList>
      <explain/>
      <paraID>648860A3</paraID>
      <start>16</start>
      <end>19</end>
      <status>unmodified</status>
      <modifiedWord/>
      <trackRevisions>false</trackRevisions>
    </reviewItem>
    <reviewItem>
      <errorID>869ae8ba-e9d9-415a-87dc-cb541378bc01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1C849F74</paraID>
      <start>0</start>
      <end>2</end>
      <status>unmodified</status>
      <modifiedWord/>
      <trackRevisions>false</trackRevisions>
    </reviewItem>
    <reviewItem>
      <errorID>770a0612-f98b-4e07-b71c-388ef0e0e58a</errorID>
      <errorWord>(</errorWord>
      <group>L1_Format</group>
      <groupName>格式问题</groupName>
      <ability>L2_HalfPunc</ability>
      <abilityName>全半角检查</abilityName>
      <candidateList>
        <item>（</item>
      </candidateList>
      <explain>文本全半角错误。</explain>
      <paraID>1C849F74</paraID>
      <start>4</start>
      <end>5</end>
      <status>modified</status>
      <modifiedWord>（</modifiedWord>
      <trackRevisions>false</trackRevisions>
    </reviewItem>
    <reviewItem>
      <errorID>dc8083c2-c8e7-4482-94d7-e1a37be437c7</errorID>
      <errorWord>)</errorWord>
      <group>L1_Format</group>
      <groupName>格式问题</groupName>
      <ability>L2_HalfPunc</ability>
      <abilityName>全半角检查</abilityName>
      <candidateList>
        <item>）</item>
      </candidateList>
      <explain>文本全半角错误。</explain>
      <paraID>1C849F74</paraID>
      <start>8</start>
      <end>9</end>
      <status>modified</status>
      <modifiedWord>）</modifiedWord>
      <trackRevisions>false</trackRevisions>
    </reviewItem>
    <reviewItem>
      <errorID>680021ce-e9bf-4bff-acf5-26889c22a17a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6102AB6E</paraID>
      <start>0</start>
      <end>2</end>
      <status>unmodified</status>
      <modifiedWord/>
      <trackRevisions>false</trackRevisions>
    </reviewItem>
    <reviewItem>
      <errorID>c48e949e-28d9-44a3-8403-9840cf62d347</errorID>
      <errorWord>.</errorWord>
      <group>L1_Format</group>
      <groupName>格式问题</groupName>
      <ability>L2_HalfPunc</ability>
      <abilityName>全半角检查</abilityName>
      <candidateList>
        <item>。</item>
      </candidateList>
      <explain>文本全半角错误。</explain>
      <paraID>3D075818</paraID>
      <start>1</start>
      <end>2</end>
      <status>unmodified</status>
      <modifiedWord/>
      <trackRevisions>false</trackRevisions>
    </reviewItem>
    <reviewItem>
      <errorID>de066ed0-6d8b-4e6e-85c2-78e1a99251f5</errorID>
      <errorWord>通讯畅通</errorWord>
      <group>L1_Word</group>
      <groupName>字词问题</groupName>
      <ability>L2_Typo</ability>
      <abilityName>字词错误</abilityName>
      <candidateList>
        <item>通信畅通</item>
      </candidateList>
      <explain/>
      <paraID>5DCDCB6B</paraID>
      <start>12</start>
      <end>16</end>
      <status>unmodified</status>
      <modifiedWord/>
      <trackRevisions>false</trackRevisions>
    </reviewItem>
    <reviewItem>
      <errorID>f826443b-e204-4e7e-82b1-cf17f2eb2c78</errorID>
      <errorWord>况</errorWord>
      <group>L1_Word</group>
      <groupName>字词问题</groupName>
      <ability>L2_Typo</ability>
      <abilityName>字词错误</abilityName>
      <candidateList>
        <item>况下</item>
      </candidateList>
      <explain/>
      <paraID>408EBAEA</paraID>
      <start>21</start>
      <end>22</end>
      <status>unmodified</status>
      <modifiedWord/>
      <trackRevisions>false</trackRevisions>
    </reviewItem>
    <reviewItem>
      <errorID>184a5b2f-1f88-4723-bd0e-ceea4b76ff19</errorID>
      <errorWord>沾污</errorWord>
      <group>L1_Word</group>
      <groupName>字词问题</groupName>
      <ability>L2_Typo</ability>
      <abilityName>字词错误</abilityName>
      <candidateList>
        <item>玷污</item>
      </candidateList>
      <explain/>
      <paraID>43578253</paraID>
      <start>14</start>
      <end>16</end>
      <status>unmodified</status>
      <modifiedWord/>
      <trackRevisions>false</trackRevisions>
    </reviewItem>
    <reviewItem>
      <errorID>52e4bb80-9bd4-482f-bba9-ab2288710c00</errorID>
      <errorWord>.</errorWord>
      <group>L1_Format</group>
      <groupName>格式问题</groupName>
      <ability>L2_HalfPunc</ability>
      <abilityName>全半角检查</abilityName>
      <candidateList>
        <item>。</item>
      </candidateList>
      <explain>文本全半角错误。</explain>
      <paraID>3F22F7D9</paraID>
      <start>1</start>
      <end>2</end>
      <status>unmodified</status>
      <modifiedWord/>
      <trackRevisions>false</trackRevisions>
    </reviewItem>
    <reviewItem>
      <errorID>b70b3a47-55e2-4608-b839-8731531496ff</errorID>
      <errorWord>须</errorWord>
      <group>L1_Word</group>
      <groupName>字词问题</groupName>
      <ability>L2_Typo</ability>
      <abilityName>字词错误</abilityName>
      <candidateList>
        <item>需</item>
      </candidateList>
      <explain>存在发音相同字词的误用。</explain>
      <paraID>1517BFF9</paraID>
      <start>6</start>
      <end>7</end>
      <status>unmodified</status>
      <modifiedWord/>
      <trackRevisions>false</trackRevisions>
    </reviewItem>
    <reviewItem>
      <errorID>91ce68ef-4b4f-4d19-8776-4925b9521399</errorID>
      <errorWord>须</errorWord>
      <group>L1_Word</group>
      <groupName>字词问题</groupName>
      <ability>L2_Typo</ability>
      <abilityName>字词错误</abilityName>
      <candidateList>
        <item>需</item>
      </candidateList>
      <explain>存在发音相同字词的误用。</explain>
      <paraID>42296109</paraID>
      <start>6</start>
      <end>7</end>
      <status>unmodified</status>
      <modifiedWord/>
      <trackRevisions>false</trackRevisions>
    </reviewItem>
    <reviewItem>
      <errorID>0f0e1c58-526b-4117-a875-576ebe38861e</errorID>
      <errorWord>.</errorWord>
      <group>L1_Format</group>
      <groupName>格式问题</groupName>
      <ability>L2_HalfPunc</ability>
      <abilityName>全半角检查</abilityName>
      <candidateList>
        <item>。</item>
      </candidateList>
      <explain>文本全半角错误。</explain>
      <paraID>331312F0</paraID>
      <start>1</start>
      <end>2</end>
      <status>unmodified</status>
      <modifiedWord/>
      <trackRevisions>false</trackRevisions>
    </reviewItem>
    <reviewItem>
      <errorID>0f075ea8-395a-47c7-9c22-e323096c97da</errorID>
      <errorWord>况</errorWord>
      <group>L1_Word</group>
      <groupName>字词问题</groupName>
      <ability>L2_Typo</ability>
      <abilityName>字词错误</abilityName>
      <candidateList>
        <item>况下</item>
      </candidateList>
      <explain/>
      <paraID>23283134</paraID>
      <start>4</start>
      <end>5</end>
      <status>unmodified</status>
      <modifiedWord/>
      <trackRevisions>false</trackRevisions>
    </reviewItem>
    <reviewItem>
      <errorID>b824c41b-2495-4136-af63-67ba366d6a91</errorID>
      <errorWord>)</errorWord>
      <group>L1_Format</group>
      <groupName>格式问题</groupName>
      <ability>L2_HalfPunc</ability>
      <abilityName>全半角检查</abilityName>
      <candidateList>
        <item>）</item>
      </candidateList>
      <explain>文本全半角错误。</explain>
      <paraID>458DED1C</paraID>
      <start>107</start>
      <end>108</end>
      <status>modified</status>
      <modifiedWord>）</modifiedWord>
      <trackRevisions>false</trackRevisions>
    </reviewItem>
    <reviewItem>
      <errorID>fce84c8a-89c2-49e2-bea4-ccca6b93cbb8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79D48397</paraID>
      <start>0</start>
      <end>2</end>
      <status>unmodified</status>
      <modifiedWord/>
      <trackRevisions>false</trackRevisions>
    </reviewItem>
    <reviewItem>
      <errorID>1226e93f-3306-4939-bb0e-596446801b9d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7DEFCE92</paraID>
      <start>0</start>
      <end>2</end>
      <status>unmodified</status>
      <modifiedWord/>
      <trackRevisions>false</trackRevisions>
    </reviewItem>
    <reviewItem>
      <errorID>d4d48254-f91f-4e9e-85dd-fbc83e3d915c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70C3616E</paraID>
      <start>0</start>
      <end>2</end>
      <status>unmodified</status>
      <modifiedWord/>
      <trackRevisions>false</trackRevisions>
    </reviewItem>
    <reviewItem>
      <errorID>3ff08e7f-7dd0-4a42-be1e-640bdf49e868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445461E3</paraID>
      <start>0</start>
      <end>2</end>
      <status>unmodified</status>
      <modifiedWord/>
      <trackRevisions>false</trackRevisions>
    </reviewItem>
    <reviewItem>
      <errorID>a7f5b318-c535-4e55-a737-cf71847a382e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FF51A5B</paraID>
      <start>0</start>
      <end>2</end>
      <status>unmodified</status>
      <modifiedWord/>
      <trackRevisions>false</trackRevisions>
    </reviewItem>
    <reviewItem>
      <errorID>b76ed953-b6b3-4d58-8a92-4d5c43a54322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1DC98B00</paraID>
      <start>0</start>
      <end>2</end>
      <status>unmodified</status>
      <modifiedWord/>
      <trackRevisions>false</trackRevisions>
    </reviewItem>
    <reviewItem>
      <errorID>3f6dd6f5-77f2-4643-9ddc-652cda6f7769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414A6A59</paraID>
      <start>0</start>
      <end>2</end>
      <status>unmodified</status>
      <modifiedWord/>
      <trackRevisions>false</trackRevisions>
    </reviewItem>
    <reviewItem>
      <errorID>bb49e3f0-60c3-4075-988c-932fcd7d82c6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3024495F</paraID>
      <start>0</start>
      <end>2</end>
      <status>unmodified</status>
      <modifiedWord/>
      <trackRevisions>false</trackRevisions>
    </reviewItem>
    <reviewItem>
      <errorID>7f650cdc-2006-49cb-9300-8077a7337b8d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5F80386A</paraID>
      <start>0</start>
      <end>2</end>
      <status>unmodified</status>
      <modifiedWord/>
      <trackRevisions>false</trackRevisions>
    </reviewItem>
    <reviewItem>
      <errorID>ad9ebdca-8df7-4204-aebf-fae8b855d3f8</errorID>
      <errorWord>符</errorWord>
      <group>L1_Word</group>
      <groupName>字词问题</groupName>
      <ability>L2_Typo</ability>
      <abilityName>字词错误</abilityName>
      <candidateList>
        <item>符合</item>
      </candidateList>
      <explain>〈动〉（数量、形状、情节等）相合：～事实｜这些产品不～质量标准。</explain>
      <paraID>37670012</paraID>
      <start>31</start>
      <end>32</end>
      <status>unmodified</status>
      <modifiedWord/>
      <trackRevisions>false</trackRevisions>
    </reviewItem>
    <reviewItem>
      <errorID>fc781bae-747f-4cce-a02f-31d83f067419</errorID>
      <errorWord>其它</errorWord>
      <group>L1_Word</group>
      <groupName>字词问题</groupName>
      <ability>L2_Alias</ability>
      <abilityName>也作/曾用词</abilityName>
      <candidateList>
        <item>其他</item>
      </candidateList>
      <explain>词汇[其它]为不规范表述或旧称，其规范书面表述为[其他]。</explain>
      <paraID>5FA8595A</paraID>
      <start>29</start>
      <end>31</end>
      <status>unmodified</status>
      <modifiedWord/>
      <trackRevisions>false</trackRevisions>
    </reviewItem>
    <reviewItem>
      <errorID>45876a40-8c2f-4050-83b3-68f5ab5199cd</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6AF48A04</paraID>
      <start>4</start>
      <end>6</end>
      <status>modified</status>
      <modifiedWord>反映</modifiedWord>
      <trackRevisions>false</trackRevisions>
    </reviewItem>
    <reviewItem>
      <errorID>8376f251-170e-46cb-b402-ff2c093e1463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2D92C2D</paraID>
      <start>0</start>
      <end>2</end>
      <status>unmodified</status>
      <modifiedWord/>
      <trackRevisions>false</trackRevisions>
    </reviewItem>
    <reviewItem>
      <errorID>cf44e831-8b20-45a5-af51-8784ff44df97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7B0EA0EF</paraID>
      <start>0</start>
      <end>2</end>
      <status>unmodified</status>
      <modifiedWord/>
      <trackRevisions>false</trackRevisions>
    </reviewItem>
    <reviewItem>
      <errorID>bc6d335e-cbad-4423-aa0b-3256cfb4ae6e</errorID>
      <errorWord>,</errorWord>
      <group>L1_Format</group>
      <groupName>格式问题</groupName>
      <ability>L2_HalfPunc</ability>
      <abilityName>全半角检查</abilityName>
      <candidateList>
        <item>，</item>
      </candidateList>
      <explain>文本全半角错误。</explain>
      <paraID>55D74C49</paraID>
      <start>13</start>
      <end>14</end>
      <status>modified</status>
      <modifiedWord>，</modifiedWord>
      <trackRevisions>false</trackRevisions>
    </reviewItem>
    <reviewItem>
      <errorID>31c381a9-050d-40b7-ab98-1316284c079c</errorID>
      <errorWord>;</errorWord>
      <group>L1_Format</group>
      <groupName>格式问题</groupName>
      <ability>L2_HalfPunc</ability>
      <abilityName>全半角检查</abilityName>
      <candidateList>
        <item>；</item>
      </candidateList>
      <explain>文本全半角错误。</explain>
      <paraID>55D74C49</paraID>
      <start>21</start>
      <end>22</end>
      <status>modified</status>
      <modifiedWord>；</modifiedWord>
      <trackRevisions>false</trackRevisions>
    </reviewItem>
    <reviewItem>
      <errorID>38ef7f19-ee9e-4307-b015-5d8d26b17354</errorID>
      <errorWord>等</errorWord>
      <group>L1_Word</group>
      <groupName>字词问题</groupName>
      <ability>L2_Typo</ability>
      <abilityName>字词错误</abilityName>
      <candidateList>
        <item>的</item>
      </candidateList>
      <explain>“的”常用于连接修饰语与名词性中心语，表示属性、所属或描述。</explain>
      <paraID>55D74C49</paraID>
      <start>39</start>
      <end>40</end>
      <status>unmodified</status>
      <modifiedWord/>
      <trackRevisions>false</trackRevisions>
    </reviewItem>
    <reviewItem>
      <errorID>7ebbff47-121e-4998-aad0-32f8a825f1ca</errorID>
      <errorWord>;</errorWord>
      <group>L1_Format</group>
      <groupName>格式问题</groupName>
      <ability>L2_HalfPunc</ability>
      <abilityName>全半角检查</abilityName>
      <candidateList>
        <item>；</item>
      </candidateList>
      <explain>文本全半角错误。</explain>
      <paraID>55D74C49</paraID>
      <start>54</start>
      <end>55</end>
      <status>modified</status>
      <modifiedWord>；</modifiedWord>
      <trackRevisions>false</trackRevisions>
    </reviewItem>
    <reviewItem>
      <errorID>bdcb7df7-ef24-4123-826b-a11cd8ee96f1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28F643B4</paraID>
      <start>0</start>
      <end>2</end>
      <status>unmodified</status>
      <modifiedWord/>
      <trackRevisions>false</trackRevisions>
    </reviewItem>
    <reviewItem>
      <errorID>9945869f-cd4b-489d-8f3d-c43e31ef88f4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7C905D57</paraID>
      <start>0</start>
      <end>2</end>
      <status>unmodified</status>
      <modifiedWord/>
      <trackRevisions>false</trackRevisions>
    </reviewItem>
    <reviewItem>
      <errorID>bca56218-78cf-4f23-b13d-191f7303e91c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362F4453</paraID>
      <start>0</start>
      <end>2</end>
      <status>unmodified</status>
      <modifiedWord/>
      <trackRevisions>false</trackRevisions>
    </reviewItem>
    <reviewItem>
      <errorID>2b4413e0-dbd2-4a55-a45d-53662406b324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C0619AE</paraID>
      <start>0</start>
      <end>2</end>
      <status>unmodified</status>
      <modifiedWord/>
      <trackRevisions>false</trackRevisions>
    </reviewItem>
    <reviewItem>
      <errorID>6f1bc812-1f68-4b46-8130-7115f38d1326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326246D7</paraID>
      <start>0</start>
      <end>2</end>
      <status>unmodified</status>
      <modifiedWord/>
      <trackRevisions>false</trackRevisions>
    </reviewItem>
    <reviewItem>
      <errorID>53a9e140-de50-4c88-a2b8-3446c712cc53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60A8B4B4</paraID>
      <start>0</start>
      <end>2</end>
      <status>unmodified</status>
      <modifiedWord/>
      <trackRevisions>false</trackRevisions>
    </reviewItem>
    <reviewItem>
      <errorID>6b4f6bee-5ffd-4da7-8559-9dbe7ccb60b1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7B1A17F7</paraID>
      <start>0</start>
      <end>2</end>
      <status>unmodified</status>
      <modifiedWord/>
      <trackRevisions>false</trackRevisions>
    </reviewItem>
    <reviewItem>
      <errorID>42c7628a-5bb6-4307-a366-6c4f005a6d70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75F5E3CE</paraID>
      <start>0</start>
      <end>2</end>
      <status>unmodified</status>
      <modifiedWord/>
      <trackRevisions>false</trackRevisions>
    </reviewItem>
    <reviewItem>
      <errorID>ab691e80-d57a-41c2-9775-dc35b477a79d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771168D3</paraID>
      <start>0</start>
      <end>2</end>
      <status>unmodified</status>
      <modifiedWord/>
      <trackRevisions>false</trackRevisions>
    </reviewItem>
    <reviewItem>
      <errorID>2cd76ddd-ac23-4703-9f9a-a4a615e4b22e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2921AD70</paraID>
      <start>0</start>
      <end>2</end>
      <status>unmodified</status>
      <modifiedWord/>
      <trackRevisions>false</trackRevisions>
    </reviewItem>
    <reviewItem>
      <errorID>11bcc998-7f93-456d-90a1-9b3d9c325299</errorID>
      <errorWord>(</errorWord>
      <group>L1_Format</group>
      <groupName>格式问题</groupName>
      <ability>L2_HalfPunc</ability>
      <abilityName>全半角检查</abilityName>
      <candidateList>
        <item>（</item>
      </candidateList>
      <explain>文本全半角错误。</explain>
      <paraID>15F955B4</paraID>
      <start>26</start>
      <end>27</end>
      <status>modified</status>
      <modifiedWord>（</modifiedWord>
      <trackRevisions>false</trackRevisions>
    </reviewItem>
    <reviewItem>
      <errorID>ba88341b-709f-470d-b38e-98d0d136f757</errorID>
      <errorWord>)</errorWord>
      <group>L1_Format</group>
      <groupName>格式问题</groupName>
      <ability>L2_HalfPunc</ability>
      <abilityName>全半角检查</abilityName>
      <candidateList>
        <item>）</item>
      </candidateList>
      <explain>文本全半角错误。</explain>
      <paraID>15F955B4</paraID>
      <start>75</start>
      <end>76</end>
      <status>modified</status>
      <modifiedWord>）</modifiedWord>
      <trackRevisions>false</trackRevisions>
    </reviewItem>
    <reviewItem>
      <errorID>52858075-e956-47b0-bd31-96de6eb7b4c8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174E0AD1</paraID>
      <start>0</start>
      <end>2</end>
      <status>unmodified</status>
      <modifiedWord/>
      <trackRevisions>false</trackRevisions>
    </reviewItem>
    <reviewItem>
      <errorID>8eebe1aa-f3c9-4088-a8ae-5f580b32ed0a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79b25730-a798-4718-b8e9-26085fae9fcb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ef62860c-ad23-4987-9740-6c64f1cba174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703af9da-9ec3-4637-8143-a5e53b672e3e</errorID>
      <errorWord>(</errorWord>
      <group>L1_Format</group>
      <groupName>格式问题</groupName>
      <ability>L2_HalfPunc</ability>
      <abilityName>全半角检查</abilityName>
      <candidateList>
        <item>（</item>
      </candidateList>
      <explain>文本全半角错误。</explain>
      <paraID>734F155E</paraID>
      <start>36</start>
      <end>37</end>
      <status>modified</status>
      <modifiedWord>（</modifiedWord>
      <trackRevisions>false</trackRevisions>
    </reviewItem>
    <reviewItem>
      <errorID>a6c7d6db-ec3e-429d-b45f-cc7713c8a068</errorID>
      <errorWord>)</errorWord>
      <group>L1_Format</group>
      <groupName>格式问题</groupName>
      <ability>L2_HalfPunc</ability>
      <abilityName>全半角检查</abilityName>
      <candidateList>
        <item>）</item>
      </candidateList>
      <explain>文本全半角错误。</explain>
      <paraID>734F155E</paraID>
      <start>46</start>
      <end>47</end>
      <status>modified</status>
      <modifiedWord>）</modifiedWord>
      <trackRevisions>false</trackRevisions>
    </reviewItem>
    <reviewItem>
      <errorID>da06b2b8-6b9a-4e63-ab8b-759118a537e6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a7622eb3-d088-414b-94e9-7269261e64c7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9cfc6a99-c6ec-45d6-b5ee-102d38b34c0e</errorID>
      <errorWord>,</errorWord>
      <group>L1_Format</group>
      <groupName>格式问题</groupName>
      <ability>L2_HalfPunc</ability>
      <abilityName>全半角检查</abilityName>
      <candidateList>
        <item>，</item>
      </candidateList>
      <explain>文本全半角错误。</explain>
      <paraID> 18A8531</paraID>
      <start>24</start>
      <end>25</end>
      <status>modified</status>
      <modifiedWord>，</modifiedWord>
      <trackRevisions>false</trackRevisions>
    </reviewItem>
    <reviewItem>
      <errorID>20060a52-6557-4e99-8990-8d06ea3409e8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7442AAC9</paraID>
      <start>0</start>
      <end>2</end>
      <status>unmodified</status>
      <modifiedWord/>
      <trackRevisions>false</trackRevisions>
    </reviewItem>
    <reviewItem>
      <errorID>25140ca4-e14f-4926-ac90-62707dcc7043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448e7d56-f9f9-4809-bb85-95e2649819ca</errorID>
      <errorWord>(</errorWord>
      <group>L1_Format</group>
      <groupName>格式问题</groupName>
      <ability>L2_HalfPunc</ability>
      <abilityName>全半角检查</abilityName>
      <candidateList>
        <item>（</item>
      </candidateList>
      <explain>文本全半角错误。</explain>
      <paraID>795098B7</paraID>
      <start>120</start>
      <end>121</end>
      <status>modified</status>
      <modifiedWord>（</modifiedWord>
      <trackRevisions>false</trackRevisions>
    </reviewItem>
    <reviewItem>
      <errorID>6276fdc4-f5fd-448b-a10c-f1cf8d30c2e2</errorID>
      <errorWord>)</errorWord>
      <group>L1_Format</group>
      <groupName>格式问题</groupName>
      <ability>L2_HalfPunc</ability>
      <abilityName>全半角检查</abilityName>
      <candidateList>
        <item>）</item>
      </candidateList>
      <explain>文本全半角错误。</explain>
      <paraID>795098B7</paraID>
      <start>158</start>
      <end>159</end>
      <status>modified</status>
      <modifiedWord>）</modifiedWord>
      <trackRevisions>false</trackRevisions>
    </reviewItem>
    <reviewItem>
      <errorID>c531194e-a2cd-4649-a189-281cc2b1bf8d</errorID>
      <errorWord>(</errorWord>
      <group>L1_Format</group>
      <groupName>格式问题</groupName>
      <ability>L2_HalfPunc</ability>
      <abilityName>全半角检查</abilityName>
      <candidateList>
        <item>（</item>
      </candidateList>
      <explain>文本全半角错误。</explain>
      <paraID>7C45FD3D</paraID>
      <start>38</start>
      <end>39</end>
      <status>modified</status>
      <modifiedWord>（</modifiedWord>
      <trackRevisions>false</trackRevisions>
    </reviewItem>
    <reviewItem>
      <errorID>03c8769b-12cf-4471-9673-4d36374d5f77</errorID>
      <errorWord>)</errorWord>
      <group>L1_Format</group>
      <groupName>格式问题</groupName>
      <ability>L2_HalfPunc</ability>
      <abilityName>全半角检查</abilityName>
      <candidateList>
        <item>）</item>
      </candidateList>
      <explain>文本全半角错误。</explain>
      <paraID>7C45FD3D</paraID>
      <start>49</start>
      <end>50</end>
      <status>modified</status>
      <modifiedWord>）</modifiedWord>
      <trackRevisions>false</trackRevisions>
    </reviewItem>
    <reviewItem>
      <errorID>60ce55cd-2b06-4083-b8c5-ff9919cfe397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50C2EFC2</paraID>
      <start>0</start>
      <end>2</end>
      <status>unmodified</status>
      <modifiedWord/>
      <trackRevisions>false</trackRevisions>
    </reviewItem>
    <reviewItem>
      <errorID>0286b99d-fafd-41b8-af92-ca0ed0f3b587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51F9841C</paraID>
      <start>0</start>
      <end>2</end>
      <status>unmodified</status>
      <modifiedWord/>
      <trackRevisions>false</trackRevisions>
    </reviewItem>
    <reviewItem>
      <errorID>49628e33-f978-48c1-a3bd-6771f36d7087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371C60BE</paraID>
      <start>0</start>
      <end>2</end>
      <status>unmodified</status>
      <modifiedWord/>
      <trackRevisions>false</trackRevisions>
    </reviewItem>
    <reviewItem>
      <errorID>9d518836-5acf-49d2-9ffd-0f1fbf56bc68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551A9451</paraID>
      <start>0</start>
      <end>2</end>
      <status>unmodified</status>
      <modifiedWord/>
      <trackRevisions>false</trackRevisions>
    </reviewItem>
    <reviewItem>
      <errorID>4166c98d-085f-466b-aca3-88acba5ebb91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59774D5A</paraID>
      <start>0</start>
      <end>2</end>
      <status>unmodified</status>
      <modifiedWord/>
      <trackRevisions>false</trackRevisions>
    </reviewItem>
    <reviewItem>
      <errorID>ba2c4d74-98b1-49c7-9162-80460e1b6b96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2D38079F</paraID>
      <start>0</start>
      <end>2</end>
      <status>unmodified</status>
      <modifiedWord/>
      <trackRevisions>false</trackRevisions>
    </reviewItem>
    <reviewItem>
      <errorID>e6465738-6847-4930-a666-03708ccbb492</errorID>
      <errorWord>(</errorWord>
      <group>L1_Format</group>
      <groupName>格式问题</groupName>
      <ability>L2_HalfPunc</ability>
      <abilityName>全半角检查</abilityName>
      <candidateList>
        <item>（</item>
      </candidateList>
      <explain>文本全半角错误。</explain>
      <paraID>2D38079F</paraID>
      <start>67</start>
      <end>68</end>
      <status>modified</status>
      <modifiedWord>（</modifiedWord>
      <trackRevisions>false</trackRevisions>
    </reviewItem>
    <reviewItem>
      <errorID>361b25b2-d9cc-41f5-a9d1-636de8b80750</errorID>
      <errorWord>)</errorWord>
      <group>L1_Format</group>
      <groupName>格式问题</groupName>
      <ability>L2_HalfPunc</ability>
      <abilityName>全半角检查</abilityName>
      <candidateList>
        <item>）</item>
      </candidateList>
      <explain>文本全半角错误。</explain>
      <paraID>2D38079F</paraID>
      <start>74</start>
      <end>75</end>
      <status>modified</status>
      <modifiedWord>）</modifiedWord>
      <trackRevisions>false</trackRevisions>
    </reviewItem>
    <reviewItem>
      <errorID>911a921a-e182-4cf7-a273-20b20c79667d</errorID>
      <errorWord>(</errorWord>
      <group>L1_Format</group>
      <groupName>格式问题</groupName>
      <ability>L2_HalfPunc</ability>
      <abilityName>全半角检查</abilityName>
      <candidateList>
        <item>（</item>
      </candidateList>
      <explain>文本全半角错误。</explain>
      <paraID>2D38079F</paraID>
      <start>126</start>
      <end>127</end>
      <status>modified</status>
      <modifiedWord>（</modifiedWord>
      <trackRevisions>false</trackRevisions>
    </reviewItem>
    <reviewItem>
      <errorID>30163e71-5ec6-44ec-b687-351fe1995156</errorID>
      <errorWord>,</errorWord>
      <group>L1_Format</group>
      <groupName>格式问题</groupName>
      <ability>L2_HalfPunc</ability>
      <abilityName>全半角检查</abilityName>
      <candidateList>
        <item>，</item>
      </candidateList>
      <explain>文本全半角错误。</explain>
      <paraID>2D38079F</paraID>
      <start>146</start>
      <end>147</end>
      <status>modified</status>
      <modifiedWord>，</modifiedWord>
      <trackRevisions>false</trackRevisions>
    </reviewItem>
    <reviewItem>
      <errorID>0a7519e7-517a-47c1-a536-4eade77c462a</errorID>
      <errorWord>)</errorWord>
      <group>L1_Format</group>
      <groupName>格式问题</groupName>
      <ability>L2_HalfPunc</ability>
      <abilityName>全半角检查</abilityName>
      <candidateList>
        <item>）</item>
      </candidateList>
      <explain>文本全半角错误。</explain>
      <paraID>2D38079F</paraID>
      <start>169</start>
      <end>170</end>
      <status>modified</status>
      <modifiedWord>）</modifiedWord>
      <trackRevisions>false</trackRevisions>
    </reviewItem>
    <reviewItem>
      <errorID>c5ba1af4-e149-403e-92db-8bf2e0a0c3d6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3B476F53</paraID>
      <start>0</start>
      <end>2</end>
      <status>unmodified</status>
      <modifiedWord/>
      <trackRevisions>false</trackRevisions>
    </reviewItem>
    <reviewItem>
      <errorID>63ecb3d9-133d-4ae0-865c-adee61c043f7</errorID>
      <errorWord>(</errorWord>
      <group>L1_Format</group>
      <groupName>格式问题</groupName>
      <ability>L2_HalfPunc</ability>
      <abilityName>全半角检查</abilityName>
      <candidateList>
        <item>（</item>
      </candidateList>
      <explain>文本全半角错误。</explain>
      <paraID>6635E3CD</paraID>
      <start>21</start>
      <end>22</end>
      <status>modified</status>
      <modifiedWord>（</modifiedWord>
      <trackRevisions>false</trackRevisions>
    </reviewItem>
    <reviewItem>
      <errorID>3a674d47-bd88-4785-9b18-2bd750a5512f</errorID>
      <errorWord>)</errorWord>
      <group>L1_Format</group>
      <groupName>格式问题</groupName>
      <ability>L2_HalfPunc</ability>
      <abilityName>全半角检查</abilityName>
      <candidateList>
        <item>）</item>
      </candidateList>
      <explain>文本全半角错误。</explain>
      <paraID>6635E3CD</paraID>
      <start>70</start>
      <end>71</end>
      <status>modified</status>
      <modifiedWord>）</modifiedWord>
      <trackRevisions>false</trackRevisions>
    </reviewItem>
    <reviewItem>
      <errorID>4fbe92f1-7d0b-424b-982a-d7a191cee982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71B85B34</paraID>
      <start>0</start>
      <end>2</end>
      <status>unmodified</status>
      <modifiedWord/>
      <trackRevisions>false</trackRevisions>
    </reviewItem>
    <reviewItem>
      <errorID>4a8e589e-c76d-4a7d-bf30-13738ea61276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688CB81E</paraID>
      <start>0</start>
      <end>2</end>
      <status>unmodified</status>
      <modifiedWord/>
      <trackRevisions>false</trackRevisions>
    </reviewItem>
    <reviewItem>
      <errorID>4b773f88-750c-47fc-babc-6abea93a3c08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7628968E</paraID>
      <start>0</start>
      <end>2</end>
      <status>unmodified</status>
      <modifiedWord/>
      <trackRevisions>false</trackRevisions>
    </reviewItem>
    <reviewItem>
      <errorID>1e9e3eaa-fd87-4dc2-b2e4-d2f99ee16770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555DF28F</paraID>
      <start>0</start>
      <end>2</end>
      <status>unmodified</status>
      <modifiedWord/>
      <trackRevisions>false</trackRevisions>
    </reviewItem>
    <reviewItem>
      <errorID>2b4be1ca-8313-4779-8a29-2414d5e8b994</errorID>
      <errorWord>（</errorWord>
      <group>L1_Word</group>
      <groupName>字词问题</groupName>
      <ability>L2_Typo</ability>
      <abilityName>字词错误</abilityName>
      <candidateList>
        <item>（在</item>
      </candidateList>
      <explain/>
      <paraID>55EEC29B</paraID>
      <start>44</start>
      <end>45</end>
      <status>unmodified</status>
      <modifiedWord/>
      <trackRevisions>false</trackRevisions>
    </reviewItem>
    <reviewItem>
      <errorID>f2314a3c-284c-44cc-87a4-0b7eb3078717</errorID>
      <errorWord>(</errorWord>
      <group>L1_Format</group>
      <groupName>格式问题</groupName>
      <ability>L2_HalfPunc</ability>
      <abilityName>全半角检查</abilityName>
      <candidateList>
        <item>（</item>
      </candidateList>
      <explain>文本全半角错误。</explain>
      <paraID>37DC6F17</paraID>
      <start>8</start>
      <end>9</end>
      <status>modified</status>
      <modifiedWord>（</modifiedWord>
      <trackRevisions>false</trackRevisions>
    </reviewItem>
    <reviewItem>
      <errorID>3e5a9ece-de9a-4b19-a070-c9d107c7b9d8</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5A31D338</paraID>
      <start>109</start>
      <end>113</end>
      <status>unmodified</status>
      <modifiedWord/>
      <trackRevisions>false</trackRevisions>
    </reviewItem>
    <reviewItem>
      <errorID>6cb235bd-e9fb-4c24-b233-714cb4aba154</errorID>
      <errorWord>(</errorWord>
      <group>L1_Format</group>
      <groupName>格式问题</groupName>
      <ability>L2_HalfPunc</ability>
      <abilityName>全半角检查</abilityName>
      <candidateList>
        <item>（</item>
      </candidateList>
      <explain>文本全半角错误。</explain>
      <paraID>33CD8E3F</paraID>
      <start>41</start>
      <end>42</end>
      <status>modified</status>
      <modifiedWord>（</modifiedWord>
      <trackRevisions>false</trackRevisions>
    </reviewItem>
    <reviewItem>
      <errorID>365a4129-65e3-455d-a564-8a79357647d5</errorID>
      <errorWord>)</errorWord>
      <group>L1_Format</group>
      <groupName>格式问题</groupName>
      <ability>L2_HalfPunc</ability>
      <abilityName>全半角检查</abilityName>
      <candidateList>
        <item>）</item>
      </candidateList>
      <explain>文本全半角错误。</explain>
      <paraID>33CD8E3F</paraID>
      <start>44</start>
      <end>45</end>
      <status>modified</status>
      <modifiedWord>）</modifiedWord>
      <trackRevisions>false</trackRevisions>
    </reviewItem>
    <reviewItem>
      <errorID>1a0aada7-7801-4384-8db3-83111c16ca2d</errorID>
      <errorWord>间</errorWord>
      <group>L1_Word</group>
      <groupName>字词问题</groupName>
      <ability>L2_Typo</ability>
      <abilityName>字词错误</abilityName>
      <candidateList>
        <item>间内</item>
      </candidateList>
      <explain/>
      <paraID>74C3380C</paraID>
      <start>47</start>
      <end>48</end>
      <status>unmodified</status>
      <modifiedWord/>
      <trackRevisions>false</trackRevisions>
    </reviewItem>
    <reviewItem>
      <errorID>e8fca833-1e66-481e-a18e-decf76c5a280</errorID>
      <errorWord>。</errorWord>
      <group>L1_Format</group>
      <groupName>格式问题</groupName>
      <ability>L2_HalfPunc</ability>
      <abilityName>全半角检查</abilityName>
      <candidateList>
        <item>.</item>
      </candidateList>
      <explain>文本全半角错误。</explain>
      <paraID>6143D4CB</paraID>
      <start>7</start>
      <end>8</end>
      <status>unmodified</status>
      <modifiedWord/>
      <trackRevisions>false</trackRevisions>
    </reviewItem>
    <reviewItem>
      <errorID>ef028f36-b4ca-4b50-ac05-fa7fcb9486b5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334AAC77</paraID>
      <start>0</start>
      <end>2</end>
      <status>unmodified</status>
      <modifiedWord/>
      <trackRevisions>false</trackRevisions>
    </reviewItem>
    <reviewItem>
      <errorID>f85e506a-546f-4e4e-abb0-7002ed25f313</errorID>
      <errorWord>法律、法规</errorWord>
      <group>L1_Word</group>
      <groupName>字词问题</groupName>
      <ability>L2_Typo</ability>
      <abilityName>字词错误</abilityName>
      <candidateList>
        <item>法律法规</item>
      </candidateList>
      <explain/>
      <paraID>21CB3106</paraID>
      <start>20</start>
      <end>25</end>
      <status>unmodified</status>
      <modifiedWord/>
      <trackRevisions>false</trackRevisions>
    </reviewItem>
    <reviewItem>
      <errorID>c3e5bcf1-4bd0-473f-a35b-f9755906c8cc</errorID>
      <errorWord>作</errorWord>
      <group>L1_Word</group>
      <groupName>字词问题</groupName>
      <ability>L2_Typo</ability>
      <abilityName>字词错误</abilityName>
      <candidateList>
        <item>做</item>
      </candidateList>
      <explain>存在发音相同字词的误用。</explain>
      <paraID>2A72221F</paraID>
      <start>23</start>
      <end>24</end>
      <status>unmodified</status>
      <modifiedWord/>
      <trackRevisions>false</trackRevisions>
    </reviewItem>
    <reviewItem>
      <errorID>87f508dd-c026-457d-b5ca-de3901ccd45a</errorID>
      <errorWord>(</errorWord>
      <group>L1_Format</group>
      <groupName>格式问题</groupName>
      <ability>L2_HalfPunc</ability>
      <abilityName>全半角检查</abilityName>
      <candidateList>
        <item>（</item>
      </candidateList>
      <explain>文本全半角错误。</explain>
      <paraID> E62018D</paraID>
      <start>2</start>
      <end>3</end>
      <status>modified</status>
      <modifiedWord>（</modifiedWord>
      <trackRevisions>false</trackRevisions>
    </reviewItem>
    <reviewItem>
      <errorID>9eaf0cb7-eb67-4c4a-adc2-5faa3f143eae</errorID>
      <errorWord>)</errorWord>
      <group>L1_Format</group>
      <groupName>格式问题</groupName>
      <ability>L2_HalfPunc</ability>
      <abilityName>全半角检查</abilityName>
      <candidateList>
        <item>）</item>
      </candidateList>
      <explain>文本全半角错误。</explain>
      <paraID> E62018D</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6CA19F-FD3E-478F-8D33-D7B33DEB0E5C}"/>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273</cp:revision>
  <dcterms:created xsi:type="dcterms:W3CDTF">2014-10-29T12:08:00Z</dcterms:created>
  <dcterms:modified xsi:type="dcterms:W3CDTF">2026-04-09T02:24:07Z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803A3B1F5580470F86837A55C3D86243_13</vt:lpwstr>
  </property>
  <property fmtid="{D5CDD505-2E9C-101B-9397-08002B2CF9AE}" pid="4" name="KSOTemplateDocerSaveRecord">
    <vt:lpwstr>eyJoZGlkIjoiMzkzOGU5NzBjOGYwNGQ5NTM3OTRkYjk1MzkxZTk1YjkiLCJ1c2VySWQiOiIxMDA3NjMzOSJ9</vt:lpwstr>
  </property>
</Properties>
</file>