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sz w:val="20"/>
          <w:szCs w:val="20"/>
          <w:highlight w:val="none"/>
        </w:rPr>
      </w:pPr>
      <w:r/>
      <w:bookmarkStart w:id="0" w:name="EBecaa0fa8a3034511a17880192c07d5d6"/>
      <w:r/>
      <w:bookmarkEnd w:id="0"/>
      <w:r/>
      <w:bookmarkStart w:id="1" w:name="EB9794f1daad274a9b85f307e8b60057cd"/>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bookmarkEnd w:id="1"/>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t xml:space="preserve">磋   商  文   件</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JSZC-321192-CSDL-C2026-0006</w:t>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姚桥镇农村生活污水处理设施运维服务</w:t>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江苏初始建设项目管理有限公司</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szCs w:val="36"/>
          <w:highlight w:val="none"/>
        </w:rPr>
      </w:pPr>
      <w:r/>
      <w:bookmarkStart w:id="2" w:name="EBe098a072a19f453e8556e008bace2ce7"/>
      <w:r>
        <w:rPr>
          <w:rFonts w:hint="eastAsia" w:ascii="仿宋" w:hAnsi="仿宋" w:eastAsia="仿宋" w:cs="仿宋"/>
          <w:b/>
          <w:color w:val="auto"/>
          <w:sz w:val="36"/>
          <w:szCs w:val="36"/>
          <w:highlight w:val="none"/>
        </w:rPr>
        <w:t xml:space="preserve">202</w:t>
      </w:r>
      <w:bookmarkEnd w:id="2"/>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月</w:t>
      </w:r>
      <w:bookmarkStart w:id="3" w:name="EB3b9a7b39d96b4fa5a1ca6e66d21db5c3"/>
      <w:r/>
      <w:bookmarkEnd w:id="3"/>
      <w:r>
        <w:rPr>
          <w:rFonts w:hint="eastAsia" w:ascii="仿宋" w:hAnsi="仿宋" w:eastAsia="仿宋" w:cs="仿宋"/>
          <w:b/>
          <w:color w:val="auto"/>
          <w:sz w:val="36"/>
          <w:szCs w:val="36"/>
          <w:highlight w:val="none"/>
          <w:lang w:val="en-US" w:eastAsia="zh-CN"/>
        </w:rPr>
        <w:t xml:space="preserve">16</w:t>
      </w:r>
      <w:r>
        <w:rPr>
          <w:rFonts w:hint="eastAsia" w:ascii="仿宋" w:hAnsi="仿宋" w:eastAsia="仿宋" w:cs="仿宋"/>
          <w:b/>
          <w:color w:val="auto"/>
          <w:sz w:val="36"/>
          <w:szCs w:val="36"/>
          <w:highlight w:val="none"/>
        </w:rPr>
        <w:t xml:space="preserve">日</w:t>
      </w:r>
      <w:r/>
    </w:p>
    <w:p>
      <w:pPr>
        <w:jc w:val="center"/>
        <w:pageBreakBefore/>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磋商文件目录</w:t>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b w:val="0"/>
          <w:bCs w:val="0"/>
          <w:caps w:val="0"/>
          <w:color w:val="auto"/>
          <w:highlight w:val="none"/>
        </w:rPr>
        <w:fldChar w:fldCharType="begin"/>
      </w:r>
      <w:r>
        <w:rPr>
          <w:rFonts w:hint="eastAsia" w:ascii="仿宋" w:hAnsi="仿宋" w:eastAsia="仿宋" w:cs="仿宋"/>
          <w:b w:val="0"/>
          <w:bCs w:val="0"/>
          <w:caps w:val="0"/>
          <w:color w:val="auto"/>
          <w:highlight w:val="none"/>
        </w:rPr>
        <w:instrText xml:space="preserve"> TOC \o "1-3" \h \z \u </w:instrText>
      </w:r>
      <w:r>
        <w:rPr>
          <w:rFonts w:hint="eastAsia" w:ascii="仿宋" w:hAnsi="仿宋" w:eastAsia="仿宋" w:cs="仿宋"/>
          <w:b w:val="0"/>
          <w:bCs w:val="0"/>
          <w:caps w:val="0"/>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"_Toc142925610" \o "#_Toc142925610"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第一部分磋商邀请</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"_Toc142925611" \o "#_Toc142925611"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"_Toc142925612" \o "#_Toc142925612"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二、申请人的资格要求：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"_Toc142925613" \o "#_Toc142925613"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三、获取磋商文件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5</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"_Toc142925614" \o "#_Toc142925614"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四、首次响应文件提交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"_Toc142925615" \o "#_Toc142925615"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"_Toc142925616" \o "#_Toc142925616"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六、公告期限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"_Toc142925617" \o "#_Toc142925617"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七、其他补充事宜</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"_Toc142925618" \o "#_Toc142925618"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八、对本次磋商提出询问，请按以下方式联系。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rPr>
        <w:t xml:space="preserve">8</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"_Toc142925619" \o "#_Toc142925619"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第二部分供应商须知</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"_Toc142925620" \o "#_Toc142925620"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一、总则</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"_Toc142925621" \o "#_Toc142925621"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1．适用范围</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"_Toc142925622" \o "#_Toc142925622"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2．定义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"_Toc142925623" \o "#_Toc142925623"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3．本次采购方式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"_Toc142925624" \o "#_Toc142925624"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4．磋商费用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"_Toc142925625" \o "#_Toc142925625"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5．政策功能</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10</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"_Toc142925626" \o "#_Toc142925626"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二、磋商文件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"_Toc142925627" \o "#_Toc142925627"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6．磋商文件组成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"_Toc142925628" \o "#_Toc142925628"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7．磋商文件的澄清和修改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"_Toc142925629" \o "#_Toc142925629"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三、磋商响应文件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"_Toc142925630" \o "#_Toc142925630"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8．编制响应文件的工具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"_Toc142925631" \o "#_Toc142925631"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9．响应文件语言及度量衡单位</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"_Toc142925632" \o "#_Toc142925632"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10．响应文件的构成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2</w:t>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"_Toc142925633" \o "#_Toc142925633"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11．响应文件的编写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"_Toc142925634" \o "#_Toc142925634"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12．响应报价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"_Toc142925635" \o "#_Toc142925635"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13．磋商保证金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"_Toc142925636" \o "#_Toc142925636"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14．磋商响应有效期</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"_Toc142925637" \o "#_Toc142925637"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15. 响应文件的式样和签署</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"_Toc142925638" \o "#_Toc142925638"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16．响应文件的提交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"_Toc142925639" \o "#_Toc142925639"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17．响应文件的补充、修改或者撤回</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"_Toc142925640" \o "#_Toc142925640"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四、磋商与评审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"_Toc142925641" \o "#_Toc142925641"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18．磋商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"_Toc142925642" \o "#_Toc142925642"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19．磋商小组组成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"_Toc142925643" \o "#_Toc142925643"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20．无效磋商的情形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"_Toc142925644" \o "#_Toc142925644"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21．串通磋商的情形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"_Toc142925645" \o "#_Toc142925645"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22．响应文件的澄清</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"_Toc142925646" \o "#_Toc142925646"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23．磋商内容</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"_Toc142925647" \o "#_Toc142925647"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24．最后报价的提交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"_Toc142925648" \o "#_Toc142925648"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25．竞争性磋商特殊情况处理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"_Toc142925649" \o "#_Toc142925649"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五、确定成交结果</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"_Toc142925650" \o "#_Toc142925650"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26．确定成交供应商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"_Toc142925651" \o "#_Toc142925651"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六、授予合同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"_Toc142925652" \o "#_Toc142925652"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27．磋商组织方接受和拒绝任何或所有响应的权利</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"_Toc142925653" \o "#_Toc142925653"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28．成交通知书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"_Toc142925654" \o "#_Toc142925654"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29．签订合同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"_Toc142925655" \o "#_Toc142925655"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30．履约保证金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"_Toc142925656" \o "#_Toc142925656"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七、询问、质疑、投诉</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"_Toc142925657" \o "#_Toc142925657"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31．询问</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"_Toc142925658" \o "#_Toc142925658"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32．质疑</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"_Toc142925659" \o "#_Toc142925659"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33．投诉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"_Toc142925660" \o "#_Toc142925660"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八、诚实信用和解释权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"_Toc142925661" \o "#_Toc142925661"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34．诚实信用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"_Toc142925662" \o "#_Toc142925662"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35．解释权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45"/>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"_Toc142925663" \o "#_Toc142925663"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36．适用法律及约束力</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"_Toc142925664" \o "#_Toc142925664"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九、苏采云操作其他补充事项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"_Toc142925665" \o "#_Toc142925665" </w:instrText>
      </w:r>
      <w:r>
        <w:rPr>
          <w:rFonts w:hint="eastAsia" w:ascii="仿宋" w:hAnsi="仿宋" w:eastAsia="仿宋" w:cs="仿宋"/>
          <w:color w:val="auto"/>
          <w:highlight w:val="none"/>
        </w:rPr>
        <w:fldChar w:fldCharType="separate"/>
      </w:r>
      <w:r>
        <w:rPr>
          <w:rStyle w:val="770"/>
          <w:rFonts w:hint="eastAsia" w:ascii="仿宋" w:hAnsi="仿宋" w:eastAsia="仿宋" w:cs="仿宋"/>
          <w:b/>
          <w:bCs/>
          <w:color w:val="auto"/>
          <w:highlight w:val="none"/>
        </w:rPr>
        <w:t xml:space="preserve">37.苏采云系统要求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"_Toc142925666" \o "#_Toc142925666"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第三部分合同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23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"_Toc142925667" \o "#_Toc142925667"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第四部分采购需求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"_Toc142925668" \o "#_Toc142925668"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第五部分磋商及评审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"_Toc142925669" \o "#_Toc142925669"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1．磋商小组职责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"_Toc142925670" \o "#_Toc142925670"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2．磋商及评审程序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"_Toc142925671" \o "#_Toc142925671"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3．供应商资格审查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"_Toc142925672" \o "#_Toc142925672"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4．磋商响应文件的有效性、完整性和响应程度审查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"_Toc142925673" \o "#_Toc142925673"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5．磋商记录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"_Toc142925674" \o "#_Toc142925674"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6．综合评分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60"/>
        <w:ind w:left="420"/>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"_Toc142925675" \o "#_Toc142925675"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7．推荐成交供应商</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41</w:t>
      </w:r>
      <w:r>
        <w:rPr>
          <w:rFonts w:hint="eastAsia" w:ascii="仿宋" w:hAnsi="仿宋" w:eastAsia="仿宋" w:cs="仿宋"/>
          <w:color w:val="auto"/>
          <w:highlight w:val="none"/>
        </w:rPr>
        <w:fldChar w:fldCharType="end"/>
      </w:r>
      <w:r/>
    </w:p>
    <w:p>
      <w:pPr>
        <w:pStyle w:val="753"/>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"_Toc142925676" \o "#_Toc142925676" </w:instrText>
      </w:r>
      <w:r>
        <w:rPr>
          <w:rFonts w:hint="eastAsia" w:ascii="仿宋" w:hAnsi="仿宋" w:eastAsia="仿宋" w:cs="仿宋"/>
          <w:color w:val="auto"/>
          <w:highlight w:val="none"/>
        </w:rPr>
        <w:fldChar w:fldCharType="separate"/>
      </w:r>
      <w:r>
        <w:rPr>
          <w:rStyle w:val="770"/>
          <w:rFonts w:hint="eastAsia" w:ascii="仿宋" w:hAnsi="仿宋" w:eastAsia="仿宋" w:cs="仿宋"/>
          <w:color w:val="auto"/>
          <w:highlight w:val="none"/>
        </w:rPr>
        <w:t xml:space="preserve">第六部分磋商响应文件（格式）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43</w:t>
      </w:r>
      <w:r>
        <w:rPr>
          <w:rFonts w:hint="eastAsia" w:ascii="仿宋" w:hAnsi="仿宋" w:eastAsia="仿宋" w:cs="仿宋"/>
          <w:color w:val="auto"/>
          <w:highlight w:val="none"/>
        </w:rPr>
        <w:fldChar w:fldCharType="end"/>
      </w:r>
      <w:r/>
    </w:p>
    <w:p>
      <w:pPr>
        <w:rPr>
          <w:rFonts w:hint="eastAsia" w:ascii="仿宋" w:hAnsi="仿宋" w:eastAsia="仿宋" w:cs="仿宋"/>
          <w:color w:val="auto"/>
          <w:highlight w:val="none"/>
        </w:rPr>
      </w:pPr>
      <w:r>
        <w:rPr>
          <w:rFonts w:hint="eastAsia" w:ascii="仿宋" w:hAnsi="仿宋" w:eastAsia="仿宋" w:cs="仿宋"/>
          <w:b/>
          <w:bCs/>
          <w:caps/>
          <w:color w:val="auto"/>
          <w:sz w:val="44"/>
          <w:szCs w:val="44"/>
          <w:highlight w:val="none"/>
        </w:rPr>
        <w:fldChar w:fldCharType="end"/>
      </w:r>
      <w:r>
        <w:rPr>
          <w:rFonts w:hint="eastAsia" w:ascii="仿宋" w:hAnsi="仿宋" w:eastAsia="仿宋" w:cs="仿宋"/>
          <w:color w:val="auto"/>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bookmarkStart w:id="4" w:name="_Toc73365456"/>
      <w:r/>
      <w:bookmarkStart w:id="5" w:name="_Toc73364843"/>
      <w:r/>
      <w:bookmarkStart w:id="6" w:name="_Toc142925610"/>
      <w:r>
        <w:rPr>
          <w:rFonts w:hint="eastAsia" w:ascii="仿宋" w:hAnsi="仿宋" w:eastAsia="仿宋" w:cs="仿宋"/>
          <w:color w:val="auto"/>
          <w:sz w:val="36"/>
          <w:highlight w:val="none"/>
        </w:rPr>
        <w:t xml:space="preserve">第一部分  磋商邀请</w:t>
      </w:r>
      <w:bookmarkEnd w:id="4"/>
      <w:r/>
      <w:bookmarkEnd w:id="5"/>
      <w:r/>
      <w:bookmarkEnd w:id="6"/>
      <w:r/>
      <w:bookmarkStart w:id="7" w:name="EB90a90c36211a4db3a2108a4f75c8af65"/>
      <w:r/>
      <w:bookmarkEnd w:id="7"/>
      <w:r/>
      <w:bookmarkStart w:id="8" w:name="EBb19c9a8f63314b7a8160b48722b227e9"/>
      <w:r/>
      <w:bookmarkEnd w:id="8"/>
      <w:r/>
      <w:r/>
    </w:p>
    <w:p>
      <w:pPr>
        <w:ind w:firstLine="480"/>
        <w:spacing w:line="360" w:lineRule="auto"/>
        <w:rPr>
          <w:rFonts w:hint="eastAsia" w:ascii="仿宋" w:hAnsi="仿宋" w:eastAsia="仿宋" w:cs="仿宋"/>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rPr>
        <w:t xml:space="preserve">项目概况</w:t>
      </w:r>
      <w:r/>
    </w:p>
    <w:p>
      <w:pPr>
        <w:ind w:firstLine="480"/>
        <w:spacing w:line="360" w:lineRule="auto"/>
        <w:rPr>
          <w:rFonts w:hint="eastAsia" w:ascii="仿宋" w:hAnsi="仿宋" w:eastAsia="仿宋" w:cs="仿宋"/>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u w:val="single"/>
          <w:lang w:eastAsia="zh-CN"/>
        </w:rPr>
        <w:t xml:space="preserve">姚桥镇农村生活污水处理设施运维服务</w:t>
      </w:r>
      <w:r>
        <w:rPr>
          <w:rFonts w:hint="eastAsia" w:ascii="仿宋" w:hAnsi="仿宋" w:eastAsia="仿宋" w:cs="仿宋"/>
          <w:color w:val="auto"/>
          <w:sz w:val="24"/>
          <w:szCs w:val="28"/>
          <w:highlight w:val="none"/>
        </w:rPr>
        <w:t xml:space="preserve">的潜在供应商应在</w:t>
      </w:r>
      <w:r>
        <w:rPr>
          <w:rFonts w:hint="eastAsia" w:ascii="仿宋" w:hAnsi="仿宋" w:eastAsia="仿宋" w:cs="仿宋"/>
          <w:color w:val="auto"/>
          <w:sz w:val="24"/>
          <w:szCs w:val="28"/>
          <w:highlight w:val="none"/>
          <w:u w:val="single"/>
        </w:rPr>
        <w:t xml:space="preserve">苏采云平台http://jszfcg.jscz.gov.cn/jszc/login</w:t>
      </w:r>
      <w:r>
        <w:rPr>
          <w:rFonts w:hint="eastAsia" w:ascii="仿宋" w:hAnsi="仿宋" w:eastAsia="仿宋" w:cs="仿宋"/>
          <w:color w:val="auto"/>
          <w:sz w:val="24"/>
          <w:szCs w:val="28"/>
          <w:highlight w:val="none"/>
        </w:rPr>
        <w:t xml:space="preserve">获取磋商文件，并于</w:t>
      </w:r>
      <w:bookmarkStart w:id="9" w:name="EBa2e9efed1bd249f6967eff74ca5f9fe3"/>
      <w:r>
        <w:rPr>
          <w:rFonts w:hint="eastAsia" w:ascii="仿宋" w:hAnsi="仿宋" w:eastAsia="仿宋" w:cs="仿宋"/>
          <w:color w:val="auto"/>
          <w:sz w:val="24"/>
          <w:szCs w:val="28"/>
          <w:highlight w:val="none"/>
          <w:lang w:eastAsia="zh-CN"/>
        </w:rPr>
        <w:t xml:space="preserve">2026-</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lang w:eastAsia="zh-CN"/>
        </w:rPr>
        <w:t xml:space="preserve">-</w:t>
      </w:r>
      <w:r>
        <w:rPr>
          <w:rFonts w:hint="eastAsia" w:ascii="仿宋" w:hAnsi="仿宋" w:eastAsia="仿宋" w:cs="仿宋"/>
          <w:color w:val="auto"/>
          <w:sz w:val="24"/>
          <w:szCs w:val="28"/>
          <w:highlight w:val="none"/>
          <w:lang w:val="en-US" w:eastAsia="zh-CN"/>
        </w:rPr>
        <w:t xml:space="preserve">27</w:t>
      </w:r>
      <w:r>
        <w:rPr>
          <w:rFonts w:hint="eastAsia" w:ascii="仿宋" w:hAnsi="仿宋" w:eastAsia="仿宋" w:cs="仿宋"/>
          <w:color w:val="auto"/>
          <w:sz w:val="24"/>
          <w:szCs w:val="28"/>
          <w:highlight w:val="none"/>
        </w:rPr>
        <w:t xml:space="preserve"> </w:t>
      </w:r>
      <w:r>
        <w:rPr>
          <w:rFonts w:hint="eastAsia" w:ascii="仿宋" w:hAnsi="仿宋" w:eastAsia="仿宋" w:cs="仿宋"/>
          <w:color w:val="auto"/>
          <w:sz w:val="24"/>
          <w:szCs w:val="28"/>
          <w:highlight w:val="none"/>
          <w:lang w:val="en-US" w:eastAsia="zh-CN"/>
        </w:rPr>
        <w:t xml:space="preserve">9</w:t>
      </w:r>
      <w:r>
        <w:rPr>
          <w:rFonts w:hint="eastAsia" w:ascii="仿宋" w:hAnsi="仿宋" w:eastAsia="仿宋" w:cs="仿宋"/>
          <w:color w:val="auto"/>
          <w:sz w:val="24"/>
          <w:szCs w:val="28"/>
          <w:highlight w:val="none"/>
        </w:rPr>
        <w:t xml:space="preserve">:</w:t>
      </w:r>
      <w:bookmarkEnd w:id="9"/>
      <w:r>
        <w:rPr>
          <w:rFonts w:hint="eastAsia" w:ascii="仿宋" w:hAnsi="仿宋" w:eastAsia="仿宋" w:cs="仿宋"/>
          <w:color w:val="auto"/>
          <w:sz w:val="24"/>
          <w:szCs w:val="28"/>
          <w:highlight w:val="none"/>
          <w:lang w:val="en-US" w:eastAsia="zh-CN"/>
        </w:rPr>
        <w:t xml:space="preserve">00</w:t>
      </w:r>
      <w:r>
        <w:rPr>
          <w:rFonts w:hint="eastAsia" w:ascii="仿宋" w:hAnsi="仿宋" w:eastAsia="仿宋" w:cs="仿宋"/>
          <w:color w:val="auto"/>
          <w:sz w:val="24"/>
          <w:szCs w:val="28"/>
          <w:highlight w:val="none"/>
        </w:rPr>
        <w:t xml:space="preserve">（</w:t>
      </w:r>
      <w:r>
        <w:rPr>
          <w:rFonts w:hint="eastAsia" w:ascii="仿宋" w:hAnsi="仿宋" w:eastAsia="仿宋" w:cs="仿宋"/>
          <w:bCs/>
          <w:color w:val="auto"/>
          <w:sz w:val="24"/>
          <w:szCs w:val="28"/>
          <w:highlight w:val="none"/>
        </w:rPr>
        <w:t xml:space="preserve">北京时间）前递交响应文件</w:t>
      </w:r>
      <w:r>
        <w:rPr>
          <w:rFonts w:hint="eastAsia" w:ascii="仿宋" w:hAnsi="仿宋" w:eastAsia="仿宋" w:cs="仿宋"/>
          <w:color w:val="auto"/>
          <w:sz w:val="24"/>
          <w:szCs w:val="28"/>
          <w:highlight w:val="none"/>
        </w:rPr>
        <w:t xml:space="preserve">。</w:t>
      </w:r>
      <w:r/>
    </w:p>
    <w:p>
      <w:pPr>
        <w:pStyle w:val="805"/>
        <w:jc w:val="left"/>
        <w:spacing w:before="0" w:after="0" w:line="360" w:lineRule="auto"/>
        <w:rPr>
          <w:rFonts w:hint="eastAsia" w:ascii="仿宋" w:hAnsi="仿宋" w:eastAsia="仿宋" w:cs="仿宋"/>
          <w:b w:val="0"/>
          <w:color w:val="auto"/>
          <w:highlight w:val="none"/>
        </w:rPr>
      </w:pPr>
      <w:r/>
      <w:bookmarkStart w:id="10" w:name="_Toc142925611"/>
      <w:r/>
      <w:bookmarkStart w:id="11" w:name="_Toc73364844"/>
      <w:r/>
      <w:bookmarkStart w:id="12" w:name="_Toc73365457"/>
      <w:r>
        <w:rPr>
          <w:rFonts w:hint="eastAsia" w:ascii="仿宋" w:hAnsi="仿宋" w:eastAsia="仿宋" w:cs="仿宋"/>
          <w:b w:val="0"/>
          <w:color w:val="auto"/>
          <w:highlight w:val="none"/>
        </w:rPr>
        <w:t xml:space="preserve">一、项目基本情况</w:t>
      </w:r>
      <w:bookmarkEnd w:id="10"/>
      <w:r/>
      <w:bookmarkEnd w:id="11"/>
      <w:r/>
      <w:bookmarkEnd w:id="12"/>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项目编号：</w:t>
      </w:r>
      <w:r>
        <w:rPr>
          <w:rFonts w:hint="eastAsia" w:ascii="仿宋" w:hAnsi="仿宋" w:eastAsia="仿宋" w:cs="仿宋"/>
          <w:color w:val="auto"/>
          <w:sz w:val="24"/>
          <w:szCs w:val="28"/>
          <w:highlight w:val="none"/>
          <w:lang w:eastAsia="zh-CN"/>
        </w:rPr>
        <w:t xml:space="preserve">JSZC-321192-CSDL-C2026-0006</w:t>
      </w:r>
      <w:r/>
    </w:p>
    <w:p>
      <w:pPr>
        <w:ind w:firstLine="48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项目名称：</w:t>
      </w:r>
      <w:r>
        <w:rPr>
          <w:rFonts w:hint="eastAsia" w:ascii="仿宋" w:hAnsi="仿宋" w:eastAsia="仿宋" w:cs="仿宋"/>
          <w:color w:val="auto"/>
          <w:sz w:val="24"/>
          <w:szCs w:val="28"/>
          <w:highlight w:val="none"/>
          <w:lang w:eastAsia="zh-CN"/>
        </w:rPr>
        <w:t xml:space="preserve">姚桥镇农村生活污水处理设施运维服务</w:t>
      </w:r>
      <w:r/>
    </w:p>
    <w:p>
      <w:pPr>
        <w:ind w:firstLine="480"/>
        <w:spacing w:line="360" w:lineRule="auto"/>
        <w:rPr>
          <w:rFonts w:hint="eastAsia" w:ascii="仿宋" w:hAnsi="仿宋" w:eastAsia="仿宋" w:cs="仿宋"/>
          <w:color w:val="auto"/>
          <w:sz w:val="24"/>
          <w:szCs w:val="28"/>
          <w:highlight w:val="none"/>
        </w:rPr>
      </w:pPr>
      <w:r/>
      <w:bookmarkStart w:id="13" w:name="_Toc73364845"/>
      <w:r/>
      <w:bookmarkStart w:id="14" w:name="_Toc73365458"/>
      <w:r>
        <w:rPr>
          <w:rFonts w:hint="eastAsia" w:ascii="仿宋" w:hAnsi="仿宋" w:eastAsia="仿宋" w:cs="仿宋"/>
          <w:color w:val="auto"/>
          <w:sz w:val="24"/>
          <w:szCs w:val="28"/>
          <w:highlight w:val="none"/>
        </w:rPr>
        <w:t xml:space="preserve">预算金额：</w:t>
      </w:r>
      <w:r>
        <w:rPr>
          <w:rFonts w:hint="eastAsia" w:ascii="仿宋" w:hAnsi="仿宋" w:eastAsia="仿宋" w:cs="仿宋"/>
          <w:color w:val="auto"/>
          <w:sz w:val="24"/>
          <w:szCs w:val="28"/>
          <w:highlight w:val="none"/>
          <w:lang w:val="en-US" w:eastAsia="zh-CN"/>
        </w:rPr>
        <w:t xml:space="preserve">1600000</w:t>
      </w:r>
      <w:r>
        <w:rPr>
          <w:rFonts w:hint="eastAsia" w:ascii="仿宋" w:hAnsi="仿宋" w:eastAsia="仿宋" w:cs="仿宋"/>
          <w:color w:val="auto"/>
          <w:sz w:val="24"/>
          <w:szCs w:val="28"/>
          <w:highlight w:val="none"/>
          <w:lang w:val="en-US" w:eastAsia="zh-CN"/>
        </w:rPr>
        <w:t xml:space="preserve">元</w:t>
      </w:r>
      <w:r>
        <w:rPr>
          <w:rFonts w:hint="eastAsia" w:ascii="仿宋" w:hAnsi="仿宋" w:eastAsia="仿宋" w:cs="仿宋"/>
          <w:color w:val="auto"/>
          <w:sz w:val="24"/>
          <w:szCs w:val="28"/>
          <w:highlight w:val="none"/>
        </w:rPr>
        <w:t xml:space="preserve">，磋商报价超过预算金额（最高限价）的为无效报价，按照无效响应处理。</w:t>
      </w:r>
      <w:r/>
    </w:p>
    <w:p>
      <w:pPr>
        <w:ind w:firstLine="480"/>
        <w:spacing w:line="360" w:lineRule="auto"/>
        <w:rPr>
          <w:rFonts w:hint="eastAsia" w:ascii="仿宋" w:hAnsi="仿宋" w:eastAsia="仿宋" w:cs="仿宋"/>
          <w:color w:val="auto"/>
          <w:highlight w:val="none"/>
        </w:rPr>
      </w:pPr>
      <w:r/>
      <w:bookmarkStart w:id="15" w:name="EB561a2394c1544fb48623feaf98445ca1"/>
      <w:r/>
      <w:bookmarkEnd w:id="15"/>
      <w:r>
        <w:rPr>
          <w:rFonts w:hint="eastAsia" w:ascii="仿宋" w:hAnsi="仿宋" w:eastAsia="仿宋" w:cs="仿宋"/>
          <w:color w:val="auto"/>
          <w:sz w:val="24"/>
          <w:szCs w:val="28"/>
          <w:highlight w:val="none"/>
        </w:rPr>
        <w:t xml:space="preserve">最高限价</w:t>
      </w:r>
      <w:bookmarkStart w:id="16" w:name="EB98c60433be4041ceb537b4bc2e24026f"/>
      <w:r>
        <w:rPr>
          <w:rFonts w:hint="eastAsia" w:ascii="仿宋" w:hAnsi="仿宋" w:eastAsia="仿宋" w:cs="仿宋"/>
          <w:color w:val="auto"/>
          <w:sz w:val="24"/>
          <w:szCs w:val="28"/>
          <w:highlight w:val="none"/>
        </w:rPr>
        <w:t xml:space="preserve">：</w:t>
      </w:r>
      <w:bookmarkStart w:id="17" w:name="_Hlk142306859"/>
      <w:r>
        <w:rPr>
          <w:rFonts w:hint="eastAsia" w:ascii="仿宋" w:hAnsi="仿宋" w:eastAsia="仿宋" w:cs="仿宋"/>
          <w:color w:val="auto"/>
          <w:sz w:val="24"/>
          <w:szCs w:val="28"/>
          <w:highlight w:val="none"/>
          <w:lang w:val="en-US" w:eastAsia="zh-CN"/>
        </w:rPr>
        <w:t xml:space="preserve">1600000</w:t>
      </w:r>
      <w:r>
        <w:rPr>
          <w:rFonts w:hint="eastAsia" w:ascii="仿宋" w:hAnsi="仿宋" w:eastAsia="仿宋" w:cs="仿宋"/>
          <w:color w:val="auto"/>
          <w:sz w:val="24"/>
          <w:szCs w:val="28"/>
          <w:highlight w:val="none"/>
          <w:lang w:val="en-US" w:eastAsia="zh-CN"/>
        </w:rPr>
        <w:t xml:space="preserve">元。</w:t>
      </w:r>
      <w:bookmarkEnd w:id="16"/>
      <w:r/>
      <w:bookmarkEnd w:id="17"/>
      <w:r/>
      <w:bookmarkStart w:id="286" w:name="_GoBack"/>
      <w:r/>
      <w:bookmarkEnd w:id="286"/>
      <w:r/>
      <w:r/>
    </w:p>
    <w:p>
      <w:pPr>
        <w:ind w:firstLine="480"/>
        <w:spacing w:line="360" w:lineRule="auto"/>
        <w:rPr>
          <w:rFonts w:hint="eastAsia" w:ascii="仿宋" w:hAnsi="仿宋" w:eastAsia="仿宋" w:cs="仿宋"/>
          <w:color w:val="auto"/>
          <w:sz w:val="24"/>
          <w:szCs w:val="28"/>
          <w:highlight w:val="none"/>
        </w:rPr>
      </w:pPr>
      <w:r/>
      <w:bookmarkStart w:id="18" w:name="EB62c16b27558942fdb00f56494481e86d"/>
      <w:r/>
      <w:bookmarkEnd w:id="18"/>
      <w:r>
        <w:rPr>
          <w:rFonts w:hint="eastAsia" w:ascii="仿宋" w:hAnsi="仿宋" w:eastAsia="仿宋" w:cs="仿宋"/>
          <w:color w:val="auto"/>
          <w:sz w:val="24"/>
          <w:szCs w:val="28"/>
          <w:highlight w:val="none"/>
        </w:rPr>
        <w:t xml:space="preserve">采购需求：</w:t>
      </w:r>
      <w:bookmarkStart w:id="19" w:name="EB5d98601673ee4dabb6909c42181f9c92"/>
      <w:r>
        <w:rPr>
          <w:rFonts w:hint="eastAsia" w:ascii="仿宋" w:hAnsi="仿宋" w:eastAsia="仿宋" w:cs="仿宋"/>
          <w:color w:val="auto"/>
          <w:sz w:val="24"/>
          <w:szCs w:val="28"/>
          <w:highlight w:val="none"/>
        </w:rPr>
        <w:t xml:space="preserve">详细内容及要求见附件采购文件采购需求。</w:t>
      </w:r>
      <w:bookmarkEnd w:id="19"/>
      <w:r/>
      <w:bookmarkStart w:id="20" w:name="EBd7b548ce0011456a9f402dd37794dbc3"/>
      <w:r/>
      <w:bookmarkEnd w:id="20"/>
      <w:r/>
      <w:bookmarkStart w:id="21" w:name="EBe46f2acd23264f31909e1f2cbfc9f572"/>
      <w:r/>
      <w:bookmarkEnd w:id="21"/>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合同履行期限：</w:t>
      </w:r>
      <w:r>
        <w:rPr>
          <w:rFonts w:hint="eastAsia" w:ascii="仿宋" w:hAnsi="仿宋" w:eastAsia="仿宋" w:cs="仿宋"/>
          <w:color w:val="auto"/>
          <w:sz w:val="24"/>
          <w:szCs w:val="28"/>
          <w:highlight w:val="none"/>
          <w:lang w:val="en-US" w:eastAsia="zh-CN"/>
        </w:rPr>
        <w:t xml:space="preserve">自合同签订之日起1年</w:t>
      </w:r>
      <w:r>
        <w:rPr>
          <w:rFonts w:hint="eastAsia" w:ascii="仿宋" w:hAnsi="仿宋" w:eastAsia="仿宋" w:cs="仿宋"/>
          <w:color w:val="auto"/>
          <w:sz w:val="24"/>
          <w:szCs w:val="28"/>
          <w:highlight w:val="none"/>
        </w:rPr>
        <w:t xml:space="preserve">，详细内容及要求见附件采购需求。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本项目是否接受联合体：</w:t>
      </w:r>
      <w:r>
        <w:rPr>
          <w:rFonts w:hint="eastAsia" w:ascii="仿宋" w:hAnsi="仿宋" w:eastAsia="仿宋" w:cs="仿宋"/>
          <w:color w:val="auto"/>
          <w:sz w:val="24"/>
          <w:szCs w:val="28"/>
          <w:highlight w:val="none"/>
        </w:rPr>
        <w:t xml:space="preserve">不接受。</w:t>
      </w:r>
      <w:r/>
    </w:p>
    <w:p>
      <w:pPr>
        <w:pStyle w:val="805"/>
        <w:jc w:val="left"/>
        <w:spacing w:before="0" w:after="0" w:line="360" w:lineRule="auto"/>
        <w:rPr>
          <w:rFonts w:hint="eastAsia" w:ascii="仿宋" w:hAnsi="仿宋" w:eastAsia="仿宋" w:cs="仿宋"/>
          <w:b w:val="0"/>
          <w:color w:val="auto"/>
          <w:highlight w:val="none"/>
        </w:rPr>
      </w:pPr>
      <w:r/>
      <w:bookmarkStart w:id="22" w:name="_Toc142925612"/>
      <w:r>
        <w:rPr>
          <w:rFonts w:hint="eastAsia" w:ascii="仿宋" w:hAnsi="仿宋" w:eastAsia="仿宋" w:cs="仿宋"/>
          <w:b w:val="0"/>
          <w:color w:val="auto"/>
          <w:highlight w:val="none"/>
        </w:rPr>
        <w:t xml:space="preserve">二、申请人的资格要求：</w:t>
      </w:r>
      <w:bookmarkEnd w:id="13"/>
      <w:r/>
      <w:bookmarkEnd w:id="14"/>
      <w:r/>
      <w:bookmarkEnd w:id="22"/>
      <w:r/>
      <w:r/>
    </w:p>
    <w:p>
      <w:pPr>
        <w:ind w:firstLine="480"/>
        <w:spacing w:line="360" w:lineRule="auto"/>
        <w:rPr>
          <w:rFonts w:hint="eastAsia" w:ascii="仿宋" w:hAnsi="仿宋" w:eastAsia="仿宋" w:cs="仿宋"/>
          <w:color w:val="auto"/>
          <w:sz w:val="24"/>
          <w:szCs w:val="28"/>
          <w:highlight w:val="none"/>
        </w:rPr>
      </w:pPr>
      <w:r/>
      <w:bookmarkStart w:id="23" w:name="EBc1bc06189b4a41ccac26e04e92f3d69f"/>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rPr>
        <w:tab/>
      </w:r>
      <w:r>
        <w:rPr>
          <w:rFonts w:hint="eastAsia" w:ascii="仿宋" w:hAnsi="仿宋" w:eastAsia="仿宋" w:cs="仿宋"/>
          <w:color w:val="auto"/>
          <w:sz w:val="24"/>
          <w:szCs w:val="28"/>
          <w:highlight w:val="none"/>
        </w:rPr>
        <w:t xml:space="preserve">满足《中华人民共和国政府采购法》第二十二条规定；</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（1）具有独立承担民事责任的能力（提供法人或者其他组织的营业执照等证明文件扫描件；</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为自然人的，提供其身份证扫描件）；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（2）具有良好的商业信誉和健全的财务会计制度（</w:t>
      </w:r>
      <w:r>
        <w:rPr>
          <w:rFonts w:hint="eastAsia" w:ascii="仿宋" w:hAnsi="仿宋" w:eastAsia="仿宋" w:cs="仿宋"/>
          <w:color w:val="auto"/>
          <w:sz w:val="24"/>
          <w:szCs w:val="28"/>
          <w:highlight w:val="none"/>
          <w:lang w:eastAsia="zh-CN"/>
        </w:rPr>
        <w:t xml:space="preserve">提供2024年度或者2025年度财务报告</w:t>
      </w:r>
      <w:r>
        <w:rPr>
          <w:rFonts w:hint="eastAsia" w:ascii="仿宋" w:hAnsi="仿宋" w:eastAsia="仿宋" w:cs="仿宋"/>
          <w:color w:val="auto"/>
          <w:sz w:val="24"/>
          <w:szCs w:val="28"/>
          <w:highlight w:val="none"/>
        </w:rPr>
        <w:t xml:space="preserve">，成立不满一年的提供</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（3）具有履行合同所必需的设备和专业技术能力（见</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相关信息一览表或提供资格承诺函）；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（4）有依法缴纳税收和社会保障资金的良好记录（提供参加本次政府采购活动前半年内</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依法缴纳税收和社会保险的凭据或提供资格承诺函）；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（5）参加政府采购活动前三年内，在经营活动中没有重大违法记录（见</w:t>
      </w:r>
      <w:r>
        <w:rPr>
          <w:rFonts w:hint="eastAsia" w:ascii="仿宋" w:hAnsi="仿宋" w:eastAsia="仿宋" w:cs="仿宋"/>
          <w:color w:val="auto"/>
          <w:sz w:val="24"/>
          <w:szCs w:val="28"/>
          <w:highlight w:val="none"/>
        </w:rPr>
        <w:t xml:space="preserve">磋商</w:t>
      </w:r>
      <w:r>
        <w:rPr>
          <w:rFonts w:hint="eastAsia" w:ascii="仿宋" w:hAnsi="仿宋" w:eastAsia="仿宋" w:cs="仿宋"/>
          <w:color w:val="auto"/>
          <w:sz w:val="24"/>
          <w:szCs w:val="28"/>
          <w:highlight w:val="none"/>
        </w:rPr>
        <w:t xml:space="preserve">响应</w:t>
      </w:r>
      <w:r>
        <w:rPr>
          <w:rFonts w:hint="eastAsia" w:ascii="仿宋" w:hAnsi="仿宋" w:eastAsia="仿宋" w:cs="仿宋"/>
          <w:color w:val="auto"/>
          <w:sz w:val="24"/>
          <w:szCs w:val="28"/>
          <w:highlight w:val="none"/>
        </w:rPr>
        <w:t xml:space="preserve">函或提供资格承诺函）；</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（6）法律、行政法规规定的其他条件；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2.落实政府采购政策需满足的资格要求：</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lang w:val="en-US" w:eastAsia="zh-CN"/>
        </w:rPr>
        <w:t xml:space="preserve">根据财政部、工业和信息化部关于印发《政府采购促进中小企业发展管理办法》的通知及苏财购【2021】34号的相关规定，本项目专门面向中小微企业采购，只接受中小微企业磋商。中小企业划分标准见《工业和信息化部、国家统计局、国家发展和改革委员会、财政部关于印发中小企业划型标准规定的通知》(工信部联企业[2011]300号)(所属行业：租赁和商务服务业)</w:t>
      </w:r>
      <w:r>
        <w:rPr>
          <w:rFonts w:hint="eastAsia" w:ascii="仿宋" w:hAnsi="仿宋" w:eastAsia="仿宋" w:cs="仿宋"/>
          <w:color w:val="auto"/>
          <w:sz w:val="24"/>
          <w:szCs w:val="28"/>
          <w:highlight w:val="none"/>
        </w:rPr>
        <w:t xml:space="preserve">。</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3.本项目的特定资格要求：</w:t>
      </w:r>
      <w:r>
        <w:rPr>
          <w:rFonts w:hint="eastAsia" w:ascii="仿宋" w:hAnsi="仿宋" w:eastAsia="仿宋" w:cs="仿宋"/>
          <w:color w:val="auto"/>
          <w:sz w:val="24"/>
          <w:szCs w:val="28"/>
          <w:highlight w:val="none"/>
          <w:lang w:val="en-US" w:eastAsia="zh-CN"/>
        </w:rPr>
        <w:t xml:space="preserve">无</w:t>
      </w:r>
      <w:r>
        <w:rPr>
          <w:rFonts w:hint="eastAsia" w:ascii="仿宋" w:hAnsi="仿宋" w:eastAsia="仿宋" w:cs="仿宋"/>
          <w:color w:val="auto"/>
          <w:sz w:val="24"/>
          <w:szCs w:val="28"/>
          <w:highlight w:val="none"/>
        </w:rPr>
        <w:t xml:space="preserve">。</w:t>
      </w:r>
      <w:bookmarkEnd w:id="23"/>
      <w:r/>
      <w:r/>
    </w:p>
    <w:p>
      <w:pPr>
        <w:pStyle w:val="805"/>
        <w:jc w:val="left"/>
        <w:spacing w:before="0" w:after="0" w:line="360" w:lineRule="auto"/>
        <w:rPr>
          <w:rFonts w:hint="eastAsia" w:ascii="仿宋" w:hAnsi="仿宋" w:eastAsia="仿宋" w:cs="仿宋"/>
          <w:b w:val="0"/>
          <w:color w:val="auto"/>
          <w:highlight w:val="none"/>
        </w:rPr>
      </w:pPr>
      <w:r/>
      <w:bookmarkStart w:id="24" w:name="_Toc73364846"/>
      <w:r/>
      <w:bookmarkStart w:id="25" w:name="_Toc142925613"/>
      <w:r/>
      <w:bookmarkStart w:id="26" w:name="_Toc73365459"/>
      <w:r>
        <w:rPr>
          <w:rFonts w:hint="eastAsia" w:ascii="仿宋" w:hAnsi="仿宋" w:eastAsia="仿宋" w:cs="仿宋"/>
          <w:b w:val="0"/>
          <w:color w:val="auto"/>
          <w:highlight w:val="none"/>
        </w:rPr>
        <w:t xml:space="preserve">三、获取磋商文件</w:t>
      </w:r>
      <w:bookmarkEnd w:id="24"/>
      <w:r/>
      <w:bookmarkEnd w:id="25"/>
      <w:r/>
      <w:bookmarkEnd w:id="26"/>
      <w:r>
        <w:rPr>
          <w:rFonts w:hint="eastAsia" w:ascii="仿宋" w:hAnsi="仿宋" w:eastAsia="仿宋" w:cs="仿宋"/>
          <w:b w:val="0"/>
          <w:color w:val="auto"/>
          <w:highlight w:val="none"/>
        </w:rPr>
        <w:t xml:space="preserve">：本项目采用网上注册登记方式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4</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23</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加载至电子招标投标交易平台，供潜在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805"/>
        <w:jc w:val="left"/>
        <w:spacing w:before="0" w:after="0" w:line="360" w:lineRule="auto"/>
        <w:rPr>
          <w:rFonts w:hint="eastAsia" w:ascii="仿宋" w:hAnsi="仿宋" w:eastAsia="仿宋" w:cs="仿宋"/>
          <w:b w:val="0"/>
          <w:color w:val="auto"/>
          <w:highlight w:val="none"/>
        </w:rPr>
      </w:pPr>
      <w:r/>
      <w:bookmarkStart w:id="27" w:name="_Toc73365460"/>
      <w:r/>
      <w:bookmarkStart w:id="28" w:name="_Toc142925614"/>
      <w:r/>
      <w:bookmarkStart w:id="29" w:name="_Toc73364847"/>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27"/>
      <w:r/>
      <w:bookmarkEnd w:id="28"/>
      <w:r/>
      <w:bookmarkEnd w:id="29"/>
      <w:r/>
      <w:r/>
    </w:p>
    <w:p>
      <w:pPr>
        <w:ind w:firstLine="480"/>
        <w:spacing w:line="360" w:lineRule="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805"/>
        <w:jc w:val="left"/>
        <w:spacing w:before="0" w:after="0" w:line="360" w:lineRule="auto"/>
        <w:rPr>
          <w:rFonts w:hint="eastAsia" w:ascii="仿宋" w:hAnsi="仿宋" w:eastAsia="仿宋" w:cs="仿宋"/>
          <w:b w:val="0"/>
          <w:color w:val="auto"/>
          <w:highlight w:val="none"/>
        </w:rPr>
      </w:pPr>
      <w:r/>
      <w:bookmarkStart w:id="30" w:name="_Toc73365461"/>
      <w:r/>
      <w:bookmarkStart w:id="31" w:name="_Toc142925615"/>
      <w:r/>
      <w:bookmarkStart w:id="32" w:name="_Toc73364848"/>
      <w:r>
        <w:rPr>
          <w:rFonts w:hint="eastAsia" w:ascii="仿宋" w:hAnsi="仿宋" w:eastAsia="仿宋" w:cs="仿宋"/>
          <w:b w:val="0"/>
          <w:color w:val="auto"/>
          <w:highlight w:val="none"/>
        </w:rPr>
        <w:t xml:space="preserve">五、开启</w:t>
      </w:r>
      <w:bookmarkEnd w:id="30"/>
      <w:r/>
      <w:bookmarkEnd w:id="31"/>
      <w:r/>
      <w:bookmarkEnd w:id="32"/>
      <w:r/>
      <w:r/>
    </w:p>
    <w:p>
      <w:pPr>
        <w:ind w:firstLine="480"/>
        <w:spacing w:line="360" w:lineRule="auto"/>
        <w:rPr>
          <w:rFonts w:hint="eastAsia" w:ascii="仿宋" w:hAnsi="仿宋" w:eastAsia="仿宋" w:cs="仿宋"/>
          <w:bCs/>
          <w:color w:val="auto"/>
          <w:sz w:val="24"/>
          <w:szCs w:val="28"/>
          <w:highlight w:val="none"/>
        </w:rPr>
      </w:pPr>
      <w:r/>
      <w:bookmarkStart w:id="33" w:name="EB8a200117cd0b4a25898d702d9f200195"/>
      <w:r/>
      <w:bookmarkEnd w:id="33"/>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27</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解密限定在投标截止时间后30分钟之间完成。因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805"/>
        <w:jc w:val="left"/>
        <w:spacing w:before="0" w:after="0" w:line="360" w:lineRule="auto"/>
        <w:rPr>
          <w:rFonts w:hint="eastAsia" w:ascii="仿宋" w:hAnsi="仿宋" w:eastAsia="仿宋" w:cs="仿宋"/>
          <w:b w:val="0"/>
          <w:color w:val="auto"/>
          <w:highlight w:val="none"/>
        </w:rPr>
      </w:pPr>
      <w:r/>
      <w:bookmarkStart w:id="34" w:name="_Toc73365462"/>
      <w:r/>
      <w:bookmarkStart w:id="35" w:name="_Toc142925616"/>
      <w:r/>
      <w:bookmarkStart w:id="36" w:name="_Toc73364849"/>
      <w:r>
        <w:rPr>
          <w:rFonts w:hint="eastAsia" w:ascii="仿宋" w:hAnsi="仿宋" w:eastAsia="仿宋" w:cs="仿宋"/>
          <w:b w:val="0"/>
          <w:color w:val="auto"/>
          <w:highlight w:val="none"/>
        </w:rPr>
        <w:t xml:space="preserve">六、公告期限</w:t>
      </w:r>
      <w:bookmarkEnd w:id="34"/>
      <w:r/>
      <w:bookmarkEnd w:id="35"/>
      <w:r/>
      <w:bookmarkEnd w:id="36"/>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805"/>
        <w:jc w:val="left"/>
        <w:spacing w:before="0" w:after="0" w:line="360" w:lineRule="auto"/>
        <w:rPr>
          <w:rFonts w:hint="eastAsia" w:ascii="仿宋" w:hAnsi="仿宋" w:eastAsia="仿宋" w:cs="仿宋"/>
          <w:b w:val="0"/>
          <w:color w:val="auto"/>
          <w:highlight w:val="none"/>
        </w:rPr>
      </w:pPr>
      <w:r/>
      <w:bookmarkStart w:id="37" w:name="_Toc73365463"/>
      <w:r/>
      <w:bookmarkStart w:id="38" w:name="_Toc73364850"/>
      <w:r/>
      <w:bookmarkStart w:id="39" w:name="_Toc142925617"/>
      <w:r>
        <w:rPr>
          <w:rFonts w:hint="eastAsia" w:ascii="仿宋" w:hAnsi="仿宋" w:eastAsia="仿宋" w:cs="仿宋"/>
          <w:b w:val="0"/>
          <w:color w:val="auto"/>
          <w:highlight w:val="none"/>
        </w:rPr>
        <w:t xml:space="preserve">七、其他补充事宜</w:t>
      </w:r>
      <w:bookmarkEnd w:id="37"/>
      <w:r/>
      <w:bookmarkEnd w:id="38"/>
      <w:r/>
      <w:bookmarkEnd w:id="39"/>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40"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40"/>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805"/>
        <w:jc w:val="left"/>
        <w:spacing w:before="0" w:after="0" w:line="360" w:lineRule="auto"/>
        <w:rPr>
          <w:rFonts w:hint="eastAsia" w:ascii="仿宋" w:hAnsi="仿宋" w:eastAsia="仿宋" w:cs="仿宋"/>
          <w:b w:val="0"/>
          <w:color w:val="auto"/>
          <w:highlight w:val="none"/>
        </w:rPr>
      </w:pPr>
      <w:r/>
      <w:bookmarkStart w:id="41" w:name="_Toc73364851"/>
      <w:r/>
      <w:bookmarkStart w:id="42" w:name="_Toc142925618"/>
      <w:r/>
      <w:bookmarkStart w:id="43" w:name="_Toc73365464"/>
      <w:r>
        <w:rPr>
          <w:rFonts w:hint="eastAsia" w:ascii="仿宋" w:hAnsi="仿宋" w:eastAsia="仿宋" w:cs="仿宋"/>
          <w:b w:val="0"/>
          <w:color w:val="auto"/>
          <w:highlight w:val="none"/>
        </w:rPr>
        <w:t xml:space="preserve">八、对本次磋商提出询问，请按以下方式联系。</w:t>
      </w:r>
      <w:bookmarkEnd w:id="41"/>
      <w:r/>
      <w:bookmarkEnd w:id="42"/>
      <w:r/>
      <w:bookmarkEnd w:id="43"/>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镇江新区姚桥镇中心路12号</w:t>
      </w:r>
      <w:r/>
    </w:p>
    <w:p>
      <w:pPr>
        <w:ind w:left="0" w:firstLine="480"/>
        <w:jc w:val="left"/>
        <w:keepLines w:val="0"/>
        <w:keepNext w:val="0"/>
        <w:pageBreakBefore w:val="0"/>
        <w:spacing w:line="360" w:lineRule="auto"/>
        <w:widowControl/>
        <w:rPr>
          <w:rFonts w:hint="default" w:ascii="仿宋" w:hAnsi="仿宋" w:eastAsia="仿宋" w:cs="仿宋"/>
          <w:color w:val="auto"/>
          <w:sz w:val="24"/>
          <w:szCs w:val="24"/>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szCs w:val="24"/>
          <w:lang w:val="en-US" w:eastAsia="zh-CN"/>
        </w:rPr>
        <w:t xml:space="preserve">15896352835</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ascii="仿宋" w:hAnsi="仿宋" w:eastAsia="仿宋" w:cs="仿宋"/>
          <w:color w:val="auto"/>
          <w:sz w:val="24"/>
          <w:szCs w:val="24"/>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right="360"/>
        <w:jc w:val="righ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bookmarkStart w:id="44" w:name="_Toc142925619"/>
      <w:r/>
      <w:bookmarkStart w:id="45" w:name="_Toc73364853"/>
      <w:r/>
      <w:bookmarkStart w:id="46" w:name="_Toc73365466"/>
      <w:r>
        <w:rPr>
          <w:rFonts w:hint="eastAsia" w:ascii="仿宋" w:hAnsi="仿宋" w:eastAsia="仿宋" w:cs="仿宋"/>
          <w:color w:val="auto"/>
          <w:sz w:val="36"/>
          <w:highlight w:val="none"/>
        </w:rPr>
        <w:t xml:space="preserve">第二部分  供应商须知</w:t>
      </w:r>
      <w:bookmarkEnd w:id="44"/>
      <w:r/>
      <w:bookmarkEnd w:id="45"/>
      <w:r/>
      <w:bookmarkEnd w:id="46"/>
      <w:r/>
      <w:bookmarkStart w:id="47" w:name="EB5cd81c9ed9c74e6abb08406c193c2747"/>
      <w:r/>
      <w:bookmarkEnd w:id="47"/>
      <w:r/>
      <w:bookmarkStart w:id="48" w:name="EBa296f577883c4f0bbc5440ff75db1386"/>
      <w:r/>
      <w:bookmarkEnd w:id="48"/>
      <w:r/>
      <w:r/>
    </w:p>
    <w:p>
      <w:pPr>
        <w:pStyle w:val="805"/>
        <w:spacing w:before="0" w:after="0" w:line="360" w:lineRule="auto"/>
        <w:rPr>
          <w:rFonts w:hint="eastAsia" w:ascii="仿宋" w:hAnsi="仿宋" w:eastAsia="仿宋" w:cs="仿宋"/>
          <w:color w:val="auto"/>
          <w:sz w:val="32"/>
          <w:highlight w:val="none"/>
        </w:rPr>
      </w:pPr>
      <w:r/>
      <w:bookmarkStart w:id="49" w:name="_Toc142925620"/>
      <w:r/>
      <w:bookmarkStart w:id="50" w:name="_Toc73364854"/>
      <w:r/>
      <w:bookmarkStart w:id="51" w:name="_Toc73365467"/>
      <w:r>
        <w:rPr>
          <w:rFonts w:hint="eastAsia" w:ascii="仿宋" w:hAnsi="仿宋" w:eastAsia="仿宋" w:cs="仿宋"/>
          <w:color w:val="auto"/>
          <w:sz w:val="32"/>
          <w:highlight w:val="none"/>
        </w:rPr>
        <w:t xml:space="preserve">一、总  则</w:t>
      </w:r>
      <w:bookmarkEnd w:id="49"/>
      <w:r/>
      <w:bookmarkEnd w:id="50"/>
      <w:r/>
      <w:bookmarkEnd w:id="51"/>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52" w:name="_Toc73364855"/>
      <w:r/>
      <w:bookmarkStart w:id="53" w:name="_Toc142925621"/>
      <w:r/>
      <w:bookmarkStart w:id="54" w:name="_Toc73365468"/>
      <w:r>
        <w:rPr>
          <w:rFonts w:hint="eastAsia" w:ascii="仿宋" w:hAnsi="仿宋" w:eastAsia="仿宋" w:cs="仿宋"/>
          <w:color w:val="auto"/>
          <w:sz w:val="30"/>
          <w:highlight w:val="none"/>
        </w:rPr>
        <w:t xml:space="preserve">1．适用范围</w:t>
      </w:r>
      <w:bookmarkEnd w:id="52"/>
      <w:r/>
      <w:bookmarkEnd w:id="53"/>
      <w:r/>
      <w:bookmarkEnd w:id="5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1.1本磋商文件仅适用于</w:t>
      </w:r>
      <w:r>
        <w:rPr>
          <w:rFonts w:hint="eastAsia" w:ascii="仿宋" w:hAnsi="仿宋" w:eastAsia="仿宋" w:cs="仿宋"/>
          <w:color w:val="auto"/>
          <w:sz w:val="24"/>
          <w:highlight w:val="none"/>
          <w:lang w:eastAsia="zh-CN"/>
        </w:rPr>
        <w:t xml:space="preserve">姚桥镇农村生活污水处理设施运维服务</w:t>
      </w:r>
      <w:r>
        <w:rPr>
          <w:rFonts w:hint="eastAsia" w:ascii="仿宋" w:hAnsi="仿宋" w:eastAsia="仿宋" w:cs="仿宋"/>
          <w:color w:val="auto"/>
          <w:sz w:val="24"/>
          <w:highlight w:val="none"/>
        </w:rPr>
        <w:t xml:space="preserve">。</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55" w:name="_Toc73364856"/>
      <w:r/>
      <w:bookmarkStart w:id="56" w:name="_Toc142925622"/>
      <w:r/>
      <w:bookmarkStart w:id="57" w:name="_Toc73365469"/>
      <w:r>
        <w:rPr>
          <w:rFonts w:hint="eastAsia" w:ascii="仿宋" w:hAnsi="仿宋" w:eastAsia="仿宋" w:cs="仿宋"/>
          <w:color w:val="auto"/>
          <w:sz w:val="30"/>
          <w:highlight w:val="none"/>
        </w:rPr>
        <w:t xml:space="preserve">2．定义</w:t>
      </w:r>
      <w:bookmarkEnd w:id="55"/>
      <w:r/>
      <w:bookmarkEnd w:id="56"/>
      <w:r/>
      <w:bookmarkEnd w:id="5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磋商文件中下列术语应解释为：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2.1“磋商组织方”系指采购代理机构或采购单位，即：江苏初始建设项目管理有限公司。</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2.3“供应商”系指向采购人提供货物、工程或者服务的法人、其他组织或者自然人。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2.4“服务”系指本磋商文件所述采购标的，即</w:t>
      </w:r>
      <w:bookmarkStart w:id="58" w:name="EBec1f6c4cc37b4caa9954b6d54854e118"/>
      <w:r>
        <w:rPr>
          <w:rFonts w:hint="eastAsia" w:ascii="仿宋" w:hAnsi="仿宋" w:eastAsia="仿宋" w:cs="仿宋"/>
          <w:color w:val="auto"/>
          <w:sz w:val="24"/>
          <w:highlight w:val="none"/>
          <w:lang w:eastAsia="zh-CN"/>
        </w:rPr>
        <w:t xml:space="preserve">姚桥镇农村生活污水处理设施运维服务，</w:t>
      </w:r>
      <w:r>
        <w:rPr>
          <w:rFonts w:hint="eastAsia" w:ascii="仿宋" w:hAnsi="仿宋" w:eastAsia="仿宋" w:cs="仿宋"/>
          <w:color w:val="auto"/>
          <w:sz w:val="24"/>
          <w:highlight w:val="none"/>
        </w:rPr>
        <w:t xml:space="preserve">亦包括磋商文件中特别描述的其它形式的服务。</w:t>
      </w:r>
      <w:bookmarkEnd w:id="58"/>
      <w:r/>
      <w:bookmarkStart w:id="59" w:name="EB89d8329d8427458280f540d38c10b31e"/>
      <w:r/>
      <w:bookmarkEnd w:id="59"/>
      <w:r/>
      <w:bookmarkStart w:id="60" w:name="EB380327a095314e7c8b67f909ffec846b"/>
      <w:r/>
      <w:bookmarkEnd w:id="6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61" w:name="_Toc73365470"/>
      <w:r/>
      <w:bookmarkStart w:id="62" w:name="_Toc73364857"/>
      <w:r/>
      <w:bookmarkStart w:id="63" w:name="_Toc142925623"/>
      <w:r>
        <w:rPr>
          <w:rFonts w:hint="eastAsia" w:ascii="仿宋" w:hAnsi="仿宋" w:eastAsia="仿宋" w:cs="仿宋"/>
          <w:color w:val="auto"/>
          <w:sz w:val="30"/>
          <w:highlight w:val="none"/>
        </w:rPr>
        <w:t xml:space="preserve">3．本次采购方式</w:t>
      </w:r>
      <w:bookmarkEnd w:id="61"/>
      <w:r/>
      <w:bookmarkEnd w:id="62"/>
      <w:r/>
      <w:bookmarkEnd w:id="6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3.1本次采购采取竞争性磋商采购方式：综合评分法。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3.2是否接受进口产品：否</w:t>
      </w:r>
      <w:bookmarkStart w:id="64" w:name="EBb827a1ee09c24503810ef107662edd9b"/>
      <w:r/>
      <w:bookmarkEnd w:id="6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3.3本项目资格审查方式：资格后审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3.4本次采购确定的成交人数量：</w:t>
      </w:r>
      <w:bookmarkStart w:id="65" w:name="EB239bc7938d02463888f23182e5e568e7"/>
      <w:r>
        <w:rPr>
          <w:rFonts w:hint="eastAsia" w:ascii="仿宋" w:hAnsi="仿宋" w:eastAsia="仿宋" w:cs="仿宋"/>
          <w:color w:val="auto"/>
          <w:sz w:val="24"/>
          <w:highlight w:val="none"/>
        </w:rPr>
        <w:t xml:space="preserve">1名</w:t>
      </w:r>
      <w:bookmarkEnd w:id="65"/>
      <w:r/>
      <w:r/>
    </w:p>
    <w:p>
      <w:pPr>
        <w:ind w:firstLine="480"/>
        <w:spacing w:line="360" w:lineRule="auto"/>
        <w:rPr>
          <w:rFonts w:hint="eastAsia" w:ascii="仿宋" w:hAnsi="仿宋" w:eastAsia="仿宋" w:cs="仿宋"/>
          <w:color w:val="auto"/>
          <w:sz w:val="24"/>
          <w:highlight w:val="none"/>
        </w:rPr>
      </w:pPr>
      <w:r/>
      <w:bookmarkStart w:id="66" w:name="EB65f1af548e51428190f46d10e71d9afc"/>
      <w:r>
        <w:rPr>
          <w:rFonts w:hint="eastAsia" w:ascii="仿宋" w:hAnsi="仿宋" w:eastAsia="仿宋" w:cs="仿宋"/>
          <w:color w:val="auto"/>
          <w:sz w:val="24"/>
          <w:highlight w:val="none"/>
        </w:rPr>
        <w:t xml:space="preserve">3.5本项目不接受联合体投标。</w:t>
      </w:r>
      <w:bookmarkEnd w:id="66"/>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67" w:name="_Toc73364858"/>
      <w:r/>
      <w:bookmarkStart w:id="68" w:name="_Toc142925624"/>
      <w:r/>
      <w:bookmarkStart w:id="69" w:name="_Toc73365471"/>
      <w:r>
        <w:rPr>
          <w:rFonts w:hint="eastAsia" w:ascii="仿宋" w:hAnsi="仿宋" w:eastAsia="仿宋" w:cs="仿宋"/>
          <w:color w:val="auto"/>
          <w:sz w:val="30"/>
          <w:highlight w:val="none"/>
        </w:rPr>
        <w:t xml:space="preserve">4．磋商费用</w:t>
      </w:r>
      <w:bookmarkEnd w:id="67"/>
      <w:r/>
      <w:bookmarkEnd w:id="68"/>
      <w:r/>
      <w:bookmarkEnd w:id="6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供应商应自行承担所有与参加磋商有关的费用。</w:t>
      </w:r>
      <w:r/>
    </w:p>
    <w:p>
      <w:pPr>
        <w:ind w:firstLine="480"/>
        <w:spacing w:line="360" w:lineRule="auto"/>
        <w:rPr>
          <w:rFonts w:hint="eastAsia" w:ascii="仿宋" w:hAnsi="仿宋" w:eastAsia="仿宋" w:cs="仿宋"/>
          <w:color w:val="auto"/>
          <w:sz w:val="24"/>
          <w:highlight w:val="none"/>
        </w:rPr>
      </w:pPr>
      <w:r/>
      <w:bookmarkStart w:id="70" w:name="EB40123891a88845fa925ab9b19e3b0236"/>
      <w:r/>
      <w:bookmarkEnd w:id="70"/>
      <w:r/>
      <w:bookmarkStart w:id="71" w:name="EB43d98a67a624490d81135a7e75760740"/>
      <w:r/>
      <w:bookmarkEnd w:id="71"/>
      <w:r>
        <w:rPr>
          <w:rFonts w:hint="eastAsia" w:ascii="仿宋" w:hAnsi="仿宋" w:eastAsia="仿宋" w:cs="仿宋"/>
          <w:color w:val="auto"/>
          <w:sz w:val="24"/>
          <w:highlight w:val="none"/>
        </w:rPr>
        <w:t xml:space="preserve">4.1.1招标代理服务费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需向代理机构缴纳</w:t>
      </w:r>
      <w:r>
        <w:rPr>
          <w:rFonts w:hint="eastAsia" w:ascii="仿宋" w:hAnsi="仿宋" w:eastAsia="仿宋" w:cs="仿宋"/>
          <w:color w:val="auto"/>
          <w:sz w:val="24"/>
          <w:highlight w:val="none"/>
          <w:lang w:val="en-US" w:eastAsia="zh-CN"/>
        </w:rPr>
        <w:t xml:space="preserve">16000</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lang w:val="en-US" w:eastAsia="zh-CN"/>
        </w:rPr>
        <w:t xml:space="preserve">代</w:t>
      </w:r>
      <w:r>
        <w:rPr>
          <w:rFonts w:hint="eastAsia" w:ascii="仿宋" w:hAnsi="仿宋" w:eastAsia="仿宋" w:cs="仿宋"/>
          <w:color w:val="auto"/>
          <w:sz w:val="24"/>
          <w:highlight w:val="none"/>
        </w:rPr>
        <w:t xml:space="preserve">理服务费。</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收费标准：按照发改价格（2011）534号文件标准计取下浮</w:t>
      </w:r>
      <w:r>
        <w:rPr>
          <w:rFonts w:hint="eastAsia" w:ascii="仿宋" w:hAnsi="仿宋" w:eastAsia="仿宋" w:cs="仿宋"/>
          <w:color w:val="auto"/>
          <w:sz w:val="24"/>
          <w:highlight w:val="none"/>
          <w:lang w:val="en-US" w:eastAsia="zh-CN"/>
        </w:rPr>
        <w:t xml:space="preserve">40</w:t>
      </w:r>
      <w:r>
        <w:rPr>
          <w:rFonts w:hint="eastAsia" w:ascii="仿宋" w:hAnsi="仿宋" w:eastAsia="仿宋" w:cs="仿宋"/>
          <w:color w:val="auto"/>
          <w:sz w:val="24"/>
          <w:highlight w:val="none"/>
        </w:rPr>
        <w:t xml:space="preserve">%计算。</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磋商代理费用收款信息：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收款单位：江苏初始建设项目管理有限公司 </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96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spacing w:line="360" w:lineRule="auto"/>
        <w:rPr>
          <w:rFonts w:hint="eastAsia" w:ascii="仿宋" w:hAnsi="仿宋" w:eastAsia="仿宋" w:cs="仿宋"/>
          <w:color w:val="auto"/>
          <w:sz w:val="24"/>
          <w:highlight w:val="none"/>
        </w:rPr>
      </w:pPr>
      <w:r/>
      <w:bookmarkStart w:id="72" w:name="EB1608b4f3843c4d57bbea435940c28320"/>
      <w:r/>
      <w:bookmarkEnd w:id="72"/>
      <w:r/>
      <w:bookmarkStart w:id="73" w:name="EB8633ad3759944644a66e4e2eaeee72a3"/>
      <w:r/>
      <w:bookmarkEnd w:id="73"/>
      <w:r/>
      <w:bookmarkStart w:id="74" w:name="EBec8dff27d11c488cb859d64e4c4c3d0a"/>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4.1.2数字证书费用见</w:t>
      </w:r>
      <w:bookmarkEnd w:id="74"/>
      <w:r>
        <w:rPr>
          <w:rFonts w:hint="eastAsia" w:ascii="仿宋" w:hAnsi="仿宋" w:eastAsia="仿宋" w:cs="仿宋"/>
          <w:color w:val="auto"/>
          <w:sz w:val="24"/>
          <w:highlight w:val="none"/>
        </w:rPr>
        <w:t xml:space="preserve">：</w:t>
      </w:r>
      <w:r/>
    </w:p>
    <w:p>
      <w:pPr>
        <w:ind w:firstLine="7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highlight w:val="none"/>
          <w:u w:val="single"/>
        </w:rPr>
        <w:t xml:space="preserve">http://jsxcmm.com/help/help.html</w:t>
      </w:r>
      <w:r>
        <w:rPr>
          <w:rFonts w:hint="eastAsia" w:ascii="仿宋" w:hAnsi="仿宋" w:eastAsia="仿宋" w:cs="仿宋"/>
          <w:color w:val="auto"/>
          <w:sz w:val="24"/>
          <w:highlight w:val="none"/>
          <w:u w:val="singl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4.2不论磋商的结果如何，磋商组织方在任何情况下均无义务和责任承担上述费用。</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75" w:name="_Toc73365472"/>
      <w:r/>
      <w:bookmarkStart w:id="76" w:name="_Toc142925625"/>
      <w:r/>
      <w:bookmarkStart w:id="77" w:name="_Toc73364859"/>
      <w:r>
        <w:rPr>
          <w:rFonts w:hint="eastAsia" w:ascii="仿宋" w:hAnsi="仿宋" w:eastAsia="仿宋" w:cs="仿宋"/>
          <w:color w:val="auto"/>
          <w:sz w:val="30"/>
          <w:highlight w:val="none"/>
        </w:rPr>
        <w:t xml:space="preserve">5．政策功能</w:t>
      </w:r>
      <w:bookmarkEnd w:id="75"/>
      <w:r/>
      <w:bookmarkEnd w:id="76"/>
      <w:r/>
      <w:bookmarkEnd w:id="77"/>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bookmarkStart w:id="78" w:name="_Toc73365473"/>
      <w:r/>
      <w:bookmarkStart w:id="79" w:name="_Toc73364860"/>
      <w:r/>
      <w:bookmarkStart w:id="80" w:name="_Toc142925626"/>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w:t>
      </w:r>
      <w:r>
        <w:rPr>
          <w:rFonts w:hint="eastAsia" w:ascii="仿宋" w:hAnsi="仿宋" w:eastAsia="仿宋" w:cs="华文宋体"/>
          <w:color w:val="auto"/>
          <w:sz w:val="24"/>
          <w:lang w:eastAsia="zh-CN"/>
        </w:rPr>
        <w:t xml:space="preserve">采购文件</w:t>
      </w:r>
      <w:r>
        <w:rPr>
          <w:rFonts w:ascii="仿宋" w:hAnsi="仿宋" w:eastAsia="仿宋" w:cs="华文宋体"/>
          <w:color w:val="auto"/>
          <w:sz w:val="24"/>
          <w:lang w:eastAsia="zh-CN"/>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w:t>
      </w:r>
      <w:r>
        <w:rPr>
          <w:rFonts w:hint="eastAsia" w:ascii="仿宋" w:hAnsi="仿宋" w:eastAsia="仿宋" w:cs="华文宋体"/>
          <w:color w:val="auto"/>
          <w:sz w:val="24"/>
          <w:lang w:eastAsia="zh-CN"/>
        </w:rPr>
        <w:t xml:space="preserve">成交供应商</w:t>
      </w:r>
      <w:r>
        <w:rPr>
          <w:rFonts w:ascii="仿宋" w:hAnsi="仿宋" w:eastAsia="仿宋" w:cs="华文宋体"/>
          <w:color w:val="auto"/>
          <w:sz w:val="24"/>
          <w:lang w:eastAsia="zh-CN"/>
        </w:rPr>
        <w:t xml:space="preserve">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pStyle w:val="805"/>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二、磋商文件</w:t>
      </w:r>
      <w:bookmarkEnd w:id="78"/>
      <w:r/>
      <w:bookmarkEnd w:id="79"/>
      <w:r/>
      <w:bookmarkEnd w:id="8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81" w:name="_Toc142925627"/>
      <w:r/>
      <w:bookmarkStart w:id="82" w:name="_Toc73365474"/>
      <w:r/>
      <w:bookmarkStart w:id="83" w:name="_Toc73364861"/>
      <w:r>
        <w:rPr>
          <w:rFonts w:hint="eastAsia" w:ascii="仿宋" w:hAnsi="仿宋" w:eastAsia="仿宋" w:cs="仿宋"/>
          <w:color w:val="auto"/>
          <w:sz w:val="30"/>
          <w:highlight w:val="none"/>
        </w:rPr>
        <w:t xml:space="preserve">6．磋商文件组成</w:t>
      </w:r>
      <w:bookmarkEnd w:id="81"/>
      <w:r/>
      <w:bookmarkEnd w:id="82"/>
      <w:r/>
      <w:bookmarkEnd w:id="83"/>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6.1磋商文件包括：</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（1）磋商邀请</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（2）供应商须知</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（5）评审办法和标准</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（6）磋商响应文件（格式）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6.2供应商获取本文件后，应认真阅读本文件中所有的事项、格式条款和规范等要求。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highlight w:val="none"/>
        </w:rPr>
        <w:t xml:space="preserve">。</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84" w:name="_Toc73364862"/>
      <w:r/>
      <w:bookmarkStart w:id="85" w:name="_Toc73365475"/>
      <w:r/>
      <w:bookmarkStart w:id="86" w:name="_Toc142925628"/>
      <w:r>
        <w:rPr>
          <w:rFonts w:hint="eastAsia" w:ascii="仿宋" w:hAnsi="仿宋" w:eastAsia="仿宋" w:cs="仿宋"/>
          <w:color w:val="auto"/>
          <w:sz w:val="30"/>
          <w:highlight w:val="none"/>
        </w:rPr>
        <w:t xml:space="preserve">7．磋商文件的澄清和修改</w:t>
      </w:r>
      <w:bookmarkEnd w:id="84"/>
      <w:r/>
      <w:bookmarkEnd w:id="85"/>
      <w:r/>
      <w:bookmarkEnd w:id="8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7.1任何要求对磋商文件进行澄清的供应商，应及时联系项目联系人。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w:t>
      </w:r>
      <w:r>
        <w:rPr>
          <w:rFonts w:hint="eastAsia" w:ascii="仿宋" w:hAnsi="仿宋" w:eastAsia="仿宋" w:cs="仿宋"/>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7.3磋商组织方可以对已发出的磋商文件进行必要的澄清或者修改。澄清或者修改将在</w:t>
      </w:r>
      <w:r>
        <w:rPr>
          <w:rFonts w:hint="eastAsia" w:ascii="仿宋" w:hAnsi="仿宋" w:eastAsia="仿宋" w:cs="仿宋"/>
          <w:color w:val="auto"/>
          <w:spacing w:val="1"/>
          <w:sz w:val="24"/>
          <w:highlight w:val="none"/>
        </w:rPr>
        <w:t xml:space="preserve">“江苏政府采购网——苏采云平台</w:t>
      </w:r>
      <w:r>
        <w:rPr>
          <w:rFonts w:hint="eastAsia" w:ascii="仿宋" w:hAnsi="仿宋" w:eastAsia="仿宋" w:cs="仿宋"/>
          <w:color w:val="auto"/>
          <w:sz w:val="24"/>
          <w:highlight w:val="none"/>
        </w:rPr>
        <w:t xml:space="preserve">”网站上发布澄清公告。澄清或者修改的内容为磋商文件的组成部分。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7.5如澄清或修改公告有重新发布电子磋商文件的，供应商应下载最新发布的电子磋商文件制作响应文件。因供应商自身原因未能及时获取的，一切后果由供应商自行承担。</w:t>
      </w:r>
      <w:bookmarkStart w:id="87" w:name="EB6b6863424e2e48afbb4b6eb8be474c89"/>
      <w:r/>
      <w:bookmarkEnd w:id="87"/>
      <w:r/>
      <w:r/>
    </w:p>
    <w:p>
      <w:pPr>
        <w:pStyle w:val="805"/>
        <w:spacing w:before="0" w:after="0" w:line="360" w:lineRule="auto"/>
        <w:rPr>
          <w:rFonts w:hint="eastAsia" w:ascii="仿宋" w:hAnsi="仿宋" w:eastAsia="仿宋" w:cs="仿宋"/>
          <w:color w:val="auto"/>
          <w:sz w:val="32"/>
          <w:highlight w:val="none"/>
        </w:rPr>
      </w:pPr>
      <w:r/>
      <w:bookmarkStart w:id="88" w:name="_Toc142925629"/>
      <w:r/>
      <w:bookmarkStart w:id="89" w:name="_Toc73365476"/>
      <w:r/>
      <w:bookmarkStart w:id="90" w:name="_Toc73364863"/>
      <w:r>
        <w:rPr>
          <w:rFonts w:hint="eastAsia" w:ascii="仿宋" w:hAnsi="仿宋" w:eastAsia="仿宋" w:cs="仿宋"/>
          <w:color w:val="auto"/>
          <w:sz w:val="32"/>
          <w:highlight w:val="none"/>
        </w:rPr>
        <w:t xml:space="preserve">三、磋商响应文件</w:t>
      </w:r>
      <w:bookmarkEnd w:id="88"/>
      <w:r/>
      <w:bookmarkEnd w:id="89"/>
      <w:r/>
      <w:bookmarkEnd w:id="90"/>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1" w:name="_Toc142925630"/>
      <w:r/>
      <w:bookmarkStart w:id="92" w:name="_Toc73364864"/>
      <w:r/>
      <w:bookmarkStart w:id="93" w:name="_Toc73365477"/>
      <w:r>
        <w:rPr>
          <w:rFonts w:hint="eastAsia" w:ascii="仿宋" w:hAnsi="仿宋" w:eastAsia="仿宋" w:cs="仿宋"/>
          <w:color w:val="auto"/>
          <w:sz w:val="30"/>
          <w:highlight w:val="none"/>
        </w:rPr>
        <w:t xml:space="preserve">8．编制响应文件的工具</w:t>
      </w:r>
      <w:bookmarkEnd w:id="91"/>
      <w:r/>
      <w:bookmarkEnd w:id="92"/>
      <w:r/>
      <w:bookmarkEnd w:id="9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8.1供应商须通过“江苏政府采购网-苏采云平台”提供的最新响应文件制作软件编制响应文件。</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4" w:name="_Toc142925631"/>
      <w:r/>
      <w:bookmarkStart w:id="95" w:name="_Toc73365478"/>
      <w:r/>
      <w:bookmarkStart w:id="96" w:name="_Toc73364865"/>
      <w:r>
        <w:rPr>
          <w:rFonts w:hint="eastAsia" w:ascii="仿宋" w:hAnsi="仿宋" w:eastAsia="仿宋" w:cs="仿宋"/>
          <w:color w:val="auto"/>
          <w:sz w:val="30"/>
          <w:highlight w:val="none"/>
        </w:rPr>
        <w:t xml:space="preserve">9．响应文件语言及度量衡单位</w:t>
      </w:r>
      <w:bookmarkEnd w:id="94"/>
      <w:r/>
      <w:bookmarkEnd w:id="95"/>
      <w:r/>
      <w:bookmarkEnd w:id="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9.2响应文件中所使用的计量单位除磋商文件中另有特殊规定外，一律使用法定计量单位。</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97" w:name="_Toc73365479"/>
      <w:r/>
      <w:bookmarkStart w:id="98" w:name="_Toc73364866"/>
      <w:r/>
      <w:bookmarkStart w:id="99" w:name="_Toc142925632"/>
      <w:r>
        <w:rPr>
          <w:rFonts w:hint="eastAsia" w:ascii="仿宋" w:hAnsi="仿宋" w:eastAsia="仿宋" w:cs="仿宋"/>
          <w:color w:val="auto"/>
          <w:sz w:val="30"/>
          <w:highlight w:val="none"/>
        </w:rPr>
        <w:t xml:space="preserve">10．响应文件的构成</w:t>
      </w:r>
      <w:bookmarkEnd w:id="97"/>
      <w:r/>
      <w:bookmarkEnd w:id="98"/>
      <w:r/>
      <w:bookmarkEnd w:id="99"/>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10.1响应文件分为资格部分、商务部分和技术部分。</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10.2资格部分系指供应商提交的证明其有资格参加磋商的文件。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10.3商务部分系指供应商提交的证明其成交后有能力履行合同的文件。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10.4技术部分系指供应商提交的能够证明其提供的服务（货物）符合磋商文件规定的文件。</w:t>
      </w:r>
      <w:r/>
    </w:p>
    <w:p>
      <w:pPr>
        <w:pStyle w:val="968"/>
        <w:ind w:firstLine="425"/>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10.5具体填写格式详见磋商文件第六部分。</w:t>
      </w:r>
      <w:r/>
    </w:p>
    <w:p>
      <w:pPr>
        <w:pStyle w:val="806"/>
        <w:ind w:firstLine="446"/>
        <w:keepLines w:val="0"/>
        <w:keepNext w:val="0"/>
        <w:spacing w:before="0" w:after="0" w:line="360" w:lineRule="auto"/>
        <w:rPr>
          <w:rFonts w:hint="eastAsia" w:ascii="仿宋" w:hAnsi="仿宋" w:eastAsia="仿宋" w:cs="仿宋"/>
          <w:color w:val="auto"/>
          <w:sz w:val="30"/>
          <w:highlight w:val="none"/>
        </w:rPr>
      </w:pPr>
      <w:r/>
      <w:bookmarkStart w:id="100" w:name="_Toc73364867"/>
      <w:r/>
      <w:bookmarkStart w:id="101" w:name="_Toc73365480"/>
      <w:r/>
      <w:bookmarkStart w:id="102" w:name="_Toc142925633"/>
      <w:r>
        <w:rPr>
          <w:rFonts w:hint="eastAsia" w:ascii="仿宋" w:hAnsi="仿宋" w:eastAsia="仿宋" w:cs="仿宋"/>
          <w:color w:val="auto"/>
          <w:sz w:val="30"/>
          <w:highlight w:val="none"/>
        </w:rPr>
        <w:t xml:space="preserve">11．响应文件的编写</w:t>
      </w:r>
      <w:bookmarkEnd w:id="100"/>
      <w:r/>
      <w:bookmarkEnd w:id="101"/>
      <w:r/>
      <w:bookmarkEnd w:id="102"/>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11.1供应商应仔细阅读磋商文件，按照磋商文件的要求编制响应文件。响应文件应当对磋商文件提出的要求和条件作出明确响应。</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11.3响应文件编排混乱、文字表达不清或上传资料内容模糊所引起的不利后果，由供应商自行承担。</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供应商必须保证响应文件所提供的全部资料合法、真实、可靠。</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3" w:name="_Toc142925634"/>
      <w:r/>
      <w:bookmarkStart w:id="104" w:name="_Toc73364868"/>
      <w:r/>
      <w:bookmarkStart w:id="105" w:name="_Toc73365481"/>
      <w:r>
        <w:rPr>
          <w:rFonts w:hint="eastAsia" w:ascii="仿宋" w:hAnsi="仿宋" w:eastAsia="仿宋" w:cs="仿宋"/>
          <w:color w:val="auto"/>
          <w:sz w:val="30"/>
          <w:highlight w:val="none"/>
        </w:rPr>
        <w:t xml:space="preserve">12．响应报价</w:t>
      </w:r>
      <w:bookmarkEnd w:id="103"/>
      <w:r/>
      <w:bookmarkEnd w:id="104"/>
      <w:r/>
      <w:bookmarkEnd w:id="105"/>
      <w:r/>
      <w:r/>
    </w:p>
    <w:p>
      <w:pPr>
        <w:ind w:firstLine="480"/>
        <w:spacing w:line="360" w:lineRule="auto"/>
        <w:rPr>
          <w:rFonts w:hint="eastAsia" w:ascii="仿宋" w:hAnsi="仿宋" w:eastAsia="仿宋" w:cs="仿宋"/>
          <w:color w:val="auto"/>
          <w:sz w:val="24"/>
          <w:highlight w:val="none"/>
        </w:rPr>
      </w:pPr>
      <w:r/>
      <w:bookmarkStart w:id="106" w:name="EBdf1224c9869e4463a955117a0de4c3b6"/>
      <w:r>
        <w:rPr>
          <w:rFonts w:hint="eastAsia" w:ascii="仿宋" w:hAnsi="仿宋" w:eastAsia="仿宋" w:cs="仿宋"/>
          <w:color w:val="auto"/>
          <w:sz w:val="24"/>
          <w:highlight w:val="none"/>
        </w:rPr>
        <w:t xml:space="preserve">12.1磋商应以人民币报价（保留至小数点后2位，四舍五入）。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12.2供应商应按磋商文件所提供的各报价表格式报价。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12.3供应商对本项目应报出最具有竞争力的价格，应包括本次磋商要求提供货物(服务)已支付或将支付的所有费用。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12.4供应商应按磋商文件的要求在响应文件里提供磋商首轮报价，并根据首轮报价在所附的首轮明细报价表上列明所提供货物（服务）的明细报价。供应商需根据项目需求及自身经验填写明细报价。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12.5在磋商过程中未对磋商内容作出实质性变更、修改的情况下，如最后报价超过首轮报价，则最后报价无效，以其首轮报价作为最终报价。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12.6最低磋商报价不能作为成交的唯一保证。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12.7磋商最后报价即为合同签约价。</w:t>
      </w:r>
      <w:bookmarkEnd w:id="106"/>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07" w:name="_Toc73365482"/>
      <w:r/>
      <w:bookmarkStart w:id="108" w:name="_Toc142925635"/>
      <w:r/>
      <w:bookmarkStart w:id="109" w:name="_Toc73364869"/>
      <w:r>
        <w:rPr>
          <w:rFonts w:hint="eastAsia" w:ascii="仿宋" w:hAnsi="仿宋" w:eastAsia="仿宋" w:cs="仿宋"/>
          <w:color w:val="auto"/>
          <w:sz w:val="30"/>
          <w:highlight w:val="none"/>
        </w:rPr>
        <w:t xml:space="preserve">13．磋商保证金</w:t>
      </w:r>
      <w:bookmarkEnd w:id="107"/>
      <w:r/>
      <w:bookmarkEnd w:id="108"/>
      <w:r/>
      <w:bookmarkEnd w:id="109"/>
      <w:r/>
      <w:r/>
    </w:p>
    <w:p>
      <w:pPr>
        <w:ind w:firstLine="480"/>
        <w:spacing w:line="360" w:lineRule="auto"/>
        <w:rPr>
          <w:rFonts w:hint="eastAsia" w:ascii="仿宋" w:hAnsi="仿宋" w:eastAsia="仿宋" w:cs="仿宋"/>
          <w:color w:val="auto"/>
          <w:sz w:val="24"/>
          <w:highlight w:val="none"/>
        </w:rPr>
      </w:pPr>
      <w:r/>
      <w:bookmarkStart w:id="110" w:name="EBffce9a1083124a32b81da965a376b38b"/>
      <w:r>
        <w:rPr>
          <w:rFonts w:hint="eastAsia" w:ascii="仿宋" w:hAnsi="仿宋" w:eastAsia="仿宋" w:cs="仿宋"/>
          <w:color w:val="auto"/>
          <w:sz w:val="24"/>
          <w:highlight w:val="none"/>
        </w:rPr>
        <w:t xml:space="preserve">13.1本项目不收磋商保证金。</w:t>
      </w:r>
      <w:bookmarkEnd w:id="11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1" w:name="_Toc73364870"/>
      <w:r/>
      <w:bookmarkStart w:id="112" w:name="_Toc142925636"/>
      <w:r/>
      <w:bookmarkStart w:id="113" w:name="_Toc73365483"/>
      <w:r>
        <w:rPr>
          <w:rFonts w:hint="eastAsia" w:ascii="仿宋" w:hAnsi="仿宋" w:eastAsia="仿宋" w:cs="仿宋"/>
          <w:color w:val="auto"/>
          <w:sz w:val="30"/>
          <w:highlight w:val="none"/>
        </w:rPr>
        <w:t xml:space="preserve">14．磋商响应有效期</w:t>
      </w:r>
      <w:bookmarkEnd w:id="111"/>
      <w:r/>
      <w:bookmarkEnd w:id="112"/>
      <w:r/>
      <w:bookmarkEnd w:id="11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14.1磋商有效期为：磋商响应文件自磋商之日起</w:t>
      </w:r>
      <w:bookmarkStart w:id="114" w:name="EBe5331d116298431aa240d61d189e1ecb"/>
      <w:r>
        <w:rPr>
          <w:rFonts w:hint="eastAsia" w:ascii="仿宋" w:hAnsi="仿宋" w:eastAsia="仿宋" w:cs="仿宋"/>
          <w:color w:val="auto"/>
          <w:sz w:val="24"/>
          <w:highlight w:val="none"/>
          <w:lang w:val="en-US" w:eastAsia="zh-CN"/>
        </w:rPr>
        <w:t xml:space="preserve">90</w:t>
      </w:r>
      <w:r>
        <w:rPr>
          <w:rFonts w:hint="eastAsia" w:ascii="仿宋" w:hAnsi="仿宋" w:eastAsia="仿宋" w:cs="仿宋"/>
          <w:color w:val="auto"/>
          <w:sz w:val="24"/>
          <w:highlight w:val="none"/>
        </w:rPr>
        <w:t xml:space="preserve">天</w:t>
      </w:r>
      <w:bookmarkEnd w:id="114"/>
      <w:r>
        <w:rPr>
          <w:rFonts w:hint="eastAsia" w:ascii="仿宋" w:hAnsi="仿宋" w:eastAsia="仿宋" w:cs="仿宋"/>
          <w:color w:val="auto"/>
          <w:sz w:val="24"/>
          <w:highlight w:val="none"/>
        </w:rPr>
        <w:t xml:space="preserve">内有效。供应商一旦领取了本磋商文件并参加磋商，即被认为接受了磋商有效期的约定。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5" w:name="_Toc73364871"/>
      <w:r/>
      <w:bookmarkStart w:id="116" w:name="_Toc73365484"/>
      <w:r/>
      <w:bookmarkStart w:id="117" w:name="_Toc142925637"/>
      <w:r>
        <w:rPr>
          <w:rFonts w:hint="eastAsia" w:ascii="仿宋" w:hAnsi="仿宋" w:eastAsia="仿宋" w:cs="仿宋"/>
          <w:color w:val="auto"/>
          <w:sz w:val="30"/>
          <w:highlight w:val="none"/>
        </w:rPr>
        <w:t xml:space="preserve">15. 响应文件的式样和签署</w:t>
      </w:r>
      <w:bookmarkEnd w:id="115"/>
      <w:r/>
      <w:bookmarkEnd w:id="116"/>
      <w:r/>
      <w:bookmarkEnd w:id="117"/>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15.1供应商应通过响应文件制作软件使用数字认证证书对响应文件进行合成、电子签章及加密打包。</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18" w:name="_Toc73365485"/>
      <w:r/>
      <w:bookmarkStart w:id="119" w:name="_Toc142925638"/>
      <w:r/>
      <w:bookmarkStart w:id="120" w:name="_Toc73364872"/>
      <w:r>
        <w:rPr>
          <w:rFonts w:hint="eastAsia" w:ascii="仿宋" w:hAnsi="仿宋" w:eastAsia="仿宋" w:cs="仿宋"/>
          <w:color w:val="auto"/>
          <w:sz w:val="30"/>
          <w:highlight w:val="none"/>
        </w:rPr>
        <w:t xml:space="preserve">16．响应文件的提交</w:t>
      </w:r>
      <w:bookmarkEnd w:id="118"/>
      <w:r/>
      <w:bookmarkEnd w:id="119"/>
      <w:r/>
      <w:bookmarkEnd w:id="120"/>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16.1响应文件提交</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highlight w:val="none"/>
          <w:u w:val="single"/>
        </w:rPr>
        <w:t xml:space="preserve">时间以电子交易平台时间为准。</w:t>
      </w:r>
      <w:r/>
    </w:p>
    <w:p>
      <w:pPr>
        <w:ind w:left="1"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供应商</w:t>
      </w:r>
      <w:r>
        <w:rPr>
          <w:rFonts w:hint="eastAsia" w:ascii="仿宋" w:hAnsi="仿宋" w:eastAsia="仿宋" w:cs="仿宋"/>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16.1.4因不可抗力事件造成的响应文件的损坏、丢失的，磋商组织方不承担责任。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磋商组织方可以通过修改磋商文件自行酌情延长截止时间，在此情况下，推迟提交截止时间将以书面形式通知已获取磋商文件的潜在供应商，并在“江苏政府采购网-苏采云平台</w:t>
      </w:r>
      <w:r>
        <w:rPr>
          <w:rFonts w:hint="eastAsia" w:ascii="仿宋" w:hAnsi="仿宋" w:eastAsia="仿宋" w:cs="仿宋"/>
          <w:color w:val="auto"/>
          <w:spacing w:val="-1"/>
          <w:sz w:val="24"/>
          <w:highlight w:val="none"/>
        </w:rPr>
        <w:t xml:space="preserve">”</w:t>
      </w:r>
      <w:r>
        <w:rPr>
          <w:rFonts w:hint="eastAsia" w:ascii="仿宋" w:hAnsi="仿宋" w:eastAsia="仿宋" w:cs="仿宋"/>
          <w:color w:val="auto"/>
          <w:sz w:val="24"/>
          <w:highlight w:val="none"/>
        </w:rPr>
        <w:t xml:space="preserve">上发布公告。供应商应及时自行登录系统查看相应内容。</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1" w:name="_Toc73364873"/>
      <w:r/>
      <w:bookmarkStart w:id="122" w:name="_Toc73365486"/>
      <w:r/>
      <w:bookmarkStart w:id="123" w:name="_Toc142925639"/>
      <w:r>
        <w:rPr>
          <w:rFonts w:hint="eastAsia" w:ascii="仿宋" w:hAnsi="仿宋" w:eastAsia="仿宋" w:cs="仿宋"/>
          <w:color w:val="auto"/>
          <w:sz w:val="30"/>
          <w:highlight w:val="none"/>
        </w:rPr>
        <w:t xml:space="preserve">17．响应文件的补充、修改或者撤回</w:t>
      </w:r>
      <w:bookmarkEnd w:id="121"/>
      <w:r/>
      <w:bookmarkEnd w:id="122"/>
      <w:r/>
      <w:bookmarkEnd w:id="12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17.1在提交截止时间前，供应商可以对所提交的电子响应文件进行撤回。</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17.3在提交截止时间之后，供应商不得对其响应文件作任何修改或撤回。</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17.4在提交截止时间至磋商文件中规定的磋商有效期满之间，供应商不得撤回其响应。</w:t>
      </w:r>
      <w:bookmarkStart w:id="124" w:name="EBaa19a55568844d1d8b24a2a9d2d44487"/>
      <w:r/>
      <w:bookmarkEnd w:id="124"/>
      <w:r/>
      <w:r/>
    </w:p>
    <w:p>
      <w:pPr>
        <w:pStyle w:val="805"/>
        <w:jc w:val="center"/>
        <w:spacing w:before="0" w:after="0" w:line="360" w:lineRule="auto"/>
        <w:rPr>
          <w:rFonts w:hint="eastAsia" w:ascii="仿宋" w:hAnsi="仿宋" w:eastAsia="仿宋" w:cs="仿宋"/>
          <w:color w:val="auto"/>
          <w:sz w:val="32"/>
          <w:highlight w:val="none"/>
        </w:rPr>
      </w:pPr>
      <w:r/>
      <w:bookmarkStart w:id="125" w:name="_Toc142925640"/>
      <w:r/>
      <w:bookmarkStart w:id="126" w:name="_Toc73365487"/>
      <w:r/>
      <w:bookmarkStart w:id="127" w:name="_Toc73364874"/>
      <w:r>
        <w:rPr>
          <w:rFonts w:hint="eastAsia" w:ascii="仿宋" w:hAnsi="仿宋" w:eastAsia="仿宋" w:cs="仿宋"/>
          <w:color w:val="auto"/>
          <w:sz w:val="32"/>
          <w:highlight w:val="none"/>
        </w:rPr>
        <w:t xml:space="preserve">四、磋商与评审</w:t>
      </w:r>
      <w:bookmarkEnd w:id="125"/>
      <w:r/>
      <w:bookmarkEnd w:id="126"/>
      <w:r/>
      <w:bookmarkEnd w:id="127"/>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28" w:name="_Toc142925641"/>
      <w:r/>
      <w:bookmarkStart w:id="129" w:name="_Toc73365488"/>
      <w:r/>
      <w:bookmarkStart w:id="130" w:name="_Toc73364875"/>
      <w:r>
        <w:rPr>
          <w:rFonts w:hint="eastAsia" w:ascii="仿宋" w:hAnsi="仿宋" w:eastAsia="仿宋" w:cs="仿宋"/>
          <w:color w:val="auto"/>
          <w:sz w:val="30"/>
          <w:highlight w:val="none"/>
        </w:rPr>
        <w:t xml:space="preserve">18．磋商</w:t>
      </w:r>
      <w:bookmarkEnd w:id="128"/>
      <w:r/>
      <w:bookmarkEnd w:id="129"/>
      <w:r/>
      <w:bookmarkEnd w:id="130"/>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18.1供应商应当在磋商前做好充分准备，携带CA数字证书准时参加磋商。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w:t>
      </w:r>
      <w:r>
        <w:rPr>
          <w:rFonts w:hint="eastAsia" w:ascii="仿宋" w:hAnsi="仿宋" w:eastAsia="仿宋" w:cs="仿宋"/>
          <w:b/>
          <w:color w:val="auto"/>
          <w:sz w:val="24"/>
          <w:highlight w:val="none"/>
        </w:rPr>
        <w:t xml:space="preserve">供应商不足3家，不进入解密程序。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w:t>
      </w:r>
      <w:r>
        <w:rPr>
          <w:rFonts w:hint="eastAsia" w:ascii="仿宋" w:hAnsi="仿宋" w:eastAsia="仿宋" w:cs="仿宋"/>
          <w:b/>
          <w:color w:val="auto"/>
          <w:sz w:val="24"/>
          <w:highlight w:val="none"/>
        </w:rPr>
        <w:t xml:space="preserve">磋商时，磋商组织方将在系统内公布供应商名单，发出解密的指令，供应商自行实施解密，限定在主持人发布解密指令后</w:t>
      </w:r>
      <w:bookmarkStart w:id="131" w:name="EBaf33e81756a940b58c69ffadb3ca2432"/>
      <w:r>
        <w:rPr>
          <w:rFonts w:hint="eastAsia" w:ascii="仿宋" w:hAnsi="仿宋" w:eastAsia="仿宋" w:cs="仿宋"/>
          <w:b/>
          <w:color w:val="auto"/>
          <w:sz w:val="24"/>
          <w:highlight w:val="none"/>
        </w:rPr>
        <w:t xml:space="preserve">30分钟</w:t>
      </w:r>
      <w:bookmarkEnd w:id="131"/>
      <w:r>
        <w:rPr>
          <w:rFonts w:hint="eastAsia" w:ascii="仿宋" w:hAnsi="仿宋" w:eastAsia="仿宋" w:cs="仿宋"/>
          <w:b/>
          <w:color w:val="auto"/>
          <w:sz w:val="24"/>
          <w:highlight w:val="none"/>
        </w:rPr>
        <w:t xml:space="preserve">内完成。解密时，供应商必须使用与制作响应文件时同一数字认证证书对响应文件进行解密，否则解密将会失败。</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18.4</w:t>
      </w:r>
      <w:r>
        <w:rPr>
          <w:rFonts w:hint="eastAsia" w:ascii="仿宋" w:hAnsi="仿宋" w:eastAsia="仿宋" w:cs="仿宋"/>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highlight w:val="none"/>
        </w:rPr>
        <w:t xml:space="preserve">若解密成功的供应商不足三家，不进入后续程序。</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18.5本项目在限定的解密时间内，只要有任一家供应商解密成功，即视为电子交易平台运行无故障。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18.6供应商须配合磋商工作，否则自行承担后果。</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2" w:name="_Toc73365489"/>
      <w:r/>
      <w:bookmarkStart w:id="133" w:name="_Toc142925642"/>
      <w:r/>
      <w:bookmarkStart w:id="134" w:name="_Toc73364876"/>
      <w:r>
        <w:rPr>
          <w:rFonts w:hint="eastAsia" w:ascii="仿宋" w:hAnsi="仿宋" w:eastAsia="仿宋" w:cs="仿宋"/>
          <w:color w:val="auto"/>
          <w:sz w:val="30"/>
          <w:highlight w:val="none"/>
        </w:rPr>
        <w:t xml:space="preserve">19．磋商小组组成</w:t>
      </w:r>
      <w:bookmarkEnd w:id="132"/>
      <w:r/>
      <w:bookmarkEnd w:id="133"/>
      <w:r/>
      <w:bookmarkEnd w:id="13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19.1磋商小组将由采购人代表和评审专家组成，成员人数为3人或3人以上单数。</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5" w:name="_Toc73364877"/>
      <w:r/>
      <w:bookmarkStart w:id="136" w:name="_Toc73365490"/>
      <w:r/>
      <w:bookmarkStart w:id="137" w:name="_Toc142925643"/>
      <w:r>
        <w:rPr>
          <w:rFonts w:hint="eastAsia" w:ascii="仿宋" w:hAnsi="仿宋" w:eastAsia="仿宋" w:cs="仿宋"/>
          <w:color w:val="auto"/>
          <w:sz w:val="30"/>
          <w:highlight w:val="none"/>
        </w:rPr>
        <w:t xml:space="preserve">20．无效磋商的情形</w:t>
      </w:r>
      <w:bookmarkEnd w:id="135"/>
      <w:r/>
      <w:bookmarkEnd w:id="136"/>
      <w:r/>
      <w:bookmarkEnd w:id="137"/>
      <w:r/>
      <w:r/>
    </w:p>
    <w:p>
      <w:pPr>
        <w:ind w:left="1"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供应商存在下列情况之一的，其磋商无效：</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（1）响应文件未按磋商文件要求签署、盖章的；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（2）不具备磋商文件中规定的资格要求的；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（4）响应文件含有采购人不能接受的附加条件的;</w:t>
      </w:r>
      <w:r/>
    </w:p>
    <w:p>
      <w:pPr>
        <w:ind w:firstLine="482"/>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（5）不符合法律、法规和磋商文件规定的其它实质性条款（须经磋商小组半数以上同意）：</w:t>
      </w:r>
      <w:r/>
    </w:p>
    <w:p>
      <w:pPr>
        <w:spacing w:line="360" w:lineRule="auto"/>
        <w:rPr>
          <w:rFonts w:hint="eastAsia" w:ascii="仿宋" w:hAnsi="仿宋" w:eastAsia="仿宋" w:cs="仿宋"/>
          <w:color w:val="auto"/>
          <w:sz w:val="24"/>
          <w:highlight w:val="none"/>
        </w:rPr>
      </w:pPr>
      <w:r/>
      <w:bookmarkStart w:id="138" w:name="EB1a6133a9061749489c10f63f90f17fb6"/>
      <w:r>
        <w:rPr>
          <w:rFonts w:hint="eastAsia" w:ascii="仿宋" w:hAnsi="仿宋" w:eastAsia="仿宋" w:cs="仿宋"/>
          <w:color w:val="auto"/>
          <w:sz w:val="24"/>
          <w:highlight w:val="none"/>
        </w:rPr>
        <w:t xml:space="preserve">不同供应商的单位负责人为同一人或者存在直接控股、管理关系的；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报价明显低于其他通过符合性审查供应商的报价，供应商不能证明其报价合理性的；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响应文件中提供了虚假或失实资料的；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不同供应商的响应文件出现了磋商小组认为不应当雷同的；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供应商存在串通磋商情形的；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未在提交截止时间前提交有效加密文件的；由于供应商原因，未在规定时间内对响应文件进行有效解密的；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期有负偏离的；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参数部分负偏离程度过大或过多，经评委会认定影响采购人实际使用的；</w:t>
      </w:r>
      <w:bookmarkEnd w:id="138"/>
      <w:r/>
      <w:r/>
    </w:p>
    <w:p>
      <w:pPr>
        <w:ind w:left="47" w:right="87" w:firstLine="489"/>
        <w:jc w:val="left"/>
        <w:spacing w:line="360" w:lineRule="auto"/>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highlight w:val="none"/>
          <w:lang w:val="zh-CN"/>
        </w:rPr>
        <w:t xml:space="preserve">如是联合体，未提供有效联合体协议的。</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39" w:name="_Toc73364878"/>
      <w:r/>
      <w:bookmarkStart w:id="140" w:name="_Toc142925644"/>
      <w:r/>
      <w:bookmarkStart w:id="141" w:name="_Toc73365491"/>
      <w:r>
        <w:rPr>
          <w:rFonts w:hint="eastAsia" w:ascii="仿宋" w:hAnsi="仿宋" w:eastAsia="仿宋" w:cs="仿宋"/>
          <w:color w:val="auto"/>
          <w:sz w:val="30"/>
          <w:highlight w:val="none"/>
        </w:rPr>
        <w:t xml:space="preserve">21．串通磋商的情形</w:t>
      </w:r>
      <w:bookmarkEnd w:id="139"/>
      <w:r/>
      <w:bookmarkEnd w:id="140"/>
      <w:r/>
      <w:bookmarkEnd w:id="141"/>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有下列情形之一的，视为供应商串通磋商，磋商无效：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（1）不同供应商的响应文件由同一单位或者个人编制；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（2）不同供应商委托同一单位或者个人办理磋商事宜；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（3）不同供应商的响应文件载明的项目管理成员或者联系人员为同一人；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（4）不同供应商的响应文件异常一致或者磋商报价呈规律性差异；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（5）不同供应商的响应文件相互混用。</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2" w:name="_Toc73365492"/>
      <w:r/>
      <w:bookmarkStart w:id="143" w:name="_Toc73364879"/>
      <w:r/>
      <w:bookmarkStart w:id="144" w:name="_Toc142925645"/>
      <w:r>
        <w:rPr>
          <w:rFonts w:hint="eastAsia" w:ascii="仿宋" w:hAnsi="仿宋" w:eastAsia="仿宋" w:cs="仿宋"/>
          <w:color w:val="auto"/>
          <w:sz w:val="30"/>
          <w:highlight w:val="none"/>
        </w:rPr>
        <w:t xml:space="preserve">22．响应文件的澄清</w:t>
      </w:r>
      <w:bookmarkEnd w:id="142"/>
      <w:r/>
      <w:bookmarkEnd w:id="143"/>
      <w:r/>
      <w:bookmarkEnd w:id="144"/>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bookmarkStart w:id="145" w:name="EB94a3a32d7227475d8336c257a67dafff"/>
      <w:r/>
      <w:bookmarkEnd w:id="145"/>
      <w:r/>
      <w:bookmarkStart w:id="146" w:name="EBf85a74306ad848b688c4855eedfe1953"/>
      <w:r/>
      <w:bookmarkEnd w:id="146"/>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47" w:name="_Toc73365493"/>
      <w:r/>
      <w:bookmarkStart w:id="148" w:name="_Toc73364880"/>
      <w:r/>
      <w:bookmarkStart w:id="149" w:name="_Toc142925646"/>
      <w:r>
        <w:rPr>
          <w:rFonts w:hint="eastAsia" w:ascii="仿宋" w:hAnsi="仿宋" w:eastAsia="仿宋" w:cs="仿宋"/>
          <w:color w:val="auto"/>
          <w:sz w:val="30"/>
          <w:highlight w:val="none"/>
        </w:rPr>
        <w:t xml:space="preserve">23．磋商内容</w:t>
      </w:r>
      <w:bookmarkEnd w:id="147"/>
      <w:r/>
      <w:bookmarkEnd w:id="148"/>
      <w:r/>
      <w:bookmarkEnd w:id="14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23.1磋商小组与符合条件的供应商就磋商文件中的技术、服务要求及合同草案条款等进行磋商。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0" w:name="_Toc73364881"/>
      <w:r/>
      <w:bookmarkStart w:id="151" w:name="_Toc142925647"/>
      <w:r/>
      <w:bookmarkStart w:id="152" w:name="_Toc73365494"/>
      <w:r>
        <w:rPr>
          <w:rFonts w:hint="eastAsia" w:ascii="仿宋" w:hAnsi="仿宋" w:eastAsia="仿宋" w:cs="仿宋"/>
          <w:color w:val="auto"/>
          <w:sz w:val="30"/>
          <w:highlight w:val="none"/>
        </w:rPr>
        <w:t xml:space="preserve">24．最后报价的提交</w:t>
      </w:r>
      <w:bookmarkEnd w:id="150"/>
      <w:r/>
      <w:bookmarkEnd w:id="151"/>
      <w:r/>
      <w:bookmarkEnd w:id="15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53" w:name="_Toc73365495"/>
      <w:r/>
      <w:bookmarkStart w:id="154" w:name="_Toc142925648"/>
      <w:r/>
      <w:bookmarkStart w:id="155" w:name="_Toc73364882"/>
      <w:r>
        <w:rPr>
          <w:rFonts w:hint="eastAsia" w:ascii="仿宋" w:hAnsi="仿宋" w:eastAsia="仿宋" w:cs="仿宋"/>
          <w:color w:val="auto"/>
          <w:sz w:val="30"/>
          <w:highlight w:val="none"/>
        </w:rPr>
        <w:t xml:space="preserve">25．竞争性磋商特殊情况处理</w:t>
      </w:r>
      <w:bookmarkEnd w:id="153"/>
      <w:r/>
      <w:bookmarkEnd w:id="154"/>
      <w:r/>
      <w:bookmarkEnd w:id="15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25.1出现下列情形之一的，应当终止竞争性磋商采购活动，发布项目终止公告并说明原因，重新开展采购活动：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（1）因情况变化，不再符合规定的竞争性磋商采购方式适用情形的；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25.3因重大变故，采购任务取消的则该磋商活动取消，采购人应当将取消理由通知所有供应商。</w:t>
      </w:r>
      <w:bookmarkStart w:id="156" w:name="EB21b156bb45c342aeb17b81524d625120"/>
      <w:r/>
      <w:bookmarkEnd w:id="156"/>
      <w:r/>
      <w:bookmarkStart w:id="157" w:name="EB553c4f8e1a914e43a9cd4511ce1948ff"/>
      <w:r/>
      <w:bookmarkEnd w:id="157"/>
      <w:r/>
      <w:r/>
    </w:p>
    <w:p>
      <w:pPr>
        <w:pStyle w:val="805"/>
        <w:spacing w:before="0" w:after="0" w:line="360" w:lineRule="auto"/>
        <w:rPr>
          <w:rFonts w:hint="eastAsia" w:ascii="仿宋" w:hAnsi="仿宋" w:eastAsia="仿宋" w:cs="仿宋"/>
          <w:color w:val="auto"/>
          <w:sz w:val="32"/>
          <w:highlight w:val="none"/>
        </w:rPr>
      </w:pPr>
      <w:r/>
      <w:bookmarkStart w:id="158" w:name="_Toc73365496"/>
      <w:r/>
      <w:bookmarkStart w:id="159" w:name="_Toc73364883"/>
      <w:r/>
      <w:bookmarkStart w:id="160" w:name="_Toc142925649"/>
      <w:r>
        <w:rPr>
          <w:rFonts w:hint="eastAsia" w:ascii="仿宋" w:hAnsi="仿宋" w:eastAsia="仿宋" w:cs="仿宋"/>
          <w:color w:val="auto"/>
          <w:sz w:val="32"/>
          <w:highlight w:val="none"/>
        </w:rPr>
        <w:t xml:space="preserve">五、确定成交结果</w:t>
      </w:r>
      <w:bookmarkEnd w:id="158"/>
      <w:r/>
      <w:bookmarkEnd w:id="159"/>
      <w:r/>
      <w:bookmarkEnd w:id="16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61" w:name="_Toc73365497"/>
      <w:r/>
      <w:bookmarkStart w:id="162" w:name="_Toc142925650"/>
      <w:r/>
      <w:bookmarkStart w:id="163" w:name="_Toc73364884"/>
      <w:r>
        <w:rPr>
          <w:rFonts w:hint="eastAsia" w:ascii="仿宋" w:hAnsi="仿宋" w:eastAsia="仿宋" w:cs="仿宋"/>
          <w:color w:val="auto"/>
          <w:sz w:val="30"/>
          <w:highlight w:val="none"/>
        </w:rPr>
        <w:t xml:space="preserve">26．确定成交供应商</w:t>
      </w:r>
      <w:bookmarkEnd w:id="161"/>
      <w:r/>
      <w:bookmarkEnd w:id="162"/>
      <w:r/>
      <w:bookmarkEnd w:id="163"/>
      <w:r/>
      <w:r/>
    </w:p>
    <w:p>
      <w:pPr>
        <w:ind w:firstLine="480"/>
        <w:spacing w:line="360" w:lineRule="auto"/>
        <w:rPr>
          <w:rFonts w:hint="eastAsia" w:ascii="仿宋" w:hAnsi="仿宋" w:eastAsia="仿宋" w:cs="仿宋"/>
          <w:color w:val="auto"/>
          <w:sz w:val="24"/>
          <w:highlight w:val="none"/>
        </w:rPr>
      </w:pPr>
      <w:r/>
      <w:bookmarkStart w:id="164" w:name="EB3fe0db93f0354614add263878fac6db4"/>
      <w:r>
        <w:rPr>
          <w:rFonts w:hint="eastAsia" w:ascii="仿宋" w:hAnsi="仿宋" w:eastAsia="仿宋" w:cs="仿宋"/>
          <w:color w:val="auto"/>
          <w:sz w:val="24"/>
          <w:highlight w:val="none"/>
        </w:rPr>
        <w:t xml:space="preserve">26.1磋商组织方应当在评审结束后2个工作日内将评审报告送采购人确认。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64"/>
      <w:r/>
      <w:bookmarkStart w:id="165" w:name="EBcfb54ffd7eac4226b2539161505dc658"/>
      <w:r/>
      <w:bookmarkEnd w:id="165"/>
      <w:r/>
      <w:bookmarkStart w:id="166" w:name="EB8729e2fc7e9a469e9619e89c5e7d29ec"/>
      <w:r/>
      <w:bookmarkEnd w:id="166"/>
      <w:r/>
      <w:bookmarkStart w:id="167" w:name="EBb036ac1cc01a455e83e17a6d3673e537"/>
      <w:r/>
      <w:bookmarkEnd w:id="167"/>
      <w:r/>
      <w:r/>
    </w:p>
    <w:p>
      <w:pPr>
        <w:pStyle w:val="805"/>
        <w:spacing w:before="0" w:after="0" w:line="360" w:lineRule="auto"/>
        <w:rPr>
          <w:rFonts w:hint="eastAsia" w:ascii="仿宋" w:hAnsi="仿宋" w:eastAsia="仿宋" w:cs="仿宋"/>
          <w:color w:val="auto"/>
          <w:sz w:val="32"/>
          <w:highlight w:val="none"/>
        </w:rPr>
      </w:pPr>
      <w:r/>
      <w:bookmarkStart w:id="168" w:name="_Toc73365498"/>
      <w:r/>
      <w:bookmarkStart w:id="169" w:name="_Toc142925651"/>
      <w:r/>
      <w:bookmarkStart w:id="170" w:name="_Toc73364885"/>
      <w:r>
        <w:rPr>
          <w:rFonts w:hint="eastAsia" w:ascii="仿宋" w:hAnsi="仿宋" w:eastAsia="仿宋" w:cs="仿宋"/>
          <w:color w:val="auto"/>
          <w:sz w:val="32"/>
          <w:highlight w:val="none"/>
        </w:rPr>
        <w:t xml:space="preserve">六、授予合同</w:t>
      </w:r>
      <w:bookmarkEnd w:id="168"/>
      <w:r/>
      <w:bookmarkEnd w:id="169"/>
      <w:r/>
      <w:bookmarkEnd w:id="170"/>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1" w:name="_Toc73365499"/>
      <w:r/>
      <w:bookmarkStart w:id="172" w:name="_Toc142925652"/>
      <w:r/>
      <w:bookmarkStart w:id="173" w:name="_Toc73364886"/>
      <w:r>
        <w:rPr>
          <w:rFonts w:hint="eastAsia" w:ascii="仿宋" w:hAnsi="仿宋" w:eastAsia="仿宋" w:cs="仿宋"/>
          <w:color w:val="auto"/>
          <w:sz w:val="30"/>
          <w:highlight w:val="none"/>
        </w:rPr>
        <w:t xml:space="preserve">27．磋商组织方接受和拒绝任何或所有响应的权利</w:t>
      </w:r>
      <w:bookmarkEnd w:id="171"/>
      <w:r/>
      <w:bookmarkEnd w:id="172"/>
      <w:r/>
      <w:bookmarkEnd w:id="17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27.1为维护国家和社会公共利益，磋商组织方保留在授标之前任何时候接受或拒绝任何供应商成交的权利，且对受影响的供应商不承担任何责任。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27.2因不可抗力或成交供应商不能履约等情形，磋商组织方保留与其他候选供应商签订合同的权利。</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4" w:name="_Toc73365500"/>
      <w:r/>
      <w:bookmarkStart w:id="175" w:name="_Toc73364887"/>
      <w:r/>
      <w:bookmarkStart w:id="176" w:name="_Toc142925653"/>
      <w:r>
        <w:rPr>
          <w:rFonts w:hint="eastAsia" w:ascii="仿宋" w:hAnsi="仿宋" w:eastAsia="仿宋" w:cs="仿宋"/>
          <w:color w:val="auto"/>
          <w:sz w:val="30"/>
          <w:highlight w:val="none"/>
        </w:rPr>
        <w:t xml:space="preserve">28．成交通知书</w:t>
      </w:r>
      <w:bookmarkEnd w:id="174"/>
      <w:r/>
      <w:bookmarkEnd w:id="175"/>
      <w:r/>
      <w:bookmarkEnd w:id="17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28.2成交通知书发出后，采购人不得违法改变成交结果，成交供应商无正当理由不得放弃成交。</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77" w:name="_Toc142925654"/>
      <w:r/>
      <w:bookmarkStart w:id="178" w:name="_Toc73364888"/>
      <w:r/>
      <w:bookmarkStart w:id="179" w:name="_Toc73365501"/>
      <w:r>
        <w:rPr>
          <w:rFonts w:hint="eastAsia" w:ascii="仿宋" w:hAnsi="仿宋" w:eastAsia="仿宋" w:cs="仿宋"/>
          <w:color w:val="auto"/>
          <w:sz w:val="30"/>
          <w:highlight w:val="none"/>
        </w:rPr>
        <w:t xml:space="preserve">29．签订合同</w:t>
      </w:r>
      <w:bookmarkEnd w:id="177"/>
      <w:r/>
      <w:bookmarkEnd w:id="178"/>
      <w:r/>
      <w:bookmarkEnd w:id="17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29.1采购人应当自成交通知书发出之日起</w:t>
      </w:r>
      <w:bookmarkStart w:id="180" w:name="EB51d9b032aa7249af80d45424dadc155d"/>
      <w:r>
        <w:rPr>
          <w:rFonts w:hint="eastAsia" w:ascii="仿宋" w:hAnsi="仿宋" w:eastAsia="仿宋" w:cs="仿宋"/>
          <w:color w:val="auto"/>
          <w:sz w:val="24"/>
          <w:highlight w:val="none"/>
        </w:rPr>
        <w:t xml:space="preserve">15日</w:t>
      </w:r>
      <w:bookmarkEnd w:id="180"/>
      <w:r>
        <w:rPr>
          <w:rFonts w:hint="eastAsia" w:ascii="仿宋" w:hAnsi="仿宋" w:eastAsia="仿宋" w:cs="仿宋"/>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29.5采购人与成交人应当根据合同的约定依法履行合同义务。政府采购合同的履行、违约责任和解决争议的方法等适用</w:t>
      </w:r>
      <w:bookmarkStart w:id="181" w:name="EB756a2e5eaf4942b0afe0c5074e4df86a"/>
      <w:r>
        <w:rPr>
          <w:rFonts w:hint="eastAsia" w:ascii="仿宋" w:hAnsi="仿宋" w:eastAsia="仿宋" w:cs="仿宋"/>
          <w:color w:val="auto"/>
          <w:sz w:val="24"/>
          <w:highlight w:val="none"/>
        </w:rPr>
        <w:t xml:space="preserve">《中华人民共和国民法典》</w:t>
      </w:r>
      <w:bookmarkEnd w:id="181"/>
      <w:r>
        <w:rPr>
          <w:rFonts w:hint="eastAsia" w:ascii="仿宋" w:hAnsi="仿宋" w:eastAsia="仿宋" w:cs="仿宋"/>
          <w:color w:val="auto"/>
          <w:sz w:val="24"/>
          <w:highlight w:val="none"/>
        </w:rPr>
        <w:t xml:space="preserve">。</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2" w:name="_Toc142925655"/>
      <w:r/>
      <w:bookmarkStart w:id="183" w:name="_Toc73364889"/>
      <w:r/>
      <w:bookmarkStart w:id="184" w:name="_Toc73365502"/>
      <w:r>
        <w:rPr>
          <w:rFonts w:hint="eastAsia" w:ascii="仿宋" w:hAnsi="仿宋" w:eastAsia="仿宋" w:cs="仿宋"/>
          <w:color w:val="auto"/>
          <w:sz w:val="30"/>
          <w:highlight w:val="none"/>
        </w:rPr>
        <w:t xml:space="preserve">30．履约保证金</w:t>
      </w:r>
      <w:bookmarkEnd w:id="182"/>
      <w:r/>
      <w:bookmarkEnd w:id="183"/>
      <w:r/>
      <w:bookmarkEnd w:id="184"/>
      <w:r/>
      <w:r/>
    </w:p>
    <w:p>
      <w:pPr>
        <w:ind w:firstLine="480"/>
        <w:spacing w:line="360" w:lineRule="auto"/>
        <w:rPr>
          <w:rFonts w:hint="eastAsia" w:ascii="仿宋" w:hAnsi="仿宋" w:eastAsia="仿宋" w:cs="仿宋"/>
          <w:color w:val="auto"/>
          <w:sz w:val="24"/>
          <w:highlight w:val="none"/>
        </w:rPr>
      </w:pPr>
      <w:r/>
      <w:bookmarkStart w:id="185" w:name="EBe8f62d6faec644a29fa2d130dece78bb"/>
      <w:r/>
      <w:bookmarkEnd w:id="185"/>
      <w:r>
        <w:rPr>
          <w:rFonts w:hint="eastAsia" w:ascii="仿宋" w:hAnsi="仿宋" w:eastAsia="仿宋" w:cs="仿宋"/>
          <w:color w:val="auto"/>
          <w:sz w:val="24"/>
          <w:highlight w:val="none"/>
        </w:rPr>
        <w:t xml:space="preserve">30.1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05"/>
        <w:spacing w:before="0" w:after="0" w:line="360" w:lineRule="auto"/>
        <w:rPr>
          <w:rFonts w:hint="eastAsia" w:ascii="仿宋" w:hAnsi="仿宋" w:eastAsia="仿宋" w:cs="仿宋"/>
          <w:color w:val="auto"/>
          <w:sz w:val="32"/>
          <w:highlight w:val="none"/>
        </w:rPr>
      </w:pPr>
      <w:r/>
      <w:bookmarkStart w:id="186" w:name="_Toc142925656"/>
      <w:r/>
      <w:bookmarkStart w:id="187" w:name="_Toc73364890"/>
      <w:r/>
      <w:bookmarkStart w:id="188" w:name="_Toc73365503"/>
      <w:r>
        <w:rPr>
          <w:rFonts w:hint="eastAsia" w:ascii="仿宋" w:hAnsi="仿宋" w:eastAsia="仿宋" w:cs="仿宋"/>
          <w:color w:val="auto"/>
          <w:sz w:val="32"/>
          <w:highlight w:val="none"/>
        </w:rPr>
        <w:t xml:space="preserve">七、询问、质疑、投诉</w:t>
      </w:r>
      <w:bookmarkEnd w:id="186"/>
      <w:r/>
      <w:bookmarkEnd w:id="187"/>
      <w:r/>
      <w:bookmarkEnd w:id="188"/>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89" w:name="_Toc73365504"/>
      <w:r/>
      <w:bookmarkStart w:id="190" w:name="_Toc142925657"/>
      <w:r/>
      <w:bookmarkStart w:id="191" w:name="_Toc73364891"/>
      <w:r>
        <w:rPr>
          <w:rFonts w:hint="eastAsia" w:ascii="仿宋" w:hAnsi="仿宋" w:eastAsia="仿宋" w:cs="仿宋"/>
          <w:color w:val="auto"/>
          <w:sz w:val="30"/>
          <w:highlight w:val="none"/>
        </w:rPr>
        <w:t xml:space="preserve">31．询问</w:t>
      </w:r>
      <w:bookmarkEnd w:id="189"/>
      <w:r/>
      <w:bookmarkEnd w:id="190"/>
      <w:r/>
      <w:bookmarkEnd w:id="191"/>
      <w:r/>
      <w:r/>
    </w:p>
    <w:p>
      <w:pPr>
        <w:ind w:firstLine="6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2" w:name="_Toc73365505"/>
      <w:r/>
      <w:bookmarkStart w:id="193" w:name="_Toc73364892"/>
      <w:r/>
      <w:bookmarkStart w:id="194" w:name="_Toc142925658"/>
      <w:r>
        <w:rPr>
          <w:rFonts w:hint="eastAsia" w:ascii="仿宋" w:hAnsi="仿宋" w:eastAsia="仿宋" w:cs="仿宋"/>
          <w:color w:val="auto"/>
          <w:sz w:val="30"/>
          <w:highlight w:val="none"/>
        </w:rPr>
        <w:t xml:space="preserve">32．质疑</w:t>
      </w:r>
      <w:bookmarkEnd w:id="192"/>
      <w:r/>
      <w:bookmarkEnd w:id="193"/>
      <w:r/>
      <w:bookmarkEnd w:id="19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5" w:name="EBe57b2086e1964f6c9a98adb43196769d"/>
      <w:r/>
      <w:bookmarkEnd w:id="195"/>
      <w:r/>
      <w:bookmarkStart w:id="196" w:name="EB14c12432eda944b6b81906a07b050baa"/>
      <w:r/>
      <w:bookmarkEnd w:id="19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以上规定的供应商应知其权益受到损害之日，是指：</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（1）对可以质疑的磋商文件提出质疑的，为收到磋商文件之日或者磋商文件公告期限届满之日；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（3）对成交结果提出质疑的，为结果公告期限届满之日。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”网站下载中心。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197" w:name="_Toc73365506"/>
      <w:r/>
      <w:bookmarkStart w:id="198" w:name="_Toc142925659"/>
      <w:r/>
      <w:bookmarkStart w:id="199" w:name="_Toc73364893"/>
      <w:r>
        <w:rPr>
          <w:rFonts w:hint="eastAsia" w:ascii="仿宋" w:hAnsi="仿宋" w:eastAsia="仿宋" w:cs="仿宋"/>
          <w:color w:val="auto"/>
          <w:sz w:val="30"/>
          <w:highlight w:val="none"/>
        </w:rPr>
        <w:t xml:space="preserve">33．投诉</w:t>
      </w:r>
      <w:bookmarkEnd w:id="197"/>
      <w:r/>
      <w:bookmarkEnd w:id="198"/>
      <w:r/>
      <w:bookmarkEnd w:id="19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05"/>
        <w:spacing w:before="0" w:after="0" w:line="360" w:lineRule="auto"/>
        <w:rPr>
          <w:rFonts w:hint="eastAsia" w:ascii="仿宋" w:hAnsi="仿宋" w:eastAsia="仿宋" w:cs="仿宋"/>
          <w:color w:val="auto"/>
          <w:sz w:val="32"/>
          <w:highlight w:val="none"/>
        </w:rPr>
      </w:pPr>
      <w:r/>
      <w:bookmarkStart w:id="200" w:name="EB4dbaea8aee50486696f617d1e2d7db77"/>
      <w:r/>
      <w:bookmarkEnd w:id="200"/>
      <w:r/>
      <w:bookmarkStart w:id="201" w:name="_Toc142925660"/>
      <w:r/>
      <w:bookmarkStart w:id="202" w:name="_Toc73365507"/>
      <w:r/>
      <w:bookmarkStart w:id="203" w:name="_Toc73364894"/>
      <w:r>
        <w:rPr>
          <w:rFonts w:hint="eastAsia" w:ascii="仿宋" w:hAnsi="仿宋" w:eastAsia="仿宋" w:cs="仿宋"/>
          <w:color w:val="auto"/>
          <w:sz w:val="32"/>
          <w:highlight w:val="none"/>
        </w:rPr>
        <w:t xml:space="preserve">八、诚实信用和解释权</w:t>
      </w:r>
      <w:bookmarkEnd w:id="201"/>
      <w:r/>
      <w:bookmarkEnd w:id="202"/>
      <w:r/>
      <w:bookmarkEnd w:id="203"/>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4" w:name="_Toc142925661"/>
      <w:r/>
      <w:bookmarkStart w:id="205" w:name="_Toc73364895"/>
      <w:r/>
      <w:bookmarkStart w:id="206" w:name="_Toc73365508"/>
      <w:r>
        <w:rPr>
          <w:rFonts w:hint="eastAsia" w:ascii="仿宋" w:hAnsi="仿宋" w:eastAsia="仿宋" w:cs="仿宋"/>
          <w:color w:val="auto"/>
          <w:sz w:val="30"/>
          <w:highlight w:val="none"/>
        </w:rPr>
        <w:t xml:space="preserve">34．诚实信用</w:t>
      </w:r>
      <w:bookmarkEnd w:id="204"/>
      <w:r/>
      <w:bookmarkEnd w:id="205"/>
      <w:r/>
      <w:bookmarkEnd w:id="206"/>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34.2供应商不得以向磋商组织方工作人员、磋商小组成员行贿或者采取其他不正当手段谋取成交。经查实供应商有此行为的，将在“</w:t>
      </w:r>
      <w:r>
        <w:rPr>
          <w:rFonts w:hint="eastAsia" w:ascii="仿宋" w:hAnsi="仿宋" w:eastAsia="仿宋" w:cs="仿宋"/>
          <w:color w:val="auto"/>
          <w:sz w:val="24"/>
          <w:highlight w:val="none"/>
          <w:lang w:eastAsia="zh-CN"/>
        </w:rPr>
        <w:t xml:space="preserve">江苏政府采购网</w:t>
      </w:r>
      <w:r>
        <w:rPr>
          <w:rFonts w:hint="eastAsia" w:ascii="仿宋" w:hAnsi="仿宋" w:eastAsia="仿宋" w:cs="仿宋"/>
          <w:color w:val="auto"/>
          <w:sz w:val="24"/>
          <w:highlight w:val="none"/>
        </w:rPr>
        <w:t xml:space="preserve">”网站公告，政府采购管理部门将供应商列入不良行为记录名单，按照政府采购有关规定处理。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34.3供应商不得虚假承诺，否则，按照提供虚假材料谋取中标/成交处理。</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仿宋" w:hAnsi="仿宋" w:eastAsia="仿宋" w:cs="仿宋"/>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07" w:name="_Toc142925662"/>
      <w:r/>
      <w:bookmarkStart w:id="208" w:name="_Toc73364896"/>
      <w:r/>
      <w:bookmarkStart w:id="209" w:name="_Toc73365509"/>
      <w:r>
        <w:rPr>
          <w:rFonts w:hint="eastAsia" w:ascii="仿宋" w:hAnsi="仿宋" w:eastAsia="仿宋" w:cs="仿宋"/>
          <w:color w:val="auto"/>
          <w:sz w:val="30"/>
          <w:highlight w:val="none"/>
        </w:rPr>
        <w:t xml:space="preserve">35．解释权</w:t>
      </w:r>
      <w:bookmarkEnd w:id="207"/>
      <w:r/>
      <w:bookmarkEnd w:id="208"/>
      <w:r/>
      <w:bookmarkEnd w:id="209"/>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35.1除相关法律、法规规定外，本磋商文件的解释权归江苏初始建设项目管理有限公司所有。</w:t>
      </w:r>
      <w:r/>
    </w:p>
    <w:p>
      <w:pPr>
        <w:pStyle w:val="806"/>
        <w:ind w:firstLine="446"/>
        <w:keepLines w:val="0"/>
        <w:keepNext w:val="0"/>
        <w:spacing w:before="0" w:after="0" w:line="360" w:lineRule="auto"/>
        <w:tabs>
          <w:tab w:val="left" w:pos="5191" w:leader="none"/>
        </w:tabs>
        <w:rPr>
          <w:rFonts w:hint="eastAsia" w:ascii="仿宋" w:hAnsi="仿宋" w:eastAsia="仿宋" w:cs="仿宋"/>
          <w:color w:val="auto"/>
          <w:sz w:val="30"/>
          <w:highlight w:val="none"/>
        </w:rPr>
      </w:pPr>
      <w:r/>
      <w:bookmarkStart w:id="210" w:name="_Toc73364897"/>
      <w:r/>
      <w:bookmarkStart w:id="211" w:name="_Toc142925663"/>
      <w:r/>
      <w:bookmarkStart w:id="212" w:name="_Toc73365510"/>
      <w:r>
        <w:rPr>
          <w:rFonts w:hint="eastAsia" w:ascii="仿宋" w:hAnsi="仿宋" w:eastAsia="仿宋" w:cs="仿宋"/>
          <w:color w:val="auto"/>
          <w:sz w:val="30"/>
          <w:highlight w:val="none"/>
        </w:rPr>
        <w:t xml:space="preserve">36．适用法律及约束力</w:t>
      </w:r>
      <w:bookmarkEnd w:id="210"/>
      <w:r/>
      <w:bookmarkEnd w:id="211"/>
      <w:r/>
      <w:bookmarkEnd w:id="21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供应商一旦获取了本磋商文件并参加磋商，即被认为接受了本磋商文件的规定和约束。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36.2本次采购及由本次采购产生的合同受中华人民共和国法律制约和保护。</w:t>
      </w:r>
      <w:r/>
    </w:p>
    <w:p>
      <w:pPr>
        <w:pStyle w:val="805"/>
        <w:spacing w:before="0" w:after="0" w:line="360" w:lineRule="auto"/>
        <w:rPr>
          <w:rFonts w:hint="eastAsia" w:ascii="仿宋" w:hAnsi="仿宋" w:eastAsia="仿宋" w:cs="仿宋"/>
          <w:color w:val="auto"/>
          <w:sz w:val="32"/>
          <w:highlight w:val="none"/>
        </w:rPr>
      </w:pPr>
      <w:r/>
      <w:bookmarkStart w:id="213" w:name="_Toc141960470"/>
      <w:r/>
      <w:bookmarkStart w:id="214" w:name="_Toc142925664"/>
      <w:r>
        <w:rPr>
          <w:rFonts w:hint="eastAsia" w:ascii="仿宋" w:hAnsi="仿宋" w:eastAsia="仿宋" w:cs="仿宋"/>
          <w:color w:val="auto"/>
          <w:sz w:val="32"/>
          <w:highlight w:val="none"/>
        </w:rPr>
        <w:t xml:space="preserve">九、苏采云操作其他补充事项</w:t>
      </w:r>
      <w:bookmarkEnd w:id="213"/>
      <w:r/>
      <w:bookmarkEnd w:id="214"/>
      <w:r/>
      <w:r/>
    </w:p>
    <w:p>
      <w:pPr>
        <w:pStyle w:val="1038"/>
        <w:rPr>
          <w:rFonts w:hint="eastAsia" w:ascii="仿宋" w:hAnsi="仿宋" w:eastAsia="仿宋" w:cs="仿宋"/>
          <w:color w:val="auto"/>
          <w:highlight w:val="none"/>
        </w:rPr>
      </w:pPr>
      <w:r/>
      <w:bookmarkStart w:id="215" w:name="_Toc142925665"/>
      <w:r>
        <w:rPr>
          <w:rFonts w:hint="eastAsia" w:ascii="仿宋" w:hAnsi="仿宋" w:eastAsia="仿宋" w:cs="仿宋"/>
          <w:b/>
          <w:bCs/>
          <w:color w:val="auto"/>
          <w:sz w:val="30"/>
          <w:szCs w:val="32"/>
          <w:highlight w:val="none"/>
        </w:rPr>
        <w:t xml:space="preserve">37.苏采云系统要求</w:t>
      </w:r>
      <w:bookmarkEnd w:id="215"/>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37.1 本次采购采用“政府采购管理交易系统（苏采云）”，获取采购文件、提交响应文件、参加磋商、评审和成交结果发布全程电子化，响应文件开启方式为不见面开启。供应商应当按照《政府采购管理交易系统（苏采云）供应商操作手册》参加磋商活动。如供应商未按要求操作，由此所产生的风险由供应商自行承担。</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37.3.1获取采购文件的方式：“苏采云”系统用户注册--CA绑定与登录--网上</w:t>
      </w:r>
      <w:r>
        <w:rPr>
          <w:rFonts w:hint="eastAsia" w:ascii="仿宋" w:hAnsi="仿宋" w:eastAsia="仿宋" w:cs="仿宋"/>
          <w:color w:val="auto"/>
          <w:sz w:val="24"/>
          <w:highlight w:val="none"/>
          <w:lang w:val="en-US" w:eastAsia="zh-CN"/>
        </w:rPr>
        <w:t xml:space="preserve">登记</w:t>
      </w:r>
      <w:r>
        <w:rPr>
          <w:rFonts w:hint="eastAsia" w:ascii="仿宋" w:hAnsi="仿宋" w:eastAsia="仿宋" w:cs="仿宋"/>
          <w:color w:val="auto"/>
          <w:sz w:val="24"/>
          <w:highlight w:val="none"/>
        </w:rPr>
        <w:t xml:space="preserve">--下载采购文件(后缀名为.kedt”)。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仿宋" w:hAnsi="仿宋" w:eastAsia="仿宋" w:cs="仿宋"/>
          <w:b/>
          <w:color w:val="auto"/>
          <w:sz w:val="36"/>
          <w:highlight w:val="none"/>
        </w:rPr>
      </w:pPr>
      <w:r>
        <w:rPr>
          <w:rFonts w:hint="eastAsia" w:ascii="仿宋" w:hAnsi="仿宋" w:eastAsia="仿宋" w:cs="仿宋"/>
          <w:color w:val="auto"/>
          <w:sz w:val="24"/>
          <w:highlight w:val="none"/>
        </w:rPr>
        <w:t xml:space="preserve">37.5供应商应及时关注系统供下载的最新版本操作手册，系统操作如有疑问，请及时联系技术支持。</w:t>
      </w:r>
      <w:r/>
    </w:p>
    <w:p>
      <w:pPr>
        <w:rPr>
          <w:rFonts w:hint="eastAsia" w:ascii="仿宋" w:hAnsi="仿宋" w:eastAsia="仿宋" w:cs="仿宋"/>
          <w:color w:val="auto"/>
          <w:sz w:val="36"/>
          <w:highlight w:val="none"/>
        </w:rPr>
      </w:pPr>
      <w:r/>
      <w:bookmarkStart w:id="216" w:name="_Toc73364898"/>
      <w:r/>
      <w:bookmarkStart w:id="217" w:name="_Toc73365511"/>
      <w:r/>
      <w:bookmarkStart w:id="218" w:name="_Toc142925666"/>
      <w:r>
        <w:rPr>
          <w:rFonts w:hint="eastAsia" w:ascii="仿宋" w:hAnsi="仿宋" w:eastAsia="仿宋" w:cs="仿宋"/>
          <w:color w:val="auto"/>
          <w:sz w:val="36"/>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第三部分  合同</w:t>
      </w:r>
      <w:bookmarkEnd w:id="216"/>
      <w:r/>
      <w:bookmarkEnd w:id="217"/>
      <w:r/>
      <w:bookmarkEnd w:id="218"/>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bookmarkStart w:id="219" w:name="_Toc142925667"/>
      <w:r/>
      <w:bookmarkStart w:id="220" w:name="_Toc73365512"/>
      <w:r/>
      <w:bookmarkStart w:id="221" w:name="_Toc73364899"/>
      <w:r>
        <w:rPr>
          <w:rFonts w:hint="eastAsia" w:ascii="仿宋" w:hAnsi="仿宋" w:eastAsia="仿宋" w:cs="仿宋"/>
          <w:b/>
          <w:color w:val="auto"/>
          <w:sz w:val="24"/>
          <w:szCs w:val="24"/>
          <w:highlight w:val="none"/>
        </w:rPr>
        <w:t xml:space="preserve">1、定义：</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本合同中的下列术语应解释为：</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1.1“甲方”系指招标文件中所述购买服务的</w:t>
      </w:r>
      <w:r>
        <w:rPr>
          <w:rFonts w:hint="eastAsia" w:ascii="仿宋" w:hAnsi="仿宋" w:eastAsia="仿宋" w:cs="仿宋"/>
          <w:b w:val="0"/>
          <w:bCs/>
          <w:color w:val="auto"/>
          <w:sz w:val="24"/>
          <w:szCs w:val="24"/>
          <w:highlight w:val="none"/>
          <w:shd w:val="clear" w:color="auto" w:fill="ffffff"/>
        </w:rPr>
        <w:t xml:space="preserve">镇江市</w:t>
      </w:r>
      <w:r>
        <w:rPr>
          <w:rFonts w:hint="eastAsia" w:ascii="仿宋" w:hAnsi="仿宋" w:eastAsia="仿宋" w:cs="仿宋"/>
          <w:b w:val="0"/>
          <w:bCs/>
          <w:color w:val="auto"/>
          <w:sz w:val="24"/>
          <w:szCs w:val="24"/>
          <w:highlight w:val="none"/>
          <w:shd w:val="clear" w:color="auto" w:fill="ffffff"/>
          <w:lang w:val="en-US" w:eastAsia="zh-CN"/>
        </w:rPr>
        <w:t xml:space="preserve">姚桥镇政府</w:t>
      </w:r>
      <w:r>
        <w:rPr>
          <w:rFonts w:hint="eastAsia" w:ascii="仿宋" w:hAnsi="仿宋" w:eastAsia="仿宋" w:cs="仿宋"/>
          <w:color w:val="auto"/>
          <w:sz w:val="24"/>
          <w:szCs w:val="24"/>
          <w:highlight w:val="none"/>
        </w:rPr>
        <w:t xml:space="preserve">。</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1.2“乙方”系指招标文件中所述提供服务的供应商。</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1.3“服务”系指根据本招标文件规定提供的服务。即</w:t>
      </w:r>
      <w:r>
        <w:rPr>
          <w:rFonts w:hint="eastAsia" w:ascii="仿宋" w:hAnsi="仿宋" w:eastAsia="仿宋" w:cs="仿宋"/>
          <w:b w:val="0"/>
          <w:bCs w:val="0"/>
          <w:color w:val="auto"/>
          <w:sz w:val="24"/>
          <w:szCs w:val="24"/>
          <w:highlight w:val="none"/>
          <w:u w:val="none"/>
          <w:lang w:val="en-US" w:eastAsia="zh-CN"/>
        </w:rPr>
        <w:t xml:space="preserve">姚桥镇农村生活污水运维项目</w:t>
      </w:r>
      <w:r>
        <w:rPr>
          <w:rFonts w:hint="eastAsia" w:ascii="仿宋" w:hAnsi="仿宋" w:eastAsia="仿宋" w:cs="仿宋"/>
          <w:color w:val="auto"/>
          <w:sz w:val="24"/>
          <w:szCs w:val="24"/>
          <w:highlight w:val="none"/>
        </w:rPr>
        <w:t xml:space="preserve">，亦包括招标文件中特别描述的其它形式的服务。</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1.4“合同”系指甲方与乙方签署的、合同格式中载明的甲方与乙方所达成的协议，包括所有的附件、附录和构成合同的所有文件。</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1.5“合同价”系指根据合同规定，乙方在正确地完全履行合同义务后甲方应支付给乙方的价格。</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2、合同组成部分</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下列关于</w:t>
      </w:r>
      <w:r>
        <w:rPr>
          <w:rFonts w:hint="eastAsia" w:ascii="仿宋" w:hAnsi="仿宋" w:eastAsia="仿宋" w:cs="仿宋"/>
          <w:b w:val="0"/>
          <w:bCs w:val="0"/>
          <w:color w:val="auto"/>
          <w:sz w:val="24"/>
          <w:szCs w:val="24"/>
          <w:highlight w:val="none"/>
          <w:u w:val="none"/>
          <w:lang w:val="en-US" w:eastAsia="zh-CN"/>
        </w:rPr>
        <w:t xml:space="preserve">姚桥镇农村生活污水运维项目</w:t>
      </w:r>
      <w:r>
        <w:rPr>
          <w:rFonts w:hint="eastAsia" w:ascii="仿宋" w:hAnsi="仿宋" w:eastAsia="仿宋" w:cs="仿宋"/>
          <w:color w:val="auto"/>
          <w:sz w:val="24"/>
          <w:szCs w:val="24"/>
          <w:highlight w:val="none"/>
        </w:rPr>
        <w:t xml:space="preserve">招标文件提交的投标文件均是构成本合同不可分割的部分，还包括：</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2.1合同条款；</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en-US" w:eastAsia="zh-CN"/>
        </w:rPr>
        <w:t xml:space="preserve">磋商响应文件</w:t>
      </w:r>
      <w:r>
        <w:rPr>
          <w:rFonts w:hint="eastAsia" w:ascii="仿宋" w:hAnsi="仿宋" w:eastAsia="仿宋" w:cs="仿宋"/>
          <w:color w:val="auto"/>
          <w:sz w:val="24"/>
          <w:szCs w:val="24"/>
          <w:highlight w:val="none"/>
        </w:rPr>
        <w:t xml:space="preserve">；</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服务方案及服务承诺；</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4成交</w:t>
      </w:r>
      <w:r>
        <w:rPr>
          <w:rFonts w:hint="eastAsia" w:ascii="仿宋" w:hAnsi="仿宋" w:eastAsia="仿宋" w:cs="仿宋"/>
          <w:color w:val="auto"/>
          <w:sz w:val="24"/>
          <w:szCs w:val="24"/>
          <w:highlight w:val="none"/>
        </w:rPr>
        <w:t xml:space="preserve">通知书；</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甲方、乙方商定的其他必要文件。</w:t>
      </w:r>
      <w:r/>
    </w:p>
    <w:p>
      <w:pPr>
        <w:ind w:lef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3、服务</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3.1服务内容：</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（1）设施日常正常运行管理。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（2）设备</w:t>
      </w:r>
      <w:r>
        <w:rPr>
          <w:rFonts w:hint="eastAsia" w:ascii="仿宋" w:hAnsi="仿宋" w:eastAsia="仿宋" w:cs="仿宋"/>
          <w:color w:val="auto"/>
          <w:sz w:val="24"/>
          <w:szCs w:val="24"/>
          <w:highlight w:val="none"/>
          <w:lang w:eastAsia="zh-CN"/>
        </w:rPr>
        <w:t xml:space="preserve">标准化改造、</w:t>
      </w:r>
      <w:r>
        <w:rPr>
          <w:rFonts w:hint="eastAsia" w:ascii="仿宋" w:hAnsi="仿宋" w:eastAsia="仿宋" w:cs="仿宋"/>
          <w:color w:val="auto"/>
          <w:sz w:val="24"/>
          <w:szCs w:val="24"/>
          <w:highlight w:val="none"/>
        </w:rPr>
        <w:t xml:space="preserve">保养、维护，设备大修或更换。</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（3）设施出水水质监测。</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（4）站区绿化维护、环境保洁、安全生产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巡查</w:t>
      </w:r>
      <w:r>
        <w:rPr>
          <w:rFonts w:hint="eastAsia" w:ascii="仿宋" w:hAnsi="仿宋" w:eastAsia="仿宋" w:cs="仿宋"/>
          <w:color w:val="auto"/>
          <w:sz w:val="24"/>
          <w:szCs w:val="24"/>
          <w:highlight w:val="none"/>
          <w:lang w:eastAsia="zh-CN"/>
        </w:rPr>
        <w:t xml:space="preserve">记录、视频</w:t>
      </w:r>
      <w:r>
        <w:rPr>
          <w:rFonts w:hint="eastAsia" w:ascii="仿宋" w:hAnsi="仿宋" w:eastAsia="仿宋" w:cs="仿宋"/>
          <w:color w:val="auto"/>
          <w:sz w:val="24"/>
          <w:szCs w:val="24"/>
          <w:highlight w:val="none"/>
        </w:rPr>
        <w:t xml:space="preserve">监控等。</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lang w:val="en-US"/>
        </w:rPr>
        <w:t xml:space="preserve">个</w:t>
      </w:r>
      <w:r>
        <w:rPr>
          <w:rFonts w:hint="eastAsia" w:ascii="仿宋" w:hAnsi="仿宋" w:eastAsia="仿宋" w:cs="仿宋"/>
          <w:color w:val="auto"/>
          <w:sz w:val="24"/>
          <w:szCs w:val="24"/>
          <w:highlight w:val="none"/>
          <w:lang w:val="en-US" w:eastAsia="zh-CN"/>
        </w:rPr>
        <w:t xml:space="preserve">村</w:t>
      </w:r>
      <w:r>
        <w:rPr>
          <w:rFonts w:hint="eastAsia" w:ascii="仿宋" w:hAnsi="仿宋" w:eastAsia="仿宋" w:cs="仿宋"/>
          <w:color w:val="auto"/>
          <w:sz w:val="24"/>
          <w:szCs w:val="24"/>
          <w:highlight w:val="none"/>
          <w:lang w:val="en-US"/>
        </w:rPr>
        <w:t xml:space="preserve">污水处理设施配套管网的接户统计及服务范围内群众满意度调查。</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）污泥合规处置。</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（7）农村生活污水相关配合性工作。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其他应急和</w:t>
      </w:r>
      <w:r>
        <w:rPr>
          <w:rFonts w:hint="eastAsia" w:ascii="仿宋" w:hAnsi="仿宋" w:eastAsia="仿宋" w:cs="仿宋"/>
          <w:color w:val="auto"/>
          <w:sz w:val="24"/>
          <w:szCs w:val="24"/>
          <w:highlight w:val="none"/>
          <w:lang w:eastAsia="zh-CN"/>
        </w:rPr>
        <w:t xml:space="preserve">临时</w:t>
      </w:r>
      <w:r>
        <w:rPr>
          <w:rFonts w:hint="eastAsia" w:ascii="仿宋" w:hAnsi="仿宋" w:eastAsia="仿宋" w:cs="仿宋"/>
          <w:color w:val="auto"/>
          <w:sz w:val="24"/>
          <w:szCs w:val="24"/>
          <w:highlight w:val="none"/>
        </w:rPr>
        <w:t xml:space="preserve">性工作。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（9）做好各级迎检工作，</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3.2服务标准：</w:t>
      </w: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本项目以包工、包料、包质量、包安全、包文明运维的方式实施总承包，</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应对全部运维项目负责。</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（2）工作要求：</w:t>
      </w:r>
      <w:r>
        <w:rPr>
          <w:rFonts w:hint="eastAsia" w:ascii="仿宋" w:hAnsi="仿宋" w:eastAsia="仿宋" w:cs="仿宋"/>
          <w:color w:val="auto"/>
          <w:sz w:val="24"/>
          <w:szCs w:val="24"/>
          <w:highlight w:val="none"/>
        </w:rPr>
        <w:t xml:space="preserve">保持处理站的整洁、设备配件的整齐，对设施各部分开展规范检查，并及时维护、保养、维修和更换，确保设施正常运行，出水达标。</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rPr>
        <w:t xml:space="preserve">（3）</w:t>
      </w:r>
      <w:r>
        <w:rPr>
          <w:rFonts w:hint="eastAsia" w:ascii="仿宋" w:hAnsi="仿宋" w:eastAsia="仿宋" w:cs="仿宋"/>
          <w:color w:val="auto"/>
          <w:sz w:val="24"/>
          <w:szCs w:val="24"/>
          <w:highlight w:val="none"/>
        </w:rPr>
        <w:t xml:space="preserve">出水标准：</w:t>
      </w:r>
      <w:r>
        <w:rPr>
          <w:rFonts w:hint="eastAsia" w:ascii="仿宋" w:hAnsi="仿宋" w:eastAsia="仿宋" w:cs="仿宋"/>
          <w:color w:val="auto"/>
          <w:sz w:val="24"/>
          <w:szCs w:val="24"/>
          <w:highlight w:val="none"/>
          <w:lang w:eastAsia="zh-CN"/>
        </w:rPr>
        <w:t xml:space="preserve">达到原项目设计标准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（4）</w:t>
      </w:r>
      <w:r>
        <w:rPr>
          <w:rFonts w:hint="eastAsia" w:ascii="仿宋" w:hAnsi="仿宋" w:eastAsia="仿宋" w:cs="仿宋"/>
          <w:color w:val="auto"/>
          <w:sz w:val="24"/>
          <w:szCs w:val="24"/>
          <w:highlight w:val="none"/>
        </w:rPr>
        <w:t xml:space="preserve">质量标准：设施运行正常，出水水质达标排放，因乙方原因运维质量达不到约定的质量标准，乙方承担违约责任。</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）工作要求：保持处理站的整洁、设备配件的整齐，对设施各部分开展规范检查，并及时维护、保养、维修和更换，确保设施正常运行，出水达标。</w:t>
      </w:r>
      <w:r>
        <w:rPr>
          <w:rFonts w:hint="eastAsia" w:ascii="仿宋" w:hAnsi="仿宋" w:eastAsia="仿宋" w:cs="仿宋"/>
          <w:color w:val="auto"/>
          <w:sz w:val="24"/>
          <w:szCs w:val="24"/>
          <w:highlight w:val="none"/>
          <w:lang w:val="en-US" w:eastAsia="zh-CN"/>
        </w:rPr>
        <w:t xml:space="preserve">1、运维期间乙方未按投标承诺配置人员和设备的每发现少1次扣1000元，2、未按投标时的运营维护方案进行运维工作的，发现一次扣1000元。此两项累计发现满10次的，视为乙方违约，合同从下月起终止。3、从事协助性工作人员不听从甲方安排的1次扣1000元，未经甲方允许擅自变更人员的1次扣1万。</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rPr>
        <w:t xml:space="preserve">）质量要求：进水标准为一般性生活污水，出水水质符合原设计标准并达标排放。运行维护单位必须具备常规污水水质检测能力</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val="en-US"/>
        </w:rPr>
        <w:t xml:space="preserve">提供有资质单位出具的检测报告。</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每半年至少监测</w:t>
      </w:r>
      <w:r>
        <w:rPr>
          <w:rFonts w:hint="eastAsia" w:ascii="仿宋" w:hAnsi="仿宋" w:eastAsia="仿宋" w:cs="仿宋"/>
          <w:color w:val="auto"/>
          <w:sz w:val="24"/>
          <w:szCs w:val="24"/>
          <w:highlight w:val="none"/>
          <w:lang w:val="en-US" w:eastAsia="zh-CN"/>
        </w:rPr>
        <w:t xml:space="preserve">1次，全年至少监测2次</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，每年的抽检率应不小于20%。</w:t>
      </w:r>
      <w:r>
        <w:rPr>
          <w:rFonts w:hint="eastAsia" w:ascii="仿宋" w:hAnsi="仿宋" w:eastAsia="仿宋" w:cs="仿宋"/>
          <w:color w:val="auto"/>
          <w:sz w:val="24"/>
          <w:szCs w:val="24"/>
          <w:highlight w:val="none"/>
          <w:lang w:val="en-US" w:eastAsia="zh-CN"/>
        </w:rPr>
        <w:t xml:space="preserve">且必须由有资质单位取样并出具检测报告</w:t>
      </w:r>
      <w:r>
        <w:rPr>
          <w:rFonts w:hint="eastAsia" w:ascii="仿宋" w:hAnsi="仿宋" w:eastAsia="仿宋" w:cs="仿宋"/>
          <w:color w:val="auto"/>
          <w:sz w:val="24"/>
          <w:szCs w:val="24"/>
          <w:highlight w:val="none"/>
          <w:lang w:val="en-US"/>
        </w:rPr>
        <w:t xml:space="preserve">。日常监管中，若发现污水直排，在每半年应付款中每次扣2万元。若检测合格，检测费用由</w:t>
      </w:r>
      <w:r>
        <w:rPr>
          <w:rFonts w:hint="eastAsia" w:ascii="仿宋" w:hAnsi="仿宋" w:eastAsia="仿宋" w:cs="仿宋"/>
          <w:color w:val="auto"/>
          <w:sz w:val="24"/>
          <w:szCs w:val="24"/>
          <w:highlight w:val="none"/>
          <w:lang w:val="en-US" w:eastAsia="zh-CN"/>
        </w:rPr>
        <w:t xml:space="preserve">监管部门</w:t>
      </w:r>
      <w:r>
        <w:rPr>
          <w:rFonts w:hint="eastAsia" w:ascii="仿宋" w:hAnsi="仿宋" w:eastAsia="仿宋" w:cs="仿宋"/>
          <w:color w:val="auto"/>
          <w:sz w:val="24"/>
          <w:szCs w:val="24"/>
          <w:highlight w:val="none"/>
          <w:lang w:val="en-US"/>
        </w:rPr>
        <w:t xml:space="preserve">承担。检测不合格，每次超标扣除运维费用1万元</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并承担二次检测费用。</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rPr>
        <w:t xml:space="preserve">服务期限：自合同签订之日起</w:t>
      </w: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年，如达到考核标准（半年考核均分≥80分），审核通过续签下半年合同，如达不到（半年考核均分＜80分），自动解除合同或不再续签下半年合同。【考核表见第五部分投标文件（格式）附件】。</w:t>
      </w:r>
      <w:r/>
    </w:p>
    <w:p>
      <w:pPr>
        <w:ind w:left="0" w:firstLine="480"/>
        <w:jc w:val="both"/>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b w:val="0"/>
          <w:bCs/>
          <w:color w:val="auto"/>
          <w:sz w:val="24"/>
          <w:szCs w:val="24"/>
          <w:highlight w:val="none"/>
          <w:lang w:eastAsia="zh-CN"/>
        </w:rPr>
        <w:t xml:space="preserve">服务</w:t>
      </w:r>
      <w:r>
        <w:rPr>
          <w:rFonts w:hint="eastAsia" w:ascii="仿宋" w:hAnsi="仿宋" w:eastAsia="仿宋" w:cs="仿宋"/>
          <w:b w:val="0"/>
          <w:bCs/>
          <w:color w:val="auto"/>
          <w:sz w:val="24"/>
          <w:szCs w:val="24"/>
          <w:highlight w:val="none"/>
        </w:rPr>
        <w:t xml:space="preserve">范围</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val="en-US" w:eastAsia="zh-CN"/>
        </w:rPr>
        <w:t xml:space="preserve">姚桥镇农村生活污水运维项目包括</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自然村的</w:t>
      </w:r>
      <w:r>
        <w:rPr>
          <w:rFonts w:hint="eastAsia" w:ascii="仿宋" w:hAnsi="仿宋" w:eastAsia="仿宋" w:cs="仿宋"/>
          <w:color w:val="auto"/>
          <w:sz w:val="24"/>
          <w:szCs w:val="24"/>
          <w:highlight w:val="none"/>
          <w:shd w:val="clear" w:color="auto" w:fill="ffffff"/>
          <w:lang w:val="en-US" w:eastAsia="zh-CN"/>
        </w:rPr>
        <w:t xml:space="preserve">污水处理设施、</w:t>
      </w:r>
      <w:r>
        <w:rPr>
          <w:rFonts w:hint="eastAsia" w:ascii="仿宋" w:hAnsi="仿宋" w:eastAsia="仿宋" w:cs="仿宋"/>
          <w:color w:val="auto"/>
          <w:sz w:val="24"/>
          <w:szCs w:val="24"/>
          <w:highlight w:val="none"/>
        </w:rPr>
        <w:t xml:space="preserve">泵站、</w:t>
      </w:r>
      <w:r>
        <w:rPr>
          <w:rFonts w:hint="eastAsia" w:ascii="仿宋" w:hAnsi="仿宋" w:eastAsia="仿宋" w:cs="仿宋"/>
          <w:color w:val="auto"/>
          <w:sz w:val="24"/>
          <w:szCs w:val="24"/>
          <w:highlight w:val="none"/>
          <w:lang w:eastAsia="zh-CN"/>
        </w:rPr>
        <w:t xml:space="preserve">提升井</w:t>
      </w:r>
      <w:r>
        <w:rPr>
          <w:rFonts w:hint="eastAsia" w:ascii="仿宋" w:hAnsi="仿宋" w:eastAsia="仿宋" w:cs="仿宋"/>
          <w:color w:val="auto"/>
          <w:sz w:val="24"/>
          <w:szCs w:val="24"/>
          <w:highlight w:val="none"/>
        </w:rPr>
        <w:t xml:space="preserve">及配套管网运维项目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包含10座一体化膜处理设施、17座一体化泵站、4座一体化提升泵井、237套微动力净化槽及57套净化槽的运维服务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包括设施正常运行，设备保养、维护、管道疏通、水质检测、考核、设施大修或更换，站区绿化维护、环境保洁，电费</w:t>
      </w:r>
      <w:r>
        <w:rPr>
          <w:rFonts w:hint="eastAsia" w:ascii="仿宋" w:hAnsi="仿宋" w:eastAsia="仿宋" w:cs="仿宋"/>
          <w:color w:val="auto"/>
          <w:sz w:val="24"/>
          <w:szCs w:val="24"/>
          <w:highlight w:val="none"/>
          <w:lang w:eastAsia="zh-CN"/>
        </w:rPr>
        <w:t xml:space="preserve">、污泥处置、台账资料、</w:t>
      </w:r>
      <w:r>
        <w:rPr>
          <w:rFonts w:hint="eastAsia" w:ascii="仿宋" w:hAnsi="仿宋" w:eastAsia="仿宋" w:cs="仿宋"/>
          <w:color w:val="auto"/>
          <w:sz w:val="24"/>
          <w:szCs w:val="24"/>
          <w:highlight w:val="none"/>
        </w:rPr>
        <w:t xml:space="preserve">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巡查</w:t>
      </w:r>
      <w:r>
        <w:rPr>
          <w:rFonts w:hint="eastAsia" w:ascii="仿宋" w:hAnsi="仿宋" w:eastAsia="仿宋" w:cs="仿宋"/>
          <w:b w:val="0"/>
          <w:bCs/>
          <w:color w:val="auto"/>
          <w:sz w:val="24"/>
          <w:szCs w:val="24"/>
          <w:highlight w:val="none"/>
          <w:lang w:eastAsia="zh-CN"/>
        </w:rPr>
        <w:t xml:space="preserve">记录、视频</w:t>
      </w:r>
      <w:r>
        <w:rPr>
          <w:rFonts w:hint="eastAsia" w:ascii="仿宋" w:hAnsi="仿宋" w:eastAsia="仿宋" w:cs="仿宋"/>
          <w:b w:val="0"/>
          <w:bCs/>
          <w:color w:val="auto"/>
          <w:sz w:val="24"/>
          <w:szCs w:val="24"/>
          <w:highlight w:val="none"/>
        </w:rPr>
        <w:t xml:space="preserve">监控</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运维至合同期结束。</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3.4服务人员组成：；</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rPr>
        <w:t xml:space="preserve">付款方式</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outlineLvl w:val="0"/>
      </w:pP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rPr>
        <w:t xml:space="preserve">.</w:t>
      </w:r>
      <w:r>
        <w:rPr>
          <w:rFonts w:hint="eastAsia" w:ascii="仿宋" w:hAnsi="仿宋" w:eastAsia="仿宋" w:cs="仿宋"/>
          <w:b/>
          <w:bCs w:val="0"/>
          <w:color w:val="auto"/>
          <w:sz w:val="24"/>
          <w:szCs w:val="24"/>
          <w:highlight w:val="none"/>
          <w:lang w:val="en-US" w:eastAsia="zh-CN"/>
        </w:rPr>
        <w:t xml:space="preserve">1、</w:t>
      </w:r>
      <w:r>
        <w:rPr>
          <w:rFonts w:hint="eastAsia" w:ascii="仿宋" w:hAnsi="仿宋" w:eastAsia="仿宋" w:cs="仿宋"/>
          <w:b/>
          <w:bCs w:val="0"/>
          <w:color w:val="auto"/>
          <w:sz w:val="24"/>
          <w:szCs w:val="24"/>
          <w:highlight w:val="none"/>
          <w:lang w:val="en-US"/>
        </w:rPr>
        <w:t xml:space="preserve">合同签订</w:t>
      </w:r>
      <w:r>
        <w:rPr>
          <w:rFonts w:hint="eastAsia" w:ascii="仿宋" w:hAnsi="仿宋" w:eastAsia="仿宋" w:cs="仿宋"/>
          <w:b/>
          <w:bCs w:val="0"/>
          <w:color w:val="auto"/>
          <w:sz w:val="24"/>
          <w:szCs w:val="24"/>
          <w:highlight w:val="none"/>
          <w:lang w:val="en-US" w:eastAsia="zh-CN"/>
        </w:rPr>
        <w:t xml:space="preserve">后，</w:t>
      </w:r>
      <w:r>
        <w:rPr>
          <w:rFonts w:hint="eastAsia" w:ascii="仿宋" w:hAnsi="仿宋" w:eastAsia="仿宋" w:cs="仿宋"/>
          <w:b/>
          <w:bCs w:val="0"/>
          <w:color w:val="auto"/>
          <w:sz w:val="24"/>
          <w:szCs w:val="24"/>
          <w:highlight w:val="none"/>
          <w:lang w:val="en-US" w:eastAsia="zh-CN" w:bidi="ar-SA"/>
        </w:rPr>
        <w:t xml:space="preserve">自收到</w:t>
      </w:r>
      <w:r>
        <w:rPr>
          <w:rFonts w:hint="eastAsia" w:ascii="仿宋" w:hAnsi="仿宋" w:eastAsia="仿宋" w:cs="仿宋"/>
          <w:b/>
          <w:bCs w:val="0"/>
          <w:color w:val="auto"/>
          <w:sz w:val="24"/>
          <w:szCs w:val="24"/>
          <w:highlight w:val="none"/>
        </w:rPr>
        <w:t xml:space="preserve">供应商</w:t>
      </w:r>
      <w:r>
        <w:rPr>
          <w:rFonts w:hint="eastAsia" w:ascii="仿宋" w:hAnsi="仿宋" w:eastAsia="仿宋" w:cs="仿宋"/>
          <w:b/>
          <w:bCs w:val="0"/>
          <w:color w:val="auto"/>
          <w:sz w:val="24"/>
          <w:szCs w:val="24"/>
          <w:highlight w:val="none"/>
          <w:lang w:val="en-US" w:eastAsia="zh-CN" w:bidi="ar-SA"/>
        </w:rPr>
        <w:t xml:space="preserve">开具的发票起10个工作日</w:t>
      </w:r>
      <w:r>
        <w:rPr>
          <w:rFonts w:hint="eastAsia" w:ascii="仿宋" w:hAnsi="仿宋" w:eastAsia="仿宋" w:cs="仿宋"/>
          <w:b/>
          <w:bCs w:val="0"/>
          <w:color w:val="auto"/>
          <w:sz w:val="24"/>
          <w:szCs w:val="24"/>
          <w:highlight w:val="none"/>
          <w:lang w:val="en-US"/>
        </w:rPr>
        <w:t xml:space="preserve">内支付中标价的</w:t>
      </w:r>
      <w:r>
        <w:rPr>
          <w:rFonts w:hint="eastAsia" w:ascii="仿宋" w:hAnsi="仿宋" w:eastAsia="仿宋" w:cs="仿宋"/>
          <w:b/>
          <w:bCs w:val="0"/>
          <w:color w:val="auto"/>
          <w:sz w:val="24"/>
          <w:szCs w:val="24"/>
          <w:highlight w:val="none"/>
          <w:lang w:val="en-US" w:eastAsia="zh-CN"/>
        </w:rPr>
        <w:t xml:space="preserve">1</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rPr>
        <w:t xml:space="preserve">到合同约定的供应商账户</w:t>
      </w:r>
      <w:r>
        <w:rPr>
          <w:rFonts w:hint="eastAsia" w:ascii="仿宋" w:hAnsi="仿宋" w:eastAsia="仿宋" w:cs="仿宋"/>
          <w:b/>
          <w:bCs w:val="0"/>
          <w:color w:val="auto"/>
          <w:sz w:val="24"/>
          <w:szCs w:val="24"/>
          <w:highlight w:val="none"/>
          <w:lang w:val="en-US"/>
        </w:rPr>
        <w:t xml:space="preserve">（如成交供应商不需支付此项费用的，采购方可不支付，本项费用连同后期一并支付）</w:t>
      </w:r>
      <w:r>
        <w:rPr>
          <w:rFonts w:hint="eastAsia" w:ascii="仿宋" w:hAnsi="仿宋" w:eastAsia="仿宋" w:cs="仿宋"/>
          <w:b/>
          <w:bCs w:val="0"/>
          <w:color w:val="auto"/>
          <w:sz w:val="24"/>
          <w:szCs w:val="24"/>
          <w:highlight w:val="none"/>
          <w:lang w:val="en-US" w:eastAsia="zh-CN"/>
        </w:rPr>
        <w:t xml:space="preserve">，即：元。</w:t>
      </w:r>
      <w:r/>
    </w:p>
    <w:p>
      <w:pPr>
        <w:ind w:left="0" w:firstLine="482"/>
        <w:jc w:val="both"/>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4.2、</w:t>
      </w:r>
      <w:r>
        <w:rPr>
          <w:rFonts w:hint="eastAsia" w:ascii="仿宋" w:hAnsi="仿宋" w:eastAsia="仿宋" w:cs="仿宋"/>
          <w:b/>
          <w:bCs w:val="0"/>
          <w:color w:val="auto"/>
          <w:sz w:val="24"/>
          <w:szCs w:val="24"/>
          <w:highlight w:val="none"/>
        </w:rPr>
        <w:t xml:space="preserve">运维费用按半年度支付，经检查考核合格的运维费用每6个月支付1次，第6个月检查考核结束之日起</w:t>
      </w:r>
      <w:r>
        <w:rPr>
          <w:rFonts w:hint="eastAsia" w:ascii="仿宋" w:hAnsi="仿宋" w:eastAsia="仿宋" w:cs="仿宋"/>
          <w:b/>
          <w:bCs w:val="0"/>
          <w:color w:val="auto"/>
          <w:sz w:val="24"/>
          <w:szCs w:val="24"/>
          <w:highlight w:val="none"/>
          <w:lang w:val="en-US"/>
        </w:rPr>
        <w:t xml:space="preserve">30个工作日内</w:t>
      </w:r>
      <w:r>
        <w:rPr>
          <w:rFonts w:hint="eastAsia" w:ascii="仿宋" w:hAnsi="仿宋" w:eastAsia="仿宋" w:cs="仿宋"/>
          <w:b/>
          <w:bCs w:val="0"/>
          <w:color w:val="auto"/>
          <w:sz w:val="24"/>
          <w:szCs w:val="24"/>
          <w:highlight w:val="none"/>
        </w:rPr>
        <w:t xml:space="preserve">支付半年度的运维费，为中标价的</w:t>
      </w:r>
      <w:r>
        <w:rPr>
          <w:rFonts w:hint="eastAsia" w:ascii="仿宋" w:hAnsi="仿宋" w:eastAsia="仿宋" w:cs="仿宋"/>
          <w:b/>
          <w:bCs w:val="0"/>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rPr>
        <w:t xml:space="preserve">第</w:t>
      </w:r>
      <w:r>
        <w:rPr>
          <w:rFonts w:hint="eastAsia" w:ascii="仿宋" w:hAnsi="仿宋" w:eastAsia="仿宋" w:cs="仿宋"/>
          <w:b/>
          <w:bCs w:val="0"/>
          <w:color w:val="auto"/>
          <w:sz w:val="24"/>
          <w:szCs w:val="24"/>
          <w:highlight w:val="none"/>
          <w:lang w:val="en-US"/>
        </w:rPr>
        <w:t xml:space="preserve">12</w:t>
      </w:r>
      <w:r>
        <w:rPr>
          <w:rFonts w:hint="eastAsia" w:ascii="仿宋" w:hAnsi="仿宋" w:eastAsia="仿宋" w:cs="仿宋"/>
          <w:b/>
          <w:bCs w:val="0"/>
          <w:color w:val="auto"/>
          <w:sz w:val="24"/>
          <w:szCs w:val="24"/>
          <w:highlight w:val="none"/>
        </w:rPr>
        <w:t xml:space="preserve">个月检查考核结束之日起</w:t>
      </w:r>
      <w:r>
        <w:rPr>
          <w:rFonts w:hint="eastAsia" w:ascii="仿宋" w:hAnsi="仿宋" w:eastAsia="仿宋" w:cs="仿宋"/>
          <w:b/>
          <w:bCs w:val="0"/>
          <w:color w:val="auto"/>
          <w:sz w:val="24"/>
          <w:szCs w:val="24"/>
          <w:highlight w:val="none"/>
          <w:lang w:val="en-US"/>
        </w:rPr>
        <w:t xml:space="preserve">30个工作日内</w:t>
      </w:r>
      <w:r>
        <w:rPr>
          <w:rFonts w:hint="eastAsia" w:ascii="仿宋" w:hAnsi="仿宋" w:eastAsia="仿宋" w:cs="仿宋"/>
          <w:b/>
          <w:bCs w:val="0"/>
          <w:color w:val="auto"/>
          <w:sz w:val="24"/>
          <w:szCs w:val="24"/>
          <w:highlight w:val="none"/>
        </w:rPr>
        <w:t xml:space="preserve">支付半年度的运维费，为中标价的</w:t>
      </w: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highlight w:val="none"/>
          <w:lang w:val="en-US"/>
        </w:rPr>
        <w:t xml:space="preserve">0%</w:t>
      </w:r>
      <w:r>
        <w:rPr>
          <w:rFonts w:hint="eastAsia" w:ascii="仿宋" w:hAnsi="仿宋" w:eastAsia="仿宋" w:cs="仿宋"/>
          <w:b/>
          <w:bCs w:val="0"/>
          <w:color w:val="auto"/>
          <w:sz w:val="24"/>
          <w:szCs w:val="24"/>
          <w:highlight w:val="none"/>
          <w:lang w:val="en-US" w:eastAsia="zh-CN"/>
        </w:rPr>
        <w:t xml:space="preserve">，即：元。</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、甲方开票信息：</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税号：</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、乙方帐户信息：</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开户单位：</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 xml:space="preserve">帐号：</w:t>
      </w:r>
      <w:r/>
    </w:p>
    <w:p>
      <w:pPr>
        <w:pStyle w:val="1065"/>
        <w:ind w:lef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服务期限：</w:t>
      </w:r>
      <w:r>
        <w:rPr>
          <w:rFonts w:hint="eastAsia" w:ascii="仿宋" w:hAnsi="仿宋" w:eastAsia="仿宋" w:cs="仿宋"/>
          <w:color w:val="auto"/>
          <w:sz w:val="24"/>
          <w:szCs w:val="24"/>
          <w:highlight w:val="none"/>
        </w:rPr>
        <w:t xml:space="preserve">自合同签订之日起</w:t>
      </w: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年，如达到考核标准（半年考核均分≥80分），审核通过续签下半年合同，如达不到（半年考核均分＜80分），自动解除合同或不再续签下半年合同。</w:t>
      </w:r>
      <w:r/>
    </w:p>
    <w:p>
      <w:pPr>
        <w:pStyle w:val="1065"/>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其他要求</w:t>
      </w:r>
      <w:r/>
    </w:p>
    <w:p>
      <w:pPr>
        <w:pStyle w:val="773"/>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违约责任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szCs w:val="24"/>
          <w:highlight w:val="none"/>
          <w:u w:val="single"/>
          <w:lang w:val="en-US" w:eastAsia="zh-CN"/>
        </w:rPr>
        <w:t xml:space="preserve">0.1</w:t>
      </w:r>
      <w:r>
        <w:rPr>
          <w:rFonts w:hint="eastAsia" w:ascii="仿宋" w:hAnsi="仿宋" w:eastAsia="仿宋" w:cs="仿宋"/>
          <w:color w:val="auto"/>
          <w:sz w:val="24"/>
          <w:szCs w:val="24"/>
          <w:highlight w:val="none"/>
        </w:rPr>
        <w:t xml:space="preserve">%/计算，最高限额为本合同金额的</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%；迟延交付货物或服务的违约金计算数额达到前述最高限额之日起，甲方有权在要求乙方支付违约金的同时，书面通知乙方解除本合同；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.2除不可抗力外，如果甲方没有按照本合同约定的付款方式付款，乙方可要求甲方支付违约金，每延迟一日，违约金按应付而未付款的</w:t>
      </w:r>
      <w:r>
        <w:rPr>
          <w:rFonts w:hint="eastAsia" w:ascii="仿宋" w:hAnsi="仿宋" w:eastAsia="仿宋" w:cs="仿宋"/>
          <w:color w:val="auto"/>
          <w:sz w:val="24"/>
          <w:szCs w:val="24"/>
          <w:highlight w:val="none"/>
          <w:u w:val="single"/>
          <w:lang w:val="en-US" w:eastAsia="zh-CN"/>
        </w:rPr>
        <w:t xml:space="preserve">0.1</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06"/>
        <w:ind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保密</w:t>
      </w:r>
      <w:r/>
    </w:p>
    <w:p>
      <w:pPr>
        <w:pStyle w:val="806"/>
        <w:ind w:firstLine="480"/>
        <w:jc w:val="both"/>
        <w:keepLines w:val="0"/>
        <w:keepNext w:val="0"/>
        <w:pageBreakBefore w:val="0"/>
        <w:spacing w:before="0" w:after="0"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本合同各方应对与本合同有关的或基于本合同获知的其它方的信息、资料、财务数据等信息严格保密。任何一方在未经其它方事先书面同意的情况下、在任何时候均不得将上述信息以及与本合同有关的任何内容披露给任何其它方，但依法及有关规定需要向政府机构上报、备案或根据司法机关的要求必须提交的情况除外。</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9</w:t>
      </w:r>
      <w:r>
        <w:rPr>
          <w:rFonts w:hint="eastAsia" w:ascii="仿宋" w:hAnsi="仿宋" w:eastAsia="仿宋" w:cs="仿宋"/>
          <w:b/>
          <w:color w:val="auto"/>
          <w:sz w:val="24"/>
          <w:szCs w:val="24"/>
          <w:highlight w:val="none"/>
        </w:rPr>
        <w:t xml:space="preserve">、税费</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w:t>
      </w:r>
      <w:r>
        <w:rPr>
          <w:rFonts w:hint="eastAsia" w:ascii="仿宋" w:hAnsi="仿宋" w:eastAsia="仿宋" w:cs="仿宋"/>
          <w:b w:val="0"/>
          <w:bCs/>
          <w:color w:val="auto"/>
          <w:sz w:val="24"/>
          <w:szCs w:val="24"/>
          <w:highlight w:val="none"/>
        </w:rPr>
        <w:t xml:space="preserve">本合同执行中相关的一切税费均由乙方负担。</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10</w:t>
      </w:r>
      <w:r>
        <w:rPr>
          <w:rFonts w:hint="eastAsia" w:ascii="仿宋" w:hAnsi="仿宋" w:eastAsia="仿宋" w:cs="仿宋"/>
          <w:b/>
          <w:color w:val="auto"/>
          <w:sz w:val="24"/>
          <w:szCs w:val="24"/>
          <w:highlight w:val="none"/>
        </w:rPr>
        <w:t xml:space="preserve">、不可抗力</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.1如果双方中任何一方由于战争、地震、洪涝、体制调整等不能预见、不能避免的，且不能克服的不可抗力事件影响全部或部分合同无法履行时，受事件影响的一方可全部或部分免除责任。</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、转让和分包</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.1本合同不得转让和分包。</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、纠纷解决办法</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.2在诉讼期间，本合同应继续执行。</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、违约终止合同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.1在甲方对乙方违约而采取的任何补救措施不受影响的情况下，甲方可向乙方发出终止部分或全部合同的书面通知书。</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(1)如果乙方未能按合同规定的期限或甲方同意延长的限期内完成部分或全部服务工作;</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(2)乙方在收到甲方发出的违约通知后10天内，或经甲方书面认可延长的时间内未能纠正其过失;</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(3)如果乙方未能履行合同规定的其他义务。</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.2在甲方根据上述第1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、破产终止合同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.1如果乙方破产或无清偿能力时，甲方在任何时候书面通知乙方终止合同而不给乙方补偿。该终止合同将不损害或影响甲方已经或将要采取的补救措施的权利。</w:t>
      </w:r>
      <w:r/>
    </w:p>
    <w:p>
      <w:pPr>
        <w:ind w:left="0" w:right="0" w:firstLine="482"/>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、合同生效及其它</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.1合同应经甲方、乙方盖章后生效。</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.2乙方中标后在履行服务的过程中，若服务达不到甲方要求，经甲方提出而乙方未及时整改的或虽经整改，但仍未达到甲方整改要求的，甲方有权终止本合同。</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.3如需修改或补充合同内容，应经甲方、乙方协商，并签署书面修改或补充协议，提交见证方一份备案。该协议将作为本合同不可分割的一部分。</w:t>
      </w:r>
      <w:r/>
    </w:p>
    <w:p>
      <w:pPr>
        <w:ind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.4本合同应按照中华人民共和国的现行法律进行解释。</w:t>
      </w:r>
      <w:r/>
    </w:p>
    <w:p>
      <w:pPr>
        <w:ind w:left="0" w:right="0" w:firstLine="0"/>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left="0" w:right="0" w:firstLine="482"/>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以下无正文</w:t>
      </w:r>
      <w:r/>
    </w:p>
    <w:p>
      <w:pPr>
        <w:ind w:left="0" w:right="0" w:firstLine="482"/>
        <w:jc w:val="both"/>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甲方（单位盖章）： </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乙方（单位盖章）：</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地址：</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地址：</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电话：</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电话：</w:t>
      </w:r>
      <w:r/>
    </w:p>
    <w:p>
      <w:pPr>
        <w:ind w:left="0" w:right="0" w:firstLine="48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经办人：</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经办人：</w:t>
      </w:r>
      <w:r/>
    </w:p>
    <w:p>
      <w:pPr>
        <w:ind w:left="0" w:right="0" w:firstLine="0"/>
        <w:jc w:val="both"/>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r>
      <w:r/>
    </w:p>
    <w:p>
      <w:pPr>
        <w:ind w:right="0"/>
        <w:jc w:val="right"/>
        <w:spacing w:before="0" w:after="0"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合同签订日期： 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年</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月</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日</w:t>
      </w:r>
      <w:r/>
    </w:p>
    <w:p>
      <w:pPr>
        <w:jc w:val="center"/>
        <w:spacing w:line="360" w:lineRule="auto"/>
        <w:rPr>
          <w:rFonts w:hint="eastAsia" w:ascii="仿宋" w:hAnsi="仿宋" w:eastAsia="仿宋" w:cs="仿宋"/>
          <w:color w:val="auto"/>
          <w:sz w:val="24"/>
          <w:szCs w:val="24"/>
          <w:highlight w:val="none"/>
          <w:cs/>
        </w:rPr>
      </w:pPr>
      <w:r>
        <w:rPr>
          <w:rFonts w:hint="eastAsia" w:ascii="仿宋" w:hAnsi="仿宋" w:eastAsia="仿宋" w:cs="仿宋"/>
          <w:color w:val="auto"/>
          <w:sz w:val="24"/>
          <w:szCs w:val="24"/>
          <w:highlight w:val="none"/>
        </w:rPr>
        <w:t xml:space="preserve">附件1.</w:t>
      </w:r>
      <w:r>
        <w:rPr>
          <w:rFonts w:hint="eastAsia" w:ascii="仿宋" w:hAnsi="仿宋" w:eastAsia="仿宋" w:cs="仿宋"/>
          <w:color w:val="auto"/>
          <w:sz w:val="24"/>
          <w:szCs w:val="24"/>
          <w:highlight w:val="none"/>
          <w:cs/>
        </w:rPr>
        <w:t xml:space="preserve">考核表格</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姚桥镇</w:t>
      </w:r>
      <w:r>
        <w:rPr>
          <w:rFonts w:hint="eastAsia" w:ascii="仿宋" w:hAnsi="仿宋" w:eastAsia="仿宋" w:cs="仿宋"/>
          <w:color w:val="auto"/>
          <w:sz w:val="24"/>
          <w:szCs w:val="24"/>
          <w:highlight w:val="none"/>
        </w:rPr>
        <w:t xml:space="preserve">农村污水处理设施运行管理考核评分表</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（第三方运维单位适用）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92"/>
        <w:gridCol w:w="525"/>
        <w:gridCol w:w="585"/>
        <w:gridCol w:w="4965"/>
        <w:gridCol w:w="831"/>
        <w:gridCol w:w="549"/>
      </w:tblGrid>
      <w:tr>
        <w:trPr>
          <w:jc w:val="center"/>
          <w:trHeight w:val="57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考核项目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tc>
      </w:tr>
      <w:tr>
        <w:trPr>
          <w:jc w:val="center"/>
          <w:trHeight w:val="565"/>
        </w:trPr>
        <w:tc>
          <w:tcPr>
            <w:tcBorders>
              <w:top w:val="single" w:color="auto" w:sz="4" w:space="0"/>
              <w:left w:val="single" w:color="auto" w:sz="4" w:space="0"/>
              <w:right w:val="single" w:color="auto" w:sz="4" w:space="0"/>
            </w:tcBorders>
            <w:tcW w:w="1192" w:type="dxa"/>
            <w:vAlign w:val="center"/>
            <w:vMerge w:val="restart"/>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1、项目运营管理（11分）</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有完善的组织机构文件及人员配置文件，建立各职能部门职贵。如有缺失本项不得分。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67"/>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有完善的管理制度，主要包括安全管理制度、行政管理制度、财务管理制度、奖惩制度、维修岗位责任制度、化验分析岗位责任制度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巡检管理制度等。缺一项扣0.5分，扣完为止。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4"/>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运营台账记录完整，包括例行巡视记录、管网及设施维护记录、进出水水质记录等。缺少一项扣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分，某一项记录不完整或不规范扣0.5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01"/>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每月例行巡检应覆盖所有</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未例行巡检且无正当原因的，每发现一起扣1分；巡检中发现问题未有跟踪维修记录的，发现一起扣1 分； 设备不能正常运行且运营单位未有记录， 发现一起扣1分；乙方无法完成的维修项目应及时上报相关部门并做好记录，未上报记录一次扣1分。扣完为止。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349"/>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每月月底前及时提交运营报表至考核主体，包括水量统计分析、进出水水质报告、设施设备维修更换记录、有效信访件处理闭合情况、迎检情况等，内容应真买完整。超过规定期限3天仍未提交报表一次扣0.5分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未报送本项不得分。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运维管理及作业人员配置完备，工种齐全，人数充足，持证上岗。管网和设施巡查看护人员配置不得低于8人，并相应配置机电工、化验员、安全员、资料员等，缺失l人扣0.2分，扣完为止。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应配备维护作业设备：有毒有害气体检测仪、管递疏通机、吸粪车、封堵气囊、防毒面具、污泥处理和运输设备等专用合适的运维车辆、器具。缺一项扣0.2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46"/>
        </w:trPr>
        <w:tc>
          <w:tcPr>
            <w:tcBorders>
              <w:left w:val="single" w:color="auto" w:sz="4" w:space="0"/>
              <w:right w:val="single" w:color="auto" w:sz="4" w:space="0"/>
            </w:tcBorders>
            <w:tcW w:w="1192" w:type="dxa"/>
            <w:vAlign w:val="center"/>
            <w:vMerge w:val="restart"/>
            <w:textDirection w:val="lrTb"/>
            <w:noWrap w:val="false"/>
          </w:tcPr>
          <w:p>
            <w:pPr>
              <w:pStyle w:val="1066"/>
              <w:ind w:left="147" w:right="82"/>
              <w:jc w:val="center"/>
              <w:spacing w:before="182"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2、安全管理( 10</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ind w:firstLine="24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相应安全管理机构、安全规章制度和安全记录，有完善的安全操作规程，包括各工程操作规程、各种设备操作规程，各种危险作业操作规程等。所有机构制度齐全，得2分，如有缺失缺少1项扣除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9"/>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有针对农村生活污水的应急方案并定期组织演练， 得 1 分，如有缺失本项不得分。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2"/>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岗位人员有必要的安全保护措施，消防设备配备到位，有安全警示牌，有毒有害场所有安全防护仪器和仪表。危险品、易燃、易爆品按规管理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0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无安全事故，若本月内发生与生活污水项目相关的安全事故，如行人摔倒、井盖缺失等， 发生一次扣 1 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3、管网运行 ( 20</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出现雨污合流、有渗漏现象应及时处理，季末随机挑选10个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 0.5 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无垃圾及其他化学物质进入管网；每季度定期开展管网维养工作，对管网堵塞、井盖损坏等情况及时进行处理。季度末随机挑选10个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污水管无堵塞、变形或沉陷，无脱节、断裂、渗漏；检查井无沉降，井盖完好。季度末随机挑选10个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6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进行抽查，抽查中发现户井、检查 井有污水恶臭外溢污水甚至漫溢至鱼塘等情况，每出现一个不合格点扣0.5分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w:t>
            </w:r>
            <w:r>
              <w:rPr>
                <w:rFonts w:hint="eastAsia" w:ascii="仿宋" w:hAnsi="仿宋" w:eastAsia="仿宋" w:cs="仿宋"/>
                <w:color w:val="auto"/>
                <w:sz w:val="24"/>
                <w:szCs w:val="24"/>
                <w:highlight w:val="none"/>
                <w:lang w:val="en-US" w:eastAsia="zh-CN"/>
              </w:rPr>
              <w:t xml:space="preserve">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top"/>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4、设施运行 ( 29</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设施正常运行率。根据数据计算设施正常运行率，设施正常运行率在90％以下的，每降低1个百分点扣1分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进行抽查，现场抽查过程中，发现设备不能正常运行或出水量异常等情况，发 现一起扣2分；未及时维修的发现一起扣2分；设施锈蚀一起扣0.5分；缺盖板一起扣0.5分；设施现场环境脏乱、绿化不达标一起扣0.5分，现场无标志牌或者标志牉损坏，发现一起扣0.5分，现场无l个月内巡检记录，发现一起扣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进行抽查，现场抽查过程中，发现处理设施有恶臭情况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每出现一个扣0.5 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1192" w:type="dxa"/>
            <w:vAlign w:val="top"/>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污泥专业化处理，与污水处理厂签订污泥处置协议，检查运维责任单位与污水处理厂污泥处置的合同、支付记录、处置记录等有关台账资料。</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5、水质管理 ( 25</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采样覆盖率：运维责任单位每季度对污水处理设施的进出水水质进行采样检测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（监测指标为 COD、氨氮、总磷、总氮），每缺一个设施点扣0.5分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1192" w:type="dxa"/>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水质达标率：每季度对各村进出水水质进行检测，根据各水质监测指标达标统计数据计算得分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达标率 95%（含）以上不扣分，每个项目每降低l个百分点扣2分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6"/>
        </w:trPr>
        <w:tc>
          <w:tcPr>
            <w:tcBorders>
              <w:left w:val="single" w:color="auto" w:sz="4" w:space="0"/>
              <w:right w:val="single" w:color="auto" w:sz="4" w:space="0"/>
            </w:tcBorders>
            <w:tcW w:w="11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6、群众意见 ( 5</w:t>
            </w:r>
            <w:r/>
          </w:p>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投诉处理情况。对于群众的有效投诉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如运营单位在接到投诉后</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小时内未能解决问题且未上报行业主管部门的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每发生一起扣1分。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6"/>
        </w:trPr>
        <w:tc>
          <w:tcPr>
            <w:gridSpan w:val="2"/>
            <w:tcBorders>
              <w:left w:val="single" w:color="auto" w:sz="4" w:space="0"/>
              <w:right w:val="single" w:color="auto" w:sz="4" w:space="0"/>
            </w:tcBorders>
            <w:tcW w:w="1717"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99"/>
        </w:trPr>
        <w:tc>
          <w:tcPr>
            <w:gridSpan w:val="2"/>
            <w:tcBorders>
              <w:left w:val="single" w:color="auto" w:sz="4" w:space="0"/>
              <w:right w:val="single" w:color="auto" w:sz="4" w:space="0"/>
            </w:tcBorders>
            <w:tcW w:w="1717"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附加分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5"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运维工作得到上级部门表彰表扬的，每</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次加1分， 季度上限为3分。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11"/>
        </w:trPr>
        <w:tc>
          <w:tcPr>
            <w:gridSpan w:val="3"/>
            <w:tcBorders>
              <w:left w:val="single" w:color="auto" w:sz="4" w:space="0"/>
              <w:bottom w:val="single" w:color="auto" w:sz="4" w:space="0"/>
              <w:right w:val="single" w:color="auto" w:sz="4" w:space="0"/>
            </w:tcBorders>
            <w:tcW w:w="2302" w:type="dxa"/>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考核单位签章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6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43"/>
        <w:numPr>
          <w:ilvl w:val="0"/>
          <w:numId w:val="0"/>
        </w:numPr>
        <w:ind w:left="644"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考核付费规定：</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( 1 ) 考核得分在90（含）分及以上为优秀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全额核拨当年运维服务费</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( 2 ) 考核得分在80-90分（包括80分）之间为良好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分比较每低一分扣当年运维服务费的1% </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( 3 ) 甲方对乙方因运维管理不当，受到群众举报、上级领导点名批评、媒体曝光的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视情况扣除一定的运维经费。其中群众举报经查实的，每次扣2000元。上级领导点名批评每次扣5000元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情节严重的扣10000元。新闻媒体曝光后经查实的，每次扣10000元。</w:t>
      </w:r>
      <w:r/>
    </w:p>
    <w:p>
      <w:pPr>
        <w:ind w:left="0" w:right="0" w:firstLine="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签字（盖章）</w:t>
      </w:r>
      <w:r/>
    </w:p>
    <w:p>
      <w:pP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ind w:left="0" w:firstLine="482"/>
        <w:jc w:val="center"/>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附件2.</w:t>
      </w:r>
      <w:r>
        <w:rPr>
          <w:rFonts w:hint="eastAsia" w:ascii="仿宋" w:hAnsi="仿宋" w:eastAsia="仿宋" w:cs="仿宋"/>
          <w:bCs/>
          <w:color w:val="auto"/>
          <w:sz w:val="24"/>
          <w:szCs w:val="24"/>
          <w:highlight w:val="none"/>
          <w:cs/>
        </w:rPr>
        <w:t xml:space="preserve">维护保养</w:t>
      </w:r>
      <w:r>
        <w:rPr>
          <w:rFonts w:hint="eastAsia" w:ascii="仿宋" w:hAnsi="仿宋" w:eastAsia="仿宋" w:cs="仿宋"/>
          <w:bCs/>
          <w:color w:val="auto"/>
          <w:sz w:val="24"/>
          <w:szCs w:val="24"/>
          <w:highlight w:val="none"/>
          <w:cs w:val="0"/>
          <w:lang w:eastAsia="zh-CN"/>
        </w:rPr>
        <w:t xml:space="preserve">内容及工作要求</w:t>
      </w:r>
      <w:r/>
    </w:p>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一、工作</w:t>
      </w:r>
      <w:r>
        <w:rPr>
          <w:rFonts w:hint="eastAsia" w:ascii="仿宋" w:hAnsi="仿宋" w:eastAsia="仿宋" w:cs="仿宋"/>
          <w:b/>
          <w:bCs/>
          <w:color w:val="auto"/>
          <w:sz w:val="24"/>
          <w:szCs w:val="24"/>
          <w:lang w:eastAsia="zh-CN"/>
        </w:rPr>
        <w:t xml:space="preserve">内容及要求</w:t>
      </w:r>
      <w:r>
        <w:rPr>
          <w:rFonts w:hint="eastAsia" w:ascii="仿宋" w:hAnsi="仿宋" w:eastAsia="仿宋" w:cs="仿宋"/>
          <w:b/>
          <w:bCs/>
          <w:color w:val="auto"/>
          <w:sz w:val="24"/>
          <w:szCs w:val="24"/>
        </w:rPr>
        <w:t xml:space="preserve">：</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1、净化槽</w:t>
      </w:r>
      <w:r>
        <w:rPr>
          <w:rFonts w:hint="eastAsia" w:ascii="仿宋" w:hAnsi="仿宋" w:eastAsia="仿宋" w:cs="仿宋"/>
          <w:color w:val="auto"/>
          <w:sz w:val="24"/>
          <w:szCs w:val="24"/>
          <w:lang w:eastAsia="zh-CN"/>
        </w:rPr>
        <w:t xml:space="preserve">及污水处理设施</w:t>
      </w:r>
      <w:r>
        <w:rPr>
          <w:rFonts w:hint="eastAsia" w:ascii="仿宋" w:hAnsi="仿宋" w:eastAsia="仿宋" w:cs="仿宋"/>
          <w:color w:val="auto"/>
          <w:sz w:val="24"/>
          <w:szCs w:val="24"/>
        </w:rPr>
        <w:t xml:space="preserve">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573"/>
        <w:gridCol w:w="4851"/>
        <w:gridCol w:w="2954"/>
      </w:tblGrid>
      <w:tr>
        <w:trPr>
          <w:jc w:val="center"/>
          <w:trHeight w:val="465"/>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14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溶解氧控制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通过手持式溶解氧仪确定真实的系统溶解氧值，若不在合适范围内，通过观察对比设备曝气强度确认气泵是否能正常供气，若气泵通电时能正常振动工作，但泵气过少，则对气泵进行必要的过滤棉清洗及振动膜片更换，确保气泵能正常给系统供气充氧；</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回流比控制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进水负荷、进水量发生改变导致对曝气量需求发生改变</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1803"/>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巡视人员应记录设备运行状态，对各项参数进行登记汇总(电量、水量、药剂投加量、调试参数等），便于后期对历史数据进行查看与分析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left"/>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每两天到场记录一次</w:t>
            </w:r>
            <w:r/>
          </w:p>
        </w:tc>
      </w:tr>
      <w:tr>
        <w:trPr>
          <w:jc w:val="center"/>
          <w:trHeight w:val="1850"/>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巡视人员应根据定制的采样覆盖率定期对不同设备进行抽查采集，记录每台设备对应编号。同时要求所运维的站点水质达标率要求95%以上</w:t>
            </w:r>
            <w:r>
              <w:rPr>
                <w:rFonts w:hint="eastAsia" w:ascii="仿宋" w:hAnsi="仿宋" w:eastAsia="仿宋" w:cs="仿宋"/>
                <w:color w:val="auto"/>
                <w:sz w:val="24"/>
                <w:szCs w:val="24"/>
                <w:lang w:eastAsia="zh-CN" w:bidi="ar"/>
              </w:rPr>
              <w:t xml:space="preserve">。</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208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气泵、污水泵、浮球、风机维护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空气泵是一体化设备的重要部件，振动膜为气泵易损部件，必须定期维护。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每季度对气泵进行一次过滤棉清洗，同时负责购买空气泵过滤棉并定期更换，对损坏的气泵送到指定维修地点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风机是一体化设备的重要部件，必须定期维护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每季度对风机进行一次机油添加及皮带检修更换维护，对损坏的风机送到指定维修地点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每月对污水泵进行一次吊起清理，对损坏的水泵</w:t>
            </w:r>
            <w:r>
              <w:rPr>
                <w:rFonts w:hint="eastAsia" w:ascii="仿宋" w:hAnsi="仿宋" w:eastAsia="仿宋" w:cs="仿宋"/>
                <w:color w:val="auto"/>
                <w:sz w:val="24"/>
                <w:szCs w:val="24"/>
                <w:lang w:eastAsia="zh-CN" w:bidi="ar"/>
              </w:rPr>
              <w:t xml:space="preserve">进行</w:t>
            </w:r>
            <w:r>
              <w:rPr>
                <w:rFonts w:hint="eastAsia" w:ascii="仿宋" w:hAnsi="仿宋" w:eastAsia="仿宋" w:cs="仿宋"/>
                <w:color w:val="auto"/>
                <w:sz w:val="24"/>
                <w:szCs w:val="24"/>
                <w:lang w:bidi="ar"/>
              </w:rPr>
              <w:t xml:space="preserve">维修</w:t>
            </w:r>
            <w:r/>
          </w:p>
        </w:tc>
      </w:tr>
      <w:tr>
        <w:trPr>
          <w:jc w:val="center"/>
          <w:trHeight w:val="1125"/>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定期清淤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每正常运行半年（6个月），需要对设备进行一次无机沉渣清理并按要求转运至指定地点。</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w:t>
            </w:r>
            <w:r>
              <w:rPr>
                <w:rStyle w:val="1049"/>
                <w:rFonts w:hint="eastAsia" w:ascii="仿宋" w:hAnsi="仿宋" w:eastAsia="仿宋" w:cs="仿宋"/>
                <w:color w:val="auto"/>
                <w:sz w:val="24"/>
                <w:szCs w:val="24"/>
                <w:lang w:bidi="ar"/>
              </w:rPr>
              <w:t xml:space="preserve">每巡视小组每达到设备站点，应进行打卡记录，记录相关信息，如溶解氧浓度，设备运行工况等</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所负责运营片区确保每月必须全面到场巡检（每个站点巡检不低于3次/周）</w:t>
            </w:r>
            <w:r/>
          </w:p>
        </w:tc>
      </w:tr>
      <w:tr>
        <w:trPr>
          <w:jc w:val="center"/>
          <w:trHeight w:val="1448"/>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w:t>
            </w:r>
            <w:r>
              <w:rPr>
                <w:rStyle w:val="1049"/>
                <w:rFonts w:hint="eastAsia" w:ascii="仿宋" w:hAnsi="仿宋" w:eastAsia="仿宋" w:cs="仿宋"/>
                <w:color w:val="auto"/>
                <w:sz w:val="24"/>
                <w:szCs w:val="24"/>
                <w:lang w:bidi="ar"/>
              </w:rPr>
              <w:t xml:space="preserve">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26"/>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 </w:t>
            </w:r>
            <w:r>
              <w:rPr>
                <w:rStyle w:val="1049"/>
                <w:rFonts w:hint="eastAsia" w:ascii="仿宋" w:hAnsi="仿宋" w:eastAsia="仿宋" w:cs="仿宋"/>
                <w:color w:val="auto"/>
                <w:sz w:val="24"/>
                <w:szCs w:val="24"/>
                <w:lang w:bidi="ar"/>
              </w:rPr>
              <w:t xml:space="preserve">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 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 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925"/>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 巡视过程中积极宣传“净化槽“的环保理念与作用，同时引导居民对常规简单问题进行自行维护，在使用过程中减少固体垃圾进入管道的可能。</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391"/>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w:t>
            </w:r>
            <w:r>
              <w:rPr>
                <w:rStyle w:val="1049"/>
                <w:rFonts w:hint="eastAsia" w:ascii="仿宋" w:hAnsi="仿宋" w:eastAsia="仿宋" w:cs="仿宋"/>
                <w:color w:val="auto"/>
                <w:sz w:val="24"/>
                <w:szCs w:val="24"/>
                <w:lang w:bidi="ar"/>
              </w:rPr>
              <w:t xml:space="preserve">应急小组达到指定设备位置，应做好打卡记录工作、记录相关信息，处理完成 及时反馈相应领导。</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14"/>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79"/>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376"/>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ind w:left="0"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ind w:left="0" w:firstLine="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2、一体化泵站运维工作内容及要求：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635"/>
        <w:gridCol w:w="4818"/>
        <w:gridCol w:w="2966"/>
      </w:tblGrid>
      <w:tr>
        <w:trPr>
          <w:jc w:val="center"/>
          <w:trHeight w:val="515"/>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29"/>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w:t>
            </w:r>
            <w:r/>
          </w:p>
        </w:tc>
        <w:tc>
          <w:tcPr>
            <w:tcBorders>
              <w:top w:val="single" w:color="000000" w:sz="8" w:space="0"/>
              <w:left w:val="none" w:color="000000" w:sz="4" w:space="0"/>
              <w:bottom w:val="single" w:color="000000" w:sz="8" w:space="0"/>
              <w:right w:val="single" w:color="000000" w:sz="8" w:space="0"/>
            </w:tcBorders>
            <w:tcW w:w="4818"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格栅井是设备处理前段预处理的关键部分，需每季度制定清掏计划并进行清掏。</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一体化泵站格栅井每年度要求清掏一次，并配备相应转运车辆按要求转运至指定地点</w:t>
            </w:r>
            <w:r/>
          </w:p>
        </w:tc>
      </w:tr>
      <w:tr>
        <w:trPr>
          <w:jc w:val="center"/>
          <w:trHeight w:val="11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left"/>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每站点巡查不少于2次/周</w:t>
            </w:r>
            <w:r/>
          </w:p>
        </w:tc>
      </w:tr>
      <w:tr>
        <w:trPr>
          <w:jc w:val="center"/>
          <w:trHeight w:val="1174"/>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18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每月对气泵进行一次吊起检修维护，对损坏的污水泵送到指定维修地点</w:t>
            </w:r>
            <w:r/>
          </w:p>
        </w:tc>
      </w:tr>
      <w:tr>
        <w:trPr>
          <w:jc w:val="center"/>
          <w:trHeight w:val="953"/>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相关阀门维护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阀门是一体化泵站设备的重要部件，是保证泵站高效运行的关键设备。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每年定期对各类阀门进行防锈处理维护</w:t>
            </w:r>
            <w:r/>
          </w:p>
        </w:tc>
      </w:tr>
      <w:tr>
        <w:trPr>
          <w:jc w:val="center"/>
          <w:trHeight w:val="761"/>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一体化设备定期清淤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每年需要对设备进行一次无机沉渣清理并按要求转运至指定地点。</w:t>
            </w:r>
            <w:r/>
          </w:p>
        </w:tc>
      </w:tr>
      <w:tr>
        <w:trPr>
          <w:jc w:val="center"/>
          <w:trHeight w:val="791"/>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28"/>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每巡视小组每达到设备站点，应进行打卡记录，记录相关信息，如设备运行工况等</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所负责运营片区确保每月必须全面到场巡检（每个站点巡检不低于2次/周）</w:t>
            </w:r>
            <w:r/>
          </w:p>
        </w:tc>
      </w:tr>
      <w:tr>
        <w:trPr>
          <w:jc w:val="center"/>
          <w:trHeight w:val="143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 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 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5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 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 巡视过程中积极宣传企业文化，同时引导居民保护相关设备。</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55"/>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 应急小组达到指定设备位置，应做好打卡记录工作、记录相关信息，处理完成 及时反馈相应领导。</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86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 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1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2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ind w:left="0" w:firstLine="48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二、</w:t>
      </w:r>
      <w:r>
        <w:rPr>
          <w:rFonts w:hint="eastAsia" w:ascii="仿宋" w:hAnsi="仿宋" w:eastAsia="仿宋" w:cs="仿宋"/>
          <w:b/>
          <w:bCs/>
          <w:color w:val="auto"/>
          <w:sz w:val="24"/>
          <w:szCs w:val="24"/>
        </w:rPr>
        <w:t xml:space="preserve">无动力</w:t>
      </w:r>
      <w:r>
        <w:rPr>
          <w:rFonts w:hint="eastAsia" w:ascii="仿宋" w:hAnsi="仿宋" w:eastAsia="仿宋" w:cs="仿宋"/>
          <w:b/>
          <w:bCs/>
          <w:color w:val="auto"/>
          <w:sz w:val="24"/>
          <w:szCs w:val="24"/>
          <w:lang w:eastAsia="zh-CN"/>
        </w:rPr>
        <w:t xml:space="preserve">净化槽</w:t>
      </w:r>
      <w:r>
        <w:rPr>
          <w:rFonts w:hint="eastAsia" w:ascii="仿宋" w:hAnsi="仿宋" w:eastAsia="仿宋" w:cs="仿宋"/>
          <w:b/>
          <w:bCs/>
          <w:color w:val="auto"/>
          <w:sz w:val="24"/>
          <w:szCs w:val="24"/>
        </w:rPr>
        <w:t xml:space="preserve">维护</w:t>
      </w:r>
      <w:r>
        <w:rPr>
          <w:rFonts w:hint="eastAsia" w:ascii="仿宋" w:hAnsi="仿宋" w:eastAsia="仿宋" w:cs="仿宋"/>
          <w:b/>
          <w:bCs/>
          <w:color w:val="auto"/>
          <w:sz w:val="24"/>
          <w:szCs w:val="24"/>
          <w:lang w:eastAsia="zh-CN"/>
        </w:rPr>
        <w:t xml:space="preserve">方案</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厌氧池：采用现场取样观察及测溶解氧值等方法，控制厌氧池处于正常运行状态。一般应控制厌氧池溶解氧含量不超过0.2mg/L。</w: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厌氧池异常现象与对应措施汇总表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6"/>
        <w:gridCol w:w="3544"/>
        <w:gridCol w:w="3456"/>
      </w:tblGrid>
      <w:tr>
        <w:trPr>
          <w:jc w:val="center"/>
          <w:trHeight w:val="397"/>
          <w:tblHeader/>
        </w:trPr>
        <w:tc>
          <w:tcPr>
            <w:gridSpan w:val="3"/>
            <w:tcW w:w="9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厌氧池异常现象与采取措施</w:t>
            </w:r>
            <w:r/>
          </w:p>
        </w:tc>
      </w:tr>
      <w:tr>
        <w:trPr>
          <w:jc w:val="center"/>
          <w:trHeight w:val="397"/>
          <w:tblHeader/>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A）上溢水混浊</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1.大量的不溶性的固体流入厌氧池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如BOD的去除率在90％以上，不需要处置</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如影响BOD的去除率，则要对前处理中SS去除效果改进</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由于温度变化，酸的流入，有毒物的混入导致污泥分解而混浊</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对有毒物质加以调查并排除混入</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B）污泥的上浮</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1.污泥的脱氧过曝气导致高度硝化，而在兼氧池中将反硝化而生成N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释放，N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上升携带污泥浮上。在SV30测定后静置3～5小时即可观察出来，经过物理搅拌可重新沉淀。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增加排放剩余污泥</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减少曝气量，降低兼氧池中溶解氧量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降低兼氧池的进水流量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2.污泥的膨胀</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曝气不足或水温高于25℃时丝状细菌和真菌易大量繁殖导致泥块松散，密度降低而浮上</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加强曝气，使兼氧池溶体积达到1～4ppm</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增加氮、磷的投入量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将PH值调整至6.5～7.5</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3.污泥腐化</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曝气量过小导致污泥缺氧而腐化</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增加曝气量和排放过剩的污泥</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4.浮上污泥</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比重小于水的污泥浮上，物理搅拌不会沉淀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无需对策</w:t>
            </w:r>
            <w:r/>
          </w:p>
        </w:tc>
      </w:tr>
      <w:tr>
        <w:trPr>
          <w:jc w:val="center"/>
          <w:trHeight w:val="397"/>
        </w:trPr>
        <w:tc>
          <w:tcPr>
            <w:gridSpan w:val="3"/>
            <w:tcW w:w="9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其他异常和对策</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负荷量增高；</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曝气不足；</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工业污水的流入等</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控制负荷量；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增大曝气量；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切断或控制污水的流入</w:t>
            </w:r>
            <w:r/>
          </w:p>
        </w:tc>
      </w:tr>
      <w:tr>
        <w:trPr>
          <w:jc w:val="center"/>
          <w:trHeight w:val="397"/>
        </w:trPr>
        <w:tc>
          <w:tcPr>
            <w:tcW w:w="228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白色化</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由于丝状菌的繁殖导致污泥膨胀</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加强前置处理</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pH偏低</w:t>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发生硝化现象</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NH</w:t>
            </w:r>
            <w:r>
              <w:rPr>
                <w:rFonts w:hint="eastAsia" w:ascii="仿宋" w:hAnsi="仿宋" w:eastAsia="仿宋" w:cs="仿宋"/>
                <w:color w:val="auto"/>
                <w:sz w:val="24"/>
                <w:szCs w:val="24"/>
                <w:vertAlign w:val="subscript"/>
              </w:rPr>
              <w:t xml:space="preserve">4</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＋1.5O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perscript"/>
              </w:rPr>
              <w:t xml:space="preserve">－</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＋0.5O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vertAlign w:val="superscript"/>
              </w:rPr>
              <w:t xml:space="preserve">－</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（判断硝化现象的方法是用GR试剂或氮氧化物吸收剂吸收剂测试兼氧池混合液，看反应的颜色）</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调整PH值至7.0～7.6，往兼氧池内散步25％的NaOH溶液</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减少曝气量，溶解氧维持在～4ppm</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增加BOD负荷（即废水量）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腐败的发生</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S＋1/2O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O＋S</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2S＋3O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SO</w:t>
            </w:r>
            <w:r>
              <w:rPr>
                <w:rFonts w:hint="eastAsia" w:ascii="仿宋" w:hAnsi="仿宋" w:eastAsia="仿宋" w:cs="仿宋"/>
                <w:color w:val="auto"/>
                <w:sz w:val="24"/>
                <w:szCs w:val="24"/>
                <w:vertAlign w:val="subscript"/>
              </w:rPr>
              <w:t xml:space="preserve">4</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污泥的腐败伴随着颜色的黑色化，曝气不足及污泥排放的不足均会导致腐败现象</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保证过剩污泥的排放</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污泥的膨化（可以通过SV30的测试及其后4～5小时污泥沉降量的比较来推断）</w:t>
            </w:r>
            <w:r/>
          </w:p>
        </w:tc>
        <w:tc>
          <w:tcPr>
            <w:tcW w:w="3544" w:type="dxa"/>
            <w:vAlign w:val="center"/>
            <w:vMerge w:val="restart"/>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1.原水水质急骤变化以及有物质流入</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减少废水的流入量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对前级进一步处理</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N、P 含量的不足</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增加营养剂的补充量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曝气池溶解氧低下</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continue"/>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4.水中无机质量少</w:t>
            </w:r>
            <w:r/>
          </w:p>
        </w:tc>
        <w:tc>
          <w:tcPr>
            <w:tcW w:w="3456"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添加硅藻土，黄泥，CaCO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rPr>
              <w:t xml:space="preserve">之类作为污泥的重量剂</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好氧站点</w:t>
      </w:r>
      <w:r>
        <w:rPr>
          <w:rFonts w:hint="eastAsia" w:ascii="仿宋" w:hAnsi="仿宋" w:eastAsia="仿宋" w:cs="仿宋"/>
          <w:b/>
          <w:bCs/>
          <w:color w:val="auto"/>
          <w:sz w:val="24"/>
          <w:szCs w:val="24"/>
          <w:lang w:eastAsia="zh-CN"/>
        </w:rPr>
        <w:t xml:space="preserve">及膜处理设施</w:t>
      </w:r>
      <w:r>
        <w:rPr>
          <w:rFonts w:hint="eastAsia" w:ascii="仿宋" w:hAnsi="仿宋" w:eastAsia="仿宋" w:cs="仿宋"/>
          <w:b/>
          <w:bCs/>
          <w:color w:val="auto"/>
          <w:sz w:val="24"/>
          <w:szCs w:val="24"/>
        </w:rPr>
        <w:t xml:space="preserve">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1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①</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定期检查污泥颜色是否正常，一般正常污泥颜色呈褐色，有泥土气味；曝气时，污水泡沫不多，且较容易破裂。若污泥颜色发黑、发臭、污水泡沫增多、不易破碎，则处理效果可能较差甚至出水超标（原因主要有曝气不足、进水COD偏高、生化不充分、污泥龄短、污泥负荷高等），针对问题一一排查；</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2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②</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若使用电控设备的。根据设计水量、实际处理水量耗电的比较，同时根据日常运行耗电量的积累，判断各设施耗电量的正常范围，若过低或过高均应排查原因；</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3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③</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使用微孔曝气装置时，应进行空气过滤，并应对微孔曝气器、单孔膜曝气器进行定期清洗；</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4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④</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经常检查与调整曝气池配水系统和回流污泥的分配系统，确保进行各系列或各池之间的污水和污泥均匀；</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5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⑤</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注意观察曝气池液面翻腾状况，检查是否有空气扩散器堵塞或脱落情况，并及时更换；</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6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⑥</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水质分析：水温、透明度、pH、COD、NH</w:t>
      </w:r>
      <w:r>
        <w:rPr>
          <w:rFonts w:hint="eastAsia" w:ascii="仿宋" w:hAnsi="仿宋" w:eastAsia="仿宋" w:cs="仿宋"/>
          <w:bCs/>
          <w:color w:val="auto"/>
          <w:sz w:val="24"/>
          <w:szCs w:val="24"/>
          <w:vertAlign w:val="subscript"/>
        </w:rPr>
        <w:t xml:space="preserve">3</w:t>
      </w:r>
      <w:r>
        <w:rPr>
          <w:rFonts w:hint="eastAsia" w:ascii="仿宋" w:hAnsi="仿宋" w:eastAsia="仿宋" w:cs="仿宋"/>
          <w:bCs/>
          <w:color w:val="auto"/>
          <w:sz w:val="24"/>
          <w:szCs w:val="24"/>
        </w:rPr>
        <w:t xml:space="preserve">-N、TP。</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常见问题与解决措施汇总表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835"/>
        <w:gridCol w:w="3933"/>
      </w:tblGrid>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问题</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原因</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解决措施</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负荷量增高</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曝气不足</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工业污水的流入等</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 控制负荷量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 增大曝气量</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 切断或控制污水的流入</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1、污泥上浮</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2、在沉淀后的上清液中含有大量的悬浮微小絮体，出水透明度下降</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污泥解体；曝气过度；负荷下降，活性污泥自身氧化过度</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硝化效率下降</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入流污水碱度不足或呈酸性</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因曝气池供氧不足或系统排泥量太大</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适量投加石灰</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泥水界面不明显</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高浓度有机废水的流入，使微生物处于对数增长期；污泥形成的絮体性能较差</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降低负荷；增大回流量以提高曝气池中的MLSS，降低F/M值</w:t>
            </w:r>
            <w:r/>
          </w:p>
        </w:tc>
      </w:tr>
      <w:tr>
        <w:trPr>
          <w:jc w:val="center"/>
          <w:trHeight w:val="397"/>
        </w:trPr>
        <w:tc>
          <w:tcPr>
            <w:tcW w:w="2518"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污泥膨胀</w:t>
            </w:r>
            <w:r/>
          </w:p>
        </w:tc>
        <w:tc>
          <w:tcPr>
            <w:tcW w:w="2835"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1、丝状菌性膨胀：主要是由于丝状菌异常增殖而引起的，主要的丝状菌有：球衣菌属、贝氏硫细菌、以及正常活性污泥中的某些丝状菌如芽孢杆菌属等、某些霉菌</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2、高粘性污泥膨胀：低的MLSS，高的BOD 负荷</w:t>
            </w:r>
            <w:r/>
          </w:p>
        </w:tc>
        <w:tc>
          <w:tcPr>
            <w:tcW w:w="3933" w:type="dxa"/>
            <w:vAlign w:val="center"/>
            <w:textDirection w:val="lrTb"/>
            <w:noWrap w:val="false"/>
          </w:tcPr>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1、杀灭丝状菌，如投加氯、臭氧、过氧化氢等的药剂；——加杀菌药剂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2、改善提高活性污泥的絮凝性，投加絮凝剂如：硫酸铝等；——加化学药剂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3、改善提高活性污泥的沉降性、密实性，投加粘土、消石灰等；——加化学药剂</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4、加大回流污泥量并在其回流前进行再生性曝气；——加强曝气</w:t>
            </w:r>
            <w:r/>
          </w:p>
          <w:p>
            <w:pPr>
              <w:ind w:left="0" w:firstLine="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5、考虑调节水温；水温&lt;15°C时易于发生高粘性膨胀；而丝状菌膨胀多发生在20°C以上；——加强曝气</w:t>
            </w:r>
            <w:r/>
          </w:p>
        </w:tc>
      </w:tr>
    </w:tbl>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膜清洗</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1、水反洗</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140325" cy="3136265"/>
                <wp:effectExtent l="0" t="0" r="317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5140325" cy="313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8pt;height:246.9pt;mso-wrap-distance-left:0.0pt;mso-wrap-distance-top:0.0pt;mso-wrap-distance-right:0.0pt;mso-wrap-distance-bottom:0.0pt;" stroked="f">
                <v:path textboxrect="0,0,0,0"/>
                <v:imagedata r:id="rId12" o:title=""/>
              </v:shape>
            </w:pict>
          </mc:Fallback>
        </mc:AlternateConten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水反洗</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当膜系统运行一段时间后，膜表面形成污染，此时需要进行反洗或CEB。</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反洗过程具体为：先关闭产水泵，再关闭产水阀，之后开启反洗阀，再开启反洗泵，以膜产水进行反洗。反洗过程中膜单元保持曝气状态。</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2、CEB反洗</w:t>
      </w:r>
      <w:r/>
    </w:p>
    <w:p>
      <w:pPr>
        <w:ind w:left="0" w:firstLine="482"/>
        <w:jc w:val="center"/>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035550" cy="2733675"/>
                <wp:effectExtent l="0" t="0" r="635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035550" cy="273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5pt;height:215.2pt;mso-wrap-distance-left:0.0pt;mso-wrap-distance-top:0.0pt;mso-wrap-distance-right:0.0pt;mso-wrap-distance-bottom:0.0pt;" stroked="f">
                <v:path textboxrect="0,0,0,0"/>
                <v:imagedata r:id="rId13" o:title=""/>
              </v:shape>
            </w:pict>
          </mc:Fallback>
        </mc:AlternateConten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加药(以次氯酸钠为例)</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(1)定期进行维护性加药反洗，通过化学药剂的杀菌、溶解、调节pH等作用，减缓膜表面的生物污染和化学污染，维持膜通量。</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(2)药剂选择</w:t>
      </w:r>
      <w:r/>
    </w:p>
    <w:p>
      <w:pPr>
        <w:ind w:left="0" w:firstLine="482"/>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维护性加药反洗所用药剂</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5"/>
        <w:gridCol w:w="4785"/>
      </w:tblGrid>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种类</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数值</w:t>
            </w:r>
            <w:r/>
          </w:p>
        </w:tc>
      </w:tr>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NaClO</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r>
        <w:trPr>
          <w:jc w:val="center"/>
          <w:trHeight w:val="397"/>
        </w:trPr>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柠檬酸</w:t>
            </w:r>
            <w:r/>
          </w:p>
        </w:tc>
        <w:tc>
          <w:tcPr>
            <w:shd w:val="clear" w:color="auto" w:fill="ffffff"/>
            <w:tcW w:w="4785" w:type="dxa"/>
            <w:vAlign w:val="top"/>
            <w:textDirection w:val="lrTb"/>
            <w:noWrap w:val="false"/>
          </w:tcPr>
          <w:p>
            <w:pPr>
              <w:ind w:left="0" w:firstLine="480"/>
              <w:jc w:val="center"/>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bl>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注：可根据污水的水质情况，调整药剂种类和药液浓度。</w:t>
      </w:r>
      <w:r/>
    </w:p>
    <w:p>
      <w:pPr>
        <w:ind w:lef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3、恢复性化学清洗</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当系统监测数据出现以下任意一种情形时，需要进行恢复性化学清洗：</w:t>
      </w:r>
      <w:r/>
    </w:p>
    <w:p>
      <w:pPr>
        <w:ind w:left="0" w:firstLine="482"/>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① </w:t>
      </w:r>
      <w:r>
        <w:rPr>
          <w:rFonts w:hint="eastAsia" w:ascii="仿宋" w:hAnsi="仿宋" w:eastAsia="仿宋" w:cs="仿宋"/>
          <w:color w:val="auto"/>
          <w:sz w:val="24"/>
          <w:szCs w:val="24"/>
        </w:rPr>
        <w:t xml:space="preserve">跨膜压差上升超过30kpa；</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 经过三次维护性清洗，压力上升周期短于维护性清洗周期；</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③ 距上次化学清洗超过3个月</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恢复性化学反洗通过加药反洗的方式去除膜表面的污染物，恢复性浸渍清洗是将膜组件整体浸泡在药品清洗池内，清除膜表面的污染物，其目的是使膜间压差恢复到初始状态。恢复性浸渍清洗比恢复性化学反洗清洗效果好。</w:t>
      </w:r>
      <w:r/>
    </w:p>
    <w:p>
      <w:pPr>
        <w:ind w:left="0" w:firstLine="482"/>
        <w:jc w:val="left"/>
        <w:keepLines w:val="0"/>
        <w:keepNext w:val="0"/>
        <w:pageBreakBefore w:val="0"/>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r>
      <w:r/>
    </w:p>
    <w:p>
      <w:pPr>
        <w:ind w:left="0" w:firstLine="482"/>
        <w:jc w:val="left"/>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四、一体化</w:t>
      </w:r>
      <w:r>
        <w:rPr>
          <w:rFonts w:hint="eastAsia" w:ascii="仿宋" w:hAnsi="仿宋" w:eastAsia="仿宋" w:cs="仿宋"/>
          <w:b/>
          <w:bCs/>
          <w:color w:val="auto"/>
          <w:sz w:val="24"/>
          <w:szCs w:val="24"/>
        </w:rPr>
        <w:t xml:space="preserve">泵站的维护</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一般规定</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泵站的运行维护应符合现行国家标准GB14554和GB3096的规定。</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水泵维修后，其流量不应低于原设计流量的90%；机组效率不应低于原机组效率的90%；汛期雨水泵站的机组可运行率不应低于98%。</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排水泵站内的水位仪、流量计、开车计时器每年应校验一次。当仪器仪表失灵时，应立即修复或更换。</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泵站机、电、仪表监控设备应配备易损零配件。</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泵站机电设备、设施、管配件外表宜每二年进行一次除锈、防腐蚀处理。</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泵站内设置的易燃、易爆、有毒气体监测装置，安全阀、起重设备、压力容器等均为强制性检验设备，每年必须按规定检验，合格后方可使用。</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检查维护水泵、闸阀门、管道、泵房及附属设施，应经常进行清洁保养，出现损坏应立即修复，宜每隔3年刷新一次。</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防毒用具使用前必须校验，合格后方可使用。</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排水泵站的围墙、道路、泵房、及附属设施，应经常进行清洁保养，出现损坏应立即修复，每隔3年应刷新一次。</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每年汛期前，应对泵站的自身防汛设施，进行检查与维护。</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泵站应有完整的运行与维护记录，宜采用电子信息化管理。</w:t>
      </w:r>
      <w:r/>
    </w:p>
    <w:p>
      <w:pPr>
        <w:pStyle w:val="822"/>
        <w:numPr>
          <w:ilvl w:val="0"/>
          <w:numId w:val="6"/>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排水泵站应经常做好卫生、绿化与除害灭虫工作。</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水泵机组的日常巡检与保养</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（1）水泵机组运行前的巡视检查 </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水泵机组运行前的巡视检查应符合下列规定：</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电动机的绝缘电阻应符合下表中规定（如产品说明书列明标准的，以厂家规定为准）；</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水泵机组的轴承应处于良好润滑状态；</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泵体轴封机构的密封性能应保持良好；</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联轴器封向间隙和同轴度应符合产品技术规定；</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盘车时，水泵叶轮、电机转子不得有碰擦和轻重不匀现象；</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涡壳式水泵，应将泵壳内的空气排尽；</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检查冷却水、润滑水和抽真空系统；</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集水池水位应满足启动泵要求；</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进出水管路应畅通，阀门开启应灵活；</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仪器仪表显示应正常；</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电气连接必须可靠，电气桩头接触面无烧伤，接地装置有效；</w:t>
      </w:r>
      <w:r/>
    </w:p>
    <w:p>
      <w:pPr>
        <w:pStyle w:val="822"/>
        <w:numPr>
          <w:ilvl w:val="0"/>
          <w:numId w:val="7"/>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通电后无故障报警显示。</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（2）水泵机组运行中的巡视检查</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rPr>
        <w:t xml:space="preserve">干式泵房水泵机组运行中的巡视检查应符合下列规定：</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a</w:t>
      </w:r>
      <w:r>
        <w:rPr>
          <w:rFonts w:hint="eastAsia" w:ascii="仿宋" w:hAnsi="仿宋" w:eastAsia="仿宋" w:cs="仿宋"/>
          <w:color w:val="auto"/>
          <w:sz w:val="24"/>
          <w:szCs w:val="24"/>
        </w:rPr>
        <w:t xml:space="preserve">水泵机组转向正确、运转平稳、无异常振动和噪声，无异常的焦味；</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b</w:t>
      </w:r>
      <w:r>
        <w:rPr>
          <w:rFonts w:hint="eastAsia" w:ascii="仿宋" w:hAnsi="仿宋" w:eastAsia="仿宋" w:cs="仿宋"/>
          <w:color w:val="auto"/>
          <w:sz w:val="24"/>
          <w:szCs w:val="24"/>
        </w:rPr>
        <w:t xml:space="preserve">水泵机组应在规定的电压、电流范围内运行；</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c</w:t>
      </w:r>
      <w:r>
        <w:rPr>
          <w:rFonts w:hint="eastAsia" w:ascii="仿宋" w:hAnsi="仿宋" w:eastAsia="仿宋" w:cs="仿宋"/>
          <w:color w:val="auto"/>
          <w:sz w:val="24"/>
          <w:szCs w:val="24"/>
        </w:rPr>
        <w:t xml:space="preserve">轴承润滑状态应保持良好；</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d</w:t>
      </w:r>
      <w:r>
        <w:rPr>
          <w:rFonts w:hint="eastAsia" w:ascii="仿宋" w:hAnsi="仿宋" w:eastAsia="仿宋" w:cs="仿宋"/>
          <w:color w:val="auto"/>
          <w:sz w:val="24"/>
          <w:szCs w:val="24"/>
        </w:rPr>
        <w:t xml:space="preserve">水泵机组的轴承温度应保持正常。滚动轴承温度不应超过80℃，滑动轴承温度不应超过60℃，温升不应大于35℃；</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e</w:t>
      </w:r>
      <w:r>
        <w:rPr>
          <w:rFonts w:hint="eastAsia" w:ascii="仿宋" w:hAnsi="仿宋" w:eastAsia="仿宋" w:cs="仿宋"/>
          <w:color w:val="auto"/>
          <w:sz w:val="24"/>
          <w:szCs w:val="24"/>
        </w:rPr>
        <w:t xml:space="preserve">轴封机构不应过热，渗漏不得滴水成线；</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f</w:t>
      </w:r>
      <w:r>
        <w:rPr>
          <w:rFonts w:hint="eastAsia" w:ascii="仿宋" w:hAnsi="仿宋" w:eastAsia="仿宋" w:cs="仿宋"/>
          <w:color w:val="auto"/>
          <w:sz w:val="24"/>
          <w:szCs w:val="24"/>
        </w:rPr>
        <w:t xml:space="preserve">水泵机座螺栓应紧固，泵体连接管道不得发生渗漏；</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g</w:t>
      </w:r>
      <w:r>
        <w:rPr>
          <w:rFonts w:hint="eastAsia" w:ascii="仿宋" w:hAnsi="仿宋" w:eastAsia="仿宋" w:cs="仿宋"/>
          <w:color w:val="auto"/>
          <w:sz w:val="24"/>
          <w:szCs w:val="24"/>
        </w:rPr>
        <w:t xml:space="preserve">进、出水管阀门是否正常开启、无振动和异响；</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h</w:t>
      </w:r>
      <w:r>
        <w:rPr>
          <w:rFonts w:hint="eastAsia" w:ascii="仿宋" w:hAnsi="仿宋" w:eastAsia="仿宋" w:cs="仿宋"/>
          <w:color w:val="auto"/>
          <w:sz w:val="24"/>
          <w:szCs w:val="24"/>
        </w:rPr>
        <w:t xml:space="preserve">集水池水位应符合水泵安全运行的要求；</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i</w:t>
      </w:r>
      <w:r>
        <w:rPr>
          <w:rFonts w:hint="eastAsia" w:ascii="仿宋" w:hAnsi="仿宋" w:eastAsia="仿宋" w:cs="仿宋"/>
          <w:color w:val="auto"/>
          <w:sz w:val="24"/>
          <w:szCs w:val="24"/>
        </w:rPr>
        <w:t xml:space="preserve">格栅前后的水位差应不超过200mm。</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rPr>
        <w:t xml:space="preserve">潜水泵（离心泵、混流泵、轴流泵）运行中的巡视检查应符合下列规定：</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a</w:t>
      </w:r>
      <w:r>
        <w:rPr>
          <w:rFonts w:hint="eastAsia" w:ascii="仿宋" w:hAnsi="仿宋" w:eastAsia="仿宋" w:cs="仿宋"/>
          <w:color w:val="auto"/>
          <w:sz w:val="24"/>
          <w:szCs w:val="24"/>
        </w:rPr>
        <w:t xml:space="preserve">水泵机组运转平稳、无异常振动和噪声；</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b</w:t>
      </w:r>
      <w:r>
        <w:rPr>
          <w:rFonts w:hint="eastAsia" w:ascii="仿宋" w:hAnsi="仿宋" w:eastAsia="仿宋" w:cs="仿宋"/>
          <w:color w:val="auto"/>
          <w:sz w:val="24"/>
          <w:szCs w:val="24"/>
        </w:rPr>
        <w:t xml:space="preserve">水泵机组应在规定的电压、电流、转速、流量、扬程范围内运行；</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c</w:t>
      </w:r>
      <w:r>
        <w:rPr>
          <w:rFonts w:hint="eastAsia" w:ascii="仿宋" w:hAnsi="仿宋" w:eastAsia="仿宋" w:cs="仿宋"/>
          <w:color w:val="auto"/>
          <w:sz w:val="24"/>
          <w:szCs w:val="24"/>
        </w:rPr>
        <w:t xml:space="preserve">无故障报警（过载、电机过热、轴承过热、油室进水、电机进水）；</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d</w:t>
      </w:r>
      <w:r>
        <w:rPr>
          <w:rFonts w:hint="eastAsia" w:ascii="仿宋" w:hAnsi="仿宋" w:eastAsia="仿宋" w:cs="仿宋"/>
          <w:color w:val="auto"/>
          <w:sz w:val="24"/>
          <w:szCs w:val="24"/>
        </w:rPr>
        <w:t xml:space="preserve">检查集水池液位计读数与集水池实际水位是否一致，水泵应保持一定的淹没深度；</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e</w:t>
      </w:r>
      <w:r>
        <w:rPr>
          <w:rFonts w:hint="eastAsia" w:ascii="仿宋" w:hAnsi="仿宋" w:eastAsia="仿宋" w:cs="仿宋"/>
          <w:color w:val="auto"/>
          <w:sz w:val="24"/>
          <w:szCs w:val="24"/>
        </w:rPr>
        <w:t xml:space="preserve">检查进水闸门是否保持全开，进水是否顺畅；</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f</w:t>
      </w:r>
      <w:r>
        <w:rPr>
          <w:rFonts w:hint="eastAsia" w:ascii="仿宋" w:hAnsi="仿宋" w:eastAsia="仿宋" w:cs="仿宋"/>
          <w:color w:val="auto"/>
          <w:sz w:val="24"/>
          <w:szCs w:val="24"/>
        </w:rPr>
        <w:t xml:space="preserve">进出水管阀门是否正常开启，无异常振动；</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g</w:t>
      </w:r>
      <w:r>
        <w:rPr>
          <w:rFonts w:hint="eastAsia" w:ascii="仿宋" w:hAnsi="仿宋" w:eastAsia="仿宋" w:cs="仿宋"/>
          <w:color w:val="auto"/>
          <w:sz w:val="24"/>
          <w:szCs w:val="24"/>
        </w:rPr>
        <w:t xml:space="preserve">水泵出水管道不得有振动和渗漏；</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h</w:t>
      </w:r>
      <w:r>
        <w:rPr>
          <w:rFonts w:hint="eastAsia" w:ascii="仿宋" w:hAnsi="仿宋" w:eastAsia="仿宋" w:cs="仿宋"/>
          <w:color w:val="auto"/>
          <w:sz w:val="24"/>
          <w:szCs w:val="24"/>
        </w:rPr>
        <w:t xml:space="preserve">格栅前后的水位差应不超过200mm。</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（3）水泵停止运行的巡视检查</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水泵停止运行应符合下列规定：</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轴封机构不得漏水；</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止回阀或出水拍门关闭时的响声应正常，柔性止回阀闭合应有效；</w:t>
      </w:r>
      <w:r/>
    </w:p>
    <w:p>
      <w:pPr>
        <w:pStyle w:val="822"/>
        <w:numPr>
          <w:ilvl w:val="0"/>
          <w:numId w:val="8"/>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观察泵轴惰走时间及停止状态，应正常合适。</w:t>
      </w:r>
      <w:r/>
    </w:p>
    <w:p>
      <w:pPr>
        <w:pStyle w:val="822"/>
        <w:numPr>
          <w:ilvl w:val="0"/>
          <w:numId w:val="5"/>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各种辅助设备的清扫、检查与维护</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（1）电动葫芦的日常及使用前检查与维护</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rPr>
        <w:t xml:space="preserve">电控箱及手操作控制器应可靠。</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rPr>
        <w:t xml:space="preserve">钢丝绳索具应完好。</w:t>
      </w:r>
      <w:r/>
    </w:p>
    <w:p>
      <w:pPr>
        <w:pStyle w:val="822"/>
        <w:numPr>
          <w:ilvl w:val="0"/>
          <w:numId w:val="0"/>
        </w:num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rPr>
        <w:t xml:space="preserve">升、降限位，升、降行走机构运动应灵活、稳定，断电制动可靠。</w:t>
      </w:r>
      <w:r/>
    </w:p>
    <w:p>
      <w:pPr>
        <w:ind w:lef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（2）通风机的日常检查与维护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防止进、出风倒向。</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检查通风机的运行工况。</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通风管密封完好，无异常。</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出现异声应停机检查。</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（3）备用水泵机组日常检查与维护</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水泵机组应放置在干燥、通风的环境内。</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电动机绝缘应保持良好。</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内燃机工况应保持良好。</w:t>
      </w:r>
      <w:r/>
    </w:p>
    <w:p>
      <w:pPr>
        <w:ind w:left="0" w:firstLine="480"/>
        <w:keepLines w:val="0"/>
        <w:keepNext w:val="0"/>
        <w:pageBreakBefore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水泵机组每月应试车一次。</w:t>
      </w:r>
      <w:r/>
    </w:p>
    <w:p>
      <w:pPr>
        <w:ind w:left="0" w:firstLine="480"/>
        <w:keepLines w:val="0"/>
        <w:keepNext w:val="0"/>
        <w:pageBreakBefore w:val="0"/>
        <w:spacing w:line="360" w:lineRule="auto"/>
        <w:rPr>
          <w:rFonts w:hint="eastAsia" w:ascii="仿宋" w:hAnsi="仿宋" w:eastAsia="仿宋" w:cs="仿宋"/>
          <w:b/>
          <w:bCs/>
          <w:color w:val="auto"/>
          <w:sz w:val="24"/>
          <w:szCs w:val="24"/>
          <w:highlight w:val="none"/>
          <w:cs/>
          <w:lang w:val="en-US" w:eastAsia="zh-CN" w:bidi="ar-SA"/>
        </w:rPr>
      </w:pPr>
      <w:r>
        <w:rPr>
          <w:rFonts w:hint="eastAsia" w:ascii="仿宋" w:hAnsi="仿宋" w:eastAsia="仿宋" w:cs="仿宋"/>
          <w:bCs/>
          <w:color w:val="auto"/>
          <w:sz w:val="24"/>
          <w:szCs w:val="24"/>
        </w:rPr>
        <w:t xml:space="preserve">水泵机组每年应进行一次抽水试车，时间不少于15分钟。</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备注：</w:t>
      </w:r>
      <w:r>
        <w:rPr>
          <w:rFonts w:hint="eastAsia" w:ascii="仿宋" w:hAnsi="仿宋" w:eastAsia="仿宋" w:cs="仿宋"/>
          <w:color w:val="auto"/>
          <w:sz w:val="24"/>
          <w:szCs w:val="24"/>
          <w:highlight w:val="none"/>
          <w:lang w:bidi="ar"/>
        </w:rPr>
        <w:t xml:space="preserve">运维期间，负责对农村生活污水治理设备、设施进行巡检、保养和故障维修、药剂和易损件的更换，保障系统的正常、稳定运行，运维报告、材料符合属地政府及生态环境主管部门的要求。运维为全包（含人工费、维修费、备品备件更换、车辆等所有的费用），经费由</w:t>
      </w:r>
      <w:r>
        <w:rPr>
          <w:rFonts w:hint="eastAsia" w:ascii="仿宋" w:hAnsi="仿宋" w:eastAsia="仿宋" w:cs="仿宋"/>
          <w:color w:val="auto"/>
          <w:sz w:val="24"/>
          <w:szCs w:val="24"/>
          <w:highlight w:val="none"/>
          <w:lang w:eastAsia="zh-CN" w:bidi="ar"/>
        </w:rPr>
        <w:t xml:space="preserve">成交供应商</w:t>
      </w:r>
      <w:r>
        <w:rPr>
          <w:rFonts w:hint="eastAsia" w:ascii="仿宋" w:hAnsi="仿宋" w:eastAsia="仿宋" w:cs="仿宋"/>
          <w:color w:val="auto"/>
          <w:sz w:val="24"/>
          <w:szCs w:val="24"/>
          <w:highlight w:val="none"/>
          <w:lang w:bidi="ar"/>
        </w:rPr>
        <w:t xml:space="preserve">包干。</w:t>
      </w:r>
      <w:r/>
    </w:p>
    <w:p>
      <w:pP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br w:type="page" w:clear="all"/>
      </w:r>
      <w:r/>
    </w:p>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附件3 设备清单</w:t>
      </w:r>
      <w:r/>
    </w:p>
    <w:tbl>
      <w:tblPr>
        <w:tblStyle w:val="73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059"/>
        <w:gridCol w:w="2352"/>
        <w:gridCol w:w="4158"/>
      </w:tblGrid>
      <w:tr>
        <w:trPr>
          <w:trHeight w:val="577" w:hRule="exact"/>
        </w:trPr>
        <w:tc>
          <w:tcPr>
            <w:tcW w:w="89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455" w:hRule="exact"/>
        </w:trPr>
        <w:tc>
          <w:tcPr>
            <w:tcW w:w="895" w:type="pct"/>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伏漕村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奚圩埭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9套微动力净化槽</w:t>
            </w:r>
            <w:r/>
          </w:p>
        </w:tc>
      </w:tr>
      <w:tr>
        <w:trPr>
          <w:trHeight w:val="4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4套微动力净化槽</w:t>
            </w:r>
            <w:r/>
          </w:p>
        </w:tc>
      </w:tr>
      <w:tr>
        <w:trPr>
          <w:trHeight w:val="45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大西埭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10吨小型污水处理站</w:t>
            </w:r>
            <w:r/>
          </w:p>
        </w:tc>
      </w:tr>
      <w:tr>
        <w:trPr>
          <w:trHeight w:val="43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大东埭（大东埭、小北埭）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21套微动力净化槽</w:t>
            </w:r>
            <w:r/>
          </w:p>
        </w:tc>
      </w:tr>
      <w:tr>
        <w:trPr>
          <w:trHeight w:val="37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大北埭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7套微动力净化槽</w:t>
            </w:r>
            <w:r/>
          </w:p>
        </w:tc>
      </w:tr>
      <w:tr>
        <w:trPr>
          <w:trHeight w:val="42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尹家埭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5套微动力净化槽</w:t>
            </w:r>
            <w:r/>
          </w:p>
        </w:tc>
      </w:tr>
      <w:tr>
        <w:trPr>
          <w:trHeight w:val="54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小岸村（小岸村、王家村）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5吨提升泵站</w:t>
            </w:r>
            <w:r/>
          </w:p>
        </w:tc>
      </w:tr>
      <w:tr>
        <w:trPr>
          <w:trHeight w:val="42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小东埭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6套微动力净化槽</w:t>
            </w:r>
            <w:r/>
          </w:p>
        </w:tc>
      </w:tr>
      <w:tr>
        <w:trPr>
          <w:trHeight w:val="38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小西埭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迎北村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樊圩埭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10吨小型污水处理站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十二圩埭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12套微动力净化槽</w:t>
            </w:r>
            <w:r/>
          </w:p>
        </w:tc>
      </w:tr>
      <w:tr>
        <w:trPr>
          <w:trHeight w:val="365"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高家圩</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九圩埭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二圩埭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八圩埭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四圩埭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10套微动力净化槽</w:t>
            </w:r>
            <w:r/>
          </w:p>
        </w:tc>
      </w:tr>
      <w:tr>
        <w:trPr>
          <w:trHeight w:val="68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母子圩</w:t>
            </w:r>
            <w:r/>
          </w:p>
        </w:tc>
        <w:tc>
          <w:tcPr>
            <w:tcW w:w="2254" w:type="pct"/>
            <w:vAlign w:val="center"/>
            <w:textDirection w:val="lrTb"/>
            <w:noWrap w:val="false"/>
          </w:tcPr>
          <w:p>
            <w:pPr>
              <w:pStyle w:val="722"/>
              <w:ind w:firstLine="120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5套微动力净化槽</w:t>
            </w:r>
            <w:r/>
          </w:p>
        </w:tc>
      </w:tr>
      <w:tr>
        <w:trPr>
          <w:trHeight w:val="364"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朱义石</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鹤窠村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40吨小型污水处理站</w:t>
            </w:r>
            <w:r/>
          </w:p>
        </w:tc>
      </w:tr>
      <w:tr>
        <w:trPr>
          <w:trHeight w:val="36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刘家村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5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color w:val="auto"/>
                <w:sz w:val="24"/>
                <w:szCs w:val="24"/>
                <w:highlight w:val="none"/>
                <w:u w:val="none"/>
                <w:lang w:val="en-US" w:eastAsia="zh-CN" w:bidi="ar"/>
              </w:rPr>
              <w:t xml:space="preserve">梨园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20吨小型污水处理站、10吨提升泵站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color w:val="auto"/>
                <w:sz w:val="24"/>
                <w:szCs w:val="24"/>
                <w:highlight w:val="none"/>
                <w:u w:val="none"/>
                <w:lang w:val="en-US" w:eastAsia="zh-CN" w:bidi="ar"/>
              </w:rPr>
              <w:t xml:space="preserve">七圩埭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5套微动力净化槽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迎滨村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王矮村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30吨小型污水处理站</w:t>
            </w:r>
            <w:r/>
          </w:p>
        </w:tc>
      </w:tr>
      <w:tr>
        <w:trPr>
          <w:trHeight w:val="50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东头王村（东头王村、东元沟村（新））</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庙头王村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5吨提升泵站</w:t>
            </w:r>
            <w:r/>
          </w:p>
        </w:tc>
      </w:tr>
      <w:tr>
        <w:trPr>
          <w:trHeight w:val="41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曹家村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潘家村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孟家村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9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西元沟村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9套微动力净化槽</w:t>
            </w:r>
            <w:r/>
          </w:p>
        </w:tc>
      </w:tr>
      <w:tr>
        <w:trPr>
          <w:trHeight w:val="42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白果树村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1座</w:t>
            </w:r>
            <w:r>
              <w:rPr>
                <w:rFonts w:hint="eastAsia" w:ascii="仿宋" w:hAnsi="仿宋" w:eastAsia="仿宋" w:cs="仿宋"/>
                <w:color w:val="auto"/>
                <w:sz w:val="24"/>
                <w:szCs w:val="24"/>
                <w:highlight w:val="none"/>
                <w:lang w:eastAsia="zh-CN"/>
              </w:rPr>
              <w:t xml:space="preserve">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val="0"/>
                <w:bCs/>
                <w:i w:val="0"/>
                <w:color w:val="auto"/>
                <w:sz w:val="24"/>
                <w:szCs w:val="24"/>
                <w:highlight w:val="none"/>
                <w:u w:val="none"/>
                <w:lang w:val="en-US" w:eastAsia="zh-CN" w:bidi="ar"/>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徐家村（前徐家村、后徐家村）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1座提升泵井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郭家村（前郭家村、后郭家村）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半田里村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8套微动力净化槽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i w:val="0"/>
                <w:color w:val="auto"/>
                <w:sz w:val="24"/>
                <w:szCs w:val="24"/>
                <w:highlight w:val="none"/>
                <w:u w:val="none"/>
                <w:lang w:val="en-US" w:eastAsia="zh-CN" w:bidi="ar"/>
              </w:rPr>
              <w:t xml:space="preserve">大坝头村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开步庄上村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4套微动力净化槽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朱良村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老虎村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旗杆村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小坝头村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西小庄村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张家跳村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80吨小型污水处理站、1座提升泵井</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茅沙村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仲宝村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陈甸村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仲家庄</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周家庄</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儒里村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陆家村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弥陀庵（新）</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月林村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新陈</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儒里新村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4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张仙村（后张家村）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20吨小型污水处理站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56</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前米村（前美村）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28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57</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后米村（后美村）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58</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王里桥村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59</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老店头村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张四八村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353" w:hRule="exact"/>
        </w:trPr>
        <w:tc>
          <w:tcPr>
            <w:tcW w:w="895" w:type="pct"/>
            <w:vAlign w:val="center"/>
            <w:textDirection w:val="lrTb"/>
            <w:noWrap w:val="false"/>
          </w:tcPr>
          <w:p>
            <w:pPr>
              <w:jc w:val="center"/>
              <w:keepLines w:val="0"/>
              <w:keepNext w:val="0"/>
              <w:spacing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SA"/>
              </w:rPr>
              <w:t xml:space="preserve">茂华村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61</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旗杆蒋</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20吨小型污水处理站</w:t>
            </w:r>
            <w:r/>
          </w:p>
        </w:tc>
      </w:tr>
      <w:tr>
        <w:trPr>
          <w:trHeight w:val="3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岸下蒋</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15吨提升泵站</w:t>
            </w:r>
            <w:r/>
          </w:p>
        </w:tc>
      </w:tr>
      <w:tr>
        <w:trPr>
          <w:trHeight w:val="433"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63</w:t>
            </w:r>
            <w:r/>
          </w:p>
        </w:tc>
        <w:tc>
          <w:tcPr>
            <w:tcW w:w="1275" w:type="pct"/>
            <w:vAlign w:val="center"/>
            <w:textDirection w:val="lrTb"/>
            <w:noWrap w:val="false"/>
          </w:tcPr>
          <w:p>
            <w:pPr>
              <w:jc w:val="center"/>
              <w:spacing w:line="360" w:lineRule="auto"/>
              <w:widowControl/>
              <w:rPr>
                <w:rFonts w:hint="eastAsia" w:ascii="仿宋" w:hAnsi="仿宋" w:eastAsia="仿宋" w:cs="仿宋"/>
                <w:i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汝夭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6套无动力净化槽</w:t>
            </w:r>
            <w:r/>
          </w:p>
        </w:tc>
      </w:tr>
      <w:tr>
        <w:trPr>
          <w:trHeight w:val="438"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石桥村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64</w:t>
            </w:r>
            <w:r/>
          </w:p>
        </w:tc>
        <w:tc>
          <w:tcPr>
            <w:tcW w:w="1275" w:type="pct"/>
            <w:vAlign w:val="center"/>
            <w:textDirection w:val="lrTb"/>
            <w:noWrap w:val="false"/>
          </w:tcPr>
          <w:p>
            <w:pPr>
              <w:jc w:val="center"/>
              <w:keepLines w:val="0"/>
              <w:keepNext w:val="0"/>
              <w:spacing w:line="360" w:lineRule="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石桥片</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100吨提升泵站（改造）</w:t>
            </w:r>
            <w:r/>
          </w:p>
        </w:tc>
      </w:tr>
      <w:tr>
        <w:trPr>
          <w:trHeight w:val="577" w:hRule="exact"/>
        </w:trPr>
        <w:tc>
          <w:tcPr>
            <w:tcW w:w="89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行政村</w:t>
            </w:r>
            <w:r/>
          </w:p>
        </w:tc>
        <w:tc>
          <w:tcPr>
            <w:tcW w:w="57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275"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自然</w:t>
            </w:r>
            <w:r>
              <w:rPr>
                <w:rFonts w:hint="eastAsia" w:ascii="仿宋" w:hAnsi="仿宋" w:eastAsia="仿宋" w:cs="仿宋"/>
                <w:b/>
                <w:bCs/>
                <w:color w:val="auto"/>
                <w:sz w:val="24"/>
                <w:szCs w:val="24"/>
                <w:highlight w:val="none"/>
              </w:rPr>
              <w:t xml:space="preserve">村</w:t>
            </w:r>
            <w:r/>
          </w:p>
        </w:tc>
        <w:tc>
          <w:tcPr>
            <w:tcW w:w="2254" w:type="pct"/>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污水设施</w:t>
            </w:r>
            <w:r/>
          </w:p>
        </w:tc>
      </w:tr>
      <w:tr>
        <w:trPr>
          <w:trHeight w:val="37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田家荡</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66</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解放桥</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67</w:t>
            </w:r>
            <w:r/>
          </w:p>
        </w:tc>
        <w:tc>
          <w:tcPr>
            <w:tcW w:w="1275" w:type="pct"/>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color w:val="auto"/>
                <w:sz w:val="24"/>
                <w:szCs w:val="24"/>
                <w:highlight w:val="none"/>
                <w:u w:val="none"/>
                <w:lang w:val="en-US" w:eastAsia="zh-CN" w:bidi="ar"/>
              </w:rPr>
              <w:t xml:space="preserve">北湾子</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15吨提升泵站</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68</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株树头村</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20套无动力净化槽</w:t>
            </w:r>
            <w:r/>
          </w:p>
        </w:tc>
      </w:tr>
      <w:tr>
        <w:trPr>
          <w:trHeight w:val="340" w:hRule="exact"/>
        </w:trPr>
        <w:tc>
          <w:tcPr>
            <w:tcW w:w="89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三桥村</w:t>
            </w:r>
            <w:r/>
          </w:p>
        </w:tc>
        <w:tc>
          <w:tcPr>
            <w:tcW w:w="57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69</w:t>
            </w:r>
            <w:r/>
          </w:p>
        </w:tc>
        <w:tc>
          <w:tcPr>
            <w:tcW w:w="1275"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二十五圩埭</w:t>
            </w:r>
            <w:r/>
          </w:p>
        </w:tc>
        <w:tc>
          <w:tcPr>
            <w:tcW w:w="2254" w:type="pct"/>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3套无动力净化槽</w:t>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备注：</w:t>
      </w:r>
      <w:r>
        <w:rPr>
          <w:rFonts w:hint="eastAsia" w:ascii="仿宋" w:hAnsi="仿宋" w:eastAsia="仿宋" w:cs="仿宋"/>
          <w:color w:val="auto"/>
          <w:highlight w:val="none"/>
          <w:lang w:eastAsia="zh-CN"/>
        </w:rPr>
        <w:t xml:space="preserve">设施数量根据现场情况可能有</w:t>
      </w:r>
      <w:r>
        <w:rPr>
          <w:rFonts w:hint="eastAsia" w:ascii="仿宋" w:hAnsi="仿宋" w:eastAsia="仿宋" w:cs="仿宋"/>
          <w:color w:val="auto"/>
          <w:highlight w:val="none"/>
        </w:rPr>
        <w:t xml:space="preserve">少量调整，以实际情况为准。运维费为固定总价，不因设施的增加或减少变更。</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附件4</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镇江新区污染防治攻坚行动指挥部办公室关于印发《</w:t>
      </w:r>
      <w:r>
        <w:rPr>
          <w:rFonts w:hint="eastAsia" w:ascii="仿宋" w:hAnsi="仿宋" w:eastAsia="仿宋" w:cs="仿宋"/>
          <w:b/>
          <w:bCs/>
          <w:color w:val="auto"/>
          <w:sz w:val="24"/>
          <w:szCs w:val="24"/>
          <w:highlight w:val="none"/>
          <w:lang w:eastAsia="zh-CN"/>
        </w:rPr>
        <w:t xml:space="preserve">镇江新区</w:t>
      </w:r>
      <w:r>
        <w:rPr>
          <w:rFonts w:hint="eastAsia" w:ascii="仿宋" w:hAnsi="仿宋" w:eastAsia="仿宋" w:cs="仿宋"/>
          <w:b/>
          <w:bCs/>
          <w:color w:val="auto"/>
          <w:sz w:val="24"/>
          <w:szCs w:val="24"/>
          <w:highlight w:val="none"/>
        </w:rPr>
        <w:t xml:space="preserve">农村</w:t>
      </w:r>
      <w:r>
        <w:rPr>
          <w:rFonts w:hint="eastAsia" w:ascii="仿宋" w:hAnsi="仿宋" w:eastAsia="仿宋" w:cs="仿宋"/>
          <w:b/>
          <w:bCs/>
          <w:color w:val="auto"/>
          <w:sz w:val="24"/>
          <w:szCs w:val="24"/>
          <w:highlight w:val="none"/>
          <w:lang w:eastAsia="zh-CN"/>
        </w:rPr>
        <w:t xml:space="preserve">生活</w:t>
      </w:r>
      <w:r>
        <w:rPr>
          <w:rFonts w:hint="eastAsia" w:ascii="仿宋" w:hAnsi="仿宋" w:eastAsia="仿宋" w:cs="仿宋"/>
          <w:b/>
          <w:bCs/>
          <w:color w:val="auto"/>
          <w:sz w:val="24"/>
          <w:szCs w:val="24"/>
          <w:highlight w:val="none"/>
        </w:rPr>
        <w:t xml:space="preserve">污水处理设施运行维护管理办法》的通知</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关于印发《镇江新区农村生活污水处理</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设施运行维护管理办法》的通知</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各镇人民政府、各有关部门：</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江苏省农村生活处理设施运行维护管理办法（试行）》（苏污防攻坚指办〔2022〕143号）、《2023年镇江市农村生活污水治理工作方案》（镇污治指办〔2023〕53号）等文件要求，为明确农村生活污水设施运行维护相关要求，进一步健全我区农村生活污水治理长效管护机制，现将《镇江新区农村生活污水处理设施运行维护管理办法》印发给你们，请结合实际，认真贯彻落实。</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350" w:hanging="72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附件：镇江新区农村生活污水处理设施运行维护管理办法</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800" w:firstLine="480"/>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镇江新区污染防治攻坚行动指挥部办公室                                                2023年7月17日</w:t>
      </w:r>
      <w:r/>
    </w:p>
    <w:p>
      <w:pPr>
        <w:ind w:right="96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66"/>
        <w:tblpPr w:horzAnchor="margin" w:tblpXSpec="left" w:vertAnchor="text" w:tblpY="117" w:leftFromText="180" w:topFromText="0" w:rightFromText="180" w:bottomFromText="0"/>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6"/>
      </w:tblGrid>
      <w:tr>
        <w:trPr/>
        <w:tc>
          <w:tcPr>
            <w:tcW w:w="5000" w:type="pct"/>
            <w:vAlign w:val="top"/>
            <w:textDirection w:val="lrTb"/>
            <w:noWrap w:val="false"/>
          </w:tcPr>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镇江新区污染防治攻坚行动指挥部办公室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2023年7月17日印发</w:t>
            </w:r>
            <w:r/>
          </w:p>
        </w:tc>
      </w:tr>
    </w:tbl>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ind w:left="0"/>
        <w:jc w:val="center"/>
        <w:keepLines w:val="0"/>
        <w:keepNext w:val="0"/>
        <w:pageBreakBefore w:val="0"/>
        <w:spacing w:line="44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镇江新区农村生活污水处理设施</w:t>
      </w:r>
      <w:r/>
    </w:p>
    <w:p>
      <w:pPr>
        <w:ind w:left="0" w:right="960" w:firstLine="482"/>
        <w:jc w:val="center"/>
        <w:keepLines w:val="0"/>
        <w:keepNext w:val="0"/>
        <w:pageBreakBefore w:val="0"/>
        <w:spacing w:line="44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运行维护管理办法</w:t>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第一章 总则</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第一条</w:t>
      </w:r>
      <w:r>
        <w:rPr>
          <w:rFonts w:hint="eastAsia" w:ascii="仿宋" w:hAnsi="仿宋" w:eastAsia="仿宋" w:cs="仿宋"/>
          <w:color w:val="auto"/>
          <w:sz w:val="24"/>
          <w:szCs w:val="24"/>
          <w:highlight w:val="none"/>
        </w:rPr>
        <w:t xml:space="preserve"> 为规范和加强农村生活污水处理设施运行维护和监督管理工作，保障设施正常运行，改善农村人居环境和生态环境，根据有关法律、法规的规定，结合本区实际，制定本办法。</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第二条 </w:t>
      </w:r>
      <w:r>
        <w:rPr>
          <w:rFonts w:hint="eastAsia" w:ascii="仿宋" w:hAnsi="仿宋" w:eastAsia="仿宋" w:cs="仿宋"/>
          <w:color w:val="auto"/>
          <w:sz w:val="24"/>
          <w:szCs w:val="24"/>
          <w:highlight w:val="none"/>
        </w:rPr>
        <w:t xml:space="preserve">本区行政区域内已建成并完成竣工验收的农村生活污水处理设施的运行维护及监督管理，适用本办法。</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本办法所称农村生活污水，是指农村居民生活活动产生的污水，主要包括冲厕、洗涤、洗浴和厨房等排水。</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本办法所称农村生活污水处理设施，是指对农村生活污水进行收集和处理的建筑物、构筑物及设备，包括污水收集系统、预处理设施、生物处理设施、物理化学处理设施、生态处理设施及其他附属设施。</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本办法所称农村生活污水处理设施运行维护单位（以下简称运维单位）是指对农村生活污水处理设施进行日常运维的专业单位。</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第三条 </w:t>
      </w:r>
      <w:r>
        <w:rPr>
          <w:rFonts w:hint="eastAsia" w:ascii="仿宋" w:hAnsi="仿宋" w:eastAsia="仿宋" w:cs="仿宋"/>
          <w:color w:val="auto"/>
          <w:sz w:val="24"/>
          <w:szCs w:val="24"/>
          <w:highlight w:val="none"/>
        </w:rPr>
        <w:t xml:space="preserve">农村生活污水处理设施运维管理坚持“政府主导、市场运作、专业运维、公众监督”的原则，实现“管理规范、运行稳定、监管到位、治理有效”的目标。</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第四条</w:t>
      </w:r>
      <w:r>
        <w:rPr>
          <w:rFonts w:hint="eastAsia" w:ascii="仿宋" w:hAnsi="仿宋" w:eastAsia="仿宋" w:cs="仿宋"/>
          <w:color w:val="auto"/>
          <w:sz w:val="24"/>
          <w:szCs w:val="24"/>
          <w:highlight w:val="none"/>
        </w:rPr>
        <w:t xml:space="preserve"> 严格限制排入农村生活污水处理设施的污水种类。</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业废水、畜禽养殖废水、医疗机构废水、酿酒和卤菜等家庭小作坊产生废水不得排入农村生活污水处理设施。行政管理、集贸市场、公共厕所和垃圾收集点等农村公共服务设施，农家乐、餐饮等经营活动及其他可能对处理设施产生一定冲击的活动所产生的污水应当经预处理达到相关规范要求，经运维单位评估、属地镇政府、生态应急局同意后，方可排入农村生活污水处理设施。</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第二章 职责分工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第五条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各镇为运维主管部门，负责</w:t>
      </w:r>
      <w:r>
        <w:rPr>
          <w:rFonts w:hint="eastAsia" w:ascii="仿宋" w:hAnsi="仿宋" w:eastAsia="仿宋" w:cs="仿宋"/>
          <w:color w:val="auto"/>
          <w:sz w:val="24"/>
          <w:szCs w:val="24"/>
          <w:highlight w:val="none"/>
        </w:rPr>
        <w:t xml:space="preserve">建立专业运维管理工作机制，做好农村生活污水处理设施属地管理和保护工作，督促指导村（社区）委员会做好相关配合工作。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村（社区）委员会应当配合做好农村生活污水处理设施日常保护、运维监督考核和沟通协调等工作。加强宣传教育，对影响设施正常运行的行为予以劝阻。鼓励村（社区）委员会将农村生活污水处理设施运行管护要求及设施保护责任纳入村规民约，提高农户对农村生活污水处理设施运行管护重要性的认识，引导农户爱护设施、主动参与对设施运维情况的监督。</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第六条</w:t>
      </w:r>
      <w:r>
        <w:rPr>
          <w:rFonts w:hint="eastAsia" w:ascii="仿宋" w:hAnsi="仿宋" w:eastAsia="仿宋" w:cs="仿宋"/>
          <w:color w:val="auto"/>
          <w:sz w:val="24"/>
          <w:szCs w:val="24"/>
          <w:highlight w:val="none"/>
        </w:rPr>
        <w:t xml:space="preserve"> 生态应急局负责对本行政区域内农村生活污水处理设施运维情况进行指导、监督，组织开展设施运行情况、排放水质达标情况的监督检查，组织开展绩效评估，会同运维主管部门对运维单位建立依绩效付费的考核机制。</w:t>
      </w:r>
      <w:r/>
    </w:p>
    <w:p>
      <w:pPr>
        <w:pStyle w:val="772"/>
        <w:ind w:left="0" w:right="0" w:firstLine="480"/>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环境执法局负责对农村生活污水处理设施开展执法检查。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第七条 </w:t>
      </w:r>
      <w:r>
        <w:rPr>
          <w:rFonts w:hint="eastAsia" w:ascii="仿宋" w:hAnsi="仿宋" w:eastAsia="仿宋" w:cs="仿宋"/>
          <w:color w:val="auto"/>
          <w:sz w:val="24"/>
          <w:szCs w:val="24"/>
          <w:highlight w:val="none"/>
        </w:rPr>
        <w:t xml:space="preserve">经发局按照上级发改部门及新区管委会统一部署要求，负责探索建立农村生活污水处理设施使用者付费制度，指导落实农村生活污水处理设施用电执行居民生活用电价格政策。</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财政局负责指导建立健全农村生活污水处理设施运维管理资金保障机制。</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社发局负责指导农村户厕问题摸排及分类整改，加强改厕与农村生活污水治理的有效衔接，推动厕所粪污就地就近资源化利用。</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供电公司负责对具备条件的农村生活污水处理设施设置独立电表，依照相关规定定期向生态应急局提供用电信息，为农村生活污水治理设施非现场监管提供支撑。</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第八条</w:t>
      </w: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负责本行政区域内农村生活污水处理设施运维的日常管理，委托运维单位对农村生活污水处理设施进行专业运维。会同生态应急局联合制订运维管理细则和考核办法。</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第三章 专业运维管理 </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第九条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应当与运维单位签订运维服务合同，明确双方权利义务，规定运维服务内容和期限、出水水质、按绩效付费、违约责任及其他需要约定的内容。</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第十条 </w:t>
      </w:r>
      <w:r>
        <w:rPr>
          <w:rFonts w:hint="eastAsia" w:ascii="仿宋" w:hAnsi="仿宋" w:eastAsia="仿宋" w:cs="仿宋"/>
          <w:color w:val="auto"/>
          <w:sz w:val="24"/>
          <w:szCs w:val="24"/>
          <w:highlight w:val="none"/>
        </w:rPr>
        <w:t xml:space="preserve">运维单位对采用纳管处理、集中式处理以及分散处理等模式的农村生活污水处理设施，开展运维。</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运维单位应当加强对农村生活污水处理设施运维管护的宣传，指导农户对户内收集系统和运维技术要求较低的户用处理设施进行日常管护。</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第十一条</w:t>
      </w:r>
      <w:r>
        <w:rPr>
          <w:rFonts w:hint="eastAsia" w:ascii="仿宋" w:hAnsi="仿宋" w:eastAsia="仿宋" w:cs="仿宋"/>
          <w:color w:val="auto"/>
          <w:sz w:val="24"/>
          <w:szCs w:val="24"/>
          <w:highlight w:val="none"/>
        </w:rPr>
        <w:t xml:space="preserve"> 运维单位应当按照下列要求开展农村生活污水处理设施运维工作：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 配备专业的运维队伍、设备和专用工具，适当储备日常耗材，具备水质自行或委托化验分析的能力；</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 建立运维管理制度，包括制定运维手册、安全操作规程、人员培训制度等，要求运维人员严格执行相关安全操作规程，进行日常维护或设备检修时应杜绝火灾、坠落、触电、中毒等事故发生；</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（三） 制定设施故障、破坏、疫情、汛情等突发事件应急预案，上报生态应急局及属地镇政府；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（四） 建立运维管理台账，包括农村生活污水处理设施清单、监测记录（水质、水量、用电量），及日常运维管理记录（含巡查时间、范围、点位、设施运行及处理情况等）、异常情况上报及处理结果记录、年度检修测试记录等；</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（五） 配合电力公司对具备条件的处理设施设置独立电表，加强安全用电管理，及时将用电量数据上报生态应急局及属地镇政府；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（六） 对处理设施厂（站）进行日常养护、定期巡查，做好湿地维护、污泥处理、故障及投诉处理、水质自行监测等工作；对收集系统进行定期巡检，做好管网疏通、检查井维护等；</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（七） 对异常数据及时分析研究，查找出原因，确保设施有效运行和出水稳定达标；</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（八） 按照有关规定自行或委托有实力的专业企业对污水处理产生的污泥和栅渣等废弃物进行无害化处置或综合利用；</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（九） 在村（社区）适当位置公示运维范围、期限、标准、单位、责任人等内容；在处理设施厂（站）内明显位置设置标志牌，内容包括设计规模、工艺流程图、排放标准、巡检频次、运维单位及联系方式、监督电话等，接受社会监督；</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（十） 根据合同要求定期向上报生态应急局及属地镇政府报告运维情况。</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第十二条 </w:t>
      </w:r>
      <w:r>
        <w:rPr>
          <w:rFonts w:hint="eastAsia" w:ascii="仿宋" w:hAnsi="仿宋" w:eastAsia="仿宋" w:cs="仿宋"/>
          <w:color w:val="auto"/>
          <w:sz w:val="24"/>
          <w:szCs w:val="24"/>
          <w:highlight w:val="none"/>
        </w:rPr>
        <w:t xml:space="preserve">运维单位应按照下列要求对农村生活污水处理设施的异常情况进行上报：</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 存在故障或不可抗力导致农村生活污水处理设施无法正常运行的，启动应急预案，及时上报生态应急局及属地镇政府；</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 存在进水水量、水质异常等问题导致排放水质超标的，应当向生态应急局及属地镇政府报告并留存证据，配合有关部门开展溯源排查；</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（三） 存在化粪池衔接等问题的，向生态应急局及属地镇政府报告；</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（四） 存在其他异常情况的，按生态应急局有关要求进行上报。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第十三条 </w:t>
      </w:r>
      <w:r>
        <w:rPr>
          <w:rFonts w:hint="eastAsia" w:ascii="仿宋" w:hAnsi="仿宋" w:eastAsia="仿宋" w:cs="仿宋"/>
          <w:color w:val="auto"/>
          <w:sz w:val="24"/>
          <w:szCs w:val="24"/>
          <w:highlight w:val="none"/>
        </w:rPr>
        <w:t xml:space="preserve">运维单位不得擅自停运农村生活污水处理设施。因设备检修、维护等确需较长时间停运的，应当提前将停运原因、停运时间和应急措施等向生态应急局及属地镇政府报告，并通知相关排水单位和个人，做好应急处置工作。</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第十四条</w:t>
      </w:r>
      <w:r>
        <w:rPr>
          <w:rFonts w:hint="eastAsia" w:ascii="仿宋" w:hAnsi="仿宋" w:eastAsia="仿宋" w:cs="仿宋"/>
          <w:color w:val="auto"/>
          <w:sz w:val="24"/>
          <w:szCs w:val="24"/>
          <w:highlight w:val="none"/>
        </w:rPr>
        <w:t xml:space="preserve"> 生态应急局及属地镇政府应当建立农村生活污水处理设施保护和应急响应制度。对破坏和阻挠行为进行追责，对运维单位的异常上报情况进行快速响应、闭环管理。</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第十五条 </w:t>
      </w:r>
      <w:r>
        <w:rPr>
          <w:rFonts w:hint="eastAsia" w:ascii="仿宋" w:hAnsi="仿宋" w:eastAsia="仿宋" w:cs="仿宋"/>
          <w:color w:val="auto"/>
          <w:sz w:val="24"/>
          <w:szCs w:val="24"/>
          <w:highlight w:val="none"/>
        </w:rPr>
        <w:t xml:space="preserve">生态应急局宜运用电表数据等非现场监管手段，加强对农村生活污水处理设施运行状况的监控。</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第十六条 </w:t>
      </w:r>
      <w:r>
        <w:rPr>
          <w:rFonts w:hint="eastAsia" w:ascii="仿宋" w:hAnsi="仿宋" w:eastAsia="仿宋" w:cs="仿宋"/>
          <w:color w:val="auto"/>
          <w:sz w:val="24"/>
          <w:szCs w:val="24"/>
          <w:highlight w:val="none"/>
        </w:rPr>
        <w:t xml:space="preserve">鼓励建立农村生活污水处理设施信息化运维管理平台，结合治理设施用电数据，对处理设施运行工况进行视频或数据监控。运维单位应当配合提供设施运维数据并对其准确性负责。</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第十七条</w:t>
      </w:r>
      <w:r>
        <w:rPr>
          <w:rFonts w:hint="eastAsia" w:ascii="仿宋" w:hAnsi="仿宋" w:eastAsia="仿宋" w:cs="仿宋"/>
          <w:color w:val="auto"/>
          <w:sz w:val="24"/>
          <w:szCs w:val="24"/>
          <w:highlight w:val="none"/>
        </w:rPr>
        <w:t xml:space="preserve"> 生态应急局会同镇政府定期对参与农村生活污水处理设施运维的人员开展培训，宣贯运维要求和标准。</w:t>
      </w:r>
      <w:r/>
    </w:p>
    <w:p>
      <w:pPr>
        <w:ind w:left="0" w:right="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第四章 资金保障</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第十八条</w:t>
      </w:r>
      <w:r>
        <w:rPr>
          <w:rFonts w:hint="eastAsia" w:ascii="仿宋" w:hAnsi="仿宋" w:eastAsia="仿宋" w:cs="仿宋"/>
          <w:color w:val="auto"/>
          <w:sz w:val="24"/>
          <w:szCs w:val="24"/>
          <w:highlight w:val="none"/>
        </w:rPr>
        <w:t xml:space="preserve"> 财政局应当会同生态应急局加强对农村生活污水处理设施运维经费的使用监管，任何单位和个人不得截留、挤占、挪用资金。</w:t>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第五章 监督考核 </w:t>
      </w:r>
      <w:r/>
    </w:p>
    <w:p>
      <w:pPr>
        <w:pStyle w:val="772"/>
        <w:ind w:left="0" w:right="0" w:firstLine="482"/>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第十九条</w:t>
      </w:r>
      <w:r>
        <w:rPr>
          <w:rFonts w:hint="eastAsia" w:ascii="仿宋" w:hAnsi="仿宋" w:eastAsia="仿宋" w:cs="仿宋"/>
          <w:color w:val="auto"/>
          <w:sz w:val="24"/>
          <w:szCs w:val="24"/>
          <w:highlight w:val="none"/>
        </w:rPr>
        <w:t xml:space="preserve"> 生态应急局每年至少开展一次对本行政区域内农村生活污水处理设施运维情况的绩效评估，编制绩效评估报告，并上报市生态环境局。</w:t>
      </w:r>
      <w:r/>
    </w:p>
    <w:p>
      <w:pPr>
        <w:ind w:left="0" w:right="0"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绩效评估结果作为运维主管部门对运维单位拨付运维经费的重要依据。绩效评估结果不满足合同约定要求的，依照合同约定承担违约责任。</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应当组织运维单位建立设施自行监测制度，并将相关监测制度和监测数据报送生态应急局。农村生活污水处理设施设计日处理能力≥100m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的，自行监测频次不低于每季度1次；设计日处理能力20m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（不含）的，不低于每年1次；设计日处理能力＜20m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的，每年的抽检率应不小于20%。</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第二十一条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运维主管部门</w:t>
      </w:r>
      <w:r>
        <w:rPr>
          <w:rFonts w:hint="eastAsia" w:ascii="仿宋" w:hAnsi="仿宋" w:eastAsia="仿宋" w:cs="仿宋"/>
          <w:color w:val="auto"/>
          <w:sz w:val="24"/>
          <w:szCs w:val="24"/>
          <w:highlight w:val="none"/>
        </w:rPr>
        <w:t xml:space="preserve">应当建立农村生活污水处理设施运维投诉渠道，鼓励广大群众对设施不正常运行等问题进行投诉举报。</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第二十二条</w:t>
      </w:r>
      <w:r>
        <w:rPr>
          <w:rFonts w:hint="eastAsia" w:ascii="仿宋" w:hAnsi="仿宋" w:eastAsia="仿宋" w:cs="仿宋"/>
          <w:color w:val="auto"/>
          <w:sz w:val="24"/>
          <w:szCs w:val="24"/>
          <w:highlight w:val="none"/>
        </w:rPr>
        <w:t xml:space="preserve"> 生态应急局应当组织开展设施不正常运行排查整治及监督指导，动态更新不正常运行设施清单。</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第二十三条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区污指办强化跟踪调度和监督考核，将农村生活污水处理设施运维纳入污染防治攻坚考核体系一体化考核。</w:t>
      </w:r>
      <w:r>
        <w:rPr>
          <w:rFonts w:hint="eastAsia" w:ascii="仿宋" w:hAnsi="仿宋" w:eastAsia="仿宋" w:cs="仿宋"/>
          <w:color w:val="auto"/>
          <w:sz w:val="24"/>
          <w:szCs w:val="24"/>
          <w:highlight w:val="none"/>
        </w:rPr>
        <w:t xml:space="preserve">生态应急局会同社发局将农村生活污水处理设施正常运行率指标纳入乡村振兴战略实绩考核和农村人居环境整治提升工作评估内容。生态应急局会同有关部门对各地农村生活污水治理工作开展情况进行监督检查，对治理水平、设施运行情况较好的地区进行政策激励；对治理水平、设施运行情况不高的地区，进行通报批评、限期整改，并扣减年度考核得分。</w:t>
      </w:r>
      <w:r/>
    </w:p>
    <w:p>
      <w:pPr>
        <w:ind w:left="0" w:right="0"/>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jc w:val="center"/>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第六章 附则</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第二十四条</w:t>
      </w:r>
      <w:r>
        <w:rPr>
          <w:rFonts w:hint="eastAsia" w:ascii="仿宋" w:hAnsi="仿宋" w:eastAsia="仿宋" w:cs="仿宋"/>
          <w:color w:val="auto"/>
          <w:sz w:val="24"/>
          <w:szCs w:val="24"/>
          <w:highlight w:val="none"/>
        </w:rPr>
        <w:t xml:space="preserve"> 本办法由镇江新区生态应急局负责解释。</w:t>
      </w:r>
      <w:r/>
    </w:p>
    <w:p>
      <w:pPr>
        <w:ind w:left="0" w:right="0" w:firstLine="482"/>
        <w:jc w:val="left"/>
        <w:keepLines w:val="0"/>
        <w:keepNext w:val="0"/>
        <w:pageBreakBefore w:val="0"/>
        <w:spacing w:line="44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第二十五条 </w:t>
      </w:r>
      <w:r>
        <w:rPr>
          <w:rFonts w:hint="eastAsia" w:ascii="仿宋" w:hAnsi="仿宋" w:eastAsia="仿宋" w:cs="仿宋"/>
          <w:color w:val="auto"/>
          <w:sz w:val="24"/>
          <w:szCs w:val="24"/>
          <w:highlight w:val="none"/>
        </w:rPr>
        <w:t xml:space="preserve">本办法自印发之日起施行。</w:t>
      </w:r>
      <w:r/>
    </w:p>
    <w:p>
      <w:pPr>
        <w:pStyle w:val="1045"/>
        <w:ind w:left="0" w:firstLine="0"/>
        <w:rPr>
          <w:rFonts w:hint="eastAsia"/>
          <w:color w:val="auto"/>
        </w:rPr>
      </w:pPr>
      <w:r>
        <w:rPr>
          <w:rFonts w:hint="eastAsia"/>
          <w:color w:val="auto"/>
        </w:rPr>
      </w:r>
      <w:r/>
    </w:p>
    <w:p>
      <w:pPr>
        <w:pStyle w:val="1045"/>
        <w:ind w:left="0" w:firstLine="0"/>
        <w:rPr>
          <w:rFonts w:hint="eastAsia"/>
          <w:color w:val="auto"/>
        </w:rPr>
      </w:pPr>
      <w:r>
        <w:rPr>
          <w:rFonts w:hint="eastAsia"/>
          <w:color w:val="auto"/>
        </w:rPr>
      </w:r>
      <w:r/>
    </w:p>
    <w:p>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第四部分  采购需求</w:t>
      </w:r>
      <w:bookmarkEnd w:id="219"/>
      <w:r/>
      <w:bookmarkEnd w:id="220"/>
      <w:r/>
      <w:bookmarkEnd w:id="221"/>
      <w:r/>
      <w:r/>
    </w:p>
    <w:p>
      <w:pPr>
        <w:ind w:left="0" w:right="0" w:firstLine="470"/>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222" w:name="_Toc73365513"/>
      <w:r/>
      <w:bookmarkStart w:id="223" w:name="_Toc73364900"/>
      <w:r/>
      <w:bookmarkStart w:id="224" w:name="_Toc142925668"/>
      <w:r>
        <w:rPr>
          <w:rFonts w:hint="eastAsia" w:ascii="仿宋" w:hAnsi="仿宋" w:eastAsia="仿宋" w:cs="仿宋"/>
          <w:b/>
          <w:bCs/>
          <w:color w:val="auto"/>
          <w:spacing w:val="-3"/>
          <w:sz w:val="24"/>
          <w:szCs w:val="24"/>
          <w:highlight w:val="none"/>
        </w:rPr>
        <w:t xml:space="preserve">一、项目用途和概述</w:t>
      </w:r>
      <w:r/>
    </w:p>
    <w:p>
      <w:pPr>
        <w:pStyle w:val="740"/>
        <w:ind w:left="0"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（一）项目用途</w:t>
      </w:r>
      <w:r/>
    </w:p>
    <w:p>
      <w:pPr>
        <w:pStyle w:val="739"/>
        <w:ind w:left="0" w:right="0" w:firstLine="476"/>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为进一步提高</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污水管网及设施管理水平</w:t>
      </w:r>
      <w:r>
        <w:rPr>
          <w:rFonts w:hint="eastAsia" w:ascii="仿宋" w:hAnsi="仿宋" w:eastAsia="仿宋" w:cs="仿宋"/>
          <w:color w:val="auto"/>
          <w:spacing w:val="-2"/>
          <w:sz w:val="24"/>
          <w:szCs w:val="24"/>
          <w:highlight w:val="none"/>
        </w:rPr>
        <w:t xml:space="preserve">，规范开展污水管网</w:t>
      </w:r>
      <w:r>
        <w:rPr>
          <w:rFonts w:hint="eastAsia" w:ascii="仿宋" w:hAnsi="仿宋" w:eastAsia="仿宋" w:cs="仿宋"/>
          <w:color w:val="auto"/>
          <w:spacing w:val="-5"/>
          <w:sz w:val="24"/>
          <w:szCs w:val="24"/>
          <w:highlight w:val="none"/>
        </w:rPr>
        <w:t xml:space="preserve">养护和泵站设备维护工作，根据相关工作技术标准及操作规范，结合我市实际，现拟将</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农村污水管网运行维护及常规维修服务外包，择优选择具备相关服务能力和运营</w:t>
      </w:r>
      <w:r>
        <w:rPr>
          <w:rFonts w:hint="eastAsia" w:ascii="仿宋" w:hAnsi="仿宋" w:eastAsia="仿宋" w:cs="仿宋"/>
          <w:color w:val="auto"/>
          <w:spacing w:val="-2"/>
          <w:sz w:val="24"/>
          <w:szCs w:val="24"/>
          <w:highlight w:val="none"/>
        </w:rPr>
        <w:t xml:space="preserve">经验的单位从事本工作，保障农村生活污水长期有效治理。</w:t>
      </w:r>
      <w:r/>
    </w:p>
    <w:p>
      <w:pPr>
        <w:pStyle w:val="740"/>
        <w:numPr>
          <w:ilvl w:val="0"/>
          <w:numId w:val="9"/>
        </w:numPr>
        <w:ind w:left="0"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项目概述</w:t>
      </w:r>
      <w:r/>
    </w:p>
    <w:p>
      <w:pPr>
        <w:pStyle w:val="740"/>
        <w:numPr>
          <w:ilvl w:val="0"/>
          <w:numId w:val="0"/>
        </w:numPr>
        <w:ind w:right="0" w:firstLine="482"/>
        <w:jc w:val="left"/>
        <w:keepLines w:val="0"/>
        <w:keepNext w:val="0"/>
        <w:pageBreakBefore w:val="0"/>
        <w:spacing w:after="0"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1.服务区域</w:t>
      </w:r>
      <w:r/>
    </w:p>
    <w:p>
      <w:pPr>
        <w:pStyle w:val="739"/>
        <w:ind w:left="0" w:righ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涉及姚桥镇69个自然村。</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2.服务对象</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lang w:val="en-US" w:eastAsia="zh-CN"/>
        </w:rPr>
        <w:t xml:space="preserve">姚桥镇农村生活污水运维项目包括</w:t>
      </w:r>
      <w:r>
        <w:rPr>
          <w:rFonts w:hint="eastAsia" w:ascii="仿宋" w:hAnsi="仿宋" w:eastAsia="仿宋" w:cs="仿宋"/>
          <w:color w:val="auto"/>
          <w:sz w:val="24"/>
          <w:szCs w:val="24"/>
          <w:highlight w:val="none"/>
          <w:lang w:val="en-US" w:eastAsia="zh-CN"/>
        </w:rPr>
        <w:t xml:space="preserve">69</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自然村的</w:t>
      </w:r>
      <w:r>
        <w:rPr>
          <w:rFonts w:hint="eastAsia" w:ascii="仿宋" w:hAnsi="仿宋" w:eastAsia="仿宋" w:cs="仿宋"/>
          <w:color w:val="auto"/>
          <w:sz w:val="24"/>
          <w:szCs w:val="24"/>
          <w:highlight w:val="none"/>
          <w:shd w:val="clear" w:color="auto" w:fill="ffffff"/>
          <w:lang w:val="en-US" w:eastAsia="zh-CN"/>
        </w:rPr>
        <w:t xml:space="preserve">污水处理设施、</w:t>
      </w:r>
      <w:r>
        <w:rPr>
          <w:rFonts w:hint="eastAsia" w:ascii="仿宋" w:hAnsi="仿宋" w:eastAsia="仿宋" w:cs="仿宋"/>
          <w:color w:val="auto"/>
          <w:sz w:val="24"/>
          <w:szCs w:val="24"/>
          <w:highlight w:val="none"/>
        </w:rPr>
        <w:t xml:space="preserve">泵站、</w:t>
      </w:r>
      <w:r>
        <w:rPr>
          <w:rFonts w:hint="eastAsia" w:ascii="仿宋" w:hAnsi="仿宋" w:eastAsia="仿宋" w:cs="仿宋"/>
          <w:color w:val="auto"/>
          <w:sz w:val="24"/>
          <w:szCs w:val="24"/>
          <w:highlight w:val="none"/>
          <w:lang w:eastAsia="zh-CN"/>
        </w:rPr>
        <w:t xml:space="preserve">提升井</w:t>
      </w:r>
      <w:r>
        <w:rPr>
          <w:rFonts w:hint="eastAsia" w:ascii="仿宋" w:hAnsi="仿宋" w:eastAsia="仿宋" w:cs="仿宋"/>
          <w:color w:val="auto"/>
          <w:sz w:val="24"/>
          <w:szCs w:val="24"/>
          <w:highlight w:val="none"/>
        </w:rPr>
        <w:t xml:space="preserve">及配套管网运维项目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包含10座一体化膜处理设施、17座一体化泵站、4座一体化提升泵井、237套微动力净化槽及57套净化槽的运维服务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包括设施正常运行，设备保养、维护、管道疏通、水质检测、考核、设施大修或更换，站区绿化维护、环境保洁，电费</w:t>
      </w:r>
      <w:r>
        <w:rPr>
          <w:rFonts w:hint="eastAsia" w:ascii="仿宋" w:hAnsi="仿宋" w:eastAsia="仿宋" w:cs="仿宋"/>
          <w:color w:val="auto"/>
          <w:sz w:val="24"/>
          <w:szCs w:val="24"/>
          <w:highlight w:val="none"/>
          <w:lang w:eastAsia="zh-CN"/>
        </w:rPr>
        <w:t xml:space="preserve">、污泥处置、台账资料、</w:t>
      </w:r>
      <w:r>
        <w:rPr>
          <w:rFonts w:hint="eastAsia" w:ascii="仿宋" w:hAnsi="仿宋" w:eastAsia="仿宋" w:cs="仿宋"/>
          <w:color w:val="auto"/>
          <w:sz w:val="24"/>
          <w:szCs w:val="24"/>
          <w:highlight w:val="none"/>
        </w:rPr>
        <w:t xml:space="preserve">安全生产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巡查</w:t>
      </w:r>
      <w:r>
        <w:rPr>
          <w:rFonts w:hint="eastAsia" w:ascii="仿宋" w:hAnsi="仿宋" w:eastAsia="仿宋" w:cs="仿宋"/>
          <w:b w:val="0"/>
          <w:bCs/>
          <w:color w:val="auto"/>
          <w:sz w:val="24"/>
          <w:szCs w:val="24"/>
          <w:highlight w:val="none"/>
          <w:lang w:eastAsia="zh-CN"/>
        </w:rPr>
        <w:t xml:space="preserve">记录、视频</w:t>
      </w:r>
      <w:r>
        <w:rPr>
          <w:rFonts w:hint="eastAsia" w:ascii="仿宋" w:hAnsi="仿宋" w:eastAsia="仿宋" w:cs="仿宋"/>
          <w:b w:val="0"/>
          <w:bCs/>
          <w:color w:val="auto"/>
          <w:sz w:val="24"/>
          <w:szCs w:val="24"/>
          <w:highlight w:val="none"/>
        </w:rPr>
        <w:t xml:space="preserve">监控</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运维至合同期结束。</w:t>
      </w:r>
      <w:r/>
    </w:p>
    <w:p>
      <w:pPr>
        <w:pStyle w:val="739"/>
        <w:numPr>
          <w:ilvl w:val="0"/>
          <w:numId w:val="10"/>
        </w:numPr>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最高限价</w:t>
      </w:r>
      <w:r/>
    </w:p>
    <w:p>
      <w:pPr>
        <w:pStyle w:val="739"/>
        <w:numPr>
          <w:ilvl w:val="0"/>
          <w:numId w:val="0"/>
        </w:num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1600000元</w:t>
      </w:r>
      <w:r/>
    </w:p>
    <w:p>
      <w:pPr>
        <w:pStyle w:val="739"/>
        <w:numPr>
          <w:ilvl w:val="0"/>
          <w:numId w:val="10"/>
        </w:numPr>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服务内容</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（1）污水主次管网及设施的养护、维修包括污水主次管网日常巡视、管道、清淤疏通、检查井、隔油池等设施的清捞和维修、井盖损坏情况的巡查报送及垃圾、污泥处置，主管网管道检查等；</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（2）污水泵站、污水泵站设施、分散处理设施常规维修；</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（3）污水泵站运行调度管理及日常巡查，泵站设施设备检测、养护，汛期泵站监控及值守；</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（4）配合污水管理部门依法落实污水管理制度，及时发现、上报、处置违法污水行为；</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（5）协助污水管理部门调查处理“110”、“12345”等服务热线反映的情况。</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5.服务期限</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lang w:val="en-US" w:eastAsia="zh-CN"/>
        </w:rPr>
        <w:t xml:space="preserve">一</w:t>
      </w:r>
      <w:r>
        <w:rPr>
          <w:rFonts w:hint="eastAsia" w:ascii="仿宋" w:hAnsi="仿宋" w:eastAsia="仿宋" w:cs="仿宋"/>
          <w:color w:val="auto"/>
          <w:spacing w:val="1"/>
          <w:sz w:val="24"/>
          <w:szCs w:val="24"/>
          <w:highlight w:val="none"/>
        </w:rPr>
        <w:t xml:space="preserve">年</w:t>
      </w:r>
      <w:r/>
    </w:p>
    <w:p>
      <w:pPr>
        <w:ind w:left="0" w:right="0" w:firstLine="474"/>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 xml:space="preserve">二、基本配置与功能要求</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成交单位应具备与本服务内容相适的人员配备、机械设备配置、物料储备及完善的运营管理机制。考虑污水管网运营维护工作的长期性及防汛排涝工作的紧急性，成交单位需在</w:t>
      </w:r>
      <w:r>
        <w:rPr>
          <w:rFonts w:hint="eastAsia" w:ascii="仿宋" w:hAnsi="仿宋" w:eastAsia="仿宋" w:cs="仿宋"/>
          <w:color w:val="auto"/>
          <w:spacing w:val="1"/>
          <w:sz w:val="24"/>
          <w:szCs w:val="24"/>
          <w:highlight w:val="none"/>
          <w:lang w:eastAsia="zh-CN"/>
        </w:rPr>
        <w:t xml:space="preserve">姚桥镇</w:t>
      </w:r>
      <w:r>
        <w:rPr>
          <w:rFonts w:hint="eastAsia" w:ascii="仿宋" w:hAnsi="仿宋" w:eastAsia="仿宋" w:cs="仿宋"/>
          <w:color w:val="auto"/>
          <w:spacing w:val="1"/>
          <w:sz w:val="24"/>
          <w:szCs w:val="24"/>
          <w:highlight w:val="none"/>
        </w:rPr>
        <w:t xml:space="preserve">有固定的集中办公场所及仓储场所。</w:t>
      </w:r>
      <w:r/>
    </w:p>
    <w:p>
      <w:pPr>
        <w:ind w:left="0" w:right="0" w:firstLine="478"/>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pacing w:val="-1"/>
          <w:sz w:val="24"/>
          <w:szCs w:val="24"/>
          <w:highlight w:val="none"/>
        </w:rPr>
        <w:t xml:space="preserve">三、项目要求、主要技术参数与性能指标要求</w:t>
      </w:r>
      <w:r/>
    </w:p>
    <w:p>
      <w:pPr>
        <w:pStyle w:val="739"/>
        <w:ind w:left="0" w:righ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（一）主要指标</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按照国家和地方有关技术标准对管网设施进行养护维修，管网设施的运行维护符合《城镇排水管渠与泵站运行、维护及安全技术规程（CJJ68－2016）》，按照《维护技术规程》的要求进行管网设施的日常维护、保养，确保设施及设备完好，加强巡检，及时发现潜在和已发生的各类跑冒滴漏并进行处理。</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2、配备相应的巡检和抢修队伍，各岗位人员需持证上岗，养护人员资质应报建设局登记、认可；</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3、配备必要的车辆、工具车，机械化作业水平不低于50%；</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4、生产运转率≥98％；设备完好率≥95％；工伤事故频率&lt;3</w:t>
      </w:r>
      <w:r>
        <w:rPr>
          <w:rFonts w:hint="eastAsia" w:ascii="仿宋" w:hAnsi="仿宋" w:eastAsia="仿宋" w:cs="仿宋"/>
          <w:color w:val="auto"/>
          <w:spacing w:val="1"/>
          <w:sz w:val="24"/>
          <w:szCs w:val="24"/>
          <w:highlight w:val="none"/>
          <w:lang w:val="en-US" w:eastAsia="zh-CN"/>
        </w:rPr>
        <w:t xml:space="preserve">‰</w:t>
      </w:r>
      <w:r>
        <w:rPr>
          <w:rFonts w:hint="eastAsia" w:ascii="仿宋" w:hAnsi="仿宋" w:eastAsia="仿宋" w:cs="仿宋"/>
          <w:color w:val="auto"/>
          <w:spacing w:val="1"/>
          <w:sz w:val="24"/>
          <w:szCs w:val="24"/>
          <w:highlight w:val="none"/>
        </w:rPr>
        <w:t xml:space="preserve">，不发生重大安全责任事故；</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5、污水管网完好率不低于95%；</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6、社会服务承诺结案率100%，满意率98%以上，办结平均时间3个工作日。</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7、制定各类运营管理制度、应急预案，建立健全各类运营台账，运行记录真实、齐全、准确；</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8、负责主次干道的应急排涝和泵站运行，汛期安排人员24小时值班及巡视，按市政主管部门指令实施其他应急排涝工作。</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9、管网设施发生事故，乙方应当立即采取有效措施，并且在1小时内向甲方报告；</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10、年度提交污水设施更新信息，长度、数量；排水设施运行现状评估、工程改造建议等;</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11、运行单位应根据适用法律和谨慎运营惯例编制运营维护手册，并经甲方同意后按该手册进行运营和维护。在运营和维护实际情况发生变化或应甲方要求，运营维护手册应随时进行修改、补充和完善，并经甲方同意后遵照执行；</w:t>
      </w:r>
      <w:r/>
    </w:p>
    <w:p>
      <w:pPr>
        <w:pStyle w:val="739"/>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12、运营维护手册应包括已建管网进行定期和年度检查、日常运行维护、年度维护的程序和计划，以及调整和改进检验及维护安排的程序和计划，并制定应对突发事件的应急服务预案；</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13、</w:t>
      </w:r>
      <w:r>
        <w:rPr>
          <w:rFonts w:hint="eastAsia" w:ascii="仿宋" w:hAnsi="仿宋" w:eastAsia="仿宋" w:cs="仿宋"/>
          <w:color w:val="auto"/>
          <w:spacing w:val="1"/>
          <w:sz w:val="24"/>
          <w:szCs w:val="24"/>
          <w:highlight w:val="none"/>
        </w:rPr>
        <w:t xml:space="preserve">接受</w:t>
      </w:r>
      <w:r>
        <w:rPr>
          <w:rFonts w:hint="eastAsia" w:ascii="仿宋" w:hAnsi="仿宋" w:eastAsia="仿宋" w:cs="仿宋"/>
          <w:color w:val="auto"/>
          <w:spacing w:val="1"/>
          <w:sz w:val="24"/>
          <w:szCs w:val="24"/>
          <w:highlight w:val="none"/>
          <w:lang w:val="en-US" w:eastAsia="zh-CN"/>
        </w:rPr>
        <w:t xml:space="preserve">姚桥镇综合行政执法局</w:t>
      </w:r>
      <w:r>
        <w:rPr>
          <w:rFonts w:hint="eastAsia" w:ascii="仿宋" w:hAnsi="仿宋" w:eastAsia="仿宋" w:cs="仿宋"/>
          <w:color w:val="auto"/>
          <w:spacing w:val="1"/>
          <w:sz w:val="24"/>
          <w:szCs w:val="24"/>
          <w:highlight w:val="none"/>
        </w:rPr>
        <w:t xml:space="preserve">或其他主管部门的监督和检查。</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14、</w:t>
      </w:r>
      <w:r>
        <w:rPr>
          <w:rFonts w:hint="eastAsia" w:ascii="仿宋" w:hAnsi="仿宋" w:eastAsia="仿宋" w:cs="仿宋"/>
          <w:color w:val="auto"/>
          <w:spacing w:val="1"/>
          <w:sz w:val="24"/>
          <w:szCs w:val="24"/>
          <w:highlight w:val="none"/>
        </w:rPr>
        <w:t xml:space="preserve">项目成交后，成交供应商应实地检测，确定哪些设备需要维修更换并报采购人确认同意</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并在</w:t>
      </w:r>
      <w:r>
        <w:rPr>
          <w:rFonts w:hint="eastAsia" w:ascii="仿宋" w:hAnsi="仿宋" w:eastAsia="仿宋" w:cs="仿宋"/>
          <w:color w:val="auto"/>
          <w:spacing w:val="1"/>
          <w:sz w:val="24"/>
          <w:szCs w:val="24"/>
          <w:highlight w:val="none"/>
          <w:lang w:val="en-US" w:eastAsia="zh-CN"/>
        </w:rPr>
        <w:t xml:space="preserve">2024年</w:t>
      </w:r>
      <w:r>
        <w:rPr>
          <w:rFonts w:hint="eastAsia" w:ascii="仿宋" w:hAnsi="仿宋" w:eastAsia="仿宋" w:cs="仿宋"/>
          <w:color w:val="auto"/>
          <w:spacing w:val="1"/>
          <w:sz w:val="24"/>
          <w:szCs w:val="24"/>
          <w:highlight w:val="none"/>
        </w:rPr>
        <w:t xml:space="preserve">7月底前完成设施全部整改恢复正常运行工作。</w:t>
      </w:r>
      <w:r>
        <w:rPr>
          <w:rFonts w:hint="eastAsia" w:ascii="仿宋" w:hAnsi="仿宋" w:eastAsia="仿宋" w:cs="仿宋"/>
          <w:color w:val="auto"/>
          <w:spacing w:val="1"/>
          <w:sz w:val="24"/>
          <w:szCs w:val="24"/>
          <w:highlight w:val="none"/>
          <w:lang w:val="en-US" w:eastAsia="zh-CN"/>
        </w:rPr>
        <w:t xml:space="preserve">如未在规定期限内完成该项工作，每延迟1天扣除合同金额5000元。</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bCs/>
          <w:color w:val="auto"/>
          <w:spacing w:val="1"/>
          <w:sz w:val="24"/>
          <w:szCs w:val="24"/>
          <w:highlight w:val="none"/>
          <w:lang w:val="en-US" w:eastAsia="zh-CN" w:bidi="ar-SA"/>
        </w:rPr>
        <w:t xml:space="preserve">15、</w:t>
      </w:r>
      <w:r>
        <w:rPr>
          <w:rFonts w:hint="eastAsia" w:ascii="仿宋" w:hAnsi="仿宋" w:eastAsia="仿宋" w:cs="仿宋"/>
          <w:color w:val="auto"/>
          <w:spacing w:val="1"/>
          <w:sz w:val="24"/>
          <w:szCs w:val="24"/>
          <w:highlight w:val="none"/>
        </w:rPr>
        <w:t xml:space="preserve">预计45套</w:t>
      </w:r>
      <w:r>
        <w:rPr>
          <w:rFonts w:hint="eastAsia" w:ascii="仿宋" w:hAnsi="仿宋" w:eastAsia="仿宋" w:cs="仿宋"/>
          <w:color w:val="auto"/>
          <w:spacing w:val="1"/>
          <w:sz w:val="24"/>
          <w:szCs w:val="24"/>
          <w:highlight w:val="none"/>
          <w:lang w:eastAsia="zh-CN"/>
        </w:rPr>
        <w:t xml:space="preserve">无动力净化槽</w:t>
      </w:r>
      <w:r>
        <w:rPr>
          <w:rFonts w:hint="eastAsia" w:ascii="仿宋" w:hAnsi="仿宋" w:eastAsia="仿宋" w:cs="仿宋"/>
          <w:color w:val="auto"/>
          <w:spacing w:val="1"/>
          <w:sz w:val="24"/>
          <w:szCs w:val="24"/>
          <w:highlight w:val="none"/>
        </w:rPr>
        <w:t xml:space="preserve">需维修更换，其中29套设施存在堵塞、堆放杂物、种植农作物等情形，需要清理</w:t>
      </w:r>
      <w:r>
        <w:rPr>
          <w:rFonts w:hint="eastAsia" w:ascii="仿宋" w:hAnsi="仿宋" w:eastAsia="仿宋" w:cs="仿宋"/>
          <w:color w:val="auto"/>
          <w:spacing w:val="1"/>
          <w:sz w:val="24"/>
          <w:szCs w:val="24"/>
          <w:highlight w:val="none"/>
          <w:lang w:eastAsia="zh-CN"/>
        </w:rPr>
        <w:t xml:space="preserve">并维修</w:t>
      </w:r>
      <w:r>
        <w:rPr>
          <w:rFonts w:hint="eastAsia" w:ascii="仿宋" w:hAnsi="仿宋" w:eastAsia="仿宋" w:cs="仿宋"/>
          <w:color w:val="auto"/>
          <w:spacing w:val="1"/>
          <w:sz w:val="24"/>
          <w:szCs w:val="24"/>
          <w:highlight w:val="none"/>
        </w:rPr>
        <w:t xml:space="preserve">，16套设施进水管被切断或损坏，无法运行，需重新更换处理设施。具体要求如下：</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（1）维修后不影响其使用功能的以维修为准</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维修好需通知甲方检测。</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（2）其余情况均应更换，更换设备标准</w:t>
      </w:r>
      <w:r>
        <w:rPr>
          <w:rFonts w:hint="eastAsia" w:ascii="仿宋" w:hAnsi="仿宋" w:eastAsia="仿宋" w:cs="仿宋"/>
          <w:color w:val="auto"/>
          <w:spacing w:val="1"/>
          <w:sz w:val="24"/>
          <w:szCs w:val="24"/>
          <w:highlight w:val="none"/>
          <w:lang w:eastAsia="zh-CN"/>
        </w:rPr>
        <w:t xml:space="preserve">污水排放</w:t>
      </w:r>
      <w:r>
        <w:rPr>
          <w:rFonts w:hint="eastAsia" w:ascii="仿宋" w:hAnsi="仿宋" w:eastAsia="仿宋" w:cs="仿宋"/>
          <w:color w:val="auto"/>
          <w:spacing w:val="1"/>
          <w:sz w:val="24"/>
          <w:szCs w:val="24"/>
          <w:highlight w:val="none"/>
        </w:rPr>
        <w:t xml:space="preserve">参见（更换的环保设备水污染物排放限值满足《农村生活污水处理设施水污染物排放标准》（DB32/3462-2020）三级标准）。</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（3）具体维修</w:t>
      </w:r>
      <w:r>
        <w:rPr>
          <w:rFonts w:hint="eastAsia" w:ascii="仿宋" w:hAnsi="仿宋" w:eastAsia="仿宋" w:cs="仿宋"/>
          <w:color w:val="auto"/>
          <w:spacing w:val="1"/>
          <w:sz w:val="24"/>
          <w:szCs w:val="24"/>
          <w:highlight w:val="none"/>
          <w:lang w:eastAsia="zh-CN"/>
        </w:rPr>
        <w:t xml:space="preserve">、</w:t>
      </w:r>
      <w:r>
        <w:rPr>
          <w:rFonts w:hint="eastAsia" w:ascii="仿宋" w:hAnsi="仿宋" w:eastAsia="仿宋" w:cs="仿宋"/>
          <w:color w:val="auto"/>
          <w:spacing w:val="1"/>
          <w:sz w:val="24"/>
          <w:szCs w:val="24"/>
          <w:highlight w:val="none"/>
        </w:rPr>
        <w:t xml:space="preserve">更换数量以现场实际为准，金额包含在总报价内。供应商自行考虑风险，在任何情况下不调整该项报价。</w:t>
      </w:r>
      <w:r/>
    </w:p>
    <w:p>
      <w:pPr>
        <w:pStyle w:val="739"/>
        <w:numPr>
          <w:ilvl w:val="0"/>
          <w:numId w:val="0"/>
        </w:numPr>
        <w:ind w:left="0" w:right="0" w:firstLine="484"/>
        <w:jc w:val="left"/>
        <w:keepLines w:val="0"/>
        <w:keepNext w:val="0"/>
        <w:pageBreakBefore w:val="0"/>
        <w:spacing w:line="360" w:lineRule="auto"/>
        <w:widowControl w:val="off"/>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（4）运行期间如若出现设备损坏参照上述方式执行。</w:t>
      </w:r>
      <w:r/>
    </w:p>
    <w:p>
      <w:pPr>
        <w:pStyle w:val="739"/>
        <w:ind w:left="0" w:right="0" w:firstLine="241"/>
        <w:keepLines w:val="0"/>
        <w:keepNext w:val="0"/>
        <w:pageBreakBefore w:val="0"/>
        <w:spacing w:line="360" w:lineRule="auto"/>
        <w:rPr>
          <w:rFonts w:hint="eastAsia" w:ascii="仿宋" w:hAnsi="仿宋" w:eastAsia="仿宋" w:cs="仿宋"/>
          <w:b/>
          <w:bCs/>
          <w:color w:val="auto"/>
          <w:sz w:val="24"/>
          <w:szCs w:val="24"/>
          <w:highlight w:val="none"/>
          <w:cs w:val="0"/>
          <w:lang w:val="en-US" w:eastAsia="zh-CN" w:bidi="ar-SA"/>
        </w:rPr>
      </w:pPr>
      <w:r>
        <w:rPr>
          <w:rFonts w:hint="eastAsia" w:ascii="仿宋" w:hAnsi="仿宋" w:eastAsia="仿宋" w:cs="仿宋"/>
          <w:b/>
          <w:bCs/>
          <w:color w:val="auto"/>
          <w:sz w:val="24"/>
          <w:szCs w:val="24"/>
          <w:highlight w:val="none"/>
          <w:lang w:val="en-US" w:eastAsia="zh-CN" w:bidi="ar-SA"/>
        </w:rPr>
        <w:t xml:space="preserve">16、</w:t>
      </w:r>
      <w:r>
        <w:rPr>
          <w:rFonts w:hint="eastAsia" w:ascii="仿宋" w:hAnsi="仿宋" w:eastAsia="仿宋" w:cs="仿宋"/>
          <w:b/>
          <w:bCs/>
          <w:color w:val="auto"/>
          <w:sz w:val="24"/>
          <w:szCs w:val="24"/>
          <w:highlight w:val="none"/>
          <w:cs/>
          <w:lang w:val="en-US" w:eastAsia="zh-CN" w:bidi="ar-SA"/>
        </w:rPr>
        <w:t xml:space="preserve">维护保养</w:t>
      </w:r>
      <w:r>
        <w:rPr>
          <w:rFonts w:hint="eastAsia" w:ascii="仿宋" w:hAnsi="仿宋" w:eastAsia="仿宋" w:cs="仿宋"/>
          <w:b/>
          <w:bCs/>
          <w:color w:val="auto"/>
          <w:sz w:val="24"/>
          <w:szCs w:val="24"/>
          <w:highlight w:val="none"/>
          <w:cs w:val="0"/>
          <w:lang w:val="en-US" w:eastAsia="zh-CN" w:bidi="ar-SA"/>
        </w:rPr>
        <w:t xml:space="preserve">工作内容及要求</w:t>
      </w:r>
      <w:r/>
    </w:p>
    <w:p>
      <w:pPr>
        <w:jc w:val="left"/>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一、工作</w:t>
      </w:r>
      <w:r>
        <w:rPr>
          <w:rFonts w:hint="eastAsia" w:ascii="仿宋" w:hAnsi="仿宋" w:eastAsia="仿宋" w:cs="仿宋"/>
          <w:b/>
          <w:bCs/>
          <w:color w:val="auto"/>
          <w:sz w:val="24"/>
          <w:szCs w:val="24"/>
          <w:lang w:eastAsia="zh-CN"/>
        </w:rPr>
        <w:t xml:space="preserve">内容及要求</w:t>
      </w:r>
      <w:r>
        <w:rPr>
          <w:rFonts w:hint="eastAsia" w:ascii="仿宋" w:hAnsi="仿宋" w:eastAsia="仿宋" w:cs="仿宋"/>
          <w:b/>
          <w:bCs/>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1、净化槽</w:t>
      </w:r>
      <w:r>
        <w:rPr>
          <w:rFonts w:hint="eastAsia" w:ascii="仿宋" w:hAnsi="仿宋" w:eastAsia="仿宋" w:cs="仿宋"/>
          <w:color w:val="auto"/>
          <w:sz w:val="24"/>
          <w:szCs w:val="24"/>
          <w:lang w:eastAsia="zh-CN"/>
        </w:rPr>
        <w:t xml:space="preserve">及污水处理设施</w:t>
      </w:r>
      <w:r>
        <w:rPr>
          <w:rFonts w:hint="eastAsia" w:ascii="仿宋" w:hAnsi="仿宋" w:eastAsia="仿宋" w:cs="仿宋"/>
          <w:color w:val="auto"/>
          <w:sz w:val="24"/>
          <w:szCs w:val="24"/>
        </w:rPr>
        <w:t xml:space="preserve">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573"/>
        <w:gridCol w:w="4851"/>
        <w:gridCol w:w="2954"/>
      </w:tblGrid>
      <w:tr>
        <w:trPr>
          <w:jc w:val="center"/>
          <w:trHeight w:val="465"/>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14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溶解氧控制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通过手持式溶解氧仪确定真实的系统溶解氧值，若不在合适范围内，通过观察对比设备曝气强度确认气泵是否能正常供气，若气泵通电时能正常振动工作，但泵气过少，则对气泵进行必要的过滤棉清洗及振动膜片更换，确保气泵能正常给系统供气充氧；</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回流比控制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进水负荷、进水量发生改变导致对曝气量需求发生改变</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每周检测不少于1次</w:t>
            </w:r>
            <w:r/>
          </w:p>
        </w:tc>
      </w:tr>
      <w:tr>
        <w:trPr>
          <w:jc w:val="center"/>
          <w:trHeight w:val="1803"/>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巡视人员应记录设备运行状态，对各项参数进行登记汇总(电量、水量、药剂投加量、调试参数等），便于后期对历史数据进行查看与分析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每两天到场记录一次</w:t>
            </w:r>
            <w:r/>
          </w:p>
        </w:tc>
      </w:tr>
      <w:tr>
        <w:trPr>
          <w:jc w:val="center"/>
          <w:trHeight w:val="1850"/>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巡视人员应根据定制的采样覆盖率定期对不同设备进行抽查采集，记录每台设备对应编号。同时要求所运维的站点水质达标率要求95%以上</w:t>
            </w:r>
            <w:r>
              <w:rPr>
                <w:rFonts w:hint="eastAsia" w:ascii="仿宋" w:hAnsi="仿宋" w:eastAsia="仿宋" w:cs="仿宋"/>
                <w:color w:val="auto"/>
                <w:sz w:val="24"/>
                <w:szCs w:val="24"/>
                <w:lang w:eastAsia="zh-CN" w:bidi="ar"/>
              </w:rPr>
              <w:t xml:space="preserve">。</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208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气泵、污水泵、浮球、风机维护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空气泵是一体化设备的重要部件，振动膜为气泵易损部件，必须定期维护。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每季度对气泵进行一次过滤棉清洗，同时负责购买空气泵过滤棉并定期更换，对损坏的气泵送到指定维修地点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风机是一体化设备的重要部件，必须定期维护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每季度对风机进行一次机油添加及皮带检修更换维护，对损坏的风机送到指定维修地点</w:t>
            </w:r>
            <w:r/>
          </w:p>
        </w:tc>
      </w:tr>
      <w:tr>
        <w:trPr>
          <w:jc w:val="center"/>
          <w:trHeight w:val="1357"/>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污水泵是一体化设备的重要部件，必须定期维护</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每月对污水泵进行一次吊起清理，对损坏的水泵</w:t>
            </w:r>
            <w:r>
              <w:rPr>
                <w:rFonts w:hint="eastAsia" w:ascii="仿宋" w:hAnsi="仿宋" w:eastAsia="仿宋" w:cs="仿宋"/>
                <w:color w:val="auto"/>
                <w:sz w:val="24"/>
                <w:szCs w:val="24"/>
                <w:lang w:eastAsia="zh-CN" w:bidi="ar"/>
              </w:rPr>
              <w:t xml:space="preserve">进行</w:t>
            </w:r>
            <w:r>
              <w:rPr>
                <w:rFonts w:hint="eastAsia" w:ascii="仿宋" w:hAnsi="仿宋" w:eastAsia="仿宋" w:cs="仿宋"/>
                <w:color w:val="auto"/>
                <w:sz w:val="24"/>
                <w:szCs w:val="24"/>
                <w:lang w:bidi="ar"/>
              </w:rPr>
              <w:t xml:space="preserve">维修</w:t>
            </w:r>
            <w:r/>
          </w:p>
        </w:tc>
      </w:tr>
      <w:tr>
        <w:trPr>
          <w:jc w:val="center"/>
          <w:trHeight w:val="1125"/>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定期清淤</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每正常运行半年（6个月），需要对设备进行一次无机沉渣清理并按要求转运至指定地点。</w:t>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rPr>
                <w:rStyle w:val="1049"/>
                <w:rFonts w:hint="eastAsia" w:ascii="仿宋" w:hAnsi="仿宋" w:eastAsia="仿宋" w:cs="仿宋"/>
                <w:color w:val="auto"/>
                <w:sz w:val="24"/>
                <w:szCs w:val="24"/>
                <w:lang w:bidi="ar"/>
              </w:rPr>
              <w:t xml:space="preserve">每巡视小组每达到设备站点，应进行打卡记录，记录相关信息，如溶解氧浓度，设备运行工况等</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所负责运营片区确保每月必须全面到场巡检（每个站点巡检不低于3次/周）</w:t>
            </w:r>
            <w:r/>
          </w:p>
        </w:tc>
      </w:tr>
      <w:tr>
        <w:trPr>
          <w:jc w:val="center"/>
          <w:trHeight w:val="1448"/>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w:t>
            </w:r>
            <w:r>
              <w:rPr>
                <w:rStyle w:val="1049"/>
                <w:rFonts w:hint="eastAsia" w:ascii="仿宋" w:hAnsi="仿宋" w:eastAsia="仿宋" w:cs="仿宋"/>
                <w:color w:val="auto"/>
                <w:sz w:val="24"/>
                <w:szCs w:val="24"/>
                <w:lang w:bidi="ar"/>
              </w:rPr>
              <w:t xml:space="preserve">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26"/>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w:t>
            </w:r>
            <w:r>
              <w:rPr>
                <w:rStyle w:val="1049"/>
                <w:rFonts w:hint="eastAsia" w:ascii="仿宋" w:hAnsi="仿宋" w:eastAsia="仿宋" w:cs="仿宋"/>
                <w:color w:val="auto"/>
                <w:sz w:val="24"/>
                <w:szCs w:val="24"/>
                <w:lang w:bidi="ar"/>
              </w:rPr>
              <w:t xml:space="preserve">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1"/>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925"/>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(6)巡视过程中积极宣传“净化槽“的环保理念与作用，同时引导居民对常规简单问题进行自行维护，在使用过程中减少固体垃圾进入管道的可能。</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391"/>
        </w:trPr>
        <w:tc>
          <w:tcPr>
            <w:tcBorders>
              <w:top w:val="single" w:color="000000" w:sz="8" w:space="0"/>
              <w:left w:val="single" w:color="000000" w:sz="8" w:space="0"/>
              <w:bottom w:val="single" w:color="000000" w:sz="8" w:space="0"/>
              <w:right w:val="single" w:color="000000" w:sz="8" w:space="0"/>
            </w:tcBorders>
            <w:tcW w:w="1573"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w:t>
            </w:r>
            <w:r>
              <w:rPr>
                <w:rStyle w:val="1049"/>
                <w:rFonts w:hint="eastAsia" w:ascii="仿宋" w:hAnsi="仿宋" w:eastAsia="仿宋" w:cs="仿宋"/>
                <w:color w:val="auto"/>
                <w:sz w:val="24"/>
                <w:szCs w:val="24"/>
                <w:lang w:bidi="ar"/>
              </w:rPr>
              <w:t xml:space="preserve">应急小组达到指定设备位置，应做好打卡记录工作、记录相关信息，处理完成及时反馈相应领导。</w:t>
            </w:r>
            <w:r/>
          </w:p>
        </w:tc>
        <w:tc>
          <w:tcPr>
            <w:tcBorders>
              <w:top w:val="single" w:color="000000" w:sz="8" w:space="0"/>
              <w:left w:val="none" w:color="000000" w:sz="4" w:space="0"/>
              <w:bottom w:val="single" w:color="000000" w:sz="8" w:space="0"/>
              <w:right w:val="single" w:color="000000" w:sz="8" w:space="0"/>
            </w:tcBorders>
            <w:tcW w:w="2954"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014"/>
        </w:trPr>
        <w:tc>
          <w:tcPr>
            <w:tcBorders>
              <w:top w:val="single" w:color="000000" w:sz="8" w:space="0"/>
              <w:left w:val="single" w:color="000000" w:sz="8" w:space="0"/>
              <w:bottom w:val="single" w:color="000000" w:sz="8" w:space="0"/>
              <w:right w:val="single" w:color="000000" w:sz="8" w:space="0"/>
            </w:tcBorders>
            <w:tcW w:w="1573"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54"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79"/>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376"/>
        </w:trPr>
        <w:tc>
          <w:tcPr>
            <w:tcBorders>
              <w:top w:val="single" w:color="000000" w:sz="8" w:space="0"/>
              <w:left w:val="single" w:color="000000" w:sz="8" w:space="0"/>
              <w:bottom w:val="single" w:color="000000" w:sz="8" w:space="0"/>
              <w:right w:val="single" w:color="000000" w:sz="8" w:space="0"/>
            </w:tcBorders>
            <w:tcW w:w="1573"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51"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5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2、一体化泵站运维工作内容及要求：</w:t>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635"/>
        <w:gridCol w:w="4818"/>
        <w:gridCol w:w="2966"/>
      </w:tblGrid>
      <w:tr>
        <w:trPr>
          <w:jc w:val="center"/>
          <w:trHeight w:val="515"/>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运维项目</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频率</w:t>
            </w:r>
            <w:r/>
          </w:p>
        </w:tc>
      </w:tr>
      <w:tr>
        <w:trPr>
          <w:jc w:val="center"/>
          <w:trHeight w:val="329"/>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w:t>
            </w:r>
            <w:r/>
          </w:p>
        </w:tc>
        <w:tc>
          <w:tcPr>
            <w:tcBorders>
              <w:top w:val="single" w:color="000000" w:sz="8" w:space="0"/>
              <w:left w:val="none" w:color="000000" w:sz="4" w:space="0"/>
              <w:bottom w:val="single" w:color="000000" w:sz="8" w:space="0"/>
              <w:right w:val="single" w:color="000000" w:sz="8" w:space="0"/>
            </w:tcBorders>
            <w:tcW w:w="4818"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格栅井是设备处理前段预处理的关键部分，需每季度制定清掏计划并进行清掏。</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一体化泵站格栅井每年度要求清掏一次，并配备相应转运车辆按要求转运至指定地点</w:t>
            </w:r>
            <w:r/>
          </w:p>
        </w:tc>
      </w:tr>
      <w:tr>
        <w:trPr>
          <w:jc w:val="center"/>
          <w:trHeight w:val="11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记录运行参数</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巡视人员应记录设备运行状态，对各项参数进行登记汇总（电量、水量等)，便于后期对历史数据进行查看与分析</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每站点巡查不少于2次/周</w:t>
            </w:r>
            <w:r/>
          </w:p>
        </w:tc>
      </w:tr>
      <w:tr>
        <w:trPr>
          <w:jc w:val="center"/>
          <w:trHeight w:val="1174"/>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水样采集</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巡视人员应根据定制的采样覆盖率定期对不同设备进行抽查采集，记录每台设备对应编号。</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18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污水泵是一体化泵站设备的重要部件，是保证泵站高效运行的关键设备。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每月对气泵进行一次吊起检修维护，对损坏的污水泵送到指定维修地点</w:t>
            </w:r>
            <w:r/>
          </w:p>
        </w:tc>
      </w:tr>
      <w:tr>
        <w:trPr>
          <w:jc w:val="center"/>
          <w:trHeight w:val="953"/>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相关阀门维护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阀门是一体化泵站设备的重要部件，是保证泵站高效运行的关键设备。</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每年定期对各类阀门进行防锈处理维护</w:t>
            </w:r>
            <w:r/>
          </w:p>
        </w:tc>
      </w:tr>
      <w:tr>
        <w:trPr>
          <w:jc w:val="center"/>
          <w:trHeight w:val="761"/>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一体化设备定期清淤</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1、记录各清掏设备的编号，与清掏时间，做好台账记录工作</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每年需要对设备进行一次无机沉渣清理并按要求转运至指定地点。</w:t>
            </w:r>
            <w:r/>
          </w:p>
        </w:tc>
      </w:tr>
      <w:tr>
        <w:trPr>
          <w:jc w:val="center"/>
          <w:trHeight w:val="791"/>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2、规划年度、月度清掏计划与路线，实现车辆优化配置</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28"/>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日常巡检</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(1)每巡视小组每达到设备站点，应进行打卡记录，记录相关信息，如设备运行工况等</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所负责运营片区确保每月必须全面到场巡检（每个站点巡检不低于2次/周）</w:t>
            </w:r>
            <w:r/>
          </w:p>
        </w:tc>
      </w:tr>
      <w:tr>
        <w:trPr>
          <w:jc w:val="center"/>
          <w:trHeight w:val="143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(2)若设备存在异常，根据设备维护手册与异常问题解决方案及时解决相关问题，记录相关原因与解决方案。</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13"/>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(3)巡视过程中对设备检查井以及管道畅通情况进行查看，保证通路正常</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(4)对群众的有效投诉，要求在24h内应妥善得到解决。</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5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(5)对站点目视化工作及时清理维护。保证终端站点卫生整洁干净，围栏牢固。</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946"/>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(6)巡视过程中积极宣传企业文化，同时引导居民保护相关设备。</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55"/>
        </w:trPr>
        <w:tc>
          <w:tcPr>
            <w:tcBorders>
              <w:top w:val="single" w:color="000000" w:sz="8" w:space="0"/>
              <w:left w:val="single" w:color="000000" w:sz="8" w:space="0"/>
              <w:bottom w:val="single" w:color="000000" w:sz="8" w:space="0"/>
              <w:right w:val="single" w:color="000000" w:sz="8" w:space="0"/>
            </w:tcBorders>
            <w:tcW w:w="1635"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故障应急</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(1)应急小组达到指定设备位置，应做好打卡记录工作、记录相关信息，处理完成及时反馈相应领导。</w:t>
            </w:r>
            <w:r/>
          </w:p>
        </w:tc>
        <w:tc>
          <w:tcPr>
            <w:tcBorders>
              <w:top w:val="single" w:color="000000" w:sz="8" w:space="0"/>
              <w:left w:val="none" w:color="000000" w:sz="4" w:space="0"/>
              <w:bottom w:val="single" w:color="000000" w:sz="8" w:space="0"/>
              <w:right w:val="single" w:color="000000" w:sz="8" w:space="0"/>
            </w:tcBorders>
            <w:tcW w:w="2966"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868"/>
        </w:trPr>
        <w:tc>
          <w:tcPr>
            <w:tcBorders>
              <w:top w:val="single" w:color="000000" w:sz="8" w:space="0"/>
              <w:left w:val="single" w:color="000000" w:sz="8" w:space="0"/>
              <w:bottom w:val="single" w:color="000000" w:sz="8" w:space="0"/>
              <w:right w:val="single" w:color="000000" w:sz="8" w:space="0"/>
            </w:tcBorders>
            <w:tcW w:w="163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(2)协助主管领导，对设备出现的问题进行维护与修理，服从</w:t>
            </w:r>
            <w:r>
              <w:rPr>
                <w:rFonts w:hint="eastAsia" w:ascii="仿宋" w:hAnsi="仿宋" w:eastAsia="仿宋" w:cs="仿宋"/>
                <w:color w:val="auto"/>
                <w:sz w:val="24"/>
                <w:szCs w:val="24"/>
                <w:lang w:eastAsia="zh-CN" w:bidi="ar"/>
              </w:rPr>
              <w:t xml:space="preserve">业主</w:t>
            </w:r>
            <w:r>
              <w:rPr>
                <w:rFonts w:hint="eastAsia" w:ascii="仿宋" w:hAnsi="仿宋" w:eastAsia="仿宋" w:cs="仿宋"/>
                <w:color w:val="auto"/>
                <w:sz w:val="24"/>
                <w:szCs w:val="24"/>
                <w:lang w:bidi="ar"/>
              </w:rPr>
              <w:t xml:space="preserve">统一调配</w:t>
            </w:r>
            <w:r/>
          </w:p>
        </w:tc>
        <w:tc>
          <w:tcPr>
            <w:tcBorders>
              <w:top w:val="single" w:color="000000" w:sz="8" w:space="0"/>
              <w:left w:val="none" w:color="000000" w:sz="4" w:space="0"/>
              <w:bottom w:val="single" w:color="000000" w:sz="8" w:space="0"/>
              <w:right w:val="single" w:color="000000" w:sz="8" w:space="0"/>
            </w:tcBorders>
            <w:tcW w:w="2966"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10"/>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台账资料是运维工作重要组成的一部分，应按计划详实记录汇总。</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每月按要求将台账资料交至片区管理中心审核，同时每月上交运维月报</w:t>
            </w:r>
            <w:r/>
          </w:p>
        </w:tc>
      </w:tr>
      <w:tr>
        <w:trPr>
          <w:jc w:val="center"/>
          <w:trHeight w:val="1219"/>
        </w:trPr>
        <w:tc>
          <w:tcPr>
            <w:tcBorders>
              <w:top w:val="single" w:color="000000" w:sz="8" w:space="0"/>
              <w:left w:val="single" w:color="000000" w:sz="8" w:space="0"/>
              <w:bottom w:val="single" w:color="000000" w:sz="8" w:space="0"/>
              <w:right w:val="single" w:color="000000" w:sz="8" w:space="0"/>
            </w:tcBorders>
            <w:tcW w:w="163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电控柜及元器件</w:t>
            </w:r>
            <w:r/>
          </w:p>
        </w:tc>
        <w:tc>
          <w:tcPr>
            <w:tcBorders>
              <w:top w:val="single" w:color="000000" w:sz="8" w:space="0"/>
              <w:left w:val="none" w:color="000000" w:sz="4" w:space="0"/>
              <w:bottom w:val="single" w:color="000000" w:sz="8" w:space="0"/>
              <w:right w:val="single" w:color="000000" w:sz="8" w:space="0"/>
            </w:tcBorders>
            <w:tcW w:w="48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电控柜是保证设备正常运行关键因素，涉及电控柜元器件损坏维修或更换由乙方承担相应费用。</w:t>
            </w:r>
            <w:r/>
          </w:p>
        </w:tc>
        <w:tc>
          <w:tcPr>
            <w:tcBorders>
              <w:top w:val="single" w:color="000000" w:sz="8" w:space="0"/>
              <w:left w:val="none" w:color="000000" w:sz="4" w:space="0"/>
              <w:bottom w:val="single" w:color="000000" w:sz="8" w:space="0"/>
              <w:right w:val="single" w:color="000000" w:sz="8" w:space="0"/>
            </w:tcBorders>
            <w:tcW w:w="296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每周清理保养一次，包括防锈处理</w:t>
            </w:r>
            <w:r/>
          </w:p>
        </w:tc>
      </w:tr>
    </w:tbl>
    <w:p>
      <w:pPr>
        <w:jc w:val="left"/>
        <w:spacing w:line="360" w:lineRule="auto"/>
        <w:rPr>
          <w:rFonts w:hint="eastAsia" w:ascii="仿宋" w:hAnsi="仿宋" w:eastAsia="仿宋" w:cs="仿宋"/>
          <w:b/>
          <w:bCs/>
          <w:color w:val="auto"/>
          <w:sz w:val="24"/>
          <w:szCs w:val="24"/>
          <w:lang w:eastAsia="zh-CN"/>
        </w:rPr>
      </w:pPr>
      <w:r/>
      <w:bookmarkStart w:id="225" w:name="_Toc24999982"/>
      <w:r/>
      <w:bookmarkStart w:id="226" w:name="_Toc477599263"/>
      <w:r>
        <w:rPr>
          <w:rFonts w:hint="eastAsia" w:ascii="仿宋" w:hAnsi="仿宋" w:eastAsia="仿宋" w:cs="仿宋"/>
          <w:b/>
          <w:bCs/>
          <w:color w:val="auto"/>
          <w:sz w:val="24"/>
          <w:szCs w:val="24"/>
          <w:lang w:eastAsia="zh-CN"/>
        </w:rPr>
        <w:t xml:space="preserve">二、</w:t>
      </w:r>
      <w:r>
        <w:rPr>
          <w:rFonts w:hint="eastAsia" w:ascii="仿宋" w:hAnsi="仿宋" w:eastAsia="仿宋" w:cs="仿宋"/>
          <w:b/>
          <w:bCs/>
          <w:color w:val="auto"/>
          <w:sz w:val="24"/>
          <w:szCs w:val="24"/>
        </w:rPr>
        <w:t xml:space="preserve">无动力</w:t>
      </w:r>
      <w:r>
        <w:rPr>
          <w:rFonts w:hint="eastAsia" w:ascii="仿宋" w:hAnsi="仿宋" w:eastAsia="仿宋" w:cs="仿宋"/>
          <w:b/>
          <w:bCs/>
          <w:color w:val="auto"/>
          <w:sz w:val="24"/>
          <w:szCs w:val="24"/>
          <w:lang w:eastAsia="zh-CN"/>
        </w:rPr>
        <w:t xml:space="preserve">净化槽</w:t>
      </w:r>
      <w:r>
        <w:rPr>
          <w:rFonts w:hint="eastAsia" w:ascii="仿宋" w:hAnsi="仿宋" w:eastAsia="仿宋" w:cs="仿宋"/>
          <w:b/>
          <w:bCs/>
          <w:color w:val="auto"/>
          <w:sz w:val="24"/>
          <w:szCs w:val="24"/>
        </w:rPr>
        <w:t xml:space="preserve">维护</w:t>
      </w:r>
      <w:bookmarkEnd w:id="225"/>
      <w:r/>
      <w:bookmarkEnd w:id="226"/>
      <w:r>
        <w:rPr>
          <w:rFonts w:hint="eastAsia" w:ascii="仿宋" w:hAnsi="仿宋" w:eastAsia="仿宋" w:cs="仿宋"/>
          <w:b/>
          <w:bCs/>
          <w:color w:val="auto"/>
          <w:sz w:val="24"/>
          <w:szCs w:val="24"/>
          <w:lang w:eastAsia="zh-CN"/>
        </w:rPr>
        <w:t xml:space="preserve">方案</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厌氧池：采用现场取样观察及测溶解氧值等方法，控制厌氧池处于正常运行状态。一般应控制厌氧池溶解氧含量不超过0.2mg/L。</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厌氧池异常现象与对应措施汇总表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6"/>
        <w:gridCol w:w="3544"/>
        <w:gridCol w:w="3456"/>
      </w:tblGrid>
      <w:tr>
        <w:trPr>
          <w:jc w:val="center"/>
          <w:trHeight w:val="397"/>
          <w:tblHeader/>
        </w:trPr>
        <w:tc>
          <w:tcPr>
            <w:gridSpan w:val="3"/>
            <w:tcW w:w="9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厌氧池异常现象与采取措施</w:t>
            </w:r>
            <w:r/>
          </w:p>
        </w:tc>
      </w:tr>
      <w:tr>
        <w:trPr>
          <w:jc w:val="center"/>
          <w:trHeight w:val="397"/>
          <w:tblHeader/>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A）上溢水混浊</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1.大量的不溶性的固体流入厌氧池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如BOD的去除率在90％以上，不需要处置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如影响BOD的去除率，则要对前处理中SS去除效果改进</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2.由于温度变化，酸的流入，有毒物的混入导致污泥分解而混浊</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对有毒物质加以调查并排除混入</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B）污泥的上浮</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1.污泥的脱氧过曝气导致高度硝化，而在兼氧池中将反硝化而生成N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释放，N</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上升携带污泥浮上。在SV30测定后静置3～5小时即可观察出来，经过物理搅拌可重新沉淀。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增加排放剩余污泥</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减少曝气量，降低兼氧池中溶解氧量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降低兼氧池的进水流量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2.污泥的膨胀</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曝气不足或水温高于25℃时丝状细菌和真菌易大量繁殖导致泥块松散，密度降低而浮上</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加强曝气，使兼氧池溶体积达到1～4ppm</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增加氮、磷的投入量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将PH值调整至6.5～7.5</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3.污泥腐化</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曝气量过小导致污泥缺氧而腐化</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增加曝气量和排放过剩的污泥</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4.浮上污泥</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比重小于水的污泥浮上，物理搅拌不会沉淀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无需对策</w:t>
            </w:r>
            <w:r/>
          </w:p>
        </w:tc>
      </w:tr>
      <w:tr>
        <w:trPr>
          <w:jc w:val="center"/>
          <w:trHeight w:val="397"/>
        </w:trPr>
        <w:tc>
          <w:tcPr>
            <w:gridSpan w:val="3"/>
            <w:tcW w:w="9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其他异常和对策</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异常现象</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原因</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措施</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1)负荷量增高；</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2)曝气不足；</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3)工业污水的流入等</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1)控制负荷量；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2)增大曝气量；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3)切断或控制污水的流入</w:t>
            </w:r>
            <w:r/>
          </w:p>
        </w:tc>
      </w:tr>
      <w:tr>
        <w:trPr>
          <w:jc w:val="center"/>
          <w:trHeight w:val="397"/>
        </w:trPr>
        <w:tc>
          <w:tcPr>
            <w:tcW w:w="228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白色化</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由于丝状菌的繁殖导致污泥膨胀</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加强前置处理</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pH偏低</w:t>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发生硝化现象</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NH</w:t>
            </w:r>
            <w:r>
              <w:rPr>
                <w:rFonts w:hint="eastAsia" w:ascii="仿宋" w:hAnsi="仿宋" w:eastAsia="仿宋" w:cs="仿宋"/>
                <w:color w:val="auto"/>
                <w:sz w:val="24"/>
                <w:szCs w:val="24"/>
                <w:vertAlign w:val="subscript"/>
              </w:rPr>
              <w:t xml:space="preserve">4</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＋1.5O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perscript"/>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vertAlign w:val="superscript"/>
              </w:rPr>
              <w:t xml:space="preserve">－</w:t>
            </w:r>
            <w:r>
              <w:rPr>
                <w:rFonts w:hint="eastAsia" w:ascii="仿宋" w:hAnsi="仿宋" w:eastAsia="仿宋" w:cs="仿宋"/>
                <w:color w:val="auto"/>
                <w:sz w:val="24"/>
                <w:szCs w:val="24"/>
              </w:rPr>
              <w:t xml:space="preserve">＋0.5O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→NO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vertAlign w:val="superscript"/>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（判断硝化现象的方法是用GR试剂或氮氧化物吸收剂吸收剂测试兼氧池混合液，看反应的颜色）</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调整PH值至7.0～7.6，往兼氧池内散步25％的NaOH溶液</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减少曝气量，溶解氧维持在～4ppm</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增加BOD负荷（即废水量）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腐败的发生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S＋1/2O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O＋S</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2S＋3O</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O→2H</w:t>
            </w:r>
            <w:r>
              <w:rPr>
                <w:rFonts w:hint="eastAsia" w:ascii="仿宋" w:hAnsi="仿宋" w:eastAsia="仿宋" w:cs="仿宋"/>
                <w:color w:val="auto"/>
                <w:sz w:val="24"/>
                <w:szCs w:val="24"/>
                <w:vertAlign w:val="subscript"/>
              </w:rPr>
              <w:t xml:space="preserve">2</w:t>
            </w:r>
            <w:r>
              <w:rPr>
                <w:rFonts w:hint="eastAsia" w:ascii="仿宋" w:hAnsi="仿宋" w:eastAsia="仿宋" w:cs="仿宋"/>
                <w:color w:val="auto"/>
                <w:sz w:val="24"/>
                <w:szCs w:val="24"/>
              </w:rPr>
              <w:t xml:space="preserve">SO</w:t>
            </w:r>
            <w:r>
              <w:rPr>
                <w:rFonts w:hint="eastAsia" w:ascii="仿宋" w:hAnsi="仿宋" w:eastAsia="仿宋" w:cs="仿宋"/>
                <w:color w:val="auto"/>
                <w:sz w:val="24"/>
                <w:szCs w:val="24"/>
                <w:vertAlign w:val="subscript"/>
              </w:rPr>
              <w:t xml:space="preserve">4</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污泥的腐败伴随着颜色的黑色化，曝气不足及污泥排放的不足均会导致腐败现象</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保证过剩污泥的排放</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污泥的膨化（可以通过SV30的测试及其后4～5小时污泥沉降量的比较来推断）</w:t>
            </w:r>
            <w:r/>
          </w:p>
        </w:tc>
        <w:tc>
          <w:tcPr>
            <w:tcW w:w="3544" w:type="dxa"/>
            <w:vAlign w:val="center"/>
            <w:vMerge w:val="restart"/>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1.原水水质急骤变化以及有物质流入</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减少废水的流入量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对前级进一步处理</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2.N、P含量的不足</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增加营养剂的补充量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3.曝气池溶解氧低下</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增加曝气量</w:t>
            </w:r>
            <w:r/>
          </w:p>
        </w:tc>
      </w:tr>
      <w:tr>
        <w:trPr>
          <w:jc w:val="center"/>
          <w:trHeight w:val="397"/>
        </w:trPr>
        <w:tc>
          <w:tcPr>
            <w:tcW w:w="2286" w:type="dxa"/>
            <w:vAlign w:val="center"/>
            <w:vMerge w:val="continue"/>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544"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4.水中无机质量少</w:t>
            </w:r>
            <w:r/>
          </w:p>
        </w:tc>
        <w:tc>
          <w:tcPr>
            <w:tcW w:w="3456"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添加硅藻土，黄泥，CaCO</w:t>
            </w:r>
            <w:r>
              <w:rPr>
                <w:rFonts w:hint="eastAsia" w:ascii="仿宋" w:hAnsi="仿宋" w:eastAsia="仿宋" w:cs="仿宋"/>
                <w:color w:val="auto"/>
                <w:sz w:val="24"/>
                <w:szCs w:val="24"/>
                <w:vertAlign w:val="subscript"/>
              </w:rPr>
              <w:t xml:space="preserve">3</w:t>
            </w:r>
            <w:r>
              <w:rPr>
                <w:rFonts w:hint="eastAsia" w:ascii="仿宋" w:hAnsi="仿宋" w:eastAsia="仿宋" w:cs="仿宋"/>
                <w:color w:val="auto"/>
                <w:sz w:val="24"/>
                <w:szCs w:val="24"/>
              </w:rPr>
              <w:t xml:space="preserve">之类作为污泥的重量剂</w:t>
            </w:r>
            <w:r/>
          </w:p>
        </w:tc>
      </w:tr>
    </w:tbl>
    <w:p>
      <w:pPr>
        <w:jc w:val="left"/>
        <w:spacing w:line="360" w:lineRule="auto"/>
        <w:rPr>
          <w:rFonts w:hint="eastAsia" w:ascii="仿宋" w:hAnsi="仿宋" w:eastAsia="仿宋" w:cs="仿宋"/>
          <w:b/>
          <w:bCs/>
          <w:color w:val="auto"/>
          <w:sz w:val="24"/>
          <w:szCs w:val="24"/>
        </w:rPr>
      </w:pPr>
      <w:r/>
      <w:bookmarkStart w:id="227" w:name="_Toc477599264"/>
      <w:r/>
      <w:bookmarkStart w:id="228" w:name="_Toc24999983"/>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好氧站点</w:t>
      </w:r>
      <w:r>
        <w:rPr>
          <w:rFonts w:hint="eastAsia" w:ascii="仿宋" w:hAnsi="仿宋" w:eastAsia="仿宋" w:cs="仿宋"/>
          <w:b/>
          <w:bCs/>
          <w:color w:val="auto"/>
          <w:sz w:val="24"/>
          <w:szCs w:val="24"/>
          <w:lang w:eastAsia="zh-CN"/>
        </w:rPr>
        <w:t xml:space="preserve">及膜处理设施</w:t>
      </w:r>
      <w:r>
        <w:rPr>
          <w:rFonts w:hint="eastAsia" w:ascii="仿宋" w:hAnsi="仿宋" w:eastAsia="仿宋" w:cs="仿宋"/>
          <w:b/>
          <w:bCs/>
          <w:color w:val="auto"/>
          <w:sz w:val="24"/>
          <w:szCs w:val="24"/>
        </w:rPr>
        <w:t xml:space="preserve">维护</w:t>
      </w:r>
      <w:bookmarkEnd w:id="227"/>
      <w:r/>
      <w:bookmarkEnd w:id="228"/>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=1\*GB3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①</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定期检查污泥颜色是否正常，一般正常污泥颜色呈褐色，有泥土气味；曝气时，污水泡沫不多，且较容易破裂。若污泥颜色发黑、发臭、污水泡沫增多、不易破碎，则处理效果可能较差甚至出水超标（原因主要有曝气不足、进水COD偏高、生化不充分、污泥龄短、污泥负荷高等），针对问题一一排查；</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=2\*GB3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②</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若使用电控设备的。根据设计水量、实际处理水量耗电的比较，同时根据日常运行耗电量的积累，判断各设施耗电量的正常范围，若过低或过高均应排查原因；</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=3\*GB3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③</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使用微孔曝气装置时，应进行空气过滤，并应对微孔曝气器、单孔膜曝气器进行定期清洗；</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=4\*GB3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④</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经常检查与调整曝气池配水系统和回流污泥的分配系统，确保进行各系列或各池之间的污水和污泥均匀；</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=5\*GB3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⑤</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注意观察曝气池液面翻腾状况，检查是否有空气扩散器堵塞或脱落情况，并及时更换；</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=6\*GB3</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 xml:space="preserve">⑥</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 xml:space="preserve">水质分析：水温、透明度、pH、COD、NH</w:t>
      </w:r>
      <w:r>
        <w:rPr>
          <w:rFonts w:hint="eastAsia" w:ascii="仿宋" w:hAnsi="仿宋" w:eastAsia="仿宋" w:cs="仿宋"/>
          <w:bCs/>
          <w:color w:val="auto"/>
          <w:sz w:val="24"/>
          <w:szCs w:val="24"/>
          <w:vertAlign w:val="subscript"/>
        </w:rPr>
        <w:t xml:space="preserve">3</w:t>
      </w:r>
      <w:r>
        <w:rPr>
          <w:rFonts w:hint="eastAsia" w:ascii="仿宋" w:hAnsi="仿宋" w:eastAsia="仿宋" w:cs="仿宋"/>
          <w:bCs/>
          <w:color w:val="auto"/>
          <w:sz w:val="24"/>
          <w:szCs w:val="24"/>
        </w:rPr>
        <w:t xml:space="preserve">-N、TP。</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常见问题与解决措施汇总表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835"/>
        <w:gridCol w:w="3933"/>
      </w:tblGrid>
      <w:tr>
        <w:trPr>
          <w:jc w:val="center"/>
          <w:trHeight w:val="397"/>
        </w:trPr>
        <w:tc>
          <w:tcPr>
            <w:tcW w:w="2518"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问题</w:t>
            </w:r>
            <w:r/>
          </w:p>
        </w:tc>
        <w:tc>
          <w:tcPr>
            <w:tcW w:w="2835"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原因</w:t>
            </w:r>
            <w:r/>
          </w:p>
        </w:tc>
        <w:tc>
          <w:tcPr>
            <w:tcW w:w="3933" w:type="dxa"/>
            <w:vAlign w:val="center"/>
            <w:textDirection w:val="lrTb"/>
            <w:noWrap w:val="false"/>
          </w:tcPr>
          <w:p>
            <w:pP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解决措施</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活性污泥呈灰黑色、污泥发生厌氧反应，污泥中出现硫细菌，出水水质恶化</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1)负荷量增高</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2)曝气不足</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3)工业污水的流入等</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1)控制负荷量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2)增大曝气量</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3)切断或控制污水的流入</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1、污泥上浮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2、在沉淀后的上清液中含有大量的悬浮微小絮体，出水透明度下降</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污泥解体；曝气过度；负荷下降，活性污泥自身氧化过度</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减少曝气量</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硝化效率下降</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入流污水碱度不足或呈酸性</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因曝气池供氧不足或系统排泥量太大</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适量投加石灰</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泥水界面不明显</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高浓度有机废水的流入，使微生物处于对数增长期；污泥形成的絮体性能较差</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降低负荷；增大回流量以提高曝气池中的MLSS，降低F/M值</w:t>
            </w:r>
            <w:r/>
          </w:p>
        </w:tc>
      </w:tr>
      <w:tr>
        <w:trPr>
          <w:jc w:val="center"/>
          <w:trHeight w:val="397"/>
        </w:trPr>
        <w:tc>
          <w:tcPr>
            <w:tcW w:w="251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污泥膨胀</w:t>
            </w:r>
            <w:r/>
          </w:p>
        </w:tc>
        <w:tc>
          <w:tcPr>
            <w:tcW w:w="2835"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1、丝状菌性膨胀：主要是由于丝状菌异常增殖而引起的，主要的丝状菌有：球衣菌属、贝氏硫细菌、以及正常活性污泥中的某些丝状菌如芽孢杆菌属等、某些霉菌</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2、高粘性污泥膨胀：低的MLSS，高的BOD负荷</w:t>
            </w:r>
            <w:r/>
          </w:p>
        </w:tc>
        <w:tc>
          <w:tcPr>
            <w:tcW w:w="3933"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1、杀灭丝状菌，如投加氯、臭氧、过氧化氢等的药剂；——加杀菌药剂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2、改善提高活性污泥的絮凝性，投加絮凝剂如：硫酸铝等；——加化学药剂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3、改善提高活性污泥的沉降性、密实性，投加粘土、消石灰等；——加化学药剂</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4、加大回流污泥量并在其回流前进行再生性曝气；——加强曝气</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5、考虑调节水温；水温&lt;15°C时易于发生高粘性膨胀；而丝状菌膨胀多发生在20°C以上；——加强曝气</w:t>
            </w:r>
            <w:r/>
          </w:p>
        </w:tc>
      </w:tr>
    </w:tbl>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膜清洗</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1、水反洗</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140325" cy="3136265"/>
                <wp:effectExtent l="0" t="0" r="317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2"/>
                        <a:stretch/>
                      </pic:blipFill>
                      <pic:spPr bwMode="auto">
                        <a:xfrm>
                          <a:off x="0" y="0"/>
                          <a:ext cx="5140325" cy="313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246.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水反洗</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当膜系统运行一段时间后，膜表面形成污染，此时需要进行反洗或CEB。</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反洗过程具体为：先关闭产水泵，再关闭产水阀，之后开启反洗阀，再开启反洗泵，以膜产水进行反洗。反洗过程中膜单元保持曝气状态。</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2、CEB反洗</w:t>
      </w:r>
      <w:r/>
    </w:p>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mc:AlternateContent>
          <mc:Choice Requires="wpg">
            <w:drawing>
              <wp:inline xmlns:wp="http://schemas.openxmlformats.org/drawingml/2006/wordprocessingDrawing" distT="0" distB="0" distL="0" distR="0">
                <wp:extent cx="5035550" cy="2733675"/>
                <wp:effectExtent l="0" t="0" r="635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3"/>
                        <a:stretch/>
                      </pic:blipFill>
                      <pic:spPr bwMode="auto">
                        <a:xfrm>
                          <a:off x="0" y="0"/>
                          <a:ext cx="5035550" cy="273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6.5pt;height:215.2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加药(以次氯酸钠为例)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(1)定期进行维护性加药反洗，通过化学药剂的杀菌、溶解、调节pH等作用，减缓膜表面的生物污染和化学污染，维持膜通量。</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(2)药剂选择</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维护性加药反洗所用药剂</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5"/>
        <w:gridCol w:w="4785"/>
      </w:tblGrid>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种类</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数值</w:t>
            </w:r>
            <w:r/>
          </w:p>
        </w:tc>
      </w:tr>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NaClO</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r>
        <w:trPr>
          <w:jc w:val="center"/>
          <w:trHeight w:val="397"/>
        </w:trPr>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柠檬酸</w:t>
            </w:r>
            <w:r/>
          </w:p>
        </w:tc>
        <w:tc>
          <w:tcPr>
            <w:shd w:val="clear" w:color="auto" w:fill="ffffff"/>
            <w:tcW w:w="4785" w:type="dxa"/>
            <w:vAlign w:val="top"/>
            <w:textDirection w:val="lrTb"/>
            <w:noWrap w:val="false"/>
          </w:tcPr>
          <w:p>
            <w:pPr>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100~500mg/L</w:t>
            </w:r>
            <w:r/>
          </w:p>
        </w:tc>
      </w:tr>
    </w:tbl>
    <w:p>
      <w:pPr>
        <w:jc w:val="left"/>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注：可根据污水的水质情况，调整药剂种类和药液浓度。</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3、恢复性化学清洗</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当系统监测数据出现以下任意一种情形时，需要进行恢复性化学清洗：</w:t>
      </w:r>
      <w:r/>
    </w:p>
    <w:p>
      <w:pPr>
        <w:ind w:firstLine="482"/>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①</w:t>
      </w:r>
      <w:r>
        <w:rPr>
          <w:rFonts w:hint="eastAsia" w:ascii="仿宋" w:hAnsi="仿宋" w:eastAsia="仿宋" w:cs="仿宋"/>
          <w:color w:val="auto"/>
          <w:sz w:val="24"/>
          <w:szCs w:val="24"/>
        </w:rPr>
        <w:t xml:space="preserve">跨膜压差上升超过30kpa；</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②经过三次维护性清洗，压力上升周期短于维护性清洗周期；</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③距上次化学清洗超过3个月</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恢复性化学反洗通过加药反洗的方式去除膜表面的污染物，恢复性浸渍清洗是将膜组件整体浸泡在药品清洗池内，清除膜表面的污染物，其目的是使膜间压差恢复到初始状态。恢复性浸渍清洗比恢复性化学反洗清洗效果好。</w:t>
      </w:r>
      <w:r/>
    </w:p>
    <w:p>
      <w:pPr>
        <w:jc w:val="left"/>
        <w:spacing w:line="360" w:lineRule="auto"/>
        <w:rPr>
          <w:rFonts w:hint="eastAsia" w:ascii="仿宋" w:hAnsi="仿宋" w:eastAsia="仿宋" w:cs="仿宋"/>
          <w:b/>
          <w:bCs/>
          <w:color w:val="auto"/>
          <w:sz w:val="24"/>
          <w:szCs w:val="24"/>
          <w:lang w:eastAsia="zh-CN"/>
        </w:rPr>
      </w:pPr>
      <w:r/>
      <w:bookmarkStart w:id="229" w:name="_Toc24999985"/>
      <w:r/>
      <w:r/>
    </w:p>
    <w:p>
      <w:pPr>
        <w:ind w:left="0" w:firstLine="482"/>
        <w:jc w:val="left"/>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四、一体化</w:t>
      </w:r>
      <w:r>
        <w:rPr>
          <w:rFonts w:hint="eastAsia" w:ascii="仿宋" w:hAnsi="仿宋" w:eastAsia="仿宋" w:cs="仿宋"/>
          <w:b/>
          <w:bCs/>
          <w:color w:val="auto"/>
          <w:sz w:val="24"/>
          <w:szCs w:val="24"/>
        </w:rPr>
        <w:t xml:space="preserve">泵站的维护</w:t>
      </w:r>
      <w:bookmarkEnd w:id="229"/>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一般规定</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泵站的运行维护应符合现行国家标准GB14554和GB3096的规定。</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水泵维修后，其流量不应低于原设计流量的90%；机组效率不应低于原机组效率的90%；汛期雨水泵站的机组可运行率不应低于98%。</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排水泵站内的水位仪、流量计、开车计时器每年应校验一次。当仪器仪表失灵时，应立即修复或更换。</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泵站机、电、仪表监控设备应配备易损零配件。</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泵站机电设备、设施、管配件外表宜每二年进行一次除锈、防腐蚀处理。</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泵站内设置的易燃、易爆、有毒气体监测装置，安全阀、起重设备、压力容器等均为强制性检验设备，每年必须按规定检验，合格后方可使用。</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检查维护水泵、闸阀门、管道、泵房及附属设施，应经常进行清洁保养，出现损坏应立即修复，宜每隔3年刷新一次。</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防毒用具使用前必须校验，合格后方可使用。</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排水泵站的围墙、道路、泵房、及附属设施，应经常进行清洁保养，出现损坏应立即修复，每隔3年应刷新一次。</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每年汛期前，应对泵站的自身防汛设施，进行检查与维护。</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泵站应有完整的运行与维护记录，宜采用电子信息化管理。</w:t>
      </w:r>
      <w:r/>
    </w:p>
    <w:p>
      <w:pPr>
        <w:pStyle w:val="822"/>
        <w:numPr>
          <w:ilvl w:val="0"/>
          <w:numId w:val="11"/>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排水泵站应经常做好卫生、绿化与除害灭虫工作。</w:t>
      </w:r>
      <w:r/>
    </w:p>
    <w:p>
      <w:pPr>
        <w:pStyle w:val="822"/>
        <w:numPr>
          <w:ilvl w:val="0"/>
          <w:numId w:val="5"/>
        </w:numPr>
        <w:ind w:left="0" w:firstLine="480"/>
        <w:keepLines w:val="0"/>
        <w:keepNext w:val="0"/>
        <w:pageBreakBefore w:val="0"/>
        <w:spacing w:line="360" w:lineRule="auto"/>
        <w:widowControl w:val="off"/>
        <w:rPr>
          <w:rFonts w:hint="eastAsia" w:ascii="仿宋" w:hAnsi="仿宋" w:eastAsia="仿宋" w:cs="仿宋"/>
          <w:color w:val="auto"/>
          <w:sz w:val="24"/>
          <w:szCs w:val="24"/>
        </w:rPr>
        <w:outlineLvl w:val="9"/>
      </w:pPr>
      <w:r/>
      <w:bookmarkStart w:id="230" w:name="_Toc291576436"/>
      <w:r>
        <w:rPr>
          <w:rFonts w:hint="eastAsia" w:ascii="仿宋" w:hAnsi="仿宋" w:eastAsia="仿宋" w:cs="仿宋"/>
          <w:color w:val="auto"/>
          <w:sz w:val="24"/>
          <w:szCs w:val="24"/>
        </w:rPr>
        <w:t xml:space="preserve">水泵机组的日常巡检与</w:t>
      </w:r>
      <w:bookmarkEnd w:id="230"/>
      <w:r>
        <w:rPr>
          <w:rFonts w:hint="eastAsia" w:ascii="仿宋" w:hAnsi="仿宋" w:eastAsia="仿宋" w:cs="仿宋"/>
          <w:color w:val="auto"/>
          <w:sz w:val="24"/>
          <w:szCs w:val="24"/>
        </w:rPr>
        <w:t xml:space="preserve">保养</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（1）水泵机组运行前的巡视检查</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水泵机组运行前的巡视检查应符合下列规定：</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电动机的绝缘电阻应符合下表中规定（如产品说明书列明标准的，以厂家规定为准）；</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水泵机组的轴承应处于良好润滑状态；</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泵体轴封机构的密封性能应保持良好；</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联轴器封向间隙和同轴度应符合产品技术规定；</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盘车时，水泵叶轮、电机转子不得有碰擦和轻重不匀现象；</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涡壳式水泵，应将泵壳内的空气排尽；</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检查冷却水、润滑水和抽真空系统；</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集水池水位应满足启动泵要求；</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进出水管路应畅通，阀门开启应灵活；</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仪器仪表显示应正常；</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电气连接必须可靠，电气桩头接触面无烧伤，接地装置有效；</w:t>
      </w:r>
      <w:r/>
    </w:p>
    <w:p>
      <w:pPr>
        <w:pStyle w:val="822"/>
        <w:numPr>
          <w:ilvl w:val="0"/>
          <w:numId w:val="12"/>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通电后无故障报警显示。</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（2）水泵机组运行中的巡视检查</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干式泵房水泵机组运行中的巡视检查应符合下列规定：</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水泵机组转向正确、运转平稳、无异常振动和噪声，无异常的焦味；</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水泵机组应在规定的电压、电流范围内运行；</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轴承润滑状态应保持良好；</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水泵机组的轴承温度应保持正常。滚动轴承温度不应超过80℃，滑动轴承温度不应超过60℃，温升不应大于35℃；</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轴封机构不应过热，渗漏不得滴水成线；</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水泵机座螺栓应紧固，泵体连接管道不得发生渗漏；</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进、出水管阀门是否正常开启、无振动和异响；</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集水池水位应符合水泵安全运行的要求；</w:t>
      </w:r>
      <w:r/>
    </w:p>
    <w:p>
      <w:pPr>
        <w:pStyle w:val="822"/>
        <w:numPr>
          <w:ilvl w:val="0"/>
          <w:numId w:val="13"/>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格栅前后的水位差应不超过200mm。</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）潜水泵（离心泵、混流泵、轴流泵）运行中的巡视检查应符合下列规定：</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水泵机组运转平稳、无异常振动和噪声；</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水泵机组应在规定的电压、电流、转速、流量、扬程范围内运行；</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无故障报警（过载、电机过热、轴承过热、油室进水、电机进水）；</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检查集水池液位计读数与集水池实际水位是否一致，水泵应保持一定的淹没深度；</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检查进水闸门是否保持全开，进水是否顺畅；</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进出水管阀门是否正常开启，无异常振动；</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水泵出水管道不得有振动和渗漏；</w:t>
      </w:r>
      <w:r/>
    </w:p>
    <w:p>
      <w:pPr>
        <w:pStyle w:val="822"/>
        <w:numPr>
          <w:ilvl w:val="0"/>
          <w:numId w:val="14"/>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格栅前后的水位差应不超过200mm。</w:t>
      </w:r>
      <w:r/>
    </w:p>
    <w:p>
      <w:p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）水泵停止运行的巡视检查</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水泵停止运行应符合下列规定：</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轴封机构不得漏水；</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止回阀或出水拍门关闭时的响声应正常，柔性止回阀闭合应有效；</w:t>
      </w:r>
      <w:r/>
    </w:p>
    <w:p>
      <w:pPr>
        <w:pStyle w:val="822"/>
        <w:numPr>
          <w:ilvl w:val="0"/>
          <w:numId w:val="15"/>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观察泵轴惰走时间及停止状态，应正常合适。</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1" w:name="_Toc291576438"/>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）各种辅助设备的清扫、检查与维护</w:t>
      </w:r>
      <w:bookmarkEnd w:id="231"/>
      <w:r/>
      <w:r/>
    </w:p>
    <w:p>
      <w:pPr>
        <w:numPr>
          <w:ilvl w:val="0"/>
          <w:numId w:val="16"/>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2" w:name="_Toc106702710"/>
      <w:r/>
      <w:bookmarkStart w:id="233" w:name="_Toc100289333"/>
      <w:r>
        <w:rPr>
          <w:rFonts w:hint="eastAsia" w:ascii="仿宋" w:hAnsi="仿宋" w:eastAsia="仿宋" w:cs="仿宋"/>
          <w:color w:val="auto"/>
          <w:sz w:val="24"/>
          <w:szCs w:val="24"/>
        </w:rPr>
        <w:t xml:space="preserve">电动葫芦的日常及使用前</w:t>
      </w:r>
      <w:bookmarkEnd w:id="232"/>
      <w:r/>
      <w:bookmarkEnd w:id="233"/>
      <w:r>
        <w:rPr>
          <w:rFonts w:hint="eastAsia" w:ascii="仿宋" w:hAnsi="仿宋" w:eastAsia="仿宋" w:cs="仿宋"/>
          <w:color w:val="auto"/>
          <w:sz w:val="24"/>
          <w:szCs w:val="24"/>
        </w:rPr>
        <w:t xml:space="preserve">检查与维护</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电控箱及手操作控制器应可靠。</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钢丝绳索具应完好。</w:t>
      </w:r>
      <w:r/>
    </w:p>
    <w:p>
      <w:pPr>
        <w:pStyle w:val="822"/>
        <w:numPr>
          <w:ilvl w:val="0"/>
          <w:numId w:val="0"/>
        </w:numPr>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升、降限位，升、降行走机构运动应灵活、稳定，断电制动可靠。</w:t>
      </w:r>
      <w:r/>
    </w:p>
    <w:p>
      <w:pPr>
        <w:numPr>
          <w:ilvl w:val="0"/>
          <w:numId w:val="16"/>
        </w:numPr>
        <w:ind w:left="0" w:firstLine="480"/>
        <w:keepLines w:val="0"/>
        <w:keepNext w:val="0"/>
        <w:pageBreakBefore w:val="0"/>
        <w:spacing w:line="360" w:lineRule="auto"/>
        <w:widowControl w:val="off"/>
        <w:rPr>
          <w:rFonts w:hint="eastAsia" w:ascii="仿宋" w:hAnsi="仿宋" w:eastAsia="仿宋" w:cs="仿宋"/>
          <w:color w:val="auto"/>
          <w:sz w:val="24"/>
          <w:szCs w:val="24"/>
        </w:rPr>
      </w:pPr>
      <w:r/>
      <w:bookmarkStart w:id="234" w:name="_Toc100289339"/>
      <w:r>
        <w:rPr>
          <w:rFonts w:hint="eastAsia" w:ascii="仿宋" w:hAnsi="仿宋" w:eastAsia="仿宋" w:cs="仿宋"/>
          <w:color w:val="auto"/>
          <w:sz w:val="24"/>
          <w:szCs w:val="24"/>
        </w:rPr>
        <w:t xml:space="preserve">通风机</w:t>
      </w:r>
      <w:bookmarkEnd w:id="234"/>
      <w:r>
        <w:rPr>
          <w:rFonts w:hint="eastAsia" w:ascii="仿宋" w:hAnsi="仿宋" w:eastAsia="仿宋" w:cs="仿宋"/>
          <w:color w:val="auto"/>
          <w:sz w:val="24"/>
          <w:szCs w:val="24"/>
        </w:rPr>
        <w:t xml:space="preserve">的日常检查与维护</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防止进、出风倒向。</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检查通风机的运行工况。</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通风管密封完好，无异常。</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出现异声应停机检查。</w:t>
      </w:r>
      <w:r/>
    </w:p>
    <w:p>
      <w:pPr>
        <w:numPr>
          <w:ilvl w:val="0"/>
          <w:numId w:val="16"/>
        </w:num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备用水泵机组日常检查与维护</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水泵机组应放置在干燥、通风的环境内。</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电动机绝缘应保持良好。</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内燃机工况应保持良好。</w:t>
      </w:r>
      <w:r/>
    </w:p>
    <w:p>
      <w:pPr>
        <w:ind w:left="0" w:firstLine="480"/>
        <w:keepLines w:val="0"/>
        <w:keepNext w:val="0"/>
        <w:pageBreakBefore w:val="0"/>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水泵机组每月应试车一次。</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cs/>
          <w:lang w:val="en-US" w:eastAsia="zh-CN" w:bidi="ar-SA"/>
        </w:rPr>
      </w:pPr>
      <w:r>
        <w:rPr>
          <w:rFonts w:hint="eastAsia" w:ascii="仿宋" w:hAnsi="仿宋" w:eastAsia="仿宋" w:cs="仿宋"/>
          <w:bCs/>
          <w:color w:val="auto"/>
          <w:sz w:val="24"/>
          <w:szCs w:val="24"/>
        </w:rPr>
        <w:t xml:space="preserve">水泵机组每年应进行一次抽水试车，时间不少于15分钟。</w:t>
      </w:r>
      <w:r/>
    </w:p>
    <w:p>
      <w:pPr>
        <w:pStyle w:val="739"/>
        <w:numPr>
          <w:ilvl w:val="0"/>
          <w:numId w:val="17"/>
        </w:numPr>
        <w:ind w:left="0" w:right="0"/>
        <w:keepLines w:val="0"/>
        <w:keepNext w:val="0"/>
        <w:pageBreakBefore w:val="0"/>
        <w:spacing w:line="360" w:lineRule="auto"/>
        <w:rPr>
          <w:rFonts w:hint="eastAsia" w:ascii="仿宋" w:hAnsi="仿宋" w:eastAsia="仿宋" w:cs="仿宋"/>
          <w:b/>
          <w:bCs w:val="0"/>
          <w:color w:val="auto"/>
          <w:spacing w:val="-4"/>
          <w:sz w:val="24"/>
          <w:szCs w:val="24"/>
          <w:highlight w:val="none"/>
          <w:lang w:val="en-US" w:eastAsia="zh-CN"/>
        </w:rPr>
      </w:pPr>
      <w:r>
        <w:rPr>
          <w:rFonts w:hint="eastAsia" w:ascii="仿宋" w:hAnsi="仿宋" w:eastAsia="仿宋" w:cs="仿宋"/>
          <w:b/>
          <w:bCs w:val="0"/>
          <w:color w:val="auto"/>
          <w:spacing w:val="-4"/>
          <w:sz w:val="24"/>
          <w:szCs w:val="24"/>
          <w:highlight w:val="none"/>
          <w:lang w:val="en-US" w:eastAsia="zh-CN"/>
        </w:rPr>
        <w:t xml:space="preserve">姚桥镇农村污水处理设施运行管理考核评分表</w:t>
      </w:r>
      <w:r/>
    </w:p>
    <w:tbl>
      <w:tblPr>
        <w:tblStyle w:val="7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43"/>
        <w:gridCol w:w="550"/>
        <w:gridCol w:w="611"/>
        <w:gridCol w:w="5193"/>
        <w:gridCol w:w="866"/>
        <w:gridCol w:w="573"/>
      </w:tblGrid>
      <w:tr>
        <w:trPr>
          <w:jc w:val="center"/>
          <w:trHeight w:val="570"/>
        </w:trPr>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考核项目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tc>
      </w:tr>
      <w:tr>
        <w:trPr>
          <w:jc w:val="center"/>
          <w:trHeight w:val="565"/>
        </w:trPr>
        <w:tc>
          <w:tcPr>
            <w:tcBorders>
              <w:top w:val="single" w:color="auto" w:sz="4" w:space="0"/>
              <w:left w:val="single" w:color="auto" w:sz="4" w:space="0"/>
              <w:right w:val="single" w:color="auto" w:sz="4" w:space="0"/>
            </w:tcBorders>
            <w:tcW w:w="688" w:type="pct"/>
            <w:vAlign w:val="center"/>
            <w:vMerge w:val="restart"/>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1、项目运营管理（11分）</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有完善的组织机构文件及人员配置文件，建立各职能部门职贵。如有缺失本项不得分。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67"/>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有完善的管理制度，主要包括安全管理制度、行政管理制度、财务管理制度、奖惩制度、维修岗位责任制度、化验分析岗位责任制度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巡检管理制度等。缺一项扣0.5分，扣完为止。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4"/>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运营台账记录完整，包括例行巡视记录、管网及设施维护记录、进出水水质记录等。缺少一项扣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分，某一项记录不完整或不规范扣0.5分，扣完为止。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01"/>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center"/>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每月例行巡检应覆盖所有</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未例行巡检且无正当原因的，每发现一起扣1分；巡检中发现问题未有跟踪维修记录的，发现一起扣1分；设备不能正常运行且运营单位未有记录，发现一起扣1分；乙方无法完成的维修项目应及时上报相关部门并做好记录，未上报记录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349"/>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每月月底前及时提交运营报表至考核主体，包括水量统计分析、进出水水质报告、设施设备维修更换记录、有效信访件处理闭合情况、迎检情况等，内容应真买完整。超过规定期限3天仍未提交报表一次扣0.5分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未报送本项不得分。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运维管理及作业人员配置完备，工种齐全，人数充足，持证上岗。管网和设施巡查看护人员配置不得低于8人，并相应配置机电工、化验员、安全员、资料员等，缺失l人扣0.2分，扣完为止。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应配备维护作业设备：有毒有害气体检测仪、管递疏通机、吸粪车、封堵气囊、防毒面具、污泥处理和运输设备等专用合适的运维车辆、器具。缺一项扣0.2分，扣完为止。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46"/>
        </w:trPr>
        <w:tc>
          <w:tcPr>
            <w:tcBorders>
              <w:left w:val="single" w:color="auto" w:sz="4" w:space="0"/>
              <w:right w:val="single" w:color="auto" w:sz="4" w:space="0"/>
            </w:tcBorders>
            <w:tcW w:w="688" w:type="pct"/>
            <w:vAlign w:val="center"/>
            <w:vMerge w:val="restart"/>
            <w:textDirection w:val="lrTb"/>
            <w:noWrap w:val="false"/>
          </w:tcPr>
          <w:p>
            <w:pPr>
              <w:pStyle w:val="1066"/>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2、安全管理(10</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firstLine="240"/>
              <w:jc w:val="both"/>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相应安全管理机构、安全规章制度和安全记录，有完善的安全操作规程，包括各工程操作规程、各种设备操作规程，各种危险作业操作规程等。所有机构制度齐全，得2分，如有缺失缺少1项扣除0.5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9"/>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有针对农村生活污水的应急方案并定期组织演练，得1分，如有缺失本项不得分。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2"/>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岗位人员有必要的安全保护措施，消防设备配备到位，有安全警示牌，有毒有害场所有安全防护仪器和仪表。危险品、易燃、易爆品按规管理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0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无安全事故，若本月内发生与生活污水项目相关的安全事故，如行人摔倒、井盖缺失等，发生一次扣1分，扣完为止。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3、管网运行(20</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出现雨污合流、有渗漏现象应及时处理，季末随机挑选10个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无垃圾及其他化学物质进入管网；每季度定期开展管网维养工作，对管网堵塞、井盖损坏等情况及时进行处理。季度末随机挑选10个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污水管无堵塞、变形或沉陷，无脱节、断裂、渗漏；检查井无沉降，井盖完好。季度末随机挑选10个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抽查中发现一起不符合要求扣0.5分。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6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进行抽查，抽查中发现户井、检查井有污水恶臭外溢污水甚至漫溢至鱼塘等情况，每出现一个不合格点扣0.5分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w:t>
            </w:r>
            <w:r>
              <w:rPr>
                <w:rFonts w:hint="eastAsia" w:ascii="仿宋" w:hAnsi="仿宋" w:eastAsia="仿宋" w:cs="仿宋"/>
                <w:color w:val="auto"/>
                <w:sz w:val="24"/>
                <w:szCs w:val="24"/>
                <w:highlight w:val="none"/>
                <w:lang w:val="en-US" w:eastAsia="zh-CN"/>
              </w:rPr>
              <w:t xml:space="preserve">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top"/>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4、设施运行(29</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设施正常运行率。根据数据计算设施正常运行率，设施正常运行率在90％以下的，每降低1个百分点扣1分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季度末随机挑选10个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设备不能正常运行或出水量异常等情况，发现一起扣2分；未及时维修的发现一起扣2分；设施锈蚀一起扣0.5分；缺盖板一起扣0.5分；设施现场环境脏乱、绿化不达标一起扣0.5分，现场无标志牌或者标志牉损坏，发现一起扣0.5分，现场无l个月内巡检记录，发现一起扣2分，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31"/>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季度末随机挑选</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村</w:t>
            </w:r>
            <w:r>
              <w:rPr>
                <w:rFonts w:hint="eastAsia" w:ascii="仿宋" w:hAnsi="仿宋" w:eastAsia="仿宋" w:cs="仿宋"/>
                <w:color w:val="auto"/>
                <w:sz w:val="24"/>
                <w:szCs w:val="24"/>
                <w:highlight w:val="none"/>
              </w:rPr>
              <w:t xml:space="preserve">进行抽查，现场抽查过程中，发现处理设施有恶臭情况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每出现一个扣0.5分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61"/>
        </w:trPr>
        <w:tc>
          <w:tcPr>
            <w:tcBorders>
              <w:left w:val="single" w:color="auto" w:sz="4" w:space="0"/>
              <w:right w:val="single" w:color="auto" w:sz="4" w:space="0"/>
            </w:tcBorders>
            <w:tcW w:w="688" w:type="pct"/>
            <w:vAlign w:val="top"/>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污泥专业化处理，与污水处理厂签订污泥处置协议，检查运维责任单位与污水处理厂污泥处置的合同、支付记录、处置记录等有关台账资料。</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restart"/>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5、水质管理(25</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采样覆盖率：运维责任单位每季度对污水处理设施的进出水水质进行采样检测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（监测指标为COD、氨氮、总磷、总氮），每缺一个设施点扣0.5分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96"/>
        </w:trPr>
        <w:tc>
          <w:tcPr>
            <w:tcBorders>
              <w:left w:val="single" w:color="auto" w:sz="4" w:space="0"/>
              <w:right w:val="single" w:color="auto" w:sz="4" w:space="0"/>
            </w:tcBorders>
            <w:tcW w:w="688" w:type="pct"/>
            <w:vAlign w:val="center"/>
            <w:vMerge w:val="continue"/>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水质达标率：每季度对各村进出水水质进行检测，根据各水质监测指标达标统计数据计算得分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达标率95%（含）以上不扣分，每个项目每降低l个百分点扣2分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6"/>
        </w:trPr>
        <w:tc>
          <w:tcPr>
            <w:tcBorders>
              <w:left w:val="single" w:color="auto" w:sz="4" w:space="0"/>
              <w:right w:val="single" w:color="auto" w:sz="4" w:space="0"/>
            </w:tcBorders>
            <w:tcW w:w="68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6、群众意见(5</w:t>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4"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投诉处理情况。对于群众的有效投诉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如运营单位在接到投诉后</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小时内未能解决问题且未上报行业主管部门的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每发生一起扣1分。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6"/>
        </w:trPr>
        <w:tc>
          <w:tcPr>
            <w:gridSpan w:val="2"/>
            <w:tcBorders>
              <w:left w:val="single" w:color="auto" w:sz="4" w:space="0"/>
              <w:right w:val="single" w:color="auto" w:sz="4" w:space="0"/>
            </w:tcBorders>
            <w:tcW w:w="99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99"/>
        </w:trPr>
        <w:tc>
          <w:tcPr>
            <w:gridSpan w:val="2"/>
            <w:tcBorders>
              <w:left w:val="single" w:color="auto" w:sz="4" w:space="0"/>
              <w:right w:val="single" w:color="auto" w:sz="4" w:space="0"/>
            </w:tcBorders>
            <w:tcW w:w="992"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附加分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运维工作得到上级部门表彰表扬的，每</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次加1分，季度上限为3分。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11"/>
        </w:trPr>
        <w:tc>
          <w:tcPr>
            <w:gridSpan w:val="3"/>
            <w:tcBorders>
              <w:left w:val="single" w:color="auto" w:sz="4" w:space="0"/>
              <w:bottom w:val="single" w:color="auto" w:sz="4" w:space="0"/>
              <w:right w:val="single" w:color="auto" w:sz="4" w:space="0"/>
            </w:tcBorders>
            <w:tcW w:w="1330"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考核单位签章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72" w:type="pct"/>
            <w:vAlign w:val="top"/>
            <w:textDirection w:val="lrTb"/>
            <w:noWrap w:val="false"/>
          </w:tcPr>
          <w:p>
            <w:pPr>
              <w:ind w:left="0"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9" w:type="pct"/>
            <w:vAlign w:val="center"/>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7" w:type="pct"/>
            <w:vAlign w:val="top"/>
            <w:textDirection w:val="lrTb"/>
            <w:noWrap w:val="false"/>
          </w:tcPr>
          <w:p>
            <w:pPr>
              <w:ind w:left="0" w:right="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0" w:right="0"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考核付费规定：</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(1)考核得分在90（含）分及以上为优秀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全额核拨当年运维服务费</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(2)考核得分在80-90分（包括80分）之间为良好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lang w:val="en-US" w:eastAsia="zh-CN"/>
        </w:rPr>
        <w:t xml:space="preserve">90</w:t>
      </w:r>
      <w:r>
        <w:rPr>
          <w:rFonts w:hint="eastAsia" w:ascii="仿宋" w:hAnsi="仿宋" w:eastAsia="仿宋" w:cs="仿宋"/>
          <w:color w:val="auto"/>
          <w:sz w:val="24"/>
          <w:szCs w:val="24"/>
          <w:highlight w:val="none"/>
        </w:rPr>
        <w:t xml:space="preserve">分比较每低一分扣当年运维服务费的1%</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(3)甲方对乙方因运维管理不当，受到群众举报、上级领导点名批评、媒体曝光的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视情况扣除一定的运维经费。其中群众举报经查实的，每次扣2000元。上级领导点名批评每次扣5000元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情节严重的扣10000元。新闻媒体曝光后经查实的，每次扣10000元。</w:t>
      </w:r>
      <w:r/>
    </w:p>
    <w:p>
      <w:pPr>
        <w:pStyle w:val="739"/>
        <w:numPr>
          <w:ilvl w:val="0"/>
          <w:numId w:val="9"/>
        </w:numPr>
        <w:ind w:left="0" w:right="0" w:firstLine="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人员专业技能能力要求：</w:t>
      </w:r>
      <w:r/>
    </w:p>
    <w:p>
      <w:pPr>
        <w:pStyle w:val="739"/>
        <w:numPr>
          <w:ilvl w:val="0"/>
          <w:numId w:val="0"/>
        </w:numPr>
        <w:ind w:righ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需配备一定数量的污废水处理人员、水质检验员、设施养护员及安全人员。具体要求如下：</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具备污水处理的相关知识</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污水处理是依靠物理、化学及生物学的原理来完成的，要利用多种机械、设备与自控装置，还涉及各种测试手段，这就要求所有运行管理人员除了具有一定的文化程度外，在物理、化学及微生物学方面的知识应具有更高的要求，也包括机械及电方面的知识。</w:t>
      </w:r>
      <w:r/>
    </w:p>
    <w:p>
      <w:pPr>
        <w:pStyle w:val="1056"/>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（2）熟悉污水处理系统</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要做好</w:t>
      </w:r>
      <w:r>
        <w:rPr>
          <w:rFonts w:hint="eastAsia" w:ascii="仿宋" w:hAnsi="仿宋" w:eastAsia="仿宋" w:cs="仿宋"/>
          <w:bCs/>
          <w:color w:val="auto"/>
          <w:sz w:val="24"/>
          <w:szCs w:val="24"/>
          <w:highlight w:val="none"/>
        </w:rPr>
        <w:t xml:space="preserve">主要设备的运行维护</w:t>
      </w:r>
      <w:r>
        <w:rPr>
          <w:rFonts w:hint="eastAsia" w:ascii="仿宋" w:hAnsi="仿宋" w:eastAsia="仿宋" w:cs="仿宋"/>
          <w:bCs/>
          <w:color w:val="auto"/>
          <w:sz w:val="24"/>
          <w:szCs w:val="24"/>
          <w:highlight w:val="none"/>
          <w:lang w:val="en-US" w:eastAsia="zh-CN"/>
        </w:rPr>
        <w:t xml:space="preserve">工作</w:t>
      </w:r>
      <w:r>
        <w:rPr>
          <w:rFonts w:hint="eastAsia" w:ascii="仿宋" w:hAnsi="仿宋" w:eastAsia="仿宋" w:cs="仿宋"/>
          <w:bCs/>
          <w:color w:val="auto"/>
          <w:sz w:val="24"/>
          <w:szCs w:val="24"/>
          <w:highlight w:val="none"/>
        </w:rPr>
        <w:t xml:space="preserve">，首先要熟悉设备。仔细地阅读产品的出厂说明书是第一步，一般来</w:t>
      </w:r>
      <w:r>
        <w:rPr>
          <w:rFonts w:hint="eastAsia" w:ascii="仿宋" w:hAnsi="仿宋" w:eastAsia="仿宋" w:cs="仿宋"/>
          <w:bCs/>
          <w:color w:val="auto"/>
          <w:sz w:val="24"/>
          <w:szCs w:val="24"/>
          <w:highlight w:val="none"/>
        </w:rPr>
        <w:t xml:space="preserve">说，说明书上都注明设备的品种、型号、规格及工作特点：操作要领、注意事项、安全规程及加油的部位、所加油脂的品种、每次换油的间隔等。有的说明书上还注明故障的原因及排除方法，维修时间应注意事项等。要对照设备逐项将说明书上的内容搞懂。有的设备说明书比较简单，操作人员可向设备管理技术人员及生产厂家的现场服务技术人员学习、咨询。应注意的一点是，设备生产厂家的产品说明书上很少介绍自己产品的缺点。然而每种产品都或多或少有其不足之处。操作人员可通过长期的操作、观察，积累一部分经验，逐步了解设备的缺点，并摸索出相应的解决措施。</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实现</w:t>
      </w:r>
      <w:r>
        <w:rPr>
          <w:rFonts w:hint="eastAsia" w:ascii="仿宋" w:hAnsi="仿宋" w:eastAsia="仿宋" w:cs="仿宋"/>
          <w:bCs/>
          <w:color w:val="auto"/>
          <w:sz w:val="24"/>
          <w:szCs w:val="24"/>
          <w:highlight w:val="none"/>
        </w:rPr>
        <w:t xml:space="preserve">设备运行方案的最佳调度</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任何一种机械设备及其零部件都有一定的运行寿命。在使设备在良好的工作状态下运行，保证其正常使用寿命的同时，在保证完成水处理任务的前提下，尽量减少设备的无效运转及低效运转，保证大部分设备的满负荷运行，也能起到延长设备实际寿命的作用。</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）保持设备良好的润滑状态</w:t>
      </w:r>
      <w:r/>
    </w:p>
    <w:p>
      <w:pPr>
        <w:pStyle w:val="1056"/>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要使设备保持长期、稳定、正常的运行，就要时刻保持各运转部位良好的润滑状态。润滑油脂除了使设备在运转中减少摩擦、磨损之外，还有防腐、防漏及降温等功能。一般设备在出厂之前就规定了其加油的部位、加油量、每次加换油脂间隔的时间以及在什么样的温度条件下加什么油脂。但各个设备工作条件不通，气候条件不同，因此还应由专业运维人员根据运行条件定出各个设备的加油规章。对购买来的油脂应贴上标签，分类保管，严防错用、污染、混合或进水。</w:t>
      </w:r>
      <w:r/>
    </w:p>
    <w:p>
      <w:pPr>
        <w:pStyle w:val="739"/>
        <w:ind w:left="0" w:right="0"/>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（三）其它</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rPr>
        <w:t xml:space="preserve">成交单位需自行勘察现场，熟悉</w:t>
      </w:r>
      <w:r>
        <w:rPr>
          <w:rFonts w:hint="eastAsia" w:ascii="仿宋" w:hAnsi="仿宋" w:eastAsia="仿宋" w:cs="仿宋"/>
          <w:color w:val="auto"/>
          <w:spacing w:val="-2"/>
          <w:sz w:val="24"/>
          <w:szCs w:val="24"/>
          <w:highlight w:val="none"/>
          <w:lang w:eastAsia="zh-CN"/>
        </w:rPr>
        <w:t xml:space="preserve">姚桥镇</w:t>
      </w:r>
      <w:r>
        <w:rPr>
          <w:rFonts w:hint="eastAsia" w:ascii="仿宋" w:hAnsi="仿宋" w:eastAsia="仿宋" w:cs="仿宋"/>
          <w:color w:val="auto"/>
          <w:spacing w:val="-2"/>
          <w:sz w:val="24"/>
          <w:szCs w:val="24"/>
          <w:highlight w:val="none"/>
        </w:rPr>
        <w:t xml:space="preserve">污水管道运行情况，并与</w:t>
      </w:r>
      <w:r>
        <w:rPr>
          <w:rFonts w:hint="eastAsia" w:ascii="仿宋" w:hAnsi="仿宋" w:eastAsia="仿宋" w:cs="仿宋"/>
          <w:color w:val="auto"/>
          <w:spacing w:val="-2"/>
          <w:sz w:val="24"/>
          <w:szCs w:val="24"/>
          <w:highlight w:val="none"/>
          <w:lang w:val="en-US" w:eastAsia="zh-CN"/>
        </w:rPr>
        <w:t xml:space="preserve">采购人</w:t>
      </w:r>
      <w:r>
        <w:rPr>
          <w:rFonts w:hint="eastAsia" w:ascii="仿宋" w:hAnsi="仿宋" w:eastAsia="仿宋" w:cs="仿宋"/>
          <w:color w:val="auto"/>
          <w:spacing w:val="-2"/>
          <w:sz w:val="24"/>
          <w:szCs w:val="24"/>
          <w:highlight w:val="none"/>
        </w:rPr>
        <w:t xml:space="preserve">交接相关工作及资料。</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rPr>
        <w:t xml:space="preserve">管道清淤所产生的淤泥需自行处理，并满足建设、环保等部门的处置要求。</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3、凡是因平时管网养护、维保不到位的，被镇江市、经开区督查部门通报的，每通报一次扣5分；被省级及以上督察部门通报的，每通报一次扣10分，平时巡查被网格员发现并通报的，每发现一次扣2分（15分扣完为止）。</w:t>
      </w:r>
      <w:r/>
    </w:p>
    <w:p>
      <w:pPr>
        <w:pStyle w:val="1067"/>
        <w:ind w:left="0" w:right="0"/>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5"/>
          <w:sz w:val="24"/>
          <w:szCs w:val="24"/>
          <w:highlight w:val="none"/>
        </w:rPr>
        <w:t xml:space="preserve">四、实施地点</w:t>
      </w:r>
      <w:r/>
    </w:p>
    <w:p>
      <w:pPr>
        <w:pStyle w:val="1067"/>
        <w:ind w:left="0" w:right="0" w:firstLine="472"/>
        <w:jc w:val="left"/>
        <w:keepLines w:val="0"/>
        <w:keepNext w:val="0"/>
        <w:pageBreakBefore w:val="0"/>
        <w:spacing w:line="360"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 xml:space="preserve">姚桥镇</w:t>
      </w:r>
      <w:r>
        <w:rPr>
          <w:rFonts w:hint="eastAsia" w:ascii="仿宋" w:hAnsi="仿宋" w:eastAsia="仿宋" w:cs="仿宋"/>
          <w:color w:val="auto"/>
          <w:spacing w:val="-2"/>
          <w:sz w:val="24"/>
          <w:szCs w:val="24"/>
          <w:highlight w:val="none"/>
        </w:rPr>
        <w:t xml:space="preserve">范围内。</w:t>
      </w:r>
      <w:r/>
    </w:p>
    <w:p>
      <w:pPr>
        <w:ind w:left="0" w:right="0"/>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 xml:space="preserve">五、质量保证及售后服务</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在委托维护期内，成交单位应自行承担费用、责任和风险，负责已建污水设施的运营和维护，使其处于良好的运营状况，保证在整个委托维护期内：</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1、保证处理的水质达到原设计标准，进水标准为一般性生活污水，出水水质符合原设计标准并达标排放。运行维护单位必须具备常规污水水质检测能力或提供有资质单位出具的检测报告。</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（含）至100 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（不含）的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每半年至少监测</w:t>
      </w:r>
      <w:r>
        <w:rPr>
          <w:rFonts w:hint="eastAsia" w:ascii="仿宋" w:hAnsi="仿宋" w:eastAsia="仿宋" w:cs="仿宋"/>
          <w:color w:val="auto"/>
          <w:sz w:val="24"/>
          <w:szCs w:val="24"/>
          <w:highlight w:val="none"/>
          <w:lang w:val="en-US" w:eastAsia="zh-CN"/>
        </w:rPr>
        <w:t xml:space="preserve">1次，全年至少监测2次</w:t>
      </w:r>
      <w:r>
        <w:rPr>
          <w:rFonts w:hint="eastAsia" w:ascii="仿宋" w:hAnsi="仿宋" w:eastAsia="仿宋" w:cs="仿宋"/>
          <w:color w:val="auto"/>
          <w:sz w:val="24"/>
          <w:szCs w:val="24"/>
          <w:highlight w:val="none"/>
        </w:rPr>
        <w:t xml:space="preserve">；设计日处理能力＜20m</w:t>
      </w:r>
      <w:r>
        <w:rPr>
          <w:rFonts w:hint="eastAsia" w:ascii="仿宋" w:hAnsi="仿宋" w:eastAsia="仿宋" w:cs="仿宋"/>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污水处理设施</w:t>
      </w:r>
      <w:r>
        <w:rPr>
          <w:rFonts w:hint="eastAsia" w:ascii="仿宋" w:hAnsi="仿宋" w:eastAsia="仿宋" w:cs="仿宋"/>
          <w:color w:val="auto"/>
          <w:sz w:val="24"/>
          <w:szCs w:val="24"/>
          <w:highlight w:val="none"/>
        </w:rPr>
        <w:t xml:space="preserve">，每年的抽检率应不小于20%。</w:t>
      </w:r>
      <w:r>
        <w:rPr>
          <w:rFonts w:hint="eastAsia" w:ascii="仿宋" w:hAnsi="仿宋" w:eastAsia="仿宋" w:cs="仿宋"/>
          <w:color w:val="auto"/>
          <w:sz w:val="24"/>
          <w:szCs w:val="24"/>
          <w:highlight w:val="none"/>
          <w:lang w:val="en-US" w:eastAsia="zh-CN"/>
        </w:rPr>
        <w:t xml:space="preserve">且必须由有资质单位取样并出具检测报告</w:t>
      </w:r>
      <w:r>
        <w:rPr>
          <w:rFonts w:hint="eastAsia" w:ascii="仿宋" w:hAnsi="仿宋" w:eastAsia="仿宋" w:cs="仿宋"/>
          <w:color w:val="auto"/>
          <w:sz w:val="24"/>
          <w:szCs w:val="24"/>
          <w:highlight w:val="none"/>
          <w:lang w:val="en-US"/>
        </w:rPr>
        <w:t xml:space="preserve">。日常监管中，若发现污水直排，在每半年应付款中每次扣2万元。若检测合格，检测费用由</w:t>
      </w:r>
      <w:r>
        <w:rPr>
          <w:rFonts w:hint="eastAsia" w:ascii="仿宋" w:hAnsi="仿宋" w:eastAsia="仿宋" w:cs="仿宋"/>
          <w:color w:val="auto"/>
          <w:sz w:val="24"/>
          <w:szCs w:val="24"/>
          <w:highlight w:val="none"/>
          <w:lang w:val="en-US" w:eastAsia="zh-CN"/>
        </w:rPr>
        <w:t xml:space="preserve">监管部门</w:t>
      </w:r>
      <w:r>
        <w:rPr>
          <w:rFonts w:hint="eastAsia" w:ascii="仿宋" w:hAnsi="仿宋" w:eastAsia="仿宋" w:cs="仿宋"/>
          <w:color w:val="auto"/>
          <w:sz w:val="24"/>
          <w:szCs w:val="24"/>
          <w:highlight w:val="none"/>
          <w:lang w:val="en-US"/>
        </w:rPr>
        <w:t xml:space="preserve">承担。检测不合格，每次超标扣除运维费用1万元</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rPr>
        <w:t xml:space="preserve">并承担二次检测费用。</w:t>
      </w:r>
      <w:r>
        <w:rPr>
          <w:rFonts w:hint="eastAsia" w:ascii="仿宋" w:hAnsi="仿宋" w:eastAsia="仿宋" w:cs="仿宋"/>
          <w:bCs/>
          <w:color w:val="auto"/>
          <w:spacing w:val="1"/>
          <w:sz w:val="24"/>
          <w:szCs w:val="24"/>
          <w:highlight w:val="none"/>
          <w:lang w:val="en-US" w:eastAsia="zh-CN" w:bidi="ar-SA"/>
        </w:rPr>
        <w:t xml:space="preserve">日常监管中，若发现污水直排，在每半年应付款中每次扣2万元。若检测合格，检测费用由生态环境部门承担。检测不合格，每次超标扣除运维费用1万元，并承担二次检测费用。。</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2、按照相关约定的服务标准对污水管网和泵站设施等进行运行维护；</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3、在运营管理管网设施过程中，使用第三方的土地或其他必要设施设备的，引起的费用由成交单位承担；</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4、由于成交单位的原因引起的第三方的侵权诉讼或赔偿请求，成交单位应承担所有责任；</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5、未经采购人同意，成交单位不得分包管网设施的运管和维护。</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六、付款方式</w:t>
      </w:r>
      <w:r/>
    </w:p>
    <w:p>
      <w:pPr>
        <w:ind w:firstLine="480"/>
        <w:spacing w:line="360" w:lineRule="auto"/>
        <w:rPr>
          <w:rFonts w:hint="eastAsia" w:ascii="仿宋" w:hAnsi="仿宋" w:eastAsia="仿宋" w:cs="仿宋"/>
          <w:bCs/>
          <w:color w:val="auto"/>
          <w:sz w:val="24"/>
          <w:szCs w:val="24"/>
          <w:highlight w:val="none"/>
          <w:lang w:val="en-US" w:eastAsia="zh-CN"/>
        </w:rPr>
        <w:outlineLvl w:val="0"/>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合同签订</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en-US" w:eastAsia="zh-CN" w:bidi="ar-SA"/>
        </w:rPr>
        <w:t xml:space="preserve">自收到</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bidi="ar-SA"/>
        </w:rPr>
        <w:t xml:space="preserve">开具的发票起10个工作日</w:t>
      </w:r>
      <w:r>
        <w:rPr>
          <w:rFonts w:hint="eastAsia" w:ascii="仿宋" w:hAnsi="仿宋" w:eastAsia="仿宋" w:cs="仿宋"/>
          <w:color w:val="auto"/>
          <w:sz w:val="24"/>
          <w:szCs w:val="24"/>
          <w:highlight w:val="none"/>
          <w:lang w:val="en-US"/>
        </w:rPr>
        <w:t xml:space="preserve">内支付</w:t>
      </w:r>
      <w:r>
        <w:rPr>
          <w:rFonts w:hint="eastAsia" w:ascii="仿宋" w:hAnsi="仿宋" w:eastAsia="仿宋" w:cs="仿宋"/>
          <w:color w:val="auto"/>
          <w:sz w:val="24"/>
          <w:szCs w:val="24"/>
          <w:highlight w:val="none"/>
          <w:lang w:val="en-US" w:eastAsia="zh-CN"/>
        </w:rPr>
        <w:t xml:space="preserve">成交价</w:t>
      </w:r>
      <w:r>
        <w:rPr>
          <w:rFonts w:hint="eastAsia" w:ascii="仿宋" w:hAnsi="仿宋" w:eastAsia="仿宋" w:cs="仿宋"/>
          <w:color w:val="auto"/>
          <w:sz w:val="24"/>
          <w:szCs w:val="24"/>
          <w:highlight w:val="none"/>
          <w:lang w:val="en-US"/>
        </w:rPr>
        <w:t xml:space="preserve">的</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rPr>
        <w:t xml:space="preserve">到合同约定的供应商账户</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b/>
          <w:bCs w:val="0"/>
          <w:color w:val="auto"/>
          <w:sz w:val="24"/>
          <w:szCs w:val="24"/>
          <w:highlight w:val="none"/>
          <w:lang w:val="en-US"/>
        </w:rPr>
        <w:t xml:space="preserve">如成交供应商不需支付此项费用的，采购方可不支付，本项费用连同后期一并支付</w:t>
      </w:r>
      <w:r>
        <w:rPr>
          <w:rFonts w:hint="eastAsia" w:ascii="仿宋" w:hAnsi="仿宋" w:eastAsia="仿宋" w:cs="仿宋"/>
          <w:bCs/>
          <w:color w:val="auto"/>
          <w:sz w:val="24"/>
          <w:szCs w:val="24"/>
          <w:highlight w:val="none"/>
          <w:lang w:val="en-US"/>
        </w:rPr>
        <w:t xml:space="preserve">）</w:t>
      </w:r>
      <w:r>
        <w:rPr>
          <w:rFonts w:hint="eastAsia" w:ascii="仿宋" w:hAnsi="仿宋" w:eastAsia="仿宋" w:cs="仿宋"/>
          <w:bCs/>
          <w:color w:val="auto"/>
          <w:sz w:val="24"/>
          <w:szCs w:val="24"/>
          <w:highlight w:val="none"/>
          <w:lang w:val="en-US" w:eastAsia="zh-CN"/>
        </w:rPr>
        <w:t xml:space="preserve">，即：元。</w:t>
      </w:r>
      <w:r/>
    </w:p>
    <w:p>
      <w:pPr>
        <w:ind w:firstLine="480"/>
        <w:jc w:val="both"/>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rPr>
        <w:t xml:space="preserve">运维费用按半年度支付，经检查考核合格的运维费用每6个月支付1次，第6个月检查考核结束之日起</w:t>
      </w:r>
      <w:r>
        <w:rPr>
          <w:rFonts w:hint="eastAsia" w:ascii="仿宋" w:hAnsi="仿宋" w:eastAsia="仿宋" w:cs="仿宋"/>
          <w:color w:val="auto"/>
          <w:sz w:val="24"/>
          <w:szCs w:val="24"/>
          <w:highlight w:val="none"/>
          <w:lang w:val="en-US"/>
        </w:rPr>
        <w:t xml:space="preserve">30个工作日内</w:t>
      </w:r>
      <w:r>
        <w:rPr>
          <w:rFonts w:hint="eastAsia" w:ascii="仿宋" w:hAnsi="仿宋" w:eastAsia="仿宋" w:cs="仿宋"/>
          <w:color w:val="auto"/>
          <w:sz w:val="24"/>
          <w:szCs w:val="24"/>
          <w:highlight w:val="none"/>
        </w:rPr>
        <w:t xml:space="preserve">支付半年度的运维费，为</w:t>
      </w:r>
      <w:r>
        <w:rPr>
          <w:rFonts w:hint="eastAsia" w:ascii="仿宋" w:hAnsi="仿宋" w:eastAsia="仿宋" w:cs="仿宋"/>
          <w:color w:val="auto"/>
          <w:sz w:val="24"/>
          <w:szCs w:val="24"/>
          <w:highlight w:val="none"/>
          <w:lang w:eastAsia="zh-CN"/>
        </w:rPr>
        <w:t xml:space="preserve">成交价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rPr>
        <w:t xml:space="preserve">12</w:t>
      </w:r>
      <w:r>
        <w:rPr>
          <w:rFonts w:hint="eastAsia" w:ascii="仿宋" w:hAnsi="仿宋" w:eastAsia="仿宋" w:cs="仿宋"/>
          <w:color w:val="auto"/>
          <w:sz w:val="24"/>
          <w:szCs w:val="24"/>
          <w:highlight w:val="none"/>
        </w:rPr>
        <w:t xml:space="preserve">个月检查考核结束之日起</w:t>
      </w:r>
      <w:r>
        <w:rPr>
          <w:rFonts w:hint="eastAsia" w:ascii="仿宋" w:hAnsi="仿宋" w:eastAsia="仿宋" w:cs="仿宋"/>
          <w:color w:val="auto"/>
          <w:sz w:val="24"/>
          <w:szCs w:val="24"/>
          <w:highlight w:val="none"/>
          <w:lang w:val="en-US"/>
        </w:rPr>
        <w:t xml:space="preserve">30个工作日内</w:t>
      </w:r>
      <w:r>
        <w:rPr>
          <w:rFonts w:hint="eastAsia" w:ascii="仿宋" w:hAnsi="仿宋" w:eastAsia="仿宋" w:cs="仿宋"/>
          <w:color w:val="auto"/>
          <w:sz w:val="24"/>
          <w:szCs w:val="24"/>
          <w:highlight w:val="none"/>
        </w:rPr>
        <w:t xml:space="preserve">支付半年度的运维费，为</w:t>
      </w:r>
      <w:r>
        <w:rPr>
          <w:rFonts w:hint="eastAsia" w:ascii="仿宋" w:hAnsi="仿宋" w:eastAsia="仿宋" w:cs="仿宋"/>
          <w:color w:val="auto"/>
          <w:sz w:val="24"/>
          <w:szCs w:val="24"/>
          <w:highlight w:val="none"/>
          <w:lang w:eastAsia="zh-CN"/>
        </w:rPr>
        <w:t xml:space="preserve">成交价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rPr>
        <w:t xml:space="preserve">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zh-CN"/>
        </w:rPr>
        <w:t xml:space="preserve">即：元。</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七、合同条款</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1、供应商在本合同工期内发生生产安全较大事故，采购人有权通过政府采购法定程序终止合同。</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2、供应商在本合同工期内在接到采购人书面限期整改通知书后未能按期整改达三次以上，采购人有权通过政府采购法定程序终止合同。</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供应商在维护期间，季度考核扣款合计达到或超过季度运营维护及常规维修款的20%，则采购人认为供应商达不到本合同或采购文件规定的维护标准使合同无法履行，采购人有权有权通过政府采购法定程序终止合同。并保留追究因解除合同给采购人造成经济损失的法律权利。</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4、供应商在本合同工期内未经采购人书面许可，擅自在承包范围内多处改动原有污水管网的，经采购人提出书面整改意见后逾期未能整改到位的，采购人有权通过政府采购法定程序终止合同。</w:t>
      </w:r>
      <w:r/>
    </w:p>
    <w:p>
      <w:pPr>
        <w:pStyle w:val="1067"/>
        <w:ind w:left="0" w:right="0" w:firstLine="472"/>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5、供应商擅自变更磋商时所承诺的人员配置方案、机具配置方案，经采购人提出书面整改意见后逾期未能整改到位的，采购人有权通过政府采购法定程序终止合同。</w:t>
      </w:r>
      <w:r/>
    </w:p>
    <w:p>
      <w:pPr>
        <w:ind w:left="0" w:right="0"/>
        <w:keepLines w:val="0"/>
        <w:keepNext w:val="0"/>
        <w:pageBreakBefore w:val="0"/>
        <w:spacing w:line="360" w:lineRule="auto"/>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八、有关说明</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1、供应商报价内容必须报全，不得漏项。供应商须在《报价明细表》中报出各养护内容的综合单价。</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2、除特殊注明另行结算的费用外，供应商的报价应包括一年服务期内的全部标的物、辅助材料、安装、调试、水电费等全部费用，以及非正常损坏的风险、人工、机械、运输、仓储、保险、运费、各种税费、劳保、安全费等一切费用。</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3、供应商具备项目负责人及技术负责人具备相应工程师职称的为优。</w:t>
      </w:r>
      <w:r/>
    </w:p>
    <w:p>
      <w:pPr>
        <w:pStyle w:val="1067"/>
        <w:ind w:left="0" w:right="0" w:firstLine="484"/>
        <w:jc w:val="left"/>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4、供应商具备类似项目经验和管理体系的为优。</w:t>
      </w:r>
      <w:r/>
    </w:p>
    <w:p>
      <w:pPr>
        <w:pStyle w:val="1067"/>
        <w:ind w:left="0" w:right="0" w:firstLine="484"/>
        <w:jc w:val="left"/>
        <w:keepLines w:val="0"/>
        <w:keepNext w:val="0"/>
        <w:pageBreakBefore w:val="0"/>
        <w:spacing w:line="360" w:lineRule="auto"/>
        <w:rPr>
          <w:rFonts w:hint="default" w:ascii="仿宋" w:hAnsi="仿宋" w:eastAsia="仿宋" w:cs="仿宋"/>
          <w:bCs/>
          <w:color w:val="auto"/>
          <w:spacing w:val="1"/>
          <w:sz w:val="24"/>
          <w:szCs w:val="24"/>
          <w:highlight w:val="none"/>
          <w:lang w:val="en-US" w:eastAsia="zh-CN" w:bidi="ar-SA"/>
        </w:rPr>
      </w:pPr>
      <w:r>
        <w:rPr>
          <w:rFonts w:hint="eastAsia" w:ascii="仿宋" w:hAnsi="仿宋" w:eastAsia="仿宋" w:cs="仿宋"/>
          <w:bCs/>
          <w:color w:val="auto"/>
          <w:spacing w:val="1"/>
          <w:sz w:val="24"/>
          <w:szCs w:val="24"/>
          <w:highlight w:val="none"/>
          <w:lang w:val="en-US" w:eastAsia="zh-CN" w:bidi="ar-SA"/>
        </w:rPr>
        <w:t xml:space="preserve">5、供应商应编制针对本项目采购需求的理解方案、维护方案、安全保证体系和安全保证措施方案、突发情况应急处理方案、综合投入方案、运维管理制度方案。成交后遵照执行。</w:t>
      </w:r>
      <w:r/>
    </w:p>
    <w:p>
      <w:pPr>
        <w:ind w:left="0" w:right="0"/>
        <w:keepLines w:val="0"/>
        <w:keepNext w:val="0"/>
        <w:pageBreakBefore w:val="0"/>
        <w:spacing w:line="360" w:lineRule="auto"/>
        <w:rPr>
          <w:rFonts w:hint="eastAsia" w:ascii="仿宋" w:hAnsi="仿宋" w:eastAsia="仿宋" w:cs="仿宋"/>
          <w:bCs/>
          <w:color w:val="auto"/>
          <w:spacing w:val="1"/>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rPr>
        <w:t xml:space="preserve">九</w:t>
      </w:r>
      <w:r>
        <w:rPr>
          <w:rFonts w:hint="eastAsia" w:ascii="仿宋" w:hAnsi="仿宋" w:eastAsia="仿宋" w:cs="仿宋"/>
          <w:b/>
          <w:bCs/>
          <w:color w:val="auto"/>
          <w:spacing w:val="-2"/>
          <w:sz w:val="24"/>
          <w:szCs w:val="24"/>
          <w:highlight w:val="none"/>
        </w:rPr>
        <w:t xml:space="preserve">、</w:t>
      </w:r>
      <w:r>
        <w:rPr>
          <w:rFonts w:hint="eastAsia" w:ascii="仿宋" w:hAnsi="仿宋" w:eastAsia="仿宋" w:cs="仿宋"/>
          <w:b/>
          <w:bCs/>
          <w:color w:val="auto"/>
          <w:spacing w:val="-2"/>
          <w:sz w:val="24"/>
          <w:szCs w:val="24"/>
          <w:highlight w:val="none"/>
          <w:lang w:val="en-US" w:eastAsia="zh-CN"/>
        </w:rPr>
        <w:t xml:space="preserve">设备清单</w:t>
      </w:r>
      <w:r/>
    </w:p>
    <w:tbl>
      <w:tblPr>
        <w:tblStyle w:val="7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5"/>
        <w:gridCol w:w="1061"/>
        <w:gridCol w:w="2358"/>
        <w:gridCol w:w="4168"/>
      </w:tblGrid>
      <w:tr>
        <w:trPr>
          <w:trHeight w:val="577"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行政村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自然</w:t>
            </w:r>
            <w:r>
              <w:rPr>
                <w:rFonts w:hint="eastAsia" w:ascii="仿宋" w:hAnsi="仿宋" w:eastAsia="仿宋" w:cs="仿宋"/>
                <w:b w:val="0"/>
                <w:bCs w:val="0"/>
                <w:color w:val="auto"/>
                <w:sz w:val="24"/>
                <w:szCs w:val="24"/>
                <w:highlight w:val="none"/>
              </w:rPr>
              <w:t xml:space="preserve">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污水设施</w:t>
            </w:r>
            <w:r/>
          </w:p>
        </w:tc>
      </w:tr>
      <w:tr>
        <w:trPr>
          <w:trHeight w:val="455" w:hRule="exact"/>
        </w:trPr>
        <w:tc>
          <w:tcPr>
            <w:tcW w:w="89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iCs w:val="0"/>
                <w:color w:val="auto"/>
                <w:sz w:val="24"/>
                <w:szCs w:val="24"/>
                <w:highlight w:val="none"/>
                <w:u w:val="none"/>
                <w:lang w:val="en-US" w:eastAsia="zh-CN" w:bidi="ar-SA"/>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伏漕村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奚圩埭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4套微动力净化槽</w:t>
            </w:r>
            <w:r/>
          </w:p>
        </w:tc>
      </w:tr>
      <w:tr>
        <w:trPr>
          <w:trHeight w:val="45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大西埭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43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大东埭（大东埭、小北埭）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21套微动力净化槽</w:t>
            </w:r>
            <w:r/>
          </w:p>
        </w:tc>
      </w:tr>
      <w:tr>
        <w:trPr>
          <w:trHeight w:val="37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大北埭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2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尹家埭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54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小岸村（小岸村、王家村）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5吨提升泵站</w:t>
            </w:r>
            <w:r/>
          </w:p>
        </w:tc>
      </w:tr>
      <w:tr>
        <w:trPr>
          <w:trHeight w:val="42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小东埭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6套微动力净化槽</w:t>
            </w:r>
            <w:r/>
          </w:p>
        </w:tc>
      </w:tr>
      <w:tr>
        <w:trPr>
          <w:trHeight w:val="38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小西埭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6套无动力净化槽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迎北村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樊圩埭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十二圩埭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12套微动力净化槽</w:t>
            </w:r>
            <w:r/>
          </w:p>
        </w:tc>
      </w:tr>
      <w:tr>
        <w:trPr>
          <w:trHeight w:val="36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高家圩</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九圩埭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二圩埭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459"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八圩埭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15套微动力净化槽</w:t>
            </w:r>
            <w:r/>
          </w:p>
        </w:tc>
      </w:tr>
      <w:tr>
        <w:trPr>
          <w:trHeight w:val="492"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75"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四圩埭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10套微动力净化槽</w:t>
            </w:r>
            <w:r/>
          </w:p>
        </w:tc>
      </w:tr>
      <w:tr>
        <w:trPr>
          <w:trHeight w:val="68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母子圩</w:t>
            </w:r>
            <w:r/>
          </w:p>
        </w:tc>
        <w:tc>
          <w:tcPr>
            <w:tcW w:w="2254" w:type="pct"/>
            <w:vAlign w:val="center"/>
            <w:textDirection w:val="lrTb"/>
            <w:noWrap w:val="false"/>
          </w:tcPr>
          <w:p>
            <w:pPr>
              <w:pStyle w:val="722"/>
              <w:ind w:firstLine="1200"/>
              <w:jc w:val="center"/>
              <w:pageBreakBefore w:val="0"/>
              <w:spacing w:before="0" w:after="0"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364"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朱义石</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鹤窠村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40吨小型污水处理站</w:t>
            </w:r>
            <w:r/>
          </w:p>
        </w:tc>
      </w:tr>
      <w:tr>
        <w:trPr>
          <w:trHeight w:val="36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刘家村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5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梨园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20吨小型污水处理站、10吨提升泵站</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七圩埭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25</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十五圩埭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15套无动力净化槽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迎滨村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王矮村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30吨小型污水处理站</w:t>
            </w:r>
            <w:r/>
          </w:p>
        </w:tc>
      </w:tr>
      <w:tr>
        <w:trPr>
          <w:trHeight w:val="50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东头王村（东头王村、东元沟村（新））</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庙头王村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5吨提升泵站</w:t>
            </w:r>
            <w:r/>
          </w:p>
        </w:tc>
      </w:tr>
      <w:tr>
        <w:trPr>
          <w:trHeight w:val="41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曹家村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340"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潘家村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孟家村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9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西元沟村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2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白果树村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1座</w:t>
            </w:r>
            <w:r>
              <w:rPr>
                <w:rFonts w:hint="eastAsia" w:ascii="仿宋" w:hAnsi="仿宋" w:eastAsia="仿宋" w:cs="仿宋"/>
                <w:b w:val="0"/>
                <w:bCs w:val="0"/>
                <w:color w:val="auto"/>
                <w:sz w:val="24"/>
                <w:szCs w:val="24"/>
                <w:highlight w:val="none"/>
                <w:lang w:eastAsia="zh-CN"/>
              </w:rPr>
              <w:t xml:space="preserve">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行政村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序号</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lang w:eastAsia="zh-CN"/>
              </w:rPr>
              <w:t xml:space="preserve">自然</w:t>
            </w:r>
            <w:r>
              <w:rPr>
                <w:rFonts w:hint="eastAsia" w:ascii="仿宋" w:hAnsi="仿宋" w:eastAsia="仿宋" w:cs="仿宋"/>
                <w:b w:val="0"/>
                <w:bCs w:val="0"/>
                <w:color w:val="auto"/>
                <w:sz w:val="24"/>
                <w:szCs w:val="24"/>
                <w:highlight w:val="none"/>
              </w:rPr>
              <w:t xml:space="preserve">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污水设施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徐家村（前徐家村、后徐家村）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1座提升泵井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郭家村（前郭家村、后郭家村）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半田里村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大坝头村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开步庄上村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朱良村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老虎村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旗杆村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小坝头村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西小庄村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9套微动力净化槽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张家跳村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80吨小型污水处理站、1座提升泵井</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茅沙村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仲宝村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陈甸村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徐家村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仲家庄</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周家庄</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5套无动力净化槽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儒里村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陆家村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弥陀庵（新）</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月林村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53</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新陈</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11套微动力净化槽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儒里新村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34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张仙村（后张家村）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20吨小型污水处理站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前米村（前美村）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28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后米村（后美村）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王里桥村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老店头村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60</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张四八村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353" w:hRule="exact"/>
        </w:trPr>
        <w:tc>
          <w:tcPr>
            <w:tcW w:w="89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i w:val="0"/>
                <w:iCs w:val="0"/>
                <w:color w:val="auto"/>
                <w:sz w:val="24"/>
                <w:szCs w:val="24"/>
                <w:highlight w:val="none"/>
                <w:u w:val="none"/>
                <w:lang w:val="en-US" w:eastAsia="zh-CN" w:bidi="ar-SA"/>
              </w:rPr>
              <w:t xml:space="preserve">茂华村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61</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旗杆蒋</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20吨小型污水处理站</w:t>
            </w:r>
            <w:r/>
          </w:p>
        </w:tc>
      </w:tr>
      <w:tr>
        <w:trPr>
          <w:trHeight w:val="3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62</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岸下蒋</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3"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63</w:t>
            </w:r>
            <w:r/>
          </w:p>
        </w:tc>
        <w:tc>
          <w:tcPr>
            <w:tcW w:w="1275" w:type="pct"/>
            <w:vAlign w:val="center"/>
            <w:textDirection w:val="lrTb"/>
            <w:noWrap w:val="false"/>
          </w:tcPr>
          <w:p>
            <w:pPr>
              <w:jc w:val="center"/>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lang w:val="en-US" w:eastAsia="zh-CN"/>
              </w:rPr>
              <w:t xml:space="preserve">汝夭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石桥村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64</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石桥片</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100吨提升泵站（改造）</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65</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田家荡</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66</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解放桥</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30吨提升泵站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67</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北湾子</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15吨提升泵站</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68</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株树头村</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20套无动力净化槽</w:t>
            </w:r>
            <w:r/>
          </w:p>
        </w:tc>
      </w:tr>
      <w:tr>
        <w:trPr>
          <w:trHeight w:val="438" w:hRule="exact"/>
        </w:trPr>
        <w:tc>
          <w:tcPr>
            <w:tcW w:w="895"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三桥村</w:t>
            </w:r>
            <w:r/>
          </w:p>
        </w:tc>
        <w:tc>
          <w:tcPr>
            <w:tcW w:w="57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69</w:t>
            </w:r>
            <w:r/>
          </w:p>
        </w:tc>
        <w:tc>
          <w:tcPr>
            <w:tcW w:w="1275" w:type="pct"/>
            <w:vAlign w:val="center"/>
            <w:textDirection w:val="lrTb"/>
            <w:noWrap w:val="false"/>
          </w:tcPr>
          <w:p>
            <w:pPr>
              <w:jc w:val="center"/>
              <w:keepLines w:val="0"/>
              <w:keepNext w:val="0"/>
              <w:pageBreakBefore w:val="0"/>
              <w:spacing w:line="360" w:lineRule="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二十五圩埭</w:t>
            </w:r>
            <w:r/>
          </w:p>
        </w:tc>
        <w:tc>
          <w:tcPr>
            <w:tcW w:w="2254" w:type="pct"/>
            <w:vAlign w:val="center"/>
            <w:textDirection w:val="lrTb"/>
            <w:noWrap w:val="false"/>
          </w:tcPr>
          <w:p>
            <w:pPr>
              <w:jc w:val="center"/>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3套无动力净化槽</w:t>
            </w:r>
            <w:r/>
          </w:p>
        </w:tc>
      </w:tr>
    </w:tbl>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备注：</w:t>
      </w:r>
      <w:r>
        <w:rPr>
          <w:rFonts w:hint="eastAsia" w:ascii="仿宋" w:hAnsi="仿宋" w:eastAsia="仿宋" w:cs="仿宋"/>
          <w:color w:val="auto"/>
          <w:sz w:val="24"/>
          <w:szCs w:val="24"/>
          <w:highlight w:val="none"/>
          <w:lang w:eastAsia="zh-CN"/>
        </w:rPr>
        <w:t xml:space="preserve">设施数量根据现场情况可能有</w:t>
      </w:r>
      <w:r>
        <w:rPr>
          <w:rFonts w:hint="eastAsia" w:ascii="仿宋" w:hAnsi="仿宋" w:eastAsia="仿宋" w:cs="仿宋"/>
          <w:color w:val="auto"/>
          <w:sz w:val="24"/>
          <w:szCs w:val="24"/>
          <w:highlight w:val="none"/>
        </w:rPr>
        <w:t xml:space="preserve">少量调整，以实际情况为准。运维费为固定总价，不因设施的增加或减少变更。</w:t>
      </w:r>
      <w:r/>
    </w:p>
    <w:p>
      <w:pPr>
        <w:pStyle w:val="804"/>
        <w:jc w:val="center"/>
        <w:spacing w:before="0" w:after="0"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第五部分  磋商及评审</w:t>
      </w:r>
      <w:bookmarkEnd w:id="222"/>
      <w:r/>
      <w:bookmarkEnd w:id="223"/>
      <w:r/>
      <w:bookmarkEnd w:id="224"/>
      <w:r/>
      <w:bookmarkStart w:id="235" w:name="EB3b5ad14e1e6f44e286f850fc9c9ebf65"/>
      <w:r/>
      <w:bookmarkEnd w:id="235"/>
      <w:r/>
      <w:bookmarkStart w:id="236" w:name="EB3e987622cda240fbaa0d00db8ee8a65f"/>
      <w:r/>
      <w:bookmarkEnd w:id="236"/>
      <w:r/>
      <w:r/>
    </w:p>
    <w:p>
      <w:pPr>
        <w:pStyle w:val="805"/>
        <w:ind w:firstLine="321"/>
        <w:jc w:val="left"/>
        <w:spacing w:before="0" w:after="0" w:line="360" w:lineRule="auto"/>
        <w:rPr>
          <w:rFonts w:hint="eastAsia" w:ascii="仿宋" w:hAnsi="仿宋" w:eastAsia="仿宋" w:cs="仿宋"/>
          <w:color w:val="auto"/>
          <w:sz w:val="32"/>
          <w:highlight w:val="none"/>
        </w:rPr>
      </w:pPr>
      <w:r/>
      <w:bookmarkStart w:id="237" w:name="_Toc142925669"/>
      <w:r/>
      <w:bookmarkStart w:id="238" w:name="_Toc73365514"/>
      <w:r/>
      <w:bookmarkStart w:id="239" w:name="_Toc73364901"/>
      <w:r>
        <w:rPr>
          <w:rFonts w:hint="eastAsia" w:ascii="仿宋" w:hAnsi="仿宋" w:eastAsia="仿宋" w:cs="仿宋"/>
          <w:color w:val="auto"/>
          <w:sz w:val="32"/>
          <w:highlight w:val="none"/>
        </w:rPr>
        <w:t xml:space="preserve">1．磋商小组职责</w:t>
      </w:r>
      <w:bookmarkEnd w:id="237"/>
      <w:r/>
      <w:bookmarkEnd w:id="238"/>
      <w:r/>
      <w:bookmarkEnd w:id="239"/>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1.3起草评审报告并进行签署。</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1.4推荐成交供应商。</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1.5向采购人、采购代理机构、财政部门或者其他监督部门报告非法干预评审工作的行为。</w:t>
      </w:r>
      <w:r/>
    </w:p>
    <w:p>
      <w:pPr>
        <w:ind w:firstLine="42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1.6法律、法规和规章规定的其他职责。</w:t>
      </w:r>
      <w:r/>
    </w:p>
    <w:p>
      <w:pPr>
        <w:pStyle w:val="805"/>
        <w:ind w:firstLine="321"/>
        <w:jc w:val="left"/>
        <w:spacing w:before="0" w:after="0" w:line="360" w:lineRule="auto"/>
        <w:rPr>
          <w:rFonts w:hint="eastAsia" w:ascii="仿宋" w:hAnsi="仿宋" w:eastAsia="仿宋" w:cs="仿宋"/>
          <w:color w:val="auto"/>
          <w:sz w:val="32"/>
          <w:highlight w:val="none"/>
        </w:rPr>
      </w:pPr>
      <w:r/>
      <w:bookmarkStart w:id="240" w:name="_Toc142925670"/>
      <w:r/>
      <w:bookmarkStart w:id="241" w:name="_Toc73364902"/>
      <w:r/>
      <w:bookmarkStart w:id="242" w:name="_Toc73365515"/>
      <w:r>
        <w:rPr>
          <w:rFonts w:hint="eastAsia" w:ascii="仿宋" w:hAnsi="仿宋" w:eastAsia="仿宋" w:cs="仿宋"/>
          <w:color w:val="auto"/>
          <w:sz w:val="32"/>
          <w:highlight w:val="none"/>
        </w:rPr>
        <w:t xml:space="preserve">2．磋商及评审程序</w:t>
      </w:r>
      <w:bookmarkEnd w:id="240"/>
      <w:r/>
      <w:bookmarkEnd w:id="241"/>
      <w:r/>
      <w:bookmarkEnd w:id="242"/>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2.2磋商组织方宣布磋商及评审纪律，磋商小组确认有无回避的情形。</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2.3磋商小组推选组长，负责组织磋商及评审活动，采购人代表不得担任组长。</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2.4磋商小组正式评审前，应当对磋商文件进行熟悉和理解，审查磋商文件。</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2.7磋商小组应集中与符合要求的单一供应商分别进行磋商，并给予所有参加磋商的供应商平等的磋商机会。</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符合磋商文件供应商须知规定情形的，提交最后报价的供应商可以为2家。</w:t>
      </w:r>
      <w:r/>
    </w:p>
    <w:p>
      <w:pPr>
        <w:ind w:firstLine="425"/>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2.12推荐成交候选供应商，并出具书面评审报告。</w:t>
      </w:r>
      <w:r/>
    </w:p>
    <w:p>
      <w:pPr>
        <w:pStyle w:val="805"/>
        <w:ind w:firstLine="321"/>
        <w:jc w:val="left"/>
        <w:spacing w:before="0" w:after="0" w:line="360" w:lineRule="auto"/>
        <w:rPr>
          <w:rFonts w:hint="eastAsia" w:ascii="仿宋" w:hAnsi="仿宋" w:eastAsia="仿宋" w:cs="仿宋"/>
          <w:color w:val="auto"/>
          <w:sz w:val="32"/>
          <w:highlight w:val="none"/>
        </w:rPr>
      </w:pPr>
      <w:r/>
      <w:bookmarkStart w:id="243" w:name="_Toc73364903"/>
      <w:r/>
      <w:bookmarkStart w:id="244" w:name="_Toc73365516"/>
      <w:r/>
      <w:bookmarkStart w:id="245" w:name="_Toc142925671"/>
      <w:r>
        <w:rPr>
          <w:rFonts w:hint="eastAsia" w:ascii="仿宋" w:hAnsi="仿宋" w:eastAsia="仿宋" w:cs="仿宋"/>
          <w:color w:val="auto"/>
          <w:sz w:val="32"/>
          <w:highlight w:val="none"/>
        </w:rPr>
        <w:t xml:space="preserve">3．供应商资格审查</w:t>
      </w:r>
      <w:bookmarkEnd w:id="243"/>
      <w:r/>
      <w:bookmarkEnd w:id="244"/>
      <w:r/>
      <w:bookmarkEnd w:id="245"/>
      <w:r/>
      <w:r/>
    </w:p>
    <w:p>
      <w:pPr>
        <w:spacing w:line="360" w:lineRule="auto"/>
        <w:rPr>
          <w:rFonts w:hint="eastAsia" w:ascii="仿宋" w:hAnsi="仿宋" w:eastAsia="仿宋" w:cs="仿宋"/>
          <w:color w:val="auto"/>
          <w:sz w:val="24"/>
          <w:highlight w:val="none"/>
        </w:rPr>
      </w:pPr>
      <w:r/>
      <w:bookmarkStart w:id="246" w:name="EB62b7e4128ed04384afeeab46ecea92c3"/>
      <w:r/>
      <w:bookmarkEnd w:id="246"/>
      <w:r>
        <w:rPr>
          <w:rFonts w:hint="eastAsia" w:ascii="仿宋" w:hAnsi="仿宋" w:eastAsia="仿宋" w:cs="仿宋"/>
          <w:color w:val="auto"/>
          <w:sz w:val="24"/>
          <w:highlight w:val="none"/>
        </w:rPr>
        <w:t xml:space="preserve">开启结束后，采购人将依法对供应商的资格进行审查。资格审查的内容如下：</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
        <w:gridCol w:w="1490"/>
        <w:gridCol w:w="7325"/>
      </w:tblGrid>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bookmarkStart w:id="247" w:name="EB26dcd70bebb54979b7a4b621de125d2f"/>
            <w:r>
              <w:rPr>
                <w:rFonts w:hint="eastAsia" w:ascii="仿宋" w:hAnsi="仿宋" w:eastAsia="仿宋" w:cs="仿宋"/>
                <w:color w:val="auto"/>
                <w:szCs w:val="21"/>
                <w:highlight w:val="none"/>
              </w:rPr>
              <w:t xml:space="preserve">序号</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审查要素</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审查内容</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具有独立承担民事责任的能力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提供法人或者其他组织的营业执照等证明文件扫描件；</w:t>
            </w:r>
            <w:r>
              <w:rPr>
                <w:rFonts w:hint="eastAsia" w:ascii="仿宋" w:hAnsi="仿宋" w:eastAsia="仿宋" w:cs="仿宋"/>
                <w:color w:val="auto"/>
                <w:szCs w:val="21"/>
                <w:highlight w:val="none"/>
                <w:lang w:eastAsia="zh-CN"/>
              </w:rPr>
              <w:t xml:space="preserve">供应商</w:t>
            </w:r>
            <w:r>
              <w:rPr>
                <w:rFonts w:hint="eastAsia" w:ascii="仿宋" w:hAnsi="仿宋" w:eastAsia="仿宋" w:cs="仿宋"/>
                <w:color w:val="auto"/>
                <w:szCs w:val="21"/>
                <w:highlight w:val="none"/>
              </w:rPr>
              <w:t xml:space="preserve">为自然人的，提供其身份证扫描件</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具有良好的商业信誉和健全的财务会计制度</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提供2024年度或者2025年度财务报告</w:t>
            </w:r>
            <w:r>
              <w:rPr>
                <w:rFonts w:hint="eastAsia" w:ascii="仿宋" w:hAnsi="仿宋" w:eastAsia="仿宋" w:cs="仿宋"/>
                <w:color w:val="auto"/>
                <w:szCs w:val="21"/>
                <w:highlight w:val="none"/>
              </w:rPr>
              <w:t xml:space="preserve">，成立不满一年的提供</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财务报告，或银行出具的资信证明，或财政部门认可的政府采购专业担保机构出具的投标担保函等或提供资格承诺函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具有履行合同所必需的设备和专业技术能力</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供应商相关信息一览表或提供资格承诺函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有依法缴纳税收和社会保障资金的良好记录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提供参加本次政府采购活动前半年内</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依法缴纳税收和社会保险的凭据或提供资格承诺函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参加政府采购活动前三年内，在经营活动中没有重大违法记录</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法律、行政法规规定的其他条件</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落实政府采购政策需满足的资格要求</w:t>
            </w:r>
            <w:r/>
          </w:p>
        </w:tc>
        <w:tc>
          <w:tcPr>
            <w:tcW w:w="7620" w:type="dxa"/>
            <w:vAlign w:val="center"/>
            <w:textDirection w:val="lrTb"/>
            <w:noWrap w:val="false"/>
          </w:tcPr>
          <w:p>
            <w:pPr>
              <w:jc w:val="center"/>
              <w:spacing w:line="360" w:lineRule="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中小微企业声明函</w:t>
            </w:r>
            <w:r/>
          </w:p>
        </w:tc>
      </w:tr>
      <w:tr>
        <w:trPr/>
        <w:tc>
          <w:tcPr>
            <w:tcW w:w="43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155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本项目的特定资格要求</w:t>
            </w:r>
            <w:r/>
          </w:p>
        </w:tc>
        <w:tc>
          <w:tcPr>
            <w:tcW w:w="7620" w:type="dxa"/>
            <w:vAlign w:val="center"/>
            <w:textDirection w:val="lrTb"/>
            <w:noWrap w:val="false"/>
          </w:tcPr>
          <w:p>
            <w:pPr>
              <w:jc w:val="center"/>
              <w:spacing w:line="360" w:lineRule="auto"/>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无</w:t>
            </w:r>
            <w:bookmarkEnd w:id="247"/>
            <w:r/>
            <w:r/>
          </w:p>
        </w:tc>
      </w:tr>
    </w:tbl>
    <w:p>
      <w:pPr>
        <w:pStyle w:val="805"/>
        <w:ind w:firstLine="321"/>
        <w:jc w:val="left"/>
        <w:spacing w:before="0" w:after="0" w:line="360" w:lineRule="auto"/>
        <w:rPr>
          <w:rFonts w:hint="eastAsia" w:ascii="仿宋" w:hAnsi="仿宋" w:eastAsia="仿宋" w:cs="仿宋"/>
          <w:color w:val="auto"/>
          <w:sz w:val="32"/>
          <w:highlight w:val="none"/>
        </w:rPr>
      </w:pPr>
      <w:r/>
      <w:bookmarkStart w:id="248" w:name="_Toc142925672"/>
      <w:r/>
      <w:bookmarkStart w:id="249" w:name="_Toc73364904"/>
      <w:r/>
      <w:bookmarkStart w:id="250" w:name="_Toc73365517"/>
      <w:r>
        <w:rPr>
          <w:rFonts w:hint="eastAsia" w:ascii="仿宋" w:hAnsi="仿宋" w:eastAsia="仿宋" w:cs="仿宋"/>
          <w:color w:val="auto"/>
          <w:sz w:val="32"/>
          <w:highlight w:val="none"/>
        </w:rPr>
        <w:t xml:space="preserve">4．磋商响应文件的有效性、完整性和响应程度审查</w:t>
      </w:r>
      <w:bookmarkEnd w:id="248"/>
      <w:r/>
      <w:bookmarkEnd w:id="249"/>
      <w:r/>
      <w:bookmarkEnd w:id="250"/>
      <w:r/>
      <w:r/>
    </w:p>
    <w:tbl>
      <w:tblPr>
        <w:tblStyle w:val="7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
        <w:gridCol w:w="1126"/>
        <w:gridCol w:w="77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bookmarkStart w:id="251"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电子响应文件的签署、盖章（承诺函、报价表、法定代表人身份证明书和法人授权委托书）。若有委托代理人，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提供有效的授权委托书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87"/>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审查响应文件与磋商文件要求的主要条款、条件和技术规格是否相符，是否存在重大偏离或保留。</w:t>
            </w:r>
            <w:bookmarkEnd w:id="251"/>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05"/>
        <w:ind w:firstLine="321"/>
        <w:jc w:val="left"/>
        <w:spacing w:before="0" w:after="0" w:line="360" w:lineRule="auto"/>
        <w:rPr>
          <w:rFonts w:hint="eastAsia" w:ascii="仿宋" w:hAnsi="仿宋" w:eastAsia="仿宋" w:cs="仿宋"/>
          <w:color w:val="auto"/>
          <w:sz w:val="32"/>
          <w:highlight w:val="none"/>
        </w:rPr>
      </w:pPr>
      <w:r/>
      <w:bookmarkStart w:id="252" w:name="_Toc73365518"/>
      <w:r/>
      <w:bookmarkStart w:id="253" w:name="_Toc142925673"/>
      <w:r/>
      <w:bookmarkStart w:id="254" w:name="_Toc73364905"/>
      <w:r>
        <w:rPr>
          <w:rFonts w:hint="eastAsia" w:ascii="仿宋" w:hAnsi="仿宋" w:eastAsia="仿宋" w:cs="仿宋"/>
          <w:color w:val="auto"/>
          <w:sz w:val="32"/>
          <w:highlight w:val="none"/>
        </w:rPr>
        <w:t xml:space="preserve">5．磋商记录</w:t>
      </w:r>
      <w:bookmarkEnd w:id="252"/>
      <w:r/>
      <w:bookmarkEnd w:id="253"/>
      <w:r/>
      <w:bookmarkEnd w:id="25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5.1《磋商记录》包括供应商答复或承诺的内容、磋商文件的变动情况及最后报价等。</w:t>
      </w:r>
      <w:r/>
    </w:p>
    <w:p>
      <w:pPr>
        <w:pStyle w:val="805"/>
        <w:ind w:firstLine="321"/>
        <w:jc w:val="left"/>
        <w:spacing w:before="0" w:after="0" w:line="360" w:lineRule="auto"/>
        <w:rPr>
          <w:rFonts w:hint="eastAsia" w:ascii="仿宋" w:hAnsi="仿宋" w:eastAsia="仿宋" w:cs="仿宋"/>
          <w:color w:val="auto"/>
          <w:sz w:val="32"/>
          <w:highlight w:val="none"/>
        </w:rPr>
      </w:pPr>
      <w:r/>
      <w:bookmarkStart w:id="255" w:name="_Toc73364906"/>
      <w:r/>
      <w:bookmarkStart w:id="256" w:name="_Toc142925674"/>
      <w:r/>
      <w:bookmarkStart w:id="257" w:name="_Toc73365519"/>
      <w:r>
        <w:rPr>
          <w:rFonts w:hint="eastAsia" w:ascii="仿宋" w:hAnsi="仿宋" w:eastAsia="仿宋" w:cs="仿宋"/>
          <w:color w:val="auto"/>
          <w:sz w:val="32"/>
          <w:highlight w:val="none"/>
        </w:rPr>
        <w:t xml:space="preserve">6．综合评分</w:t>
      </w:r>
      <w:bookmarkEnd w:id="255"/>
      <w:r/>
      <w:bookmarkEnd w:id="256"/>
      <w:r/>
      <w:bookmarkEnd w:id="257"/>
      <w:r/>
      <w:r/>
    </w:p>
    <w:p>
      <w:pPr>
        <w:ind w:firstLine="482"/>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7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278"/>
        <w:gridCol w:w="2260"/>
        <w:gridCol w:w="2240"/>
        <w:gridCol w:w="2260"/>
      </w:tblGrid>
      <w:tr>
        <w:trPr>
          <w:trHeight w:val="408"/>
        </w:trPr>
        <w:tc>
          <w:tcPr>
            <w:tcW w:w="126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bookmarkStart w:id="258" w:name="EBeb38bac6236d407ea758a92f796301c6"/>
            <w:r>
              <w:rPr>
                <w:rFonts w:hint="eastAsia" w:ascii="仿宋" w:hAnsi="仿宋" w:eastAsia="仿宋" w:cs="仿宋"/>
                <w:color w:val="auto"/>
                <w:szCs w:val="21"/>
                <w:highlight w:val="none"/>
              </w:rPr>
              <w:t xml:space="preserve">评分项目</w:t>
            </w:r>
            <w:r/>
          </w:p>
        </w:tc>
        <w:tc>
          <w:tcPr>
            <w:tcW w:w="125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技术评估</w:t>
            </w:r>
            <w:r/>
          </w:p>
        </w:tc>
        <w:tc>
          <w:tcPr>
            <w:tcW w:w="1239"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商务评估</w:t>
            </w:r>
            <w:r/>
          </w:p>
        </w:tc>
        <w:tc>
          <w:tcPr>
            <w:tcW w:w="1250" w:type="pct"/>
            <w:vAlign w:val="bottom"/>
            <w:textDirection w:val="lrTb"/>
            <w:noWrap w:val="false"/>
          </w:tcPr>
          <w:p>
            <w:pPr>
              <w:jc w:val="center"/>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价格评估</w:t>
            </w:r>
            <w:r/>
          </w:p>
        </w:tc>
      </w:tr>
      <w:tr>
        <w:trPr>
          <w:trHeight w:val="346"/>
        </w:trPr>
        <w:tc>
          <w:tcPr>
            <w:tcW w:w="1260" w:type="pct"/>
            <w:vAlign w:val="bottom"/>
            <w:textDirection w:val="lrTb"/>
            <w:noWrap w:val="false"/>
          </w:tcPr>
          <w:p>
            <w:pPr>
              <w:ind w:right="0"/>
              <w:jc w:val="center"/>
              <w:keepLines w:val="0"/>
              <w:keepNext w:val="0"/>
              <w:pageBreakBefore w:val="0"/>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分值</w:t>
            </w:r>
            <w:r/>
          </w:p>
        </w:tc>
        <w:tc>
          <w:tcPr>
            <w:tcW w:w="1250"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55</w:t>
            </w:r>
            <w:r/>
          </w:p>
        </w:tc>
        <w:tc>
          <w:tcPr>
            <w:tcW w:w="1239" w:type="pct"/>
            <w:vAlign w:val="center"/>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rPr>
            </w:pPr>
            <w:r>
              <w:rPr>
                <w:rFonts w:hint="eastAsia" w:ascii="仿宋" w:hAnsi="仿宋" w:eastAsia="仿宋" w:cs="仿宋"/>
                <w:color w:val="auto"/>
                <w:szCs w:val="21"/>
                <w:highlight w:val="none"/>
                <w:lang w:val="en-US" w:eastAsia="zh-CN"/>
              </w:rPr>
              <w:t xml:space="preserve">25</w:t>
            </w:r>
            <w:bookmarkEnd w:id="258"/>
            <w:r/>
            <w:r/>
          </w:p>
        </w:tc>
        <w:tc>
          <w:tcPr>
            <w:tcW w:w="1250" w:type="pct"/>
            <w:vAlign w:val="bottom"/>
            <w:textDirection w:val="lrTb"/>
            <w:noWrap w:val="false"/>
          </w:tcPr>
          <w:p>
            <w:pPr>
              <w:ind w:right="0"/>
              <w:jc w:val="center"/>
              <w:keepLines w:val="0"/>
              <w:keepNext w:val="0"/>
              <w:pageBreakBefore w:val="0"/>
              <w:spacing w:line="360" w:lineRule="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20</w:t>
            </w:r>
            <w:r/>
          </w:p>
        </w:tc>
      </w:tr>
    </w:tbl>
    <w:p>
      <w:pPr>
        <w:ind w:firstLine="640"/>
        <w:jc w:val="left"/>
        <w:spacing w:line="560" w:lineRule="exact"/>
        <w:rPr>
          <w:rFonts w:hint="eastAsia" w:ascii="仿宋" w:hAnsi="仿宋" w:eastAsia="仿宋" w:cs="仿宋"/>
          <w:color w:val="auto"/>
          <w:sz w:val="32"/>
          <w:szCs w:val="32"/>
          <w:highlight w:val="none"/>
          <w:u w:val="single"/>
        </w:rPr>
      </w:pPr>
      <w:r/>
      <w:bookmarkStart w:id="259" w:name="_Toc73365520"/>
      <w:r/>
      <w:bookmarkStart w:id="260" w:name="_Toc142925675"/>
      <w:r/>
      <w:bookmarkStart w:id="261" w:name="_Toc73364907"/>
      <w:r/>
      <w:r/>
    </w:p>
    <w:tbl>
      <w:tblPr>
        <w:tblStyle w:val="766"/>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722"/>
        <w:gridCol w:w="5645"/>
        <w:gridCol w:w="967"/>
      </w:tblGrid>
      <w:tr>
        <w:trPr>
          <w:trHeight w:val="362"/>
        </w:trPr>
        <w:tc>
          <w:tcPr>
            <w:tcW w:w="475"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序号</w:t>
            </w:r>
            <w:r/>
          </w:p>
        </w:tc>
        <w:tc>
          <w:tcPr>
            <w:tcW w:w="935"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评审因素</w:t>
            </w:r>
            <w:r/>
          </w:p>
        </w:tc>
        <w:tc>
          <w:tcPr>
            <w:tcW w:w="3064"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1"/>
                <w:sz w:val="24"/>
                <w:szCs w:val="24"/>
              </w:rPr>
              <w:t xml:space="preserve">评审细则</w:t>
            </w:r>
            <w:r/>
          </w:p>
        </w:tc>
        <w:tc>
          <w:tcPr>
            <w:tcW w:w="524" w:type="pct"/>
            <w:vAlign w:val="top"/>
            <w:textDirection w:val="lrTb"/>
            <w:noWrap w:val="false"/>
          </w:tcPr>
          <w:p>
            <w:pPr>
              <w:jc w:val="center"/>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分值</w:t>
            </w:r>
            <w:r/>
          </w:p>
        </w:tc>
      </w:tr>
      <w:tr>
        <w:trPr>
          <w:trHeight w:val="362"/>
        </w:trPr>
        <w:tc>
          <w:tcPr>
            <w:tcW w:w="475"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一</w:t>
            </w:r>
            <w:r/>
          </w:p>
        </w:tc>
        <w:tc>
          <w:tcPr>
            <w:gridSpan w:val="3"/>
            <w:tcW w:w="4524" w:type="pct"/>
            <w:vAlign w:val="top"/>
            <w:textDirection w:val="lrTb"/>
            <w:noWrap w:val="false"/>
          </w:tcPr>
          <w:p>
            <w:pPr>
              <w:jc w:val="center"/>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技术部分</w:t>
            </w:r>
            <w:r/>
          </w:p>
        </w:tc>
      </w:tr>
      <w:tr>
        <w:trPr>
          <w:trHeight w:val="2789"/>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针对</w:t>
            </w:r>
            <w:r>
              <w:rPr>
                <w:rFonts w:hint="eastAsia" w:ascii="仿宋" w:hAnsi="仿宋" w:eastAsia="仿宋" w:cs="仿宋"/>
                <w:color w:val="auto"/>
                <w:sz w:val="24"/>
                <w:szCs w:val="24"/>
                <w:vertAlign w:val="baseline"/>
                <w:lang w:val="zh-CN" w:eastAsia="zh-CN"/>
              </w:rPr>
              <w:t xml:space="preserve">本项目</w:t>
            </w:r>
            <w:r>
              <w:rPr>
                <w:rFonts w:hint="eastAsia" w:ascii="仿宋" w:hAnsi="仿宋" w:eastAsia="仿宋" w:cs="仿宋"/>
                <w:color w:val="auto"/>
                <w:sz w:val="24"/>
                <w:szCs w:val="24"/>
                <w:vertAlign w:val="baseline"/>
                <w:lang w:val="en-US" w:eastAsia="zh-CN"/>
              </w:rPr>
              <w:t xml:space="preserve">采购需求的理解方案</w:t>
            </w:r>
            <w:r/>
          </w:p>
        </w:tc>
        <w:tc>
          <w:tcPr>
            <w:tcW w:w="3064" w:type="pct"/>
            <w:vAlign w:val="top"/>
            <w:textDirection w:val="lrTb"/>
            <w:noWrap w:val="false"/>
          </w:tcPr>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根据供应商提供的针对本项目采购需求的理解方案，包括但不限于：运维范围、运维责任、设施运行情况、内外部环境、污水处理工艺等分析进行评价，方案完全包含上述要点且满足招标文件要求的得 5分，方案每缺1项内容扣1分。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454"/>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1.2</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zh-CN" w:eastAsia="zh-CN"/>
              </w:rPr>
              <w:t xml:space="preserve">维护方案</w:t>
            </w:r>
            <w:r/>
          </w:p>
        </w:tc>
        <w:tc>
          <w:tcPr>
            <w:tcW w:w="3064" w:type="pct"/>
            <w:vAlign w:val="top"/>
            <w:textDirection w:val="lrTb"/>
            <w:noWrap w:val="false"/>
          </w:tcPr>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运营维护方案，包括但不限于：维护工作流程、定期检查计划、设备设施保养和检修方案、水质检测方案、故障分析措施、巡检台账等响应情况进行评价，方案完全包含上述要点且满足招标文件要求的得6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454"/>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1.3</w:t>
            </w:r>
            <w:r/>
          </w:p>
        </w:tc>
        <w:tc>
          <w:tcPr>
            <w:tcW w:w="93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default" w:ascii="仿宋" w:hAnsi="仿宋" w:eastAsia="仿宋" w:cs="仿宋"/>
                <w:color w:val="auto"/>
                <w:sz w:val="24"/>
                <w:szCs w:val="24"/>
                <w:vertAlign w:val="baseline"/>
                <w:lang w:val="en-US" w:eastAsia="zh-CN"/>
              </w:rPr>
              <w:t xml:space="preserve">安全保证体系和安全保证措施方案</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根据供应商提供的</w:t>
            </w:r>
            <w:r>
              <w:rPr>
                <w:rFonts w:hint="eastAsia" w:ascii="仿宋" w:hAnsi="仿宋" w:eastAsia="仿宋" w:cs="仿宋"/>
                <w:color w:val="auto"/>
                <w:sz w:val="24"/>
                <w:szCs w:val="24"/>
                <w:lang w:eastAsia="zh-CN"/>
              </w:rPr>
              <w:t xml:space="preserve">安全保证体系和安全保证措施方案，包括但不限于：</w:t>
            </w:r>
            <w:r>
              <w:rPr>
                <w:rFonts w:hint="eastAsia" w:ascii="仿宋" w:hAnsi="仿宋" w:eastAsia="仿宋" w:cs="仿宋"/>
                <w:color w:val="auto"/>
                <w:sz w:val="24"/>
                <w:szCs w:val="24"/>
                <w:lang w:val="en-US" w:eastAsia="zh-CN"/>
              </w:rPr>
              <w:t xml:space="preserve">安全组织保障体系、安全监督保障体系、安全技术保障体系、日常运维工作安全措施、专项作业安全措施</w:t>
            </w:r>
            <w:r>
              <w:rPr>
                <w:rFonts w:hint="eastAsia" w:ascii="仿宋" w:hAnsi="仿宋" w:eastAsia="仿宋" w:cs="仿宋"/>
                <w:color w:val="auto"/>
                <w:sz w:val="24"/>
                <w:szCs w:val="24"/>
                <w:lang w:eastAsia="zh-CN"/>
              </w:rPr>
              <w:t xml:space="preserve">等响应情况进行评价</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eastAsia="zh-CN"/>
              </w:rPr>
              <w:t xml:space="preserve">方案完全包含上述要点且满足招标文件要求的得 </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分，方案</w:t>
            </w:r>
            <w:r>
              <w:rPr>
                <w:rFonts w:hint="eastAsia" w:ascii="仿宋" w:hAnsi="仿宋" w:eastAsia="仿宋" w:cs="仿宋"/>
                <w:color w:val="auto"/>
                <w:sz w:val="24"/>
                <w:szCs w:val="24"/>
                <w:lang w:val="en-US" w:eastAsia="zh-CN"/>
              </w:rPr>
              <w:t xml:space="preserve">每缺1项内容扣1分</w:t>
            </w:r>
            <w:r>
              <w:rPr>
                <w:rFonts w:hint="eastAsia" w:ascii="仿宋" w:hAnsi="仿宋" w:eastAsia="仿宋" w:cs="仿宋"/>
                <w:color w:val="auto"/>
                <w:sz w:val="24"/>
                <w:szCs w:val="24"/>
                <w:lang w:eastAsia="zh-CN"/>
              </w:rPr>
              <w:t xml:space="preserve">。</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505"/>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1.4</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突发情况应急处理方案</w:t>
            </w:r>
            <w:r/>
          </w:p>
        </w:tc>
        <w:tc>
          <w:tcPr>
            <w:tcW w:w="3064" w:type="pct"/>
            <w:vAlign w:val="top"/>
            <w:textDirection w:val="lrTb"/>
            <w:noWrap w:val="false"/>
          </w:tcPr>
          <w:p>
            <w:pPr>
              <w:ind w:left="0" w:righ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根据供应商提供的突发情况应急处理方案，包括但不限于：应急组织体系、应急处理流程、突发事件的分类与分级、突发事件处理方法、演练方案等响应情况进行评价，方案完全包含上述要点且满足招标文件要求的得 5分，方案每缺1项内容扣1分。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2425"/>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1.5</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综合投入方案</w:t>
            </w:r>
            <w:r/>
          </w:p>
        </w:tc>
        <w:tc>
          <w:tcPr>
            <w:tcW w:w="3064" w:type="pct"/>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根据供应商提供的综合投入方案，包括但不限于：人员、车辆、设备配备等响应情况进行评价，方案完全包含上述要点且满足招标文件要求的得 6分，方案每缺1项内容扣2分。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依据采购需求方案切实可行的加1分；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vertAlign w:val="baseline"/>
              </w:rPr>
            </w:pPr>
            <w:r>
              <w:rPr>
                <w:rFonts w:ascii="FangSong" w:hAnsi="FangSong" w:eastAsia="FangSong" w:cs="FangSong"/>
                <w:color w:val="000000"/>
                <w:sz w:val="24"/>
              </w:rPr>
              <w:t xml:space="preserve">未提供的不得分。</w:t>
            </w:r>
            <w:r/>
            <w:r>
              <w:rPr>
                <w:rFonts w:hint="eastAsia" w:ascii="仿宋" w:hAnsi="仿宋" w:eastAsia="仿宋" w:cs="仿宋"/>
                <w:color w:val="auto"/>
                <w:sz w:val="24"/>
                <w:szCs w:val="24"/>
                <w:vertAlign w:val="baseline"/>
              </w:rPr>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1965"/>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1.6</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运维管理制度方案</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根据供应商提供的运维管理制度方案，包括但不限于：运营组织架构设置、岗位职责划分、运营管理制度体系、日常运营工作流程、运营目标等响应情况进行评价，方案完全包含上述要点且满足招标文件要求的得 5分，方案每缺1项内容扣1分，不提供方案的不得分。</w:t>
            </w:r>
            <w:r/>
          </w:p>
          <w:p>
            <w:pPr>
              <w:ind w:left="0" w:righ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依据采购需求方案切实可行的加2分；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结合采购需求供应商提供的技术方案符合姚桥镇现场实际情况的加2分；</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未提供的不得分。</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710"/>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二</w:t>
            </w:r>
            <w:r/>
          </w:p>
        </w:tc>
        <w:tc>
          <w:tcPr>
            <w:gridSpan w:val="3"/>
            <w:tcW w:w="4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商务部分</w:t>
            </w:r>
            <w:r/>
          </w:p>
        </w:tc>
      </w:tr>
      <w:tr>
        <w:trPr>
          <w:trHeight w:val="1436"/>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pacing w:val="-3"/>
                <w:sz w:val="24"/>
                <w:szCs w:val="24"/>
              </w:rPr>
              <w:t xml:space="preserve">成功案</w:t>
            </w:r>
            <w:r>
              <w:rPr>
                <w:rFonts w:hint="eastAsia" w:ascii="仿宋" w:hAnsi="仿宋" w:eastAsia="仿宋" w:cs="仿宋"/>
                <w:color w:val="auto"/>
                <w:spacing w:val="-2"/>
                <w:sz w:val="24"/>
                <w:szCs w:val="24"/>
              </w:rPr>
              <w:t xml:space="preserve">例评价</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提供2023年1月1日以来的类似项目的相关业绩（以合同签订时间为准，需包含污水设施运维内容）,每有一个业绩得5分，本项最高得10分。</w:t>
            </w:r>
            <w:r/>
          </w:p>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注：需提供合同原件扫描件并加盖公章，未提供或提供不全的不得分。合同应能反映相关信息，严禁提供虚假材料，否则承担一切责任。</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10分</w:t>
            </w:r>
            <w:r/>
          </w:p>
        </w:tc>
      </w:tr>
      <w:tr>
        <w:trPr>
          <w:trHeight w:val="1436"/>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pacing w:val="-3"/>
                <w:sz w:val="24"/>
                <w:szCs w:val="24"/>
              </w:rPr>
            </w:pPr>
            <w:r>
              <w:rPr>
                <w:rFonts w:hint="eastAsia" w:ascii="仿宋" w:hAnsi="仿宋" w:eastAsia="仿宋" w:cs="仿宋"/>
                <w:color w:val="auto"/>
                <w:sz w:val="24"/>
                <w:szCs w:val="24"/>
                <w:vertAlign w:val="baseline"/>
              </w:rPr>
              <w:t xml:space="preserve">管理体系</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rPr>
              <w:t xml:space="preserve">具有有效的质量管理体系、环境管理体系、职业健康安全管理体系认证证书，</w:t>
            </w:r>
            <w:r>
              <w:rPr>
                <w:rFonts w:hint="eastAsia" w:ascii="仿宋" w:hAnsi="仿宋" w:eastAsia="仿宋" w:cs="仿宋"/>
                <w:color w:val="auto"/>
                <w:sz w:val="24"/>
                <w:szCs w:val="24"/>
                <w:vertAlign w:val="baseline"/>
                <w:lang w:eastAsia="zh-CN"/>
              </w:rPr>
              <w:t xml:space="preserve">提供一个得</w:t>
            </w:r>
            <w:r>
              <w:rPr>
                <w:rFonts w:hint="eastAsia" w:ascii="仿宋" w:hAnsi="仿宋" w:eastAsia="仿宋" w:cs="仿宋"/>
                <w:color w:val="auto"/>
                <w:sz w:val="24"/>
                <w:szCs w:val="24"/>
                <w:vertAlign w:val="baseline"/>
                <w:lang w:val="en-US" w:eastAsia="zh-CN"/>
              </w:rPr>
              <w:t xml:space="preserve">2分，本项</w:t>
            </w:r>
            <w:r>
              <w:rPr>
                <w:rFonts w:hint="eastAsia" w:ascii="仿宋" w:hAnsi="仿宋" w:eastAsia="仿宋" w:cs="仿宋"/>
                <w:color w:val="auto"/>
                <w:sz w:val="24"/>
                <w:szCs w:val="24"/>
                <w:vertAlign w:val="baseline"/>
              </w:rPr>
              <w:t xml:space="preserve">最高</w:t>
            </w:r>
            <w:r>
              <w:rPr>
                <w:rFonts w:hint="eastAsia" w:ascii="仿宋" w:hAnsi="仿宋" w:eastAsia="仿宋" w:cs="仿宋"/>
                <w:color w:val="auto"/>
                <w:sz w:val="24"/>
                <w:szCs w:val="24"/>
                <w:vertAlign w:val="baseline"/>
                <w:lang w:val="en-US" w:eastAsia="zh-CN"/>
              </w:rPr>
              <w:t xml:space="preserve">6</w:t>
            </w:r>
            <w:r>
              <w:rPr>
                <w:rFonts w:hint="eastAsia" w:ascii="仿宋" w:hAnsi="仿宋" w:eastAsia="仿宋" w:cs="仿宋"/>
                <w:color w:val="auto"/>
                <w:sz w:val="24"/>
                <w:szCs w:val="24"/>
                <w:vertAlign w:val="baseline"/>
              </w:rPr>
              <w:t xml:space="preserve">分。</w:t>
            </w:r>
            <w:r/>
          </w:p>
          <w:p>
            <w:pPr>
              <w:ind w:firstLine="480"/>
              <w:jc w:val="both"/>
              <w:spacing w:line="360" w:lineRule="auto"/>
              <w:widowControl w:val="off"/>
              <w:rPr>
                <w:rFonts w:hint="eastAsia"/>
                <w:color w:val="auto"/>
              </w:rPr>
            </w:pPr>
            <w:r>
              <w:rPr>
                <w:rFonts w:hint="eastAsia" w:ascii="仿宋" w:hAnsi="仿宋" w:eastAsia="仿宋" w:cs="仿宋"/>
                <w:color w:val="auto"/>
                <w:sz w:val="24"/>
                <w:szCs w:val="24"/>
                <w:vertAlign w:val="baseline"/>
                <w:lang w:eastAsia="zh-CN"/>
              </w:rPr>
              <w:t xml:space="preserve">注：提供有效证书扫描件。</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6分</w:t>
            </w:r>
            <w:r/>
          </w:p>
        </w:tc>
      </w:tr>
      <w:tr>
        <w:trPr>
          <w:trHeight w:val="1436"/>
        </w:trPr>
        <w:tc>
          <w:tcPr>
            <w:tcW w:w="475"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w:t>
            </w:r>
            <w:r/>
          </w:p>
        </w:tc>
        <w:tc>
          <w:tcPr>
            <w:tcW w:w="935" w:type="pct"/>
            <w:vAlign w:val="center"/>
            <w:textDirection w:val="lrTb"/>
            <w:noWrap w:val="false"/>
          </w:tcPr>
          <w:p>
            <w:pPr>
              <w:jc w:val="center"/>
              <w:spacing w:line="360" w:lineRule="auto"/>
              <w:widowControl w:val="off"/>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 xml:space="preserve">团队人员</w:t>
            </w:r>
            <w:r/>
          </w:p>
        </w:tc>
        <w:tc>
          <w:tcPr>
            <w:tcW w:w="3064" w:type="pct"/>
            <w:vAlign w:val="top"/>
            <w:textDirection w:val="lrTb"/>
            <w:noWrap w:val="false"/>
          </w:tcPr>
          <w:p>
            <w:pPr>
              <w:pStyle w:val="732"/>
              <w:numPr>
                <w:ilvl w:val="0"/>
                <w:numId w:val="18"/>
              </w:numPr>
              <w:rPr>
                <w:rFonts w:hint="eastAsia" w:ascii="仿宋" w:hAnsi="仿宋" w:eastAsia="仿宋" w:cs="仿宋"/>
                <w:color w:val="auto"/>
                <w:sz w:val="24"/>
                <w:szCs w:val="24"/>
                <w:vertAlign w:val="baseline"/>
                <w:lang w:val="en-US"/>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提供的</w:t>
            </w:r>
            <w:r>
              <w:rPr>
                <w:rFonts w:hint="eastAsia" w:ascii="仿宋" w:hAnsi="仿宋" w:eastAsia="仿宋" w:cs="仿宋"/>
                <w:color w:val="auto"/>
                <w:sz w:val="24"/>
                <w:szCs w:val="24"/>
                <w:vertAlign w:val="baseline"/>
                <w:lang w:val="en-US"/>
              </w:rPr>
              <w:t xml:space="preserve">项目负责人具有</w:t>
            </w:r>
            <w:r>
              <w:rPr>
                <w:rFonts w:hint="eastAsia" w:ascii="仿宋" w:hAnsi="仿宋" w:eastAsia="仿宋" w:cs="仿宋"/>
                <w:color w:val="auto"/>
                <w:sz w:val="24"/>
                <w:szCs w:val="24"/>
                <w:vertAlign w:val="baseline"/>
                <w:lang w:val="en-US" w:eastAsia="zh-CN"/>
              </w:rPr>
              <w:t xml:space="preserve">环境工程</w:t>
            </w:r>
            <w:r>
              <w:rPr>
                <w:rFonts w:hint="eastAsia" w:ascii="仿宋" w:hAnsi="仿宋" w:eastAsia="仿宋" w:cs="仿宋"/>
                <w:color w:val="auto"/>
                <w:sz w:val="24"/>
                <w:szCs w:val="24"/>
                <w:vertAlign w:val="baseline"/>
                <w:lang w:val="en-US"/>
              </w:rPr>
              <w:t xml:space="preserve">专业</w:t>
            </w:r>
            <w:r>
              <w:rPr>
                <w:rFonts w:hint="eastAsia" w:ascii="仿宋" w:hAnsi="仿宋" w:eastAsia="仿宋" w:cs="仿宋"/>
                <w:color w:val="auto"/>
                <w:sz w:val="24"/>
                <w:szCs w:val="24"/>
                <w:vertAlign w:val="baseline"/>
                <w:lang w:val="en-US" w:eastAsia="zh-CN"/>
              </w:rPr>
              <w:t xml:space="preserve">中级</w:t>
            </w:r>
            <w:r>
              <w:rPr>
                <w:rFonts w:hint="eastAsia" w:ascii="仿宋" w:hAnsi="仿宋" w:eastAsia="仿宋" w:cs="仿宋"/>
                <w:color w:val="auto"/>
                <w:sz w:val="24"/>
                <w:szCs w:val="24"/>
                <w:vertAlign w:val="baseline"/>
                <w:lang w:val="en-US"/>
              </w:rPr>
              <w:t xml:space="preserve">及以上工程师证书的得</w:t>
            </w:r>
            <w:r>
              <w:rPr>
                <w:rFonts w:hint="eastAsia" w:ascii="仿宋" w:hAnsi="仿宋" w:eastAsia="仿宋" w:cs="仿宋"/>
                <w:color w:val="auto"/>
                <w:sz w:val="24"/>
                <w:szCs w:val="24"/>
                <w:vertAlign w:val="baseline"/>
                <w:lang w:val="en-US" w:eastAsia="zh-CN"/>
              </w:rPr>
              <w:t xml:space="preserve">5</w:t>
            </w:r>
            <w:r>
              <w:rPr>
                <w:rFonts w:hint="eastAsia" w:ascii="仿宋" w:hAnsi="仿宋" w:eastAsia="仿宋" w:cs="仿宋"/>
                <w:color w:val="auto"/>
                <w:sz w:val="24"/>
                <w:szCs w:val="24"/>
                <w:vertAlign w:val="baseline"/>
                <w:lang w:val="en-US"/>
              </w:rPr>
              <w:t xml:space="preserve">分。</w:t>
            </w:r>
            <w:r/>
          </w:p>
          <w:p>
            <w:pPr>
              <w:pStyle w:val="732"/>
              <w:numPr>
                <w:ilvl w:val="0"/>
                <w:numId w:val="18"/>
              </w:num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eastAsia="zh-CN"/>
              </w:rPr>
              <w:t xml:space="preserve">供应商</w:t>
            </w:r>
            <w:r>
              <w:rPr>
                <w:rFonts w:hint="eastAsia" w:ascii="仿宋" w:hAnsi="仿宋" w:eastAsia="仿宋" w:cs="仿宋"/>
                <w:color w:val="auto"/>
                <w:sz w:val="24"/>
                <w:szCs w:val="24"/>
                <w:vertAlign w:val="baseline"/>
                <w:lang w:val="en-US" w:eastAsia="zh-CN"/>
              </w:rPr>
              <w:t xml:space="preserve">提供的技术负责人</w:t>
            </w:r>
            <w:r>
              <w:rPr>
                <w:rFonts w:hint="eastAsia" w:ascii="仿宋" w:hAnsi="仿宋" w:eastAsia="仿宋" w:cs="仿宋"/>
                <w:color w:val="auto"/>
                <w:sz w:val="24"/>
                <w:szCs w:val="24"/>
                <w:vertAlign w:val="baseline"/>
                <w:lang w:val="en-US"/>
              </w:rPr>
              <w:t xml:space="preserve">具有</w:t>
            </w:r>
            <w:r>
              <w:rPr>
                <w:rFonts w:hint="eastAsia" w:ascii="仿宋" w:hAnsi="仿宋" w:eastAsia="仿宋" w:cs="仿宋"/>
                <w:color w:val="auto"/>
                <w:sz w:val="24"/>
                <w:szCs w:val="24"/>
                <w:vertAlign w:val="baseline"/>
                <w:lang w:val="en-US" w:eastAsia="zh-CN"/>
              </w:rPr>
              <w:t xml:space="preserve">环境工程</w:t>
            </w:r>
            <w:r>
              <w:rPr>
                <w:rFonts w:hint="eastAsia" w:ascii="仿宋" w:hAnsi="仿宋" w:eastAsia="仿宋" w:cs="仿宋"/>
                <w:color w:val="auto"/>
                <w:sz w:val="24"/>
                <w:szCs w:val="24"/>
                <w:vertAlign w:val="baseline"/>
                <w:lang w:val="en-US"/>
              </w:rPr>
              <w:t xml:space="preserve">专业</w:t>
            </w:r>
            <w:r>
              <w:rPr>
                <w:rFonts w:hint="eastAsia" w:ascii="仿宋" w:hAnsi="仿宋" w:eastAsia="仿宋" w:cs="仿宋"/>
                <w:color w:val="auto"/>
                <w:sz w:val="24"/>
                <w:szCs w:val="24"/>
                <w:vertAlign w:val="baseline"/>
                <w:lang w:val="en-US" w:eastAsia="zh-CN"/>
              </w:rPr>
              <w:t xml:space="preserve">中级</w:t>
            </w:r>
            <w:r>
              <w:rPr>
                <w:rFonts w:hint="eastAsia" w:ascii="仿宋" w:hAnsi="仿宋" w:eastAsia="仿宋" w:cs="仿宋"/>
                <w:color w:val="auto"/>
                <w:sz w:val="24"/>
                <w:szCs w:val="24"/>
                <w:vertAlign w:val="baseline"/>
                <w:lang w:val="en-US"/>
              </w:rPr>
              <w:t xml:space="preserve">及以上工程师证书的得</w:t>
            </w:r>
            <w:r>
              <w:rPr>
                <w:rFonts w:hint="eastAsia" w:ascii="仿宋" w:hAnsi="仿宋" w:eastAsia="仿宋" w:cs="仿宋"/>
                <w:color w:val="auto"/>
                <w:sz w:val="24"/>
                <w:szCs w:val="24"/>
                <w:vertAlign w:val="baseline"/>
                <w:lang w:val="en-US" w:eastAsia="zh-CN"/>
              </w:rPr>
              <w:t xml:space="preserve">4</w:t>
            </w:r>
            <w:r>
              <w:rPr>
                <w:rFonts w:hint="eastAsia" w:ascii="仿宋" w:hAnsi="仿宋" w:eastAsia="仿宋" w:cs="仿宋"/>
                <w:color w:val="auto"/>
                <w:sz w:val="24"/>
                <w:szCs w:val="24"/>
                <w:vertAlign w:val="baseline"/>
                <w:lang w:val="en-US"/>
              </w:rPr>
              <w:t xml:space="preserve">分。</w:t>
            </w:r>
            <w:r/>
          </w:p>
          <w:p>
            <w:pPr>
              <w:pStyle w:val="732"/>
              <w:numPr>
                <w:ilvl w:val="0"/>
                <w:numId w:val="0"/>
              </w:numPr>
              <w:ind w:firstLine="480"/>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lang w:val="en-US" w:eastAsia="zh-CN"/>
              </w:rPr>
              <w:t xml:space="preserve">注：上述岗位人员不得重复，上述要求提供证书的须提供有效证书扫描件及投标供应商为其缴纳的近半年内任意一个月的基本养老保险证明材料扫描件。</w:t>
            </w:r>
            <w:r/>
          </w:p>
        </w:tc>
        <w:tc>
          <w:tcPr>
            <w:tcW w:w="524" w:type="pct"/>
            <w:vAlign w:val="center"/>
            <w:textDirection w:val="lrTb"/>
            <w:noWrap w:val="false"/>
          </w:tcPr>
          <w:p>
            <w:pPr>
              <w:jc w:val="center"/>
              <w:spacing w:line="360" w:lineRule="auto"/>
              <w:widowControl w:val="off"/>
              <w:rPr>
                <w:rFonts w:hint="default"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9分</w:t>
            </w:r>
            <w:r/>
          </w:p>
        </w:tc>
      </w:tr>
      <w:tr>
        <w:trPr>
          <w:trHeight w:val="712"/>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三</w:t>
            </w:r>
            <w:r/>
          </w:p>
        </w:tc>
        <w:tc>
          <w:tcPr>
            <w:gridSpan w:val="3"/>
            <w:tcW w:w="4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报价部分</w:t>
            </w:r>
            <w:r/>
          </w:p>
        </w:tc>
      </w:tr>
      <w:tr>
        <w:trPr>
          <w:trHeight w:val="1974"/>
        </w:trPr>
        <w:tc>
          <w:tcPr>
            <w:tcW w:w="47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3.1</w:t>
            </w:r>
            <w:r/>
          </w:p>
        </w:tc>
        <w:tc>
          <w:tcPr>
            <w:tcW w:w="935"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报价得分</w:t>
            </w:r>
            <w:r/>
          </w:p>
        </w:tc>
        <w:tc>
          <w:tcPr>
            <w:tcW w:w="3064" w:type="pct"/>
            <w:vAlign w:val="top"/>
            <w:textDirection w:val="lrTb"/>
            <w:noWrap w:val="false"/>
          </w:tcPr>
          <w:p>
            <w:pPr>
              <w:ind w:firstLine="480"/>
              <w:jc w:val="both"/>
              <w:spacing w:line="360" w:lineRule="auto"/>
              <w:widowControl w:val="off"/>
              <w:rPr>
                <w:rFonts w:hint="eastAsia" w:ascii="仿宋" w:hAnsi="仿宋" w:eastAsia="仿宋" w:cs="仿宋"/>
                <w:color w:val="auto"/>
                <w:sz w:val="24"/>
                <w:szCs w:val="24"/>
                <w:vertAlign w:val="baseline"/>
              </w:rPr>
            </w:pPr>
            <w:r>
              <w:rPr>
                <w:rFonts w:hint="eastAsia" w:ascii="仿宋" w:hAnsi="仿宋" w:eastAsia="仿宋" w:cs="仿宋"/>
                <w:color w:val="auto"/>
                <w:sz w:val="24"/>
                <w:szCs w:val="24"/>
                <w:vertAlign w:val="baseline"/>
              </w:rPr>
              <w:t xml:space="preserve">综合评分法中的价格分采用低价优先法计算，即满足磋商文件要求且最后报价最低的供应商的价格为磋商基准价，其价格分为满分20分。其他供应商的价格分统一按照下列公式计算：磋商报价得分=(磋商基准价／最后磋商报价)×20。</w:t>
            </w:r>
            <w:r/>
          </w:p>
        </w:tc>
        <w:tc>
          <w:tcPr>
            <w:tcW w:w="524" w:type="pct"/>
            <w:vAlign w:val="center"/>
            <w:textDirection w:val="lrTb"/>
            <w:noWrap w:val="false"/>
          </w:tcPr>
          <w:p>
            <w:pPr>
              <w:jc w:val="center"/>
              <w:spacing w:line="360" w:lineRule="auto"/>
              <w:widowControl w:val="off"/>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20分</w:t>
            </w:r>
            <w:r/>
          </w:p>
        </w:tc>
      </w:tr>
    </w:tbl>
    <w:p>
      <w:pPr>
        <w:pStyle w:val="805"/>
        <w:ind w:firstLine="321"/>
        <w:jc w:val="left"/>
        <w:spacing w:before="0" w:after="0"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7．推荐成交供应商</w:t>
      </w:r>
      <w:bookmarkEnd w:id="259"/>
      <w:r/>
      <w:bookmarkEnd w:id="260"/>
      <w:r/>
      <w:bookmarkEnd w:id="261"/>
      <w:r/>
      <w:r/>
    </w:p>
    <w:p>
      <w:pPr>
        <w:ind w:firstLine="480"/>
        <w:spacing w:line="360" w:lineRule="auto"/>
        <w:rPr>
          <w:rFonts w:hint="eastAsia" w:ascii="仿宋" w:hAnsi="仿宋" w:eastAsia="仿宋" w:cs="仿宋"/>
          <w:color w:val="auto"/>
          <w:sz w:val="24"/>
          <w:highlight w:val="none"/>
        </w:rPr>
      </w:pPr>
      <w:r/>
      <w:bookmarkStart w:id="262" w:name="EBf60c0b78baae4cd4941a83c86b937dfd"/>
      <w:r>
        <w:rPr>
          <w:rFonts w:hint="eastAsia" w:ascii="仿宋" w:hAnsi="仿宋" w:eastAsia="仿宋" w:cs="仿宋"/>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62"/>
      <w:r/>
      <w:r/>
    </w:p>
    <w:p>
      <w:pPr>
        <w:pStyle w:val="806"/>
        <w:keepLines w:val="0"/>
        <w:keepNext w:val="0"/>
        <w:spacing w:before="200" w:after="200" w:line="360" w:lineRule="auto"/>
        <w:rPr>
          <w:rFonts w:hint="eastAsia" w:ascii="仿宋" w:hAnsi="仿宋" w:eastAsia="仿宋" w:cs="仿宋"/>
          <w:b w:val="0"/>
          <w:bCs w:val="0"/>
          <w:color w:val="auto"/>
          <w:sz w:val="21"/>
          <w:szCs w:val="22"/>
          <w:highlight w:val="none"/>
        </w:rPr>
      </w:pPr>
      <w:r/>
      <w:bookmarkStart w:id="263" w:name="EB33162866c0454b07a982cbc9df098632"/>
      <w:r/>
      <w:bookmarkEnd w:id="263"/>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bookmarkStart w:id="264" w:name="_Toc73364908"/>
      <w:r/>
      <w:bookmarkStart w:id="265" w:name="_Toc73365521"/>
      <w:r/>
      <w:bookmarkStart w:id="266" w:name="_Toc142925676"/>
      <w:r>
        <w:rPr>
          <w:rFonts w:hint="eastAsia" w:ascii="仿宋" w:hAnsi="仿宋" w:eastAsia="仿宋" w:cs="仿宋"/>
          <w:color w:val="auto"/>
          <w:sz w:val="32"/>
          <w:highlight w:val="none"/>
        </w:rPr>
        <w:br w:type="page" w:clear="all"/>
      </w:r>
      <w:r/>
    </w:p>
    <w:p>
      <w:pPr>
        <w:pStyle w:val="80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第六部分  磋商响应文件（格式）</w:t>
      </w:r>
      <w:bookmarkEnd w:id="264"/>
      <w:r/>
      <w:bookmarkEnd w:id="265"/>
      <w:r/>
      <w:bookmarkEnd w:id="266"/>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540" w:after="540"/>
        <w:rPr>
          <w:rFonts w:hint="eastAsia" w:ascii="仿宋" w:hAnsi="仿宋" w:eastAsia="仿宋" w:cs="仿宋"/>
          <w:b/>
          <w:bCs/>
          <w:color w:val="auto"/>
          <w:sz w:val="54"/>
          <w:szCs w:val="54"/>
          <w:highlight w:val="none"/>
        </w:rPr>
      </w:pPr>
      <w:r>
        <w:rPr>
          <w:rFonts w:hint="eastAsia" w:ascii="仿宋" w:hAnsi="仿宋" w:eastAsia="仿宋" w:cs="仿宋"/>
          <w:b/>
          <w:bCs/>
          <w:color w:val="auto"/>
          <w:sz w:val="54"/>
          <w:szCs w:val="54"/>
          <w:highlight w:val="none"/>
        </w:rPr>
        <w:t xml:space="preserve">磋 商 响 应 文 件</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项目编号：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项目名称：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供应商（加盖公章）：     </w:t>
      </w:r>
      <w:r/>
    </w:p>
    <w:p>
      <w:pPr>
        <w:pStyle w:val="991"/>
        <w:jc w:val="center"/>
        <w:spacing w:before="320" w:after="32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w:t>
      </w:r>
      <w:r/>
    </w:p>
    <w:p>
      <w:pPr>
        <w:pStyle w:val="991"/>
        <w:jc w:val="center"/>
        <w:spacing w:before="320" w:after="32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日期：   </w:t>
      </w:r>
      <w:r/>
    </w:p>
    <w:p>
      <w:pPr>
        <w:jc w:val="center"/>
        <w:spacing w:line="360" w:lineRule="auto"/>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highlight w:val="none"/>
        </w:rPr>
        <w:br w:type="page" w:clear="all"/>
      </w:r>
      <w:bookmarkStart w:id="267" w:name="_Toc256000067"/>
      <w:r/>
      <w:bookmarkStart w:id="268" w:name="_Toc142925679"/>
      <w:r>
        <w:rPr>
          <w:rFonts w:hint="eastAsia" w:ascii="仿宋" w:hAnsi="仿宋" w:eastAsia="仿宋" w:cs="仿宋"/>
          <w:color w:val="auto"/>
          <w:sz w:val="30"/>
          <w:szCs w:val="20"/>
          <w:highlight w:val="none"/>
        </w:rPr>
        <w:t xml:space="preserve">一、资格部分</w:t>
      </w:r>
      <w:r/>
    </w:p>
    <w:p>
      <w:pPr>
        <w:jc w:val="center"/>
        <w:spacing w:line="460" w:lineRule="exact"/>
        <w:widowControl/>
        <w:rPr>
          <w:rFonts w:hint="eastAsia" w:ascii="仿宋" w:hAnsi="仿宋" w:eastAsia="仿宋" w:cs="仿宋"/>
          <w:color w:val="auto"/>
          <w:sz w:val="29"/>
          <w:szCs w:val="20"/>
          <w:highlight w:val="none"/>
        </w:rPr>
      </w:pPr>
      <w:r/>
      <w:bookmarkStart w:id="269" w:name="page44"/>
      <w:r/>
      <w:bookmarkEnd w:id="269"/>
      <w:r>
        <w:rPr>
          <w:rFonts w:hint="eastAsia" w:ascii="仿宋" w:hAnsi="仿宋" w:eastAsia="仿宋" w:cs="仿宋"/>
          <w:color w:val="auto"/>
          <w:sz w:val="29"/>
          <w:szCs w:val="20"/>
          <w:highlight w:val="none"/>
        </w:rPr>
        <w:t xml:space="preserve">（一）磋商承诺函</w:t>
      </w:r>
      <w:r/>
    </w:p>
    <w:p>
      <w:pPr>
        <w:jc w:val="left"/>
        <w:spacing w:line="460" w:lineRule="exact"/>
        <w:widowControl/>
        <w:tabs>
          <w:tab w:val="left" w:pos="118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致：</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（磋商组织方）</w:t>
      </w:r>
      <w:r/>
    </w:p>
    <w:p>
      <w:pPr>
        <w:ind w:left="420"/>
        <w:jc w:val="left"/>
        <w:spacing w:line="460" w:lineRule="exact"/>
        <w:widowControl/>
        <w:tabs>
          <w:tab w:val="left" w:pos="256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根据贵方关于</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的磋商邀请，我方已完全理解磋商文件的所有内容。</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据此函，我方兹宣布同意如下：</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1.我方承诺：我方完全具备《政府采购法》第二十二条第一款规定的条件以及本项目磋商文件规定的参加磋商供应商须满足的特定条件。</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2.我方承诺：参加本次采购活动前三年内，在经营活动中没有重大违法记录。</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3.我方承诺：我方信用记录中没有被列入失信被执行人、没有被列入重大税收违法案件名单、没有被列入政府采购违法失信行为记录名单。</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4.我方承诺按磋商文件要求提供的服务及货物的磋商报价见报价一览表。</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5．我方承诺根据磋商文件的规定，完成合同义务，并承担责任（如有偏离，在响应文件中另作说明）。</w:t>
      </w:r>
      <w:r/>
    </w:p>
    <w:p>
      <w:pPr>
        <w:ind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6．我方已详读全部磋商文件，包括磋商文件书面修改通知（如有），我方完全理解并同意放弃对这方面不明及误解的权利。</w:t>
      </w:r>
      <w:r/>
    </w:p>
    <w:p>
      <w:pPr>
        <w:ind w:right="20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7．我方承诺响应文件及所有材料的完整、真实、合法、有效，并对其负责。承诺在磋商期间，如磋商小组对我方提出澄清要求，将及时作出响应，否则自行承担后果。</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8．我方同意从规定的磋商日期起遵循本磋商文件，并在规定的磋商有效期期满之前均具有约束力。</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9．我方同意向贵方提供贵方可能要求的与本磋商有关的任何证据或资料。</w:t>
      </w:r>
      <w:r/>
    </w:p>
    <w:p>
      <w:pPr>
        <w:ind w:right="18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10.我方知道如用虚假材料或恶意方式向贵方提出质疑，将承担相应的法律责任。同时承诺：我方如果有上述行为，将无条件承担贵方相关的调查论证费用。</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11．本次响应文件内容与磋商文件内容偏离见磋商偏离表（如果有）。</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12．遵守磋商文件中要求的收费项目和标准。</w:t>
      </w:r>
      <w:r/>
    </w:p>
    <w:p>
      <w:pPr>
        <w:ind w:right="60" w:firstLine="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13．我方将严格遵守《中华人民共和国政府采购法》，若存在违法违规行为，自愿承担相应的法律后果。</w:t>
      </w:r>
      <w:r/>
    </w:p>
    <w:p>
      <w:pPr>
        <w:ind w:left="4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14．与本磋商有关的一切正式往来通讯请寄：</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地址：</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电话：</w:t>
      </w:r>
      <w:r/>
    </w:p>
    <w:p>
      <w:pPr>
        <w:ind w:left="3000"/>
        <w:jc w:val="left"/>
        <w:spacing w:line="460" w:lineRule="exact"/>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传真：</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邮政编码：</w:t>
      </w:r>
      <w:bookmarkStart w:id="270" w:name="page45"/>
      <w:r/>
      <w:bookmarkEnd w:id="270"/>
      <w:r/>
      <w:r/>
    </w:p>
    <w:p>
      <w:pPr>
        <w:ind w:left="3000"/>
        <w:jc w:val="left"/>
        <w:spacing w:line="460" w:lineRule="exact"/>
        <w:widowControl/>
        <w:tabs>
          <w:tab w:val="left" w:pos="4540" w:leader="none"/>
        </w:tabs>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供应商（公章）：</w:t>
      </w:r>
      <w:r/>
    </w:p>
    <w:p>
      <w:pPr>
        <w:ind w:firstLine="2990"/>
        <w:jc w:val="left"/>
        <w:spacing w:line="460" w:lineRule="exact"/>
        <w:widowControl/>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法定代表人签章：</w:t>
      </w:r>
      <w:r/>
    </w:p>
    <w:p>
      <w:pPr>
        <w:ind w:left="2839" w:firstLine="120"/>
        <w:jc w:val="left"/>
        <w:spacing w:line="460" w:lineRule="exact"/>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 期：</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71" w:name="page46"/>
      <w:r/>
      <w:bookmarkEnd w:id="271"/>
      <w:r>
        <w:rPr>
          <w:rFonts w:hint="eastAsia" w:ascii="仿宋" w:hAnsi="仿宋" w:eastAsia="仿宋" w:cs="仿宋"/>
          <w:color w:val="auto"/>
          <w:sz w:val="29"/>
          <w:szCs w:val="20"/>
          <w:highlight w:val="none"/>
        </w:rPr>
        <w:t xml:space="preserve">（二）独立承担民事责任的能力</w:t>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2" w:name="page47"/>
      <w:r/>
      <w:bookmarkEnd w:id="272"/>
      <w:r>
        <w:rPr>
          <w:rFonts w:hint="eastAsia" w:ascii="仿宋" w:hAnsi="仿宋" w:eastAsia="仿宋" w:cs="仿宋"/>
          <w:color w:val="auto"/>
          <w:sz w:val="29"/>
          <w:szCs w:val="20"/>
          <w:highlight w:val="none"/>
        </w:rPr>
        <w:t xml:space="preserve">（三）良好的商业信誉和健全的财务会计制度</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jc w:val="left"/>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3" w:name="page48"/>
      <w:r/>
      <w:bookmarkEnd w:id="273"/>
      <w:r>
        <w:rPr>
          <w:rFonts w:hint="eastAsia" w:ascii="仿宋" w:hAnsi="仿宋" w:eastAsia="仿宋" w:cs="仿宋"/>
          <w:color w:val="auto"/>
          <w:sz w:val="29"/>
          <w:szCs w:val="20"/>
          <w:highlight w:val="none"/>
        </w:rPr>
        <w:t xml:space="preserve">（四）履行合同所必需的设备和专业技术能力</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23"/>
        <w:gridCol w:w="1556"/>
        <w:gridCol w:w="1551"/>
        <w:gridCol w:w="565"/>
        <w:gridCol w:w="141"/>
        <w:gridCol w:w="1271"/>
        <w:gridCol w:w="989"/>
        <w:gridCol w:w="281"/>
        <w:gridCol w:w="1130"/>
        <w:gridCol w:w="1092"/>
      </w:tblGrid>
      <w:tr>
        <w:trPr>
          <w:trHeight w:val="72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公司基本信息</w:t>
            </w:r>
            <w:r/>
          </w:p>
        </w:tc>
      </w:tr>
      <w:tr>
        <w:trPr>
          <w:trHeight w:val="976"/>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公司名称</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注册资金</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公司地址</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003"/>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从业人数</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12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7"/>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9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公司财务状况</w:t>
            </w:r>
            <w:r/>
          </w:p>
        </w:tc>
      </w:tr>
      <w:tr>
        <w:trPr>
          <w:trHeight w:val="704"/>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lang w:eastAsia="zh-CN"/>
              </w:rPr>
              <w:t xml:space="preserve">2023年度</w:t>
            </w:r>
            <w:r>
              <w:rPr>
                <w:rFonts w:hint="eastAsia" w:ascii="仿宋" w:hAnsi="仿宋" w:eastAsia="仿宋" w:cs="仿宋"/>
                <w:b/>
                <w:bCs/>
                <w:color w:val="auto"/>
                <w:sz w:val="24"/>
                <w:szCs w:val="24"/>
                <w:highlight w:val="none"/>
              </w:rPr>
              <w:t xml:space="preserve">财务状况</w:t>
            </w:r>
            <w:r/>
          </w:p>
        </w:tc>
      </w:tr>
      <w:tr>
        <w:trPr>
          <w:trHeight w:val="1111"/>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营业收入（万）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利润总额（万）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年末“固定资产合计”（万）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年末“流动资产”余额（万）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年末“短期负债”余额（万）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年末“长期负债”余额（万）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年末“资产总计”余额（万）</w:t>
            </w:r>
            <w:r/>
          </w:p>
        </w:tc>
        <w:tc>
          <w:tcPr>
            <w:tcW w:w="155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w:t>
            </w:r>
            <w:r/>
          </w:p>
        </w:tc>
        <w:tc>
          <w:tcPr>
            <w:gridSpan w:val="2"/>
            <w:tcW w:w="226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年末“货币资金”余额（万）</w:t>
            </w:r>
            <w:r/>
          </w:p>
        </w:tc>
        <w:tc>
          <w:tcPr>
            <w:gridSpan w:val="3"/>
            <w:tcW w:w="251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733"/>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其他信息</w:t>
            </w:r>
            <w:r/>
          </w:p>
        </w:tc>
      </w:tr>
      <w:tr>
        <w:trPr>
          <w:trHeight w:val="1964"/>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公司取得的相关资质及等级</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w:t>
            </w:r>
            <w:r/>
          </w:p>
        </w:tc>
        <w:tc>
          <w:tcPr>
            <w:tcW w:w="156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 202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年度后获得的荣誉及表彰情况</w:t>
            </w:r>
            <w:r/>
          </w:p>
        </w:tc>
        <w:tc>
          <w:tcPr>
            <w:gridSpan w:val="8"/>
            <w:tcW w:w="704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27"/>
        </w:trPr>
        <w:tc>
          <w:tcPr>
            <w:gridSpan w:val="2"/>
            <w:tcW w:w="1242"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提供本项目服务所必须的专业设备一览表（必填）</w:t>
            </w:r>
            <w:r/>
          </w:p>
        </w:tc>
      </w:tr>
      <w:tr>
        <w:trPr>
          <w:trHeight w:val="84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品牌、型号及主要参数配置简述</w:t>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购置年份</w:t>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价格</w:t>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用途</w:t>
            </w:r>
            <w:r/>
          </w:p>
        </w:tc>
      </w:tr>
      <w:tr>
        <w:trPr>
          <w:trHeight w:val="82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50"/>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33"/>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88"/>
        </w:trPr>
        <w:tc>
          <w:tcPr>
            <w:tcW w:w="8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gridSpan w:val="4"/>
            <w:tcW w:w="4111"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45"/>
        </w:trPr>
        <w:tc>
          <w:tcPr>
            <w:gridSpan w:val="2"/>
            <w:tcW w:w="1242"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gridSpan w:val="9"/>
            <w:tcW w:w="8608"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提供本项目服务所必须的专业技术能力（必填）</w:t>
            </w:r>
            <w:r/>
          </w:p>
        </w:tc>
      </w:tr>
      <w:tr>
        <w:trPr>
          <w:trHeight w:val="2261"/>
        </w:trPr>
        <w:tc>
          <w:tcPr>
            <w:gridSpan w:val="11"/>
            <w:tcW w:w="9850" w:type="dxa"/>
            <w:vAlign w:val="center"/>
            <w:textDirection w:val="lrTb"/>
            <w:noWrap w:val="false"/>
          </w:tcPr>
          <w:p>
            <w:pPr>
              <w:jc w:val="center"/>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jc w:val="left"/>
        <w:spacing w:line="165"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widowControl/>
        <w:rPr>
          <w:rFonts w:hint="eastAsia" w:ascii="仿宋" w:hAnsi="仿宋" w:eastAsia="仿宋" w:cs="仿宋"/>
          <w:color w:val="auto"/>
          <w:sz w:val="24"/>
          <w:szCs w:val="20"/>
          <w:highlight w:val="none"/>
        </w:rPr>
        <w:sectPr>
          <w:footnotePr/>
          <w:endnotePr/>
          <w:type w:val="nextPage"/>
          <w:pgSz w:w="11920" w:h="16845" w:orient="portrait"/>
          <w:pgMar w:top="1440" w:right="1150" w:bottom="668" w:left="1160" w:header="0" w:footer="0" w:gutter="0"/>
          <w:cols w:num="1" w:sep="0" w:space="1701" w:equalWidth="0">
            <w:col w:w="9600" w:space="0"/>
          </w:cols>
          <w:docGrid w:linePitch="360"/>
        </w:sectPr>
      </w:pPr>
      <w:r>
        <w:rPr>
          <w:rFonts w:hint="eastAsia" w:ascii="仿宋" w:hAnsi="仿宋" w:eastAsia="仿宋" w:cs="仿宋"/>
          <w:color w:val="auto"/>
          <w:sz w:val="24"/>
          <w:szCs w:val="20"/>
          <w:highlight w:val="none"/>
        </w:rPr>
      </w:r>
      <w:r/>
    </w:p>
    <w:p>
      <w:pPr>
        <w:ind w:right="-169"/>
        <w:jc w:val="center"/>
        <w:spacing w:line="0" w:lineRule="atLeast"/>
        <w:widowControl/>
        <w:rPr>
          <w:rFonts w:hint="eastAsia" w:ascii="仿宋" w:hAnsi="仿宋" w:eastAsia="仿宋" w:cs="仿宋"/>
          <w:color w:val="auto"/>
          <w:sz w:val="18"/>
          <w:szCs w:val="20"/>
          <w:highlight w:val="none"/>
        </w:rPr>
        <w:sectPr>
          <w:footnotePr/>
          <w:endnotePr/>
          <w:type w:val="continuous"/>
          <w:pgSz w:w="11920" w:h="16845" w:orient="portrait"/>
          <w:pgMar w:top="1440" w:right="1440" w:bottom="668" w:left="1280" w:header="0" w:footer="0" w:gutter="0"/>
          <w:cols w:num="1" w:sep="0" w:space="1701" w:equalWidth="0">
            <w:col w:w="9190" w:space="0"/>
          </w:cols>
          <w:docGrid w:linePitch="360"/>
        </w:sectPr>
      </w:pPr>
      <w:r/>
      <w:bookmarkStart w:id="274" w:name="page49"/>
      <w:r/>
      <w:bookmarkEnd w:id="274"/>
      <w:r/>
      <w:r/>
    </w:p>
    <w:p>
      <w:pPr>
        <w:jc w:val="center"/>
        <w:spacing w:line="360" w:lineRule="auto"/>
        <w:widowControl/>
        <w:rPr>
          <w:rFonts w:hint="eastAsia" w:ascii="仿宋" w:hAnsi="仿宋" w:eastAsia="仿宋" w:cs="仿宋"/>
          <w:color w:val="auto"/>
          <w:sz w:val="29"/>
          <w:szCs w:val="20"/>
          <w:highlight w:val="none"/>
        </w:rPr>
      </w:pPr>
      <w:r/>
      <w:bookmarkStart w:id="275" w:name="page50"/>
      <w:r/>
      <w:bookmarkEnd w:id="275"/>
      <w:r>
        <w:rPr>
          <w:rFonts w:hint="eastAsia" w:ascii="仿宋" w:hAnsi="仿宋" w:eastAsia="仿宋" w:cs="仿宋"/>
          <w:color w:val="auto"/>
          <w:sz w:val="29"/>
          <w:szCs w:val="20"/>
          <w:highlight w:val="none"/>
        </w:rPr>
        <w:t xml:space="preserve">（五）依法缴纳税收和社会保障资金的良好记录</w:t>
      </w:r>
      <w:r/>
    </w:p>
    <w:p>
      <w:pPr>
        <w:ind w:right="-9"/>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6" w:name="page51"/>
      <w:r/>
      <w:bookmarkEnd w:id="276"/>
      <w:r>
        <w:rPr>
          <w:rFonts w:hint="eastAsia" w:ascii="仿宋" w:hAnsi="仿宋" w:eastAsia="仿宋" w:cs="仿宋"/>
          <w:color w:val="auto"/>
          <w:sz w:val="29"/>
          <w:szCs w:val="20"/>
          <w:highlight w:val="none"/>
        </w:rPr>
        <w:t xml:space="preserve">（六）法律、行政法规规定的其他条件</w:t>
      </w:r>
      <w:r/>
    </w:p>
    <w:p>
      <w:pPr>
        <w:ind w:right="10"/>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0" w:lineRule="atLeast"/>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77" w:name="page52"/>
      <w:r/>
      <w:bookmarkEnd w:id="277"/>
      <w:r>
        <w:rPr>
          <w:rFonts w:hint="eastAsia" w:ascii="仿宋" w:hAnsi="仿宋" w:eastAsia="仿宋" w:cs="仿宋"/>
          <w:color w:val="auto"/>
          <w:sz w:val="29"/>
          <w:szCs w:val="20"/>
          <w:highlight w:val="none"/>
        </w:rPr>
        <w:t xml:space="preserve">（七）落实政府采购政策需满足的资格要求</w:t>
      </w:r>
      <w:r/>
    </w:p>
    <w:p>
      <w:pPr>
        <w:ind w:right="-29"/>
        <w:spacing w:line="360" w:lineRule="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78" w:name="page53"/>
      <w:r/>
      <w:bookmarkEnd w:id="278"/>
      <w:r>
        <w:rPr>
          <w:rFonts w:hint="eastAsia" w:ascii="仿宋" w:hAnsi="仿宋" w:eastAsia="仿宋" w:cs="仿宋"/>
          <w:color w:val="auto"/>
          <w:sz w:val="29"/>
          <w:szCs w:val="20"/>
          <w:highlight w:val="none"/>
        </w:rPr>
        <w:t xml:space="preserve">（八）本项目的特定资格要求</w:t>
      </w:r>
      <w:r/>
    </w:p>
    <w:p>
      <w:pPr>
        <w:ind w:right="-9"/>
        <w:jc w:val="center"/>
        <w:spacing w:line="352" w:lineRule="exact"/>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（九）法定代表人（负责人）身份证明书</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w:t>
      </w:r>
      <w:r>
        <w:rPr>
          <w:rFonts w:hint="eastAsia" w:ascii="仿宋" w:hAnsi="仿宋" w:eastAsia="仿宋" w:cs="仿宋"/>
          <w:color w:val="auto"/>
          <w:sz w:val="28"/>
          <w:szCs w:val="28"/>
          <w:highlight w:val="none"/>
        </w:rPr>
        <w:t xml:space="preserve">，系我单位主要负责人即法定代表人。</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b/>
          <w:bCs/>
          <w:color w:val="auto"/>
          <w:sz w:val="24"/>
          <w:szCs w:val="24"/>
          <w:highlight w:val="none"/>
          <w:u w:val="single"/>
        </w:rPr>
        <w:t xml:space="preserve">××</w:t>
      </w:r>
      <w:r/>
    </w:p>
    <w:p>
      <w:pPr>
        <w:ind w:firstLine="560"/>
        <w:jc w:val="center"/>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年     月    日</w:t>
      </w:r>
      <w:r/>
    </w:p>
    <w:p>
      <w:pPr>
        <w:ind w:firstLine="560"/>
        <w:jc w:val="left"/>
        <w:spacing w:before="240" w:after="240"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before="240" w:after="24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32"/>
          <w:szCs w:val="32"/>
          <w:highlight w:val="none"/>
        </w:rPr>
        <w:t xml:space="preserve">附：法定代表人居民身份证扫描件</w:t>
      </w:r>
      <w:r/>
    </w:p>
    <w:p>
      <w:pPr>
        <w:ind w:firstLine="560"/>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u w:val="single"/>
        </w:rPr>
        <w:t xml:space="preserve">注：1.“法定代表人”直接参加磋商响应活动的仅需填写本身份证明</w:t>
      </w:r>
      <w:r>
        <w:rPr>
          <w:rFonts w:hint="eastAsia" w:ascii="仿宋" w:hAnsi="仿宋" w:eastAsia="仿宋" w:cs="仿宋"/>
          <w:color w:val="auto"/>
          <w:sz w:val="28"/>
          <w:szCs w:val="28"/>
          <w:highlight w:val="none"/>
        </w:rPr>
        <w:t xml:space="preserve">。</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（十）</w:t>
      </w:r>
      <w:r>
        <w:rPr>
          <w:rFonts w:hint="eastAsia" w:ascii="仿宋" w:hAnsi="仿宋" w:eastAsia="仿宋" w:cs="仿宋"/>
          <w:color w:val="auto"/>
          <w:sz w:val="28"/>
          <w:szCs w:val="28"/>
          <w:highlight w:val="none"/>
        </w:rPr>
        <w:t xml:space="preserve">法定代表人（负责人）授权委托书</w:t>
      </w:r>
      <w:r/>
    </w:p>
    <w:p>
      <w:pPr>
        <w:ind w:right="420"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项目的磋商活动的合法代理人，以本单位名义全权处理一切与该项目磋商有关的事务（含合同签订）。</w:t>
      </w:r>
      <w:r/>
    </w:p>
    <w:p>
      <w:pPr>
        <w:ind w:firstLine="560"/>
        <w:spacing w:line="360" w:lineRule="auto"/>
        <w:widowControl/>
        <w:tabs>
          <w:tab w:val="left" w:pos="5561"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ab/>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w:t>
      </w:r>
      <w:r/>
    </w:p>
    <w:p>
      <w:pP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供应商名称（公章）：</w:t>
      </w:r>
      <w:r/>
    </w:p>
    <w:p>
      <w:pPr>
        <w:ind w:firstLine="56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日     期：</w:t>
      </w:r>
      <w:r/>
    </w:p>
    <w:p>
      <w:pPr>
        <w:ind w:firstLine="643"/>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rPr>
        <w:t xml:space="preserve">附：委托代理人居民身份证扫描件</w:t>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u w:val="single"/>
        </w:rPr>
        <w:t xml:space="preserve">注：“法定代表人（负责人）”授权委托其他人磋商的，须填写法定代表人身份证明书和本授权委托书</w:t>
      </w:r>
      <w:r>
        <w:rPr>
          <w:rFonts w:hint="eastAsia" w:ascii="仿宋" w:hAnsi="仿宋" w:eastAsia="仿宋" w:cs="仿宋"/>
          <w:color w:val="auto"/>
          <w:sz w:val="28"/>
          <w:szCs w:val="28"/>
          <w:highlight w:val="none"/>
        </w:rPr>
        <w:t xml:space="preserve">。</w:t>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92"/>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pStyle w:val="992"/>
        <w:spacing w:line="360" w:lineRule="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（十一）资格承诺函</w:t>
      </w:r>
      <w:r/>
    </w:p>
    <w:p>
      <w:pPr>
        <w:jc w:val="center"/>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44"/>
          <w:szCs w:val="44"/>
          <w:highlight w:val="non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致：</w:t>
      </w:r>
      <w:r>
        <w:rPr>
          <w:rFonts w:hint="eastAsia" w:ascii="仿宋" w:hAnsi="仿宋" w:eastAsia="仿宋" w:cs="仿宋"/>
          <w:color w:val="auto"/>
          <w:sz w:val="28"/>
          <w:szCs w:val="28"/>
          <w:highlight w:val="none"/>
          <w:u w:val="single"/>
          <w:shd w:val="clear" w:color="auto" w:fill="ffffff"/>
        </w:rPr>
        <w:t xml:space="preserve">    （采购人、采购代理机构）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我单位参与</w:t>
      </w:r>
      <w:r>
        <w:rPr>
          <w:rFonts w:hint="eastAsia" w:ascii="仿宋" w:hAnsi="仿宋" w:eastAsia="仿宋" w:cs="仿宋"/>
          <w:color w:val="auto"/>
          <w:sz w:val="28"/>
          <w:szCs w:val="28"/>
          <w:highlight w:val="none"/>
          <w:u w:val="single"/>
          <w:shd w:val="clear" w:color="auto" w:fill="ffffff"/>
        </w:rPr>
        <w:t xml:space="preserve">  （项目名称）  （项目编号：    ）</w:t>
      </w:r>
      <w:r>
        <w:rPr>
          <w:rFonts w:hint="eastAsia" w:ascii="仿宋" w:hAnsi="仿宋" w:eastAsia="仿宋" w:cs="仿宋"/>
          <w:color w:val="auto"/>
          <w:sz w:val="28"/>
          <w:szCs w:val="28"/>
          <w:highlight w:val="none"/>
          <w:shd w:val="clear" w:color="auto" w:fill="ffffff"/>
        </w:rPr>
        <w:t xml:space="preserve">项目的政府采购活动，现承诺如下：</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投标（响应）供应商（全称并盖章）：</w:t>
      </w:r>
      <w:r>
        <w:rPr>
          <w:rFonts w:hint="eastAsia" w:ascii="仿宋" w:hAnsi="仿宋" w:eastAsia="仿宋" w:cs="仿宋"/>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供应商法定代表人或授权代表（签字或签章）：</w:t>
      </w:r>
      <w:r>
        <w:rPr>
          <w:rFonts w:hint="eastAsia" w:ascii="仿宋" w:hAnsi="仿宋" w:eastAsia="仿宋" w:cs="仿宋"/>
          <w:color w:val="auto"/>
          <w:sz w:val="28"/>
          <w:szCs w:val="28"/>
          <w:highlight w:val="none"/>
          <w:u w:val="single"/>
          <w:shd w:val="clear" w:color="auto" w:fill="ffffff"/>
        </w:rPr>
        <w:t xml:space="preserve">    </w:t>
      </w:r>
      <w:r/>
    </w:p>
    <w:p>
      <w:pPr>
        <w:ind w:firstLine="640"/>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日期：</w:t>
      </w:r>
      <w:r>
        <w:rPr>
          <w:rFonts w:hint="eastAsia" w:ascii="仿宋" w:hAnsi="仿宋" w:eastAsia="仿宋" w:cs="仿宋"/>
          <w:color w:val="auto"/>
          <w:sz w:val="28"/>
          <w:szCs w:val="28"/>
          <w:highlight w:val="none"/>
          <w:u w:val="single"/>
          <w:shd w:val="clear" w:color="auto" w:fill="ffffff"/>
        </w:rPr>
        <w:t xml:space="preserve">     </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w:t>
      </w:r>
      <w:r/>
    </w:p>
    <w:p>
      <w:pPr>
        <w:jc w:val="left"/>
        <w:spacing w:line="559" w:lineRule="atLeast"/>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说明：1.供应商可自行选择是否提供本承诺函，若不提供本承诺函的，应按采购文件要求提供相应的证明材料。</w:t>
      </w:r>
      <w:r/>
    </w:p>
    <w:p>
      <w:pPr>
        <w:pStyle w:val="992"/>
        <w:rPr>
          <w:rFonts w:hint="eastAsia" w:ascii="仿宋" w:hAnsi="仿宋" w:eastAsia="仿宋" w:cs="仿宋"/>
          <w:color w:val="auto"/>
          <w:highlight w:val="none"/>
        </w:rPr>
        <w:outlineLvl w:val="1"/>
      </w:pPr>
      <w:r>
        <w:rPr>
          <w:rFonts w:hint="eastAsia" w:ascii="仿宋" w:hAnsi="仿宋" w:eastAsia="仿宋" w:cs="仿宋"/>
          <w:color w:val="auto"/>
          <w:sz w:val="28"/>
          <w:szCs w:val="28"/>
          <w:highlight w:val="none"/>
        </w:rPr>
        <w:t xml:space="preserve">2.供应商可删减承诺事项，删减的承诺事项须按采购文件要求提供相应的证明材料。比如删去本承诺函第4项的，则应按采购文件要求提供依法缴纳税收和社会保障资金的良好记录。</w:t>
      </w:r>
      <w:r>
        <w:rPr>
          <w:rFonts w:hint="eastAsia" w:ascii="仿宋" w:hAnsi="仿宋" w:eastAsia="仿宋" w:cs="仿宋"/>
          <w:color w:val="auto"/>
          <w:highlight w:val="none"/>
        </w:rPr>
        <w:t xml:space="preserve"> </w:t>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92"/>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t xml:space="preserve">二、技术部分</w:t>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29"/>
          <w:highlight w:val="none"/>
        </w:rPr>
        <w:outlineLvl w:val="1"/>
      </w:pPr>
      <w:r>
        <w:rPr>
          <w:rFonts w:hint="eastAsia" w:ascii="仿宋" w:hAnsi="仿宋" w:eastAsia="仿宋" w:cs="仿宋"/>
          <w:color w:val="auto"/>
          <w:sz w:val="29"/>
          <w:highlight w:val="none"/>
        </w:rPr>
        <w:t xml:space="preserve">（一）技术方案</w:t>
      </w:r>
      <w:bookmarkEnd w:id="267"/>
      <w:r/>
      <w:bookmarkEnd w:id="268"/>
      <w:r/>
      <w:bookmarkStart w:id="279" w:name="_Toc256000068"/>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92"/>
        <w:jc w:val="center"/>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t xml:space="preserve">三、商务部分</w:t>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bookmarkEnd w:id="279"/>
      <w:r/>
      <w:r/>
    </w:p>
    <w:p>
      <w:pPr>
        <w:jc w:val="center"/>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ind w:right="-9"/>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（一）供应商能力</w:t>
      </w:r>
      <w:r/>
    </w:p>
    <w:p>
      <w:pPr>
        <w:ind w:right="-9"/>
        <w:jc w:val="center"/>
        <w:spacing w:line="360" w:lineRule="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（二）经验</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80" w:name="page62"/>
      <w:r/>
      <w:bookmarkEnd w:id="280"/>
      <w:r>
        <w:rPr>
          <w:rFonts w:hint="eastAsia" w:ascii="仿宋" w:hAnsi="仿宋" w:eastAsia="仿宋" w:cs="仿宋"/>
          <w:color w:val="auto"/>
          <w:sz w:val="29"/>
          <w:szCs w:val="20"/>
          <w:highlight w:val="none"/>
        </w:rPr>
        <w:t xml:space="preserve">（三）项目</w:t>
      </w:r>
      <w:r>
        <w:rPr>
          <w:rFonts w:hint="eastAsia" w:ascii="仿宋" w:hAnsi="仿宋" w:eastAsia="仿宋" w:cs="仿宋"/>
          <w:color w:val="auto"/>
          <w:sz w:val="29"/>
          <w:szCs w:val="20"/>
          <w:highlight w:val="none"/>
          <w:lang w:val="en-US" w:eastAsia="zh-CN"/>
        </w:rPr>
        <w:t xml:space="preserve">负责人</w:t>
      </w:r>
      <w:r>
        <w:rPr>
          <w:rFonts w:hint="eastAsia" w:ascii="仿宋" w:hAnsi="仿宋" w:eastAsia="仿宋" w:cs="仿宋"/>
          <w:color w:val="auto"/>
          <w:sz w:val="29"/>
          <w:szCs w:val="20"/>
          <w:highlight w:val="none"/>
        </w:rPr>
        <w:t xml:space="preserve">能力</w:t>
      </w:r>
      <w:r/>
    </w:p>
    <w:tbl>
      <w:tblPr>
        <w:tblStyle w:val="731"/>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rPr>
          <w:rFonts w:hint="eastAsia" w:ascii="仿宋" w:hAnsi="仿宋" w:eastAsia="仿宋" w:cs="仿宋"/>
          <w:color w:val="auto"/>
          <w:sz w:val="29"/>
          <w:szCs w:val="20"/>
          <w:highlight w:val="none"/>
        </w:rPr>
      </w:pPr>
      <w:r/>
      <w:bookmarkStart w:id="281" w:name="page63"/>
      <w:r/>
      <w:bookmarkEnd w:id="281"/>
      <w:r>
        <w:rPr>
          <w:rFonts w:hint="eastAsia" w:ascii="仿宋" w:hAnsi="仿宋" w:eastAsia="仿宋" w:cs="仿宋"/>
          <w:color w:val="auto"/>
          <w:sz w:val="29"/>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lang w:val="en-US" w:eastAsia="zh-CN"/>
        </w:rPr>
        <w:t xml:space="preserve">技术负责人</w:t>
      </w:r>
      <w:r>
        <w:rPr>
          <w:rFonts w:hint="eastAsia" w:ascii="仿宋" w:hAnsi="仿宋" w:eastAsia="仿宋" w:cs="仿宋"/>
          <w:color w:val="auto"/>
          <w:sz w:val="29"/>
          <w:szCs w:val="20"/>
          <w:highlight w:val="none"/>
        </w:rPr>
        <w:t xml:space="preserve">能力</w:t>
      </w:r>
      <w:r/>
    </w:p>
    <w:tbl>
      <w:tblPr>
        <w:tblStyle w:val="731"/>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rPr>
          <w:rFonts w:hint="eastAsia"/>
          <w:color w:val="auto"/>
        </w:rPr>
      </w:pPr>
      <w:r>
        <w:rPr>
          <w:rFonts w:hint="eastAsia"/>
          <w:color w:val="auto"/>
        </w:rPr>
        <w:br w:type="page" w:clear="all"/>
      </w:r>
      <w:r/>
    </w:p>
    <w:p>
      <w:pPr>
        <w:pStyle w:val="732"/>
        <w:ind w:left="0" w:firstLine="0"/>
        <w:rPr>
          <w:rFonts w:hint="eastAsia"/>
          <w:color w:val="auto"/>
        </w:rPr>
      </w:pPr>
      <w:r>
        <w:rPr>
          <w:rFonts w:hint="eastAsia"/>
          <w:color w:val="auto"/>
        </w:rPr>
      </w:r>
      <w:r/>
    </w:p>
    <w:p>
      <w:pPr>
        <w:jc w:val="center"/>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(四)项目实施成员能力</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val="false"/>
          </w:tcPr>
          <w:p>
            <w:pPr>
              <w:ind w:left="14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序号</w:t>
            </w:r>
            <w:r/>
          </w:p>
        </w:tc>
        <w:tc>
          <w:tcPr>
            <w:shd w:val="clear" w:color="auto" w:fill="auto"/>
            <w:tcW w:w="920" w:type="dxa"/>
            <w:vAlign w:val="bottom"/>
            <w:textDirection w:val="lrTb"/>
            <w:noWrap w:val="false"/>
          </w:tcPr>
          <w:p>
            <w:pPr>
              <w:ind w:left="1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姓名</w:t>
            </w:r>
            <w:r/>
          </w:p>
        </w:tc>
        <w:tc>
          <w:tcPr>
            <w:shd w:val="clear" w:color="auto" w:fill="auto"/>
            <w:tcW w:w="1580" w:type="dxa"/>
            <w:vAlign w:val="bottom"/>
            <w:textDirection w:val="lrTb"/>
            <w:noWrap w:val="false"/>
          </w:tcPr>
          <w:p>
            <w:pPr>
              <w:ind w:left="28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身份证号</w:t>
            </w:r>
            <w:r/>
          </w:p>
        </w:tc>
        <w:tc>
          <w:tcPr>
            <w:shd w:val="clear" w:color="auto" w:fill="auto"/>
            <w:tcW w:w="1440" w:type="dxa"/>
            <w:vAlign w:val="bottom"/>
            <w:textDirection w:val="lrTb"/>
            <w:noWrap w:val="false"/>
          </w:tcPr>
          <w:p>
            <w:pPr>
              <w:ind w:left="22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人员类别</w:t>
            </w:r>
            <w:r/>
          </w:p>
        </w:tc>
        <w:tc>
          <w:tcPr>
            <w:shd w:val="clear" w:color="auto" w:fill="auto"/>
            <w:tcW w:w="1980" w:type="dxa"/>
            <w:vAlign w:val="bottom"/>
            <w:textDirection w:val="lrTb"/>
            <w:noWrap w:val="false"/>
          </w:tcPr>
          <w:p>
            <w:pPr>
              <w:ind w:left="1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技术证书、级别</w:t>
            </w:r>
            <w:r/>
          </w:p>
        </w:tc>
        <w:tc>
          <w:tcPr>
            <w:shd w:val="clear" w:color="auto" w:fill="auto"/>
            <w:tcW w:w="196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相关工作经验</w:t>
            </w:r>
            <w:r/>
          </w:p>
        </w:tc>
        <w:tc>
          <w:tcPr>
            <w:shd w:val="clear" w:color="auto" w:fill="auto"/>
            <w:tcW w:w="940" w:type="dxa"/>
            <w:vAlign w:val="bottom"/>
            <w:textDirection w:val="lrTb"/>
            <w:noWrap w:val="false"/>
          </w:tcPr>
          <w:p>
            <w:pPr>
              <w:ind w:left="200"/>
              <w:jc w:val="left"/>
              <w:spacing w:line="360" w:lineRule="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备注</w:t>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注：1、行数不够，请自行添加。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2、列入本表人员如要更换，须经采购人同意，擅自更换属违约行为。</w:t>
      </w:r>
      <w:r/>
    </w:p>
    <w:p>
      <w:pPr>
        <w:jc w:val="left"/>
        <w:spacing w:line="360" w:lineRule="auto"/>
        <w:widowControl/>
        <w:rPr>
          <w:rFonts w:hint="eastAsia" w:ascii="仿宋" w:hAnsi="仿宋" w:eastAsia="仿宋" w:cs="仿宋"/>
          <w:color w:val="auto"/>
          <w:sz w:val="24"/>
          <w:szCs w:val="20"/>
          <w:highlight w:val="none"/>
          <w:u w:val="single"/>
        </w:rPr>
        <w:sectPr>
          <w:footnotePr/>
          <w:endnotePr/>
          <w:type w:val="nextPage"/>
          <w:pgSz w:w="11920" w:h="16845" w:orient="portrait"/>
          <w:pgMar w:top="1440" w:right="1130" w:bottom="668" w:left="1160" w:header="0" w:footer="0" w:gutter="0"/>
          <w:cols w:num="1" w:sep="0" w:space="1701" w:equalWidth="0">
            <w:col w:w="9620" w:space="0"/>
          </w:cols>
          <w:docGrid w:linePitch="360"/>
        </w:sectPr>
      </w:pPr>
      <w:r>
        <w:rPr>
          <w:rFonts w:hint="eastAsia" w:ascii="仿宋" w:hAnsi="仿宋" w:eastAsia="仿宋" w:cs="仿宋"/>
          <w:color w:val="auto"/>
          <w:sz w:val="24"/>
          <w:szCs w:val="20"/>
          <w:highlight w:val="none"/>
          <w:lang w:val="en-US" w:eastAsia="zh-CN"/>
        </w:rPr>
        <w:t xml:space="preserve">3</w:t>
      </w:r>
      <w:r>
        <w:rPr>
          <w:rFonts w:hint="eastAsia" w:ascii="仿宋" w:hAnsi="仿宋" w:eastAsia="仿宋" w:cs="仿宋"/>
          <w:color w:val="auto"/>
          <w:sz w:val="24"/>
          <w:szCs w:val="20"/>
          <w:highlight w:val="none"/>
        </w:rPr>
        <w:t xml:space="preserve">、列入上表人员具有相关证书的，应在本栏目提交相关证明材料扫描件。</w:t>
      </w:r>
      <w:r/>
    </w:p>
    <w:p>
      <w:pPr>
        <w:jc w:val="center"/>
        <w:spacing w:line="360" w:lineRule="auto"/>
        <w:widowControl/>
        <w:rPr>
          <w:rFonts w:hint="eastAsia" w:ascii="仿宋" w:hAnsi="仿宋" w:eastAsia="仿宋" w:cs="仿宋"/>
          <w:color w:val="auto"/>
          <w:sz w:val="29"/>
          <w:szCs w:val="20"/>
          <w:highlight w:val="none"/>
        </w:rPr>
      </w:pPr>
      <w:r/>
      <w:bookmarkStart w:id="282" w:name="page65"/>
      <w:r/>
      <w:bookmarkEnd w:id="282"/>
      <w:r/>
      <w:bookmarkStart w:id="283" w:name="page64"/>
      <w:r/>
      <w:bookmarkEnd w:id="283"/>
      <w:r>
        <w:rPr>
          <w:rFonts w:hint="eastAsia" w:ascii="仿宋" w:hAnsi="仿宋" w:eastAsia="仿宋" w:cs="仿宋"/>
          <w:color w:val="auto"/>
          <w:sz w:val="29"/>
          <w:szCs w:val="20"/>
          <w:highlight w:val="none"/>
        </w:rPr>
        <w:t xml:space="preserve">（五）首次报价一览表</w:t>
      </w:r>
      <w:r/>
    </w:p>
    <w:p>
      <w:pPr>
        <w:ind w:right="-9"/>
        <w:jc w:val="center"/>
        <w:spacing w:line="360" w:lineRule="auto"/>
        <w:widowControl/>
        <w:rPr>
          <w:rFonts w:hint="eastAsia" w:ascii="仿宋" w:hAnsi="仿宋" w:eastAsia="仿宋" w:cs="仿宋"/>
          <w:b/>
          <w:color w:val="auto"/>
          <w:sz w:val="32"/>
          <w:szCs w:val="20"/>
          <w:highlight w:val="none"/>
          <w:lang w:eastAsia="zh-CN"/>
        </w:rPr>
      </w:pPr>
      <w:r>
        <w:rPr>
          <w:rFonts w:hint="eastAsia" w:ascii="仿宋" w:hAnsi="仿宋" w:eastAsia="仿宋" w:cs="仿宋"/>
          <w:b/>
          <w:color w:val="auto"/>
          <w:sz w:val="32"/>
          <w:szCs w:val="20"/>
          <w:highlight w:val="none"/>
        </w:rPr>
        <w:t xml:space="preserve">首次报价一览表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clear="all"/>
      </w:r>
      <w:r/>
    </w:p>
    <w:p>
      <w:pPr>
        <w:jc w:val="center"/>
        <w:spacing w:line="360" w:lineRule="auto"/>
        <w:widowControl/>
        <w:rPr>
          <w:rFonts w:hint="eastAsia" w:ascii="仿宋" w:hAnsi="仿宋" w:eastAsia="仿宋" w:cs="仿宋"/>
          <w:color w:val="auto"/>
          <w:sz w:val="29"/>
          <w:szCs w:val="20"/>
          <w:highlight w:val="none"/>
        </w:rPr>
      </w:pPr>
      <w:r/>
      <w:bookmarkStart w:id="284" w:name="page66"/>
      <w:r/>
      <w:bookmarkEnd w:id="284"/>
      <w:r>
        <w:rPr>
          <w:rFonts w:hint="eastAsia" w:ascii="仿宋" w:hAnsi="仿宋" w:eastAsia="仿宋" w:cs="仿宋"/>
          <w:color w:val="auto"/>
          <w:sz w:val="29"/>
          <w:szCs w:val="20"/>
          <w:highlight w:val="none"/>
        </w:rPr>
        <w:t xml:space="preserve">（六）首次明细报价表</w:t>
      </w:r>
      <w:r/>
    </w:p>
    <w:tbl>
      <w:tblPr>
        <w:tblStyle w:val="731"/>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合计（元）</w:t>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338"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服务部分小计：      元</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bl>
    <w:p>
      <w:pPr>
        <w:ind w:left="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采购需求及相关报价要求填写。</w:t>
      </w:r>
      <w:r/>
    </w:p>
    <w:p>
      <w:pPr>
        <w:ind w:left="20" w:right="1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2、本表中“其它”由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根据采购需求及自身经验进行补充填写。项目实施时，除采购人明确提出需要变更增加外，不再增加任何费用，</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应确保本项目能安全、正常运行并达到采购要求。</w:t>
      </w:r>
      <w:r/>
    </w:p>
    <w:p>
      <w:pPr>
        <w:ind w:left="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3、本表中项目总报价应与开标一览表中项目总报价保持一致。</w:t>
      </w:r>
      <w:r/>
    </w:p>
    <w:p>
      <w:p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4、报价保留至小数点后两位，四舍五入。</w:t>
      </w:r>
      <w:r/>
    </w:p>
    <w:p>
      <w:pPr>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br w:type="page" w:clear="all"/>
      </w:r>
      <w:r/>
    </w:p>
    <w:p>
      <w:pPr>
        <w:ind w:right="-9"/>
        <w:jc w:val="center"/>
        <w:spacing w:line="360" w:lineRule="auto"/>
        <w:widowControl/>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lang w:val="en-US" w:eastAsia="zh-CN"/>
        </w:rPr>
        <w:t xml:space="preserve">二轮</w:t>
      </w:r>
      <w:r>
        <w:rPr>
          <w:rFonts w:hint="eastAsia" w:ascii="仿宋" w:hAnsi="仿宋" w:eastAsia="仿宋" w:cs="仿宋"/>
          <w:b/>
          <w:color w:val="auto"/>
          <w:sz w:val="32"/>
          <w:szCs w:val="20"/>
          <w:highlight w:val="none"/>
        </w:rPr>
        <w:t xml:space="preserve">报价一览表</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31"/>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82"/>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8"/>
                <w:highlight w:val="none"/>
                <w:lang w:val="en-US" w:eastAsia="zh-CN"/>
              </w:rPr>
              <w:t xml:space="preserve">自合同签订之日起1年</w:t>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注：本表格以苏采云系统中表格格式为准，各供应商应在苏采云系统中进行二轮报价。</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.供应商必须据实填写此表，报价所含与磋商文件要求的内容一致； </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.报价保留至小数点后两位，四舍五入。</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、磋商过程中未对磋商内容作出实质性变更、修改的情况下，第二次报价不得</w:t>
      </w:r>
      <w:r>
        <w:rPr>
          <w:rFonts w:hint="eastAsia" w:ascii="仿宋" w:hAnsi="仿宋" w:eastAsia="仿宋" w:cs="仿宋"/>
          <w:color w:val="auto"/>
          <w:sz w:val="24"/>
          <w:szCs w:val="24"/>
          <w:highlight w:val="none"/>
          <w:lang w:val="en-US" w:eastAsia="zh-CN"/>
        </w:rPr>
        <w:t xml:space="preserve">高</w:t>
      </w:r>
      <w:r>
        <w:rPr>
          <w:rFonts w:hint="eastAsia" w:ascii="仿宋" w:hAnsi="仿宋" w:eastAsia="仿宋" w:cs="仿宋"/>
          <w:color w:val="auto"/>
          <w:sz w:val="24"/>
          <w:szCs w:val="24"/>
          <w:highlight w:val="none"/>
        </w:rPr>
        <w:t xml:space="preserve">于首轮报价，否则以其首轮报价作为最后报价，如被评定为成交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，其首轮报价即为成交价格。</w:t>
      </w:r>
      <w:r/>
    </w:p>
    <w:p>
      <w:pPr>
        <w:ind w:firstLine="480"/>
        <w:spacing w:line="460" w:lineRule="exact"/>
        <w:rPr>
          <w:rFonts w:hint="eastAsia" w:ascii="仿宋" w:hAnsi="仿宋" w:eastAsia="仿宋" w:cs="仿宋"/>
          <w:bCs/>
          <w:color w:val="auto"/>
          <w:sz w:val="24"/>
          <w:szCs w:val="22"/>
          <w:highlight w:val="none"/>
        </w:rPr>
      </w:pPr>
      <w:r>
        <w:rPr>
          <w:rFonts w:hint="eastAsia" w:ascii="仿宋" w:hAnsi="仿宋" w:eastAsia="仿宋" w:cs="仿宋"/>
          <w:bCs/>
          <w:color w:val="auto"/>
          <w:sz w:val="24"/>
          <w:szCs w:val="22"/>
          <w:highlight w:val="none"/>
          <w:lang w:val="en-US" w:eastAsia="zh-CN"/>
        </w:rPr>
        <w:t xml:space="preserve">4、</w:t>
      </w:r>
      <w:r>
        <w:rPr>
          <w:rFonts w:hint="eastAsia" w:ascii="仿宋" w:hAnsi="仿宋" w:eastAsia="仿宋" w:cs="仿宋"/>
          <w:bCs/>
          <w:color w:val="auto"/>
          <w:sz w:val="24"/>
          <w:szCs w:val="22"/>
          <w:highlight w:val="none"/>
        </w:rPr>
        <w:t xml:space="preserve">报价包括但不限于人工服务费、</w:t>
      </w:r>
      <w:r>
        <w:rPr>
          <w:rFonts w:hint="eastAsia" w:ascii="仿宋" w:hAnsi="仿宋" w:eastAsia="仿宋" w:cs="仿宋"/>
          <w:bCs/>
          <w:color w:val="auto"/>
          <w:sz w:val="24"/>
          <w:szCs w:val="22"/>
          <w:highlight w:val="none"/>
          <w:lang w:val="en-US" w:eastAsia="zh-CN"/>
        </w:rPr>
        <w:t xml:space="preserve">清理</w:t>
      </w:r>
      <w:r>
        <w:rPr>
          <w:rFonts w:hint="eastAsia" w:ascii="仿宋" w:hAnsi="仿宋" w:eastAsia="仿宋" w:cs="仿宋"/>
          <w:bCs/>
          <w:color w:val="auto"/>
          <w:sz w:val="24"/>
          <w:szCs w:val="22"/>
          <w:highlight w:val="none"/>
        </w:rPr>
        <w:t xml:space="preserve">费、场地维护费、管理费、车辆使用费用、</w:t>
      </w:r>
      <w:r>
        <w:rPr>
          <w:rFonts w:hint="eastAsia" w:ascii="仿宋" w:hAnsi="仿宋" w:eastAsia="仿宋" w:cs="仿宋"/>
          <w:bCs/>
          <w:color w:val="auto"/>
          <w:sz w:val="24"/>
          <w:szCs w:val="22"/>
          <w:highlight w:val="none"/>
          <w:lang w:val="en-US" w:eastAsia="zh-CN"/>
        </w:rPr>
        <w:t xml:space="preserve">工具</w:t>
      </w:r>
      <w:r>
        <w:rPr>
          <w:rFonts w:hint="eastAsia" w:ascii="仿宋" w:hAnsi="仿宋" w:eastAsia="仿宋" w:cs="仿宋"/>
          <w:bCs/>
          <w:color w:val="auto"/>
          <w:sz w:val="24"/>
          <w:szCs w:val="22"/>
          <w:highlight w:val="none"/>
        </w:rPr>
        <w:t xml:space="preserve">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rPr>
          <w:rFonts w:hint="eastAsia" w:ascii="仿宋" w:hAnsi="仿宋" w:eastAsia="仿宋" w:cs="仿宋"/>
          <w:bCs/>
          <w:color w:val="auto"/>
          <w:sz w:val="24"/>
          <w:szCs w:val="22"/>
          <w:highlight w:val="none"/>
          <w:lang w:eastAsia="zh-CN"/>
        </w:rPr>
        <w:t xml:space="preserve">磋商文件</w:t>
      </w:r>
      <w:r>
        <w:rPr>
          <w:rFonts w:hint="eastAsia" w:ascii="仿宋" w:hAnsi="仿宋" w:eastAsia="仿宋" w:cs="仿宋"/>
          <w:bCs/>
          <w:color w:val="auto"/>
          <w:sz w:val="24"/>
          <w:szCs w:val="22"/>
          <w:highlight w:val="none"/>
        </w:rPr>
        <w:t xml:space="preserve">未列明，而投标供应商认为其他必需的费用也需列入报价。在合同实施时，采购人将不予支付供应商没有填列的项目费用，并认为此项目的费用已包括在</w:t>
      </w:r>
      <w:r>
        <w:rPr>
          <w:rFonts w:hint="eastAsia" w:ascii="仿宋" w:hAnsi="仿宋" w:eastAsia="仿宋" w:cs="仿宋"/>
          <w:bCs/>
          <w:color w:val="auto"/>
          <w:sz w:val="24"/>
          <w:szCs w:val="22"/>
          <w:highlight w:val="none"/>
          <w:lang w:val="en-US" w:eastAsia="zh-CN"/>
        </w:rPr>
        <w:t xml:space="preserve">此</w:t>
      </w:r>
      <w:r>
        <w:rPr>
          <w:rFonts w:hint="eastAsia" w:ascii="仿宋" w:hAnsi="仿宋" w:eastAsia="仿宋" w:cs="仿宋"/>
          <w:bCs/>
          <w:color w:val="auto"/>
          <w:sz w:val="24"/>
          <w:szCs w:val="22"/>
          <w:highlight w:val="none"/>
        </w:rPr>
        <w:t xml:space="preserve">价格中。</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ind w:right="-9"/>
        <w:jc w:val="center"/>
        <w:spacing w:line="360" w:lineRule="auto"/>
        <w:widowControl/>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t xml:space="preserve">四、其他部分</w:t>
      </w:r>
      <w:r/>
    </w:p>
    <w:p>
      <w:pPr>
        <w:ind w:right="-9"/>
        <w:jc w:val="center"/>
        <w:spacing w:line="360" w:lineRule="auto"/>
        <w:widowControl/>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30"/>
          <w:szCs w:val="20"/>
          <w:highlight w:val="none"/>
        </w:rPr>
      </w:r>
      <w:r/>
    </w:p>
    <w:p>
      <w:pPr>
        <w:jc w:val="center"/>
        <w:spacing w:line="360" w:lineRule="auto"/>
        <w:widowControl/>
        <w:rPr>
          <w:rFonts w:hint="eastAsia" w:ascii="仿宋" w:hAnsi="仿宋" w:eastAsia="仿宋" w:cs="仿宋"/>
          <w:color w:val="auto"/>
          <w:sz w:val="29"/>
          <w:szCs w:val="20"/>
          <w:highlight w:val="none"/>
        </w:rPr>
      </w:pPr>
      <w:r/>
      <w:bookmarkStart w:id="285" w:name="page68"/>
      <w:r/>
      <w:bookmarkEnd w:id="285"/>
      <w:r>
        <w:rPr>
          <w:rFonts w:hint="eastAsia" w:ascii="仿宋" w:hAnsi="仿宋" w:eastAsia="仿宋" w:cs="仿宋"/>
          <w:color w:val="auto"/>
          <w:sz w:val="29"/>
          <w:szCs w:val="20"/>
          <w:highlight w:val="none"/>
        </w:rPr>
        <w:t xml:space="preserve">（一）中小企业声明函</w:t>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本公司（联合体）郑重声明，根据《政府采购促进中小企业发展管理办法》（财库﹝2020﹞46 号）的规定，本公司 （联合体）参加</w:t>
      </w:r>
      <w:r>
        <w:rPr>
          <w:rFonts w:hint="eastAsia" w:ascii="仿宋" w:hAnsi="仿宋" w:eastAsia="仿宋" w:cs="仿宋"/>
          <w:color w:val="auto"/>
          <w:sz w:val="27"/>
          <w:szCs w:val="20"/>
          <w:highlight w:val="none"/>
          <w:u w:val="single"/>
        </w:rPr>
        <w:t xml:space="preserve">（单位名称）</w:t>
      </w:r>
      <w:r>
        <w:rPr>
          <w:rFonts w:hint="eastAsia" w:ascii="仿宋" w:hAnsi="仿宋" w:eastAsia="仿宋" w:cs="仿宋"/>
          <w:color w:val="auto"/>
          <w:sz w:val="27"/>
          <w:szCs w:val="20"/>
          <w:highlight w:val="none"/>
        </w:rPr>
        <w:t xml:space="preserve">的</w:t>
      </w:r>
      <w:r>
        <w:rPr>
          <w:rFonts w:hint="eastAsia" w:ascii="仿宋" w:hAnsi="仿宋" w:eastAsia="仿宋" w:cs="仿宋"/>
          <w:color w:val="auto"/>
          <w:sz w:val="27"/>
          <w:szCs w:val="20"/>
          <w:highlight w:val="none"/>
          <w:u w:val="single"/>
        </w:rPr>
        <w:t xml:space="preserve">（项目名称）</w:t>
      </w:r>
      <w:r>
        <w:rPr>
          <w:rFonts w:hint="eastAsia" w:ascii="仿宋" w:hAnsi="仿宋" w:eastAsia="仿宋" w:cs="仿宋"/>
          <w:color w:val="auto"/>
          <w:sz w:val="27"/>
          <w:szCs w:val="20"/>
          <w:highlight w:val="none"/>
        </w:rPr>
        <w:t xml:space="preserve">采购活动，服务全部由符合政策要求的中小企业承接。相关企业（含联合体中的中小企业、签订分包意向协议的中小企业）的具体情况如</w:t>
      </w:r>
      <w:r>
        <w:rPr>
          <w:rFonts w:hint="eastAsia" w:ascii="仿宋" w:hAnsi="仿宋" w:eastAsia="仿宋" w:cs="仿宋"/>
          <w:color w:val="auto"/>
          <w:sz w:val="29"/>
          <w:szCs w:val="20"/>
          <w:highlight w:val="none"/>
        </w:rPr>
        <w:t xml:space="preserve">下：</w:t>
      </w:r>
      <w:r/>
    </w:p>
    <w:p>
      <w:pPr>
        <w:ind w:firstLine="540"/>
        <w:jc w:val="left"/>
        <w:spacing w:line="360" w:lineRule="auto"/>
        <w:widowControl/>
        <w:tabs>
          <w:tab w:val="left" w:pos="1140" w:leader="none"/>
        </w:tabs>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1.</w:t>
      </w:r>
      <w:r>
        <w:rPr>
          <w:rFonts w:hint="eastAsia" w:ascii="仿宋" w:hAnsi="仿宋" w:eastAsia="仿宋" w:cs="仿宋"/>
          <w:color w:val="auto"/>
          <w:sz w:val="27"/>
          <w:szCs w:val="20"/>
          <w:highlight w:val="none"/>
          <w:u w:val="single"/>
        </w:rPr>
        <w:t xml:space="preserve">（标的名称） </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u w:val="single"/>
        </w:rPr>
        <w:t xml:space="preserve">（采购文件中明确的所属行业）</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；承接企业为</w:t>
      </w:r>
      <w:r>
        <w:rPr>
          <w:rFonts w:hint="eastAsia" w:ascii="仿宋" w:hAnsi="仿宋" w:eastAsia="仿宋" w:cs="仿宋"/>
          <w:color w:val="auto"/>
          <w:sz w:val="27"/>
          <w:szCs w:val="20"/>
          <w:highlight w:val="none"/>
          <w:u w:val="single"/>
        </w:rPr>
        <w:t xml:space="preserve">（企业名称）</w:t>
      </w:r>
      <w:r>
        <w:rPr>
          <w:rFonts w:hint="eastAsia" w:ascii="仿宋" w:hAnsi="仿宋" w:eastAsia="仿宋" w:cs="仿宋"/>
          <w:color w:val="auto"/>
          <w:sz w:val="27"/>
          <w:szCs w:val="20"/>
          <w:highlight w:val="none"/>
        </w:rPr>
        <w:t xml:space="preserve">，从业人员</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人</w:t>
      </w:r>
      <w:r>
        <w:rPr>
          <w:rFonts w:hint="eastAsia" w:ascii="仿宋" w:hAnsi="仿宋" w:eastAsia="仿宋" w:cs="仿宋"/>
          <w:color w:val="auto"/>
          <w:sz w:val="27"/>
          <w:szCs w:val="20"/>
          <w:highlight w:val="none"/>
        </w:rPr>
        <w:t xml:space="preserve">，营业 收入为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，资产总额为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rPr>
        <w:t xml:space="preserve">（中型企业、 小型企业、微型企业）</w:t>
      </w:r>
      <w:r>
        <w:rPr>
          <w:rFonts w:hint="eastAsia" w:ascii="仿宋" w:hAnsi="仿宋" w:eastAsia="仿宋" w:cs="仿宋"/>
          <w:color w:val="auto"/>
          <w:sz w:val="27"/>
          <w:szCs w:val="20"/>
          <w:highlight w:val="none"/>
        </w:rPr>
        <w:t xml:space="preserve">；</w:t>
      </w:r>
      <w:r>
        <w:rPr>
          <w:rFonts w:hint="eastAsia" w:ascii="仿宋" w:hAnsi="仿宋" w:eastAsia="仿宋" w:cs="仿宋"/>
          <w:color w:val="auto"/>
          <w:sz w:val="27"/>
          <w:szCs w:val="20"/>
          <w:highlight w:val="none"/>
        </w:rPr>
        <w:tab/>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以上企业，不属于大企业的分支机构，不存在控股股东为大企业的情形，</w:t>
      </w:r>
      <w:r>
        <w:rPr>
          <w:rFonts w:hint="eastAsia" w:ascii="仿宋" w:hAnsi="仿宋" w:eastAsia="仿宋" w:cs="仿宋"/>
          <w:color w:val="auto"/>
          <w:sz w:val="29"/>
          <w:szCs w:val="20"/>
          <w:highlight w:val="none"/>
        </w:rPr>
        <w:t xml:space="preserve">也不存在与大企业的负责人为同一人的情形。</w:t>
      </w:r>
      <w:r/>
    </w:p>
    <w:p>
      <w:pPr>
        <w:ind w:left="560"/>
        <w:jc w:val="left"/>
        <w:spacing w:line="360" w:lineRule="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本企业对上述声明内容的真实性负责。如有虚假，将依法承担相应责任。</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企业名称（盖章）：</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日 期：</w:t>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left"/>
        <w:spacing w:line="360" w:lineRule="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注：从业人员、营业收入、资产总额填报上一年度数据，无上一年度数据的新成立企业可不填报。</w:t>
      </w:r>
      <w:r/>
    </w:p>
    <w:p>
      <w:pPr>
        <w:ind w:right="160"/>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110" w:bottom="668" w:left="1280" w:header="0" w:footer="0" w:gutter="0"/>
          <w:cols w:num="1" w:sep="0" w:space="1701" w:equalWidth="0">
            <w:col w:w="9520" w:space="0"/>
          </w:cols>
          <w:docGrid w:linePitch="360"/>
        </w:sectPr>
      </w:pPr>
      <w:r>
        <w:rPr>
          <w:rFonts w:hint="eastAsia" w:ascii="仿宋" w:hAnsi="仿宋" w:eastAsia="仿宋" w:cs="仿宋"/>
          <w:color w:val="auto"/>
          <w:sz w:val="18"/>
          <w:szCs w:val="20"/>
          <w:highlight w:val="none"/>
        </w:rPr>
      </w:r>
      <w:r/>
    </w:p>
    <w:p>
      <w:pPr>
        <w:jc w:val="center"/>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65"/>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7">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84" w:firstLine="116"/>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ind w:left="284" w:firstLine="116"/>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820" w:firstLine="31"/>
      </w:pPr>
      <w:rPr>
        <w:rFonts w:hint="eastAsia"/>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567" w:hanging="167"/>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74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9"/>
  </w:num>
  <w:num w:numId="7">
    <w:abstractNumId w:val="11"/>
  </w:num>
  <w:num w:numId="8">
    <w:abstractNumId w:val="12"/>
  </w:num>
  <w:num w:numId="9">
    <w:abstractNumId w:val="13"/>
  </w:num>
  <w:num w:numId="10">
    <w:abstractNumId w:val="16"/>
  </w:num>
  <w:num w:numId="11">
    <w:abstractNumId w:val="8"/>
  </w:num>
  <w:num w:numId="12">
    <w:abstractNumId w:val="6"/>
  </w:num>
  <w:num w:numId="13">
    <w:abstractNumId w:val="10"/>
  </w:num>
  <w:num w:numId="14">
    <w:abstractNumId w:val="5"/>
  </w:num>
  <w:num w:numId="15">
    <w:abstractNumId w:val="1"/>
  </w:num>
  <w:num w:numId="16">
    <w:abstractNumId w:val="0"/>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next w:val="732"/>
    <w:uiPriority w:val="0"/>
    <w:qFormat/>
    <w:pPr>
      <w:jc w:val="both"/>
      <w:widowControl w:val="off"/>
    </w:pPr>
    <w:rPr>
      <w:rFonts w:ascii="Calibri" w:hAnsi="Calibri" w:eastAsia="宋体" w:cs="Times New Roman"/>
      <w:sz w:val="21"/>
      <w:szCs w:val="22"/>
      <w:lang w:val="en-US" w:eastAsia="zh-CN" w:bidi="ar-SA"/>
    </w:rPr>
  </w:style>
  <w:style w:type="paragraph" w:styleId="721">
    <w:name w:val="Heading 1"/>
    <w:basedOn w:val="720"/>
    <w:next w:val="72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104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33">
    <w:name w:val="List 3"/>
    <w:basedOn w:val="720"/>
    <w:uiPriority w:val="0"/>
    <w:qFormat/>
    <w:pPr>
      <w:ind w:left="100" w:hanging="200"/>
    </w:pPr>
    <w:rPr>
      <w:rFonts w:ascii="Times New Roman" w:hAnsi="Times New Roman"/>
      <w:szCs w:val="21"/>
    </w:rPr>
  </w:style>
  <w:style w:type="paragraph" w:styleId="734">
    <w:name w:val="toc 7"/>
    <w:basedOn w:val="720"/>
    <w:next w:val="720"/>
    <w:uiPriority w:val="39"/>
    <w:unhideWhenUsed/>
    <w:qFormat/>
    <w:pPr>
      <w:ind w:left="2520"/>
    </w:pPr>
  </w:style>
  <w:style w:type="paragraph" w:styleId="735">
    <w:name w:val="Normal Indent"/>
    <w:basedOn w:val="720"/>
    <w:link w:val="952"/>
    <w:uiPriority w:val="0"/>
    <w:qFormat/>
    <w:pPr>
      <w:ind w:firstLine="420"/>
    </w:pPr>
    <w:rPr>
      <w:rFonts w:ascii="Times New Roman" w:hAnsi="Times New Roman"/>
      <w:szCs w:val="20"/>
    </w:rPr>
  </w:style>
  <w:style w:type="paragraph" w:styleId="736">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38"/>
    <w:link w:val="1013"/>
    <w:uiPriority w:val="99"/>
    <w:unhideWhenUsed/>
    <w:qFormat/>
    <w:pPr>
      <w:jc w:val="left"/>
      <w:spacing w:line="360" w:lineRule="auto"/>
    </w:pPr>
    <w:rPr>
      <w:rFonts w:ascii="Times New Roman" w:hAnsi="Times New Roman"/>
      <w:sz w:val="24"/>
      <w:szCs w:val="24"/>
    </w:rPr>
  </w:style>
  <w:style w:type="paragraph" w:styleId="738" w:customStyle="1">
    <w:name w:val="Normal_11"/>
    <w:uiPriority w:val="0"/>
    <w:qFormat/>
    <w:pPr>
      <w:jc w:val="both"/>
      <w:widowControl w:val="off"/>
    </w:pPr>
    <w:rPr>
      <w:rFonts w:ascii="Calibri" w:hAnsi="Calibri" w:eastAsia="宋体" w:cs="Times New Roman"/>
      <w:sz w:val="21"/>
      <w:szCs w:val="22"/>
      <w:lang w:val="en-US" w:eastAsia="zh-CN" w:bidi="ar-SA"/>
    </w:rPr>
  </w:style>
  <w:style w:type="paragraph" w:styleId="739">
    <w:name w:val="Body Text"/>
    <w:basedOn w:val="720"/>
    <w:link w:val="947"/>
    <w:uiPriority w:val="0"/>
    <w:qFormat/>
    <w:rPr>
      <w:rFonts w:ascii="楷体_GB2312" w:hAnsi="Arial" w:eastAsia="楷体_GB2312"/>
      <w:sz w:val="28"/>
      <w:szCs w:val="20"/>
    </w:rPr>
  </w:style>
  <w:style w:type="paragraph" w:styleId="740">
    <w:name w:val="Body Text Indent"/>
    <w:basedOn w:val="720"/>
    <w:link w:val="949"/>
    <w:uiPriority w:val="99"/>
    <w:semiHidden/>
    <w:unhideWhenUsed/>
    <w:qFormat/>
    <w:pPr>
      <w:ind w:left="420"/>
      <w:spacing w:after="120"/>
    </w:pPr>
  </w:style>
  <w:style w:type="paragraph" w:styleId="741">
    <w:name w:val="List Continue"/>
    <w:basedOn w:val="720"/>
    <w:uiPriority w:val="99"/>
    <w:semiHidden/>
    <w:unhideWhenUsed/>
    <w:qFormat/>
    <w:pPr>
      <w:contextualSpacing/>
      <w:ind w:left="420"/>
      <w:spacing w:after="120"/>
    </w:pPr>
  </w:style>
  <w:style w:type="paragraph" w:styleId="742">
    <w:name w:val="Block Text"/>
    <w:basedOn w:val="720"/>
    <w:uiPriority w:val="0"/>
    <w:qFormat/>
    <w:pPr>
      <w:ind w:left="630" w:right="630"/>
      <w:jc w:val="center"/>
    </w:pPr>
    <w:rPr>
      <w:rFonts w:ascii="宋体" w:hAnsi="Times New Roman"/>
      <w:b/>
      <w:sz w:val="32"/>
      <w:szCs w:val="24"/>
    </w:rPr>
  </w:style>
  <w:style w:type="paragraph" w:styleId="743">
    <w:name w:val="List Bullet 2"/>
    <w:basedOn w:val="720"/>
    <w:uiPriority w:val="99"/>
    <w:semiHidden/>
    <w:unhideWhenUsed/>
    <w:qFormat/>
    <w:pPr>
      <w:numPr>
        <w:ilvl w:val="0"/>
        <w:numId w:val="1"/>
      </w:numPr>
    </w:pPr>
  </w:style>
  <w:style w:type="paragraph" w:styleId="744">
    <w:name w:val="toc 5"/>
    <w:basedOn w:val="720"/>
    <w:next w:val="720"/>
    <w:uiPriority w:val="39"/>
    <w:unhideWhenUsed/>
    <w:qFormat/>
    <w:pPr>
      <w:ind w:left="1680"/>
    </w:pPr>
  </w:style>
  <w:style w:type="paragraph" w:styleId="745">
    <w:name w:val="toc 3"/>
    <w:basedOn w:val="720"/>
    <w:next w:val="720"/>
    <w:uiPriority w:val="39"/>
    <w:qFormat/>
    <w:pPr>
      <w:ind w:left="420"/>
      <w:jc w:val="left"/>
    </w:pPr>
    <w:rPr>
      <w:rFonts w:ascii="Times New Roman" w:hAnsi="Times New Roman"/>
      <w:iCs/>
      <w:szCs w:val="24"/>
    </w:rPr>
  </w:style>
  <w:style w:type="paragraph" w:styleId="746">
    <w:name w:val="Plain Text"/>
    <w:basedOn w:val="720"/>
    <w:link w:val="960"/>
    <w:uiPriority w:val="0"/>
    <w:qFormat/>
    <w:rPr>
      <w:rFonts w:ascii="宋体" w:hAnsi="Courier New" w:cs="Courier New"/>
      <w:szCs w:val="21"/>
    </w:rPr>
  </w:style>
  <w:style w:type="paragraph" w:styleId="747">
    <w:name w:val="toc 8"/>
    <w:basedOn w:val="720"/>
    <w:next w:val="720"/>
    <w:uiPriority w:val="39"/>
    <w:unhideWhenUsed/>
    <w:qFormat/>
    <w:pPr>
      <w:ind w:left="2940"/>
    </w:pPr>
  </w:style>
  <w:style w:type="paragraph" w:styleId="748">
    <w:name w:val="Date"/>
    <w:basedOn w:val="720"/>
    <w:next w:val="720"/>
    <w:link w:val="951"/>
    <w:uiPriority w:val="0"/>
    <w:qFormat/>
    <w:pPr>
      <w:ind w:left="100"/>
    </w:pPr>
    <w:rPr>
      <w:rFonts w:ascii="仿宋_GB2312" w:hAnsi="Times New Roman" w:eastAsia="仿宋_GB2312"/>
      <w:b/>
      <w:sz w:val="36"/>
      <w:szCs w:val="24"/>
    </w:rPr>
  </w:style>
  <w:style w:type="paragraph" w:styleId="749">
    <w:name w:val="endnote text"/>
    <w:basedOn w:val="720"/>
    <w:link w:val="943"/>
    <w:uiPriority w:val="99"/>
    <w:semiHidden/>
    <w:unhideWhenUsed/>
    <w:qFormat/>
    <w:rPr>
      <w:sz w:val="20"/>
    </w:rPr>
  </w:style>
  <w:style w:type="paragraph" w:styleId="750">
    <w:name w:val="Balloon Text"/>
    <w:basedOn w:val="720"/>
    <w:link w:val="957"/>
    <w:uiPriority w:val="99"/>
    <w:semiHidden/>
    <w:unhideWhenUsed/>
    <w:qFormat/>
    <w:rPr>
      <w:sz w:val="18"/>
      <w:szCs w:val="18"/>
    </w:rPr>
  </w:style>
  <w:style w:type="paragraph" w:styleId="751">
    <w:name w:val="Footer"/>
    <w:basedOn w:val="720"/>
    <w:link w:val="1043"/>
    <w:uiPriority w:val="99"/>
    <w:unhideWhenUsed/>
    <w:qFormat/>
    <w:pPr>
      <w:jc w:val="left"/>
      <w:tabs>
        <w:tab w:val="center" w:pos="4153" w:leader="none"/>
        <w:tab w:val="right" w:pos="8306" w:leader="none"/>
      </w:tabs>
    </w:pPr>
    <w:rPr>
      <w:sz w:val="18"/>
      <w:szCs w:val="18"/>
    </w:rPr>
  </w:style>
  <w:style w:type="paragraph" w:styleId="752">
    <w:name w:val="Header"/>
    <w:basedOn w:val="720"/>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0"/>
    <w:next w:val="720"/>
    <w:uiPriority w:val="39"/>
    <w:qFormat/>
    <w:pPr>
      <w:jc w:val="left"/>
      <w:spacing w:before="120" w:after="120"/>
    </w:pPr>
    <w:rPr>
      <w:rFonts w:ascii="楷体_GB2312" w:hAnsi="Times New Roman"/>
      <w:b/>
      <w:bCs/>
      <w:caps/>
      <w:sz w:val="44"/>
      <w:szCs w:val="44"/>
    </w:rPr>
  </w:style>
  <w:style w:type="paragraph" w:styleId="754">
    <w:name w:val="toc 4"/>
    <w:basedOn w:val="720"/>
    <w:next w:val="720"/>
    <w:uiPriority w:val="39"/>
    <w:unhideWhenUsed/>
    <w:qFormat/>
    <w:pPr>
      <w:ind w:left="1260"/>
    </w:pPr>
  </w:style>
  <w:style w:type="paragraph" w:styleId="755">
    <w:name w:val="Subtitle"/>
    <w:basedOn w:val="720"/>
    <w:next w:val="720"/>
    <w:link w:val="825"/>
    <w:uiPriority w:val="11"/>
    <w:qFormat/>
    <w:pPr>
      <w:spacing w:before="200" w:after="200"/>
    </w:pPr>
    <w:rPr>
      <w:sz w:val="24"/>
      <w:szCs w:val="24"/>
    </w:rPr>
  </w:style>
  <w:style w:type="paragraph" w:styleId="756">
    <w:name w:val="footnote text"/>
    <w:basedOn w:val="720"/>
    <w:link w:val="942"/>
    <w:uiPriority w:val="99"/>
    <w:semiHidden/>
    <w:unhideWhenUsed/>
    <w:qFormat/>
    <w:pPr>
      <w:spacing w:after="40"/>
    </w:pPr>
    <w:rPr>
      <w:sz w:val="18"/>
    </w:rPr>
  </w:style>
  <w:style w:type="paragraph" w:styleId="757">
    <w:name w:val="toc 6"/>
    <w:basedOn w:val="720"/>
    <w:next w:val="720"/>
    <w:uiPriority w:val="39"/>
    <w:unhideWhenUsed/>
    <w:qFormat/>
    <w:pPr>
      <w:ind w:left="2100"/>
    </w:pPr>
  </w:style>
  <w:style w:type="paragraph" w:styleId="758">
    <w:name w:val="Body Text Indent 3"/>
    <w:basedOn w:val="720"/>
    <w:link w:val="950"/>
    <w:uiPriority w:val="99"/>
    <w:semiHidden/>
    <w:unhideWhenUsed/>
    <w:qFormat/>
    <w:pPr>
      <w:ind w:left="420"/>
      <w:spacing w:after="120"/>
    </w:pPr>
    <w:rPr>
      <w:sz w:val="16"/>
      <w:szCs w:val="16"/>
    </w:rPr>
  </w:style>
  <w:style w:type="paragraph" w:styleId="759">
    <w:name w:val="table of figures"/>
    <w:basedOn w:val="720"/>
    <w:next w:val="720"/>
    <w:uiPriority w:val="99"/>
    <w:unhideWhenUsed/>
    <w:qFormat/>
  </w:style>
  <w:style w:type="paragraph" w:styleId="760">
    <w:name w:val="toc 2"/>
    <w:basedOn w:val="720"/>
    <w:next w:val="720"/>
    <w:uiPriority w:val="39"/>
    <w:unhideWhenUsed/>
    <w:qFormat/>
    <w:pPr>
      <w:ind w:left="200"/>
    </w:pPr>
  </w:style>
  <w:style w:type="paragraph" w:styleId="761">
    <w:name w:val="toc 9"/>
    <w:basedOn w:val="720"/>
    <w:next w:val="720"/>
    <w:uiPriority w:val="39"/>
    <w:unhideWhenUsed/>
    <w:qFormat/>
    <w:pPr>
      <w:ind w:left="3360"/>
    </w:pPr>
  </w:style>
  <w:style w:type="paragraph" w:styleId="762">
    <w:name w:val="Normal (Web)"/>
    <w:basedOn w:val="720"/>
    <w:link w:val="958"/>
    <w:uiPriority w:val="99"/>
    <w:qFormat/>
    <w:pPr>
      <w:jc w:val="left"/>
      <w:spacing w:before="100" w:beforeAutospacing="1" w:after="100" w:afterAutospacing="1"/>
      <w:widowControl/>
    </w:pPr>
    <w:rPr>
      <w:rFonts w:ascii="宋体" w:hAnsi="宋体" w:cs="宋体"/>
      <w:color w:val="000000"/>
      <w:sz w:val="24"/>
      <w:szCs w:val="24"/>
    </w:rPr>
  </w:style>
  <w:style w:type="paragraph" w:styleId="763">
    <w:name w:val="Title"/>
    <w:basedOn w:val="720"/>
    <w:next w:val="720"/>
    <w:link w:val="824"/>
    <w:uiPriority w:val="10"/>
    <w:qFormat/>
    <w:pPr>
      <w:contextualSpacing/>
      <w:spacing w:before="300" w:after="200"/>
    </w:pPr>
    <w:rPr>
      <w:sz w:val="48"/>
      <w:szCs w:val="48"/>
    </w:rPr>
  </w:style>
  <w:style w:type="paragraph" w:styleId="764">
    <w:name w:val="Body Text First Indent"/>
    <w:basedOn w:val="739"/>
    <w:uiPriority w:val="0"/>
    <w:qFormat/>
    <w:pPr>
      <w:ind w:firstLine="200"/>
      <w:spacing w:line="360" w:lineRule="auto"/>
    </w:pPr>
    <w:rPr>
      <w:rFonts w:ascii="仿宋_GB2312" w:eastAsia="仿宋_GB2312"/>
      <w:sz w:val="30"/>
      <w:szCs w:val="30"/>
    </w:rPr>
  </w:style>
  <w:style w:type="paragraph" w:styleId="765">
    <w:name w:val="Body Text First Indent 2"/>
    <w:basedOn w:val="740"/>
    <w:uiPriority w:val="0"/>
    <w:qFormat/>
    <w:pPr>
      <w:ind w:left="420" w:firstLine="420"/>
      <w:spacing w:after="120" w:line="240" w:lineRule="auto"/>
    </w:pPr>
    <w:rPr>
      <w:szCs w:val="24"/>
    </w:rPr>
  </w:style>
  <w:style w:type="table" w:styleId="766">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endnote reference"/>
    <w:uiPriority w:val="99"/>
    <w:semiHidden/>
    <w:unhideWhenUsed/>
    <w:qFormat/>
    <w:rPr>
      <w:vertAlign w:val="superscript"/>
    </w:rPr>
  </w:style>
  <w:style w:type="character" w:styleId="768">
    <w:name w:val="page number"/>
    <w:basedOn w:val="730"/>
    <w:uiPriority w:val="0"/>
    <w:qFormat/>
  </w:style>
  <w:style w:type="character" w:styleId="769">
    <w:name w:val="FollowedHyperlink"/>
    <w:uiPriority w:val="99"/>
    <w:semiHidden/>
    <w:unhideWhenUsed/>
    <w:qFormat/>
    <w:rPr>
      <w:color w:val="800080"/>
      <w:u w:val="single"/>
    </w:rPr>
  </w:style>
  <w:style w:type="character" w:styleId="770">
    <w:name w:val="Hyperlink"/>
    <w:uiPriority w:val="99"/>
    <w:qFormat/>
    <w:rPr>
      <w:color w:val="0000ff"/>
      <w:u w:val="single"/>
    </w:rPr>
  </w:style>
  <w:style w:type="character" w:styleId="771">
    <w:name w:val="footnote reference"/>
    <w:uiPriority w:val="99"/>
    <w:unhideWhenUsed/>
    <w:qFormat/>
    <w:rPr>
      <w:vertAlign w:val="superscript"/>
    </w:rPr>
  </w:style>
  <w:style w:type="paragraph" w:styleId="772"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773" w:customStyle="1">
    <w:name w:val="首行缩进"/>
    <w:basedOn w:val="720"/>
    <w:uiPriority w:val="0"/>
    <w:qFormat/>
    <w:pPr>
      <w:ind w:firstLine="480"/>
    </w:pPr>
    <w:rPr>
      <w:szCs w:val="20"/>
      <w:lang w:val="zh-CN"/>
    </w:rPr>
  </w:style>
  <w:style w:type="table" w:styleId="774"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3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3" w:customStyle="1">
    <w:name w:val="Heading 4 Char"/>
    <w:basedOn w:val="730"/>
    <w:uiPriority w:val="9"/>
    <w:qFormat/>
    <w:rPr>
      <w:rFonts w:ascii="Arial" w:hAnsi="Arial" w:eastAsia="Arial" w:cs="Arial"/>
      <w:b/>
      <w:bCs/>
      <w:sz w:val="26"/>
      <w:szCs w:val="26"/>
    </w:rPr>
  </w:style>
  <w:style w:type="character" w:styleId="794" w:customStyle="1">
    <w:name w:val="Heading 5 Char"/>
    <w:basedOn w:val="730"/>
    <w:uiPriority w:val="9"/>
    <w:qFormat/>
    <w:rPr>
      <w:rFonts w:ascii="Arial" w:hAnsi="Arial" w:eastAsia="Arial" w:cs="Arial"/>
      <w:b/>
      <w:bCs/>
      <w:sz w:val="24"/>
      <w:szCs w:val="24"/>
    </w:rPr>
  </w:style>
  <w:style w:type="character" w:styleId="795" w:customStyle="1">
    <w:name w:val="Heading 6 Char"/>
    <w:basedOn w:val="730"/>
    <w:uiPriority w:val="9"/>
    <w:qFormat/>
    <w:rPr>
      <w:rFonts w:ascii="Arial" w:hAnsi="Arial" w:eastAsia="Arial" w:cs="Arial"/>
      <w:b/>
      <w:bCs/>
      <w:sz w:val="22"/>
      <w:szCs w:val="22"/>
    </w:rPr>
  </w:style>
  <w:style w:type="character" w:styleId="796" w:customStyle="1">
    <w:name w:val="Heading 8 Char"/>
    <w:basedOn w:val="730"/>
    <w:uiPriority w:val="9"/>
    <w:qFormat/>
    <w:rPr>
      <w:rFonts w:ascii="Arial" w:hAnsi="Arial" w:eastAsia="Arial" w:cs="Arial"/>
      <w:i/>
      <w:iCs/>
      <w:sz w:val="22"/>
      <w:szCs w:val="22"/>
    </w:rPr>
  </w:style>
  <w:style w:type="character" w:styleId="797" w:customStyle="1">
    <w:name w:val="Heading 9 Char"/>
    <w:basedOn w:val="730"/>
    <w:uiPriority w:val="9"/>
    <w:qFormat/>
    <w:rPr>
      <w:rFonts w:ascii="Arial" w:hAnsi="Arial" w:eastAsia="Arial" w:cs="Arial"/>
      <w:i/>
      <w:iCs/>
      <w:sz w:val="21"/>
      <w:szCs w:val="21"/>
    </w:rPr>
  </w:style>
  <w:style w:type="character" w:styleId="798" w:customStyle="1">
    <w:name w:val="Title Char"/>
    <w:basedOn w:val="730"/>
    <w:uiPriority w:val="10"/>
    <w:qFormat/>
    <w:rPr>
      <w:sz w:val="48"/>
      <w:szCs w:val="48"/>
    </w:rPr>
  </w:style>
  <w:style w:type="character" w:styleId="799" w:customStyle="1">
    <w:name w:val="Subtitle Char"/>
    <w:basedOn w:val="730"/>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标题 11"/>
    <w:basedOn w:val="720"/>
    <w:next w:val="720"/>
    <w:link w:val="971"/>
    <w:uiPriority w:val="9"/>
    <w:qFormat/>
    <w:pPr>
      <w:keepLines/>
      <w:keepNext/>
      <w:spacing w:before="340" w:after="330" w:line="578" w:lineRule="atLeast"/>
      <w:outlineLvl w:val="0"/>
    </w:pPr>
    <w:rPr>
      <w:b/>
      <w:bCs/>
      <w:sz w:val="44"/>
      <w:szCs w:val="44"/>
    </w:rPr>
  </w:style>
  <w:style w:type="paragraph" w:styleId="805" w:customStyle="1">
    <w:name w:val="标题 21"/>
    <w:basedOn w:val="720"/>
    <w:next w:val="720"/>
    <w:link w:val="945"/>
    <w:uiPriority w:val="9"/>
    <w:qFormat/>
    <w:pPr>
      <w:jc w:val="center"/>
      <w:keepLines/>
      <w:keepNext/>
      <w:spacing w:before="260" w:after="260" w:line="416" w:lineRule="auto"/>
      <w:outlineLvl w:val="1"/>
    </w:pPr>
    <w:rPr>
      <w:rFonts w:ascii="幼圆" w:hAnsi="Arial" w:eastAsia="楷体_GB2312"/>
      <w:b/>
      <w:sz w:val="24"/>
      <w:szCs w:val="20"/>
    </w:rPr>
  </w:style>
  <w:style w:type="paragraph" w:styleId="806" w:customStyle="1">
    <w:name w:val="标题 31"/>
    <w:basedOn w:val="720"/>
    <w:link w:val="946"/>
    <w:uiPriority w:val="9"/>
    <w:qFormat/>
    <w:pPr>
      <w:keepLines/>
      <w:keepNext/>
      <w:spacing w:before="260" w:after="260" w:line="416" w:lineRule="atLeast"/>
      <w:outlineLvl w:val="2"/>
    </w:pPr>
    <w:rPr>
      <w:b/>
      <w:bCs/>
      <w:sz w:val="32"/>
      <w:szCs w:val="32"/>
    </w:rPr>
  </w:style>
  <w:style w:type="paragraph" w:styleId="807" w:customStyle="1">
    <w:name w:val="标题 41"/>
    <w:basedOn w:val="720"/>
    <w:next w:val="720"/>
    <w:link w:val="816"/>
    <w:uiPriority w:val="9"/>
    <w:unhideWhenUsed/>
    <w:qFormat/>
    <w:pPr>
      <w:keepLines/>
      <w:keepNext/>
      <w:spacing w:before="320" w:after="200"/>
      <w:outlineLvl w:val="3"/>
    </w:pPr>
    <w:rPr>
      <w:rFonts w:ascii="Arial" w:hAnsi="Arial" w:eastAsia="Arial" w:cs="Arial"/>
      <w:b/>
      <w:bCs/>
      <w:sz w:val="26"/>
      <w:szCs w:val="26"/>
    </w:rPr>
  </w:style>
  <w:style w:type="paragraph" w:styleId="808" w:customStyle="1">
    <w:name w:val="标题 51"/>
    <w:basedOn w:val="720"/>
    <w:next w:val="720"/>
    <w:link w:val="817"/>
    <w:uiPriority w:val="9"/>
    <w:unhideWhenUsed/>
    <w:qFormat/>
    <w:pPr>
      <w:keepLines/>
      <w:keepNext/>
      <w:spacing w:before="320" w:after="200"/>
      <w:outlineLvl w:val="4"/>
    </w:pPr>
    <w:rPr>
      <w:rFonts w:ascii="Arial" w:hAnsi="Arial" w:eastAsia="Arial" w:cs="Arial"/>
      <w:b/>
      <w:bCs/>
      <w:sz w:val="24"/>
      <w:szCs w:val="24"/>
    </w:rPr>
  </w:style>
  <w:style w:type="paragraph" w:styleId="809" w:customStyle="1">
    <w:name w:val="标题 61"/>
    <w:basedOn w:val="720"/>
    <w:next w:val="720"/>
    <w:link w:val="818"/>
    <w:uiPriority w:val="9"/>
    <w:unhideWhenUsed/>
    <w:qFormat/>
    <w:pPr>
      <w:keepLines/>
      <w:keepNext/>
      <w:spacing w:before="320" w:after="200"/>
      <w:outlineLvl w:val="5"/>
    </w:pPr>
    <w:rPr>
      <w:rFonts w:ascii="Arial" w:hAnsi="Arial" w:eastAsia="Arial" w:cs="Arial"/>
      <w:b/>
      <w:bCs/>
      <w:sz w:val="22"/>
    </w:rPr>
  </w:style>
  <w:style w:type="paragraph" w:styleId="810" w:customStyle="1">
    <w:name w:val="标题 71"/>
    <w:basedOn w:val="720"/>
    <w:next w:val="720"/>
    <w:link w:val="970"/>
    <w:uiPriority w:val="9"/>
    <w:qFormat/>
    <w:pPr>
      <w:keepLines/>
      <w:keepNext/>
      <w:spacing w:before="240" w:after="64" w:line="320" w:lineRule="atLeast"/>
      <w:outlineLvl w:val="6"/>
    </w:pPr>
    <w:rPr>
      <w:b/>
      <w:bCs/>
      <w:sz w:val="24"/>
      <w:szCs w:val="24"/>
    </w:rPr>
  </w:style>
  <w:style w:type="paragraph" w:styleId="811" w:customStyle="1">
    <w:name w:val="标题 81"/>
    <w:basedOn w:val="720"/>
    <w:next w:val="720"/>
    <w:link w:val="820"/>
    <w:uiPriority w:val="9"/>
    <w:unhideWhenUsed/>
    <w:qFormat/>
    <w:pPr>
      <w:keepLines/>
      <w:keepNext/>
      <w:spacing w:before="320" w:after="200"/>
      <w:outlineLvl w:val="7"/>
    </w:pPr>
    <w:rPr>
      <w:rFonts w:ascii="Arial" w:hAnsi="Arial" w:eastAsia="Arial" w:cs="Arial"/>
      <w:i/>
      <w:iCs/>
      <w:sz w:val="22"/>
    </w:rPr>
  </w:style>
  <w:style w:type="paragraph" w:styleId="812" w:customStyle="1">
    <w:name w:val="标题 91"/>
    <w:basedOn w:val="720"/>
    <w:next w:val="720"/>
    <w:link w:val="821"/>
    <w:uiPriority w:val="9"/>
    <w:unhideWhenUsed/>
    <w:qFormat/>
    <w:pPr>
      <w:keepLines/>
      <w:keepNext/>
      <w:spacing w:before="320" w:after="200"/>
      <w:outlineLvl w:val="8"/>
    </w:pPr>
    <w:rPr>
      <w:rFonts w:ascii="Arial" w:hAnsi="Arial" w:eastAsia="Arial" w:cs="Arial"/>
      <w:i/>
      <w:iCs/>
      <w:szCs w:val="21"/>
    </w:rPr>
  </w:style>
  <w:style w:type="character" w:styleId="813" w:customStyle="1">
    <w:name w:val="Heading 1 Char"/>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Heading 3 Char"/>
    <w:uiPriority w:val="9"/>
    <w:qFormat/>
    <w:rPr>
      <w:rFonts w:ascii="Arial" w:hAnsi="Arial" w:eastAsia="Arial" w:cs="Arial"/>
      <w:sz w:val="30"/>
      <w:szCs w:val="30"/>
    </w:rPr>
  </w:style>
  <w:style w:type="character" w:styleId="816" w:customStyle="1">
    <w:name w:val="标题 4 Char"/>
    <w:link w:val="807"/>
    <w:uiPriority w:val="9"/>
    <w:qFormat/>
    <w:rPr>
      <w:rFonts w:ascii="Arial" w:hAnsi="Arial" w:eastAsia="Arial" w:cs="Arial"/>
      <w:b/>
      <w:bCs/>
      <w:sz w:val="26"/>
      <w:szCs w:val="26"/>
    </w:rPr>
  </w:style>
  <w:style w:type="character" w:styleId="817" w:customStyle="1">
    <w:name w:val="标题 5 Char"/>
    <w:link w:val="808"/>
    <w:uiPriority w:val="9"/>
    <w:qFormat/>
    <w:rPr>
      <w:rFonts w:ascii="Arial" w:hAnsi="Arial" w:eastAsia="Arial" w:cs="Arial"/>
      <w:b/>
      <w:bCs/>
      <w:sz w:val="24"/>
      <w:szCs w:val="24"/>
    </w:rPr>
  </w:style>
  <w:style w:type="character" w:styleId="818" w:customStyle="1">
    <w:name w:val="标题 6 Char"/>
    <w:link w:val="809"/>
    <w:uiPriority w:val="9"/>
    <w:qFormat/>
    <w:rPr>
      <w:rFonts w:ascii="Arial" w:hAnsi="Arial" w:eastAsia="Arial" w:cs="Arial"/>
      <w:b/>
      <w:bCs/>
      <w:sz w:val="22"/>
      <w:szCs w:val="22"/>
    </w:rPr>
  </w:style>
  <w:style w:type="character" w:styleId="819" w:customStyle="1">
    <w:name w:val="Heading 7 Char"/>
    <w:uiPriority w:val="9"/>
    <w:qFormat/>
    <w:rPr>
      <w:rFonts w:ascii="Arial" w:hAnsi="Arial" w:eastAsia="Arial" w:cs="Arial"/>
      <w:b/>
      <w:bCs/>
      <w:i/>
      <w:iCs/>
      <w:sz w:val="22"/>
      <w:szCs w:val="22"/>
    </w:rPr>
  </w:style>
  <w:style w:type="character" w:styleId="820" w:customStyle="1">
    <w:name w:val="标题 8 Char"/>
    <w:link w:val="811"/>
    <w:uiPriority w:val="9"/>
    <w:qFormat/>
    <w:rPr>
      <w:rFonts w:ascii="Arial" w:hAnsi="Arial" w:eastAsia="Arial" w:cs="Arial"/>
      <w:i/>
      <w:iCs/>
      <w:sz w:val="22"/>
      <w:szCs w:val="22"/>
    </w:rPr>
  </w:style>
  <w:style w:type="character" w:styleId="821" w:customStyle="1">
    <w:name w:val="标题 9 Char"/>
    <w:link w:val="812"/>
    <w:uiPriority w:val="9"/>
    <w:qFormat/>
    <w:rPr>
      <w:rFonts w:ascii="Arial" w:hAnsi="Arial" w:eastAsia="Arial" w:cs="Arial"/>
      <w:i/>
      <w:iCs/>
      <w:sz w:val="21"/>
      <w:szCs w:val="21"/>
    </w:rPr>
  </w:style>
  <w:style w:type="paragraph" w:styleId="822">
    <w:name w:val="List Paragraph"/>
    <w:basedOn w:val="720"/>
    <w:uiPriority w:val="34"/>
    <w:qFormat/>
    <w:pPr>
      <w:contextualSpacing/>
      <w:ind w:left="720"/>
    </w:pPr>
  </w:style>
  <w:style w:type="paragraph" w:styleId="823">
    <w:name w:val="No Spacing"/>
    <w:uiPriority w:val="1"/>
    <w:qFormat/>
    <w:rPr>
      <w:rFonts w:ascii="Calibri" w:hAnsi="Calibri" w:eastAsia="宋体" w:cs="Times New Roman"/>
      <w:lang w:val="en-US" w:eastAsia="zh-CN" w:bidi="ar-SA"/>
    </w:rPr>
  </w:style>
  <w:style w:type="character" w:styleId="824" w:customStyle="1">
    <w:name w:val="标题 字符"/>
    <w:link w:val="763"/>
    <w:uiPriority w:val="10"/>
    <w:qFormat/>
    <w:rPr>
      <w:sz w:val="48"/>
      <w:szCs w:val="48"/>
    </w:rPr>
  </w:style>
  <w:style w:type="character" w:styleId="825" w:customStyle="1">
    <w:name w:val="副标题 字符"/>
    <w:link w:val="755"/>
    <w:uiPriority w:val="11"/>
    <w:qFormat/>
    <w:rPr>
      <w:sz w:val="24"/>
      <w:szCs w:val="24"/>
    </w:rPr>
  </w:style>
  <w:style w:type="paragraph" w:styleId="826">
    <w:name w:val="Quote"/>
    <w:basedOn w:val="720"/>
    <w:next w:val="720"/>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20"/>
    <w:next w:val="720"/>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paragraph" w:styleId="830" w:customStyle="1">
    <w:name w:val="页眉1"/>
    <w:basedOn w:val="720"/>
    <w:link w:val="95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31" w:customStyle="1">
    <w:name w:val="Header Char"/>
    <w:uiPriority w:val="99"/>
    <w:qFormat/>
  </w:style>
  <w:style w:type="paragraph" w:styleId="832" w:customStyle="1">
    <w:name w:val="页脚1"/>
    <w:basedOn w:val="720"/>
    <w:link w:val="955"/>
    <w:uiPriority w:val="99"/>
    <w:unhideWhenUsed/>
    <w:qFormat/>
    <w:pPr>
      <w:jc w:val="left"/>
      <w:spacing w:line="240" w:lineRule="atLeast"/>
      <w:tabs>
        <w:tab w:val="center" w:pos="4153" w:leader="none"/>
        <w:tab w:val="right" w:pos="8306" w:leader="none"/>
      </w:tabs>
    </w:pPr>
    <w:rPr>
      <w:sz w:val="18"/>
      <w:szCs w:val="18"/>
    </w:rPr>
  </w:style>
  <w:style w:type="character" w:styleId="833" w:customStyle="1">
    <w:name w:val="Footer Char"/>
    <w:uiPriority w:val="99"/>
    <w:qFormat/>
  </w:style>
  <w:style w:type="paragraph" w:styleId="834" w:customStyle="1">
    <w:name w:val="题注1"/>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5" w:customStyle="1">
    <w:name w:val="Caption Char"/>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56"/>
    <w:uiPriority w:val="99"/>
    <w:qFormat/>
    <w:rPr>
      <w:sz w:val="18"/>
    </w:rPr>
  </w:style>
  <w:style w:type="character" w:styleId="943" w:customStyle="1">
    <w:name w:val="尾注文本 字符"/>
    <w:link w:val="749"/>
    <w:uiPriority w:val="99"/>
    <w:qFormat/>
    <w:rPr>
      <w:sz w:val="20"/>
    </w:rPr>
  </w:style>
  <w:style w:type="paragraph" w:styleId="944" w:customStyle="1">
    <w:name w:val="TOC 标题1"/>
    <w:uiPriority w:val="39"/>
    <w:unhideWhenUsed/>
    <w:qFormat/>
    <w:rPr>
      <w:rFonts w:ascii="Calibri" w:hAnsi="Calibri" w:eastAsia="宋体" w:cs="Times New Roman"/>
      <w:lang w:val="en-US" w:eastAsia="zh-CN" w:bidi="ar-SA"/>
    </w:rPr>
  </w:style>
  <w:style w:type="character" w:styleId="945" w:customStyle="1">
    <w:name w:val="标题 2 Char"/>
    <w:link w:val="805"/>
    <w:uiPriority w:val="9"/>
    <w:qFormat/>
    <w:rPr>
      <w:rFonts w:ascii="幼圆" w:hAnsi="Arial" w:eastAsia="楷体_GB2312" w:cs="Times New Roman"/>
      <w:b/>
      <w:sz w:val="24"/>
      <w:szCs w:val="20"/>
    </w:rPr>
  </w:style>
  <w:style w:type="character" w:styleId="946" w:customStyle="1">
    <w:name w:val="标题 3 Char"/>
    <w:link w:val="806"/>
    <w:uiPriority w:val="9"/>
    <w:qFormat/>
    <w:rPr>
      <w:b/>
      <w:bCs/>
      <w:sz w:val="32"/>
      <w:szCs w:val="32"/>
    </w:rPr>
  </w:style>
  <w:style w:type="character" w:styleId="947" w:customStyle="1">
    <w:name w:val="正文文本 字符"/>
    <w:link w:val="739"/>
    <w:uiPriority w:val="0"/>
    <w:qFormat/>
    <w:rPr>
      <w:rFonts w:ascii="楷体_GB2312" w:hAnsi="Arial" w:eastAsia="楷体_GB2312" w:cs="Times New Roman"/>
      <w:sz w:val="28"/>
      <w:szCs w:val="20"/>
    </w:rPr>
  </w:style>
  <w:style w:type="paragraph" w:styleId="948" w:customStyle="1">
    <w:name w:val="列表段落1"/>
    <w:basedOn w:val="720"/>
    <w:uiPriority w:val="34"/>
    <w:qFormat/>
    <w:pPr>
      <w:ind w:firstLine="420"/>
    </w:pPr>
    <w:rPr>
      <w:rFonts w:ascii="等线" w:hAnsi="等线" w:eastAsia="等线" w:cs="宋体"/>
    </w:rPr>
  </w:style>
  <w:style w:type="character" w:styleId="949" w:customStyle="1">
    <w:name w:val="正文文本缩进 字符"/>
    <w:basedOn w:val="730"/>
    <w:link w:val="740"/>
    <w:uiPriority w:val="99"/>
    <w:semiHidden/>
    <w:qFormat/>
  </w:style>
  <w:style w:type="character" w:styleId="950" w:customStyle="1">
    <w:name w:val="正文文本缩进 3 字符"/>
    <w:link w:val="758"/>
    <w:uiPriority w:val="99"/>
    <w:semiHidden/>
    <w:qFormat/>
    <w:rPr>
      <w:sz w:val="16"/>
      <w:szCs w:val="16"/>
    </w:rPr>
  </w:style>
  <w:style w:type="character" w:styleId="951" w:customStyle="1">
    <w:name w:val="日期 字符"/>
    <w:link w:val="748"/>
    <w:uiPriority w:val="0"/>
    <w:qFormat/>
    <w:rPr>
      <w:rFonts w:ascii="仿宋_GB2312" w:hAnsi="Times New Roman" w:eastAsia="仿宋_GB2312" w:cs="Times New Roman"/>
      <w:b/>
      <w:sz w:val="36"/>
      <w:szCs w:val="24"/>
    </w:rPr>
  </w:style>
  <w:style w:type="character" w:styleId="952" w:customStyle="1">
    <w:name w:val="正文缩进 字符1"/>
    <w:link w:val="735"/>
    <w:uiPriority w:val="0"/>
    <w:qFormat/>
    <w:rPr>
      <w:rFonts w:ascii="Times New Roman" w:hAnsi="Times New Roman" w:eastAsia="宋体" w:cs="Times New Roman"/>
      <w:szCs w:val="20"/>
    </w:rPr>
  </w:style>
  <w:style w:type="character" w:styleId="953" w:customStyle="1">
    <w:name w:val="htd0"/>
    <w:basedOn w:val="730"/>
    <w:uiPriority w:val="0"/>
    <w:qFormat/>
  </w:style>
  <w:style w:type="character" w:styleId="954" w:customStyle="1">
    <w:name w:val="页眉 Char"/>
    <w:link w:val="830"/>
    <w:uiPriority w:val="99"/>
    <w:qFormat/>
    <w:rPr>
      <w:sz w:val="18"/>
      <w:szCs w:val="18"/>
    </w:rPr>
  </w:style>
  <w:style w:type="character" w:styleId="955" w:customStyle="1">
    <w:name w:val="页脚 Char"/>
    <w:link w:val="832"/>
    <w:uiPriority w:val="99"/>
    <w:qFormat/>
    <w:rPr>
      <w:sz w:val="18"/>
      <w:szCs w:val="18"/>
    </w:rPr>
  </w:style>
  <w:style w:type="paragraph" w:styleId="9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character" w:styleId="957" w:customStyle="1">
    <w:name w:val="批注框文本 字符"/>
    <w:link w:val="750"/>
    <w:uiPriority w:val="99"/>
    <w:semiHidden/>
    <w:qFormat/>
    <w:rPr>
      <w:sz w:val="18"/>
      <w:szCs w:val="18"/>
    </w:rPr>
  </w:style>
  <w:style w:type="character" w:styleId="958" w:customStyle="1">
    <w:name w:val="普通(网站) 字符"/>
    <w:link w:val="762"/>
    <w:uiPriority w:val="0"/>
    <w:qFormat/>
    <w:rPr>
      <w:rFonts w:ascii="宋体" w:hAnsi="宋体" w:eastAsia="宋体" w:cs="宋体"/>
      <w:color w:val="000000"/>
      <w:sz w:val="24"/>
      <w:szCs w:val="24"/>
    </w:rPr>
  </w:style>
  <w:style w:type="character" w:styleId="959" w:customStyle="1">
    <w:name w:val="正文缩进 Char3"/>
    <w:uiPriority w:val="0"/>
    <w:qFormat/>
    <w:rPr>
      <w:rFonts w:ascii="Times New Roman" w:hAnsi="Times New Roman" w:eastAsia="宋体" w:cs="Times New Roman"/>
      <w:szCs w:val="24"/>
    </w:rPr>
  </w:style>
  <w:style w:type="character" w:styleId="960" w:customStyle="1">
    <w:name w:val="纯文本 字符"/>
    <w:link w:val="746"/>
    <w:uiPriority w:val="0"/>
    <w:qFormat/>
    <w:rPr>
      <w:rFonts w:ascii="宋体" w:hAnsi="Courier New" w:cs="Courier New"/>
      <w:szCs w:val="21"/>
    </w:rPr>
  </w:style>
  <w:style w:type="character" w:styleId="961" w:customStyle="1">
    <w:name w:val="纯文本 Char"/>
    <w:uiPriority w:val="99"/>
    <w:semiHidden/>
    <w:qFormat/>
    <w:rPr>
      <w:rFonts w:ascii="宋体" w:hAnsi="Courier New" w:eastAsia="宋体" w:cs="Courier New"/>
      <w:szCs w:val="21"/>
    </w:rPr>
  </w:style>
  <w:style w:type="paragraph" w:styleId="962" w:customStyle="1">
    <w:name w:val="Andy_正文格式"/>
    <w:basedOn w:val="720"/>
    <w:uiPriority w:val="0"/>
    <w:qFormat/>
    <w:pPr>
      <w:ind w:firstLine="560"/>
      <w:jc w:val="left"/>
    </w:pPr>
    <w:rPr>
      <w:rFonts w:ascii="仿宋_GB2312" w:hAnsi="Times New Roman" w:eastAsia="仿宋_GB2312"/>
      <w:sz w:val="28"/>
      <w:szCs w:val="28"/>
    </w:rPr>
  </w:style>
  <w:style w:type="character" w:styleId="963" w:customStyle="1">
    <w:name w:val="p141"/>
    <w:uiPriority w:val="0"/>
    <w:qFormat/>
    <w:rPr>
      <w:rFonts w:ascii="Calibri" w:hAnsi="Calibri" w:eastAsia="宋体" w:cs="宋体"/>
      <w:sz w:val="21"/>
      <w:szCs w:val="21"/>
      <w:lang w:val="en-US" w:eastAsia="zh-CN" w:bidi="ar-SA"/>
    </w:rPr>
  </w:style>
  <w:style w:type="paragraph" w:styleId="964" w:customStyle="1">
    <w:name w:val="样式 宋体 五号 两端对齐 行距: 单倍行距"/>
    <w:basedOn w:val="720"/>
    <w:uiPriority w:val="0"/>
    <w:qFormat/>
    <w:pPr>
      <w:numPr>
        <w:ilvl w:val="0"/>
        <w:numId w:val="3"/>
      </w:numPr>
      <w:ind w:left="0" w:firstLine="0"/>
    </w:pPr>
    <w:rPr>
      <w:rFonts w:ascii="宋体" w:hAnsi="宋体" w:cs="宋体"/>
      <w:szCs w:val="20"/>
    </w:rPr>
  </w:style>
  <w:style w:type="paragraph" w:styleId="965" w:customStyle="1">
    <w:name w:val="样式1"/>
    <w:basedOn w:val="720"/>
    <w:uiPriority w:val="0"/>
    <w:qFormat/>
    <w:pPr>
      <w:numPr>
        <w:ilvl w:val="1"/>
        <w:numId w:val="4"/>
      </w:numPr>
    </w:pPr>
    <w:rPr>
      <w:rFonts w:ascii="宋体" w:hAnsi="宋体"/>
      <w:szCs w:val="21"/>
    </w:rPr>
  </w:style>
  <w:style w:type="paragraph" w:styleId="966" w:customStyle="1">
    <w:name w:val="Char"/>
    <w:basedOn w:val="720"/>
    <w:uiPriority w:val="0"/>
    <w:qFormat/>
    <w:pPr>
      <w:ind w:firstLine="200"/>
      <w:tabs>
        <w:tab w:val="left" w:pos="360" w:leader="none"/>
      </w:tabs>
    </w:pPr>
    <w:rPr>
      <w:rFonts w:ascii="Times New Roman" w:hAnsi="Times New Roman"/>
      <w:sz w:val="28"/>
      <w:szCs w:val="30"/>
    </w:rPr>
  </w:style>
  <w:style w:type="paragraph" w:styleId="967" w:customStyle="1">
    <w:name w:val="列出段落3"/>
    <w:basedOn w:val="720"/>
    <w:uiPriority w:val="99"/>
    <w:qFormat/>
    <w:pPr>
      <w:ind w:firstLine="420"/>
    </w:pPr>
  </w:style>
  <w:style w:type="paragraph" w:styleId="968" w:customStyle="1">
    <w:name w:val="列出段落1"/>
    <w:basedOn w:val="720"/>
    <w:uiPriority w:val="0"/>
    <w:qFormat/>
    <w:pPr>
      <w:ind w:firstLine="420"/>
    </w:pPr>
    <w:rPr>
      <w:rFonts w:ascii="Times New Roman" w:hAnsi="Times New Roman"/>
      <w:szCs w:val="24"/>
    </w:rPr>
  </w:style>
  <w:style w:type="paragraph" w:styleId="96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70" w:customStyle="1">
    <w:name w:val="标题 7 Char"/>
    <w:link w:val="810"/>
    <w:uiPriority w:val="9"/>
    <w:semiHidden/>
    <w:qFormat/>
    <w:rPr>
      <w:b/>
      <w:bCs/>
      <w:sz w:val="24"/>
      <w:szCs w:val="24"/>
    </w:rPr>
  </w:style>
  <w:style w:type="character" w:styleId="971" w:customStyle="1">
    <w:name w:val="标题 1 Char"/>
    <w:link w:val="804"/>
    <w:uiPriority w:val="9"/>
    <w:qFormat/>
    <w:rPr>
      <w:b/>
      <w:bCs/>
      <w:sz w:val="44"/>
      <w:szCs w:val="44"/>
    </w:rPr>
  </w:style>
  <w:style w:type="paragraph" w:styleId="972" w:customStyle="1">
    <w:name w:val="TOC 标题11"/>
    <w:basedOn w:val="804"/>
    <w:next w:val="720"/>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73" w:customStyle="1">
    <w:name w:val="纯文本_0"/>
    <w:basedOn w:val="974"/>
    <w:link w:val="976"/>
    <w:uiPriority w:val="0"/>
    <w:qFormat/>
    <w:pPr>
      <w:spacing w:line="460" w:lineRule="exact"/>
    </w:pPr>
    <w:rPr>
      <w:rFonts w:hint="eastAsia" w:ascii="宋体" w:hAnsi="Courier New"/>
      <w:szCs w:val="21"/>
    </w:rPr>
  </w:style>
  <w:style w:type="paragraph" w:styleId="974" w:customStyle="1">
    <w:name w:val="正文_0"/>
    <w:basedOn w:val="975"/>
    <w:uiPriority w:val="0"/>
    <w:qFormat/>
    <w:rPr>
      <w:rFonts w:ascii="Calibri" w:hAnsi="Calibri" w:eastAsia="宋体" w:cs="Times New Roman"/>
    </w:rPr>
  </w:style>
  <w:style w:type="paragraph" w:styleId="975" w:customStyle="1">
    <w:name w:val="正文_1"/>
    <w:uiPriority w:val="0"/>
    <w:qFormat/>
    <w:pPr>
      <w:jc w:val="both"/>
      <w:widowControl w:val="off"/>
    </w:pPr>
    <w:rPr>
      <w:rFonts w:ascii="等线" w:hAnsi="等线" w:eastAsia="等线" w:cs="等线"/>
      <w:sz w:val="21"/>
      <w:szCs w:val="22"/>
      <w:lang w:val="en-US" w:eastAsia="zh-CN" w:bidi="ar-SA"/>
    </w:rPr>
  </w:style>
  <w:style w:type="character" w:styleId="976" w:customStyle="1">
    <w:name w:val="纯文本 Char_0"/>
    <w:link w:val="973"/>
    <w:uiPriority w:val="0"/>
    <w:qFormat/>
    <w:rPr>
      <w:rFonts w:hint="eastAsia" w:ascii="宋体" w:hAnsi="Courier New" w:eastAsia="宋体" w:cs="Times New Roman"/>
      <w:szCs w:val="21"/>
    </w:rPr>
  </w:style>
  <w:style w:type="paragraph" w:styleId="977" w:customStyle="1">
    <w:name w:val="正文缩进_0"/>
    <w:basedOn w:val="975"/>
    <w:link w:val="978"/>
    <w:uiPriority w:val="99"/>
    <w:unhideWhenUsed/>
    <w:qFormat/>
    <w:pPr>
      <w:ind w:firstLine="420"/>
    </w:pPr>
    <w:rPr>
      <w:rFonts w:ascii="Times New Roman" w:hAnsi="Times New Roman" w:eastAsia="宋体" w:cs="Times New Roman"/>
      <w:szCs w:val="24"/>
    </w:rPr>
  </w:style>
  <w:style w:type="character" w:styleId="978" w:customStyle="1">
    <w:name w:val="正文缩进 字符"/>
    <w:link w:val="977"/>
    <w:uiPriority w:val="0"/>
    <w:qFormat/>
    <w:rPr>
      <w:rFonts w:ascii="Times New Roman" w:hAnsi="Times New Roman" w:eastAsia="宋体" w:cs="Times New Roman"/>
      <w:szCs w:val="24"/>
    </w:rPr>
  </w:style>
  <w:style w:type="paragraph" w:styleId="979" w:customStyle="1">
    <w:name w:val="正文文本缩进_0"/>
    <w:basedOn w:val="974"/>
    <w:link w:val="980"/>
    <w:uiPriority w:val="0"/>
    <w:qFormat/>
    <w:pPr>
      <w:ind w:left="420"/>
      <w:spacing w:after="120" w:line="460" w:lineRule="exact"/>
    </w:pPr>
    <w:rPr>
      <w:szCs w:val="21"/>
    </w:rPr>
  </w:style>
  <w:style w:type="character" w:styleId="980" w:customStyle="1">
    <w:name w:val="正文文本缩进 Char_0"/>
    <w:link w:val="979"/>
    <w:uiPriority w:val="0"/>
    <w:qFormat/>
    <w:rPr>
      <w:rFonts w:ascii="Calibri" w:hAnsi="Calibri" w:eastAsia="宋体" w:cs="Times New Roman"/>
      <w:szCs w:val="21"/>
    </w:rPr>
  </w:style>
  <w:style w:type="paragraph" w:styleId="981" w:customStyle="1">
    <w:name w:val="正文文本_0"/>
    <w:basedOn w:val="974"/>
    <w:link w:val="982"/>
    <w:uiPriority w:val="0"/>
    <w:qFormat/>
    <w:pPr>
      <w:spacing w:line="460" w:lineRule="exact"/>
    </w:pPr>
    <w:rPr>
      <w:rFonts w:hint="eastAsia" w:ascii="楷体_GB2312" w:hAnsi="Arial" w:eastAsia="楷体_GB2312"/>
      <w:sz w:val="28"/>
      <w:szCs w:val="28"/>
    </w:rPr>
  </w:style>
  <w:style w:type="character" w:styleId="982" w:customStyle="1">
    <w:name w:val="正文文本 Char_0"/>
    <w:link w:val="981"/>
    <w:uiPriority w:val="0"/>
    <w:qFormat/>
    <w:rPr>
      <w:rFonts w:hint="eastAsia" w:ascii="楷体_GB2312" w:hAnsi="Arial" w:eastAsia="楷体_GB2312" w:cs="Times New Roman"/>
      <w:sz w:val="28"/>
      <w:szCs w:val="28"/>
    </w:rPr>
  </w:style>
  <w:style w:type="character" w:styleId="983" w:customStyle="1">
    <w:name w:val="titlebody"/>
    <w:uiPriority w:val="0"/>
    <w:qFormat/>
    <w:rPr>
      <w:rFonts w:ascii="宋体" w:hAnsi="宋体" w:eastAsia="宋体" w:cs="宋体"/>
      <w:b/>
      <w:bCs/>
      <w:color w:val="000000"/>
      <w:sz w:val="24"/>
      <w:szCs w:val="24"/>
    </w:rPr>
  </w:style>
  <w:style w:type="paragraph" w:styleId="984" w:customStyle="1">
    <w:name w:val="Normal_0"/>
    <w:uiPriority w:val="0"/>
    <w:qFormat/>
    <w:rPr>
      <w:rFonts w:ascii="Times New Roman" w:hAnsi="Times New Roman" w:eastAsia="Times New Roman" w:cs="Times New Roman"/>
      <w:sz w:val="24"/>
      <w:szCs w:val="24"/>
      <w:lang w:val="en-US" w:eastAsia="zh-CN" w:bidi="ar-SA"/>
    </w:rPr>
  </w:style>
  <w:style w:type="paragraph" w:styleId="985" w:customStyle="1">
    <w:name w:val="Normal_1"/>
    <w:uiPriority w:val="0"/>
    <w:qFormat/>
    <w:rPr>
      <w:rFonts w:ascii="Times New Roman" w:hAnsi="Times New Roman" w:eastAsia="Times New Roman" w:cs="Times New Roman"/>
      <w:sz w:val="24"/>
      <w:szCs w:val="24"/>
      <w:lang w:val="en-US" w:eastAsia="zh-CN" w:bidi="ar-SA"/>
    </w:rPr>
  </w:style>
  <w:style w:type="paragraph" w:styleId="986" w:customStyle="1">
    <w:name w:val="Normal_2"/>
    <w:uiPriority w:val="0"/>
    <w:qFormat/>
    <w:rPr>
      <w:rFonts w:ascii="Times New Roman" w:hAnsi="Times New Roman" w:eastAsia="Times New Roman" w:cs="Times New Roman"/>
      <w:sz w:val="24"/>
      <w:szCs w:val="24"/>
      <w:lang w:val="en-US" w:eastAsia="zh-CN" w:bidi="ar-SA"/>
    </w:rPr>
  </w:style>
  <w:style w:type="paragraph" w:styleId="987" w:customStyle="1">
    <w:name w:val="Normal_3"/>
    <w:uiPriority w:val="0"/>
    <w:qFormat/>
    <w:rPr>
      <w:rFonts w:ascii="Times New Roman" w:hAnsi="Times New Roman" w:eastAsia="Times New Roman" w:cs="Times New Roman"/>
      <w:sz w:val="24"/>
      <w:szCs w:val="24"/>
      <w:lang w:val="en-US" w:eastAsia="zh-CN" w:bidi="ar-SA"/>
    </w:rPr>
  </w:style>
  <w:style w:type="paragraph" w:styleId="988" w:customStyle="1">
    <w:name w:val="Normal_4"/>
    <w:uiPriority w:val="0"/>
    <w:qFormat/>
    <w:rPr>
      <w:rFonts w:ascii="Times New Roman" w:hAnsi="Times New Roman" w:eastAsia="Times New Roman" w:cs="Times New Roman"/>
      <w:sz w:val="24"/>
      <w:szCs w:val="24"/>
      <w:lang w:val="en-US" w:eastAsia="zh-CN" w:bidi="ar-SA"/>
    </w:rPr>
  </w:style>
  <w:style w:type="paragraph" w:styleId="989" w:customStyle="1">
    <w:name w:val="Normal_5"/>
    <w:uiPriority w:val="0"/>
    <w:qFormat/>
    <w:rPr>
      <w:rFonts w:ascii="Times New Roman" w:hAnsi="Times New Roman" w:eastAsia="Times New Roman" w:cs="Times New Roman"/>
      <w:sz w:val="24"/>
      <w:szCs w:val="24"/>
      <w:lang w:val="en-US" w:eastAsia="zh-CN" w:bidi="ar-SA"/>
    </w:rPr>
  </w:style>
  <w:style w:type="paragraph" w:styleId="990" w:customStyle="1">
    <w:name w:val="Normal_6"/>
    <w:uiPriority w:val="0"/>
    <w:qFormat/>
    <w:rPr>
      <w:rFonts w:ascii="Times New Roman" w:hAnsi="Times New Roman" w:eastAsia="Times New Roman" w:cs="Times New Roman"/>
      <w:sz w:val="24"/>
      <w:szCs w:val="24"/>
      <w:lang w:val="en-US" w:eastAsia="zh-CN" w:bidi="ar-SA"/>
    </w:rPr>
  </w:style>
  <w:style w:type="paragraph" w:styleId="991" w:customStyle="1">
    <w:name w:val="Normal_0_0"/>
    <w:uiPriority w:val="0"/>
    <w:qFormat/>
    <w:rPr>
      <w:rFonts w:ascii="Times New Roman" w:hAnsi="Times New Roman" w:eastAsia="Times New Roman" w:cs="Times New Roman"/>
      <w:sz w:val="24"/>
      <w:szCs w:val="24"/>
      <w:lang w:val="en-US" w:eastAsia="zh-CN" w:bidi="ar-SA"/>
    </w:rPr>
  </w:style>
  <w:style w:type="paragraph" w:styleId="992" w:customStyle="1">
    <w:name w:val="Normal_1_0"/>
    <w:uiPriority w:val="0"/>
    <w:qFormat/>
    <w:rPr>
      <w:rFonts w:ascii="Times New Roman" w:hAnsi="Times New Roman" w:eastAsia="Times New Roman" w:cs="Times New Roman"/>
      <w:sz w:val="24"/>
      <w:szCs w:val="24"/>
      <w:lang w:val="en-US" w:eastAsia="zh-CN" w:bidi="ar-SA"/>
    </w:rPr>
  </w:style>
  <w:style w:type="paragraph" w:styleId="993" w:customStyle="1">
    <w:name w:val="Normal_2_0"/>
    <w:uiPriority w:val="0"/>
    <w:qFormat/>
    <w:rPr>
      <w:rFonts w:ascii="Times New Roman" w:hAnsi="Times New Roman" w:eastAsia="Times New Roman" w:cs="Times New Roman"/>
      <w:sz w:val="24"/>
      <w:szCs w:val="24"/>
      <w:lang w:val="en-US" w:eastAsia="zh-CN" w:bidi="ar-SA"/>
    </w:rPr>
  </w:style>
  <w:style w:type="paragraph" w:styleId="994" w:customStyle="1">
    <w:name w:val="Normal_3_0"/>
    <w:uiPriority w:val="0"/>
    <w:qFormat/>
    <w:rPr>
      <w:rFonts w:ascii="Times New Roman" w:hAnsi="Times New Roman" w:eastAsia="Times New Roman" w:cs="Times New Roman"/>
      <w:sz w:val="24"/>
      <w:szCs w:val="24"/>
      <w:lang w:val="en-US" w:eastAsia="zh-CN" w:bidi="ar-SA"/>
    </w:rPr>
  </w:style>
  <w:style w:type="paragraph" w:styleId="995" w:customStyle="1">
    <w:name w:val="Normal_4_0"/>
    <w:uiPriority w:val="0"/>
    <w:qFormat/>
    <w:rPr>
      <w:rFonts w:ascii="Times New Roman" w:hAnsi="Times New Roman" w:eastAsia="Times New Roman" w:cs="Times New Roman"/>
      <w:sz w:val="24"/>
      <w:szCs w:val="24"/>
      <w:lang w:val="en-US" w:eastAsia="zh-CN" w:bidi="ar-SA"/>
    </w:rPr>
  </w:style>
  <w:style w:type="paragraph" w:styleId="996" w:customStyle="1">
    <w:name w:val="正文_1_0"/>
    <w:basedOn w:val="997"/>
    <w:uiPriority w:val="0"/>
    <w:qFormat/>
    <w:rPr>
      <w:rFonts w:cs="Times New Roman"/>
    </w:rPr>
  </w:style>
  <w:style w:type="paragraph" w:styleId="997" w:customStyle="1">
    <w:name w:val="正文_2"/>
    <w:uiPriority w:val="0"/>
    <w:qFormat/>
    <w:pPr>
      <w:jc w:val="both"/>
      <w:widowControl w:val="off"/>
    </w:pPr>
    <w:rPr>
      <w:rFonts w:ascii="Calibri" w:hAnsi="Calibri" w:eastAsia="宋体" w:cs="Calibri"/>
      <w:sz w:val="21"/>
      <w:szCs w:val="22"/>
      <w:lang w:val="en-US" w:eastAsia="zh-CN" w:bidi="ar-SA"/>
    </w:rPr>
  </w:style>
  <w:style w:type="paragraph" w:styleId="998" w:customStyle="1">
    <w:name w:val="正文_1_0_0"/>
    <w:basedOn w:val="997"/>
    <w:uiPriority w:val="0"/>
    <w:qFormat/>
    <w:rPr>
      <w:rFonts w:cs="Times New Roman"/>
    </w:rPr>
  </w:style>
  <w:style w:type="paragraph" w:styleId="999" w:customStyle="1">
    <w:name w:val="Normal_5_0"/>
    <w:uiPriority w:val="0"/>
    <w:qFormat/>
    <w:rPr>
      <w:rFonts w:ascii="Times New Roman" w:hAnsi="Times New Roman" w:eastAsia="Times New Roman" w:cs="Times New Roman"/>
      <w:sz w:val="24"/>
      <w:szCs w:val="24"/>
      <w:lang w:val="en-US" w:eastAsia="zh-CN" w:bidi="ar-SA"/>
    </w:rPr>
  </w:style>
  <w:style w:type="paragraph" w:styleId="1000" w:customStyle="1">
    <w:name w:val="正文_0_0"/>
    <w:basedOn w:val="1001"/>
    <w:uiPriority w:val="0"/>
    <w:qFormat/>
    <w:rPr>
      <w:rFonts w:cs="Times New Roman"/>
    </w:rPr>
  </w:style>
  <w:style w:type="paragraph" w:styleId="1001" w:customStyle="1">
    <w:name w:val="正文_0_1"/>
    <w:uiPriority w:val="0"/>
    <w:qFormat/>
    <w:pPr>
      <w:jc w:val="both"/>
      <w:widowControl w:val="off"/>
    </w:pPr>
    <w:rPr>
      <w:rFonts w:ascii="Calibri" w:hAnsi="Calibri" w:eastAsia="宋体" w:cs="Calibri"/>
      <w:sz w:val="21"/>
      <w:szCs w:val="22"/>
      <w:lang w:val="en-US" w:eastAsia="zh-CN" w:bidi="ar-SA"/>
    </w:rPr>
  </w:style>
  <w:style w:type="paragraph" w:styleId="1002" w:customStyle="1">
    <w:name w:val="Normal_6_0"/>
    <w:uiPriority w:val="0"/>
    <w:qFormat/>
    <w:rPr>
      <w:rFonts w:ascii="Times New Roman" w:hAnsi="Times New Roman" w:eastAsia="Times New Roman" w:cs="Times New Roman"/>
      <w:sz w:val="24"/>
      <w:szCs w:val="24"/>
      <w:lang w:val="en-US" w:eastAsia="zh-CN" w:bidi="ar-SA"/>
    </w:rPr>
  </w:style>
  <w:style w:type="paragraph" w:styleId="1003" w:customStyle="1">
    <w:name w:val="正文_0_0_0"/>
    <w:basedOn w:val="1004"/>
    <w:uiPriority w:val="0"/>
    <w:qFormat/>
    <w:rPr>
      <w:rFonts w:cs="Times New Roman"/>
    </w:rPr>
  </w:style>
  <w:style w:type="paragraph" w:styleId="1004" w:customStyle="1">
    <w:name w:val="正文_2_0"/>
    <w:uiPriority w:val="0"/>
    <w:qFormat/>
    <w:pPr>
      <w:jc w:val="both"/>
      <w:widowControl w:val="off"/>
    </w:pPr>
    <w:rPr>
      <w:rFonts w:ascii="Calibri" w:hAnsi="Calibri" w:eastAsia="宋体" w:cs="Calibri"/>
      <w:sz w:val="21"/>
      <w:szCs w:val="22"/>
      <w:lang w:val="en-US" w:eastAsia="zh-CN" w:bidi="ar-SA"/>
    </w:rPr>
  </w:style>
  <w:style w:type="paragraph" w:styleId="1005" w:customStyle="1">
    <w:name w:val="Normal_7"/>
    <w:uiPriority w:val="0"/>
    <w:qFormat/>
    <w:rPr>
      <w:rFonts w:ascii="Times New Roman" w:hAnsi="Times New Roman" w:eastAsia="Times New Roman" w:cs="Times New Roman"/>
      <w:sz w:val="24"/>
      <w:szCs w:val="24"/>
      <w:lang w:val="en-US" w:eastAsia="zh-CN" w:bidi="ar-SA"/>
    </w:rPr>
  </w:style>
  <w:style w:type="paragraph" w:styleId="1006" w:customStyle="1">
    <w:name w:val="正文_0_0_1"/>
    <w:basedOn w:val="1007"/>
    <w:uiPriority w:val="0"/>
    <w:qFormat/>
    <w:rPr>
      <w:rFonts w:cs="Times New Roman"/>
    </w:rPr>
  </w:style>
  <w:style w:type="paragraph" w:styleId="1007" w:customStyle="1">
    <w:name w:val="正文_3"/>
    <w:uiPriority w:val="0"/>
    <w:qFormat/>
    <w:pPr>
      <w:jc w:val="both"/>
      <w:widowControl w:val="off"/>
    </w:pPr>
    <w:rPr>
      <w:rFonts w:ascii="Calibri" w:hAnsi="Calibri" w:eastAsia="宋体" w:cs="Calibri"/>
      <w:sz w:val="21"/>
      <w:szCs w:val="22"/>
      <w:lang w:val="en-US" w:eastAsia="zh-CN" w:bidi="ar-SA"/>
    </w:rPr>
  </w:style>
  <w:style w:type="paragraph" w:styleId="1008" w:customStyle="1">
    <w:name w:val="Normal_8"/>
    <w:uiPriority w:val="0"/>
    <w:qFormat/>
    <w:rPr>
      <w:rFonts w:ascii="Times New Roman" w:hAnsi="Times New Roman" w:eastAsia="Times New Roman" w:cs="Times New Roman"/>
      <w:sz w:val="24"/>
      <w:szCs w:val="24"/>
      <w:lang w:val="en-US" w:eastAsia="zh-CN" w:bidi="ar-SA"/>
    </w:rPr>
  </w:style>
  <w:style w:type="paragraph" w:styleId="100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9"/>
    <w:uiPriority w:val="0"/>
    <w:qFormat/>
    <w:rPr>
      <w:rFonts w:ascii="Times New Roman" w:hAnsi="Times New Roman" w:eastAsia="Times New Roman" w:cs="Times New Roman"/>
      <w:sz w:val="24"/>
      <w:szCs w:val="24"/>
      <w:lang w:val="en-US" w:eastAsia="zh-CN" w:bidi="ar-SA"/>
    </w:rPr>
  </w:style>
  <w:style w:type="paragraph" w:styleId="1011"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Normal_10"/>
    <w:uiPriority w:val="0"/>
    <w:qFormat/>
    <w:rPr>
      <w:rFonts w:ascii="Times New Roman" w:hAnsi="Times New Roman" w:eastAsia="Times New Roman" w:cs="Times New Roman"/>
      <w:sz w:val="24"/>
      <w:szCs w:val="24"/>
      <w:lang w:val="en-US" w:eastAsia="zh-CN" w:bidi="ar-SA"/>
    </w:rPr>
  </w:style>
  <w:style w:type="character" w:styleId="1013" w:customStyle="1">
    <w:name w:val="批注文字 字符"/>
    <w:link w:val="737"/>
    <w:uiPriority w:val="99"/>
    <w:qFormat/>
    <w:rPr>
      <w:rFonts w:ascii="Times New Roman" w:hAnsi="Times New Roman"/>
      <w:sz w:val="24"/>
      <w:szCs w:val="24"/>
    </w:rPr>
  </w:style>
  <w:style w:type="paragraph" w:styleId="1014" w:customStyle="1">
    <w:name w:val="Normal_12"/>
    <w:uiPriority w:val="0"/>
    <w:qFormat/>
    <w:rPr>
      <w:rFonts w:ascii="Times New Roman" w:hAnsi="Times New Roman" w:eastAsia="Times New Roman" w:cs="Times New Roman"/>
      <w:sz w:val="24"/>
      <w:szCs w:val="24"/>
      <w:lang w:val="en-US" w:eastAsia="zh-CN" w:bidi="ar-SA"/>
    </w:rPr>
  </w:style>
  <w:style w:type="paragraph" w:styleId="1015" w:customStyle="1">
    <w:name w:val="Normal_13"/>
    <w:uiPriority w:val="0"/>
    <w:qFormat/>
    <w:rPr>
      <w:rFonts w:ascii="Times New Roman" w:hAnsi="Times New Roman" w:eastAsia="Times New Roman" w:cs="Times New Roman"/>
      <w:sz w:val="24"/>
      <w:szCs w:val="24"/>
      <w:lang w:val="en-US" w:eastAsia="zh-CN" w:bidi="ar-SA"/>
    </w:rPr>
  </w:style>
  <w:style w:type="paragraph" w:styleId="1016" w:customStyle="1">
    <w:name w:val="Normal_14"/>
    <w:uiPriority w:val="0"/>
    <w:qFormat/>
    <w:rPr>
      <w:rFonts w:ascii="Times New Roman" w:hAnsi="Times New Roman" w:eastAsia="Times New Roman" w:cs="Times New Roman"/>
      <w:sz w:val="24"/>
      <w:szCs w:val="24"/>
      <w:lang w:val="en-US" w:eastAsia="zh-CN" w:bidi="ar-SA"/>
    </w:rPr>
  </w:style>
  <w:style w:type="paragraph" w:styleId="1017" w:customStyle="1">
    <w:name w:val="Normal_16"/>
    <w:basedOn w:val="1018"/>
    <w:uiPriority w:val="0"/>
    <w:qFormat/>
    <w:rPr>
      <w:lang w:bidi="en-US"/>
    </w:rPr>
  </w:style>
  <w:style w:type="paragraph" w:styleId="1018" w:customStyle="1">
    <w:name w:val="Normal_15"/>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Normal_17"/>
    <w:uiPriority w:val="0"/>
    <w:qFormat/>
    <w:rPr>
      <w:rFonts w:ascii="Times New Roman" w:hAnsi="Times New Roman" w:eastAsia="Times New Roman" w:cs="Times New Roman"/>
      <w:sz w:val="24"/>
      <w:szCs w:val="24"/>
      <w:lang w:val="en-US" w:eastAsia="zh-CN" w:bidi="ar-SA"/>
    </w:rPr>
  </w:style>
  <w:style w:type="paragraph" w:styleId="1020" w:customStyle="1">
    <w:name w:val="Normal_18"/>
    <w:uiPriority w:val="0"/>
    <w:qFormat/>
    <w:rPr>
      <w:rFonts w:ascii="Times New Roman" w:hAnsi="Times New Roman" w:eastAsia="Times New Roman" w:cs="Times New Roman"/>
      <w:sz w:val="24"/>
      <w:szCs w:val="24"/>
      <w:lang w:val="en-US" w:eastAsia="zh-CN" w:bidi="ar-SA"/>
    </w:rPr>
  </w:style>
  <w:style w:type="paragraph" w:styleId="1021" w:customStyle="1">
    <w:name w:val="正文_6"/>
    <w:uiPriority w:val="0"/>
    <w:qFormat/>
    <w:pPr>
      <w:jc w:val="both"/>
      <w:widowControl w:val="off"/>
    </w:pPr>
    <w:rPr>
      <w:rFonts w:ascii="Calibri" w:hAnsi="Calibri" w:eastAsia="宋体" w:cs="Calibri"/>
      <w:sz w:val="21"/>
      <w:szCs w:val="22"/>
      <w:lang w:val="en-US" w:eastAsia="zh-CN" w:bidi="ar-SA"/>
    </w:rPr>
  </w:style>
  <w:style w:type="paragraph" w:styleId="1022" w:customStyle="1">
    <w:name w:val="Normal_19"/>
    <w:uiPriority w:val="0"/>
    <w:qFormat/>
    <w:rPr>
      <w:rFonts w:ascii="Times New Roman" w:hAnsi="Times New Roman" w:eastAsia="Times New Roman" w:cs="Times New Roman"/>
      <w:sz w:val="24"/>
      <w:szCs w:val="24"/>
      <w:lang w:val="en-US" w:eastAsia="zh-CN" w:bidi="ar-SA"/>
    </w:rPr>
  </w:style>
  <w:style w:type="paragraph" w:styleId="1023" w:customStyle="1">
    <w:name w:val="正文文本_1"/>
    <w:basedOn w:val="1024"/>
    <w:link w:val="1026"/>
    <w:uiPriority w:val="0"/>
    <w:qFormat/>
    <w:pPr>
      <w:spacing w:line="460" w:lineRule="exact"/>
    </w:pPr>
    <w:rPr>
      <w:rFonts w:hint="eastAsia" w:ascii="楷体_GB2312" w:hAnsi="Arial" w:eastAsia="楷体_GB2312"/>
      <w:sz w:val="28"/>
      <w:szCs w:val="28"/>
    </w:rPr>
  </w:style>
  <w:style w:type="paragraph" w:styleId="1024" w:customStyle="1">
    <w:name w:val="正文_6_0"/>
    <w:basedOn w:val="1025"/>
    <w:uiPriority w:val="0"/>
    <w:qFormat/>
    <w:rPr>
      <w:rFonts w:cs="Times New Roman"/>
    </w:rPr>
  </w:style>
  <w:style w:type="paragraph" w:styleId="1025" w:customStyle="1">
    <w:name w:val="正文_7"/>
    <w:uiPriority w:val="0"/>
    <w:qFormat/>
    <w:pPr>
      <w:jc w:val="both"/>
      <w:widowControl w:val="off"/>
    </w:pPr>
    <w:rPr>
      <w:rFonts w:ascii="Calibri" w:hAnsi="Calibri" w:eastAsia="宋体" w:cs="Calibri"/>
      <w:sz w:val="21"/>
      <w:szCs w:val="22"/>
      <w:lang w:val="en-US" w:eastAsia="zh-CN" w:bidi="ar-SA"/>
    </w:rPr>
  </w:style>
  <w:style w:type="character" w:styleId="1026" w:customStyle="1">
    <w:name w:val="正文文本 Char_1"/>
    <w:link w:val="1023"/>
    <w:uiPriority w:val="0"/>
    <w:qFormat/>
    <w:rPr>
      <w:rFonts w:hint="eastAsia" w:ascii="楷体_GB2312" w:hAnsi="Arial" w:eastAsia="楷体_GB2312" w:cs="楷体_GB2312"/>
      <w:sz w:val="28"/>
      <w:szCs w:val="28"/>
    </w:rPr>
  </w:style>
  <w:style w:type="paragraph" w:styleId="1027" w:customStyle="1">
    <w:name w:val="Normal_20"/>
    <w:uiPriority w:val="0"/>
    <w:qFormat/>
    <w:rPr>
      <w:rFonts w:ascii="Times New Roman" w:hAnsi="Times New Roman" w:eastAsia="Times New Roman" w:cs="Times New Roman"/>
      <w:sz w:val="24"/>
      <w:szCs w:val="24"/>
      <w:lang w:val="en-US" w:eastAsia="zh-CN" w:bidi="ar-SA"/>
    </w:rPr>
  </w:style>
  <w:style w:type="paragraph" w:styleId="1028" w:customStyle="1">
    <w:name w:val="Normal_21"/>
    <w:uiPriority w:val="0"/>
    <w:qFormat/>
    <w:rPr>
      <w:rFonts w:ascii="Times New Roman" w:hAnsi="Times New Roman" w:eastAsia="Times New Roman" w:cs="Times New Roman"/>
      <w:sz w:val="24"/>
      <w:szCs w:val="24"/>
      <w:lang w:val="en-US" w:eastAsia="zh-CN" w:bidi="ar-SA"/>
    </w:rPr>
  </w:style>
  <w:style w:type="paragraph" w:styleId="1029" w:customStyle="1">
    <w:name w:val="Normal_22"/>
    <w:uiPriority w:val="0"/>
    <w:qFormat/>
    <w:rPr>
      <w:rFonts w:ascii="Times New Roman" w:hAnsi="Times New Roman" w:eastAsia="Times New Roman" w:cs="Times New Roman"/>
      <w:sz w:val="24"/>
      <w:szCs w:val="24"/>
      <w:lang w:val="en-US" w:eastAsia="zh-CN" w:bidi="ar-SA"/>
    </w:rPr>
  </w:style>
  <w:style w:type="paragraph" w:styleId="103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23"/>
    <w:uiPriority w:val="0"/>
    <w:qFormat/>
    <w:rPr>
      <w:rFonts w:ascii="Times New Roman" w:hAnsi="Times New Roman" w:eastAsia="Times New Roman" w:cs="Times New Roman"/>
      <w:sz w:val="24"/>
      <w:szCs w:val="24"/>
      <w:lang w:val="en-US" w:eastAsia="zh-CN" w:bidi="ar-SA"/>
    </w:rPr>
  </w:style>
  <w:style w:type="paragraph" w:styleId="1032" w:customStyle="1">
    <w:name w:val="Normal_24"/>
    <w:uiPriority w:val="0"/>
    <w:qFormat/>
    <w:rPr>
      <w:rFonts w:ascii="Times New Roman" w:hAnsi="Times New Roman" w:eastAsia="Times New Roman" w:cs="Times New Roman"/>
      <w:sz w:val="24"/>
      <w:szCs w:val="24"/>
      <w:lang w:val="en-US" w:eastAsia="zh-CN" w:bidi="ar-SA"/>
    </w:rPr>
  </w:style>
  <w:style w:type="paragraph" w:styleId="1033" w:customStyle="1">
    <w:name w:val="正文_12"/>
    <w:basedOn w:val="1034"/>
    <w:uiPriority w:val="0"/>
    <w:qFormat/>
    <w:rPr>
      <w:rFonts w:cs="Times New Roman"/>
    </w:rPr>
  </w:style>
  <w:style w:type="paragraph" w:styleId="1034" w:customStyle="1">
    <w:name w:val="正文_9"/>
    <w:uiPriority w:val="0"/>
    <w:qFormat/>
    <w:pPr>
      <w:jc w:val="both"/>
      <w:widowControl w:val="off"/>
    </w:pPr>
    <w:rPr>
      <w:rFonts w:ascii="Calibri" w:hAnsi="Calibri" w:eastAsia="宋体" w:cs="Calibri"/>
      <w:sz w:val="21"/>
      <w:szCs w:val="22"/>
      <w:lang w:val="en-US" w:eastAsia="zh-CN" w:bidi="ar-SA"/>
    </w:rPr>
  </w:style>
  <w:style w:type="character" w:styleId="1035" w:customStyle="1">
    <w:name w:val="超链接_0"/>
    <w:uiPriority w:val="99"/>
    <w:unhideWhenUsed/>
    <w:qFormat/>
    <w:rPr>
      <w:rFonts w:ascii="Calibri" w:hAnsi="Calibri" w:eastAsia="宋体" w:cs="Calibri"/>
      <w:color w:val="0000ff"/>
      <w:u w:val="single"/>
    </w:rPr>
  </w:style>
  <w:style w:type="paragraph" w:styleId="1036" w:customStyle="1">
    <w:name w:val="Normal_25"/>
    <w:uiPriority w:val="0"/>
    <w:qFormat/>
    <w:rPr>
      <w:rFonts w:ascii="Times New Roman" w:hAnsi="Times New Roman" w:eastAsia="Times New Roman" w:cs="Times New Roman"/>
      <w:sz w:val="24"/>
      <w:szCs w:val="24"/>
      <w:lang w:val="en-US" w:eastAsia="zh-CN" w:bidi="ar-SA"/>
    </w:rPr>
  </w:style>
  <w:style w:type="paragraph" w:styleId="1037"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table" w:styleId="1039" w:customStyle="1">
    <w:name w:val="网格型1"/>
    <w:basedOn w:val="731"/>
    <w:uiPriority w:val="39"/>
    <w:qFormat/>
    <w:rPr>
      <w:rFonts w:ascii="等线" w:hAnsi="等线" w:eastAsia="等线"/>
      <w:sz w:val="21"/>
      <w:szCs w:val="22"/>
    </w:rPr>
    <w:tblPr/>
  </w:style>
  <w:style w:type="table" w:styleId="1040" w:customStyle="1">
    <w:name w:val="网格型2"/>
    <w:basedOn w:val="731"/>
    <w:uiPriority w:val="39"/>
    <w:qFormat/>
    <w:rPr>
      <w:rFonts w:ascii="等线" w:hAnsi="等线" w:eastAsia="等线"/>
      <w:sz w:val="21"/>
      <w:szCs w:val="22"/>
    </w:rPr>
    <w:tblPr/>
  </w:style>
  <w:style w:type="character" w:styleId="1041" w:customStyle="1">
    <w:name w:val="custom-tag-placeholder-class"/>
    <w:uiPriority w:val="0"/>
    <w:qFormat/>
  </w:style>
  <w:style w:type="character" w:styleId="1042" w:customStyle="1">
    <w:name w:val="页眉 字符"/>
    <w:basedOn w:val="730"/>
    <w:link w:val="752"/>
    <w:uiPriority w:val="99"/>
    <w:semiHidden/>
    <w:qFormat/>
    <w:rPr>
      <w:sz w:val="18"/>
      <w:szCs w:val="18"/>
    </w:rPr>
  </w:style>
  <w:style w:type="character" w:styleId="1043" w:customStyle="1">
    <w:name w:val="页脚 字符"/>
    <w:basedOn w:val="730"/>
    <w:link w:val="751"/>
    <w:uiPriority w:val="99"/>
    <w:semiHidden/>
    <w:qFormat/>
    <w:rPr>
      <w:sz w:val="18"/>
      <w:szCs w:val="18"/>
    </w:rPr>
  </w:style>
  <w:style w:type="character" w:styleId="1044" w:customStyle="1">
    <w:name w:val="标题 2 字符"/>
    <w:basedOn w:val="730"/>
    <w:link w:val="722"/>
    <w:uiPriority w:val="0"/>
    <w:qFormat/>
    <w:rPr>
      <w:rFonts w:asciiTheme="majorHAnsi" w:hAnsiTheme="majorHAnsi" w:eastAsiaTheme="majorEastAsia" w:cstheme="majorBidi"/>
      <w:b/>
      <w:bCs/>
      <w:sz w:val="32"/>
      <w:szCs w:val="32"/>
    </w:rPr>
  </w:style>
  <w:style w:type="paragraph" w:styleId="1045" w:customStyle="1">
    <w:name w:val="正文缩进1"/>
    <w:basedOn w:val="720"/>
    <w:uiPriority w:val="0"/>
    <w:qFormat/>
    <w:pPr>
      <w:ind w:firstLine="420"/>
    </w:pPr>
    <w:rPr>
      <w:rFonts w:ascii="Times New Roman" w:hAnsi="Times New Roman"/>
      <w:szCs w:val="20"/>
    </w:rPr>
  </w:style>
  <w:style w:type="paragraph" w:styleId="1046" w:customStyle="1">
    <w:name w:val="text-tag"/>
    <w:basedOn w:val="720"/>
    <w:uiPriority w:val="99"/>
    <w:semiHidden/>
    <w:qFormat/>
    <w:pPr>
      <w:jc w:val="left"/>
      <w:spacing w:before="100" w:beforeAutospacing="1" w:after="100" w:afterAutospacing="1"/>
      <w:widowControl/>
    </w:pPr>
    <w:rPr>
      <w:rFonts w:ascii="宋体" w:hAnsi="宋体" w:cs="宋体"/>
      <w:sz w:val="24"/>
      <w:szCs w:val="24"/>
    </w:rPr>
  </w:style>
  <w:style w:type="paragraph" w:styleId="1047" w:customStyle="1">
    <w:name w:val="索引 11"/>
    <w:basedOn w:val="720"/>
    <w:next w:val="720"/>
    <w:uiPriority w:val="99"/>
    <w:qFormat/>
    <w:pPr>
      <w:spacing w:line="360" w:lineRule="auto"/>
    </w:pPr>
    <w:rPr>
      <w:rFonts w:ascii="仿宋_GB2312" w:hAnsi="Times New Roman" w:eastAsia="仿宋_GB2312"/>
      <w:sz w:val="24"/>
      <w:szCs w:val="20"/>
    </w:rPr>
  </w:style>
  <w:style w:type="paragraph" w:styleId="1048" w:customStyle="1">
    <w:name w:val="X正文"/>
    <w:uiPriority w:val="0"/>
    <w:qFormat/>
    <w:pPr>
      <w:ind w:firstLine="200"/>
      <w:jc w:val="both"/>
      <w:spacing w:line="300" w:lineRule="auto"/>
    </w:pPr>
    <w:rPr>
      <w:rFonts w:ascii="宋体" w:hAnsi="宋体" w:eastAsia="宋体" w:cstheme="minorBidi"/>
      <w:sz w:val="28"/>
      <w:szCs w:val="21"/>
      <w:lang w:val="en-US" w:eastAsia="zh-CN" w:bidi="ar-SA"/>
    </w:rPr>
  </w:style>
  <w:style w:type="character" w:styleId="1049" w:customStyle="1">
    <w:name w:val="font11"/>
    <w:basedOn w:val="730"/>
    <w:uiPriority w:val="0"/>
    <w:qFormat/>
    <w:rPr>
      <w:rFonts w:hint="eastAsia" w:ascii="微软雅黑" w:hAnsi="微软雅黑" w:eastAsia="微软雅黑" w:cs="微软雅黑"/>
      <w:color w:val="000000"/>
      <w:sz w:val="16"/>
      <w:szCs w:val="16"/>
      <w:u w:val="none"/>
    </w:rPr>
  </w:style>
  <w:style w:type="character" w:styleId="1050" w:customStyle="1">
    <w:name w:val="font81"/>
    <w:basedOn w:val="730"/>
    <w:uiPriority w:val="0"/>
    <w:qFormat/>
    <w:rPr>
      <w:rFonts w:hint="eastAsia" w:ascii="宋体" w:hAnsi="宋体" w:eastAsia="宋体" w:cs="宋体"/>
      <w:b/>
      <w:bCs/>
      <w:color w:val="000000"/>
      <w:sz w:val="22"/>
      <w:szCs w:val="22"/>
      <w:u w:val="none"/>
    </w:rPr>
  </w:style>
  <w:style w:type="character" w:styleId="1051" w:customStyle="1">
    <w:name w:val="font61"/>
    <w:basedOn w:val="730"/>
    <w:uiPriority w:val="0"/>
    <w:qFormat/>
    <w:rPr>
      <w:rFonts w:hint="eastAsia" w:ascii="宋体" w:hAnsi="宋体" w:eastAsia="宋体" w:cs="宋体"/>
      <w:color w:val="000000"/>
      <w:sz w:val="20"/>
      <w:szCs w:val="20"/>
      <w:u w:val="none"/>
    </w:rPr>
  </w:style>
  <w:style w:type="character" w:styleId="1052" w:customStyle="1">
    <w:name w:val="font101"/>
    <w:basedOn w:val="730"/>
    <w:uiPriority w:val="0"/>
    <w:qFormat/>
    <w:rPr>
      <w:rFonts w:hint="eastAsia" w:ascii="宋体" w:hAnsi="宋体" w:eastAsia="宋体" w:cs="宋体"/>
      <w:b/>
      <w:bCs/>
      <w:color w:val="000000"/>
      <w:sz w:val="20"/>
      <w:szCs w:val="20"/>
      <w:u w:val="none"/>
    </w:rPr>
  </w:style>
  <w:style w:type="character" w:styleId="1053" w:customStyle="1">
    <w:name w:val="font112"/>
    <w:basedOn w:val="730"/>
    <w:uiPriority w:val="0"/>
    <w:qFormat/>
    <w:rPr>
      <w:rFonts w:hint="eastAsia" w:ascii="宋体" w:hAnsi="宋体" w:eastAsia="宋体" w:cs="宋体"/>
      <w:color w:val="ff0000"/>
      <w:sz w:val="22"/>
      <w:szCs w:val="22"/>
      <w:u w:val="none"/>
    </w:rPr>
  </w:style>
  <w:style w:type="paragraph" w:styleId="1054" w:customStyle="1">
    <w:name w:val="无间隔1"/>
    <w:uiPriority w:val="0"/>
    <w:qFormat/>
    <w:pPr>
      <w:jc w:val="both"/>
      <w:widowControl w:val="off"/>
    </w:pPr>
    <w:rPr>
      <w:rFonts w:ascii="Calibri" w:hAnsi="Calibri" w:eastAsia="宋体" w:cs="Times New Roman"/>
      <w:sz w:val="28"/>
      <w:szCs w:val="22"/>
      <w:lang w:val="en-US" w:eastAsia="zh-CN" w:bidi="ar-SA"/>
    </w:rPr>
  </w:style>
  <w:style w:type="table" w:styleId="1055" w:customStyle="1">
    <w:name w:val="Table Normal"/>
    <w:uiPriority w:val="0"/>
    <w:semiHidden/>
    <w:unhideWhenUsed/>
    <w:qFormat/>
    <w:tblPr>
      <w:tblCellMar>
        <w:left w:w="0" w:type="dxa"/>
        <w:top w:w="0" w:type="dxa"/>
        <w:right w:w="0" w:type="dxa"/>
        <w:bottom w:w="0" w:type="dxa"/>
      </w:tblCellMar>
    </w:tblPr>
  </w:style>
  <w:style w:type="paragraph" w:styleId="1056" w:customStyle="1">
    <w:name w:val="正文1"/>
    <w:basedOn w:val="1057"/>
    <w:next w:val="1059"/>
    <w:uiPriority w:val="0"/>
    <w:qFormat/>
    <w:rPr>
      <w:rFonts w:ascii="Times New Roman" w:hAnsi="Times New Roman" w:eastAsia="宋体" w:cs="Times New Roman"/>
      <w:lang w:val="en-US" w:eastAsia="zh-CN" w:bidi="ar-SA"/>
    </w:rPr>
  </w:style>
  <w:style w:type="paragraph" w:styleId="1057" w:customStyle="1">
    <w:name w:val="正文111"/>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文本缩进11"/>
    <w:basedOn w:val="1057"/>
    <w:uiPriority w:val="0"/>
    <w:qFormat/>
    <w:pPr>
      <w:ind w:firstLine="425"/>
      <w:spacing w:line="360" w:lineRule="auto"/>
    </w:pPr>
  </w:style>
  <w:style w:type="paragraph" w:styleId="1059" w:customStyle="1">
    <w:name w:val="正文文本1"/>
    <w:basedOn w:val="1060"/>
    <w:next w:val="1061"/>
    <w:uiPriority w:val="99"/>
    <w:qFormat/>
    <w:pPr>
      <w:jc w:val="both"/>
      <w:spacing w:line="500" w:lineRule="exact"/>
      <w:tabs>
        <w:tab w:val="left" w:pos="0" w:leader="none"/>
        <w:tab w:val="left" w:pos="993" w:leader="none"/>
        <w:tab w:val="left" w:pos="1134" w:leader="none"/>
      </w:tabs>
    </w:pPr>
    <w:rPr>
      <w:rFonts w:hAnsi="Calibri" w:eastAsia="Times New Roman"/>
      <w:sz w:val="28"/>
    </w:rPr>
  </w:style>
  <w:style w:type="paragraph" w:styleId="1060" w:customStyle="1">
    <w:name w:val="正文2"/>
    <w:basedOn w:val="720"/>
    <w:uiPriority w:val="0"/>
    <w:qFormat/>
    <w:pPr>
      <w:ind w:left="57" w:right="57"/>
      <w:jc w:val="center"/>
      <w:spacing w:after="60" w:line="360" w:lineRule="atLeast"/>
    </w:pPr>
    <w:rPr>
      <w:rFonts w:ascii="宋体" w:hAnsi="Times New Roman"/>
      <w:szCs w:val="20"/>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next w:val="7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customStyle="1">
    <w:name w:val="段"/>
    <w:next w:val="720"/>
    <w:uiPriority w:val="0"/>
    <w:qFormat/>
    <w:pPr>
      <w:ind w:firstLine="200"/>
      <w:jc w:val="both"/>
    </w:pPr>
    <w:rPr>
      <w:rFonts w:ascii="宋体" w:hAnsi="Times New Roman" w:eastAsia="Times New Roman" w:cs="Times New Roman"/>
      <w:sz w:val="21"/>
      <w:lang w:val="en-US" w:eastAsia="zh-CN" w:bidi="ar-SA"/>
    </w:rPr>
  </w:style>
  <w:style w:type="paragraph" w:styleId="1064" w:customStyle="1">
    <w:name w:val="纯文本11"/>
    <w:basedOn w:val="720"/>
    <w:uiPriority w:val="0"/>
    <w:qFormat/>
    <w:rPr>
      <w:rFonts w:ascii="宋体" w:hAnsi="Courier New"/>
      <w:sz w:val="20"/>
      <w:szCs w:val="20"/>
    </w:rPr>
  </w:style>
  <w:style w:type="paragraph" w:styleId="1065" w:customStyle="1">
    <w:name w:val="标题 211"/>
    <w:basedOn w:val="720"/>
    <w:uiPriority w:val="0"/>
    <w:qFormat/>
    <w:pPr>
      <w:outlineLvl w:val="1"/>
    </w:pPr>
  </w:style>
  <w:style w:type="paragraph" w:styleId="1066" w:customStyle="1">
    <w:name w:val="Table Paragraph"/>
    <w:basedOn w:val="720"/>
    <w:uiPriority w:val="0"/>
    <w:qFormat/>
    <w:pPr>
      <w:jc w:val="left"/>
    </w:pPr>
    <w:rPr>
      <w:rFonts w:ascii="Calibri" w:hAnsi="Calibri" w:cs="黑体"/>
      <w:sz w:val="22"/>
      <w:szCs w:val="22"/>
      <w:lang w:eastAsia="en-US"/>
    </w:rPr>
  </w:style>
  <w:style w:type="paragraph" w:styleId="1067" w:customStyle="1">
    <w:name w:val="Table Text"/>
    <w:basedOn w:val="720"/>
    <w:uiPriority w:val="0"/>
    <w:qFormat/>
    <w:rPr>
      <w:sz w:val="18"/>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5</cp:revision>
  <dcterms:created xsi:type="dcterms:W3CDTF">2024-03-13T09:50:00Z</dcterms:created>
  <dcterms:modified xsi:type="dcterms:W3CDTF">2026-04-21T09:15:10Z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03460927D9D502EBA17F4268753C0C9C_43</vt:lpwstr>
  </property>
  <property fmtid="{D5CDD505-2E9C-101B-9397-08002B2CF9AE}" pid="4" name="KSOTemplateDocerSaveRecord">
    <vt:lpwstr>eyJoZGlkIjoiMzEwNTM5NzYwMDRjMzkwZTVkZjY2ODkwMGIxNGU0OTUiLCJ1c2VySWQiOiI0NDE2OTI4MTEifQ==</vt:lpwstr>
  </property>
</Properties>
</file>